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209890" w14:textId="77777777" w:rsidR="00564AF1" w:rsidRPr="006842FF" w:rsidRDefault="008E1742" w:rsidP="003950F9">
      <w:pPr>
        <w:pStyle w:val="CoverOutcomeHeadline"/>
        <w:rPr>
          <w:lang w:val="en-AU"/>
        </w:rPr>
      </w:pPr>
      <w:r>
        <w:rPr>
          <w:lang w:val="en-AU"/>
        </w:rPr>
        <w:t>Department of Social Services</w:t>
      </w:r>
    </w:p>
    <w:p w14:paraId="6C898D59" w14:textId="77777777" w:rsidR="00564AF1" w:rsidRPr="006842FF" w:rsidRDefault="008E1742" w:rsidP="00A7605F">
      <w:pPr>
        <w:pStyle w:val="CoverOutcomeSubtitle"/>
        <w:rPr>
          <w:lang w:val="en-AU"/>
        </w:rPr>
      </w:pPr>
      <w:r>
        <w:rPr>
          <w:lang w:val="en-AU"/>
        </w:rPr>
        <w:t xml:space="preserve">Evaluation of the National Framework for Protecting Australia's Children 2009-2020 </w:t>
      </w:r>
    </w:p>
    <w:p w14:paraId="5259CD26" w14:textId="0DC985EF" w:rsidR="001333F9" w:rsidRDefault="00BF0C63" w:rsidP="004C4CC4">
      <w:pPr>
        <w:pStyle w:val="CoverDate"/>
      </w:pPr>
      <w:r>
        <w:rPr>
          <w:lang w:val="en-AU"/>
        </w:rPr>
        <w:t xml:space="preserve">June </w:t>
      </w:r>
      <w:r w:rsidR="008E1742">
        <w:rPr>
          <w:lang w:val="en-AU"/>
        </w:rPr>
        <w:t>2020</w:t>
      </w:r>
    </w:p>
    <w:p w14:paraId="71CB2C21" w14:textId="77777777" w:rsidR="00564AF1" w:rsidRPr="001333F9" w:rsidRDefault="00564AF1" w:rsidP="001333F9">
      <w:pPr>
        <w:sectPr w:rsidR="00564AF1" w:rsidRPr="001333F9" w:rsidSect="008E1742">
          <w:headerReference w:type="even" r:id="rId8"/>
          <w:headerReference w:type="default" r:id="rId9"/>
          <w:footerReference w:type="even" r:id="rId10"/>
          <w:footerReference w:type="default" r:id="rId11"/>
          <w:headerReference w:type="first" r:id="rId12"/>
          <w:footerReference w:type="first" r:id="rId13"/>
          <w:type w:val="oddPage"/>
          <w:pgSz w:w="11907" w:h="16840" w:code="9"/>
          <w:pgMar w:top="2268" w:right="1418" w:bottom="1021" w:left="1021" w:header="397" w:footer="851" w:gutter="0"/>
          <w:pgNumType w:start="1"/>
          <w:cols w:space="708"/>
          <w:titlePg/>
          <w:docGrid w:linePitch="360"/>
        </w:sectPr>
      </w:pPr>
    </w:p>
    <w:p w14:paraId="19ABA32D" w14:textId="77777777" w:rsidR="00912417" w:rsidRPr="00912417" w:rsidRDefault="00912417" w:rsidP="00912417">
      <w:pPr>
        <w:keepNext/>
        <w:keepLines/>
        <w:pageBreakBefore/>
        <w:spacing w:after="1200" w:line="640" w:lineRule="atLeast"/>
        <w:outlineLvl w:val="1"/>
        <w:rPr>
          <w:rFonts w:asciiTheme="majorHAnsi" w:hAnsiTheme="majorHAnsi"/>
          <w:bCs/>
          <w:iCs/>
          <w:color w:val="EB8C00" w:themeColor="accent4"/>
          <w:sz w:val="60"/>
          <w:szCs w:val="36"/>
        </w:rPr>
      </w:pPr>
      <w:bookmarkStart w:id="0" w:name="_Toc31228709"/>
      <w:bookmarkStart w:id="1" w:name="_Toc42842753"/>
      <w:bookmarkStart w:id="2" w:name="_Toc290460141"/>
      <w:bookmarkStart w:id="3" w:name="_Toc292795890"/>
      <w:bookmarkStart w:id="4" w:name="_Toc292795900"/>
      <w:bookmarkStart w:id="5" w:name="_Toc292795947"/>
      <w:bookmarkStart w:id="6" w:name="_Toc292795954"/>
      <w:bookmarkStart w:id="7" w:name="_Toc294534323"/>
      <w:bookmarkStart w:id="8" w:name="_Toc326144379"/>
      <w:bookmarkStart w:id="9" w:name="_Toc326144425"/>
      <w:bookmarkStart w:id="10" w:name="_Toc326144496"/>
      <w:bookmarkStart w:id="11" w:name="_Toc326144518"/>
      <w:bookmarkStart w:id="12" w:name="_Toc326144577"/>
      <w:bookmarkStart w:id="13" w:name="_Toc326144612"/>
      <w:bookmarkStart w:id="14" w:name="_Toc326144706"/>
      <w:bookmarkStart w:id="15" w:name="_Toc3448795"/>
      <w:bookmarkStart w:id="16" w:name="_Toc28860324"/>
      <w:bookmarkStart w:id="17" w:name="_Toc30582374"/>
      <w:bookmarkStart w:id="18" w:name="ExecSum"/>
      <w:r w:rsidRPr="00912417">
        <w:rPr>
          <w:rFonts w:asciiTheme="majorHAnsi" w:hAnsiTheme="majorHAnsi"/>
          <w:bCs/>
          <w:iCs/>
          <w:color w:val="EB8C00" w:themeColor="accent4"/>
          <w:sz w:val="60"/>
          <w:szCs w:val="36"/>
        </w:rPr>
        <w:lastRenderedPageBreak/>
        <w:t>Disclaimer</w:t>
      </w:r>
      <w:bookmarkEnd w:id="0"/>
      <w:bookmarkEnd w:id="1"/>
    </w:p>
    <w:p w14:paraId="689FB21D" w14:textId="2DDA5E8B" w:rsidR="00912417" w:rsidRPr="00774068" w:rsidRDefault="00912417" w:rsidP="00912417">
      <w:pPr>
        <w:pStyle w:val="PwCNormal"/>
        <w:rPr>
          <w:color w:val="auto"/>
        </w:rPr>
      </w:pPr>
      <w:r w:rsidRPr="006842FF">
        <w:t xml:space="preserve">This report is not intended to be used by anyone other </w:t>
      </w:r>
      <w:r w:rsidRPr="00774068">
        <w:rPr>
          <w:color w:val="auto"/>
        </w:rPr>
        <w:t>than</w:t>
      </w:r>
      <w:r>
        <w:rPr>
          <w:color w:val="auto"/>
        </w:rPr>
        <w:t xml:space="preserve"> the</w:t>
      </w:r>
      <w:r w:rsidRPr="00774068">
        <w:rPr>
          <w:color w:val="auto"/>
        </w:rPr>
        <w:t xml:space="preserve"> Department of Social Services</w:t>
      </w:r>
      <w:r>
        <w:rPr>
          <w:color w:val="auto"/>
        </w:rPr>
        <w:t>.</w:t>
      </w:r>
    </w:p>
    <w:p w14:paraId="5180E849" w14:textId="77777777" w:rsidR="00912417" w:rsidRPr="00774068" w:rsidRDefault="00912417" w:rsidP="00912417">
      <w:pPr>
        <w:pStyle w:val="PwCNormal"/>
        <w:rPr>
          <w:color w:val="auto"/>
        </w:rPr>
      </w:pPr>
      <w:r w:rsidRPr="00774068">
        <w:rPr>
          <w:color w:val="auto"/>
        </w:rPr>
        <w:t>We prepared this report solely for</w:t>
      </w:r>
      <w:bookmarkStart w:id="19" w:name="ConsultClientName2"/>
      <w:r w:rsidRPr="00774068">
        <w:rPr>
          <w:color w:val="auto"/>
        </w:rPr>
        <w:t xml:space="preserve"> the Department of Social Service</w:t>
      </w:r>
      <w:bookmarkEnd w:id="19"/>
      <w:r w:rsidRPr="00774068">
        <w:rPr>
          <w:color w:val="auto"/>
        </w:rPr>
        <w:t xml:space="preserve">’s use and benefit in accordance with and for the purpose set out in </w:t>
      </w:r>
      <w:r>
        <w:rPr>
          <w:color w:val="auto"/>
        </w:rPr>
        <w:t xml:space="preserve">Official Order 90011886 Statement of Work </w:t>
      </w:r>
      <w:bookmarkStart w:id="20" w:name="ConsultClientName3"/>
      <w:r w:rsidRPr="00774068">
        <w:rPr>
          <w:color w:val="auto"/>
        </w:rPr>
        <w:t>Services</w:t>
      </w:r>
      <w:bookmarkEnd w:id="20"/>
      <w:r w:rsidRPr="00774068">
        <w:rPr>
          <w:color w:val="auto"/>
        </w:rPr>
        <w:t xml:space="preserve"> dated</w:t>
      </w:r>
      <w:r>
        <w:rPr>
          <w:color w:val="auto"/>
        </w:rPr>
        <w:t xml:space="preserve"> 10 October 2019</w:t>
      </w:r>
      <w:r w:rsidRPr="006842FF">
        <w:t>. In doing so, we acted exclusively for</w:t>
      </w:r>
      <w:r w:rsidRPr="00EB3210">
        <w:rPr>
          <w:color w:val="FF0000"/>
        </w:rPr>
        <w:t xml:space="preserve"> </w:t>
      </w:r>
      <w:bookmarkStart w:id="21" w:name="ConsultClientName4"/>
      <w:r w:rsidR="00153EC4" w:rsidRPr="00801D2B">
        <w:rPr>
          <w:color w:val="auto"/>
        </w:rPr>
        <w:t xml:space="preserve">the </w:t>
      </w:r>
      <w:r w:rsidRPr="00774068">
        <w:rPr>
          <w:color w:val="auto"/>
        </w:rPr>
        <w:t>Department of Social Services</w:t>
      </w:r>
      <w:bookmarkEnd w:id="21"/>
      <w:r w:rsidRPr="00774068">
        <w:rPr>
          <w:color w:val="auto"/>
        </w:rPr>
        <w:t xml:space="preserve"> and considered no-one else’s interests.</w:t>
      </w:r>
    </w:p>
    <w:p w14:paraId="595C2BFC" w14:textId="77777777" w:rsidR="00912417" w:rsidRPr="00774068" w:rsidRDefault="00912417" w:rsidP="00912417">
      <w:pPr>
        <w:pStyle w:val="PwCNormal"/>
        <w:rPr>
          <w:color w:val="auto"/>
        </w:rPr>
      </w:pPr>
      <w:r w:rsidRPr="00774068">
        <w:rPr>
          <w:color w:val="auto"/>
        </w:rPr>
        <w:t>We accept no responsibility, duty or liability:</w:t>
      </w:r>
    </w:p>
    <w:p w14:paraId="401038DD" w14:textId="77777777" w:rsidR="00912417" w:rsidRPr="00774068" w:rsidRDefault="00912417" w:rsidP="00912417">
      <w:pPr>
        <w:pStyle w:val="ListBullet"/>
      </w:pPr>
      <w:r w:rsidRPr="00774068">
        <w:t xml:space="preserve">to anyone other than </w:t>
      </w:r>
      <w:bookmarkStart w:id="22" w:name="ConsultClientName5"/>
      <w:r w:rsidR="00153EC4">
        <w:t xml:space="preserve">the </w:t>
      </w:r>
      <w:r w:rsidRPr="00774068">
        <w:t>Department of Social Services</w:t>
      </w:r>
      <w:bookmarkEnd w:id="22"/>
      <w:r w:rsidRPr="00774068">
        <w:t xml:space="preserve"> in connection with this report</w:t>
      </w:r>
    </w:p>
    <w:p w14:paraId="496259B7" w14:textId="77777777" w:rsidR="00912417" w:rsidRPr="00774068" w:rsidRDefault="00912417" w:rsidP="00912417">
      <w:pPr>
        <w:pStyle w:val="ListBullet"/>
      </w:pPr>
      <w:r w:rsidRPr="00774068">
        <w:t xml:space="preserve">to </w:t>
      </w:r>
      <w:r w:rsidR="00153EC4">
        <w:t xml:space="preserve">the </w:t>
      </w:r>
      <w:r w:rsidRPr="00774068">
        <w:t>Department of Social Services for the consequences of using or relying on it for a purpose other than that referred to above.</w:t>
      </w:r>
    </w:p>
    <w:p w14:paraId="5D189CBE" w14:textId="77777777" w:rsidR="00912417" w:rsidRPr="00774068" w:rsidRDefault="00912417" w:rsidP="00912417">
      <w:pPr>
        <w:pStyle w:val="PwCNormal"/>
        <w:rPr>
          <w:color w:val="auto"/>
        </w:rPr>
      </w:pPr>
      <w:r w:rsidRPr="00774068">
        <w:rPr>
          <w:color w:val="auto"/>
        </w:rPr>
        <w:t xml:space="preserve">We make no representation concerning the appropriateness of this report for anyone other than </w:t>
      </w:r>
      <w:r w:rsidR="00153EC4">
        <w:rPr>
          <w:color w:val="auto"/>
        </w:rPr>
        <w:t xml:space="preserve">the </w:t>
      </w:r>
      <w:r w:rsidRPr="00774068">
        <w:rPr>
          <w:color w:val="auto"/>
        </w:rPr>
        <w:t>Department of Social Services. If anyone other than the Department of Social Services chooses to use or rely on it they do so at their own risk.</w:t>
      </w:r>
    </w:p>
    <w:p w14:paraId="14420802" w14:textId="77777777" w:rsidR="00912417" w:rsidRPr="00774068" w:rsidRDefault="00912417" w:rsidP="00912417">
      <w:pPr>
        <w:pStyle w:val="PwCNormal"/>
        <w:rPr>
          <w:color w:val="auto"/>
        </w:rPr>
      </w:pPr>
      <w:r w:rsidRPr="00774068">
        <w:rPr>
          <w:color w:val="auto"/>
        </w:rPr>
        <w:t>This disclaimer applies:</w:t>
      </w:r>
    </w:p>
    <w:p w14:paraId="4439E62E" w14:textId="77777777" w:rsidR="00912417" w:rsidRPr="00774068" w:rsidRDefault="00912417" w:rsidP="00912417">
      <w:pPr>
        <w:pStyle w:val="ListBullet"/>
      </w:pPr>
      <w:r w:rsidRPr="00774068">
        <w:t>to the maximum extent permitted by law and, without limitation, to liability arising in negligence or under statute; and</w:t>
      </w:r>
    </w:p>
    <w:p w14:paraId="7C40480D" w14:textId="77777777" w:rsidR="00912417" w:rsidRPr="006842FF" w:rsidRDefault="00912417" w:rsidP="00912417">
      <w:pPr>
        <w:pStyle w:val="ListBullet"/>
      </w:pPr>
      <w:r w:rsidRPr="00774068">
        <w:t xml:space="preserve">even if we consent to anyone other than </w:t>
      </w:r>
      <w:r w:rsidR="00153EC4">
        <w:t xml:space="preserve">the </w:t>
      </w:r>
      <w:r w:rsidRPr="00774068">
        <w:t xml:space="preserve">Department of Social Services receiving </w:t>
      </w:r>
      <w:r w:rsidRPr="006842FF">
        <w:t>or using this report.</w:t>
      </w:r>
    </w:p>
    <w:p w14:paraId="491916A7" w14:textId="77777777" w:rsidR="00912417" w:rsidRDefault="00912417" w:rsidP="00C270FB">
      <w:pPr>
        <w:pStyle w:val="PwCNormal"/>
      </w:pPr>
      <w:r w:rsidRPr="006842FF">
        <w:t>Liability limited by a scheme approved under Professional Standards legislation</w:t>
      </w:r>
      <w:r w:rsidR="00E30F3F">
        <w:t>.</w:t>
      </w:r>
    </w:p>
    <w:p w14:paraId="6286EF4A" w14:textId="77777777" w:rsidR="00C270FB" w:rsidRDefault="00C270FB" w:rsidP="00C270FB">
      <w:pPr>
        <w:pStyle w:val="PrefaceTitle"/>
      </w:pPr>
      <w:bookmarkStart w:id="23" w:name="_Toc31228710"/>
      <w:bookmarkStart w:id="24" w:name="_Toc42842754"/>
      <w:bookmarkStart w:id="25" w:name="_Toc42847831"/>
      <w:r w:rsidRPr="006842FF">
        <w:lastRenderedPageBreak/>
        <w:t>Executive summary</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23"/>
      <w:bookmarkEnd w:id="24"/>
      <w:bookmarkEnd w:id="25"/>
      <w:r w:rsidR="000C2647">
        <w:t xml:space="preserve"> </w:t>
      </w:r>
    </w:p>
    <w:p w14:paraId="6D96D5ED" w14:textId="77777777" w:rsidR="000F3EF8" w:rsidRDefault="000F3EF8" w:rsidP="000F3EF8">
      <w:pPr>
        <w:pStyle w:val="PwCNormal"/>
        <w:numPr>
          <w:ilvl w:val="0"/>
          <w:numId w:val="0"/>
        </w:numPr>
        <w:rPr>
          <w:b/>
          <w:bCs/>
          <w:color w:val="D04A02" w:themeColor="accent1"/>
        </w:rPr>
      </w:pPr>
      <w:r>
        <w:rPr>
          <w:b/>
          <w:bCs/>
          <w:color w:val="D04A02" w:themeColor="accent1"/>
        </w:rPr>
        <w:t>Background and c</w:t>
      </w:r>
      <w:r w:rsidRPr="00D07723">
        <w:rPr>
          <w:b/>
          <w:bCs/>
          <w:color w:val="D04A02" w:themeColor="accent1"/>
        </w:rPr>
        <w:t>ontext</w:t>
      </w:r>
    </w:p>
    <w:p w14:paraId="4E99E274" w14:textId="3AF51A90" w:rsidR="000F3EF8" w:rsidRDefault="000F3EF8" w:rsidP="000F3EF8">
      <w:pPr>
        <w:pStyle w:val="PwCNormal"/>
      </w:pPr>
      <w:r w:rsidRPr="00A6651D">
        <w:t>In 2009, governments and non-government organisations came together to develop the National Framework for Protecting Australia’s Children 2009-2020 (the National Framework</w:t>
      </w:r>
      <w:r w:rsidR="005779A7">
        <w:t xml:space="preserve"> or the Framework</w:t>
      </w:r>
      <w:r w:rsidRPr="00A6651D">
        <w:t xml:space="preserve">) which was endorsed by Council of Australian Government (COAG) in April 2009. </w:t>
      </w:r>
      <w:r>
        <w:t>The National Framework</w:t>
      </w:r>
      <w:r w:rsidRPr="00A6651D">
        <w:t xml:space="preserve"> was unique in its design in being governed by a tripartite arrangement between Commonwealth, and state and territory governments, as well as the non-government and research sector</w:t>
      </w:r>
      <w:r>
        <w:t>s</w:t>
      </w:r>
      <w:r w:rsidRPr="00A6651D">
        <w:t xml:space="preserve"> through the National Forum</w:t>
      </w:r>
      <w:r>
        <w:t xml:space="preserve"> for Protecting Australia’s Children (the National Forum)</w:t>
      </w:r>
      <w:r w:rsidRPr="00A6651D">
        <w:t>.</w:t>
      </w:r>
    </w:p>
    <w:p w14:paraId="009151A3" w14:textId="08A91826" w:rsidR="000F3EF8" w:rsidRDefault="000F3EF8" w:rsidP="000F3EF8">
      <w:pPr>
        <w:pStyle w:val="PwCNormal"/>
      </w:pPr>
      <w:r w:rsidRPr="00A6651D">
        <w:t xml:space="preserve">A key feature of the National Framework </w:t>
      </w:r>
      <w:r>
        <w:t xml:space="preserve">was a </w:t>
      </w:r>
      <w:r w:rsidRPr="00947018">
        <w:t>shift in emphasis from protecting children from abuse and neglect to promoting children’s safety and wellbeing. To effect this shift</w:t>
      </w:r>
      <w:r>
        <w:t>,</w:t>
      </w:r>
      <w:r w:rsidRPr="00947018">
        <w:t xml:space="preserve"> the National Framework</w:t>
      </w:r>
      <w:r>
        <w:t xml:space="preserve"> </w:t>
      </w:r>
      <w:r w:rsidRPr="00947018">
        <w:t xml:space="preserve">sought to apply a public health model which places a significant focus on primary or universal initiatives and programs (aimed at all children and families), intensifying the focus on secondary services (focusing on early intervention) with </w:t>
      </w:r>
      <w:r>
        <w:t xml:space="preserve">the </w:t>
      </w:r>
      <w:r w:rsidRPr="00947018">
        <w:t xml:space="preserve">tertiary </w:t>
      </w:r>
      <w:r>
        <w:t>(</w:t>
      </w:r>
      <w:r w:rsidRPr="00947018">
        <w:t>statutory</w:t>
      </w:r>
      <w:r>
        <w:t>)</w:t>
      </w:r>
      <w:r w:rsidRPr="00947018">
        <w:t xml:space="preserve"> system being a last resort as outlined in </w:t>
      </w:r>
      <w:r>
        <w:fldChar w:fldCharType="begin"/>
      </w:r>
      <w:r>
        <w:instrText xml:space="preserve"> REF _Ref36633428 \h </w:instrText>
      </w:r>
      <w:r>
        <w:fldChar w:fldCharType="separate"/>
      </w:r>
      <w:r w:rsidR="00D75351">
        <w:t xml:space="preserve">Figure </w:t>
      </w:r>
      <w:r w:rsidR="00D75351">
        <w:rPr>
          <w:noProof/>
        </w:rPr>
        <w:t>1</w:t>
      </w:r>
      <w:r>
        <w:fldChar w:fldCharType="end"/>
      </w:r>
      <w:r>
        <w:t>.</w:t>
      </w:r>
    </w:p>
    <w:p w14:paraId="61F5975B" w14:textId="1C6F27F3" w:rsidR="000F3EF8" w:rsidRPr="00947018" w:rsidRDefault="000F3EF8" w:rsidP="000F3EF8">
      <w:pPr>
        <w:pStyle w:val="Caption"/>
      </w:pPr>
      <w:bookmarkStart w:id="26" w:name="_Ref36633428"/>
      <w:r>
        <w:t xml:space="preserve">Figure </w:t>
      </w:r>
      <w:fldSimple w:instr=" SEQ Figure \* ARABIC ">
        <w:r w:rsidR="00D75351">
          <w:rPr>
            <w:noProof/>
          </w:rPr>
          <w:t>1</w:t>
        </w:r>
      </w:fldSimple>
      <w:bookmarkEnd w:id="26"/>
      <w:r>
        <w:t>: Application of the primary health model to child protection – a system for protecting children</w:t>
      </w:r>
      <w:r>
        <w:rPr>
          <w:rStyle w:val="FootnoteReference"/>
        </w:rPr>
        <w:footnoteReference w:id="2"/>
      </w:r>
    </w:p>
    <w:p w14:paraId="25BC604B" w14:textId="1C342516" w:rsidR="000F3EF8" w:rsidRDefault="00766727" w:rsidP="000F3EF8">
      <w:pPr>
        <w:pStyle w:val="PwCNormal"/>
        <w:jc w:val="center"/>
      </w:pPr>
      <w:bookmarkStart w:id="27" w:name="_GoBack"/>
      <w:r w:rsidRPr="00766727">
        <w:rPr>
          <w:noProof/>
          <w:lang w:eastAsia="en-AU"/>
        </w:rPr>
        <w:drawing>
          <wp:inline distT="0" distB="0" distL="0" distR="0" wp14:anchorId="0FF8E9E5" wp14:editId="6C0A0125">
            <wp:extent cx="3450566" cy="2462397"/>
            <wp:effectExtent l="0" t="0" r="0" b="0"/>
            <wp:docPr id="16" name="Picture 16" descr="Image of a triangle with four sections to depicting the system for protecton children.  From the bottom of the triangle up the sections are 1. Universal preventative initiatives to suport families and children. 2. Early intervention services targeted at vulnerable familes and childrens.  3. Targeted services and programs for at risk families and children. 4 or the top point of the triangle,   Statutory system.  State and territory governments, and non-gorvernment organisations cover all four sections, while the commonwealth government cover sections one, two and three. " title="Description of figur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0566" cy="2462397"/>
                    </a:xfrm>
                    <a:prstGeom prst="rect">
                      <a:avLst/>
                    </a:prstGeom>
                    <a:noFill/>
                    <a:ln>
                      <a:noFill/>
                    </a:ln>
                  </pic:spPr>
                </pic:pic>
              </a:graphicData>
            </a:graphic>
          </wp:inline>
        </w:drawing>
      </w:r>
      <w:bookmarkEnd w:id="27"/>
    </w:p>
    <w:p w14:paraId="46C6E135" w14:textId="77777777" w:rsidR="000F3EF8" w:rsidRDefault="000F3EF8" w:rsidP="000F3EF8">
      <w:pPr>
        <w:pStyle w:val="PwCNormal"/>
      </w:pPr>
      <w:r>
        <w:t>Ultimately, the aim of a public health approach is to reduce the occurrence of child abuse and neglect and to provide the most appropriate response to vulnerable families and those in which abuse or neglect has already occurred.</w:t>
      </w:r>
      <w:r>
        <w:rPr>
          <w:rStyle w:val="FootnoteReference"/>
        </w:rPr>
        <w:footnoteReference w:id="3"/>
      </w:r>
      <w:r>
        <w:t xml:space="preserve"> To this end, t</w:t>
      </w:r>
      <w:r w:rsidRPr="00A6651D">
        <w:t>he National Framework had a core</w:t>
      </w:r>
      <w:r>
        <w:t xml:space="preserve"> high level outcome</w:t>
      </w:r>
      <w:r w:rsidRPr="00A6651D">
        <w:t xml:space="preserve"> that ‘Australia’s children and young people are safe and well’</w:t>
      </w:r>
      <w:r>
        <w:t xml:space="preserve"> measured by a target of ‘a substantial and sustained reduction in child abuse and neglect in Australia over time’</w:t>
      </w:r>
      <w:r w:rsidRPr="00A6651D">
        <w:t>.</w:t>
      </w:r>
      <w:r>
        <w:rPr>
          <w:rStyle w:val="FootnoteReference"/>
        </w:rPr>
        <w:footnoteReference w:id="4"/>
      </w:r>
      <w:r w:rsidRPr="00A6651D">
        <w:t xml:space="preserve"> </w:t>
      </w:r>
    </w:p>
    <w:p w14:paraId="56BA7E6D" w14:textId="77777777" w:rsidR="000F3EF8" w:rsidRPr="00807A85" w:rsidRDefault="000F3EF8" w:rsidP="000F3EF8">
      <w:pPr>
        <w:pStyle w:val="PwCNormal"/>
      </w:pPr>
      <w:r>
        <w:t>To support delivery of its high</w:t>
      </w:r>
      <w:r w:rsidR="00D83447">
        <w:t>-</w:t>
      </w:r>
      <w:r>
        <w:t xml:space="preserve">level outcome, the Framework included six supporting outcomes: </w:t>
      </w:r>
    </w:p>
    <w:p w14:paraId="4B910313" w14:textId="77777777" w:rsidR="000F3EF8" w:rsidRDefault="000F3EF8" w:rsidP="00B95734">
      <w:pPr>
        <w:pStyle w:val="ChapterNumberedList1"/>
        <w:numPr>
          <w:ilvl w:val="7"/>
          <w:numId w:val="43"/>
        </w:numPr>
        <w:spacing w:line="280" w:lineRule="auto"/>
      </w:pPr>
      <w:r>
        <w:t>Children live in safe and supportive families and communities.</w:t>
      </w:r>
    </w:p>
    <w:p w14:paraId="152FC3D3" w14:textId="77777777" w:rsidR="000F3EF8" w:rsidRDefault="000F3EF8" w:rsidP="00B95734">
      <w:pPr>
        <w:pStyle w:val="ChapterNumberedList1"/>
        <w:numPr>
          <w:ilvl w:val="7"/>
          <w:numId w:val="43"/>
        </w:numPr>
        <w:spacing w:line="280" w:lineRule="auto"/>
      </w:pPr>
      <w:r>
        <w:t>Children and families access adequate support to promote safety and intervene early.</w:t>
      </w:r>
    </w:p>
    <w:p w14:paraId="647839E9" w14:textId="77777777" w:rsidR="000F3EF8" w:rsidRDefault="000F3EF8" w:rsidP="00B95734">
      <w:pPr>
        <w:pStyle w:val="ChapterNumberedList1"/>
        <w:numPr>
          <w:ilvl w:val="7"/>
          <w:numId w:val="43"/>
        </w:numPr>
        <w:spacing w:line="280" w:lineRule="auto"/>
      </w:pPr>
      <w:r>
        <w:t>Risk factors for child abuse and neglect are addressed.</w:t>
      </w:r>
    </w:p>
    <w:p w14:paraId="73528BB0" w14:textId="77777777" w:rsidR="000F3EF8" w:rsidRDefault="000F3EF8" w:rsidP="00B95734">
      <w:pPr>
        <w:pStyle w:val="ChapterNumberedList1"/>
        <w:numPr>
          <w:ilvl w:val="7"/>
          <w:numId w:val="43"/>
        </w:numPr>
        <w:spacing w:line="280" w:lineRule="auto"/>
      </w:pPr>
      <w:r>
        <w:lastRenderedPageBreak/>
        <w:t>Children who have been abused or neglected receive the support and care they need for their safety and wellbeing.</w:t>
      </w:r>
    </w:p>
    <w:p w14:paraId="40C5DC4B" w14:textId="77777777" w:rsidR="000F3EF8" w:rsidRDefault="000F3EF8" w:rsidP="00B95734">
      <w:pPr>
        <w:pStyle w:val="ChapterNumberedList1"/>
        <w:numPr>
          <w:ilvl w:val="7"/>
          <w:numId w:val="43"/>
        </w:numPr>
        <w:spacing w:line="280" w:lineRule="auto"/>
      </w:pPr>
      <w:r>
        <w:t>Indigenous children are supported and safe in their families and communities.</w:t>
      </w:r>
    </w:p>
    <w:p w14:paraId="01A0FEBE" w14:textId="77777777" w:rsidR="000F3EF8" w:rsidRPr="00A6651D" w:rsidRDefault="000F3EF8" w:rsidP="00B95734">
      <w:pPr>
        <w:pStyle w:val="ChapterNumberedList1"/>
        <w:numPr>
          <w:ilvl w:val="7"/>
          <w:numId w:val="43"/>
        </w:numPr>
        <w:spacing w:line="280" w:lineRule="auto"/>
      </w:pPr>
      <w:r>
        <w:t>Child sexual abuse and exploitation is prevented and survivors receive adequate support.</w:t>
      </w:r>
      <w:r>
        <w:rPr>
          <w:rStyle w:val="FootnoteReference"/>
        </w:rPr>
        <w:footnoteReference w:id="5"/>
      </w:r>
    </w:p>
    <w:p w14:paraId="18597C2B" w14:textId="77777777" w:rsidR="000F3EF8" w:rsidRDefault="000F3EF8" w:rsidP="000F3EF8">
      <w:pPr>
        <w:pStyle w:val="PwCNormal"/>
      </w:pPr>
      <w:r>
        <w:t xml:space="preserve">The National Framework has been implemented through </w:t>
      </w:r>
      <w:r w:rsidRPr="00A6651D">
        <w:t>four, three-year action plans which were developed and implemented sequentially over the</w:t>
      </w:r>
      <w:r>
        <w:t xml:space="preserve"> Framework’s</w:t>
      </w:r>
      <w:r w:rsidRPr="00A6651D">
        <w:t xml:space="preserve"> </w:t>
      </w:r>
      <w:r>
        <w:t>twelve</w:t>
      </w:r>
      <w:r w:rsidR="00D83447">
        <w:t>-</w:t>
      </w:r>
      <w:r w:rsidRPr="00A6651D">
        <w:t>year</w:t>
      </w:r>
      <w:r>
        <w:t xml:space="preserve"> timeframe</w:t>
      </w:r>
      <w:r w:rsidRPr="00A6651D">
        <w:t xml:space="preserve">. </w:t>
      </w:r>
      <w:r w:rsidRPr="00094A35">
        <w:t xml:space="preserve">Each action plan outlines key priorities or strategic focus areas and actions to be progressed over </w:t>
      </w:r>
      <w:r>
        <w:t>the three</w:t>
      </w:r>
      <w:r w:rsidRPr="00094A35">
        <w:t>-year period.</w:t>
      </w:r>
    </w:p>
    <w:p w14:paraId="3BFD397E" w14:textId="50D2BCB8" w:rsidR="000F3EF8" w:rsidRPr="00094A35" w:rsidRDefault="000F3EF8" w:rsidP="000F3EF8">
      <w:pPr>
        <w:pStyle w:val="PwCNormal"/>
      </w:pPr>
      <w:r w:rsidRPr="00094A35">
        <w:t xml:space="preserve">Monitoring of the Framework’s progress </w:t>
      </w:r>
      <w:r w:rsidR="00402031">
        <w:t xml:space="preserve">is </w:t>
      </w:r>
      <w:r w:rsidRPr="00094A35">
        <w:t xml:space="preserve">supported by the development of a set of 32 data indicators that are reported on annually by the Australian Institute of Health and Welfare (AIHW). </w:t>
      </w:r>
      <w:r w:rsidRPr="00F137BE">
        <w:t xml:space="preserve">Annual reports on the National Framework </w:t>
      </w:r>
      <w:r>
        <w:t xml:space="preserve">and its Action Plans </w:t>
      </w:r>
      <w:r w:rsidRPr="00F137BE">
        <w:t>are also available up until 2015-16.</w:t>
      </w:r>
      <w:r>
        <w:t xml:space="preserve"> </w:t>
      </w:r>
      <w:r w:rsidRPr="00094A35">
        <w:t xml:space="preserve">In addition, an earlier evaluation of the </w:t>
      </w:r>
      <w:r>
        <w:t xml:space="preserve">progress of the </w:t>
      </w:r>
      <w:r w:rsidRPr="00094A35">
        <w:t xml:space="preserve">National Framework was completed in 2015, which </w:t>
      </w:r>
      <w:r w:rsidR="00CC378A">
        <w:t>included</w:t>
      </w:r>
      <w:r w:rsidR="00CC378A" w:rsidRPr="00094A35">
        <w:t xml:space="preserve"> </w:t>
      </w:r>
      <w:r w:rsidRPr="00094A35">
        <w:t>the First and Second Action Plans.</w:t>
      </w:r>
      <w:r>
        <w:rPr>
          <w:rStyle w:val="FootnoteReference"/>
        </w:rPr>
        <w:footnoteReference w:id="6"/>
      </w:r>
    </w:p>
    <w:p w14:paraId="7C935AC4" w14:textId="547F488A" w:rsidR="000F3EF8" w:rsidRPr="00A6651D" w:rsidRDefault="000F3EF8" w:rsidP="000F3EF8">
      <w:pPr>
        <w:pStyle w:val="PwCNormal"/>
      </w:pPr>
      <w:r w:rsidRPr="00A6651D">
        <w:t>Now entering its final year of operation, it is timely to consider the effectiveness and appropriateness of the National Framework</w:t>
      </w:r>
      <w:r>
        <w:t xml:space="preserve"> in order to inform its next phase</w:t>
      </w:r>
      <w:r w:rsidRPr="00A6651D">
        <w:t xml:space="preserve">. </w:t>
      </w:r>
      <w:r>
        <w:t xml:space="preserve">It is in this context that the Department of Social Services (DSS) commissioned PwC and PwC’s Indigenous Consulting (PIC) to evaluate the National Framework and its Third and Fourth Action Plans. </w:t>
      </w:r>
      <w:r w:rsidRPr="00A6651D">
        <w:t>Th</w:t>
      </w:r>
      <w:r>
        <w:t>e objectives of th</w:t>
      </w:r>
      <w:r w:rsidR="00402031">
        <w:t>is</w:t>
      </w:r>
      <w:r>
        <w:t xml:space="preserve"> </w:t>
      </w:r>
      <w:r w:rsidRPr="00A6651D">
        <w:t xml:space="preserve">evaluation </w:t>
      </w:r>
      <w:r>
        <w:t>were to</w:t>
      </w:r>
      <w:r w:rsidRPr="00A6651D">
        <w:t xml:space="preserve">: </w:t>
      </w:r>
    </w:p>
    <w:p w14:paraId="3C0E1E5E" w14:textId="5393AF9A" w:rsidR="000F3EF8" w:rsidRDefault="000F3EF8" w:rsidP="00B95734">
      <w:pPr>
        <w:pStyle w:val="PwCNormal"/>
        <w:numPr>
          <w:ilvl w:val="0"/>
          <w:numId w:val="55"/>
        </w:numPr>
        <w:ind w:left="284" w:hanging="284"/>
      </w:pPr>
      <w:r w:rsidRPr="00A6651D">
        <w:t xml:space="preserve">assess the National Framework in terms of implementation and outcomes achieved, taking a particular focus on the actions and outcomes achieved under the Third and Fourth Action Plans of the </w:t>
      </w:r>
      <w:r w:rsidR="000635B0">
        <w:t xml:space="preserve">National </w:t>
      </w:r>
      <w:r w:rsidRPr="00A6651D">
        <w:t xml:space="preserve">Framework </w:t>
      </w:r>
    </w:p>
    <w:p w14:paraId="04AFDE15" w14:textId="77777777" w:rsidR="000F3EF8" w:rsidRPr="00A6651D" w:rsidRDefault="000F3EF8" w:rsidP="00B95734">
      <w:pPr>
        <w:pStyle w:val="PwCNormal"/>
        <w:numPr>
          <w:ilvl w:val="0"/>
          <w:numId w:val="55"/>
        </w:numPr>
        <w:ind w:left="284" w:hanging="284"/>
      </w:pPr>
      <w:r w:rsidRPr="00A6651D">
        <w:t>assess the effectiveness of the overarching framework, including its governance arrangements and the broad implementation of the action plans</w:t>
      </w:r>
    </w:p>
    <w:p w14:paraId="69E78E9D" w14:textId="77777777" w:rsidR="000F3EF8" w:rsidRDefault="000F3EF8" w:rsidP="00B95734">
      <w:pPr>
        <w:pStyle w:val="PwCNormal"/>
        <w:numPr>
          <w:ilvl w:val="0"/>
          <w:numId w:val="55"/>
        </w:numPr>
        <w:ind w:left="284" w:hanging="284"/>
      </w:pPr>
      <w:r w:rsidRPr="00A6651D">
        <w:t xml:space="preserve">in particular, assess how the National Framework has coordinated effort across governments and the non-government sector and reduced the prevalence of child abuse and neglect. </w:t>
      </w:r>
    </w:p>
    <w:p w14:paraId="4FB71573" w14:textId="521C79B0" w:rsidR="004B0AF5" w:rsidRDefault="000F3EF8" w:rsidP="000F3EF8">
      <w:pPr>
        <w:spacing w:before="240" w:after="120" w:line="280" w:lineRule="auto"/>
        <w:rPr>
          <w:rFonts w:ascii="Arial" w:hAnsi="Arial"/>
        </w:rPr>
      </w:pPr>
      <w:r>
        <w:rPr>
          <w:rFonts w:ascii="Arial" w:hAnsi="Arial"/>
        </w:rPr>
        <w:t>A combination of quantitative and qualitative methods were used to gather evidence to</w:t>
      </w:r>
      <w:r w:rsidR="004B0AF5">
        <w:rPr>
          <w:rFonts w:ascii="Arial" w:hAnsi="Arial"/>
        </w:rPr>
        <w:t xml:space="preserve"> undertake this evaluation, including a comprehensive consultation program with 49 semi-structured interviews and focus groups, and analysis of publicly available and internal reports.</w:t>
      </w:r>
    </w:p>
    <w:p w14:paraId="2196B0A4" w14:textId="21B838FA" w:rsidR="000F3EF8" w:rsidRPr="00B539F9" w:rsidRDefault="004B0AF5" w:rsidP="000F3EF8">
      <w:pPr>
        <w:spacing w:before="240" w:after="120" w:line="280" w:lineRule="auto"/>
        <w:rPr>
          <w:rFonts w:ascii="Arial" w:hAnsi="Arial"/>
        </w:rPr>
      </w:pPr>
      <w:r>
        <w:rPr>
          <w:rFonts w:ascii="Arial" w:hAnsi="Arial"/>
        </w:rPr>
        <w:t xml:space="preserve">While best efforts were made to solicit feedback and evidence evaluation questions, a number of limitations exist, including that: </w:t>
      </w:r>
    </w:p>
    <w:p w14:paraId="2D0346A4" w14:textId="48341DE0" w:rsidR="000F3EF8" w:rsidRDefault="004B0AF5" w:rsidP="00B95734">
      <w:pPr>
        <w:pStyle w:val="ListParagraph"/>
        <w:numPr>
          <w:ilvl w:val="0"/>
          <w:numId w:val="57"/>
        </w:numPr>
        <w:spacing w:before="120" w:after="120"/>
        <w:ind w:left="714" w:hanging="357"/>
        <w:contextualSpacing w:val="0"/>
        <w:rPr>
          <w:rFonts w:ascii="Arial" w:hAnsi="Arial"/>
          <w:szCs w:val="18"/>
        </w:rPr>
      </w:pPr>
      <w:r>
        <w:rPr>
          <w:rFonts w:ascii="Arial" w:hAnsi="Arial"/>
          <w:szCs w:val="18"/>
        </w:rPr>
        <w:t>t</w:t>
      </w:r>
      <w:r w:rsidR="00E73712">
        <w:rPr>
          <w:rFonts w:ascii="Arial" w:hAnsi="Arial"/>
          <w:szCs w:val="18"/>
        </w:rPr>
        <w:t>h</w:t>
      </w:r>
      <w:r w:rsidR="00301469">
        <w:rPr>
          <w:rFonts w:ascii="Arial" w:hAnsi="Arial"/>
          <w:szCs w:val="18"/>
        </w:rPr>
        <w:t xml:space="preserve">e nature of outcomes </w:t>
      </w:r>
      <w:r>
        <w:rPr>
          <w:rFonts w:ascii="Arial" w:hAnsi="Arial"/>
          <w:szCs w:val="18"/>
        </w:rPr>
        <w:t xml:space="preserve">and specific actions </w:t>
      </w:r>
      <w:r w:rsidR="000F3EF8">
        <w:rPr>
          <w:rFonts w:ascii="Arial" w:hAnsi="Arial"/>
          <w:szCs w:val="18"/>
        </w:rPr>
        <w:t>makes it challenging to attribute outcomes specifically to the National Framework</w:t>
      </w:r>
      <w:r w:rsidR="00402031">
        <w:rPr>
          <w:rFonts w:ascii="Arial" w:hAnsi="Arial"/>
          <w:szCs w:val="18"/>
        </w:rPr>
        <w:t>.</w:t>
      </w:r>
      <w:r w:rsidR="000F3EF8">
        <w:rPr>
          <w:rFonts w:ascii="Arial" w:hAnsi="Arial"/>
          <w:szCs w:val="18"/>
        </w:rPr>
        <w:t xml:space="preserve"> </w:t>
      </w:r>
    </w:p>
    <w:p w14:paraId="71B9CADB" w14:textId="7CBCEB4C" w:rsidR="000F3EF8" w:rsidRPr="0014720B" w:rsidRDefault="000F3EF8" w:rsidP="00B95734">
      <w:pPr>
        <w:pStyle w:val="ListParagraph"/>
        <w:numPr>
          <w:ilvl w:val="0"/>
          <w:numId w:val="57"/>
        </w:numPr>
        <w:spacing w:before="120" w:after="120"/>
        <w:ind w:left="714" w:hanging="357"/>
        <w:contextualSpacing w:val="0"/>
        <w:rPr>
          <w:rFonts w:ascii="Arial" w:hAnsi="Arial"/>
          <w:szCs w:val="18"/>
        </w:rPr>
      </w:pPr>
      <w:r>
        <w:rPr>
          <w:rFonts w:ascii="Arial" w:hAnsi="Arial"/>
          <w:szCs w:val="18"/>
        </w:rPr>
        <w:t xml:space="preserve">the National Framework </w:t>
      </w:r>
      <w:r w:rsidR="004B0AF5">
        <w:rPr>
          <w:rFonts w:ascii="Arial" w:hAnsi="Arial"/>
          <w:szCs w:val="18"/>
        </w:rPr>
        <w:t xml:space="preserve">was not supported by </w:t>
      </w:r>
      <w:r w:rsidR="006579EA">
        <w:rPr>
          <w:rFonts w:ascii="Arial" w:hAnsi="Arial"/>
          <w:szCs w:val="18"/>
        </w:rPr>
        <w:t>a</w:t>
      </w:r>
      <w:r w:rsidR="004B0AF5">
        <w:rPr>
          <w:rFonts w:ascii="Arial" w:hAnsi="Arial"/>
          <w:szCs w:val="18"/>
        </w:rPr>
        <w:t xml:space="preserve"> robust logic model or </w:t>
      </w:r>
      <w:r w:rsidR="006579EA">
        <w:rPr>
          <w:rFonts w:ascii="Arial" w:hAnsi="Arial"/>
          <w:szCs w:val="18"/>
        </w:rPr>
        <w:t xml:space="preserve">evaluation framework </w:t>
      </w:r>
      <w:r w:rsidR="004B0AF5">
        <w:rPr>
          <w:rFonts w:ascii="Arial" w:hAnsi="Arial"/>
          <w:szCs w:val="18"/>
        </w:rPr>
        <w:t xml:space="preserve">which limited its </w:t>
      </w:r>
      <w:r w:rsidR="006579EA">
        <w:rPr>
          <w:rFonts w:ascii="Arial" w:hAnsi="Arial"/>
          <w:szCs w:val="18"/>
        </w:rPr>
        <w:t xml:space="preserve">ability to measure its effectiveness. </w:t>
      </w:r>
    </w:p>
    <w:p w14:paraId="7FA8261F" w14:textId="70C0688B" w:rsidR="000F3EF8" w:rsidRPr="00FE19BE" w:rsidRDefault="00E73712" w:rsidP="00B95734">
      <w:pPr>
        <w:pStyle w:val="ListParagraph"/>
        <w:numPr>
          <w:ilvl w:val="0"/>
          <w:numId w:val="57"/>
        </w:numPr>
        <w:spacing w:before="120" w:after="120"/>
        <w:ind w:left="714" w:hanging="357"/>
        <w:contextualSpacing w:val="0"/>
        <w:rPr>
          <w:rFonts w:ascii="Arial" w:hAnsi="Arial"/>
          <w:szCs w:val="18"/>
        </w:rPr>
      </w:pPr>
      <w:r>
        <w:rPr>
          <w:rFonts w:ascii="Arial" w:hAnsi="Arial"/>
          <w:szCs w:val="18"/>
        </w:rPr>
        <w:t>s</w:t>
      </w:r>
      <w:r w:rsidR="004B0AF5" w:rsidRPr="008552A8">
        <w:rPr>
          <w:rFonts w:ascii="Arial" w:hAnsi="Arial"/>
          <w:szCs w:val="18"/>
        </w:rPr>
        <w:t>ignificant time has elapsed since the early activities of the National Frame</w:t>
      </w:r>
      <w:r>
        <w:rPr>
          <w:rFonts w:ascii="Arial" w:hAnsi="Arial"/>
          <w:szCs w:val="18"/>
        </w:rPr>
        <w:t>wo</w:t>
      </w:r>
      <w:r w:rsidR="004B0AF5" w:rsidRPr="008552A8">
        <w:rPr>
          <w:rFonts w:ascii="Arial" w:hAnsi="Arial"/>
          <w:szCs w:val="18"/>
        </w:rPr>
        <w:t>rk, which limited stakeholder input and commentary</w:t>
      </w:r>
    </w:p>
    <w:p w14:paraId="468CBFD3" w14:textId="5C8A94AE" w:rsidR="000F3EF8" w:rsidRPr="00FE19BE" w:rsidRDefault="00302B41" w:rsidP="00B95734">
      <w:pPr>
        <w:pStyle w:val="ListParagraph"/>
        <w:numPr>
          <w:ilvl w:val="0"/>
          <w:numId w:val="57"/>
        </w:numPr>
        <w:spacing w:before="120" w:after="120"/>
        <w:ind w:left="714" w:hanging="357"/>
        <w:contextualSpacing w:val="0"/>
        <w:rPr>
          <w:rFonts w:ascii="Arial" w:hAnsi="Arial"/>
          <w:szCs w:val="18"/>
        </w:rPr>
      </w:pPr>
      <w:r>
        <w:rPr>
          <w:rFonts w:ascii="Arial" w:hAnsi="Arial"/>
          <w:szCs w:val="18"/>
        </w:rPr>
        <w:t>t</w:t>
      </w:r>
      <w:r w:rsidR="000F0EDA">
        <w:rPr>
          <w:rFonts w:ascii="Arial" w:hAnsi="Arial"/>
          <w:szCs w:val="18"/>
        </w:rPr>
        <w:t xml:space="preserve">he </w:t>
      </w:r>
      <w:r w:rsidR="000F3EF8" w:rsidRPr="00FE19BE">
        <w:rPr>
          <w:rFonts w:ascii="Arial" w:hAnsi="Arial"/>
          <w:szCs w:val="18"/>
        </w:rPr>
        <w:t>lack of a prevalence study</w:t>
      </w:r>
      <w:r w:rsidR="000F0EDA">
        <w:rPr>
          <w:rFonts w:ascii="Arial" w:hAnsi="Arial"/>
          <w:szCs w:val="18"/>
        </w:rPr>
        <w:t xml:space="preserve"> of child abuse and neglect </w:t>
      </w:r>
      <w:r>
        <w:rPr>
          <w:rFonts w:ascii="Arial" w:hAnsi="Arial"/>
          <w:szCs w:val="18"/>
        </w:rPr>
        <w:t xml:space="preserve">impacted the </w:t>
      </w:r>
      <w:r w:rsidR="000F0EDA">
        <w:rPr>
          <w:rFonts w:ascii="Arial" w:hAnsi="Arial"/>
          <w:szCs w:val="18"/>
        </w:rPr>
        <w:t xml:space="preserve">ability to </w:t>
      </w:r>
      <w:r w:rsidR="000F3EF8">
        <w:rPr>
          <w:rFonts w:ascii="Arial" w:hAnsi="Arial"/>
          <w:szCs w:val="18"/>
        </w:rPr>
        <w:t xml:space="preserve">make conclusive </w:t>
      </w:r>
      <w:r>
        <w:rPr>
          <w:rFonts w:ascii="Arial" w:hAnsi="Arial"/>
          <w:szCs w:val="18"/>
        </w:rPr>
        <w:t xml:space="preserve">evaluation </w:t>
      </w:r>
      <w:r w:rsidR="000F3EF8">
        <w:rPr>
          <w:rFonts w:ascii="Arial" w:hAnsi="Arial"/>
          <w:szCs w:val="18"/>
        </w:rPr>
        <w:t>findings</w:t>
      </w:r>
      <w:r>
        <w:rPr>
          <w:rFonts w:ascii="Arial" w:hAnsi="Arial"/>
          <w:szCs w:val="18"/>
        </w:rPr>
        <w:t>.</w:t>
      </w:r>
      <w:r w:rsidR="000F3EF8">
        <w:rPr>
          <w:rFonts w:ascii="Arial" w:hAnsi="Arial"/>
          <w:szCs w:val="18"/>
        </w:rPr>
        <w:t xml:space="preserve"> </w:t>
      </w:r>
    </w:p>
    <w:p w14:paraId="20A7DB58" w14:textId="77777777" w:rsidR="000F3EF8" w:rsidRDefault="000F3EF8" w:rsidP="000F3EF8">
      <w:pPr>
        <w:spacing w:before="240" w:after="120" w:line="280" w:lineRule="auto"/>
        <w:rPr>
          <w:b/>
          <w:bCs/>
          <w:color w:val="D04A02" w:themeColor="accent1"/>
        </w:rPr>
      </w:pPr>
      <w:r>
        <w:rPr>
          <w:b/>
          <w:bCs/>
          <w:color w:val="D04A02" w:themeColor="accent1"/>
        </w:rPr>
        <w:t xml:space="preserve">Key evaluation findings </w:t>
      </w:r>
    </w:p>
    <w:p w14:paraId="629682B4" w14:textId="43A87855" w:rsidR="000F3EF8" w:rsidRDefault="000A32C2" w:rsidP="000F3EF8">
      <w:pPr>
        <w:pStyle w:val="PwCNormal"/>
        <w:numPr>
          <w:ilvl w:val="0"/>
          <w:numId w:val="0"/>
        </w:numPr>
        <w:rPr>
          <w:color w:val="auto"/>
        </w:rPr>
      </w:pPr>
      <w:r>
        <w:rPr>
          <w:color w:val="auto"/>
        </w:rPr>
        <w:t>A number of key evaluation findings have been identified b</w:t>
      </w:r>
      <w:r w:rsidR="000F3EF8">
        <w:rPr>
          <w:color w:val="auto"/>
        </w:rPr>
        <w:t>ased on the evidence collected and analysed through this evaluation</w:t>
      </w:r>
      <w:r>
        <w:rPr>
          <w:color w:val="auto"/>
        </w:rPr>
        <w:t>.</w:t>
      </w:r>
      <w:r w:rsidR="000F3EF8">
        <w:rPr>
          <w:color w:val="auto"/>
        </w:rPr>
        <w:t xml:space="preserve"> </w:t>
      </w:r>
    </w:p>
    <w:p w14:paraId="43211506" w14:textId="77777777" w:rsidR="000F3EF8" w:rsidRPr="0020704F" w:rsidRDefault="000F3EF8" w:rsidP="000F3EF8">
      <w:pPr>
        <w:pStyle w:val="PwCNormal"/>
        <w:numPr>
          <w:ilvl w:val="0"/>
          <w:numId w:val="0"/>
        </w:numPr>
        <w:rPr>
          <w:b/>
          <w:bCs/>
          <w:color w:val="auto"/>
        </w:rPr>
      </w:pPr>
      <w:r>
        <w:rPr>
          <w:b/>
          <w:bCs/>
          <w:color w:val="auto"/>
        </w:rPr>
        <w:lastRenderedPageBreak/>
        <w:t xml:space="preserve">The National Framework has been an important mechanism for national collaboration on protecting Australia’s children and reducing child abuse and neglect </w:t>
      </w:r>
    </w:p>
    <w:p w14:paraId="673054A7" w14:textId="452C5F06" w:rsidR="000F3EF8" w:rsidRPr="00A6651D" w:rsidRDefault="000F3EF8" w:rsidP="000F3EF8">
      <w:pPr>
        <w:pStyle w:val="PwCNormal"/>
      </w:pPr>
      <w:r w:rsidRPr="00A6651D">
        <w:t xml:space="preserve">The National Framework </w:t>
      </w:r>
      <w:r>
        <w:t>recogni</w:t>
      </w:r>
      <w:r w:rsidR="005E65B4">
        <w:t>sed</w:t>
      </w:r>
      <w:r w:rsidRPr="00A6651D">
        <w:t xml:space="preserve"> that significant reform was needed to </w:t>
      </w:r>
      <w:r>
        <w:t xml:space="preserve">reduce </w:t>
      </w:r>
      <w:r w:rsidRPr="00A6651D">
        <w:t xml:space="preserve">the growing rates of child abuse and neglect in Australia. At the time of its conception, there was an almost universal view that the scale of the challenge </w:t>
      </w:r>
      <w:r w:rsidR="005E65B4">
        <w:t xml:space="preserve">to reduce child abuse and neglect </w:t>
      </w:r>
      <w:r w:rsidRPr="00A6651D">
        <w:t xml:space="preserve">required a long-term, strategic approach that coordinated the activities of government, non-government and research sectors. </w:t>
      </w:r>
      <w:r w:rsidR="000A32C2">
        <w:t xml:space="preserve">The Framework has successfully delivered a national strategy that has enabled a national conversation to be had, an elevated the priority of children’s safety and wellbeing among governments. Its tripartite governance structure has fostered collaboration and built trust among jurisdictions, peak bodies and the service sector. </w:t>
      </w:r>
    </w:p>
    <w:p w14:paraId="38DA573E" w14:textId="39B57899" w:rsidR="0054082B" w:rsidRDefault="000A32C2" w:rsidP="000F3EF8">
      <w:pPr>
        <w:pStyle w:val="PwCNormal"/>
      </w:pPr>
      <w:r>
        <w:t xml:space="preserve">Key initiatives by the National Framework include: </w:t>
      </w:r>
    </w:p>
    <w:p w14:paraId="2B51B6F9" w14:textId="2AC44044" w:rsidR="0054082B" w:rsidRPr="0054082B" w:rsidRDefault="0054082B" w:rsidP="00B95734">
      <w:pPr>
        <w:pStyle w:val="ListParagraph"/>
        <w:numPr>
          <w:ilvl w:val="0"/>
          <w:numId w:val="54"/>
        </w:numPr>
        <w:rPr>
          <w:color w:val="000000" w:themeColor="text1"/>
        </w:rPr>
      </w:pPr>
      <w:r w:rsidRPr="0054082B">
        <w:rPr>
          <w:color w:val="000000" w:themeColor="text1"/>
        </w:rPr>
        <w:t xml:space="preserve">the implementation of the National Principles for Child Safe Organisations which were recommended by the Royal Commission into Institutional responses to Child Sexual Abuse and </w:t>
      </w:r>
      <w:r w:rsidR="00B7271A">
        <w:rPr>
          <w:color w:val="000000" w:themeColor="text1"/>
        </w:rPr>
        <w:t>developed</w:t>
      </w:r>
      <w:r w:rsidR="00B7271A" w:rsidRPr="0054082B">
        <w:rPr>
          <w:color w:val="000000" w:themeColor="text1"/>
        </w:rPr>
        <w:t xml:space="preserve"> </w:t>
      </w:r>
      <w:r w:rsidRPr="0054082B">
        <w:rPr>
          <w:color w:val="000000" w:themeColor="text1"/>
        </w:rPr>
        <w:t xml:space="preserve">through the Third Action Plan. </w:t>
      </w:r>
    </w:p>
    <w:p w14:paraId="78E532F0" w14:textId="5F5C00CD" w:rsidR="00A9004E" w:rsidRDefault="00A9004E" w:rsidP="00B95734">
      <w:pPr>
        <w:pStyle w:val="ListParagraph"/>
        <w:numPr>
          <w:ilvl w:val="0"/>
          <w:numId w:val="54"/>
        </w:numPr>
        <w:rPr>
          <w:color w:val="000000" w:themeColor="text1"/>
        </w:rPr>
      </w:pPr>
      <w:r w:rsidRPr="00A9004E">
        <w:rPr>
          <w:color w:val="000000" w:themeColor="text1"/>
        </w:rPr>
        <w:t>the support that the National Forum</w:t>
      </w:r>
      <w:r w:rsidR="00A42E8B">
        <w:rPr>
          <w:color w:val="000000" w:themeColor="text1"/>
        </w:rPr>
        <w:t xml:space="preserve"> and the Aboriginal and Torres Strait Islander Working Group</w:t>
      </w:r>
      <w:r w:rsidR="003557B2">
        <w:rPr>
          <w:color w:val="000000" w:themeColor="text1"/>
        </w:rPr>
        <w:t xml:space="preserve"> (ATSI WG)</w:t>
      </w:r>
      <w:r w:rsidRPr="00A9004E">
        <w:rPr>
          <w:color w:val="000000" w:themeColor="text1"/>
        </w:rPr>
        <w:t xml:space="preserve"> has provided for more comprehensive implementation of the</w:t>
      </w:r>
      <w:r>
        <w:rPr>
          <w:color w:val="000000" w:themeColor="text1"/>
        </w:rPr>
        <w:t xml:space="preserve"> </w:t>
      </w:r>
      <w:r w:rsidRPr="00A6651D">
        <w:t>Aboriginal and Torres Strait Islander Child Placement Principles (ATSICPP)</w:t>
      </w:r>
      <w:r w:rsidR="006B4719">
        <w:t xml:space="preserve"> through the Fourth Action Plan</w:t>
      </w:r>
      <w:r w:rsidRPr="00A9004E">
        <w:rPr>
          <w:color w:val="000000" w:themeColor="text1"/>
        </w:rPr>
        <w:t xml:space="preserve">. </w:t>
      </w:r>
    </w:p>
    <w:p w14:paraId="308A89C8" w14:textId="6FC3E141" w:rsidR="000F3EF8" w:rsidRPr="00112795" w:rsidRDefault="00C26361" w:rsidP="00B95734">
      <w:pPr>
        <w:pStyle w:val="PwCNormal"/>
        <w:numPr>
          <w:ilvl w:val="0"/>
          <w:numId w:val="51"/>
        </w:numPr>
        <w:spacing w:line="280" w:lineRule="auto"/>
        <w:rPr>
          <w:b/>
          <w:bCs/>
          <w:color w:val="auto"/>
        </w:rPr>
      </w:pPr>
      <w:r>
        <w:rPr>
          <w:b/>
          <w:bCs/>
          <w:color w:val="auto"/>
        </w:rPr>
        <w:t>In 2009, t</w:t>
      </w:r>
      <w:r w:rsidR="009E4334">
        <w:rPr>
          <w:b/>
          <w:bCs/>
          <w:color w:val="auto"/>
        </w:rPr>
        <w:t xml:space="preserve">he National Framework’s </w:t>
      </w:r>
      <w:r w:rsidR="000F3EF8" w:rsidRPr="00112795">
        <w:rPr>
          <w:b/>
          <w:bCs/>
          <w:color w:val="auto"/>
        </w:rPr>
        <w:t>outcome of a</w:t>
      </w:r>
      <w:r w:rsidR="00A42E8B">
        <w:rPr>
          <w:b/>
          <w:bCs/>
          <w:color w:val="auto"/>
        </w:rPr>
        <w:t>chieving a</w:t>
      </w:r>
      <w:r w:rsidR="000F3EF8" w:rsidRPr="00112795">
        <w:rPr>
          <w:b/>
          <w:bCs/>
          <w:color w:val="auto"/>
        </w:rPr>
        <w:t xml:space="preserve"> substantial and sustained reduction in child abuse and neglect</w:t>
      </w:r>
      <w:r w:rsidR="009E4334">
        <w:rPr>
          <w:b/>
          <w:bCs/>
          <w:color w:val="auto"/>
        </w:rPr>
        <w:t xml:space="preserve"> </w:t>
      </w:r>
      <w:r w:rsidR="008B22C7">
        <w:rPr>
          <w:b/>
          <w:bCs/>
          <w:color w:val="auto"/>
        </w:rPr>
        <w:t>represented a</w:t>
      </w:r>
      <w:r w:rsidR="004D23CD">
        <w:rPr>
          <w:b/>
          <w:bCs/>
          <w:color w:val="auto"/>
        </w:rPr>
        <w:t xml:space="preserve"> significant challenge</w:t>
      </w:r>
      <w:r w:rsidR="008B22C7">
        <w:rPr>
          <w:b/>
          <w:bCs/>
          <w:color w:val="auto"/>
        </w:rPr>
        <w:t xml:space="preserve"> for the National Framework</w:t>
      </w:r>
      <w:r>
        <w:rPr>
          <w:b/>
          <w:bCs/>
          <w:color w:val="auto"/>
        </w:rPr>
        <w:t xml:space="preserve">. </w:t>
      </w:r>
      <w:r w:rsidR="008B22C7">
        <w:rPr>
          <w:b/>
          <w:bCs/>
          <w:color w:val="auto"/>
        </w:rPr>
        <w:t>In 2020, twelve years on, t</w:t>
      </w:r>
      <w:r>
        <w:rPr>
          <w:b/>
          <w:bCs/>
          <w:color w:val="auto"/>
        </w:rPr>
        <w:t xml:space="preserve">his outcome </w:t>
      </w:r>
      <w:r w:rsidR="009E4334">
        <w:rPr>
          <w:b/>
          <w:bCs/>
          <w:color w:val="auto"/>
        </w:rPr>
        <w:t xml:space="preserve">remains </w:t>
      </w:r>
      <w:r w:rsidR="004D23CD">
        <w:rPr>
          <w:b/>
          <w:bCs/>
          <w:color w:val="auto"/>
        </w:rPr>
        <w:t>a significant challenge</w:t>
      </w:r>
      <w:r>
        <w:rPr>
          <w:b/>
          <w:bCs/>
          <w:color w:val="auto"/>
        </w:rPr>
        <w:t xml:space="preserve"> for Australia</w:t>
      </w:r>
      <w:r w:rsidR="004D23CD">
        <w:rPr>
          <w:b/>
          <w:bCs/>
          <w:color w:val="auto"/>
        </w:rPr>
        <w:t>.</w:t>
      </w:r>
    </w:p>
    <w:p w14:paraId="03D3873C" w14:textId="26B8DBA0" w:rsidR="000F3EF8" w:rsidRDefault="000F3EF8" w:rsidP="000F3EF8">
      <w:pPr>
        <w:pStyle w:val="PwCNormal"/>
        <w:numPr>
          <w:ilvl w:val="0"/>
          <w:numId w:val="0"/>
        </w:numPr>
      </w:pPr>
      <w:r>
        <w:t>The National Framework itself highlighted that ‘measuring a reduction in child abuse and neglect is difficult, as Australia does not have robust data on incidence/prevalence’.</w:t>
      </w:r>
      <w:r w:rsidRPr="00AC3460">
        <w:rPr>
          <w:rStyle w:val="FootnoteReference"/>
          <w:rFonts w:eastAsiaTheme="majorEastAsia"/>
        </w:rPr>
        <w:footnoteReference w:id="7"/>
      </w:r>
      <w:r>
        <w:t xml:space="preserve"> </w:t>
      </w:r>
      <w:r w:rsidR="00A42E8B">
        <w:t xml:space="preserve">The </w:t>
      </w:r>
      <w:r w:rsidR="00414067">
        <w:t xml:space="preserve">absence of a </w:t>
      </w:r>
      <w:r>
        <w:t xml:space="preserve">robust, national prevalence/incidence study </w:t>
      </w:r>
      <w:r w:rsidR="00A42E8B">
        <w:t xml:space="preserve">in 2009 at the inception of the National Framework </w:t>
      </w:r>
      <w:r w:rsidR="00414067">
        <w:t xml:space="preserve">prevented measurement of </w:t>
      </w:r>
      <w:r>
        <w:t xml:space="preserve">progress against this outcome. </w:t>
      </w:r>
      <w:r w:rsidR="00702C0C">
        <w:t>However, t</w:t>
      </w:r>
      <w:r>
        <w:t>he Framework’s 32 data indicators (reported on by the Australian Institute of Health and Wel</w:t>
      </w:r>
      <w:r w:rsidR="00414067">
        <w:t>fare</w:t>
      </w:r>
      <w:r>
        <w:rPr>
          <w:rStyle w:val="FootnoteReference"/>
          <w:rFonts w:eastAsiaTheme="majorEastAsia"/>
        </w:rPr>
        <w:footnoteReference w:id="8"/>
      </w:r>
      <w:r>
        <w:t xml:space="preserve">) provide </w:t>
      </w:r>
      <w:r w:rsidR="00414067">
        <w:t xml:space="preserve">an indication of </w:t>
      </w:r>
      <w:r w:rsidR="00702C0C">
        <w:t xml:space="preserve">progress; </w:t>
      </w:r>
      <w:r w:rsidRPr="008A32E8">
        <w:t>Eight of the 32 indicators relate to the high</w:t>
      </w:r>
      <w:r w:rsidR="000C5717">
        <w:t>-</w:t>
      </w:r>
      <w:r w:rsidRPr="008A32E8">
        <w:t>level outcome of a substantial and sustained reduction in child abuse and neglect</w:t>
      </w:r>
      <w:r w:rsidR="00702C0C">
        <w:t xml:space="preserve">, and of these, </w:t>
      </w:r>
      <w:r>
        <w:t>three have worsened</w:t>
      </w:r>
      <w:r w:rsidR="00702C0C">
        <w:t>, two have remained steady and two have improved</w:t>
      </w:r>
      <w:r>
        <w:t xml:space="preserve"> over the life of the Framework</w:t>
      </w:r>
      <w:r w:rsidR="00702C0C">
        <w:t>. O</w:t>
      </w:r>
      <w:r>
        <w:t>ne does not have sufficient time</w:t>
      </w:r>
      <w:r w:rsidR="005B6A2C">
        <w:t xml:space="preserve"> </w:t>
      </w:r>
      <w:r>
        <w:t xml:space="preserve">series data to report on. </w:t>
      </w:r>
    </w:p>
    <w:p w14:paraId="7F396B9E" w14:textId="73E9D307" w:rsidR="000F3EF8" w:rsidRDefault="00702C0C" w:rsidP="000F3EF8">
      <w:pPr>
        <w:pStyle w:val="PwCNormal"/>
        <w:numPr>
          <w:ilvl w:val="0"/>
          <w:numId w:val="0"/>
        </w:numPr>
      </w:pPr>
      <w:r>
        <w:t xml:space="preserve">Significant </w:t>
      </w:r>
      <w:r w:rsidR="000F3EF8">
        <w:t xml:space="preserve">gaps </w:t>
      </w:r>
      <w:r w:rsidR="004746D2">
        <w:t xml:space="preserve">exist </w:t>
      </w:r>
      <w:r w:rsidR="000F3EF8">
        <w:t xml:space="preserve">in the reporting of data </w:t>
      </w:r>
      <w:r>
        <w:t xml:space="preserve">meaning that </w:t>
      </w:r>
      <w:r w:rsidR="000F3EF8">
        <w:t xml:space="preserve">the National Framework’s </w:t>
      </w:r>
      <w:r>
        <w:t xml:space="preserve">high-level objective to </w:t>
      </w:r>
      <w:r w:rsidR="004746D2">
        <w:t>reduce child abuse and neglect</w:t>
      </w:r>
      <w:r>
        <w:t xml:space="preserve"> cannot be tracked or measured meaningfully</w:t>
      </w:r>
      <w:r w:rsidR="000F3EF8">
        <w:t xml:space="preserve">. </w:t>
      </w:r>
    </w:p>
    <w:p w14:paraId="58E293CB" w14:textId="3C362857" w:rsidR="000F3EF8" w:rsidRPr="00CC3434" w:rsidRDefault="00C26361" w:rsidP="00304ABE">
      <w:pPr>
        <w:pStyle w:val="PwCNormal"/>
        <w:rPr>
          <w:b/>
          <w:bCs/>
          <w:color w:val="auto"/>
        </w:rPr>
      </w:pPr>
      <w:r w:rsidRPr="00CC3434">
        <w:rPr>
          <w:b/>
          <w:bCs/>
          <w:color w:val="auto"/>
        </w:rPr>
        <w:t xml:space="preserve">The governance arrangements of </w:t>
      </w:r>
      <w:r w:rsidR="000F3EF8" w:rsidRPr="00CC3434">
        <w:rPr>
          <w:b/>
          <w:bCs/>
          <w:color w:val="auto"/>
        </w:rPr>
        <w:t xml:space="preserve">the National Framework and the Third and Fourth Action Plans </w:t>
      </w:r>
      <w:r w:rsidRPr="00CC3434">
        <w:rPr>
          <w:b/>
          <w:bCs/>
          <w:color w:val="auto"/>
        </w:rPr>
        <w:t xml:space="preserve">evolved over time in response to </w:t>
      </w:r>
      <w:r w:rsidR="003461C8" w:rsidRPr="00CC3434">
        <w:rPr>
          <w:b/>
          <w:bCs/>
          <w:color w:val="auto"/>
        </w:rPr>
        <w:t xml:space="preserve">feedback from stakeholders and </w:t>
      </w:r>
      <w:r w:rsidR="00304ABE" w:rsidRPr="00304ABE">
        <w:rPr>
          <w:b/>
          <w:bCs/>
          <w:color w:val="auto"/>
        </w:rPr>
        <w:t xml:space="preserve">Coalition of Australian Governments (COAG) committee </w:t>
      </w:r>
      <w:r w:rsidRPr="00CC3434">
        <w:rPr>
          <w:b/>
          <w:bCs/>
          <w:color w:val="auto"/>
        </w:rPr>
        <w:t>changes.</w:t>
      </w:r>
      <w:r w:rsidR="000F3EF8" w:rsidRPr="00CC3434">
        <w:rPr>
          <w:b/>
          <w:bCs/>
          <w:color w:val="auto"/>
        </w:rPr>
        <w:t xml:space="preserve"> </w:t>
      </w:r>
    </w:p>
    <w:p w14:paraId="5644C7F7" w14:textId="25E198E7" w:rsidR="000F3EF8" w:rsidRDefault="00702C0C" w:rsidP="000F3EF8">
      <w:pPr>
        <w:pStyle w:val="PwCNormal"/>
        <w:numPr>
          <w:ilvl w:val="0"/>
          <w:numId w:val="0"/>
        </w:numPr>
      </w:pPr>
      <w:r>
        <w:t>W</w:t>
      </w:r>
      <w:r w:rsidR="000F3EF8">
        <w:t xml:space="preserve">hile the intent of the National Framework was broad reaching, </w:t>
      </w:r>
      <w:r w:rsidR="003461C8">
        <w:t xml:space="preserve">over its twelve-year timeframe, </w:t>
      </w:r>
      <w:r w:rsidR="000F3EF8">
        <w:t xml:space="preserve">its implementation </w:t>
      </w:r>
      <w:r w:rsidR="003461C8">
        <w:t xml:space="preserve">of action plans </w:t>
      </w:r>
      <w:r w:rsidR="000F3EF8">
        <w:t>became more narrowly focused on statutory child protection systems</w:t>
      </w:r>
      <w:r w:rsidR="003461C8">
        <w:t xml:space="preserve">. This occurred due to the evolution of the </w:t>
      </w:r>
      <w:r w:rsidR="000F3EF8">
        <w:t xml:space="preserve">governance arrangements over </w:t>
      </w:r>
      <w:r w:rsidR="003461C8">
        <w:t>the</w:t>
      </w:r>
      <w:r w:rsidR="000F3EF8">
        <w:t xml:space="preserve"> twelve-year term</w:t>
      </w:r>
      <w:r w:rsidR="003461C8">
        <w:t xml:space="preserve"> to </w:t>
      </w:r>
      <w:r w:rsidR="000F3EF8">
        <w:t xml:space="preserve">support the delivery of </w:t>
      </w:r>
      <w:r w:rsidR="003461C8">
        <w:t>each</w:t>
      </w:r>
      <w:r w:rsidR="000F3EF8">
        <w:t xml:space="preserve"> action plan. </w:t>
      </w:r>
      <w:r>
        <w:t xml:space="preserve">Concurrently, its governance structures evolved in response to COAG committee changes and changed representation of working groups. This had the effect of narrowing the focus of activities and discussion to those of child protection. Additionally, activities delivered by jurisdictions, were largely driven by reforms and programs that were interrelated to the ambition of the National Framework but were not conceived by it. </w:t>
      </w:r>
    </w:p>
    <w:p w14:paraId="6B1FFF4E" w14:textId="77777777" w:rsidR="00C66E73" w:rsidRPr="00D20CD4" w:rsidRDefault="00D20CD4" w:rsidP="000F3EF8">
      <w:pPr>
        <w:pStyle w:val="PwCNormal"/>
        <w:rPr>
          <w:b/>
          <w:bCs/>
          <w:color w:val="auto"/>
        </w:rPr>
      </w:pPr>
      <w:r>
        <w:rPr>
          <w:b/>
          <w:bCs/>
          <w:color w:val="auto"/>
        </w:rPr>
        <w:t xml:space="preserve">The National Framework and accompanying </w:t>
      </w:r>
      <w:r w:rsidRPr="00D20CD4">
        <w:rPr>
          <w:b/>
          <w:bCs/>
          <w:color w:val="auto"/>
        </w:rPr>
        <w:t xml:space="preserve">action plans were </w:t>
      </w:r>
      <w:r w:rsidR="00406C59">
        <w:rPr>
          <w:b/>
          <w:bCs/>
          <w:color w:val="auto"/>
        </w:rPr>
        <w:t xml:space="preserve">largely </w:t>
      </w:r>
      <w:r w:rsidRPr="00D20CD4">
        <w:rPr>
          <w:b/>
          <w:bCs/>
          <w:color w:val="auto"/>
        </w:rPr>
        <w:t xml:space="preserve">developed in consultation and lessons learned </w:t>
      </w:r>
      <w:r>
        <w:rPr>
          <w:b/>
          <w:bCs/>
          <w:color w:val="auto"/>
        </w:rPr>
        <w:t>were</w:t>
      </w:r>
      <w:r w:rsidR="00406C59">
        <w:rPr>
          <w:b/>
          <w:bCs/>
          <w:color w:val="auto"/>
        </w:rPr>
        <w:t xml:space="preserve"> often</w:t>
      </w:r>
      <w:r>
        <w:rPr>
          <w:b/>
          <w:bCs/>
          <w:color w:val="auto"/>
        </w:rPr>
        <w:t xml:space="preserve"> incorporated to improve the effectiveness of later plans</w:t>
      </w:r>
      <w:r w:rsidRPr="00D20CD4">
        <w:rPr>
          <w:b/>
          <w:bCs/>
          <w:color w:val="auto"/>
        </w:rPr>
        <w:t>.</w:t>
      </w:r>
      <w:r w:rsidR="00495E6A">
        <w:rPr>
          <w:b/>
          <w:bCs/>
          <w:color w:val="auto"/>
        </w:rPr>
        <w:t xml:space="preserve"> However, consultation could have been more targeted to specific groups.</w:t>
      </w:r>
    </w:p>
    <w:p w14:paraId="21D86CC2" w14:textId="573C5212" w:rsidR="005C63F7" w:rsidRDefault="00D20CD4" w:rsidP="00D953AB">
      <w:pPr>
        <w:pStyle w:val="PwCNormal"/>
        <w:numPr>
          <w:ilvl w:val="0"/>
          <w:numId w:val="0"/>
        </w:numPr>
      </w:pPr>
      <w:r>
        <w:t>Over time, the Third and Fourth action plans increasingly focused on statutory child protection systems and smaller initiatives and trials</w:t>
      </w:r>
      <w:r w:rsidR="00702C0C">
        <w:t>, building on lessons to focus effort rather than trying to deliver upon too broad a mandate</w:t>
      </w:r>
      <w:r>
        <w:t xml:space="preserve">. </w:t>
      </w:r>
      <w:r w:rsidR="00702C0C">
        <w:t xml:space="preserve">This also reflected that activities were not supported by a sound </w:t>
      </w:r>
      <w:r w:rsidR="00E6361F" w:rsidRPr="00CC3434">
        <w:t xml:space="preserve">investment and resourcing </w:t>
      </w:r>
      <w:r w:rsidR="00702C0C">
        <w:t xml:space="preserve">model that would enable </w:t>
      </w:r>
      <w:r w:rsidR="00E6361F" w:rsidRPr="00CC3434">
        <w:t xml:space="preserve">achievement of </w:t>
      </w:r>
      <w:r w:rsidR="00E6361F" w:rsidRPr="00CC3434">
        <w:lastRenderedPageBreak/>
        <w:t>outcomes and implementation of actions</w:t>
      </w:r>
      <w:r w:rsidR="00E6361F" w:rsidRPr="000848B5">
        <w:t xml:space="preserve">. </w:t>
      </w:r>
      <w:r w:rsidR="00702C0C">
        <w:t xml:space="preserve">Opportunities exist to </w:t>
      </w:r>
      <w:r w:rsidR="005C63F7">
        <w:t xml:space="preserve">consider joint funding and investment matching opportunities to provide a </w:t>
      </w:r>
      <w:r w:rsidR="00702C0C">
        <w:t xml:space="preserve">more </w:t>
      </w:r>
      <w:r w:rsidR="005C63F7">
        <w:t>sustainable investment model</w:t>
      </w:r>
      <w:r w:rsidR="00702C0C">
        <w:t xml:space="preserve"> that could have greater impact and deliver upon the ambition set</w:t>
      </w:r>
      <w:r w:rsidR="005C63F7">
        <w:t>.</w:t>
      </w:r>
      <w:r w:rsidR="005C63F7" w:rsidDel="005C63F7">
        <w:t xml:space="preserve"> </w:t>
      </w:r>
    </w:p>
    <w:p w14:paraId="35826E3A" w14:textId="2A472C3B" w:rsidR="000F3EF8" w:rsidRPr="00C66E73" w:rsidRDefault="000F3EF8" w:rsidP="003557B2">
      <w:pPr>
        <w:pStyle w:val="PwCNormal"/>
        <w:numPr>
          <w:ilvl w:val="0"/>
          <w:numId w:val="0"/>
        </w:numPr>
        <w:rPr>
          <w:b/>
          <w:bCs/>
        </w:rPr>
      </w:pPr>
      <w:r w:rsidRPr="00D9436A">
        <w:rPr>
          <w:b/>
          <w:bCs/>
        </w:rPr>
        <w:t xml:space="preserve">The National Framework was not able to fully embed a public health approach and coordinate the policy agenda for children and young people </w:t>
      </w:r>
    </w:p>
    <w:p w14:paraId="716B7352" w14:textId="1DF3100B" w:rsidR="004B0AF5" w:rsidRDefault="004B0AF5" w:rsidP="000F3EF8">
      <w:pPr>
        <w:pStyle w:val="PwCNormal"/>
      </w:pPr>
      <w:r>
        <w:t xml:space="preserve">Challenges to fully embed a public health approach that balances the needs of the child protection system with primary prevention and early intervention activities were cited by many stakeholders to this evaluation. While many concurrent strategies and policies that touch upon these service systems have been delivered by jurisdictions over the life of the National Framework, these have not been integrated and coordinated with the policy agenda for children and young people. </w:t>
      </w:r>
    </w:p>
    <w:p w14:paraId="2BF26A58" w14:textId="0CFACB21" w:rsidR="000F3EF8" w:rsidRDefault="000F3EF8" w:rsidP="000F3EF8">
      <w:pPr>
        <w:pStyle w:val="PwCNormal"/>
        <w:numPr>
          <w:ilvl w:val="0"/>
          <w:numId w:val="0"/>
        </w:numPr>
        <w:rPr>
          <w:b/>
          <w:bCs/>
          <w:color w:val="D04A02" w:themeColor="accent1"/>
        </w:rPr>
      </w:pPr>
      <w:r w:rsidRPr="00D07723">
        <w:rPr>
          <w:b/>
          <w:bCs/>
          <w:color w:val="D04A02" w:themeColor="accent1"/>
        </w:rPr>
        <w:t>Opportunities</w:t>
      </w:r>
      <w:r>
        <w:rPr>
          <w:b/>
          <w:bCs/>
          <w:color w:val="D04A02" w:themeColor="accent1"/>
        </w:rPr>
        <w:t xml:space="preserve"> for the </w:t>
      </w:r>
      <w:r w:rsidR="0040394D">
        <w:rPr>
          <w:b/>
          <w:bCs/>
          <w:color w:val="D04A02" w:themeColor="accent1"/>
        </w:rPr>
        <w:t xml:space="preserve">successor plan to </w:t>
      </w:r>
      <w:r>
        <w:rPr>
          <w:b/>
          <w:bCs/>
          <w:color w:val="D04A02" w:themeColor="accent1"/>
        </w:rPr>
        <w:t xml:space="preserve"> the National Framework </w:t>
      </w:r>
    </w:p>
    <w:p w14:paraId="0DE68465" w14:textId="53DC5CF0" w:rsidR="000F3EF8" w:rsidRDefault="00E60B5A" w:rsidP="000F3EF8">
      <w:pPr>
        <w:pStyle w:val="PwCNormal"/>
        <w:numPr>
          <w:ilvl w:val="0"/>
          <w:numId w:val="0"/>
        </w:numPr>
        <w:rPr>
          <w:color w:val="auto"/>
        </w:rPr>
      </w:pPr>
      <w:r>
        <w:rPr>
          <w:color w:val="auto"/>
        </w:rPr>
        <w:t>F</w:t>
      </w:r>
      <w:r w:rsidR="000F3EF8">
        <w:rPr>
          <w:color w:val="auto"/>
        </w:rPr>
        <w:t xml:space="preserve">ive </w:t>
      </w:r>
      <w:r w:rsidR="00495E6A">
        <w:rPr>
          <w:color w:val="auto"/>
        </w:rPr>
        <w:t xml:space="preserve">key </w:t>
      </w:r>
      <w:r w:rsidR="000F3EF8">
        <w:rPr>
          <w:color w:val="auto"/>
        </w:rPr>
        <w:t xml:space="preserve">opportunities </w:t>
      </w:r>
      <w:r>
        <w:rPr>
          <w:color w:val="auto"/>
        </w:rPr>
        <w:t xml:space="preserve">have been identified </w:t>
      </w:r>
      <w:r w:rsidR="000F3EF8">
        <w:rPr>
          <w:color w:val="auto"/>
        </w:rPr>
        <w:t xml:space="preserve">to inform the development of the </w:t>
      </w:r>
      <w:r w:rsidR="0040394D">
        <w:rPr>
          <w:color w:val="auto"/>
        </w:rPr>
        <w:t>successor plan to</w:t>
      </w:r>
      <w:r w:rsidR="000F3EF8">
        <w:rPr>
          <w:color w:val="auto"/>
        </w:rPr>
        <w:t xml:space="preserve"> the National Framework</w:t>
      </w:r>
      <w:r>
        <w:rPr>
          <w:color w:val="auto"/>
        </w:rPr>
        <w:t>.</w:t>
      </w:r>
      <w:r w:rsidR="000F3EF8">
        <w:rPr>
          <w:color w:val="auto"/>
        </w:rPr>
        <w:t xml:space="preserve"> These opportunities </w:t>
      </w:r>
      <w:r w:rsidR="00495E6A">
        <w:rPr>
          <w:color w:val="auto"/>
        </w:rPr>
        <w:t xml:space="preserve">seek to leverage the </w:t>
      </w:r>
      <w:r w:rsidR="000F3EF8">
        <w:rPr>
          <w:color w:val="auto"/>
        </w:rPr>
        <w:t xml:space="preserve">valuable contribution </w:t>
      </w:r>
      <w:r w:rsidR="00495E6A">
        <w:rPr>
          <w:color w:val="auto"/>
        </w:rPr>
        <w:t xml:space="preserve">made by the National Framework </w:t>
      </w:r>
      <w:r w:rsidR="000F3EF8">
        <w:rPr>
          <w:color w:val="auto"/>
        </w:rPr>
        <w:t xml:space="preserve">in bringing together </w:t>
      </w:r>
      <w:r w:rsidR="0076586A">
        <w:rPr>
          <w:color w:val="auto"/>
        </w:rPr>
        <w:t xml:space="preserve">governments </w:t>
      </w:r>
      <w:r w:rsidR="000F3EF8">
        <w:rPr>
          <w:color w:val="auto"/>
        </w:rPr>
        <w:t>and the non-government and research sectors to focus on protecting Australia’s children</w:t>
      </w:r>
      <w:r w:rsidR="00495E6A">
        <w:rPr>
          <w:color w:val="auto"/>
        </w:rPr>
        <w:t>. Importantly, these opportunities incorporate</w:t>
      </w:r>
      <w:r w:rsidR="0076586A">
        <w:rPr>
          <w:color w:val="auto"/>
        </w:rPr>
        <w:t xml:space="preserve"> </w:t>
      </w:r>
      <w:r>
        <w:rPr>
          <w:color w:val="auto"/>
        </w:rPr>
        <w:t xml:space="preserve">lessons learned </w:t>
      </w:r>
      <w:r w:rsidR="00495E6A">
        <w:rPr>
          <w:color w:val="auto"/>
        </w:rPr>
        <w:t xml:space="preserve">which </w:t>
      </w:r>
      <w:r>
        <w:rPr>
          <w:color w:val="auto"/>
        </w:rPr>
        <w:t xml:space="preserve">could </w:t>
      </w:r>
      <w:r w:rsidR="000F3EF8">
        <w:rPr>
          <w:color w:val="auto"/>
        </w:rPr>
        <w:t>strengthen</w:t>
      </w:r>
      <w:r>
        <w:rPr>
          <w:color w:val="auto"/>
        </w:rPr>
        <w:t xml:space="preserve"> any future framework.</w:t>
      </w:r>
    </w:p>
    <w:p w14:paraId="5F71C2AC" w14:textId="0840597F" w:rsidR="000F3EF8" w:rsidRPr="00105FE6" w:rsidRDefault="00406C59" w:rsidP="000F3EF8">
      <w:pPr>
        <w:pStyle w:val="PwCNormal"/>
        <w:rPr>
          <w:b/>
          <w:bCs/>
          <w:color w:val="auto"/>
        </w:rPr>
      </w:pPr>
      <w:r>
        <w:rPr>
          <w:b/>
          <w:bCs/>
          <w:color w:val="auto"/>
        </w:rPr>
        <w:t>T</w:t>
      </w:r>
      <w:r w:rsidR="000F3EF8" w:rsidRPr="00105FE6">
        <w:rPr>
          <w:b/>
          <w:bCs/>
          <w:color w:val="auto"/>
        </w:rPr>
        <w:t>arget the</w:t>
      </w:r>
      <w:r w:rsidR="004127DC">
        <w:rPr>
          <w:b/>
          <w:bCs/>
          <w:color w:val="auto"/>
        </w:rPr>
        <w:t xml:space="preserve"> </w:t>
      </w:r>
      <w:r w:rsidR="00076984">
        <w:rPr>
          <w:b/>
          <w:bCs/>
          <w:color w:val="auto"/>
        </w:rPr>
        <w:t>successor plan for the National Framework</w:t>
      </w:r>
      <w:r w:rsidR="000F3EF8" w:rsidRPr="00105FE6">
        <w:rPr>
          <w:b/>
          <w:bCs/>
          <w:color w:val="auto"/>
        </w:rPr>
        <w:t xml:space="preserve"> towards improving the service</w:t>
      </w:r>
      <w:r w:rsidR="004127DC">
        <w:rPr>
          <w:b/>
          <w:bCs/>
          <w:color w:val="auto"/>
        </w:rPr>
        <w:t>s</w:t>
      </w:r>
      <w:r w:rsidR="000F3EF8" w:rsidRPr="00105FE6">
        <w:rPr>
          <w:b/>
          <w:bCs/>
          <w:color w:val="auto"/>
        </w:rPr>
        <w:t xml:space="preserve"> system to better support </w:t>
      </w:r>
      <w:r>
        <w:rPr>
          <w:b/>
          <w:bCs/>
          <w:color w:val="auto"/>
        </w:rPr>
        <w:t>a specific group, v</w:t>
      </w:r>
      <w:r w:rsidR="000F3EF8" w:rsidRPr="00105FE6">
        <w:rPr>
          <w:b/>
          <w:bCs/>
          <w:color w:val="auto"/>
        </w:rPr>
        <w:t>ulnerable children and their families</w:t>
      </w:r>
      <w:r w:rsidR="00907819">
        <w:rPr>
          <w:b/>
          <w:bCs/>
          <w:color w:val="auto"/>
        </w:rPr>
        <w:t>.</w:t>
      </w:r>
    </w:p>
    <w:p w14:paraId="2A46323A" w14:textId="5EA7C12A" w:rsidR="000F3EF8" w:rsidRPr="00105FE6" w:rsidRDefault="0076586A" w:rsidP="000F3EF8">
      <w:pPr>
        <w:pStyle w:val="PwCNormal"/>
        <w:rPr>
          <w:color w:val="auto"/>
        </w:rPr>
      </w:pPr>
      <w:r>
        <w:rPr>
          <w:color w:val="auto"/>
        </w:rPr>
        <w:t xml:space="preserve">Narrowing the focus of the National Framework on a defined </w:t>
      </w:r>
      <w:r w:rsidR="000F3EF8" w:rsidRPr="00105FE6">
        <w:rPr>
          <w:color w:val="auto"/>
        </w:rPr>
        <w:t xml:space="preserve">cohort of children and families </w:t>
      </w:r>
      <w:r>
        <w:rPr>
          <w:color w:val="auto"/>
        </w:rPr>
        <w:t xml:space="preserve">would </w:t>
      </w:r>
      <w:r w:rsidR="000F3EF8" w:rsidRPr="00105FE6">
        <w:rPr>
          <w:color w:val="auto"/>
        </w:rPr>
        <w:t xml:space="preserve">enable </w:t>
      </w:r>
      <w:r>
        <w:rPr>
          <w:color w:val="auto"/>
        </w:rPr>
        <w:t xml:space="preserve">governments and non-government bodies to dedicate resources towards </w:t>
      </w:r>
      <w:r w:rsidR="000F3EF8" w:rsidRPr="00105FE6">
        <w:rPr>
          <w:color w:val="auto"/>
        </w:rPr>
        <w:t>improving outcomes for these children and families</w:t>
      </w:r>
      <w:r>
        <w:rPr>
          <w:color w:val="auto"/>
        </w:rPr>
        <w:t xml:space="preserve">. All sectors within </w:t>
      </w:r>
      <w:r w:rsidR="000F3EF8" w:rsidRPr="00105FE6">
        <w:rPr>
          <w:color w:val="auto"/>
        </w:rPr>
        <w:t>the service system</w:t>
      </w:r>
      <w:r w:rsidR="00902D49">
        <w:rPr>
          <w:color w:val="auto"/>
        </w:rPr>
        <w:t xml:space="preserve"> – which include government and non-government services that address the social determinants of health and wellbeing - </w:t>
      </w:r>
      <w:r w:rsidR="000F3EF8" w:rsidRPr="00105FE6">
        <w:rPr>
          <w:color w:val="auto"/>
        </w:rPr>
        <w:t xml:space="preserve">in order to improve their wellbeing and reduce their risk of contact with the statutory child protection system, as well as supporting children and families already in the child protection system. </w:t>
      </w:r>
    </w:p>
    <w:p w14:paraId="6201AA91" w14:textId="77777777" w:rsidR="000F3EF8" w:rsidRPr="00105FE6" w:rsidRDefault="000F3EF8" w:rsidP="000F3EF8">
      <w:pPr>
        <w:pStyle w:val="PwCNormal"/>
        <w:rPr>
          <w:color w:val="auto"/>
        </w:rPr>
      </w:pPr>
      <w:r w:rsidRPr="00105FE6">
        <w:rPr>
          <w:color w:val="auto"/>
        </w:rPr>
        <w:t>Having the Commonwealth, state and territor</w:t>
      </w:r>
      <w:r w:rsidR="0054515C">
        <w:rPr>
          <w:color w:val="auto"/>
        </w:rPr>
        <w:t>y</w:t>
      </w:r>
      <w:r w:rsidRPr="00105FE6">
        <w:rPr>
          <w:color w:val="auto"/>
        </w:rPr>
        <w:t xml:space="preserve"> governments working together under the National Framework presents a significant opportunity to better coordinate and integrate, ensure the effectiveness of and identify improvements to services delivered to these children and families across all relevant portfolios, including for example child maternal health, early childhood, school education, housing, justice and family and parenting services. </w:t>
      </w:r>
    </w:p>
    <w:p w14:paraId="74F97229" w14:textId="24CC6B10" w:rsidR="000F3EF8" w:rsidRPr="00105FE6" w:rsidRDefault="000F3EF8" w:rsidP="000F3EF8">
      <w:pPr>
        <w:pStyle w:val="PwCNormal"/>
        <w:rPr>
          <w:color w:val="auto"/>
        </w:rPr>
      </w:pPr>
      <w:r w:rsidRPr="00105FE6">
        <w:rPr>
          <w:color w:val="auto"/>
        </w:rPr>
        <w:t xml:space="preserve">Taking a service system approach and focusing on policy and system levers is where the National Framework can have the greatest impact, rather than focusing on the operational detail of how child protection related services are delivered which will continue to vary across different state and territory jurisdictions. Further, focusing at a service system level will allow for greater alignment and integration with other strategies and frameworks that emerge in areas that impact on children and families. A system focus is also likely to be more impactful in the long term rather than investing in </w:t>
      </w:r>
      <w:r w:rsidR="00014A51" w:rsidRPr="00105FE6">
        <w:rPr>
          <w:color w:val="auto"/>
        </w:rPr>
        <w:t>shorter-term</w:t>
      </w:r>
      <w:r w:rsidRPr="00105FE6">
        <w:rPr>
          <w:color w:val="auto"/>
        </w:rPr>
        <w:t xml:space="preserve"> initiatives and research trials. </w:t>
      </w:r>
    </w:p>
    <w:p w14:paraId="209D87E8" w14:textId="27B60F7E" w:rsidR="000F3EF8" w:rsidRPr="00105FE6" w:rsidRDefault="000F3EF8" w:rsidP="000F3EF8">
      <w:pPr>
        <w:pStyle w:val="PwCNormal"/>
        <w:rPr>
          <w:color w:val="auto"/>
        </w:rPr>
      </w:pPr>
      <w:r w:rsidRPr="00105FE6">
        <w:rPr>
          <w:color w:val="auto"/>
        </w:rPr>
        <w:t xml:space="preserve">The exact target cohort would be for the parties to the </w:t>
      </w:r>
      <w:r w:rsidR="0040394D">
        <w:rPr>
          <w:color w:val="auto"/>
        </w:rPr>
        <w:t>successor plan to</w:t>
      </w:r>
      <w:r w:rsidRPr="00105FE6">
        <w:rPr>
          <w:color w:val="auto"/>
        </w:rPr>
        <w:t xml:space="preserve"> the National Framework to define. A number of organisations consulted as part of the evaluation suggested the focus should be on vulnerable children and their families. This would </w:t>
      </w:r>
      <w:r>
        <w:rPr>
          <w:color w:val="auto"/>
        </w:rPr>
        <w:t>allow for</w:t>
      </w:r>
      <w:r w:rsidRPr="00105FE6">
        <w:rPr>
          <w:color w:val="auto"/>
        </w:rPr>
        <w:t xml:space="preserve"> a more targeted approach for the Framework rather than focusing on all children, while also acknowledging that families are important to improving outcomes for vulnerable children. </w:t>
      </w:r>
    </w:p>
    <w:p w14:paraId="5673903E" w14:textId="77777777" w:rsidR="000F3EF8" w:rsidRPr="00105FE6" w:rsidRDefault="000F3EF8" w:rsidP="000F3EF8">
      <w:pPr>
        <w:pStyle w:val="PwCNormal"/>
        <w:rPr>
          <w:color w:val="auto"/>
        </w:rPr>
      </w:pPr>
      <w:r w:rsidRPr="00105FE6">
        <w:rPr>
          <w:color w:val="auto"/>
        </w:rPr>
        <w:t xml:space="preserve">Within this cohort there are groups with specific needs and attention would need to be paid to ensuring that the service system is fit for purpose for these groups, for example children and families with disability, Aboriginal and Torres Strait Islander children and families and culturally and linguistically diverse children and families. </w:t>
      </w:r>
    </w:p>
    <w:p w14:paraId="2A7186DF" w14:textId="6E0E4CC8" w:rsidR="000F3EF8" w:rsidRPr="00105FE6" w:rsidRDefault="000F3EF8" w:rsidP="000F3EF8">
      <w:pPr>
        <w:pStyle w:val="PwCNormal"/>
        <w:rPr>
          <w:b/>
          <w:bCs/>
          <w:color w:val="auto"/>
        </w:rPr>
      </w:pPr>
      <w:r w:rsidRPr="00105FE6">
        <w:rPr>
          <w:b/>
          <w:bCs/>
          <w:color w:val="auto"/>
        </w:rPr>
        <w:t xml:space="preserve">Establish a governance structure for the </w:t>
      </w:r>
      <w:r w:rsidR="0040394D">
        <w:rPr>
          <w:b/>
          <w:bCs/>
          <w:color w:val="auto"/>
        </w:rPr>
        <w:t>successor plan to</w:t>
      </w:r>
      <w:r w:rsidRPr="00105FE6">
        <w:rPr>
          <w:b/>
          <w:bCs/>
          <w:color w:val="auto"/>
        </w:rPr>
        <w:t xml:space="preserve"> the National Framework that enables </w:t>
      </w:r>
      <w:r>
        <w:rPr>
          <w:b/>
          <w:bCs/>
          <w:color w:val="auto"/>
        </w:rPr>
        <w:t xml:space="preserve">greater </w:t>
      </w:r>
      <w:r w:rsidRPr="00105FE6">
        <w:rPr>
          <w:b/>
          <w:bCs/>
          <w:color w:val="auto"/>
        </w:rPr>
        <w:t xml:space="preserve">involvement of other relevant portfolio areas </w:t>
      </w:r>
    </w:p>
    <w:p w14:paraId="604FE583" w14:textId="35A483A0" w:rsidR="000F3EF8" w:rsidRPr="00105FE6" w:rsidRDefault="000F3EF8" w:rsidP="000F3EF8">
      <w:pPr>
        <w:pStyle w:val="PwCNormal"/>
        <w:rPr>
          <w:color w:val="auto"/>
        </w:rPr>
      </w:pPr>
      <w:r w:rsidRPr="00105FE6">
        <w:rPr>
          <w:color w:val="auto"/>
        </w:rPr>
        <w:t xml:space="preserve">There is an opportunity to ensure the governance structure supports the delivery of the </w:t>
      </w:r>
      <w:r w:rsidR="0040394D">
        <w:rPr>
          <w:color w:val="auto"/>
        </w:rPr>
        <w:t>successor plan to</w:t>
      </w:r>
      <w:r w:rsidRPr="00105FE6">
        <w:rPr>
          <w:color w:val="auto"/>
        </w:rPr>
        <w:t xml:space="preserve"> National Framework. Improving outcomes for vulnerable children and their families requires collaboration across the whole service system, from services that have early contact with families and children and can intervene early to provide support through to the statutory child protection system.  </w:t>
      </w:r>
    </w:p>
    <w:p w14:paraId="7424BDE2" w14:textId="17546EEF" w:rsidR="000F3EF8" w:rsidRPr="00105FE6" w:rsidRDefault="000F3EF8" w:rsidP="000F3EF8">
      <w:pPr>
        <w:pStyle w:val="PwCNormal"/>
        <w:rPr>
          <w:color w:val="auto"/>
        </w:rPr>
      </w:pPr>
      <w:r w:rsidRPr="00105FE6">
        <w:rPr>
          <w:color w:val="auto"/>
        </w:rPr>
        <w:lastRenderedPageBreak/>
        <w:t xml:space="preserve">To achieve the greatest impact, the National Framework governance structure </w:t>
      </w:r>
      <w:r w:rsidR="00495E6A">
        <w:rPr>
          <w:color w:val="auto"/>
        </w:rPr>
        <w:t xml:space="preserve">could consider a broader membership, not </w:t>
      </w:r>
      <w:r w:rsidRPr="00105FE6">
        <w:rPr>
          <w:color w:val="auto"/>
        </w:rPr>
        <w:t>restricted to representatives from child protection and family services agencies</w:t>
      </w:r>
      <w:r w:rsidR="00495E6A">
        <w:rPr>
          <w:color w:val="auto"/>
        </w:rPr>
        <w:t>.</w:t>
      </w:r>
      <w:r w:rsidRPr="00105FE6">
        <w:rPr>
          <w:color w:val="auto"/>
        </w:rPr>
        <w:t xml:space="preserve"> In line with the first opportunity outlined above, the governance group would </w:t>
      </w:r>
      <w:r w:rsidR="00495E6A">
        <w:rPr>
          <w:color w:val="auto"/>
        </w:rPr>
        <w:t xml:space="preserve">include a </w:t>
      </w:r>
      <w:r w:rsidRPr="00105FE6">
        <w:rPr>
          <w:color w:val="auto"/>
        </w:rPr>
        <w:t xml:space="preserve">focus on the service system and policy levers rather than on the delivery of specific services, programs or initiatives. </w:t>
      </w:r>
    </w:p>
    <w:p w14:paraId="40958B80" w14:textId="77777777" w:rsidR="000F3EF8" w:rsidRPr="00105FE6" w:rsidRDefault="000F3EF8" w:rsidP="000F3EF8">
      <w:pPr>
        <w:pStyle w:val="PwCNormal"/>
        <w:rPr>
          <w:b/>
          <w:bCs/>
          <w:color w:val="auto"/>
        </w:rPr>
      </w:pPr>
      <w:r w:rsidRPr="00105FE6">
        <w:rPr>
          <w:b/>
          <w:bCs/>
          <w:color w:val="auto"/>
        </w:rPr>
        <w:t xml:space="preserve">Adopt an outcomes framework to guide and measure efforts </w:t>
      </w:r>
      <w:r>
        <w:rPr>
          <w:b/>
          <w:bCs/>
          <w:color w:val="auto"/>
        </w:rPr>
        <w:t xml:space="preserve">and commission a national prevalence study on child abuse and neglect </w:t>
      </w:r>
    </w:p>
    <w:p w14:paraId="441585D7" w14:textId="035A6B6B" w:rsidR="000F3EF8" w:rsidRPr="00105FE6" w:rsidRDefault="000F3EF8" w:rsidP="000F3EF8">
      <w:pPr>
        <w:pStyle w:val="PwCNormal"/>
        <w:rPr>
          <w:color w:val="auto"/>
        </w:rPr>
      </w:pPr>
      <w:r w:rsidRPr="00105FE6">
        <w:rPr>
          <w:color w:val="auto"/>
        </w:rPr>
        <w:t>There is an opportunity to adopt an outcomes framework to ensure a sustained focus on and alignment to the high</w:t>
      </w:r>
      <w:r w:rsidR="00D83447">
        <w:rPr>
          <w:color w:val="auto"/>
        </w:rPr>
        <w:t>-</w:t>
      </w:r>
      <w:r w:rsidRPr="00105FE6">
        <w:rPr>
          <w:color w:val="auto"/>
        </w:rPr>
        <w:t xml:space="preserve">level objectives of the </w:t>
      </w:r>
      <w:r w:rsidR="0040394D">
        <w:rPr>
          <w:color w:val="auto"/>
        </w:rPr>
        <w:t>successor plan to</w:t>
      </w:r>
      <w:r w:rsidRPr="00105FE6">
        <w:rPr>
          <w:color w:val="auto"/>
        </w:rPr>
        <w:t xml:space="preserve"> the National Framework, over the life of the Framework. The key features of an outcomes framework are: </w:t>
      </w:r>
    </w:p>
    <w:p w14:paraId="08BC68DE" w14:textId="77777777" w:rsidR="000F3EF8" w:rsidRPr="00105FE6" w:rsidRDefault="000F3EF8" w:rsidP="00B95734">
      <w:pPr>
        <w:pStyle w:val="PwCNormal"/>
        <w:numPr>
          <w:ilvl w:val="0"/>
          <w:numId w:val="52"/>
        </w:numPr>
        <w:rPr>
          <w:color w:val="auto"/>
        </w:rPr>
      </w:pPr>
      <w:r w:rsidRPr="00105FE6">
        <w:rPr>
          <w:color w:val="auto"/>
        </w:rPr>
        <w:t>a shared vision of what success would look like for the target cohort of children and families</w:t>
      </w:r>
    </w:p>
    <w:p w14:paraId="3F0FC55F" w14:textId="067DD6E8" w:rsidR="000F3EF8" w:rsidRPr="00105FE6" w:rsidRDefault="000F3EF8" w:rsidP="00B95734">
      <w:pPr>
        <w:pStyle w:val="PwCNormal"/>
        <w:numPr>
          <w:ilvl w:val="0"/>
          <w:numId w:val="52"/>
        </w:numPr>
        <w:rPr>
          <w:color w:val="auto"/>
        </w:rPr>
      </w:pPr>
      <w:r w:rsidRPr="00105FE6">
        <w:rPr>
          <w:color w:val="auto"/>
        </w:rPr>
        <w:t>articulation of short, medium and long term outcome</w:t>
      </w:r>
      <w:r w:rsidR="00495E6A">
        <w:rPr>
          <w:color w:val="auto"/>
        </w:rPr>
        <w:t>s</w:t>
      </w:r>
      <w:r w:rsidRPr="00105FE6">
        <w:rPr>
          <w:color w:val="auto"/>
        </w:rPr>
        <w:t>/goals to support achievement of the shared vision</w:t>
      </w:r>
    </w:p>
    <w:p w14:paraId="5B13943E" w14:textId="77777777" w:rsidR="000F3EF8" w:rsidRPr="00105FE6" w:rsidRDefault="000F3EF8" w:rsidP="00B95734">
      <w:pPr>
        <w:pStyle w:val="PwCNormal"/>
        <w:numPr>
          <w:ilvl w:val="0"/>
          <w:numId w:val="52"/>
        </w:numPr>
        <w:rPr>
          <w:color w:val="auto"/>
        </w:rPr>
      </w:pPr>
      <w:r w:rsidRPr="00105FE6">
        <w:rPr>
          <w:color w:val="auto"/>
        </w:rPr>
        <w:t xml:space="preserve">an outcomes framework would be supported by a measurement framework, which sets out how and when progress towards achieving the outcomes will be measured.  </w:t>
      </w:r>
    </w:p>
    <w:p w14:paraId="192AFA59" w14:textId="77777777" w:rsidR="000F3EF8" w:rsidRPr="00074B5A" w:rsidRDefault="000F3EF8" w:rsidP="000F3EF8">
      <w:pPr>
        <w:pStyle w:val="PwCNormal"/>
        <w:rPr>
          <w:color w:val="auto"/>
        </w:rPr>
      </w:pPr>
      <w:r w:rsidRPr="00105FE6">
        <w:rPr>
          <w:color w:val="auto"/>
        </w:rPr>
        <w:t xml:space="preserve">An implementation plan or roadmap could provide the detail on the work that will be undertaken by all parties to the National Framework </w:t>
      </w:r>
      <w:r w:rsidR="00495E6A">
        <w:rPr>
          <w:color w:val="auto"/>
        </w:rPr>
        <w:t xml:space="preserve">to </w:t>
      </w:r>
      <w:r w:rsidRPr="00105FE6">
        <w:rPr>
          <w:color w:val="auto"/>
        </w:rPr>
        <w:t>achieve the short, medium and long term outcomes, which could be reviewed at regular intervals. This would replace three</w:t>
      </w:r>
      <w:r w:rsidR="00D83447">
        <w:rPr>
          <w:color w:val="auto"/>
        </w:rPr>
        <w:t>-</w:t>
      </w:r>
      <w:r w:rsidRPr="00105FE6">
        <w:rPr>
          <w:color w:val="auto"/>
        </w:rPr>
        <w:t xml:space="preserve">year action plans. </w:t>
      </w:r>
    </w:p>
    <w:p w14:paraId="20D2EA6C" w14:textId="3ED796A0" w:rsidR="000F3EF8" w:rsidRDefault="000F3EF8" w:rsidP="000F3EF8">
      <w:pPr>
        <w:pStyle w:val="PwCNormal"/>
        <w:rPr>
          <w:color w:val="auto"/>
        </w:rPr>
      </w:pPr>
      <w:r w:rsidRPr="00105FE6">
        <w:rPr>
          <w:color w:val="auto"/>
        </w:rPr>
        <w:t xml:space="preserve">Iterative evaluation could also be undertaken for the duration of the </w:t>
      </w:r>
      <w:r w:rsidR="0040394D">
        <w:rPr>
          <w:color w:val="auto"/>
        </w:rPr>
        <w:t>successor plan to</w:t>
      </w:r>
      <w:r w:rsidRPr="00105FE6">
        <w:rPr>
          <w:color w:val="auto"/>
        </w:rPr>
        <w:t xml:space="preserve"> the National Framework to assist in early identification of any issues with the implementation. </w:t>
      </w:r>
    </w:p>
    <w:p w14:paraId="5677ECA7" w14:textId="6FBA5F26" w:rsidR="000F3EF8" w:rsidRPr="00F86600" w:rsidRDefault="000F3EF8" w:rsidP="000F3EF8">
      <w:pPr>
        <w:pStyle w:val="PwCNormal"/>
        <w:rPr>
          <w:color w:val="auto"/>
        </w:rPr>
      </w:pPr>
      <w:r w:rsidRPr="00F86600">
        <w:rPr>
          <w:color w:val="auto"/>
        </w:rPr>
        <w:t xml:space="preserve">Further, a national prevalence study on child abuse and neglect to set an accurate baseline at the beginning of the </w:t>
      </w:r>
      <w:r w:rsidR="0040394D">
        <w:rPr>
          <w:color w:val="auto"/>
        </w:rPr>
        <w:t>successor plan to</w:t>
      </w:r>
      <w:r w:rsidRPr="00F86600">
        <w:rPr>
          <w:color w:val="auto"/>
        </w:rPr>
        <w:t xml:space="preserve"> the Framework and then at regular intervals will help to accurately measure whether there is a significant shift in the prevalence of child abuse and neglect during the next term of the Framework. </w:t>
      </w:r>
    </w:p>
    <w:p w14:paraId="51BE9E14" w14:textId="77777777" w:rsidR="000F3EF8" w:rsidRPr="00105FE6" w:rsidRDefault="000F3EF8" w:rsidP="000F3EF8">
      <w:pPr>
        <w:pStyle w:val="PwCNormal"/>
        <w:rPr>
          <w:b/>
          <w:bCs/>
          <w:color w:val="auto"/>
        </w:rPr>
      </w:pPr>
      <w:r w:rsidRPr="00105FE6">
        <w:rPr>
          <w:b/>
          <w:bCs/>
          <w:color w:val="auto"/>
        </w:rPr>
        <w:t xml:space="preserve">Implement an independent monitoring and reporting mechanism to ensure accountability </w:t>
      </w:r>
    </w:p>
    <w:p w14:paraId="18C3562F" w14:textId="5BE12BA4" w:rsidR="000F3EF8" w:rsidRPr="00105FE6" w:rsidRDefault="000F3EF8" w:rsidP="000F3EF8">
      <w:pPr>
        <w:pStyle w:val="PwCNormal"/>
        <w:rPr>
          <w:color w:val="auto"/>
        </w:rPr>
      </w:pPr>
      <w:r w:rsidRPr="00105FE6">
        <w:rPr>
          <w:color w:val="auto"/>
        </w:rPr>
        <w:t xml:space="preserve">There is an opportunity to implement independent reporting on the progress of the </w:t>
      </w:r>
      <w:r w:rsidR="0040394D">
        <w:rPr>
          <w:color w:val="auto"/>
        </w:rPr>
        <w:t>successor plan to</w:t>
      </w:r>
      <w:r w:rsidRPr="00105FE6">
        <w:rPr>
          <w:color w:val="auto"/>
        </w:rPr>
        <w:t xml:space="preserve">the National Framework. This could include reporting against the outcome and measurement framework as set out in the third opportunity (outlined above).  </w:t>
      </w:r>
    </w:p>
    <w:p w14:paraId="18CE18A7" w14:textId="77777777" w:rsidR="000F3EF8" w:rsidRPr="00105FE6" w:rsidRDefault="000F3EF8" w:rsidP="000F3EF8">
      <w:pPr>
        <w:pStyle w:val="PwCNormal"/>
        <w:rPr>
          <w:color w:val="auto"/>
        </w:rPr>
      </w:pPr>
      <w:r w:rsidRPr="00105FE6">
        <w:rPr>
          <w:color w:val="auto"/>
        </w:rPr>
        <w:t xml:space="preserve">Independent monitoring and reporting would ensure accountability and measurement of progress in a timely manner. A number of organisations consulted as part of this evaluation referenced the Family Matters reporting on the over-representation of Aboriginal and/or Torres Strait Islander children in out of home care as a good example of timely and informative reporting that informs action in this area. </w:t>
      </w:r>
    </w:p>
    <w:p w14:paraId="35946E66" w14:textId="77777777" w:rsidR="000F3EF8" w:rsidRPr="00074B5A" w:rsidRDefault="000F3EF8" w:rsidP="000F3EF8">
      <w:pPr>
        <w:pStyle w:val="PwCNormal"/>
        <w:rPr>
          <w:color w:val="auto"/>
        </w:rPr>
      </w:pPr>
      <w:r>
        <w:rPr>
          <w:color w:val="auto"/>
        </w:rPr>
        <w:t xml:space="preserve">Establishing a monitoring and reporting independent function </w:t>
      </w:r>
      <w:r w:rsidRPr="00105FE6">
        <w:rPr>
          <w:color w:val="auto"/>
        </w:rPr>
        <w:t>could include producing publicly available progress reporting, but also working directly and proactively with parties to the National Framework to assist in identifying areas for improvemen</w:t>
      </w:r>
      <w:r>
        <w:rPr>
          <w:color w:val="auto"/>
        </w:rPr>
        <w:t xml:space="preserve">t. </w:t>
      </w:r>
    </w:p>
    <w:p w14:paraId="1A5C0D95" w14:textId="68540FB6" w:rsidR="000F3EF8" w:rsidRPr="00105FE6" w:rsidRDefault="000F3EF8" w:rsidP="000F3EF8">
      <w:pPr>
        <w:pStyle w:val="PwCNormal"/>
        <w:rPr>
          <w:b/>
          <w:bCs/>
          <w:color w:val="auto"/>
        </w:rPr>
      </w:pPr>
      <w:r w:rsidRPr="00105FE6">
        <w:rPr>
          <w:b/>
          <w:bCs/>
          <w:color w:val="auto"/>
        </w:rPr>
        <w:t xml:space="preserve">Ensure children, families and communities have an opportunity to inform the </w:t>
      </w:r>
      <w:r w:rsidR="0040394D">
        <w:rPr>
          <w:b/>
          <w:bCs/>
          <w:color w:val="auto"/>
        </w:rPr>
        <w:t>of the successor plan to</w:t>
      </w:r>
      <w:r w:rsidRPr="00105FE6">
        <w:rPr>
          <w:b/>
          <w:bCs/>
          <w:color w:val="auto"/>
        </w:rPr>
        <w:t xml:space="preserve"> the National Framework </w:t>
      </w:r>
    </w:p>
    <w:p w14:paraId="5881CE64" w14:textId="1BEC7F14" w:rsidR="000F3EF8" w:rsidRPr="00105FE6" w:rsidRDefault="000F3EF8" w:rsidP="000F3EF8">
      <w:pPr>
        <w:pStyle w:val="PwCNormal"/>
        <w:rPr>
          <w:color w:val="auto"/>
        </w:rPr>
      </w:pPr>
      <w:r w:rsidRPr="00105FE6">
        <w:rPr>
          <w:color w:val="auto"/>
        </w:rPr>
        <w:t xml:space="preserve">There is an opportunity to involve children, families and communities in informing the priorities of the </w:t>
      </w:r>
      <w:r w:rsidR="0040394D">
        <w:rPr>
          <w:color w:val="auto"/>
        </w:rPr>
        <w:t>successor plan to</w:t>
      </w:r>
      <w:r w:rsidRPr="00105FE6">
        <w:rPr>
          <w:color w:val="auto"/>
        </w:rPr>
        <w:t xml:space="preserve">the National Framework, and in better understanding their experiences of the service system and areas for improvement. This would ensure the </w:t>
      </w:r>
      <w:r w:rsidR="0040394D">
        <w:rPr>
          <w:color w:val="auto"/>
        </w:rPr>
        <w:t xml:space="preserve">successor plan </w:t>
      </w:r>
      <w:r w:rsidRPr="00105FE6">
        <w:rPr>
          <w:color w:val="auto"/>
        </w:rPr>
        <w:t xml:space="preserve">is designed from the perspective of children, families and communities and would help in identifying what would really make a difference to the cohort of people whom the Framework is targeted at. </w:t>
      </w:r>
    </w:p>
    <w:p w14:paraId="06D7B430" w14:textId="59536EAA" w:rsidR="000F3EF8" w:rsidRPr="00105FE6" w:rsidRDefault="000F3EF8" w:rsidP="000F3EF8">
      <w:pPr>
        <w:pStyle w:val="PwCNormal"/>
        <w:rPr>
          <w:color w:val="auto"/>
        </w:rPr>
      </w:pPr>
      <w:r w:rsidRPr="00105FE6">
        <w:rPr>
          <w:color w:val="auto"/>
        </w:rPr>
        <w:t xml:space="preserve">Organisations consulted as part of the evaluation provided a number of examples of children and young people who had poor experiences navigating the current service system. They also spoke of the power of hearing the voices and perspective of service users in identifying areas for improvement. </w:t>
      </w:r>
    </w:p>
    <w:p w14:paraId="1C285175" w14:textId="5AD3DAAF" w:rsidR="000F3EF8" w:rsidRPr="00105FE6" w:rsidRDefault="000F3EF8" w:rsidP="000F3EF8">
      <w:pPr>
        <w:pStyle w:val="PwCNormal"/>
        <w:rPr>
          <w:color w:val="auto"/>
        </w:rPr>
      </w:pPr>
      <w:r w:rsidRPr="00105FE6">
        <w:rPr>
          <w:color w:val="auto"/>
        </w:rPr>
        <w:lastRenderedPageBreak/>
        <w:t xml:space="preserve">Further, supporting communities to have a voice in how services are designed and delivered in their community and how these services are integrated and coordinated is also critical in improving the effectiveness of service system. This could be adopted as a key principle of the </w:t>
      </w:r>
      <w:r w:rsidR="0040394D">
        <w:rPr>
          <w:color w:val="auto"/>
        </w:rPr>
        <w:t>successor plan to</w:t>
      </w:r>
      <w:r w:rsidRPr="00105FE6">
        <w:rPr>
          <w:color w:val="auto"/>
        </w:rPr>
        <w:t xml:space="preserve"> the National Framework. </w:t>
      </w:r>
    </w:p>
    <w:p w14:paraId="51C9BBF0" w14:textId="77777777" w:rsidR="000F3EF8" w:rsidRDefault="000F3EF8" w:rsidP="000F3EF8">
      <w:pPr>
        <w:pStyle w:val="PwCNormal"/>
        <w:numPr>
          <w:ilvl w:val="0"/>
          <w:numId w:val="0"/>
        </w:numPr>
        <w:rPr>
          <w:color w:val="auto"/>
        </w:rPr>
      </w:pPr>
      <w:r w:rsidRPr="00105FE6">
        <w:rPr>
          <w:color w:val="auto"/>
        </w:rPr>
        <w:t>This would also enable greater alignment with the Convention on the Rights of the Child and the United Nations Declaration on the Rights of Indigenous Peoples.</w:t>
      </w:r>
    </w:p>
    <w:p w14:paraId="433BB623" w14:textId="77777777" w:rsidR="00F60BDC" w:rsidRDefault="00847F1A" w:rsidP="000F3EF8">
      <w:pPr>
        <w:pStyle w:val="PwCNormal"/>
        <w:numPr>
          <w:ilvl w:val="0"/>
          <w:numId w:val="0"/>
        </w:numPr>
        <w:rPr>
          <w:b/>
          <w:bCs/>
          <w:color w:val="D04A02" w:themeColor="accent1"/>
        </w:rPr>
      </w:pPr>
      <w:r>
        <w:rPr>
          <w:b/>
          <w:bCs/>
          <w:color w:val="D04A02" w:themeColor="accent1"/>
        </w:rPr>
        <w:t>Conclusion</w:t>
      </w:r>
    </w:p>
    <w:p w14:paraId="3AC918F9" w14:textId="0C79632A" w:rsidR="00874795" w:rsidRPr="005735ED" w:rsidRDefault="00874795" w:rsidP="0067593C">
      <w:pPr>
        <w:pStyle w:val="PwCNormal"/>
        <w:rPr>
          <w:color w:val="auto"/>
        </w:rPr>
      </w:pPr>
      <w:r w:rsidRPr="005735ED">
        <w:rPr>
          <w:color w:val="auto"/>
        </w:rPr>
        <w:t>Reducing child abuse and neglect is a complex issue, requiring a long-term national approach involving governments, non-government and research organisations, the social services sector</w:t>
      </w:r>
      <w:r w:rsidR="005B735B" w:rsidRPr="005735ED">
        <w:rPr>
          <w:color w:val="auto"/>
        </w:rPr>
        <w:t xml:space="preserve"> and </w:t>
      </w:r>
      <w:r w:rsidRPr="005735ED">
        <w:rPr>
          <w:color w:val="auto"/>
        </w:rPr>
        <w:t xml:space="preserve">families and communities. The National Framework has provided a strong platform </w:t>
      </w:r>
      <w:r w:rsidR="00104D77" w:rsidRPr="005735ED">
        <w:rPr>
          <w:color w:val="auto"/>
        </w:rPr>
        <w:t xml:space="preserve">to date </w:t>
      </w:r>
      <w:r w:rsidRPr="005735ED">
        <w:rPr>
          <w:color w:val="auto"/>
        </w:rPr>
        <w:t xml:space="preserve">for national leadership and collaboration on the issue </w:t>
      </w:r>
      <w:r w:rsidR="00D020E7" w:rsidRPr="005735ED">
        <w:rPr>
          <w:color w:val="auto"/>
        </w:rPr>
        <w:t xml:space="preserve">and this can be </w:t>
      </w:r>
      <w:r w:rsidR="00104D77" w:rsidRPr="005735ED">
        <w:rPr>
          <w:color w:val="auto"/>
        </w:rPr>
        <w:t>harnessed</w:t>
      </w:r>
      <w:r w:rsidR="00D020E7" w:rsidRPr="005735ED">
        <w:rPr>
          <w:color w:val="auto"/>
        </w:rPr>
        <w:t xml:space="preserve"> </w:t>
      </w:r>
      <w:r w:rsidR="005B735B" w:rsidRPr="005735ED">
        <w:rPr>
          <w:color w:val="auto"/>
        </w:rPr>
        <w:t xml:space="preserve">going forward in the </w:t>
      </w:r>
      <w:r w:rsidR="0040394D">
        <w:rPr>
          <w:color w:val="auto"/>
        </w:rPr>
        <w:t xml:space="preserve">successor plan to </w:t>
      </w:r>
      <w:r w:rsidR="005B735B" w:rsidRPr="005735ED">
        <w:rPr>
          <w:color w:val="auto"/>
        </w:rPr>
        <w:t>the Framework</w:t>
      </w:r>
      <w:r w:rsidR="00D020E7" w:rsidRPr="005735ED">
        <w:rPr>
          <w:color w:val="auto"/>
        </w:rPr>
        <w:t xml:space="preserve">. </w:t>
      </w:r>
      <w:r w:rsidR="005735ED" w:rsidRPr="005735ED">
        <w:rPr>
          <w:rFonts w:ascii="Arial" w:hAnsi="Arial"/>
          <w:color w:val="222222"/>
          <w:szCs w:val="18"/>
          <w:shd w:val="clear" w:color="auto" w:fill="FFFFFF"/>
        </w:rPr>
        <w:t xml:space="preserve"> </w:t>
      </w:r>
      <w:r w:rsidR="00104D77" w:rsidRPr="005735ED">
        <w:rPr>
          <w:color w:val="auto"/>
        </w:rPr>
        <w:t xml:space="preserve">This evaluation has produced a number of findings and opportunities to strengthen the Framework in its next phase, including on the Framework’s scope and purpose, its supporting governance arrangements and data collection and monitoring. These findings and opportunities and how they relate back to the </w:t>
      </w:r>
      <w:r w:rsidR="005B735B" w:rsidRPr="005735ED">
        <w:rPr>
          <w:color w:val="auto"/>
        </w:rPr>
        <w:t xml:space="preserve">key </w:t>
      </w:r>
      <w:r w:rsidR="00104D77" w:rsidRPr="005735ED">
        <w:rPr>
          <w:color w:val="auto"/>
        </w:rPr>
        <w:t xml:space="preserve">evaluation questions is summarised in </w:t>
      </w:r>
      <w:r w:rsidR="00104D77">
        <w:fldChar w:fldCharType="begin"/>
      </w:r>
      <w:r w:rsidR="00104D77" w:rsidRPr="005735ED">
        <w:rPr>
          <w:color w:val="auto"/>
        </w:rPr>
        <w:instrText xml:space="preserve"> REF _Ref36398459 \h </w:instrText>
      </w:r>
      <w:r w:rsidR="00104D77">
        <w:fldChar w:fldCharType="separate"/>
      </w:r>
      <w:r w:rsidR="00D75351">
        <w:t xml:space="preserve">Figure </w:t>
      </w:r>
      <w:r w:rsidR="00D75351">
        <w:rPr>
          <w:noProof/>
        </w:rPr>
        <w:t>2</w:t>
      </w:r>
      <w:r w:rsidR="00104D77">
        <w:fldChar w:fldCharType="end"/>
      </w:r>
      <w:r w:rsidR="00104D77" w:rsidRPr="005735ED">
        <w:rPr>
          <w:color w:val="auto"/>
        </w:rPr>
        <w:t xml:space="preserve">. </w:t>
      </w:r>
    </w:p>
    <w:p w14:paraId="4FCFD8B4" w14:textId="2F33E247" w:rsidR="000F3EF8" w:rsidRDefault="000F3EF8" w:rsidP="000F3EF8">
      <w:pPr>
        <w:pStyle w:val="Caption"/>
        <w:rPr>
          <w:color w:val="auto"/>
        </w:rPr>
      </w:pPr>
      <w:bookmarkStart w:id="28" w:name="_Ref36398459"/>
      <w:r>
        <w:t xml:space="preserve">Figure </w:t>
      </w:r>
      <w:fldSimple w:instr=" SEQ Figure \* ARABIC ">
        <w:r w:rsidR="00D75351">
          <w:rPr>
            <w:noProof/>
          </w:rPr>
          <w:t>2</w:t>
        </w:r>
      </w:fldSimple>
      <w:bookmarkEnd w:id="28"/>
      <w:r>
        <w:t xml:space="preserve">:  Connection between key evaluation questions, findings and opportunities </w:t>
      </w:r>
    </w:p>
    <w:p w14:paraId="299E648B" w14:textId="751FEE6B" w:rsidR="00B958A1" w:rsidRPr="001F59B3" w:rsidRDefault="00086666" w:rsidP="00E73712">
      <w:pPr>
        <w:pStyle w:val="PwCNormal"/>
        <w:numPr>
          <w:ilvl w:val="0"/>
          <w:numId w:val="0"/>
        </w:numPr>
      </w:pPr>
      <w:r w:rsidRPr="00086666">
        <w:rPr>
          <w:noProof/>
          <w:lang w:eastAsia="en-AU"/>
        </w:rPr>
        <w:drawing>
          <wp:inline distT="0" distB="0" distL="0" distR="0" wp14:anchorId="3AB86AC7" wp14:editId="3E49C4C8">
            <wp:extent cx="6264275" cy="5373370"/>
            <wp:effectExtent l="0" t="0" r="0" b="0"/>
            <wp:docPr id="36" name="Picture 36" descr="This table describes the connection between key evaluation questions, findings and opportunities. The table has three columns with headings the following headings; key evaluation questions, key evaluation findings and opportunities.  The following three points are made under key evaluation quetions. 1. To what extent did the National Framework acheive its intended outcomes and what factors supported or inhibited outcomes? 2. How well did the National Framework support the policy agenda for children and young people? 3. How effective was the development of the National Framework and Action Plan.  The four key evaluation findings are 1. The National Framework has been an important mechanism for national collaboration on protecting Australia's children and reducing child abuse and neglect. 2. While robust prevalence data are not available to accurately measure whether the National Framework acheived its intended outcome of a substanstantial and sustained reduction in child abuse and neglect, available data suggest that this outcome was not acheived.  3. The evolving governance arrangements underpinning the National Framework and the Third and Fourth Action Plans impacted the achievement of the Framework's intended outcomes. 4. The National Framework was not able to fully embed a public health approach and coordinate the policy agenda for children and yougn people.  The five opportunities are 1. Target the national framework towards improving the service system to better support vulnerable children and their families. 2. Establish a governance structure for the next phase of the National framework that enables greater involvement of other relevant portfolio areas. 3. Adopt an outcomes framework to guide and measure efforts and commission a national prevalence study on child abuse and neglect. 4. Implement an independent monitoring and reporting mechanism to ensure accountability. 5. Ensure chidlren, families and communities have an opportunity to inform the next phase of the National Framework." title="Description of 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4275" cy="5373370"/>
                    </a:xfrm>
                    <a:prstGeom prst="rect">
                      <a:avLst/>
                    </a:prstGeom>
                    <a:noFill/>
                    <a:ln>
                      <a:noFill/>
                    </a:ln>
                  </pic:spPr>
                </pic:pic>
              </a:graphicData>
            </a:graphic>
          </wp:inline>
        </w:drawing>
      </w:r>
      <w:bookmarkStart w:id="29" w:name="_Toc30582375"/>
      <w:r w:rsidR="00B958A1">
        <w:br w:type="page"/>
      </w:r>
    </w:p>
    <w:p w14:paraId="3C83ED35" w14:textId="77777777" w:rsidR="00B958A1" w:rsidRDefault="00B958A1" w:rsidP="00B958A1">
      <w:pPr>
        <w:pStyle w:val="Heading6"/>
        <w:numPr>
          <w:ilvl w:val="0"/>
          <w:numId w:val="0"/>
        </w:numPr>
      </w:pPr>
      <w:bookmarkStart w:id="30" w:name="_Toc42847832"/>
      <w:r>
        <w:lastRenderedPageBreak/>
        <w:t>Terms and acronyms</w:t>
      </w:r>
      <w:bookmarkEnd w:id="29"/>
      <w:bookmarkEnd w:id="30"/>
    </w:p>
    <w:p w14:paraId="2C2FD363" w14:textId="3B81301F" w:rsidR="00B958A1" w:rsidRPr="0012019C" w:rsidRDefault="00B958A1" w:rsidP="008552A8">
      <w:pPr>
        <w:pStyle w:val="Caption"/>
        <w:spacing w:before="120"/>
      </w:pPr>
      <w:r>
        <w:t xml:space="preserve">Table </w:t>
      </w:r>
      <w:fldSimple w:instr=" SEQ Table \* ARABIC ">
        <w:r w:rsidR="00D75351">
          <w:rPr>
            <w:noProof/>
          </w:rPr>
          <w:t>1</w:t>
        </w:r>
      </w:fldSimple>
      <w:r>
        <w:t>: Terms and acronyms</w:t>
      </w:r>
    </w:p>
    <w:tbl>
      <w:tblPr>
        <w:tblStyle w:val="PwCColour"/>
        <w:tblW w:w="5000" w:type="pct"/>
        <w:tblLook w:val="01E0" w:firstRow="1" w:lastRow="1" w:firstColumn="1" w:lastColumn="1" w:noHBand="0" w:noVBand="0"/>
        <w:tblCaption w:val="Description of table one, terms and acronyms"/>
        <w:tblDescription w:val="Table of terms or acronyms and their definition. ABS is the acronym for the Australian Bureau of Statistics. ACCO is the acronym for Aboriginal Community Controlled Organisation. AIFS is the acronym for the Australian Institute of Family Studies. AIHW is the acronym for the Australian Institute of Health and Welfare. ARACY is the acronym for the Australian Research Alliance for Children and Youth. ATSICPP is the acronym for Aboriginal and Torres Strait Islander Child Placement Principle. ATSIWG is the acronym for Aboriginal and Torres Strait Islander Working Group. BCAP is the acronym for Building Capacity in Australian Parents. CAA is the acronym for Child Aware Approaches. CAFDaN is the acronym for Children and Families Data Network. CAFS is the acronym for Children and Families Secretaries group. CALD is the acronym for Culturally and linguistically diverse. CDSMAC is the acronym for Community and Disability Services Ministers’ Advisory Committee. COAG is the acronym for Council of Australian Governments. CSM is the acronym for Community Services Ministers. DCP is the acronym for the Department for Child Protection. SA is the acronym for Services Australia. DoH is the acronym for the Department of Health (Commonwealth). DPMC is the acronym for the Department of Prime Minister and Cabinet (Commonwealth). DSS is the acronym for the Department of Social Services. Indigenous The term ‘Indigenous’ has been used throughout this report when referring to both Aboriginal and Torres Strait Islander people. Where quoting source material, Aboriginal, Aboriginal and Torres Strait Islander or Indigenous may be used as per the relevant source. NAPCAN is the acronym for the National Association for the Prevention of Child Abuse and Neglect. National Coalition refers to the National Coalition on Child Safety and Wellbeing. National Forum refers to the National Forum for Protecting Australia’s Children. National Principles refers to the National Principles for Child Safe Organisations. National Standards refers to the National Standards for out of home care. NDIA is the acronym for the National Disability Insurance Agency. NGO is the acronym for non government organisation. NOCS is the acronym for the National Office for Child Safety. OOHC is the acronym for out of home care. RoGS is the acronym for the Report on Government Services. SIG is the acronym for Strategic Information Group. TIA Towards Independent Adulthood TILA Transition to Independent Living Allowance. UNCRC UN Convention on the Rights of the Child. "/>
      </w:tblPr>
      <w:tblGrid>
        <w:gridCol w:w="2123"/>
        <w:gridCol w:w="7732"/>
      </w:tblGrid>
      <w:tr w:rsidR="00B958A1" w:rsidRPr="006842FF" w14:paraId="5D9D92DA" w14:textId="77777777" w:rsidTr="00C6518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077" w:type="pct"/>
          </w:tcPr>
          <w:p w14:paraId="41CD3B3B" w14:textId="77777777" w:rsidR="00B958A1" w:rsidRPr="006842FF" w:rsidRDefault="00B958A1" w:rsidP="005E79DD">
            <w:pPr>
              <w:pStyle w:val="TableColumnHeadingNormal"/>
              <w:spacing w:before="40" w:after="40"/>
            </w:pPr>
            <w:r>
              <w:t>Term or acronym</w:t>
            </w:r>
          </w:p>
        </w:tc>
        <w:tc>
          <w:tcPr>
            <w:tcW w:w="3923" w:type="pct"/>
          </w:tcPr>
          <w:p w14:paraId="79661E19" w14:textId="77777777" w:rsidR="00B958A1" w:rsidRPr="006842FF" w:rsidRDefault="00B958A1" w:rsidP="005E79DD">
            <w:pPr>
              <w:pStyle w:val="TableColumnHeadingNormal"/>
              <w:spacing w:before="40" w:after="40"/>
              <w:cnfStyle w:val="100000000000" w:firstRow="1" w:lastRow="0" w:firstColumn="0" w:lastColumn="0" w:oddVBand="0" w:evenVBand="0" w:oddHBand="0" w:evenHBand="0" w:firstRowFirstColumn="0" w:firstRowLastColumn="0" w:lastRowFirstColumn="0" w:lastRowLastColumn="0"/>
            </w:pPr>
            <w:r>
              <w:t>Definition</w:t>
            </w:r>
          </w:p>
        </w:tc>
      </w:tr>
      <w:tr w:rsidR="00B958A1" w:rsidRPr="006842FF" w14:paraId="3D7ED60A" w14:textId="77777777" w:rsidTr="00C65184">
        <w:tc>
          <w:tcPr>
            <w:tcW w:w="1077" w:type="pct"/>
          </w:tcPr>
          <w:p w14:paraId="01179316" w14:textId="77777777" w:rsidR="00B958A1" w:rsidRPr="000324A4" w:rsidRDefault="00B958A1" w:rsidP="005E79DD">
            <w:pPr>
              <w:spacing w:before="40" w:after="40"/>
              <w:rPr>
                <w:lang w:eastAsia="en-AU"/>
              </w:rPr>
            </w:pPr>
            <w:r w:rsidRPr="000324A4">
              <w:rPr>
                <w:lang w:eastAsia="en-AU"/>
              </w:rPr>
              <w:t>ABS</w:t>
            </w:r>
          </w:p>
        </w:tc>
        <w:tc>
          <w:tcPr>
            <w:tcW w:w="3923" w:type="pct"/>
          </w:tcPr>
          <w:p w14:paraId="007256F6" w14:textId="77777777" w:rsidR="00B958A1" w:rsidRPr="000324A4" w:rsidRDefault="00B958A1" w:rsidP="005E79DD">
            <w:pPr>
              <w:spacing w:before="40" w:after="40"/>
              <w:rPr>
                <w:lang w:eastAsia="en-AU"/>
              </w:rPr>
            </w:pPr>
            <w:r w:rsidRPr="000324A4">
              <w:rPr>
                <w:lang w:eastAsia="en-AU"/>
              </w:rPr>
              <w:t>Australian Bureau of Statistics</w:t>
            </w:r>
          </w:p>
        </w:tc>
      </w:tr>
      <w:tr w:rsidR="00B958A1" w:rsidRPr="006842FF" w14:paraId="0FAD8F25" w14:textId="77777777" w:rsidTr="00C65184">
        <w:tc>
          <w:tcPr>
            <w:tcW w:w="1077" w:type="pct"/>
          </w:tcPr>
          <w:p w14:paraId="45E60539" w14:textId="77777777" w:rsidR="00B958A1" w:rsidRPr="000324A4" w:rsidRDefault="00B958A1" w:rsidP="005E79DD">
            <w:pPr>
              <w:spacing w:before="40" w:after="40"/>
              <w:rPr>
                <w:lang w:eastAsia="en-AU"/>
              </w:rPr>
            </w:pPr>
            <w:r w:rsidRPr="000324A4">
              <w:rPr>
                <w:lang w:eastAsia="en-AU"/>
              </w:rPr>
              <w:t>ACCO</w:t>
            </w:r>
          </w:p>
        </w:tc>
        <w:tc>
          <w:tcPr>
            <w:tcW w:w="3923" w:type="pct"/>
          </w:tcPr>
          <w:p w14:paraId="24634728" w14:textId="77777777" w:rsidR="00B958A1" w:rsidRPr="000324A4" w:rsidRDefault="00B958A1" w:rsidP="005E79DD">
            <w:pPr>
              <w:spacing w:before="40" w:after="40"/>
              <w:rPr>
                <w:lang w:eastAsia="en-AU"/>
              </w:rPr>
            </w:pPr>
            <w:r w:rsidRPr="000324A4">
              <w:rPr>
                <w:lang w:eastAsia="en-AU"/>
              </w:rPr>
              <w:t>Aboriginal Community Controlled Organisation</w:t>
            </w:r>
          </w:p>
        </w:tc>
      </w:tr>
      <w:tr w:rsidR="00B958A1" w:rsidRPr="006842FF" w14:paraId="6D040DB5" w14:textId="77777777" w:rsidTr="00C65184">
        <w:tc>
          <w:tcPr>
            <w:tcW w:w="1077" w:type="pct"/>
          </w:tcPr>
          <w:p w14:paraId="1059281B" w14:textId="77777777" w:rsidR="00B958A1" w:rsidRPr="000324A4" w:rsidRDefault="00B958A1" w:rsidP="005E79DD">
            <w:pPr>
              <w:spacing w:before="40" w:after="40"/>
              <w:rPr>
                <w:lang w:eastAsia="en-AU"/>
              </w:rPr>
            </w:pPr>
            <w:r>
              <w:rPr>
                <w:lang w:eastAsia="en-AU"/>
              </w:rPr>
              <w:t>AIFS</w:t>
            </w:r>
          </w:p>
        </w:tc>
        <w:tc>
          <w:tcPr>
            <w:tcW w:w="3923" w:type="pct"/>
          </w:tcPr>
          <w:p w14:paraId="476446FC" w14:textId="77777777" w:rsidR="00B958A1" w:rsidRPr="000324A4" w:rsidRDefault="009B0675" w:rsidP="005E79DD">
            <w:pPr>
              <w:spacing w:before="40" w:after="40"/>
              <w:rPr>
                <w:lang w:eastAsia="en-AU"/>
              </w:rPr>
            </w:pPr>
            <w:r>
              <w:rPr>
                <w:lang w:eastAsia="en-AU"/>
              </w:rPr>
              <w:t>Australian Institute of Family Studies</w:t>
            </w:r>
          </w:p>
        </w:tc>
      </w:tr>
      <w:tr w:rsidR="00B958A1" w:rsidRPr="006842FF" w14:paraId="0D0062B2" w14:textId="77777777" w:rsidTr="00C65184">
        <w:tc>
          <w:tcPr>
            <w:tcW w:w="1077" w:type="pct"/>
          </w:tcPr>
          <w:p w14:paraId="4F8EC2A1" w14:textId="77777777" w:rsidR="00B958A1" w:rsidRPr="000324A4" w:rsidRDefault="00B958A1" w:rsidP="005E79DD">
            <w:pPr>
              <w:spacing w:before="40" w:after="40"/>
              <w:rPr>
                <w:lang w:eastAsia="en-AU"/>
              </w:rPr>
            </w:pPr>
            <w:r w:rsidRPr="000324A4">
              <w:rPr>
                <w:lang w:eastAsia="en-AU"/>
              </w:rPr>
              <w:t>AIHW</w:t>
            </w:r>
          </w:p>
        </w:tc>
        <w:tc>
          <w:tcPr>
            <w:tcW w:w="3923" w:type="pct"/>
          </w:tcPr>
          <w:p w14:paraId="32CD674A" w14:textId="77777777" w:rsidR="00B958A1" w:rsidRPr="000324A4" w:rsidRDefault="00B958A1" w:rsidP="005E79DD">
            <w:pPr>
              <w:spacing w:before="40" w:after="40"/>
              <w:rPr>
                <w:lang w:eastAsia="en-AU"/>
              </w:rPr>
            </w:pPr>
            <w:r w:rsidRPr="000324A4">
              <w:rPr>
                <w:lang w:eastAsia="en-AU"/>
              </w:rPr>
              <w:t>Australian Institute of Health and Welfare</w:t>
            </w:r>
          </w:p>
        </w:tc>
      </w:tr>
      <w:tr w:rsidR="00B958A1" w:rsidRPr="006842FF" w14:paraId="570BB112" w14:textId="77777777" w:rsidTr="00C65184">
        <w:tc>
          <w:tcPr>
            <w:tcW w:w="1077" w:type="pct"/>
          </w:tcPr>
          <w:p w14:paraId="62D6EDDA" w14:textId="77777777" w:rsidR="00B958A1" w:rsidRPr="000324A4" w:rsidRDefault="00B958A1" w:rsidP="005E79DD">
            <w:pPr>
              <w:spacing w:before="40" w:after="40"/>
              <w:rPr>
                <w:lang w:eastAsia="en-AU"/>
              </w:rPr>
            </w:pPr>
            <w:r w:rsidRPr="000324A4">
              <w:rPr>
                <w:lang w:eastAsia="en-AU"/>
              </w:rPr>
              <w:t>ARACY</w:t>
            </w:r>
          </w:p>
        </w:tc>
        <w:tc>
          <w:tcPr>
            <w:tcW w:w="3923" w:type="pct"/>
          </w:tcPr>
          <w:p w14:paraId="6A6F9DF5" w14:textId="77777777" w:rsidR="00B958A1" w:rsidRPr="000324A4" w:rsidRDefault="00B958A1" w:rsidP="005E79DD">
            <w:pPr>
              <w:spacing w:before="40" w:after="40"/>
              <w:rPr>
                <w:lang w:eastAsia="en-AU"/>
              </w:rPr>
            </w:pPr>
            <w:r w:rsidRPr="000324A4">
              <w:rPr>
                <w:iCs/>
                <w:lang w:eastAsia="en-AU"/>
              </w:rPr>
              <w:t>Australian Research Alliance for Children and Youth</w:t>
            </w:r>
          </w:p>
        </w:tc>
      </w:tr>
      <w:tr w:rsidR="00B958A1" w:rsidRPr="006842FF" w14:paraId="05091BC1" w14:textId="77777777" w:rsidTr="00C65184">
        <w:tc>
          <w:tcPr>
            <w:tcW w:w="1077" w:type="pct"/>
          </w:tcPr>
          <w:p w14:paraId="7694DD0C" w14:textId="77777777" w:rsidR="00B958A1" w:rsidRPr="000324A4" w:rsidRDefault="00B958A1" w:rsidP="005E79DD">
            <w:pPr>
              <w:spacing w:before="40" w:after="40"/>
              <w:rPr>
                <w:lang w:eastAsia="en-AU"/>
              </w:rPr>
            </w:pPr>
            <w:r w:rsidRPr="000324A4">
              <w:rPr>
                <w:lang w:eastAsia="en-AU"/>
              </w:rPr>
              <w:t>ATSICPP</w:t>
            </w:r>
          </w:p>
        </w:tc>
        <w:tc>
          <w:tcPr>
            <w:tcW w:w="3923" w:type="pct"/>
          </w:tcPr>
          <w:p w14:paraId="47F10993" w14:textId="77777777" w:rsidR="00B958A1" w:rsidRPr="000324A4" w:rsidRDefault="00B958A1" w:rsidP="005E79DD">
            <w:pPr>
              <w:spacing w:before="40" w:after="40"/>
              <w:rPr>
                <w:lang w:eastAsia="en-AU"/>
              </w:rPr>
            </w:pPr>
            <w:r w:rsidRPr="000324A4">
              <w:rPr>
                <w:lang w:eastAsia="en-AU"/>
              </w:rPr>
              <w:t>Aboriginal and Torres Strait Islander Child Placement Principle</w:t>
            </w:r>
          </w:p>
        </w:tc>
      </w:tr>
      <w:tr w:rsidR="003557B2" w:rsidRPr="006842FF" w14:paraId="34998E6D" w14:textId="77777777" w:rsidTr="00C65184">
        <w:tc>
          <w:tcPr>
            <w:tcW w:w="1077" w:type="pct"/>
          </w:tcPr>
          <w:p w14:paraId="497A7C4D" w14:textId="77777777" w:rsidR="003557B2" w:rsidRPr="000324A4" w:rsidRDefault="003557B2" w:rsidP="005E79DD">
            <w:pPr>
              <w:spacing w:before="40" w:after="40"/>
              <w:rPr>
                <w:lang w:eastAsia="en-AU"/>
              </w:rPr>
            </w:pPr>
            <w:r>
              <w:rPr>
                <w:lang w:eastAsia="en-AU"/>
              </w:rPr>
              <w:t>ATSIWG</w:t>
            </w:r>
          </w:p>
        </w:tc>
        <w:tc>
          <w:tcPr>
            <w:tcW w:w="3923" w:type="pct"/>
          </w:tcPr>
          <w:p w14:paraId="7AFF70DB" w14:textId="77777777" w:rsidR="003557B2" w:rsidRPr="000324A4" w:rsidRDefault="003557B2" w:rsidP="005E79DD">
            <w:pPr>
              <w:spacing w:before="40" w:after="40"/>
              <w:rPr>
                <w:lang w:eastAsia="en-AU"/>
              </w:rPr>
            </w:pPr>
            <w:r w:rsidRPr="000324A4">
              <w:rPr>
                <w:lang w:eastAsia="en-AU"/>
              </w:rPr>
              <w:t>Aboriginal and Torres Strait Islander</w:t>
            </w:r>
            <w:r>
              <w:rPr>
                <w:lang w:eastAsia="en-AU"/>
              </w:rPr>
              <w:t xml:space="preserve"> Working Group</w:t>
            </w:r>
          </w:p>
        </w:tc>
      </w:tr>
      <w:tr w:rsidR="00B958A1" w:rsidRPr="006842FF" w14:paraId="0FA70EAF" w14:textId="77777777" w:rsidTr="00C65184">
        <w:tc>
          <w:tcPr>
            <w:tcW w:w="1077" w:type="pct"/>
          </w:tcPr>
          <w:p w14:paraId="01F9B1A9" w14:textId="77777777" w:rsidR="00B958A1" w:rsidRPr="000324A4" w:rsidRDefault="00B958A1" w:rsidP="005E79DD">
            <w:pPr>
              <w:spacing w:before="40" w:after="40"/>
              <w:rPr>
                <w:lang w:eastAsia="en-AU"/>
              </w:rPr>
            </w:pPr>
            <w:r w:rsidRPr="000324A4">
              <w:rPr>
                <w:lang w:eastAsia="en-AU"/>
              </w:rPr>
              <w:t>BCAP</w:t>
            </w:r>
          </w:p>
        </w:tc>
        <w:tc>
          <w:tcPr>
            <w:tcW w:w="3923" w:type="pct"/>
          </w:tcPr>
          <w:p w14:paraId="63214D80" w14:textId="77777777" w:rsidR="00B958A1" w:rsidRPr="000324A4" w:rsidRDefault="00B958A1" w:rsidP="005E79DD">
            <w:pPr>
              <w:spacing w:before="40" w:after="40"/>
              <w:rPr>
                <w:lang w:eastAsia="en-AU"/>
              </w:rPr>
            </w:pPr>
            <w:r w:rsidRPr="000324A4">
              <w:rPr>
                <w:iCs/>
                <w:lang w:eastAsia="en-AU"/>
              </w:rPr>
              <w:t xml:space="preserve">Building Capacity in Australian </w:t>
            </w:r>
            <w:r w:rsidRPr="000324A4">
              <w:rPr>
                <w:lang w:eastAsia="en-AU"/>
              </w:rPr>
              <w:t>Parents</w:t>
            </w:r>
          </w:p>
        </w:tc>
      </w:tr>
      <w:tr w:rsidR="00B958A1" w:rsidRPr="006842FF" w14:paraId="55B1FAD3" w14:textId="77777777" w:rsidTr="00C65184">
        <w:tc>
          <w:tcPr>
            <w:tcW w:w="1077" w:type="pct"/>
          </w:tcPr>
          <w:p w14:paraId="16EAF843" w14:textId="77777777" w:rsidR="00B958A1" w:rsidRPr="000324A4" w:rsidRDefault="00B958A1" w:rsidP="005E79DD">
            <w:pPr>
              <w:spacing w:before="40" w:after="40"/>
              <w:rPr>
                <w:lang w:eastAsia="en-AU"/>
              </w:rPr>
            </w:pPr>
            <w:r w:rsidRPr="000324A4">
              <w:rPr>
                <w:lang w:eastAsia="en-AU"/>
              </w:rPr>
              <w:t>CAA</w:t>
            </w:r>
          </w:p>
        </w:tc>
        <w:tc>
          <w:tcPr>
            <w:tcW w:w="3923" w:type="pct"/>
          </w:tcPr>
          <w:p w14:paraId="4F42EE04" w14:textId="77777777" w:rsidR="00B958A1" w:rsidRPr="000324A4" w:rsidRDefault="00B958A1" w:rsidP="005E79DD">
            <w:pPr>
              <w:spacing w:before="40" w:after="40"/>
              <w:rPr>
                <w:lang w:eastAsia="en-AU"/>
              </w:rPr>
            </w:pPr>
            <w:r w:rsidRPr="000324A4">
              <w:rPr>
                <w:lang w:eastAsia="en-AU"/>
              </w:rPr>
              <w:t>Child Aware Approaches</w:t>
            </w:r>
          </w:p>
        </w:tc>
      </w:tr>
      <w:tr w:rsidR="00BF2793" w:rsidRPr="006842FF" w14:paraId="517BB183" w14:textId="77777777" w:rsidTr="00C65184">
        <w:tc>
          <w:tcPr>
            <w:tcW w:w="1077" w:type="pct"/>
          </w:tcPr>
          <w:p w14:paraId="27F055A8" w14:textId="77777777" w:rsidR="00BF2793" w:rsidRPr="000324A4" w:rsidRDefault="00BF2793" w:rsidP="005E79DD">
            <w:pPr>
              <w:spacing w:before="40" w:after="40"/>
              <w:rPr>
                <w:lang w:eastAsia="en-AU"/>
              </w:rPr>
            </w:pPr>
            <w:r>
              <w:rPr>
                <w:lang w:eastAsia="en-AU"/>
              </w:rPr>
              <w:t>CAFDaN</w:t>
            </w:r>
          </w:p>
        </w:tc>
        <w:tc>
          <w:tcPr>
            <w:tcW w:w="3923" w:type="pct"/>
          </w:tcPr>
          <w:p w14:paraId="4A12E22D" w14:textId="77777777" w:rsidR="00BF2793" w:rsidRPr="000324A4" w:rsidRDefault="00BF2793" w:rsidP="005E79DD">
            <w:pPr>
              <w:spacing w:before="40" w:after="40"/>
              <w:rPr>
                <w:lang w:eastAsia="en-AU"/>
              </w:rPr>
            </w:pPr>
            <w:r>
              <w:rPr>
                <w:lang w:eastAsia="en-AU"/>
              </w:rPr>
              <w:t>Children and Families Data Network</w:t>
            </w:r>
          </w:p>
        </w:tc>
      </w:tr>
      <w:tr w:rsidR="00B958A1" w:rsidRPr="006842FF" w14:paraId="10AE64B7" w14:textId="77777777" w:rsidTr="00C65184">
        <w:tc>
          <w:tcPr>
            <w:tcW w:w="1077" w:type="pct"/>
          </w:tcPr>
          <w:p w14:paraId="1155CE47" w14:textId="77777777" w:rsidR="00B958A1" w:rsidRPr="000324A4" w:rsidRDefault="00B958A1" w:rsidP="005E79DD">
            <w:pPr>
              <w:spacing w:before="40" w:after="40"/>
              <w:rPr>
                <w:lang w:eastAsia="en-AU"/>
              </w:rPr>
            </w:pPr>
            <w:r w:rsidRPr="000324A4">
              <w:rPr>
                <w:lang w:val="en-US" w:eastAsia="en-AU"/>
              </w:rPr>
              <w:t>CAFS</w:t>
            </w:r>
          </w:p>
        </w:tc>
        <w:tc>
          <w:tcPr>
            <w:tcW w:w="3923" w:type="pct"/>
          </w:tcPr>
          <w:p w14:paraId="23D72B8C" w14:textId="77777777" w:rsidR="00B958A1" w:rsidRPr="000324A4" w:rsidRDefault="00B958A1" w:rsidP="005E79DD">
            <w:pPr>
              <w:spacing w:before="40" w:after="40"/>
              <w:rPr>
                <w:lang w:eastAsia="en-AU"/>
              </w:rPr>
            </w:pPr>
            <w:r w:rsidRPr="000324A4">
              <w:rPr>
                <w:lang w:val="en-US" w:eastAsia="en-AU"/>
              </w:rPr>
              <w:t xml:space="preserve">Children and Families Secretaries group </w:t>
            </w:r>
          </w:p>
        </w:tc>
      </w:tr>
      <w:tr w:rsidR="00C65184" w:rsidRPr="006842FF" w14:paraId="20E3AD8C" w14:textId="77777777" w:rsidTr="00C65184">
        <w:tc>
          <w:tcPr>
            <w:tcW w:w="1077" w:type="pct"/>
          </w:tcPr>
          <w:p w14:paraId="0D5A8591" w14:textId="77777777" w:rsidR="00C65184" w:rsidRPr="000324A4" w:rsidRDefault="00C65184" w:rsidP="005E79DD">
            <w:pPr>
              <w:spacing w:before="40" w:after="40"/>
              <w:rPr>
                <w:lang w:val="en-US" w:eastAsia="en-AU"/>
              </w:rPr>
            </w:pPr>
            <w:r>
              <w:rPr>
                <w:lang w:val="en-US" w:eastAsia="en-AU"/>
              </w:rPr>
              <w:t>CALD</w:t>
            </w:r>
          </w:p>
        </w:tc>
        <w:tc>
          <w:tcPr>
            <w:tcW w:w="3923" w:type="pct"/>
          </w:tcPr>
          <w:p w14:paraId="64C2D148" w14:textId="77777777" w:rsidR="00C65184" w:rsidRPr="000324A4" w:rsidRDefault="00C65184" w:rsidP="005E79DD">
            <w:pPr>
              <w:spacing w:before="40" w:after="40"/>
              <w:rPr>
                <w:lang w:val="en-US" w:eastAsia="en-AU"/>
              </w:rPr>
            </w:pPr>
            <w:r>
              <w:rPr>
                <w:lang w:val="en-US" w:eastAsia="en-AU"/>
              </w:rPr>
              <w:t>Culturally and linguistically diverse</w:t>
            </w:r>
          </w:p>
        </w:tc>
      </w:tr>
      <w:tr w:rsidR="00BF2793" w:rsidRPr="006842FF" w14:paraId="22A6A5D6" w14:textId="77777777" w:rsidTr="00C65184">
        <w:tc>
          <w:tcPr>
            <w:tcW w:w="1077" w:type="pct"/>
          </w:tcPr>
          <w:p w14:paraId="59858709" w14:textId="77777777" w:rsidR="00BF2793" w:rsidRPr="000324A4" w:rsidRDefault="00BF2793" w:rsidP="005E79DD">
            <w:pPr>
              <w:spacing w:before="40" w:after="40"/>
              <w:rPr>
                <w:lang w:val="en-US" w:eastAsia="en-AU"/>
              </w:rPr>
            </w:pPr>
            <w:r>
              <w:rPr>
                <w:lang w:val="en-US" w:eastAsia="en-AU"/>
              </w:rPr>
              <w:t>CDSMAC</w:t>
            </w:r>
          </w:p>
        </w:tc>
        <w:tc>
          <w:tcPr>
            <w:tcW w:w="3923" w:type="pct"/>
          </w:tcPr>
          <w:p w14:paraId="729A406E" w14:textId="77777777" w:rsidR="00BF2793" w:rsidRPr="000324A4" w:rsidRDefault="00BF2793" w:rsidP="005E79DD">
            <w:pPr>
              <w:spacing w:before="40" w:after="40"/>
              <w:rPr>
                <w:lang w:val="en-US" w:eastAsia="en-AU"/>
              </w:rPr>
            </w:pPr>
            <w:r w:rsidRPr="00D60832">
              <w:t>Community and Disability Services Ministers’ Advisory Committee</w:t>
            </w:r>
          </w:p>
        </w:tc>
      </w:tr>
      <w:tr w:rsidR="00B958A1" w:rsidRPr="006842FF" w14:paraId="6C7EC5E2" w14:textId="77777777" w:rsidTr="00C65184">
        <w:tc>
          <w:tcPr>
            <w:tcW w:w="1077" w:type="pct"/>
          </w:tcPr>
          <w:p w14:paraId="6E34CF8B" w14:textId="77777777" w:rsidR="00B958A1" w:rsidRPr="000324A4" w:rsidRDefault="00B958A1" w:rsidP="005E79DD">
            <w:pPr>
              <w:spacing w:before="40" w:after="40"/>
              <w:rPr>
                <w:lang w:eastAsia="en-AU"/>
              </w:rPr>
            </w:pPr>
            <w:r w:rsidRPr="000324A4">
              <w:rPr>
                <w:lang w:eastAsia="en-AU"/>
              </w:rPr>
              <w:t>COAG</w:t>
            </w:r>
          </w:p>
        </w:tc>
        <w:tc>
          <w:tcPr>
            <w:tcW w:w="3923" w:type="pct"/>
          </w:tcPr>
          <w:p w14:paraId="7B0AE84D" w14:textId="77777777" w:rsidR="00B958A1" w:rsidRPr="000324A4" w:rsidRDefault="00B958A1" w:rsidP="005E79DD">
            <w:pPr>
              <w:spacing w:before="40" w:after="40"/>
              <w:rPr>
                <w:lang w:eastAsia="en-AU"/>
              </w:rPr>
            </w:pPr>
            <w:r w:rsidRPr="000324A4">
              <w:rPr>
                <w:lang w:eastAsia="en-AU"/>
              </w:rPr>
              <w:t>Council of Australian Governments</w:t>
            </w:r>
          </w:p>
        </w:tc>
      </w:tr>
      <w:tr w:rsidR="00B958A1" w:rsidRPr="006842FF" w14:paraId="315766FD" w14:textId="77777777" w:rsidTr="00C65184">
        <w:tc>
          <w:tcPr>
            <w:tcW w:w="1077" w:type="pct"/>
          </w:tcPr>
          <w:p w14:paraId="567A6F4E" w14:textId="77777777" w:rsidR="00B958A1" w:rsidRPr="000324A4" w:rsidRDefault="00B958A1" w:rsidP="005E79DD">
            <w:pPr>
              <w:spacing w:before="40" w:after="40"/>
              <w:rPr>
                <w:lang w:eastAsia="en-AU"/>
              </w:rPr>
            </w:pPr>
            <w:r>
              <w:rPr>
                <w:lang w:eastAsia="en-AU"/>
              </w:rPr>
              <w:t>CSM</w:t>
            </w:r>
          </w:p>
        </w:tc>
        <w:tc>
          <w:tcPr>
            <w:tcW w:w="3923" w:type="pct"/>
          </w:tcPr>
          <w:p w14:paraId="320CD515" w14:textId="77777777" w:rsidR="00B958A1" w:rsidRPr="000324A4" w:rsidRDefault="009B0675" w:rsidP="005E79DD">
            <w:pPr>
              <w:spacing w:before="40" w:after="40"/>
              <w:rPr>
                <w:lang w:eastAsia="en-AU"/>
              </w:rPr>
            </w:pPr>
            <w:r>
              <w:rPr>
                <w:lang w:eastAsia="en-AU"/>
              </w:rPr>
              <w:t>Community Services Ministers</w:t>
            </w:r>
          </w:p>
        </w:tc>
      </w:tr>
      <w:tr w:rsidR="00B958A1" w:rsidRPr="006842FF" w14:paraId="52171F96" w14:textId="77777777" w:rsidTr="00C65184">
        <w:tc>
          <w:tcPr>
            <w:tcW w:w="1077" w:type="pct"/>
          </w:tcPr>
          <w:p w14:paraId="0116C205" w14:textId="77777777" w:rsidR="00B958A1" w:rsidRPr="000324A4" w:rsidRDefault="00B958A1" w:rsidP="005E79DD">
            <w:pPr>
              <w:spacing w:before="40" w:after="40"/>
              <w:rPr>
                <w:lang w:eastAsia="en-AU"/>
              </w:rPr>
            </w:pPr>
            <w:r w:rsidRPr="000324A4">
              <w:rPr>
                <w:lang w:eastAsia="en-AU"/>
              </w:rPr>
              <w:t>DCP</w:t>
            </w:r>
          </w:p>
        </w:tc>
        <w:tc>
          <w:tcPr>
            <w:tcW w:w="3923" w:type="pct"/>
          </w:tcPr>
          <w:p w14:paraId="611DDF94" w14:textId="77777777" w:rsidR="00B958A1" w:rsidRPr="000324A4" w:rsidRDefault="00B958A1" w:rsidP="005E79DD">
            <w:pPr>
              <w:spacing w:before="40" w:after="40"/>
              <w:rPr>
                <w:lang w:eastAsia="en-AU"/>
              </w:rPr>
            </w:pPr>
            <w:r w:rsidRPr="000324A4">
              <w:rPr>
                <w:lang w:eastAsia="en-AU"/>
              </w:rPr>
              <w:t>Department for Child Protection</w:t>
            </w:r>
          </w:p>
        </w:tc>
      </w:tr>
      <w:tr w:rsidR="00B958A1" w:rsidRPr="006842FF" w14:paraId="76378AAC" w14:textId="77777777" w:rsidTr="00C65184">
        <w:tc>
          <w:tcPr>
            <w:tcW w:w="1077" w:type="pct"/>
          </w:tcPr>
          <w:p w14:paraId="5C23953B" w14:textId="0E640F39" w:rsidR="00B958A1" w:rsidRPr="000324A4" w:rsidRDefault="000848B5" w:rsidP="005E79DD">
            <w:pPr>
              <w:spacing w:before="40" w:after="40"/>
              <w:rPr>
                <w:lang w:eastAsia="en-AU"/>
              </w:rPr>
            </w:pPr>
            <w:r>
              <w:rPr>
                <w:lang w:eastAsia="en-AU"/>
              </w:rPr>
              <w:t>SA</w:t>
            </w:r>
          </w:p>
        </w:tc>
        <w:tc>
          <w:tcPr>
            <w:tcW w:w="3923" w:type="pct"/>
          </w:tcPr>
          <w:p w14:paraId="5C20ED2C" w14:textId="7568AC54" w:rsidR="00B958A1" w:rsidRPr="000324A4" w:rsidRDefault="000848B5" w:rsidP="005E79DD">
            <w:pPr>
              <w:spacing w:before="40" w:after="40"/>
              <w:rPr>
                <w:lang w:eastAsia="en-AU"/>
              </w:rPr>
            </w:pPr>
            <w:r>
              <w:rPr>
                <w:lang w:eastAsia="en-AU"/>
              </w:rPr>
              <w:t>Services Australia</w:t>
            </w:r>
          </w:p>
        </w:tc>
      </w:tr>
      <w:tr w:rsidR="00BF2793" w:rsidRPr="006842FF" w14:paraId="53082951" w14:textId="77777777" w:rsidTr="00C65184">
        <w:tc>
          <w:tcPr>
            <w:tcW w:w="1077" w:type="pct"/>
          </w:tcPr>
          <w:p w14:paraId="4BCFD295" w14:textId="77777777" w:rsidR="00BF2793" w:rsidRPr="000324A4" w:rsidRDefault="00BF2793" w:rsidP="005E79DD">
            <w:pPr>
              <w:spacing w:before="40" w:after="40"/>
              <w:rPr>
                <w:lang w:eastAsia="en-AU"/>
              </w:rPr>
            </w:pPr>
            <w:r>
              <w:rPr>
                <w:lang w:eastAsia="en-AU"/>
              </w:rPr>
              <w:t>DoH</w:t>
            </w:r>
          </w:p>
        </w:tc>
        <w:tc>
          <w:tcPr>
            <w:tcW w:w="3923" w:type="pct"/>
          </w:tcPr>
          <w:p w14:paraId="7ECE7FC2" w14:textId="77777777" w:rsidR="00BF2793" w:rsidRPr="000324A4" w:rsidRDefault="00BF2793" w:rsidP="005E79DD">
            <w:pPr>
              <w:spacing w:before="40" w:after="40"/>
              <w:rPr>
                <w:lang w:eastAsia="en-AU"/>
              </w:rPr>
            </w:pPr>
            <w:r>
              <w:rPr>
                <w:lang w:eastAsia="en-AU"/>
              </w:rPr>
              <w:t>Department of Health (Commonwealth)</w:t>
            </w:r>
          </w:p>
        </w:tc>
      </w:tr>
      <w:tr w:rsidR="00BF2793" w:rsidRPr="006842FF" w14:paraId="020D5A7A" w14:textId="77777777" w:rsidTr="00C65184">
        <w:tc>
          <w:tcPr>
            <w:tcW w:w="1077" w:type="pct"/>
          </w:tcPr>
          <w:p w14:paraId="7B25DB5E" w14:textId="77777777" w:rsidR="00BF2793" w:rsidRDefault="00BF2793" w:rsidP="005E79DD">
            <w:pPr>
              <w:spacing w:before="40" w:after="40"/>
              <w:rPr>
                <w:lang w:eastAsia="en-AU"/>
              </w:rPr>
            </w:pPr>
            <w:r>
              <w:rPr>
                <w:lang w:eastAsia="en-AU"/>
              </w:rPr>
              <w:t>DPMC</w:t>
            </w:r>
          </w:p>
        </w:tc>
        <w:tc>
          <w:tcPr>
            <w:tcW w:w="3923" w:type="pct"/>
          </w:tcPr>
          <w:p w14:paraId="765DA845" w14:textId="77777777" w:rsidR="00BF2793" w:rsidRDefault="00BF2793" w:rsidP="005E79DD">
            <w:pPr>
              <w:spacing w:before="40" w:after="40"/>
              <w:rPr>
                <w:lang w:eastAsia="en-AU"/>
              </w:rPr>
            </w:pPr>
            <w:r>
              <w:rPr>
                <w:lang w:eastAsia="en-AU"/>
              </w:rPr>
              <w:t>Department of Prime Minister and Cabinet (Commonwealth)</w:t>
            </w:r>
          </w:p>
        </w:tc>
      </w:tr>
      <w:tr w:rsidR="00B958A1" w:rsidRPr="006842FF" w14:paraId="2FEF73DE" w14:textId="77777777" w:rsidTr="00C65184">
        <w:tc>
          <w:tcPr>
            <w:tcW w:w="1077" w:type="pct"/>
          </w:tcPr>
          <w:p w14:paraId="5554B417" w14:textId="77777777" w:rsidR="00B958A1" w:rsidRPr="000324A4" w:rsidRDefault="00B958A1" w:rsidP="005E79DD">
            <w:pPr>
              <w:spacing w:before="40" w:after="40"/>
              <w:rPr>
                <w:lang w:eastAsia="en-AU"/>
              </w:rPr>
            </w:pPr>
            <w:r w:rsidRPr="000324A4">
              <w:rPr>
                <w:lang w:eastAsia="en-AU"/>
              </w:rPr>
              <w:t>DSS</w:t>
            </w:r>
          </w:p>
        </w:tc>
        <w:tc>
          <w:tcPr>
            <w:tcW w:w="3923" w:type="pct"/>
          </w:tcPr>
          <w:p w14:paraId="2D8DB1EC" w14:textId="77777777" w:rsidR="00B958A1" w:rsidRPr="000324A4" w:rsidRDefault="00B958A1" w:rsidP="005E79DD">
            <w:pPr>
              <w:spacing w:before="40" w:after="40"/>
              <w:rPr>
                <w:lang w:eastAsia="en-AU"/>
              </w:rPr>
            </w:pPr>
            <w:r w:rsidRPr="000324A4">
              <w:rPr>
                <w:lang w:eastAsia="en-AU"/>
              </w:rPr>
              <w:t>Department of Social Services</w:t>
            </w:r>
          </w:p>
        </w:tc>
      </w:tr>
      <w:tr w:rsidR="00B958A1" w:rsidRPr="006842FF" w14:paraId="2F1CCD41" w14:textId="77777777" w:rsidTr="00C65184">
        <w:tc>
          <w:tcPr>
            <w:tcW w:w="1077" w:type="pct"/>
          </w:tcPr>
          <w:p w14:paraId="103CC9EB" w14:textId="77777777" w:rsidR="00B958A1" w:rsidRPr="000324A4" w:rsidRDefault="00B958A1" w:rsidP="005E79DD">
            <w:pPr>
              <w:spacing w:before="40" w:after="40"/>
              <w:rPr>
                <w:lang w:eastAsia="en-AU"/>
              </w:rPr>
            </w:pPr>
            <w:r>
              <w:rPr>
                <w:lang w:eastAsia="en-AU"/>
              </w:rPr>
              <w:t>Indigenous</w:t>
            </w:r>
          </w:p>
        </w:tc>
        <w:tc>
          <w:tcPr>
            <w:tcW w:w="3923" w:type="pct"/>
          </w:tcPr>
          <w:p w14:paraId="071AEDAD" w14:textId="77777777" w:rsidR="00B958A1" w:rsidRPr="000324A4" w:rsidRDefault="00B958A1" w:rsidP="005E79DD">
            <w:pPr>
              <w:spacing w:before="40" w:after="40"/>
              <w:rPr>
                <w:lang w:eastAsia="en-AU"/>
              </w:rPr>
            </w:pPr>
            <w:r>
              <w:rPr>
                <w:lang w:eastAsia="en-AU"/>
              </w:rPr>
              <w:t>The term ‘Indigenous’ has been used throughout this report</w:t>
            </w:r>
            <w:r w:rsidR="008D7118">
              <w:rPr>
                <w:lang w:eastAsia="en-AU"/>
              </w:rPr>
              <w:t xml:space="preserve"> when referring to both </w:t>
            </w:r>
            <w:r>
              <w:rPr>
                <w:lang w:eastAsia="en-AU"/>
              </w:rPr>
              <w:t>Aboriginal and Torres Strait Islander people</w:t>
            </w:r>
            <w:r w:rsidR="008D7118">
              <w:rPr>
                <w:lang w:eastAsia="en-AU"/>
              </w:rPr>
              <w:t xml:space="preserve">. Where quoting source material, Aboriginal, Aboriginal and Torres Strait Islander or Indigenous may be used as per the relevant source. </w:t>
            </w:r>
          </w:p>
        </w:tc>
      </w:tr>
      <w:tr w:rsidR="00B958A1" w:rsidRPr="006842FF" w14:paraId="433A083B" w14:textId="77777777" w:rsidTr="00C65184">
        <w:tc>
          <w:tcPr>
            <w:tcW w:w="1077" w:type="pct"/>
          </w:tcPr>
          <w:p w14:paraId="7EFB146C" w14:textId="77777777" w:rsidR="00B958A1" w:rsidRPr="000324A4" w:rsidRDefault="00B958A1" w:rsidP="005E79DD">
            <w:pPr>
              <w:spacing w:before="40" w:after="40"/>
              <w:rPr>
                <w:lang w:eastAsia="en-AU"/>
              </w:rPr>
            </w:pPr>
            <w:r w:rsidRPr="000324A4">
              <w:rPr>
                <w:lang w:eastAsia="en-AU"/>
              </w:rPr>
              <w:t>NAPCAN</w:t>
            </w:r>
          </w:p>
        </w:tc>
        <w:tc>
          <w:tcPr>
            <w:tcW w:w="3923" w:type="pct"/>
          </w:tcPr>
          <w:p w14:paraId="014B5CF6" w14:textId="77777777" w:rsidR="00B958A1" w:rsidRPr="000324A4" w:rsidRDefault="00B958A1" w:rsidP="005E79DD">
            <w:pPr>
              <w:spacing w:before="40" w:after="40"/>
              <w:rPr>
                <w:lang w:eastAsia="en-AU"/>
              </w:rPr>
            </w:pPr>
            <w:r w:rsidRPr="000324A4">
              <w:rPr>
                <w:lang w:eastAsia="en-AU"/>
              </w:rPr>
              <w:t>National Association for the Prevention of Child Abuse and Neglect</w:t>
            </w:r>
          </w:p>
        </w:tc>
      </w:tr>
      <w:tr w:rsidR="00B958A1" w:rsidRPr="006842FF" w14:paraId="70E756DA" w14:textId="77777777" w:rsidTr="00C65184">
        <w:tc>
          <w:tcPr>
            <w:tcW w:w="1077" w:type="pct"/>
          </w:tcPr>
          <w:p w14:paraId="245AA87C" w14:textId="77777777" w:rsidR="00B958A1" w:rsidRPr="000324A4" w:rsidRDefault="00B958A1" w:rsidP="005E79DD">
            <w:pPr>
              <w:spacing w:before="40" w:after="40"/>
              <w:rPr>
                <w:lang w:eastAsia="en-AU"/>
              </w:rPr>
            </w:pPr>
            <w:r w:rsidRPr="000324A4">
              <w:rPr>
                <w:lang w:val="en-US" w:eastAsia="en-AU"/>
              </w:rPr>
              <w:t>National Coalition</w:t>
            </w:r>
          </w:p>
        </w:tc>
        <w:tc>
          <w:tcPr>
            <w:tcW w:w="3923" w:type="pct"/>
          </w:tcPr>
          <w:p w14:paraId="44FE7550" w14:textId="77777777" w:rsidR="00B958A1" w:rsidRPr="000324A4" w:rsidRDefault="00B958A1" w:rsidP="005E79DD">
            <w:pPr>
              <w:spacing w:before="40" w:after="40"/>
              <w:rPr>
                <w:lang w:eastAsia="en-AU"/>
              </w:rPr>
            </w:pPr>
            <w:r w:rsidRPr="000324A4">
              <w:rPr>
                <w:lang w:val="en-US" w:eastAsia="en-AU"/>
              </w:rPr>
              <w:t>National Coalition on Child Safety and Wellbeing</w:t>
            </w:r>
          </w:p>
        </w:tc>
      </w:tr>
      <w:tr w:rsidR="00B958A1" w:rsidRPr="006842FF" w14:paraId="60970859" w14:textId="77777777" w:rsidTr="00C65184">
        <w:tc>
          <w:tcPr>
            <w:tcW w:w="1077" w:type="pct"/>
          </w:tcPr>
          <w:p w14:paraId="75FBCC66" w14:textId="77777777" w:rsidR="00B958A1" w:rsidRPr="000324A4" w:rsidRDefault="00B958A1" w:rsidP="005E79DD">
            <w:pPr>
              <w:spacing w:before="40" w:after="40"/>
              <w:rPr>
                <w:lang w:eastAsia="en-AU"/>
              </w:rPr>
            </w:pPr>
            <w:r w:rsidRPr="000324A4">
              <w:rPr>
                <w:lang w:eastAsia="en-AU"/>
              </w:rPr>
              <w:t>National Forum</w:t>
            </w:r>
          </w:p>
        </w:tc>
        <w:tc>
          <w:tcPr>
            <w:tcW w:w="3923" w:type="pct"/>
          </w:tcPr>
          <w:p w14:paraId="57DD51C6" w14:textId="77777777" w:rsidR="00B958A1" w:rsidRPr="000324A4" w:rsidRDefault="00B958A1" w:rsidP="005E79DD">
            <w:pPr>
              <w:spacing w:before="40" w:after="40"/>
              <w:rPr>
                <w:lang w:eastAsia="en-AU"/>
              </w:rPr>
            </w:pPr>
            <w:r w:rsidRPr="000324A4">
              <w:rPr>
                <w:bCs/>
                <w:lang w:eastAsia="en-AU"/>
              </w:rPr>
              <w:t>National Forum for Protecting Australia’s Children</w:t>
            </w:r>
          </w:p>
        </w:tc>
      </w:tr>
      <w:tr w:rsidR="00B958A1" w:rsidRPr="006842FF" w14:paraId="31031BD9" w14:textId="77777777" w:rsidTr="00C65184">
        <w:tc>
          <w:tcPr>
            <w:tcW w:w="1077" w:type="pct"/>
          </w:tcPr>
          <w:p w14:paraId="1D281BFF" w14:textId="77777777" w:rsidR="00B958A1" w:rsidRPr="000324A4" w:rsidRDefault="00B958A1" w:rsidP="005E79DD">
            <w:pPr>
              <w:spacing w:before="40" w:after="40"/>
              <w:rPr>
                <w:lang w:eastAsia="en-AU"/>
              </w:rPr>
            </w:pPr>
            <w:r w:rsidRPr="000324A4">
              <w:rPr>
                <w:lang w:eastAsia="en-AU"/>
              </w:rPr>
              <w:t>National Principles</w:t>
            </w:r>
          </w:p>
        </w:tc>
        <w:tc>
          <w:tcPr>
            <w:tcW w:w="3923" w:type="pct"/>
          </w:tcPr>
          <w:p w14:paraId="26C6BB10" w14:textId="77777777" w:rsidR="00B958A1" w:rsidRPr="000324A4" w:rsidRDefault="00B958A1" w:rsidP="005E79DD">
            <w:pPr>
              <w:spacing w:before="40" w:after="40"/>
              <w:rPr>
                <w:i/>
                <w:lang w:eastAsia="en-AU"/>
              </w:rPr>
            </w:pPr>
            <w:r w:rsidRPr="000324A4">
              <w:rPr>
                <w:lang w:eastAsia="en-AU"/>
              </w:rPr>
              <w:t>National Principles for Child Safe Organisations</w:t>
            </w:r>
          </w:p>
        </w:tc>
      </w:tr>
      <w:tr w:rsidR="00B958A1" w:rsidRPr="006842FF" w14:paraId="5381F9F7" w14:textId="77777777" w:rsidTr="00C65184">
        <w:tc>
          <w:tcPr>
            <w:tcW w:w="1077" w:type="pct"/>
          </w:tcPr>
          <w:p w14:paraId="5F500ECD" w14:textId="77777777" w:rsidR="00B958A1" w:rsidRPr="000324A4" w:rsidRDefault="00B958A1" w:rsidP="005E79DD">
            <w:pPr>
              <w:spacing w:before="40" w:after="40"/>
              <w:rPr>
                <w:lang w:eastAsia="en-AU"/>
              </w:rPr>
            </w:pPr>
            <w:r w:rsidRPr="000324A4">
              <w:rPr>
                <w:lang w:eastAsia="en-AU"/>
              </w:rPr>
              <w:t>National Standards</w:t>
            </w:r>
          </w:p>
        </w:tc>
        <w:tc>
          <w:tcPr>
            <w:tcW w:w="3923" w:type="pct"/>
          </w:tcPr>
          <w:p w14:paraId="1D54A671" w14:textId="77777777" w:rsidR="00B958A1" w:rsidRPr="000324A4" w:rsidRDefault="00B958A1" w:rsidP="005E79DD">
            <w:pPr>
              <w:spacing w:before="40" w:after="40"/>
              <w:rPr>
                <w:lang w:eastAsia="en-AU"/>
              </w:rPr>
            </w:pPr>
            <w:r w:rsidRPr="000324A4">
              <w:rPr>
                <w:i/>
                <w:lang w:eastAsia="en-AU"/>
              </w:rPr>
              <w:t>National Standards for out</w:t>
            </w:r>
            <w:r w:rsidRPr="000324A4">
              <w:rPr>
                <w:i/>
                <w:lang w:eastAsia="en-AU"/>
              </w:rPr>
              <w:noBreakHyphen/>
              <w:t>of</w:t>
            </w:r>
            <w:r w:rsidRPr="000324A4">
              <w:rPr>
                <w:i/>
                <w:lang w:eastAsia="en-AU"/>
              </w:rPr>
              <w:noBreakHyphen/>
              <w:t>home care</w:t>
            </w:r>
          </w:p>
        </w:tc>
      </w:tr>
      <w:tr w:rsidR="00B958A1" w:rsidRPr="006842FF" w14:paraId="2E74DFC9" w14:textId="77777777" w:rsidTr="00C65184">
        <w:tc>
          <w:tcPr>
            <w:tcW w:w="1077" w:type="pct"/>
          </w:tcPr>
          <w:p w14:paraId="3C5F6C6C" w14:textId="77777777" w:rsidR="00B958A1" w:rsidRPr="000324A4" w:rsidRDefault="00B958A1" w:rsidP="005E79DD">
            <w:pPr>
              <w:spacing w:before="40" w:after="40"/>
              <w:rPr>
                <w:iCs/>
                <w:lang w:eastAsia="en-AU"/>
              </w:rPr>
            </w:pPr>
            <w:r w:rsidRPr="000324A4">
              <w:rPr>
                <w:lang w:eastAsia="en-AU"/>
              </w:rPr>
              <w:t>NDIA</w:t>
            </w:r>
          </w:p>
        </w:tc>
        <w:tc>
          <w:tcPr>
            <w:tcW w:w="3923" w:type="pct"/>
          </w:tcPr>
          <w:p w14:paraId="33CF3018" w14:textId="77777777" w:rsidR="00B958A1" w:rsidRPr="000324A4" w:rsidRDefault="00B958A1" w:rsidP="005E79DD">
            <w:pPr>
              <w:spacing w:before="40" w:after="40"/>
              <w:rPr>
                <w:iCs/>
                <w:lang w:eastAsia="en-AU"/>
              </w:rPr>
            </w:pPr>
            <w:r w:rsidRPr="000324A4">
              <w:rPr>
                <w:lang w:eastAsia="en-AU"/>
              </w:rPr>
              <w:t>National Disability Insurance Agency</w:t>
            </w:r>
          </w:p>
        </w:tc>
      </w:tr>
      <w:tr w:rsidR="00B958A1" w:rsidRPr="006842FF" w14:paraId="054AC8E5" w14:textId="77777777" w:rsidTr="00C65184">
        <w:tc>
          <w:tcPr>
            <w:tcW w:w="1077" w:type="pct"/>
          </w:tcPr>
          <w:p w14:paraId="54B9FE68" w14:textId="77777777" w:rsidR="00B958A1" w:rsidRPr="000324A4" w:rsidRDefault="00B958A1" w:rsidP="005E79DD">
            <w:pPr>
              <w:spacing w:before="40" w:after="40"/>
              <w:rPr>
                <w:lang w:eastAsia="en-AU"/>
              </w:rPr>
            </w:pPr>
            <w:r w:rsidRPr="000324A4">
              <w:rPr>
                <w:lang w:eastAsia="en-AU"/>
              </w:rPr>
              <w:t>NGO</w:t>
            </w:r>
          </w:p>
        </w:tc>
        <w:tc>
          <w:tcPr>
            <w:tcW w:w="3923" w:type="pct"/>
          </w:tcPr>
          <w:p w14:paraId="7E61B431" w14:textId="77777777" w:rsidR="00B958A1" w:rsidRPr="000324A4" w:rsidRDefault="00B958A1" w:rsidP="005E79DD">
            <w:pPr>
              <w:spacing w:before="40" w:after="40"/>
              <w:rPr>
                <w:lang w:eastAsia="en-AU"/>
              </w:rPr>
            </w:pPr>
            <w:r w:rsidRPr="000324A4">
              <w:rPr>
                <w:lang w:eastAsia="en-AU"/>
              </w:rPr>
              <w:t>non</w:t>
            </w:r>
            <w:r w:rsidRPr="000324A4">
              <w:rPr>
                <w:lang w:eastAsia="en-AU"/>
              </w:rPr>
              <w:noBreakHyphen/>
              <w:t>government organisation</w:t>
            </w:r>
          </w:p>
        </w:tc>
      </w:tr>
      <w:tr w:rsidR="00BF2793" w:rsidRPr="006842FF" w14:paraId="79E2FC62" w14:textId="77777777" w:rsidTr="00C65184">
        <w:tc>
          <w:tcPr>
            <w:tcW w:w="1077" w:type="pct"/>
          </w:tcPr>
          <w:p w14:paraId="2109ADDE" w14:textId="77777777" w:rsidR="00BF2793" w:rsidRPr="000324A4" w:rsidRDefault="00BF2793" w:rsidP="005E79DD">
            <w:pPr>
              <w:spacing w:before="40" w:after="40"/>
              <w:rPr>
                <w:lang w:eastAsia="en-AU"/>
              </w:rPr>
            </w:pPr>
            <w:r>
              <w:rPr>
                <w:lang w:eastAsia="en-AU"/>
              </w:rPr>
              <w:t>NOCS</w:t>
            </w:r>
          </w:p>
        </w:tc>
        <w:tc>
          <w:tcPr>
            <w:tcW w:w="3923" w:type="pct"/>
          </w:tcPr>
          <w:p w14:paraId="0B5FEBBA" w14:textId="27DDF1D7" w:rsidR="00BF2793" w:rsidRPr="000324A4" w:rsidRDefault="00BF2793" w:rsidP="005E79DD">
            <w:pPr>
              <w:spacing w:before="40" w:after="40"/>
              <w:rPr>
                <w:lang w:eastAsia="en-AU"/>
              </w:rPr>
            </w:pPr>
            <w:r>
              <w:rPr>
                <w:lang w:eastAsia="en-AU"/>
              </w:rPr>
              <w:t>National Office f</w:t>
            </w:r>
            <w:r w:rsidR="007B3848">
              <w:rPr>
                <w:lang w:eastAsia="en-AU"/>
              </w:rPr>
              <w:t>or</w:t>
            </w:r>
            <w:r>
              <w:rPr>
                <w:lang w:eastAsia="en-AU"/>
              </w:rPr>
              <w:t xml:space="preserve"> Child Safety</w:t>
            </w:r>
          </w:p>
        </w:tc>
      </w:tr>
      <w:tr w:rsidR="00B958A1" w:rsidRPr="006842FF" w14:paraId="5BBC91D1" w14:textId="77777777" w:rsidTr="00C65184">
        <w:tc>
          <w:tcPr>
            <w:tcW w:w="1077" w:type="pct"/>
          </w:tcPr>
          <w:p w14:paraId="13F93630" w14:textId="77777777" w:rsidR="00B958A1" w:rsidRPr="000324A4" w:rsidRDefault="00B958A1" w:rsidP="005E79DD">
            <w:pPr>
              <w:spacing w:before="40" w:after="40"/>
              <w:rPr>
                <w:lang w:eastAsia="en-AU"/>
              </w:rPr>
            </w:pPr>
            <w:r w:rsidRPr="000324A4">
              <w:rPr>
                <w:lang w:eastAsia="en-AU"/>
              </w:rPr>
              <w:t>OOHC</w:t>
            </w:r>
          </w:p>
        </w:tc>
        <w:tc>
          <w:tcPr>
            <w:tcW w:w="3923" w:type="pct"/>
          </w:tcPr>
          <w:p w14:paraId="5AA08935" w14:textId="77777777" w:rsidR="00B958A1" w:rsidRPr="000324A4" w:rsidRDefault="00B958A1" w:rsidP="005E79DD">
            <w:pPr>
              <w:spacing w:before="40" w:after="40"/>
              <w:rPr>
                <w:lang w:eastAsia="en-AU"/>
              </w:rPr>
            </w:pPr>
            <w:r w:rsidRPr="000324A4">
              <w:rPr>
                <w:lang w:eastAsia="en-AU"/>
              </w:rPr>
              <w:t>out</w:t>
            </w:r>
            <w:r w:rsidRPr="000324A4">
              <w:rPr>
                <w:lang w:eastAsia="en-AU"/>
              </w:rPr>
              <w:noBreakHyphen/>
              <w:t>of</w:t>
            </w:r>
            <w:r w:rsidRPr="000324A4">
              <w:rPr>
                <w:lang w:eastAsia="en-AU"/>
              </w:rPr>
              <w:noBreakHyphen/>
              <w:t>home care</w:t>
            </w:r>
          </w:p>
        </w:tc>
      </w:tr>
      <w:tr w:rsidR="00BF2793" w:rsidRPr="006842FF" w14:paraId="211200BC" w14:textId="77777777" w:rsidTr="00C65184">
        <w:tc>
          <w:tcPr>
            <w:tcW w:w="1077" w:type="pct"/>
          </w:tcPr>
          <w:p w14:paraId="6C32D76A" w14:textId="4BA817F6" w:rsidR="00BF2793" w:rsidRPr="000324A4" w:rsidRDefault="000848B5" w:rsidP="005E79DD">
            <w:pPr>
              <w:spacing w:before="40" w:after="40"/>
              <w:rPr>
                <w:lang w:eastAsia="en-AU"/>
              </w:rPr>
            </w:pPr>
            <w:r>
              <w:rPr>
                <w:lang w:eastAsia="en-AU"/>
              </w:rPr>
              <w:t>RoGS</w:t>
            </w:r>
          </w:p>
        </w:tc>
        <w:tc>
          <w:tcPr>
            <w:tcW w:w="3923" w:type="pct"/>
          </w:tcPr>
          <w:p w14:paraId="757EEB33" w14:textId="77777777" w:rsidR="00BF2793" w:rsidRPr="000324A4" w:rsidRDefault="00BF2793" w:rsidP="005E79DD">
            <w:pPr>
              <w:spacing w:before="40" w:after="40"/>
              <w:rPr>
                <w:lang w:eastAsia="en-AU"/>
              </w:rPr>
            </w:pPr>
            <w:r>
              <w:rPr>
                <w:lang w:eastAsia="en-AU"/>
              </w:rPr>
              <w:t>Report on Government Services</w:t>
            </w:r>
          </w:p>
        </w:tc>
      </w:tr>
      <w:tr w:rsidR="00BF2793" w:rsidRPr="006842FF" w14:paraId="4FEC4808" w14:textId="77777777" w:rsidTr="00C65184">
        <w:tc>
          <w:tcPr>
            <w:tcW w:w="1077" w:type="pct"/>
            <w:tcBorders>
              <w:bottom w:val="dotted" w:sz="8" w:space="0" w:color="7D7D7D" w:themeColor="text2"/>
            </w:tcBorders>
          </w:tcPr>
          <w:p w14:paraId="4AB2F3DA" w14:textId="77777777" w:rsidR="00BF2793" w:rsidRPr="000324A4" w:rsidRDefault="00BF2793" w:rsidP="005E79DD">
            <w:pPr>
              <w:spacing w:before="40" w:after="40"/>
              <w:rPr>
                <w:iCs/>
                <w:lang w:eastAsia="en-AU"/>
              </w:rPr>
            </w:pPr>
            <w:r>
              <w:rPr>
                <w:iCs/>
                <w:lang w:eastAsia="en-AU"/>
              </w:rPr>
              <w:t>SIG</w:t>
            </w:r>
          </w:p>
        </w:tc>
        <w:tc>
          <w:tcPr>
            <w:tcW w:w="3923" w:type="pct"/>
            <w:tcBorders>
              <w:bottom w:val="dotted" w:sz="8" w:space="0" w:color="7D7D7D" w:themeColor="text2"/>
            </w:tcBorders>
          </w:tcPr>
          <w:p w14:paraId="4E41DDF1" w14:textId="77777777" w:rsidR="00BF2793" w:rsidRPr="000324A4" w:rsidRDefault="00BF2793" w:rsidP="005E79DD">
            <w:pPr>
              <w:spacing w:before="40" w:after="40"/>
              <w:rPr>
                <w:iCs/>
                <w:lang w:eastAsia="en-AU"/>
              </w:rPr>
            </w:pPr>
            <w:r>
              <w:rPr>
                <w:lang w:eastAsia="en-AU"/>
              </w:rPr>
              <w:t>Strategic Information Group</w:t>
            </w:r>
          </w:p>
        </w:tc>
      </w:tr>
      <w:tr w:rsidR="00B958A1" w:rsidRPr="006842FF" w14:paraId="0AEC923D" w14:textId="77777777" w:rsidTr="00C65184">
        <w:tc>
          <w:tcPr>
            <w:tcW w:w="1077" w:type="pct"/>
            <w:tcBorders>
              <w:top w:val="dotted" w:sz="8" w:space="0" w:color="7D7D7D" w:themeColor="text2"/>
              <w:bottom w:val="dotted" w:sz="8" w:space="0" w:color="7D7D7D" w:themeColor="text2"/>
            </w:tcBorders>
          </w:tcPr>
          <w:p w14:paraId="369440CF" w14:textId="77777777" w:rsidR="00B958A1" w:rsidRPr="009B0675" w:rsidRDefault="00B958A1" w:rsidP="005E79DD">
            <w:pPr>
              <w:spacing w:before="40" w:after="40"/>
              <w:rPr>
                <w:iCs/>
                <w:lang w:eastAsia="en-AU"/>
              </w:rPr>
            </w:pPr>
            <w:r w:rsidRPr="009B0675">
              <w:rPr>
                <w:iCs/>
                <w:lang w:eastAsia="en-AU"/>
              </w:rPr>
              <w:t>TIA</w:t>
            </w:r>
          </w:p>
        </w:tc>
        <w:tc>
          <w:tcPr>
            <w:tcW w:w="3923" w:type="pct"/>
            <w:tcBorders>
              <w:top w:val="dotted" w:sz="8" w:space="0" w:color="7D7D7D" w:themeColor="text2"/>
              <w:bottom w:val="dotted" w:sz="8" w:space="0" w:color="7D7D7D" w:themeColor="text2"/>
            </w:tcBorders>
          </w:tcPr>
          <w:p w14:paraId="7087203C" w14:textId="77777777" w:rsidR="00B958A1" w:rsidRPr="009B0675" w:rsidRDefault="00B958A1" w:rsidP="005E79DD">
            <w:pPr>
              <w:spacing w:before="40" w:after="40"/>
              <w:rPr>
                <w:iCs/>
                <w:lang w:eastAsia="en-AU"/>
              </w:rPr>
            </w:pPr>
            <w:r w:rsidRPr="009B0675">
              <w:rPr>
                <w:iCs/>
                <w:lang w:eastAsia="en-AU"/>
              </w:rPr>
              <w:t>Towards Independent Adulthood</w:t>
            </w:r>
          </w:p>
        </w:tc>
      </w:tr>
      <w:tr w:rsidR="00B958A1" w:rsidRPr="006842FF" w14:paraId="78FBF58B" w14:textId="77777777" w:rsidTr="00C65184">
        <w:tc>
          <w:tcPr>
            <w:tcW w:w="1077" w:type="pct"/>
            <w:tcBorders>
              <w:top w:val="dotted" w:sz="8" w:space="0" w:color="7D7D7D" w:themeColor="text2"/>
              <w:bottom w:val="dotted" w:sz="8" w:space="0" w:color="7D7D7D" w:themeColor="text2"/>
            </w:tcBorders>
          </w:tcPr>
          <w:p w14:paraId="30B2EC21" w14:textId="77777777" w:rsidR="00B958A1" w:rsidRPr="000324A4" w:rsidRDefault="00B958A1" w:rsidP="005E79DD">
            <w:pPr>
              <w:spacing w:before="40" w:after="40"/>
              <w:rPr>
                <w:lang w:eastAsia="en-AU"/>
              </w:rPr>
            </w:pPr>
            <w:r w:rsidRPr="000324A4">
              <w:rPr>
                <w:lang w:eastAsia="en-AU"/>
              </w:rPr>
              <w:t>TILA</w:t>
            </w:r>
          </w:p>
        </w:tc>
        <w:tc>
          <w:tcPr>
            <w:tcW w:w="3923" w:type="pct"/>
            <w:tcBorders>
              <w:top w:val="dotted" w:sz="8" w:space="0" w:color="7D7D7D" w:themeColor="text2"/>
              <w:bottom w:val="dotted" w:sz="8" w:space="0" w:color="7D7D7D" w:themeColor="text2"/>
            </w:tcBorders>
          </w:tcPr>
          <w:p w14:paraId="5B1969C8" w14:textId="77777777" w:rsidR="00B958A1" w:rsidRPr="000324A4" w:rsidRDefault="00B958A1" w:rsidP="005E79DD">
            <w:pPr>
              <w:spacing w:before="40" w:after="40"/>
              <w:rPr>
                <w:lang w:eastAsia="en-AU"/>
              </w:rPr>
            </w:pPr>
            <w:r w:rsidRPr="000324A4">
              <w:rPr>
                <w:lang w:eastAsia="en-AU"/>
              </w:rPr>
              <w:t>Transition to Independent Living Allowance</w:t>
            </w:r>
          </w:p>
        </w:tc>
      </w:tr>
      <w:tr w:rsidR="009F2751" w:rsidRPr="006842FF" w14:paraId="286123E3" w14:textId="77777777" w:rsidTr="00C65184">
        <w:trPr>
          <w:cnfStyle w:val="010000000000" w:firstRow="0" w:lastRow="1" w:firstColumn="0" w:lastColumn="0" w:oddVBand="0" w:evenVBand="0" w:oddHBand="0" w:evenHBand="0" w:firstRowFirstColumn="0" w:firstRowLastColumn="0" w:lastRowFirstColumn="0" w:lastRowLastColumn="0"/>
        </w:trPr>
        <w:tc>
          <w:tcPr>
            <w:tcW w:w="1077" w:type="pct"/>
            <w:tcBorders>
              <w:top w:val="dotted" w:sz="8" w:space="0" w:color="7D7D7D" w:themeColor="text2"/>
            </w:tcBorders>
          </w:tcPr>
          <w:p w14:paraId="7507D82B" w14:textId="77777777" w:rsidR="009F2751" w:rsidRPr="000324A4" w:rsidRDefault="009F2751" w:rsidP="005E79DD">
            <w:pPr>
              <w:spacing w:before="40" w:after="40"/>
              <w:rPr>
                <w:lang w:eastAsia="en-AU"/>
              </w:rPr>
            </w:pPr>
            <w:r>
              <w:rPr>
                <w:lang w:eastAsia="en-AU"/>
              </w:rPr>
              <w:t>UNCRC</w:t>
            </w:r>
          </w:p>
        </w:tc>
        <w:tc>
          <w:tcPr>
            <w:tcW w:w="3923" w:type="pct"/>
            <w:tcBorders>
              <w:top w:val="dotted" w:sz="8" w:space="0" w:color="7D7D7D" w:themeColor="text2"/>
            </w:tcBorders>
          </w:tcPr>
          <w:p w14:paraId="48FCE16E" w14:textId="77777777" w:rsidR="009F2751" w:rsidRPr="000324A4" w:rsidRDefault="009F2751" w:rsidP="005E79DD">
            <w:pPr>
              <w:spacing w:before="40" w:after="40"/>
              <w:rPr>
                <w:lang w:eastAsia="en-AU"/>
              </w:rPr>
            </w:pPr>
            <w:r>
              <w:rPr>
                <w:lang w:eastAsia="en-AU"/>
              </w:rPr>
              <w:t>UN Convention on the Rights of the Child</w:t>
            </w:r>
          </w:p>
        </w:tc>
      </w:tr>
    </w:tbl>
    <w:p w14:paraId="7396F7E6" w14:textId="77777777" w:rsidR="007E4349" w:rsidRPr="007E4349" w:rsidRDefault="007E4349" w:rsidP="007E4349">
      <w:pPr>
        <w:pStyle w:val="PwCNormal"/>
        <w:numPr>
          <w:ilvl w:val="0"/>
          <w:numId w:val="0"/>
        </w:numPr>
        <w:sectPr w:rsidR="007E4349" w:rsidRPr="007E4349" w:rsidSect="00564AF1">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588" w:right="1021" w:bottom="1418" w:left="1021" w:header="567" w:footer="567" w:gutter="0"/>
          <w:pgNumType w:fmt="lowerRoman" w:start="1"/>
          <w:cols w:space="227"/>
          <w:titlePg/>
          <w:docGrid w:linePitch="286"/>
        </w:sectPr>
      </w:pPr>
    </w:p>
    <w:p w14:paraId="01B12FD7" w14:textId="77777777" w:rsidR="004F0878" w:rsidRPr="006842FF" w:rsidRDefault="004F0878" w:rsidP="00E73712">
      <w:pPr>
        <w:pStyle w:val="TOCtitle"/>
        <w:spacing w:after="720"/>
      </w:pPr>
      <w:bookmarkStart w:id="31" w:name="_Toc31228711"/>
      <w:bookmarkStart w:id="32" w:name="_Toc42842755"/>
      <w:bookmarkStart w:id="33" w:name="_Toc42847833"/>
      <w:bookmarkEnd w:id="18"/>
      <w:r w:rsidRPr="006842FF">
        <w:lastRenderedPageBreak/>
        <w:t>Conten</w:t>
      </w:r>
      <w:bookmarkStart w:id="34" w:name="TOC"/>
      <w:bookmarkEnd w:id="34"/>
      <w:r w:rsidRPr="006842FF">
        <w:t>ts</w:t>
      </w:r>
      <w:bookmarkStart w:id="35" w:name="SmallDoc"/>
      <w:bookmarkEnd w:id="31"/>
      <w:bookmarkEnd w:id="32"/>
      <w:bookmarkEnd w:id="33"/>
      <w:bookmarkEnd w:id="35"/>
    </w:p>
    <w:p w14:paraId="43933DF5" w14:textId="35C45022" w:rsidR="00E73712" w:rsidRPr="00E73712" w:rsidRDefault="00E73712">
      <w:pPr>
        <w:pStyle w:val="TOC2"/>
        <w:rPr>
          <w:rFonts w:eastAsiaTheme="minorEastAsia" w:cstheme="minorBidi"/>
          <w:noProof/>
          <w:snapToGrid/>
          <w:sz w:val="20"/>
          <w:lang w:eastAsia="en-AU"/>
        </w:rPr>
      </w:pPr>
      <w:r>
        <w:rPr>
          <w:rFonts w:cstheme="minorHAnsi"/>
          <w:sz w:val="20"/>
        </w:rPr>
        <w:fldChar w:fldCharType="begin"/>
      </w:r>
      <w:r>
        <w:rPr>
          <w:rFonts w:cstheme="minorHAnsi"/>
          <w:sz w:val="20"/>
        </w:rPr>
        <w:instrText xml:space="preserve"> TOC \o "2-4" \h \z \t "Heading 1,1,Heading 6,3,Appendix,1,Title,1" </w:instrText>
      </w:r>
      <w:r>
        <w:rPr>
          <w:rFonts w:cstheme="minorHAnsi"/>
          <w:sz w:val="20"/>
        </w:rPr>
        <w:fldChar w:fldCharType="separate"/>
      </w:r>
      <w:hyperlink w:anchor="_Toc42847831" w:history="1">
        <w:r w:rsidRPr="00E73712">
          <w:rPr>
            <w:rStyle w:val="Hyperlink"/>
            <w:noProof/>
            <w:sz w:val="20"/>
          </w:rPr>
          <w:t>Executive summary</w:t>
        </w:r>
        <w:r w:rsidRPr="00E73712">
          <w:rPr>
            <w:noProof/>
            <w:webHidden/>
            <w:sz w:val="20"/>
          </w:rPr>
          <w:tab/>
        </w:r>
        <w:r w:rsidRPr="00E73712">
          <w:rPr>
            <w:noProof/>
            <w:webHidden/>
            <w:sz w:val="20"/>
          </w:rPr>
          <w:fldChar w:fldCharType="begin"/>
        </w:r>
        <w:r w:rsidRPr="00E73712">
          <w:rPr>
            <w:noProof/>
            <w:webHidden/>
            <w:sz w:val="20"/>
          </w:rPr>
          <w:instrText xml:space="preserve"> PAGEREF _Toc42847831 \h </w:instrText>
        </w:r>
        <w:r w:rsidRPr="00E73712">
          <w:rPr>
            <w:noProof/>
            <w:webHidden/>
            <w:sz w:val="20"/>
          </w:rPr>
        </w:r>
        <w:r w:rsidRPr="00E73712">
          <w:rPr>
            <w:noProof/>
            <w:webHidden/>
            <w:sz w:val="20"/>
          </w:rPr>
          <w:fldChar w:fldCharType="separate"/>
        </w:r>
        <w:r w:rsidR="00D75351">
          <w:rPr>
            <w:noProof/>
            <w:webHidden/>
            <w:sz w:val="20"/>
          </w:rPr>
          <w:t>ii</w:t>
        </w:r>
        <w:r w:rsidRPr="00E73712">
          <w:rPr>
            <w:noProof/>
            <w:webHidden/>
            <w:sz w:val="20"/>
          </w:rPr>
          <w:fldChar w:fldCharType="end"/>
        </w:r>
      </w:hyperlink>
    </w:p>
    <w:p w14:paraId="02BCC277" w14:textId="71D476AB" w:rsidR="00E73712" w:rsidRPr="00E73712" w:rsidRDefault="001321C9" w:rsidP="00E73712">
      <w:pPr>
        <w:pStyle w:val="TOC3"/>
        <w:numPr>
          <w:ilvl w:val="0"/>
          <w:numId w:val="0"/>
        </w:numPr>
        <w:ind w:left="1985" w:hanging="1985"/>
        <w:rPr>
          <w:rFonts w:eastAsiaTheme="minorEastAsia" w:cstheme="minorBidi"/>
          <w:noProof/>
          <w:snapToGrid/>
          <w:sz w:val="20"/>
          <w:lang w:eastAsia="en-AU"/>
        </w:rPr>
      </w:pPr>
      <w:hyperlink w:anchor="_Toc42847832" w:history="1">
        <w:r w:rsidR="00E73712" w:rsidRPr="00E73712">
          <w:rPr>
            <w:rStyle w:val="Hyperlink"/>
            <w:noProof/>
            <w:sz w:val="20"/>
          </w:rPr>
          <w:t>Terms and acronyms</w:t>
        </w:r>
        <w:r w:rsidR="00E73712" w:rsidRPr="00E73712">
          <w:rPr>
            <w:noProof/>
            <w:webHidden/>
            <w:sz w:val="20"/>
          </w:rPr>
          <w:tab/>
        </w:r>
        <w:r w:rsidR="00E73712" w:rsidRPr="00E73712">
          <w:rPr>
            <w:noProof/>
            <w:webHidden/>
            <w:sz w:val="20"/>
          </w:rPr>
          <w:tab/>
        </w:r>
        <w:r w:rsidR="00E73712" w:rsidRPr="00E73712">
          <w:rPr>
            <w:noProof/>
            <w:webHidden/>
            <w:sz w:val="20"/>
          </w:rPr>
          <w:fldChar w:fldCharType="begin"/>
        </w:r>
        <w:r w:rsidR="00E73712" w:rsidRPr="00E73712">
          <w:rPr>
            <w:noProof/>
            <w:webHidden/>
            <w:sz w:val="20"/>
          </w:rPr>
          <w:instrText xml:space="preserve"> PAGEREF _Toc42847832 \h </w:instrText>
        </w:r>
        <w:r w:rsidR="00E73712" w:rsidRPr="00E73712">
          <w:rPr>
            <w:noProof/>
            <w:webHidden/>
            <w:sz w:val="20"/>
          </w:rPr>
        </w:r>
        <w:r w:rsidR="00E73712" w:rsidRPr="00E73712">
          <w:rPr>
            <w:noProof/>
            <w:webHidden/>
            <w:sz w:val="20"/>
          </w:rPr>
          <w:fldChar w:fldCharType="separate"/>
        </w:r>
        <w:r w:rsidR="00D75351">
          <w:rPr>
            <w:noProof/>
            <w:webHidden/>
            <w:sz w:val="20"/>
          </w:rPr>
          <w:t>viii</w:t>
        </w:r>
        <w:r w:rsidR="00E73712" w:rsidRPr="00E73712">
          <w:rPr>
            <w:noProof/>
            <w:webHidden/>
            <w:sz w:val="20"/>
          </w:rPr>
          <w:fldChar w:fldCharType="end"/>
        </w:r>
      </w:hyperlink>
    </w:p>
    <w:p w14:paraId="1E7CF645" w14:textId="751892A1" w:rsidR="00E73712" w:rsidRPr="00E73712" w:rsidRDefault="001321C9">
      <w:pPr>
        <w:pStyle w:val="TOC2"/>
        <w:rPr>
          <w:rFonts w:eastAsiaTheme="minorEastAsia" w:cstheme="minorBidi"/>
          <w:noProof/>
          <w:snapToGrid/>
          <w:sz w:val="20"/>
          <w:lang w:eastAsia="en-AU"/>
        </w:rPr>
      </w:pPr>
      <w:hyperlink w:anchor="_Toc42847833" w:history="1">
        <w:r w:rsidR="00E73712" w:rsidRPr="00E73712">
          <w:rPr>
            <w:rStyle w:val="Hyperlink"/>
            <w:noProof/>
            <w:sz w:val="20"/>
          </w:rPr>
          <w:t>Contents</w:t>
        </w:r>
        <w:r w:rsidR="00E73712" w:rsidRPr="00E73712">
          <w:rPr>
            <w:noProof/>
            <w:webHidden/>
            <w:sz w:val="20"/>
          </w:rPr>
          <w:tab/>
        </w:r>
        <w:r w:rsidR="00E73712" w:rsidRPr="00E73712">
          <w:rPr>
            <w:noProof/>
            <w:webHidden/>
            <w:sz w:val="20"/>
          </w:rPr>
          <w:fldChar w:fldCharType="begin"/>
        </w:r>
        <w:r w:rsidR="00E73712" w:rsidRPr="00E73712">
          <w:rPr>
            <w:noProof/>
            <w:webHidden/>
            <w:sz w:val="20"/>
          </w:rPr>
          <w:instrText xml:space="preserve"> PAGEREF _Toc42847833 \h </w:instrText>
        </w:r>
        <w:r w:rsidR="00E73712" w:rsidRPr="00E73712">
          <w:rPr>
            <w:noProof/>
            <w:webHidden/>
            <w:sz w:val="20"/>
          </w:rPr>
        </w:r>
        <w:r w:rsidR="00E73712" w:rsidRPr="00E73712">
          <w:rPr>
            <w:noProof/>
            <w:webHidden/>
            <w:sz w:val="20"/>
          </w:rPr>
          <w:fldChar w:fldCharType="separate"/>
        </w:r>
        <w:r w:rsidR="00D75351">
          <w:rPr>
            <w:noProof/>
            <w:webHidden/>
            <w:sz w:val="20"/>
          </w:rPr>
          <w:t>i</w:t>
        </w:r>
        <w:r w:rsidR="00E73712" w:rsidRPr="00E73712">
          <w:rPr>
            <w:noProof/>
            <w:webHidden/>
            <w:sz w:val="20"/>
          </w:rPr>
          <w:fldChar w:fldCharType="end"/>
        </w:r>
      </w:hyperlink>
    </w:p>
    <w:p w14:paraId="3B0080E6" w14:textId="79DDB80C" w:rsidR="00E73712" w:rsidRPr="00E73712" w:rsidRDefault="001321C9">
      <w:pPr>
        <w:pStyle w:val="TOC2"/>
        <w:rPr>
          <w:rFonts w:eastAsiaTheme="minorEastAsia" w:cstheme="minorBidi"/>
          <w:noProof/>
          <w:snapToGrid/>
          <w:sz w:val="20"/>
          <w:lang w:eastAsia="en-AU"/>
        </w:rPr>
      </w:pPr>
      <w:hyperlink w:anchor="_Toc42847834" w:history="1">
        <w:r w:rsidR="00E73712" w:rsidRPr="00E73712">
          <w:rPr>
            <w:rStyle w:val="Hyperlink"/>
            <w:noProof/>
            <w:sz w:val="20"/>
          </w:rPr>
          <w:t>2</w:t>
        </w:r>
        <w:r w:rsidR="00E73712" w:rsidRPr="00E73712">
          <w:rPr>
            <w:rFonts w:eastAsiaTheme="minorEastAsia" w:cstheme="minorBidi"/>
            <w:noProof/>
            <w:snapToGrid/>
            <w:sz w:val="20"/>
            <w:lang w:eastAsia="en-AU"/>
          </w:rPr>
          <w:tab/>
        </w:r>
        <w:r w:rsidR="00E73712" w:rsidRPr="00E73712">
          <w:rPr>
            <w:rStyle w:val="Hyperlink"/>
            <w:noProof/>
            <w:sz w:val="20"/>
          </w:rPr>
          <w:t>This evaluation</w:t>
        </w:r>
        <w:r w:rsidR="00E73712" w:rsidRPr="00E73712">
          <w:rPr>
            <w:noProof/>
            <w:webHidden/>
            <w:sz w:val="20"/>
          </w:rPr>
          <w:tab/>
        </w:r>
        <w:r w:rsidR="00E73712" w:rsidRPr="00E73712">
          <w:rPr>
            <w:noProof/>
            <w:webHidden/>
            <w:sz w:val="20"/>
          </w:rPr>
          <w:fldChar w:fldCharType="begin"/>
        </w:r>
        <w:r w:rsidR="00E73712" w:rsidRPr="00E73712">
          <w:rPr>
            <w:noProof/>
            <w:webHidden/>
            <w:sz w:val="20"/>
          </w:rPr>
          <w:instrText xml:space="preserve"> PAGEREF _Toc42847834 \h </w:instrText>
        </w:r>
        <w:r w:rsidR="00E73712" w:rsidRPr="00E73712">
          <w:rPr>
            <w:noProof/>
            <w:webHidden/>
            <w:sz w:val="20"/>
          </w:rPr>
        </w:r>
        <w:r w:rsidR="00E73712" w:rsidRPr="00E73712">
          <w:rPr>
            <w:noProof/>
            <w:webHidden/>
            <w:sz w:val="20"/>
          </w:rPr>
          <w:fldChar w:fldCharType="separate"/>
        </w:r>
        <w:r w:rsidR="00D75351">
          <w:rPr>
            <w:noProof/>
            <w:webHidden/>
            <w:sz w:val="20"/>
          </w:rPr>
          <w:t>3</w:t>
        </w:r>
        <w:r w:rsidR="00E73712" w:rsidRPr="00E73712">
          <w:rPr>
            <w:noProof/>
            <w:webHidden/>
            <w:sz w:val="20"/>
          </w:rPr>
          <w:fldChar w:fldCharType="end"/>
        </w:r>
      </w:hyperlink>
    </w:p>
    <w:p w14:paraId="1D5DBB24" w14:textId="4A3F140E" w:rsidR="00E73712" w:rsidRPr="00E73712" w:rsidRDefault="001321C9" w:rsidP="00E73712">
      <w:pPr>
        <w:pStyle w:val="TOC3"/>
        <w:numPr>
          <w:ilvl w:val="0"/>
          <w:numId w:val="0"/>
        </w:numPr>
        <w:ind w:left="1985" w:hanging="1985"/>
        <w:rPr>
          <w:rFonts w:eastAsiaTheme="minorEastAsia" w:cstheme="minorBidi"/>
          <w:noProof/>
          <w:snapToGrid/>
          <w:sz w:val="20"/>
          <w:lang w:eastAsia="en-AU"/>
        </w:rPr>
      </w:pPr>
      <w:hyperlink w:anchor="_Toc42847835" w:history="1">
        <w:r w:rsidR="00E73712" w:rsidRPr="00E73712">
          <w:rPr>
            <w:rStyle w:val="Hyperlink"/>
            <w:noProof/>
            <w:sz w:val="20"/>
          </w:rPr>
          <w:t>2.1</w:t>
        </w:r>
        <w:r w:rsidR="00E73712" w:rsidRPr="00E73712">
          <w:rPr>
            <w:rFonts w:eastAsiaTheme="minorEastAsia" w:cstheme="minorBidi"/>
            <w:noProof/>
            <w:snapToGrid/>
            <w:sz w:val="20"/>
            <w:lang w:eastAsia="en-AU"/>
          </w:rPr>
          <w:tab/>
        </w:r>
        <w:r w:rsidR="00E73712" w:rsidRPr="00E73712">
          <w:rPr>
            <w:rStyle w:val="Hyperlink"/>
            <w:noProof/>
            <w:sz w:val="20"/>
          </w:rPr>
          <w:t>Evaluation of the National Framework</w:t>
        </w:r>
        <w:r w:rsidR="00E73712" w:rsidRPr="00E73712">
          <w:rPr>
            <w:noProof/>
            <w:webHidden/>
            <w:sz w:val="20"/>
          </w:rPr>
          <w:tab/>
        </w:r>
        <w:r w:rsidR="00E73712" w:rsidRPr="00E73712">
          <w:rPr>
            <w:noProof/>
            <w:webHidden/>
            <w:sz w:val="20"/>
          </w:rPr>
          <w:fldChar w:fldCharType="begin"/>
        </w:r>
        <w:r w:rsidR="00E73712" w:rsidRPr="00E73712">
          <w:rPr>
            <w:noProof/>
            <w:webHidden/>
            <w:sz w:val="20"/>
          </w:rPr>
          <w:instrText xml:space="preserve"> PAGEREF _Toc42847835 \h </w:instrText>
        </w:r>
        <w:r w:rsidR="00E73712" w:rsidRPr="00E73712">
          <w:rPr>
            <w:noProof/>
            <w:webHidden/>
            <w:sz w:val="20"/>
          </w:rPr>
        </w:r>
        <w:r w:rsidR="00E73712" w:rsidRPr="00E73712">
          <w:rPr>
            <w:noProof/>
            <w:webHidden/>
            <w:sz w:val="20"/>
          </w:rPr>
          <w:fldChar w:fldCharType="separate"/>
        </w:r>
        <w:r w:rsidR="00D75351">
          <w:rPr>
            <w:noProof/>
            <w:webHidden/>
            <w:sz w:val="20"/>
          </w:rPr>
          <w:t>4</w:t>
        </w:r>
        <w:r w:rsidR="00E73712" w:rsidRPr="00E73712">
          <w:rPr>
            <w:noProof/>
            <w:webHidden/>
            <w:sz w:val="20"/>
          </w:rPr>
          <w:fldChar w:fldCharType="end"/>
        </w:r>
      </w:hyperlink>
    </w:p>
    <w:p w14:paraId="2FE127C6" w14:textId="72927FB9" w:rsidR="00E73712" w:rsidRPr="00E73712" w:rsidRDefault="001321C9" w:rsidP="00E73712">
      <w:pPr>
        <w:pStyle w:val="TOC3"/>
        <w:numPr>
          <w:ilvl w:val="0"/>
          <w:numId w:val="0"/>
        </w:numPr>
        <w:ind w:left="1985" w:hanging="1985"/>
        <w:rPr>
          <w:rFonts w:eastAsiaTheme="minorEastAsia" w:cstheme="minorBidi"/>
          <w:noProof/>
          <w:snapToGrid/>
          <w:sz w:val="20"/>
          <w:lang w:eastAsia="en-AU"/>
        </w:rPr>
      </w:pPr>
      <w:hyperlink w:anchor="_Toc42847836" w:history="1">
        <w:r w:rsidR="00E73712" w:rsidRPr="00E73712">
          <w:rPr>
            <w:rStyle w:val="Hyperlink"/>
            <w:noProof/>
            <w:sz w:val="20"/>
          </w:rPr>
          <w:t>2.2</w:t>
        </w:r>
        <w:r w:rsidR="00E73712" w:rsidRPr="00E73712">
          <w:rPr>
            <w:rFonts w:eastAsiaTheme="minorEastAsia" w:cstheme="minorBidi"/>
            <w:noProof/>
            <w:snapToGrid/>
            <w:sz w:val="20"/>
            <w:lang w:eastAsia="en-AU"/>
          </w:rPr>
          <w:tab/>
        </w:r>
        <w:r w:rsidR="00E73712" w:rsidRPr="00E73712">
          <w:rPr>
            <w:rStyle w:val="Hyperlink"/>
            <w:noProof/>
            <w:sz w:val="20"/>
          </w:rPr>
          <w:t>Evaluation approach</w:t>
        </w:r>
        <w:r w:rsidR="00E73712" w:rsidRPr="00E73712">
          <w:rPr>
            <w:noProof/>
            <w:webHidden/>
            <w:sz w:val="20"/>
          </w:rPr>
          <w:tab/>
        </w:r>
        <w:r w:rsidR="00E73712" w:rsidRPr="00E73712">
          <w:rPr>
            <w:noProof/>
            <w:webHidden/>
            <w:sz w:val="20"/>
          </w:rPr>
          <w:fldChar w:fldCharType="begin"/>
        </w:r>
        <w:r w:rsidR="00E73712" w:rsidRPr="00E73712">
          <w:rPr>
            <w:noProof/>
            <w:webHidden/>
            <w:sz w:val="20"/>
          </w:rPr>
          <w:instrText xml:space="preserve"> PAGEREF _Toc42847836 \h </w:instrText>
        </w:r>
        <w:r w:rsidR="00E73712" w:rsidRPr="00E73712">
          <w:rPr>
            <w:noProof/>
            <w:webHidden/>
            <w:sz w:val="20"/>
          </w:rPr>
        </w:r>
        <w:r w:rsidR="00E73712" w:rsidRPr="00E73712">
          <w:rPr>
            <w:noProof/>
            <w:webHidden/>
            <w:sz w:val="20"/>
          </w:rPr>
          <w:fldChar w:fldCharType="separate"/>
        </w:r>
        <w:r w:rsidR="00D75351">
          <w:rPr>
            <w:noProof/>
            <w:webHidden/>
            <w:sz w:val="20"/>
          </w:rPr>
          <w:t>4</w:t>
        </w:r>
        <w:r w:rsidR="00E73712" w:rsidRPr="00E73712">
          <w:rPr>
            <w:noProof/>
            <w:webHidden/>
            <w:sz w:val="20"/>
          </w:rPr>
          <w:fldChar w:fldCharType="end"/>
        </w:r>
      </w:hyperlink>
    </w:p>
    <w:p w14:paraId="6BBFACA5" w14:textId="5E5AE59A" w:rsidR="00E73712" w:rsidRPr="00E73712" w:rsidRDefault="001321C9">
      <w:pPr>
        <w:pStyle w:val="TOC2"/>
        <w:rPr>
          <w:rFonts w:eastAsiaTheme="minorEastAsia" w:cstheme="minorBidi"/>
          <w:noProof/>
          <w:snapToGrid/>
          <w:sz w:val="20"/>
          <w:lang w:eastAsia="en-AU"/>
        </w:rPr>
      </w:pPr>
      <w:hyperlink w:anchor="_Toc42847837" w:history="1">
        <w:r w:rsidR="00E73712" w:rsidRPr="00E73712">
          <w:rPr>
            <w:rStyle w:val="Hyperlink"/>
            <w:noProof/>
            <w:sz w:val="20"/>
          </w:rPr>
          <w:t>3</w:t>
        </w:r>
        <w:r w:rsidR="00E73712" w:rsidRPr="00E73712">
          <w:rPr>
            <w:rFonts w:eastAsiaTheme="minorEastAsia" w:cstheme="minorBidi"/>
            <w:noProof/>
            <w:snapToGrid/>
            <w:sz w:val="20"/>
            <w:lang w:eastAsia="en-AU"/>
          </w:rPr>
          <w:tab/>
        </w:r>
        <w:r w:rsidR="00E73712" w:rsidRPr="00E73712">
          <w:rPr>
            <w:rStyle w:val="Hyperlink"/>
            <w:noProof/>
            <w:sz w:val="20"/>
          </w:rPr>
          <w:t>Background</w:t>
        </w:r>
        <w:r w:rsidR="00E73712" w:rsidRPr="00E73712">
          <w:rPr>
            <w:noProof/>
            <w:webHidden/>
            <w:sz w:val="20"/>
          </w:rPr>
          <w:tab/>
        </w:r>
        <w:r w:rsidR="00E73712" w:rsidRPr="00E73712">
          <w:rPr>
            <w:noProof/>
            <w:webHidden/>
            <w:sz w:val="20"/>
          </w:rPr>
          <w:fldChar w:fldCharType="begin"/>
        </w:r>
        <w:r w:rsidR="00E73712" w:rsidRPr="00E73712">
          <w:rPr>
            <w:noProof/>
            <w:webHidden/>
            <w:sz w:val="20"/>
          </w:rPr>
          <w:instrText xml:space="preserve"> PAGEREF _Toc42847837 \h </w:instrText>
        </w:r>
        <w:r w:rsidR="00E73712" w:rsidRPr="00E73712">
          <w:rPr>
            <w:noProof/>
            <w:webHidden/>
            <w:sz w:val="20"/>
          </w:rPr>
        </w:r>
        <w:r w:rsidR="00E73712" w:rsidRPr="00E73712">
          <w:rPr>
            <w:noProof/>
            <w:webHidden/>
            <w:sz w:val="20"/>
          </w:rPr>
          <w:fldChar w:fldCharType="separate"/>
        </w:r>
        <w:r w:rsidR="00D75351">
          <w:rPr>
            <w:noProof/>
            <w:webHidden/>
            <w:sz w:val="20"/>
          </w:rPr>
          <w:t>7</w:t>
        </w:r>
        <w:r w:rsidR="00E73712" w:rsidRPr="00E73712">
          <w:rPr>
            <w:noProof/>
            <w:webHidden/>
            <w:sz w:val="20"/>
          </w:rPr>
          <w:fldChar w:fldCharType="end"/>
        </w:r>
      </w:hyperlink>
    </w:p>
    <w:p w14:paraId="334F2E5A" w14:textId="5A97F6E0" w:rsidR="00E73712" w:rsidRPr="00E73712" w:rsidRDefault="001321C9" w:rsidP="00E73712">
      <w:pPr>
        <w:pStyle w:val="TOC3"/>
        <w:numPr>
          <w:ilvl w:val="0"/>
          <w:numId w:val="0"/>
        </w:numPr>
        <w:ind w:left="1985" w:hanging="1985"/>
        <w:rPr>
          <w:rFonts w:eastAsiaTheme="minorEastAsia" w:cstheme="minorBidi"/>
          <w:noProof/>
          <w:snapToGrid/>
          <w:sz w:val="20"/>
          <w:lang w:eastAsia="en-AU"/>
        </w:rPr>
      </w:pPr>
      <w:hyperlink w:anchor="_Toc42847838" w:history="1">
        <w:r w:rsidR="00E73712" w:rsidRPr="00E73712">
          <w:rPr>
            <w:rStyle w:val="Hyperlink"/>
            <w:noProof/>
            <w:sz w:val="20"/>
          </w:rPr>
          <w:t>3.1</w:t>
        </w:r>
        <w:r w:rsidR="00E73712" w:rsidRPr="00E73712">
          <w:rPr>
            <w:rFonts w:eastAsiaTheme="minorEastAsia" w:cstheme="minorBidi"/>
            <w:noProof/>
            <w:snapToGrid/>
            <w:sz w:val="20"/>
            <w:lang w:eastAsia="en-AU"/>
          </w:rPr>
          <w:tab/>
        </w:r>
        <w:r w:rsidR="00E73712" w:rsidRPr="00E73712">
          <w:rPr>
            <w:rStyle w:val="Hyperlink"/>
            <w:noProof/>
            <w:sz w:val="20"/>
          </w:rPr>
          <w:t>Overview of the National Framework for Protecting Australia’s Children 2009-2020</w:t>
        </w:r>
        <w:r w:rsidR="00E73712" w:rsidRPr="00E73712">
          <w:rPr>
            <w:noProof/>
            <w:webHidden/>
            <w:sz w:val="20"/>
          </w:rPr>
          <w:tab/>
        </w:r>
        <w:r w:rsidR="00E73712" w:rsidRPr="00E73712">
          <w:rPr>
            <w:noProof/>
            <w:webHidden/>
            <w:sz w:val="20"/>
          </w:rPr>
          <w:fldChar w:fldCharType="begin"/>
        </w:r>
        <w:r w:rsidR="00E73712" w:rsidRPr="00E73712">
          <w:rPr>
            <w:noProof/>
            <w:webHidden/>
            <w:sz w:val="20"/>
          </w:rPr>
          <w:instrText xml:space="preserve"> PAGEREF _Toc42847838 \h </w:instrText>
        </w:r>
        <w:r w:rsidR="00E73712" w:rsidRPr="00E73712">
          <w:rPr>
            <w:noProof/>
            <w:webHidden/>
            <w:sz w:val="20"/>
          </w:rPr>
        </w:r>
        <w:r w:rsidR="00E73712" w:rsidRPr="00E73712">
          <w:rPr>
            <w:noProof/>
            <w:webHidden/>
            <w:sz w:val="20"/>
          </w:rPr>
          <w:fldChar w:fldCharType="separate"/>
        </w:r>
        <w:r w:rsidR="00D75351">
          <w:rPr>
            <w:noProof/>
            <w:webHidden/>
            <w:sz w:val="20"/>
          </w:rPr>
          <w:t>8</w:t>
        </w:r>
        <w:r w:rsidR="00E73712" w:rsidRPr="00E73712">
          <w:rPr>
            <w:noProof/>
            <w:webHidden/>
            <w:sz w:val="20"/>
          </w:rPr>
          <w:fldChar w:fldCharType="end"/>
        </w:r>
      </w:hyperlink>
    </w:p>
    <w:p w14:paraId="7FB208A2" w14:textId="3DFDEF68" w:rsidR="00E73712" w:rsidRPr="00E73712" w:rsidRDefault="001321C9" w:rsidP="00E73712">
      <w:pPr>
        <w:pStyle w:val="TOC3"/>
        <w:numPr>
          <w:ilvl w:val="0"/>
          <w:numId w:val="0"/>
        </w:numPr>
        <w:ind w:left="1985" w:hanging="1985"/>
        <w:rPr>
          <w:rFonts w:eastAsiaTheme="minorEastAsia" w:cstheme="minorBidi"/>
          <w:noProof/>
          <w:snapToGrid/>
          <w:sz w:val="20"/>
          <w:lang w:eastAsia="en-AU"/>
        </w:rPr>
      </w:pPr>
      <w:hyperlink w:anchor="_Toc42847839" w:history="1">
        <w:r w:rsidR="00E73712" w:rsidRPr="00E73712">
          <w:rPr>
            <w:rStyle w:val="Hyperlink"/>
            <w:noProof/>
            <w:sz w:val="20"/>
          </w:rPr>
          <w:t>3.2</w:t>
        </w:r>
        <w:r w:rsidR="00E73712" w:rsidRPr="00E73712">
          <w:rPr>
            <w:rFonts w:eastAsiaTheme="minorEastAsia" w:cstheme="minorBidi"/>
            <w:noProof/>
            <w:snapToGrid/>
            <w:sz w:val="20"/>
            <w:lang w:eastAsia="en-AU"/>
          </w:rPr>
          <w:tab/>
        </w:r>
        <w:r w:rsidR="00E73712" w:rsidRPr="00E73712">
          <w:rPr>
            <w:rStyle w:val="Hyperlink"/>
            <w:noProof/>
            <w:sz w:val="20"/>
          </w:rPr>
          <w:t>Prevalence of child abuse and neglect over the course of the Framework</w:t>
        </w:r>
        <w:r w:rsidR="00E73712" w:rsidRPr="00E73712">
          <w:rPr>
            <w:noProof/>
            <w:webHidden/>
            <w:sz w:val="20"/>
          </w:rPr>
          <w:tab/>
        </w:r>
        <w:r w:rsidR="00E73712" w:rsidRPr="00E73712">
          <w:rPr>
            <w:noProof/>
            <w:webHidden/>
            <w:sz w:val="20"/>
          </w:rPr>
          <w:fldChar w:fldCharType="begin"/>
        </w:r>
        <w:r w:rsidR="00E73712" w:rsidRPr="00E73712">
          <w:rPr>
            <w:noProof/>
            <w:webHidden/>
            <w:sz w:val="20"/>
          </w:rPr>
          <w:instrText xml:space="preserve"> PAGEREF _Toc42847839 \h </w:instrText>
        </w:r>
        <w:r w:rsidR="00E73712" w:rsidRPr="00E73712">
          <w:rPr>
            <w:noProof/>
            <w:webHidden/>
            <w:sz w:val="20"/>
          </w:rPr>
        </w:r>
        <w:r w:rsidR="00E73712" w:rsidRPr="00E73712">
          <w:rPr>
            <w:noProof/>
            <w:webHidden/>
            <w:sz w:val="20"/>
          </w:rPr>
          <w:fldChar w:fldCharType="separate"/>
        </w:r>
        <w:r w:rsidR="00D75351">
          <w:rPr>
            <w:noProof/>
            <w:webHidden/>
            <w:sz w:val="20"/>
          </w:rPr>
          <w:t>11</w:t>
        </w:r>
        <w:r w:rsidR="00E73712" w:rsidRPr="00E73712">
          <w:rPr>
            <w:noProof/>
            <w:webHidden/>
            <w:sz w:val="20"/>
          </w:rPr>
          <w:fldChar w:fldCharType="end"/>
        </w:r>
      </w:hyperlink>
    </w:p>
    <w:p w14:paraId="6C023C2A" w14:textId="24115C13" w:rsidR="00E73712" w:rsidRPr="00E73712" w:rsidRDefault="001321C9">
      <w:pPr>
        <w:pStyle w:val="TOC2"/>
        <w:rPr>
          <w:rFonts w:eastAsiaTheme="minorEastAsia" w:cstheme="minorBidi"/>
          <w:noProof/>
          <w:snapToGrid/>
          <w:sz w:val="20"/>
          <w:lang w:eastAsia="en-AU"/>
        </w:rPr>
      </w:pPr>
      <w:hyperlink w:anchor="_Toc42847840" w:history="1">
        <w:r w:rsidR="00E73712" w:rsidRPr="00E73712">
          <w:rPr>
            <w:rStyle w:val="Hyperlink"/>
            <w:noProof/>
            <w:sz w:val="20"/>
          </w:rPr>
          <w:t>4</w:t>
        </w:r>
        <w:r w:rsidR="00E73712" w:rsidRPr="00E73712">
          <w:rPr>
            <w:rFonts w:eastAsiaTheme="minorEastAsia" w:cstheme="minorBidi"/>
            <w:noProof/>
            <w:snapToGrid/>
            <w:sz w:val="20"/>
            <w:lang w:eastAsia="en-AU"/>
          </w:rPr>
          <w:tab/>
        </w:r>
        <w:r w:rsidR="00E73712" w:rsidRPr="00E73712">
          <w:rPr>
            <w:rStyle w:val="Hyperlink"/>
            <w:noProof/>
            <w:sz w:val="20"/>
          </w:rPr>
          <w:t>Evaluation question 1: To what extent did the National Framework achieve its intended outcomes and what factors supported or inhibited outcomes?</w:t>
        </w:r>
        <w:r w:rsidR="00E73712" w:rsidRPr="00E73712">
          <w:rPr>
            <w:noProof/>
            <w:webHidden/>
            <w:sz w:val="20"/>
          </w:rPr>
          <w:tab/>
        </w:r>
        <w:r w:rsidR="00E73712" w:rsidRPr="00E73712">
          <w:rPr>
            <w:noProof/>
            <w:webHidden/>
            <w:sz w:val="20"/>
          </w:rPr>
          <w:fldChar w:fldCharType="begin"/>
        </w:r>
        <w:r w:rsidR="00E73712" w:rsidRPr="00E73712">
          <w:rPr>
            <w:noProof/>
            <w:webHidden/>
            <w:sz w:val="20"/>
          </w:rPr>
          <w:instrText xml:space="preserve"> PAGEREF _Toc42847840 \h </w:instrText>
        </w:r>
        <w:r w:rsidR="00E73712" w:rsidRPr="00E73712">
          <w:rPr>
            <w:noProof/>
            <w:webHidden/>
            <w:sz w:val="20"/>
          </w:rPr>
        </w:r>
        <w:r w:rsidR="00E73712" w:rsidRPr="00E73712">
          <w:rPr>
            <w:noProof/>
            <w:webHidden/>
            <w:sz w:val="20"/>
          </w:rPr>
          <w:fldChar w:fldCharType="separate"/>
        </w:r>
        <w:r w:rsidR="00D75351">
          <w:rPr>
            <w:noProof/>
            <w:webHidden/>
            <w:sz w:val="20"/>
          </w:rPr>
          <w:t>19</w:t>
        </w:r>
        <w:r w:rsidR="00E73712" w:rsidRPr="00E73712">
          <w:rPr>
            <w:noProof/>
            <w:webHidden/>
            <w:sz w:val="20"/>
          </w:rPr>
          <w:fldChar w:fldCharType="end"/>
        </w:r>
      </w:hyperlink>
    </w:p>
    <w:p w14:paraId="2CCB0747" w14:textId="0635E5FB" w:rsidR="00E73712" w:rsidRPr="00E73712" w:rsidRDefault="001321C9" w:rsidP="00E73712">
      <w:pPr>
        <w:pStyle w:val="TOC3"/>
        <w:numPr>
          <w:ilvl w:val="0"/>
          <w:numId w:val="0"/>
        </w:numPr>
        <w:ind w:left="1985" w:hanging="1985"/>
        <w:rPr>
          <w:rFonts w:eastAsiaTheme="minorEastAsia" w:cstheme="minorBidi"/>
          <w:noProof/>
          <w:snapToGrid/>
          <w:sz w:val="20"/>
          <w:lang w:eastAsia="en-AU"/>
        </w:rPr>
      </w:pPr>
      <w:hyperlink w:anchor="_Toc42847841" w:history="1">
        <w:r w:rsidR="00E73712" w:rsidRPr="00E73712">
          <w:rPr>
            <w:rStyle w:val="Hyperlink"/>
            <w:noProof/>
            <w:sz w:val="20"/>
          </w:rPr>
          <w:t>4.1</w:t>
        </w:r>
        <w:r w:rsidR="00E73712" w:rsidRPr="00E73712">
          <w:rPr>
            <w:rFonts w:eastAsiaTheme="minorEastAsia" w:cstheme="minorBidi"/>
            <w:noProof/>
            <w:snapToGrid/>
            <w:sz w:val="20"/>
            <w:lang w:eastAsia="en-AU"/>
          </w:rPr>
          <w:tab/>
        </w:r>
        <w:r w:rsidR="00E73712" w:rsidRPr="00E73712">
          <w:rPr>
            <w:rStyle w:val="Hyperlink"/>
            <w:noProof/>
            <w:sz w:val="20"/>
          </w:rPr>
          <w:t>Achievements of the National Framework and Action Plans</w:t>
        </w:r>
        <w:r w:rsidR="00E73712" w:rsidRPr="00E73712">
          <w:rPr>
            <w:noProof/>
            <w:webHidden/>
            <w:sz w:val="20"/>
          </w:rPr>
          <w:tab/>
        </w:r>
        <w:r w:rsidR="00E73712" w:rsidRPr="00E73712">
          <w:rPr>
            <w:noProof/>
            <w:webHidden/>
            <w:sz w:val="20"/>
          </w:rPr>
          <w:fldChar w:fldCharType="begin"/>
        </w:r>
        <w:r w:rsidR="00E73712" w:rsidRPr="00E73712">
          <w:rPr>
            <w:noProof/>
            <w:webHidden/>
            <w:sz w:val="20"/>
          </w:rPr>
          <w:instrText xml:space="preserve"> PAGEREF _Toc42847841 \h </w:instrText>
        </w:r>
        <w:r w:rsidR="00E73712" w:rsidRPr="00E73712">
          <w:rPr>
            <w:noProof/>
            <w:webHidden/>
            <w:sz w:val="20"/>
          </w:rPr>
        </w:r>
        <w:r w:rsidR="00E73712" w:rsidRPr="00E73712">
          <w:rPr>
            <w:noProof/>
            <w:webHidden/>
            <w:sz w:val="20"/>
          </w:rPr>
          <w:fldChar w:fldCharType="separate"/>
        </w:r>
        <w:r w:rsidR="00D75351">
          <w:rPr>
            <w:noProof/>
            <w:webHidden/>
            <w:sz w:val="20"/>
          </w:rPr>
          <w:t>20</w:t>
        </w:r>
        <w:r w:rsidR="00E73712" w:rsidRPr="00E73712">
          <w:rPr>
            <w:noProof/>
            <w:webHidden/>
            <w:sz w:val="20"/>
          </w:rPr>
          <w:fldChar w:fldCharType="end"/>
        </w:r>
      </w:hyperlink>
    </w:p>
    <w:p w14:paraId="03E2F78D" w14:textId="7B1931C5" w:rsidR="00E73712" w:rsidRPr="00E73712" w:rsidRDefault="001321C9" w:rsidP="00E73712">
      <w:pPr>
        <w:pStyle w:val="TOC3"/>
        <w:numPr>
          <w:ilvl w:val="0"/>
          <w:numId w:val="0"/>
        </w:numPr>
        <w:ind w:left="1985" w:hanging="1985"/>
        <w:rPr>
          <w:rFonts w:eastAsiaTheme="minorEastAsia" w:cstheme="minorBidi"/>
          <w:noProof/>
          <w:snapToGrid/>
          <w:sz w:val="20"/>
          <w:lang w:eastAsia="en-AU"/>
        </w:rPr>
      </w:pPr>
      <w:hyperlink w:anchor="_Toc42847842" w:history="1">
        <w:r w:rsidR="00E73712" w:rsidRPr="00E73712">
          <w:rPr>
            <w:rStyle w:val="Hyperlink"/>
            <w:noProof/>
            <w:sz w:val="20"/>
          </w:rPr>
          <w:t>4.2</w:t>
        </w:r>
        <w:r w:rsidR="00E73712" w:rsidRPr="00E73712">
          <w:rPr>
            <w:rFonts w:eastAsiaTheme="minorEastAsia" w:cstheme="minorBidi"/>
            <w:noProof/>
            <w:snapToGrid/>
            <w:sz w:val="20"/>
            <w:lang w:eastAsia="en-AU"/>
          </w:rPr>
          <w:tab/>
        </w:r>
        <w:r w:rsidR="00E73712" w:rsidRPr="00E73712">
          <w:rPr>
            <w:rStyle w:val="Hyperlink"/>
            <w:noProof/>
            <w:sz w:val="20"/>
          </w:rPr>
          <w:t>Supporting factors, strengths, weaknesses and opportunities for improvement</w:t>
        </w:r>
        <w:r w:rsidR="00E73712" w:rsidRPr="00E73712">
          <w:rPr>
            <w:noProof/>
            <w:webHidden/>
            <w:sz w:val="20"/>
          </w:rPr>
          <w:tab/>
        </w:r>
        <w:r w:rsidR="00E73712" w:rsidRPr="00E73712">
          <w:rPr>
            <w:noProof/>
            <w:webHidden/>
            <w:sz w:val="20"/>
          </w:rPr>
          <w:fldChar w:fldCharType="begin"/>
        </w:r>
        <w:r w:rsidR="00E73712" w:rsidRPr="00E73712">
          <w:rPr>
            <w:noProof/>
            <w:webHidden/>
            <w:sz w:val="20"/>
          </w:rPr>
          <w:instrText xml:space="preserve"> PAGEREF _Toc42847842 \h </w:instrText>
        </w:r>
        <w:r w:rsidR="00E73712" w:rsidRPr="00E73712">
          <w:rPr>
            <w:noProof/>
            <w:webHidden/>
            <w:sz w:val="20"/>
          </w:rPr>
        </w:r>
        <w:r w:rsidR="00E73712" w:rsidRPr="00E73712">
          <w:rPr>
            <w:noProof/>
            <w:webHidden/>
            <w:sz w:val="20"/>
          </w:rPr>
          <w:fldChar w:fldCharType="separate"/>
        </w:r>
        <w:r w:rsidR="00D75351">
          <w:rPr>
            <w:noProof/>
            <w:webHidden/>
            <w:sz w:val="20"/>
          </w:rPr>
          <w:t>22</w:t>
        </w:r>
        <w:r w:rsidR="00E73712" w:rsidRPr="00E73712">
          <w:rPr>
            <w:noProof/>
            <w:webHidden/>
            <w:sz w:val="20"/>
          </w:rPr>
          <w:fldChar w:fldCharType="end"/>
        </w:r>
      </w:hyperlink>
    </w:p>
    <w:p w14:paraId="353F9E03" w14:textId="152A4587" w:rsidR="00E73712" w:rsidRPr="00E73712" w:rsidRDefault="001321C9" w:rsidP="00E73712">
      <w:pPr>
        <w:pStyle w:val="TOC3"/>
        <w:numPr>
          <w:ilvl w:val="0"/>
          <w:numId w:val="0"/>
        </w:numPr>
        <w:ind w:left="1985" w:hanging="1985"/>
        <w:rPr>
          <w:rFonts w:eastAsiaTheme="minorEastAsia" w:cstheme="minorBidi"/>
          <w:noProof/>
          <w:snapToGrid/>
          <w:sz w:val="20"/>
          <w:lang w:eastAsia="en-AU"/>
        </w:rPr>
      </w:pPr>
      <w:hyperlink w:anchor="_Toc42847843" w:history="1">
        <w:r w:rsidR="00E73712" w:rsidRPr="00E73712">
          <w:rPr>
            <w:rStyle w:val="Hyperlink"/>
            <w:noProof/>
            <w:sz w:val="20"/>
          </w:rPr>
          <w:t>4.3</w:t>
        </w:r>
        <w:r w:rsidR="00E73712" w:rsidRPr="00E73712">
          <w:rPr>
            <w:rFonts w:eastAsiaTheme="minorEastAsia" w:cstheme="minorBidi"/>
            <w:noProof/>
            <w:snapToGrid/>
            <w:sz w:val="20"/>
            <w:lang w:eastAsia="en-AU"/>
          </w:rPr>
          <w:tab/>
        </w:r>
        <w:r w:rsidR="00E73712" w:rsidRPr="00E73712">
          <w:rPr>
            <w:rStyle w:val="Hyperlink"/>
            <w:noProof/>
            <w:sz w:val="20"/>
          </w:rPr>
          <w:t>Effectiveness of informing the agenda for Indigenous priorities and actions</w:t>
        </w:r>
        <w:r w:rsidR="00E73712" w:rsidRPr="00E73712">
          <w:rPr>
            <w:noProof/>
            <w:webHidden/>
            <w:sz w:val="20"/>
          </w:rPr>
          <w:tab/>
        </w:r>
        <w:r w:rsidR="00E73712" w:rsidRPr="00E73712">
          <w:rPr>
            <w:noProof/>
            <w:webHidden/>
            <w:sz w:val="20"/>
          </w:rPr>
          <w:fldChar w:fldCharType="begin"/>
        </w:r>
        <w:r w:rsidR="00E73712" w:rsidRPr="00E73712">
          <w:rPr>
            <w:noProof/>
            <w:webHidden/>
            <w:sz w:val="20"/>
          </w:rPr>
          <w:instrText xml:space="preserve"> PAGEREF _Toc42847843 \h </w:instrText>
        </w:r>
        <w:r w:rsidR="00E73712" w:rsidRPr="00E73712">
          <w:rPr>
            <w:noProof/>
            <w:webHidden/>
            <w:sz w:val="20"/>
          </w:rPr>
        </w:r>
        <w:r w:rsidR="00E73712" w:rsidRPr="00E73712">
          <w:rPr>
            <w:noProof/>
            <w:webHidden/>
            <w:sz w:val="20"/>
          </w:rPr>
          <w:fldChar w:fldCharType="separate"/>
        </w:r>
        <w:r w:rsidR="00D75351">
          <w:rPr>
            <w:noProof/>
            <w:webHidden/>
            <w:sz w:val="20"/>
          </w:rPr>
          <w:t>29</w:t>
        </w:r>
        <w:r w:rsidR="00E73712" w:rsidRPr="00E73712">
          <w:rPr>
            <w:noProof/>
            <w:webHidden/>
            <w:sz w:val="20"/>
          </w:rPr>
          <w:fldChar w:fldCharType="end"/>
        </w:r>
      </w:hyperlink>
    </w:p>
    <w:p w14:paraId="649D9EFF" w14:textId="28F97291" w:rsidR="00E73712" w:rsidRPr="00E73712" w:rsidRDefault="001321C9">
      <w:pPr>
        <w:pStyle w:val="TOC2"/>
        <w:rPr>
          <w:rFonts w:eastAsiaTheme="minorEastAsia" w:cstheme="minorBidi"/>
          <w:noProof/>
          <w:snapToGrid/>
          <w:sz w:val="20"/>
          <w:lang w:eastAsia="en-AU"/>
        </w:rPr>
      </w:pPr>
      <w:hyperlink w:anchor="_Toc42847844" w:history="1">
        <w:r w:rsidR="00E73712" w:rsidRPr="00E73712">
          <w:rPr>
            <w:rStyle w:val="Hyperlink"/>
            <w:noProof/>
            <w:sz w:val="20"/>
          </w:rPr>
          <w:t>5</w:t>
        </w:r>
        <w:r w:rsidR="00E73712" w:rsidRPr="00E73712">
          <w:rPr>
            <w:rFonts w:eastAsiaTheme="minorEastAsia" w:cstheme="minorBidi"/>
            <w:noProof/>
            <w:snapToGrid/>
            <w:sz w:val="20"/>
            <w:lang w:eastAsia="en-AU"/>
          </w:rPr>
          <w:tab/>
        </w:r>
        <w:r w:rsidR="00E73712" w:rsidRPr="00E73712">
          <w:rPr>
            <w:rStyle w:val="Hyperlink"/>
            <w:noProof/>
            <w:sz w:val="20"/>
          </w:rPr>
          <w:t>Evaluation question 2: How well did the National Framework support the policy agenda for children and young people?</w:t>
        </w:r>
        <w:r w:rsidR="00E73712" w:rsidRPr="00E73712">
          <w:rPr>
            <w:noProof/>
            <w:webHidden/>
            <w:sz w:val="20"/>
          </w:rPr>
          <w:tab/>
        </w:r>
        <w:r w:rsidR="00E73712" w:rsidRPr="00E73712">
          <w:rPr>
            <w:noProof/>
            <w:webHidden/>
            <w:sz w:val="20"/>
          </w:rPr>
          <w:fldChar w:fldCharType="begin"/>
        </w:r>
        <w:r w:rsidR="00E73712" w:rsidRPr="00E73712">
          <w:rPr>
            <w:noProof/>
            <w:webHidden/>
            <w:sz w:val="20"/>
          </w:rPr>
          <w:instrText xml:space="preserve"> PAGEREF _Toc42847844 \h </w:instrText>
        </w:r>
        <w:r w:rsidR="00E73712" w:rsidRPr="00E73712">
          <w:rPr>
            <w:noProof/>
            <w:webHidden/>
            <w:sz w:val="20"/>
          </w:rPr>
        </w:r>
        <w:r w:rsidR="00E73712" w:rsidRPr="00E73712">
          <w:rPr>
            <w:noProof/>
            <w:webHidden/>
            <w:sz w:val="20"/>
          </w:rPr>
          <w:fldChar w:fldCharType="separate"/>
        </w:r>
        <w:r w:rsidR="00D75351">
          <w:rPr>
            <w:noProof/>
            <w:webHidden/>
            <w:sz w:val="20"/>
          </w:rPr>
          <w:t>32</w:t>
        </w:r>
        <w:r w:rsidR="00E73712" w:rsidRPr="00E73712">
          <w:rPr>
            <w:noProof/>
            <w:webHidden/>
            <w:sz w:val="20"/>
          </w:rPr>
          <w:fldChar w:fldCharType="end"/>
        </w:r>
      </w:hyperlink>
    </w:p>
    <w:p w14:paraId="0DE98889" w14:textId="77E9EAF2" w:rsidR="00E73712" w:rsidRPr="00E73712" w:rsidRDefault="001321C9" w:rsidP="00E73712">
      <w:pPr>
        <w:pStyle w:val="TOC3"/>
        <w:numPr>
          <w:ilvl w:val="0"/>
          <w:numId w:val="0"/>
        </w:numPr>
        <w:ind w:left="1985" w:hanging="1985"/>
        <w:rPr>
          <w:rFonts w:eastAsiaTheme="minorEastAsia" w:cstheme="minorBidi"/>
          <w:noProof/>
          <w:snapToGrid/>
          <w:sz w:val="20"/>
          <w:lang w:eastAsia="en-AU"/>
        </w:rPr>
      </w:pPr>
      <w:hyperlink w:anchor="_Toc42847845" w:history="1">
        <w:r w:rsidR="00E73712" w:rsidRPr="00E73712">
          <w:rPr>
            <w:rStyle w:val="Hyperlink"/>
            <w:noProof/>
            <w:sz w:val="20"/>
          </w:rPr>
          <w:t>5.1</w:t>
        </w:r>
        <w:r w:rsidR="00E73712" w:rsidRPr="00E73712">
          <w:rPr>
            <w:rFonts w:eastAsiaTheme="minorEastAsia" w:cstheme="minorBidi"/>
            <w:noProof/>
            <w:snapToGrid/>
            <w:sz w:val="20"/>
            <w:lang w:eastAsia="en-AU"/>
          </w:rPr>
          <w:tab/>
        </w:r>
        <w:r w:rsidR="00E73712" w:rsidRPr="00E73712">
          <w:rPr>
            <w:rStyle w:val="Hyperlink"/>
            <w:noProof/>
            <w:sz w:val="20"/>
          </w:rPr>
          <w:t>Alignment with broader policy areas</w:t>
        </w:r>
        <w:r w:rsidR="00E73712" w:rsidRPr="00E73712">
          <w:rPr>
            <w:noProof/>
            <w:webHidden/>
            <w:sz w:val="20"/>
          </w:rPr>
          <w:tab/>
        </w:r>
        <w:r w:rsidR="00E73712" w:rsidRPr="00E73712">
          <w:rPr>
            <w:noProof/>
            <w:webHidden/>
            <w:sz w:val="20"/>
          </w:rPr>
          <w:fldChar w:fldCharType="begin"/>
        </w:r>
        <w:r w:rsidR="00E73712" w:rsidRPr="00E73712">
          <w:rPr>
            <w:noProof/>
            <w:webHidden/>
            <w:sz w:val="20"/>
          </w:rPr>
          <w:instrText xml:space="preserve"> PAGEREF _Toc42847845 \h </w:instrText>
        </w:r>
        <w:r w:rsidR="00E73712" w:rsidRPr="00E73712">
          <w:rPr>
            <w:noProof/>
            <w:webHidden/>
            <w:sz w:val="20"/>
          </w:rPr>
        </w:r>
        <w:r w:rsidR="00E73712" w:rsidRPr="00E73712">
          <w:rPr>
            <w:noProof/>
            <w:webHidden/>
            <w:sz w:val="20"/>
          </w:rPr>
          <w:fldChar w:fldCharType="separate"/>
        </w:r>
        <w:r w:rsidR="00D75351">
          <w:rPr>
            <w:noProof/>
            <w:webHidden/>
            <w:sz w:val="20"/>
          </w:rPr>
          <w:t>33</w:t>
        </w:r>
        <w:r w:rsidR="00E73712" w:rsidRPr="00E73712">
          <w:rPr>
            <w:noProof/>
            <w:webHidden/>
            <w:sz w:val="20"/>
          </w:rPr>
          <w:fldChar w:fldCharType="end"/>
        </w:r>
      </w:hyperlink>
    </w:p>
    <w:p w14:paraId="5327B8D3" w14:textId="3A546067" w:rsidR="00E73712" w:rsidRPr="00E73712" w:rsidRDefault="001321C9">
      <w:pPr>
        <w:pStyle w:val="TOC2"/>
        <w:rPr>
          <w:rFonts w:eastAsiaTheme="minorEastAsia" w:cstheme="minorBidi"/>
          <w:noProof/>
          <w:snapToGrid/>
          <w:sz w:val="20"/>
          <w:lang w:eastAsia="en-AU"/>
        </w:rPr>
      </w:pPr>
      <w:hyperlink w:anchor="_Toc42847846" w:history="1">
        <w:r w:rsidR="00E73712" w:rsidRPr="00E73712">
          <w:rPr>
            <w:rStyle w:val="Hyperlink"/>
            <w:noProof/>
            <w:sz w:val="20"/>
          </w:rPr>
          <w:t>6</w:t>
        </w:r>
        <w:r w:rsidR="00E73712" w:rsidRPr="00E73712">
          <w:rPr>
            <w:rFonts w:eastAsiaTheme="minorEastAsia" w:cstheme="minorBidi"/>
            <w:noProof/>
            <w:snapToGrid/>
            <w:sz w:val="20"/>
            <w:lang w:eastAsia="en-AU"/>
          </w:rPr>
          <w:tab/>
        </w:r>
        <w:r w:rsidR="00E73712" w:rsidRPr="00E73712">
          <w:rPr>
            <w:rStyle w:val="Hyperlink"/>
            <w:noProof/>
            <w:sz w:val="20"/>
          </w:rPr>
          <w:t>Evaluation question 3: How effective was the development of the National Framework and Action Plans?</w:t>
        </w:r>
        <w:r w:rsidR="00E73712" w:rsidRPr="00E73712">
          <w:rPr>
            <w:noProof/>
            <w:webHidden/>
            <w:sz w:val="20"/>
          </w:rPr>
          <w:tab/>
        </w:r>
        <w:r w:rsidR="00E73712" w:rsidRPr="00E73712">
          <w:rPr>
            <w:noProof/>
            <w:webHidden/>
            <w:sz w:val="20"/>
          </w:rPr>
          <w:fldChar w:fldCharType="begin"/>
        </w:r>
        <w:r w:rsidR="00E73712" w:rsidRPr="00E73712">
          <w:rPr>
            <w:noProof/>
            <w:webHidden/>
            <w:sz w:val="20"/>
          </w:rPr>
          <w:instrText xml:space="preserve"> PAGEREF _Toc42847846 \h </w:instrText>
        </w:r>
        <w:r w:rsidR="00E73712" w:rsidRPr="00E73712">
          <w:rPr>
            <w:noProof/>
            <w:webHidden/>
            <w:sz w:val="20"/>
          </w:rPr>
        </w:r>
        <w:r w:rsidR="00E73712" w:rsidRPr="00E73712">
          <w:rPr>
            <w:noProof/>
            <w:webHidden/>
            <w:sz w:val="20"/>
          </w:rPr>
          <w:fldChar w:fldCharType="separate"/>
        </w:r>
        <w:r w:rsidR="00D75351">
          <w:rPr>
            <w:noProof/>
            <w:webHidden/>
            <w:sz w:val="20"/>
          </w:rPr>
          <w:t>41</w:t>
        </w:r>
        <w:r w:rsidR="00E73712" w:rsidRPr="00E73712">
          <w:rPr>
            <w:noProof/>
            <w:webHidden/>
            <w:sz w:val="20"/>
          </w:rPr>
          <w:fldChar w:fldCharType="end"/>
        </w:r>
      </w:hyperlink>
    </w:p>
    <w:p w14:paraId="35EA5450" w14:textId="5CDFCB54" w:rsidR="00E73712" w:rsidRPr="00E73712" w:rsidRDefault="001321C9" w:rsidP="00E73712">
      <w:pPr>
        <w:pStyle w:val="TOC3"/>
        <w:numPr>
          <w:ilvl w:val="0"/>
          <w:numId w:val="0"/>
        </w:numPr>
        <w:ind w:left="1985" w:hanging="1985"/>
        <w:rPr>
          <w:rFonts w:eastAsiaTheme="minorEastAsia" w:cstheme="minorBidi"/>
          <w:noProof/>
          <w:snapToGrid/>
          <w:sz w:val="20"/>
          <w:lang w:eastAsia="en-AU"/>
        </w:rPr>
      </w:pPr>
      <w:hyperlink w:anchor="_Toc42847847" w:history="1">
        <w:r w:rsidR="00E73712" w:rsidRPr="00E73712">
          <w:rPr>
            <w:rStyle w:val="Hyperlink"/>
            <w:noProof/>
            <w:sz w:val="20"/>
          </w:rPr>
          <w:t>6.1</w:t>
        </w:r>
        <w:r w:rsidR="00E73712" w:rsidRPr="00E73712">
          <w:rPr>
            <w:rFonts w:eastAsiaTheme="minorEastAsia" w:cstheme="minorBidi"/>
            <w:noProof/>
            <w:snapToGrid/>
            <w:sz w:val="20"/>
            <w:lang w:eastAsia="en-AU"/>
          </w:rPr>
          <w:tab/>
        </w:r>
        <w:r w:rsidR="00E73712" w:rsidRPr="00E73712">
          <w:rPr>
            <w:rStyle w:val="Hyperlink"/>
            <w:noProof/>
            <w:sz w:val="20"/>
          </w:rPr>
          <w:t>Consultation process used to develop priorities and actions</w:t>
        </w:r>
        <w:r w:rsidR="00E73712" w:rsidRPr="00E73712">
          <w:rPr>
            <w:noProof/>
            <w:webHidden/>
            <w:sz w:val="20"/>
          </w:rPr>
          <w:tab/>
        </w:r>
        <w:r w:rsidR="00E73712" w:rsidRPr="00E73712">
          <w:rPr>
            <w:noProof/>
            <w:webHidden/>
            <w:sz w:val="20"/>
          </w:rPr>
          <w:fldChar w:fldCharType="begin"/>
        </w:r>
        <w:r w:rsidR="00E73712" w:rsidRPr="00E73712">
          <w:rPr>
            <w:noProof/>
            <w:webHidden/>
            <w:sz w:val="20"/>
          </w:rPr>
          <w:instrText xml:space="preserve"> PAGEREF _Toc42847847 \h </w:instrText>
        </w:r>
        <w:r w:rsidR="00E73712" w:rsidRPr="00E73712">
          <w:rPr>
            <w:noProof/>
            <w:webHidden/>
            <w:sz w:val="20"/>
          </w:rPr>
        </w:r>
        <w:r w:rsidR="00E73712" w:rsidRPr="00E73712">
          <w:rPr>
            <w:noProof/>
            <w:webHidden/>
            <w:sz w:val="20"/>
          </w:rPr>
          <w:fldChar w:fldCharType="separate"/>
        </w:r>
        <w:r w:rsidR="00D75351">
          <w:rPr>
            <w:noProof/>
            <w:webHidden/>
            <w:sz w:val="20"/>
          </w:rPr>
          <w:t>42</w:t>
        </w:r>
        <w:r w:rsidR="00E73712" w:rsidRPr="00E73712">
          <w:rPr>
            <w:noProof/>
            <w:webHidden/>
            <w:sz w:val="20"/>
          </w:rPr>
          <w:fldChar w:fldCharType="end"/>
        </w:r>
      </w:hyperlink>
    </w:p>
    <w:p w14:paraId="79B15CD9" w14:textId="586A2FBB" w:rsidR="00E73712" w:rsidRPr="00E73712" w:rsidRDefault="001321C9" w:rsidP="00E73712">
      <w:pPr>
        <w:pStyle w:val="TOC3"/>
        <w:numPr>
          <w:ilvl w:val="0"/>
          <w:numId w:val="0"/>
        </w:numPr>
        <w:ind w:left="1985" w:hanging="1985"/>
        <w:rPr>
          <w:rFonts w:eastAsiaTheme="minorEastAsia" w:cstheme="minorBidi"/>
          <w:noProof/>
          <w:snapToGrid/>
          <w:sz w:val="20"/>
          <w:lang w:eastAsia="en-AU"/>
        </w:rPr>
      </w:pPr>
      <w:hyperlink w:anchor="_Toc42847848" w:history="1">
        <w:r w:rsidR="00E73712" w:rsidRPr="00E73712">
          <w:rPr>
            <w:rStyle w:val="Hyperlink"/>
            <w:noProof/>
            <w:sz w:val="20"/>
          </w:rPr>
          <w:t>6.2</w:t>
        </w:r>
        <w:r w:rsidR="00E73712" w:rsidRPr="00E73712">
          <w:rPr>
            <w:rFonts w:eastAsiaTheme="minorEastAsia" w:cstheme="minorBidi"/>
            <w:noProof/>
            <w:snapToGrid/>
            <w:sz w:val="20"/>
            <w:lang w:eastAsia="en-AU"/>
          </w:rPr>
          <w:tab/>
        </w:r>
        <w:r w:rsidR="00E73712" w:rsidRPr="00E73712">
          <w:rPr>
            <w:rStyle w:val="Hyperlink"/>
            <w:noProof/>
            <w:sz w:val="20"/>
          </w:rPr>
          <w:t>The extent to which Action Plans drew on lessons learnt</w:t>
        </w:r>
        <w:r w:rsidR="00E73712" w:rsidRPr="00E73712">
          <w:rPr>
            <w:noProof/>
            <w:webHidden/>
            <w:sz w:val="20"/>
          </w:rPr>
          <w:tab/>
        </w:r>
        <w:r w:rsidR="00E73712" w:rsidRPr="00E73712">
          <w:rPr>
            <w:noProof/>
            <w:webHidden/>
            <w:sz w:val="20"/>
          </w:rPr>
          <w:fldChar w:fldCharType="begin"/>
        </w:r>
        <w:r w:rsidR="00E73712" w:rsidRPr="00E73712">
          <w:rPr>
            <w:noProof/>
            <w:webHidden/>
            <w:sz w:val="20"/>
          </w:rPr>
          <w:instrText xml:space="preserve"> PAGEREF _Toc42847848 \h </w:instrText>
        </w:r>
        <w:r w:rsidR="00E73712" w:rsidRPr="00E73712">
          <w:rPr>
            <w:noProof/>
            <w:webHidden/>
            <w:sz w:val="20"/>
          </w:rPr>
        </w:r>
        <w:r w:rsidR="00E73712" w:rsidRPr="00E73712">
          <w:rPr>
            <w:noProof/>
            <w:webHidden/>
            <w:sz w:val="20"/>
          </w:rPr>
          <w:fldChar w:fldCharType="separate"/>
        </w:r>
        <w:r w:rsidR="00D75351">
          <w:rPr>
            <w:noProof/>
            <w:webHidden/>
            <w:sz w:val="20"/>
          </w:rPr>
          <w:t>43</w:t>
        </w:r>
        <w:r w:rsidR="00E73712" w:rsidRPr="00E73712">
          <w:rPr>
            <w:noProof/>
            <w:webHidden/>
            <w:sz w:val="20"/>
          </w:rPr>
          <w:fldChar w:fldCharType="end"/>
        </w:r>
      </w:hyperlink>
    </w:p>
    <w:p w14:paraId="2443DE3B" w14:textId="6DE9E82C" w:rsidR="00E73712" w:rsidRPr="00E73712" w:rsidRDefault="001321C9" w:rsidP="00E73712">
      <w:pPr>
        <w:pStyle w:val="TOC3"/>
        <w:numPr>
          <w:ilvl w:val="0"/>
          <w:numId w:val="0"/>
        </w:numPr>
        <w:ind w:left="1985" w:hanging="1985"/>
        <w:rPr>
          <w:rFonts w:eastAsiaTheme="minorEastAsia" w:cstheme="minorBidi"/>
          <w:noProof/>
          <w:snapToGrid/>
          <w:sz w:val="20"/>
          <w:lang w:eastAsia="en-AU"/>
        </w:rPr>
      </w:pPr>
      <w:hyperlink w:anchor="_Toc42847849" w:history="1">
        <w:r w:rsidR="00E73712" w:rsidRPr="00E73712">
          <w:rPr>
            <w:rStyle w:val="Hyperlink"/>
            <w:noProof/>
            <w:sz w:val="20"/>
          </w:rPr>
          <w:t>6.3</w:t>
        </w:r>
        <w:r w:rsidR="00E73712" w:rsidRPr="00E73712">
          <w:rPr>
            <w:rFonts w:eastAsiaTheme="minorEastAsia" w:cstheme="minorBidi"/>
            <w:noProof/>
            <w:snapToGrid/>
            <w:sz w:val="20"/>
            <w:lang w:eastAsia="en-AU"/>
          </w:rPr>
          <w:tab/>
        </w:r>
        <w:r w:rsidR="00E73712" w:rsidRPr="00E73712">
          <w:rPr>
            <w:rStyle w:val="Hyperlink"/>
            <w:noProof/>
            <w:sz w:val="20"/>
          </w:rPr>
          <w:t>The alignment of actions to the National Framework outcomes</w:t>
        </w:r>
        <w:r w:rsidR="00E73712" w:rsidRPr="00E73712">
          <w:rPr>
            <w:noProof/>
            <w:webHidden/>
            <w:sz w:val="20"/>
          </w:rPr>
          <w:tab/>
        </w:r>
        <w:r w:rsidR="00E73712" w:rsidRPr="00E73712">
          <w:rPr>
            <w:noProof/>
            <w:webHidden/>
            <w:sz w:val="20"/>
          </w:rPr>
          <w:fldChar w:fldCharType="begin"/>
        </w:r>
        <w:r w:rsidR="00E73712" w:rsidRPr="00E73712">
          <w:rPr>
            <w:noProof/>
            <w:webHidden/>
            <w:sz w:val="20"/>
          </w:rPr>
          <w:instrText xml:space="preserve"> PAGEREF _Toc42847849 \h </w:instrText>
        </w:r>
        <w:r w:rsidR="00E73712" w:rsidRPr="00E73712">
          <w:rPr>
            <w:noProof/>
            <w:webHidden/>
            <w:sz w:val="20"/>
          </w:rPr>
        </w:r>
        <w:r w:rsidR="00E73712" w:rsidRPr="00E73712">
          <w:rPr>
            <w:noProof/>
            <w:webHidden/>
            <w:sz w:val="20"/>
          </w:rPr>
          <w:fldChar w:fldCharType="separate"/>
        </w:r>
        <w:r w:rsidR="00D75351">
          <w:rPr>
            <w:noProof/>
            <w:webHidden/>
            <w:sz w:val="20"/>
          </w:rPr>
          <w:t>45</w:t>
        </w:r>
        <w:r w:rsidR="00E73712" w:rsidRPr="00E73712">
          <w:rPr>
            <w:noProof/>
            <w:webHidden/>
            <w:sz w:val="20"/>
          </w:rPr>
          <w:fldChar w:fldCharType="end"/>
        </w:r>
      </w:hyperlink>
    </w:p>
    <w:p w14:paraId="5AB13867" w14:textId="6E0AAAAF" w:rsidR="00E73712" w:rsidRPr="00E73712" w:rsidRDefault="001321C9" w:rsidP="00E73712">
      <w:pPr>
        <w:pStyle w:val="TOC3"/>
        <w:numPr>
          <w:ilvl w:val="0"/>
          <w:numId w:val="0"/>
        </w:numPr>
        <w:ind w:left="1985" w:hanging="1985"/>
        <w:rPr>
          <w:rFonts w:eastAsiaTheme="minorEastAsia" w:cstheme="minorBidi"/>
          <w:noProof/>
          <w:snapToGrid/>
          <w:sz w:val="20"/>
          <w:lang w:eastAsia="en-AU"/>
        </w:rPr>
      </w:pPr>
      <w:hyperlink w:anchor="_Toc42847850" w:history="1">
        <w:r w:rsidR="00E73712" w:rsidRPr="00E73712">
          <w:rPr>
            <w:rStyle w:val="Hyperlink"/>
            <w:noProof/>
            <w:sz w:val="20"/>
          </w:rPr>
          <w:t>6.4</w:t>
        </w:r>
        <w:r w:rsidR="00E73712" w:rsidRPr="00E73712">
          <w:rPr>
            <w:rFonts w:eastAsiaTheme="minorEastAsia" w:cstheme="minorBidi"/>
            <w:noProof/>
            <w:snapToGrid/>
            <w:sz w:val="20"/>
            <w:lang w:eastAsia="en-AU"/>
          </w:rPr>
          <w:tab/>
        </w:r>
        <w:r w:rsidR="00E73712" w:rsidRPr="00E73712">
          <w:rPr>
            <w:rStyle w:val="Hyperlink"/>
            <w:noProof/>
            <w:sz w:val="20"/>
          </w:rPr>
          <w:t>Appropriateness of the duration and structure of the National Framework and its Action Plans</w:t>
        </w:r>
        <w:r w:rsidR="00E73712" w:rsidRPr="00E73712">
          <w:rPr>
            <w:noProof/>
            <w:webHidden/>
            <w:sz w:val="20"/>
          </w:rPr>
          <w:tab/>
        </w:r>
        <w:r w:rsidR="00E73712" w:rsidRPr="00E73712">
          <w:rPr>
            <w:noProof/>
            <w:webHidden/>
            <w:sz w:val="20"/>
          </w:rPr>
          <w:fldChar w:fldCharType="begin"/>
        </w:r>
        <w:r w:rsidR="00E73712" w:rsidRPr="00E73712">
          <w:rPr>
            <w:noProof/>
            <w:webHidden/>
            <w:sz w:val="20"/>
          </w:rPr>
          <w:instrText xml:space="preserve"> PAGEREF _Toc42847850 \h </w:instrText>
        </w:r>
        <w:r w:rsidR="00E73712" w:rsidRPr="00E73712">
          <w:rPr>
            <w:noProof/>
            <w:webHidden/>
            <w:sz w:val="20"/>
          </w:rPr>
        </w:r>
        <w:r w:rsidR="00E73712" w:rsidRPr="00E73712">
          <w:rPr>
            <w:noProof/>
            <w:webHidden/>
            <w:sz w:val="20"/>
          </w:rPr>
          <w:fldChar w:fldCharType="separate"/>
        </w:r>
        <w:r w:rsidR="00D75351">
          <w:rPr>
            <w:noProof/>
            <w:webHidden/>
            <w:sz w:val="20"/>
          </w:rPr>
          <w:t>47</w:t>
        </w:r>
        <w:r w:rsidR="00E73712" w:rsidRPr="00E73712">
          <w:rPr>
            <w:noProof/>
            <w:webHidden/>
            <w:sz w:val="20"/>
          </w:rPr>
          <w:fldChar w:fldCharType="end"/>
        </w:r>
      </w:hyperlink>
    </w:p>
    <w:p w14:paraId="5BCD9F62" w14:textId="634F5AAB" w:rsidR="00E73712" w:rsidRPr="00E73712" w:rsidRDefault="001321C9" w:rsidP="00E73712">
      <w:pPr>
        <w:pStyle w:val="TOC3"/>
        <w:numPr>
          <w:ilvl w:val="0"/>
          <w:numId w:val="0"/>
        </w:numPr>
        <w:ind w:left="1985" w:hanging="1985"/>
        <w:rPr>
          <w:rFonts w:eastAsiaTheme="minorEastAsia" w:cstheme="minorBidi"/>
          <w:noProof/>
          <w:snapToGrid/>
          <w:sz w:val="20"/>
          <w:lang w:eastAsia="en-AU"/>
        </w:rPr>
      </w:pPr>
      <w:hyperlink w:anchor="_Toc42847851" w:history="1">
        <w:r w:rsidR="00E73712" w:rsidRPr="00E73712">
          <w:rPr>
            <w:rStyle w:val="Hyperlink"/>
            <w:noProof/>
            <w:sz w:val="20"/>
          </w:rPr>
          <w:t>6.5</w:t>
        </w:r>
        <w:r w:rsidR="00E73712" w:rsidRPr="00E73712">
          <w:rPr>
            <w:rFonts w:eastAsiaTheme="minorEastAsia" w:cstheme="minorBidi"/>
            <w:noProof/>
            <w:snapToGrid/>
            <w:sz w:val="20"/>
            <w:lang w:eastAsia="en-AU"/>
          </w:rPr>
          <w:tab/>
        </w:r>
        <w:r w:rsidR="00E73712" w:rsidRPr="00E73712">
          <w:rPr>
            <w:rStyle w:val="Hyperlink"/>
            <w:noProof/>
            <w:sz w:val="20"/>
          </w:rPr>
          <w:t>Alignment of the National Framework with the United Nation Convention on the Rights of the Child (UNCRC)</w:t>
        </w:r>
        <w:r w:rsidR="00E73712" w:rsidRPr="00E73712">
          <w:rPr>
            <w:noProof/>
            <w:webHidden/>
            <w:sz w:val="20"/>
          </w:rPr>
          <w:tab/>
        </w:r>
        <w:r w:rsidR="00E73712" w:rsidRPr="00E73712">
          <w:rPr>
            <w:noProof/>
            <w:webHidden/>
            <w:sz w:val="20"/>
          </w:rPr>
          <w:fldChar w:fldCharType="begin"/>
        </w:r>
        <w:r w:rsidR="00E73712" w:rsidRPr="00E73712">
          <w:rPr>
            <w:noProof/>
            <w:webHidden/>
            <w:sz w:val="20"/>
          </w:rPr>
          <w:instrText xml:space="preserve"> PAGEREF _Toc42847851 \h </w:instrText>
        </w:r>
        <w:r w:rsidR="00E73712" w:rsidRPr="00E73712">
          <w:rPr>
            <w:noProof/>
            <w:webHidden/>
            <w:sz w:val="20"/>
          </w:rPr>
        </w:r>
        <w:r w:rsidR="00E73712" w:rsidRPr="00E73712">
          <w:rPr>
            <w:noProof/>
            <w:webHidden/>
            <w:sz w:val="20"/>
          </w:rPr>
          <w:fldChar w:fldCharType="separate"/>
        </w:r>
        <w:r w:rsidR="00D75351">
          <w:rPr>
            <w:noProof/>
            <w:webHidden/>
            <w:sz w:val="20"/>
          </w:rPr>
          <w:t>49</w:t>
        </w:r>
        <w:r w:rsidR="00E73712" w:rsidRPr="00E73712">
          <w:rPr>
            <w:noProof/>
            <w:webHidden/>
            <w:sz w:val="20"/>
          </w:rPr>
          <w:fldChar w:fldCharType="end"/>
        </w:r>
      </w:hyperlink>
    </w:p>
    <w:p w14:paraId="7A6855E1" w14:textId="62B0703C" w:rsidR="00E73712" w:rsidRPr="00E73712" w:rsidRDefault="001321C9" w:rsidP="00E73712">
      <w:pPr>
        <w:pStyle w:val="TOC3"/>
        <w:numPr>
          <w:ilvl w:val="0"/>
          <w:numId w:val="0"/>
        </w:numPr>
        <w:ind w:left="1985" w:hanging="1985"/>
        <w:rPr>
          <w:rFonts w:eastAsiaTheme="minorEastAsia" w:cstheme="minorBidi"/>
          <w:noProof/>
          <w:snapToGrid/>
          <w:sz w:val="20"/>
          <w:lang w:eastAsia="en-AU"/>
        </w:rPr>
      </w:pPr>
      <w:hyperlink w:anchor="_Toc42847852" w:history="1">
        <w:r w:rsidR="00E73712" w:rsidRPr="00E73712">
          <w:rPr>
            <w:rStyle w:val="Hyperlink"/>
            <w:noProof/>
            <w:sz w:val="20"/>
          </w:rPr>
          <w:t>6.6</w:t>
        </w:r>
        <w:r w:rsidR="00E73712" w:rsidRPr="00E73712">
          <w:rPr>
            <w:rFonts w:eastAsiaTheme="minorEastAsia" w:cstheme="minorBidi"/>
            <w:noProof/>
            <w:snapToGrid/>
            <w:sz w:val="20"/>
            <w:lang w:eastAsia="en-AU"/>
          </w:rPr>
          <w:tab/>
        </w:r>
        <w:r w:rsidR="00E73712" w:rsidRPr="00E73712">
          <w:rPr>
            <w:rStyle w:val="Hyperlink"/>
            <w:noProof/>
            <w:sz w:val="20"/>
          </w:rPr>
          <w:t>Alignment of activities with a public health model</w:t>
        </w:r>
        <w:r w:rsidR="00E73712" w:rsidRPr="00E73712">
          <w:rPr>
            <w:noProof/>
            <w:webHidden/>
            <w:sz w:val="20"/>
          </w:rPr>
          <w:tab/>
        </w:r>
        <w:r w:rsidR="00E73712" w:rsidRPr="00E73712">
          <w:rPr>
            <w:noProof/>
            <w:webHidden/>
            <w:sz w:val="20"/>
          </w:rPr>
          <w:fldChar w:fldCharType="begin"/>
        </w:r>
        <w:r w:rsidR="00E73712" w:rsidRPr="00E73712">
          <w:rPr>
            <w:noProof/>
            <w:webHidden/>
            <w:sz w:val="20"/>
          </w:rPr>
          <w:instrText xml:space="preserve"> PAGEREF _Toc42847852 \h </w:instrText>
        </w:r>
        <w:r w:rsidR="00E73712" w:rsidRPr="00E73712">
          <w:rPr>
            <w:noProof/>
            <w:webHidden/>
            <w:sz w:val="20"/>
          </w:rPr>
        </w:r>
        <w:r w:rsidR="00E73712" w:rsidRPr="00E73712">
          <w:rPr>
            <w:noProof/>
            <w:webHidden/>
            <w:sz w:val="20"/>
          </w:rPr>
          <w:fldChar w:fldCharType="separate"/>
        </w:r>
        <w:r w:rsidR="00D75351">
          <w:rPr>
            <w:noProof/>
            <w:webHidden/>
            <w:sz w:val="20"/>
          </w:rPr>
          <w:t>51</w:t>
        </w:r>
        <w:r w:rsidR="00E73712" w:rsidRPr="00E73712">
          <w:rPr>
            <w:noProof/>
            <w:webHidden/>
            <w:sz w:val="20"/>
          </w:rPr>
          <w:fldChar w:fldCharType="end"/>
        </w:r>
      </w:hyperlink>
    </w:p>
    <w:p w14:paraId="0FB38C6E" w14:textId="03E7D3D5" w:rsidR="00E73712" w:rsidRPr="00E73712" w:rsidRDefault="001321C9">
      <w:pPr>
        <w:pStyle w:val="TOC2"/>
        <w:rPr>
          <w:rFonts w:eastAsiaTheme="minorEastAsia" w:cstheme="minorBidi"/>
          <w:noProof/>
          <w:snapToGrid/>
          <w:sz w:val="20"/>
          <w:lang w:eastAsia="en-AU"/>
        </w:rPr>
      </w:pPr>
      <w:hyperlink w:anchor="_Toc42847853" w:history="1">
        <w:r w:rsidR="00E73712" w:rsidRPr="00E73712">
          <w:rPr>
            <w:rStyle w:val="Hyperlink"/>
            <w:noProof/>
            <w:sz w:val="20"/>
          </w:rPr>
          <w:t>7</w:t>
        </w:r>
        <w:r w:rsidR="00E73712" w:rsidRPr="00E73712">
          <w:rPr>
            <w:rFonts w:eastAsiaTheme="minorEastAsia" w:cstheme="minorBidi"/>
            <w:noProof/>
            <w:snapToGrid/>
            <w:sz w:val="20"/>
            <w:lang w:eastAsia="en-AU"/>
          </w:rPr>
          <w:tab/>
        </w:r>
        <w:r w:rsidR="00E73712" w:rsidRPr="00E73712">
          <w:rPr>
            <w:rStyle w:val="Hyperlink"/>
            <w:noProof/>
            <w:sz w:val="20"/>
          </w:rPr>
          <w:t>Findings and opportunities</w:t>
        </w:r>
        <w:r w:rsidR="00E73712" w:rsidRPr="00E73712">
          <w:rPr>
            <w:noProof/>
            <w:webHidden/>
            <w:sz w:val="20"/>
          </w:rPr>
          <w:tab/>
        </w:r>
        <w:r w:rsidR="00E73712" w:rsidRPr="00E73712">
          <w:rPr>
            <w:noProof/>
            <w:webHidden/>
            <w:sz w:val="20"/>
          </w:rPr>
          <w:fldChar w:fldCharType="begin"/>
        </w:r>
        <w:r w:rsidR="00E73712" w:rsidRPr="00E73712">
          <w:rPr>
            <w:noProof/>
            <w:webHidden/>
            <w:sz w:val="20"/>
          </w:rPr>
          <w:instrText xml:space="preserve"> PAGEREF _Toc42847853 \h </w:instrText>
        </w:r>
        <w:r w:rsidR="00E73712" w:rsidRPr="00E73712">
          <w:rPr>
            <w:noProof/>
            <w:webHidden/>
            <w:sz w:val="20"/>
          </w:rPr>
        </w:r>
        <w:r w:rsidR="00E73712" w:rsidRPr="00E73712">
          <w:rPr>
            <w:noProof/>
            <w:webHidden/>
            <w:sz w:val="20"/>
          </w:rPr>
          <w:fldChar w:fldCharType="separate"/>
        </w:r>
        <w:r w:rsidR="00D75351">
          <w:rPr>
            <w:noProof/>
            <w:webHidden/>
            <w:sz w:val="20"/>
          </w:rPr>
          <w:t>54</w:t>
        </w:r>
        <w:r w:rsidR="00E73712" w:rsidRPr="00E73712">
          <w:rPr>
            <w:noProof/>
            <w:webHidden/>
            <w:sz w:val="20"/>
          </w:rPr>
          <w:fldChar w:fldCharType="end"/>
        </w:r>
      </w:hyperlink>
    </w:p>
    <w:p w14:paraId="761F1CD1" w14:textId="3F212E8A" w:rsidR="00E73712" w:rsidRPr="00E73712" w:rsidRDefault="001321C9" w:rsidP="00E73712">
      <w:pPr>
        <w:pStyle w:val="TOC3"/>
        <w:numPr>
          <w:ilvl w:val="0"/>
          <w:numId w:val="0"/>
        </w:numPr>
        <w:ind w:left="1985" w:hanging="1985"/>
        <w:rPr>
          <w:rFonts w:eastAsiaTheme="minorEastAsia" w:cstheme="minorBidi"/>
          <w:noProof/>
          <w:snapToGrid/>
          <w:sz w:val="20"/>
          <w:lang w:eastAsia="en-AU"/>
        </w:rPr>
      </w:pPr>
      <w:hyperlink w:anchor="_Toc42847854" w:history="1">
        <w:r w:rsidR="00E73712" w:rsidRPr="00E73712">
          <w:rPr>
            <w:rStyle w:val="Hyperlink"/>
            <w:noProof/>
            <w:sz w:val="20"/>
          </w:rPr>
          <w:t>7.1</w:t>
        </w:r>
        <w:r w:rsidR="00E73712" w:rsidRPr="00E73712">
          <w:rPr>
            <w:rFonts w:eastAsiaTheme="minorEastAsia" w:cstheme="minorBidi"/>
            <w:noProof/>
            <w:snapToGrid/>
            <w:sz w:val="20"/>
            <w:lang w:eastAsia="en-AU"/>
          </w:rPr>
          <w:tab/>
        </w:r>
        <w:r w:rsidR="00E73712" w:rsidRPr="00E73712">
          <w:rPr>
            <w:rStyle w:val="Hyperlink"/>
            <w:noProof/>
            <w:sz w:val="20"/>
          </w:rPr>
          <w:t xml:space="preserve">Key findings of this evaluation </w:t>
        </w:r>
        <w:r w:rsidR="00E73712" w:rsidRPr="00E73712">
          <w:rPr>
            <w:noProof/>
            <w:webHidden/>
            <w:sz w:val="20"/>
          </w:rPr>
          <w:tab/>
        </w:r>
        <w:r w:rsidR="00E73712" w:rsidRPr="00E73712">
          <w:rPr>
            <w:noProof/>
            <w:webHidden/>
            <w:sz w:val="20"/>
          </w:rPr>
          <w:fldChar w:fldCharType="begin"/>
        </w:r>
        <w:r w:rsidR="00E73712" w:rsidRPr="00E73712">
          <w:rPr>
            <w:noProof/>
            <w:webHidden/>
            <w:sz w:val="20"/>
          </w:rPr>
          <w:instrText xml:space="preserve"> PAGEREF _Toc42847854 \h </w:instrText>
        </w:r>
        <w:r w:rsidR="00E73712" w:rsidRPr="00E73712">
          <w:rPr>
            <w:noProof/>
            <w:webHidden/>
            <w:sz w:val="20"/>
          </w:rPr>
        </w:r>
        <w:r w:rsidR="00E73712" w:rsidRPr="00E73712">
          <w:rPr>
            <w:noProof/>
            <w:webHidden/>
            <w:sz w:val="20"/>
          </w:rPr>
          <w:fldChar w:fldCharType="separate"/>
        </w:r>
        <w:r w:rsidR="00D75351">
          <w:rPr>
            <w:noProof/>
            <w:webHidden/>
            <w:sz w:val="20"/>
          </w:rPr>
          <w:t>55</w:t>
        </w:r>
        <w:r w:rsidR="00E73712" w:rsidRPr="00E73712">
          <w:rPr>
            <w:noProof/>
            <w:webHidden/>
            <w:sz w:val="20"/>
          </w:rPr>
          <w:fldChar w:fldCharType="end"/>
        </w:r>
      </w:hyperlink>
    </w:p>
    <w:p w14:paraId="22A17B5C" w14:textId="53F4398A" w:rsidR="00E73712" w:rsidRPr="00E73712" w:rsidRDefault="001321C9" w:rsidP="00E73712">
      <w:pPr>
        <w:pStyle w:val="TOC3"/>
        <w:numPr>
          <w:ilvl w:val="0"/>
          <w:numId w:val="0"/>
        </w:numPr>
        <w:ind w:left="1985" w:hanging="1985"/>
        <w:rPr>
          <w:rFonts w:eastAsiaTheme="minorEastAsia" w:cstheme="minorBidi"/>
          <w:noProof/>
          <w:snapToGrid/>
          <w:sz w:val="20"/>
          <w:lang w:eastAsia="en-AU"/>
        </w:rPr>
      </w:pPr>
      <w:hyperlink w:anchor="_Toc42847855" w:history="1">
        <w:r w:rsidR="00E73712" w:rsidRPr="00E73712">
          <w:rPr>
            <w:rStyle w:val="Hyperlink"/>
            <w:noProof/>
            <w:sz w:val="20"/>
          </w:rPr>
          <w:t>7.2</w:t>
        </w:r>
        <w:r w:rsidR="00E73712" w:rsidRPr="00E73712">
          <w:rPr>
            <w:rFonts w:eastAsiaTheme="minorEastAsia" w:cstheme="minorBidi"/>
            <w:noProof/>
            <w:snapToGrid/>
            <w:sz w:val="20"/>
            <w:lang w:eastAsia="en-AU"/>
          </w:rPr>
          <w:tab/>
        </w:r>
        <w:r w:rsidR="00E73712" w:rsidRPr="00E73712">
          <w:rPr>
            <w:rStyle w:val="Hyperlink"/>
            <w:noProof/>
            <w:sz w:val="20"/>
          </w:rPr>
          <w:t>Opportunities</w:t>
        </w:r>
        <w:r w:rsidR="00E73712" w:rsidRPr="00E73712">
          <w:rPr>
            <w:noProof/>
            <w:webHidden/>
            <w:sz w:val="20"/>
          </w:rPr>
          <w:tab/>
        </w:r>
        <w:r w:rsidR="00E73712" w:rsidRPr="00E73712">
          <w:rPr>
            <w:noProof/>
            <w:webHidden/>
            <w:sz w:val="20"/>
          </w:rPr>
          <w:fldChar w:fldCharType="begin"/>
        </w:r>
        <w:r w:rsidR="00E73712" w:rsidRPr="00E73712">
          <w:rPr>
            <w:noProof/>
            <w:webHidden/>
            <w:sz w:val="20"/>
          </w:rPr>
          <w:instrText xml:space="preserve"> PAGEREF _Toc42847855 \h </w:instrText>
        </w:r>
        <w:r w:rsidR="00E73712" w:rsidRPr="00E73712">
          <w:rPr>
            <w:noProof/>
            <w:webHidden/>
            <w:sz w:val="20"/>
          </w:rPr>
        </w:r>
        <w:r w:rsidR="00E73712" w:rsidRPr="00E73712">
          <w:rPr>
            <w:noProof/>
            <w:webHidden/>
            <w:sz w:val="20"/>
          </w:rPr>
          <w:fldChar w:fldCharType="separate"/>
        </w:r>
        <w:r w:rsidR="00D75351">
          <w:rPr>
            <w:noProof/>
            <w:webHidden/>
            <w:sz w:val="20"/>
          </w:rPr>
          <w:t>62</w:t>
        </w:r>
        <w:r w:rsidR="00E73712" w:rsidRPr="00E73712">
          <w:rPr>
            <w:noProof/>
            <w:webHidden/>
            <w:sz w:val="20"/>
          </w:rPr>
          <w:fldChar w:fldCharType="end"/>
        </w:r>
      </w:hyperlink>
    </w:p>
    <w:p w14:paraId="28062E99" w14:textId="327354C8" w:rsidR="00E73712" w:rsidRPr="00E73712" w:rsidRDefault="001321C9">
      <w:pPr>
        <w:pStyle w:val="TOC2"/>
        <w:rPr>
          <w:rFonts w:eastAsiaTheme="minorEastAsia" w:cstheme="minorBidi"/>
          <w:noProof/>
          <w:snapToGrid/>
          <w:sz w:val="20"/>
          <w:lang w:eastAsia="en-AU"/>
        </w:rPr>
      </w:pPr>
      <w:hyperlink w:anchor="_Toc42847856" w:history="1">
        <w:r w:rsidR="00E73712" w:rsidRPr="00E73712">
          <w:rPr>
            <w:rStyle w:val="Hyperlink"/>
            <w:noProof/>
            <w:sz w:val="20"/>
          </w:rPr>
          <w:t>Appendices</w:t>
        </w:r>
        <w:r w:rsidR="00E73712" w:rsidRPr="00E73712">
          <w:rPr>
            <w:noProof/>
            <w:webHidden/>
            <w:sz w:val="20"/>
          </w:rPr>
          <w:tab/>
        </w:r>
        <w:r w:rsidR="00E73712" w:rsidRPr="00E73712">
          <w:rPr>
            <w:noProof/>
            <w:webHidden/>
            <w:sz w:val="20"/>
          </w:rPr>
          <w:fldChar w:fldCharType="begin"/>
        </w:r>
        <w:r w:rsidR="00E73712" w:rsidRPr="00E73712">
          <w:rPr>
            <w:noProof/>
            <w:webHidden/>
            <w:sz w:val="20"/>
          </w:rPr>
          <w:instrText xml:space="preserve"> PAGEREF _Toc42847856 \h </w:instrText>
        </w:r>
        <w:r w:rsidR="00E73712" w:rsidRPr="00E73712">
          <w:rPr>
            <w:noProof/>
            <w:webHidden/>
            <w:sz w:val="20"/>
          </w:rPr>
        </w:r>
        <w:r w:rsidR="00E73712" w:rsidRPr="00E73712">
          <w:rPr>
            <w:noProof/>
            <w:webHidden/>
            <w:sz w:val="20"/>
          </w:rPr>
          <w:fldChar w:fldCharType="separate"/>
        </w:r>
        <w:r w:rsidR="00D75351">
          <w:rPr>
            <w:noProof/>
            <w:webHidden/>
            <w:sz w:val="20"/>
          </w:rPr>
          <w:t>63</w:t>
        </w:r>
        <w:r w:rsidR="00E73712" w:rsidRPr="00E73712">
          <w:rPr>
            <w:noProof/>
            <w:webHidden/>
            <w:sz w:val="20"/>
          </w:rPr>
          <w:fldChar w:fldCharType="end"/>
        </w:r>
      </w:hyperlink>
    </w:p>
    <w:p w14:paraId="10366393" w14:textId="42095C35" w:rsidR="00E73712" w:rsidRPr="00E73712" w:rsidRDefault="001321C9">
      <w:pPr>
        <w:pStyle w:val="TOC4"/>
        <w:rPr>
          <w:rFonts w:eastAsiaTheme="minorEastAsia" w:cstheme="minorBidi"/>
          <w:noProof/>
          <w:snapToGrid/>
          <w:sz w:val="20"/>
          <w:lang w:eastAsia="en-AU"/>
        </w:rPr>
      </w:pPr>
      <w:hyperlink w:anchor="_Toc42847857" w:history="1">
        <w:r w:rsidR="00E73712" w:rsidRPr="00E73712">
          <w:rPr>
            <w:rStyle w:val="Hyperlink"/>
            <w:noProof/>
            <w:sz w:val="20"/>
          </w:rPr>
          <w:t>Appendix A</w:t>
        </w:r>
        <w:r w:rsidR="00E73712" w:rsidRPr="00E73712">
          <w:rPr>
            <w:rFonts w:eastAsiaTheme="minorEastAsia" w:cstheme="minorBidi"/>
            <w:noProof/>
            <w:snapToGrid/>
            <w:sz w:val="20"/>
            <w:lang w:eastAsia="en-AU"/>
          </w:rPr>
          <w:tab/>
        </w:r>
        <w:r w:rsidR="00E73712" w:rsidRPr="00E73712">
          <w:rPr>
            <w:rStyle w:val="Hyperlink"/>
            <w:noProof/>
            <w:sz w:val="20"/>
          </w:rPr>
          <w:t>Evaluation Approach</w:t>
        </w:r>
        <w:r w:rsidR="00E73712" w:rsidRPr="00E73712">
          <w:rPr>
            <w:noProof/>
            <w:webHidden/>
            <w:sz w:val="20"/>
          </w:rPr>
          <w:tab/>
        </w:r>
        <w:r w:rsidR="00E73712" w:rsidRPr="00E73712">
          <w:rPr>
            <w:noProof/>
            <w:webHidden/>
            <w:sz w:val="20"/>
          </w:rPr>
          <w:fldChar w:fldCharType="begin"/>
        </w:r>
        <w:r w:rsidR="00E73712" w:rsidRPr="00E73712">
          <w:rPr>
            <w:noProof/>
            <w:webHidden/>
            <w:sz w:val="20"/>
          </w:rPr>
          <w:instrText xml:space="preserve"> PAGEREF _Toc42847857 \h </w:instrText>
        </w:r>
        <w:r w:rsidR="00E73712" w:rsidRPr="00E73712">
          <w:rPr>
            <w:noProof/>
            <w:webHidden/>
            <w:sz w:val="20"/>
          </w:rPr>
        </w:r>
        <w:r w:rsidR="00E73712" w:rsidRPr="00E73712">
          <w:rPr>
            <w:noProof/>
            <w:webHidden/>
            <w:sz w:val="20"/>
          </w:rPr>
          <w:fldChar w:fldCharType="separate"/>
        </w:r>
        <w:r w:rsidR="00D75351">
          <w:rPr>
            <w:noProof/>
            <w:webHidden/>
            <w:sz w:val="20"/>
          </w:rPr>
          <w:t>64</w:t>
        </w:r>
        <w:r w:rsidR="00E73712" w:rsidRPr="00E73712">
          <w:rPr>
            <w:noProof/>
            <w:webHidden/>
            <w:sz w:val="20"/>
          </w:rPr>
          <w:fldChar w:fldCharType="end"/>
        </w:r>
      </w:hyperlink>
    </w:p>
    <w:p w14:paraId="1196B687" w14:textId="6BF47D2F" w:rsidR="00E73712" w:rsidRPr="00E73712" w:rsidRDefault="001321C9">
      <w:pPr>
        <w:pStyle w:val="TOC4"/>
        <w:rPr>
          <w:rFonts w:eastAsiaTheme="minorEastAsia" w:cstheme="minorBidi"/>
          <w:noProof/>
          <w:snapToGrid/>
          <w:sz w:val="20"/>
          <w:lang w:eastAsia="en-AU"/>
        </w:rPr>
      </w:pPr>
      <w:hyperlink w:anchor="_Toc42847858" w:history="1">
        <w:r w:rsidR="00E73712" w:rsidRPr="00E73712">
          <w:rPr>
            <w:rStyle w:val="Hyperlink"/>
            <w:noProof/>
            <w:sz w:val="20"/>
          </w:rPr>
          <w:t>Appendix B</w:t>
        </w:r>
        <w:r w:rsidR="00E73712" w:rsidRPr="00E73712">
          <w:rPr>
            <w:rFonts w:eastAsiaTheme="minorEastAsia" w:cstheme="minorBidi"/>
            <w:noProof/>
            <w:snapToGrid/>
            <w:sz w:val="20"/>
            <w:lang w:eastAsia="en-AU"/>
          </w:rPr>
          <w:tab/>
        </w:r>
        <w:r w:rsidR="00E73712" w:rsidRPr="00E73712">
          <w:rPr>
            <w:rStyle w:val="Hyperlink"/>
            <w:noProof/>
            <w:sz w:val="20"/>
          </w:rPr>
          <w:t>Summary of governance: terms of reference</w:t>
        </w:r>
        <w:r w:rsidR="00E73712" w:rsidRPr="00E73712">
          <w:rPr>
            <w:noProof/>
            <w:webHidden/>
            <w:sz w:val="20"/>
          </w:rPr>
          <w:tab/>
        </w:r>
        <w:r w:rsidR="00E73712" w:rsidRPr="00E73712">
          <w:rPr>
            <w:noProof/>
            <w:webHidden/>
            <w:sz w:val="20"/>
          </w:rPr>
          <w:fldChar w:fldCharType="begin"/>
        </w:r>
        <w:r w:rsidR="00E73712" w:rsidRPr="00E73712">
          <w:rPr>
            <w:noProof/>
            <w:webHidden/>
            <w:sz w:val="20"/>
          </w:rPr>
          <w:instrText xml:space="preserve"> PAGEREF _Toc42847858 \h </w:instrText>
        </w:r>
        <w:r w:rsidR="00E73712" w:rsidRPr="00E73712">
          <w:rPr>
            <w:noProof/>
            <w:webHidden/>
            <w:sz w:val="20"/>
          </w:rPr>
        </w:r>
        <w:r w:rsidR="00E73712" w:rsidRPr="00E73712">
          <w:rPr>
            <w:noProof/>
            <w:webHidden/>
            <w:sz w:val="20"/>
          </w:rPr>
          <w:fldChar w:fldCharType="separate"/>
        </w:r>
        <w:r w:rsidR="00D75351">
          <w:rPr>
            <w:noProof/>
            <w:webHidden/>
            <w:sz w:val="20"/>
          </w:rPr>
          <w:t>73</w:t>
        </w:r>
        <w:r w:rsidR="00E73712" w:rsidRPr="00E73712">
          <w:rPr>
            <w:noProof/>
            <w:webHidden/>
            <w:sz w:val="20"/>
          </w:rPr>
          <w:fldChar w:fldCharType="end"/>
        </w:r>
      </w:hyperlink>
    </w:p>
    <w:p w14:paraId="5DE50E64" w14:textId="6FDC2993" w:rsidR="00E73712" w:rsidRPr="00E73712" w:rsidRDefault="001321C9">
      <w:pPr>
        <w:pStyle w:val="TOC4"/>
        <w:rPr>
          <w:rFonts w:eastAsiaTheme="minorEastAsia" w:cstheme="minorBidi"/>
          <w:noProof/>
          <w:snapToGrid/>
          <w:sz w:val="20"/>
          <w:lang w:eastAsia="en-AU"/>
        </w:rPr>
      </w:pPr>
      <w:hyperlink w:anchor="_Toc42847859" w:history="1">
        <w:r w:rsidR="00E73712" w:rsidRPr="00E73712">
          <w:rPr>
            <w:rStyle w:val="Hyperlink"/>
            <w:noProof/>
            <w:sz w:val="20"/>
          </w:rPr>
          <w:t>Appendix C</w:t>
        </w:r>
        <w:r w:rsidR="00E73712" w:rsidRPr="00E73712">
          <w:rPr>
            <w:rFonts w:eastAsiaTheme="minorEastAsia" w:cstheme="minorBidi"/>
            <w:noProof/>
            <w:snapToGrid/>
            <w:sz w:val="20"/>
            <w:lang w:eastAsia="en-AU"/>
          </w:rPr>
          <w:tab/>
        </w:r>
        <w:r w:rsidR="00E73712" w:rsidRPr="00E73712">
          <w:rPr>
            <w:rStyle w:val="Hyperlink"/>
            <w:noProof/>
            <w:sz w:val="20"/>
          </w:rPr>
          <w:t>Background analysis</w:t>
        </w:r>
        <w:r w:rsidR="00E73712" w:rsidRPr="00E73712">
          <w:rPr>
            <w:noProof/>
            <w:webHidden/>
            <w:sz w:val="20"/>
          </w:rPr>
          <w:tab/>
        </w:r>
        <w:r w:rsidR="00E73712" w:rsidRPr="00E73712">
          <w:rPr>
            <w:noProof/>
            <w:webHidden/>
            <w:sz w:val="20"/>
          </w:rPr>
          <w:fldChar w:fldCharType="begin"/>
        </w:r>
        <w:r w:rsidR="00E73712" w:rsidRPr="00E73712">
          <w:rPr>
            <w:noProof/>
            <w:webHidden/>
            <w:sz w:val="20"/>
          </w:rPr>
          <w:instrText xml:space="preserve"> PAGEREF _Toc42847859 \h </w:instrText>
        </w:r>
        <w:r w:rsidR="00E73712" w:rsidRPr="00E73712">
          <w:rPr>
            <w:noProof/>
            <w:webHidden/>
            <w:sz w:val="20"/>
          </w:rPr>
        </w:r>
        <w:r w:rsidR="00E73712" w:rsidRPr="00E73712">
          <w:rPr>
            <w:noProof/>
            <w:webHidden/>
            <w:sz w:val="20"/>
          </w:rPr>
          <w:fldChar w:fldCharType="separate"/>
        </w:r>
        <w:r w:rsidR="00D75351">
          <w:rPr>
            <w:noProof/>
            <w:webHidden/>
            <w:sz w:val="20"/>
          </w:rPr>
          <w:t>77</w:t>
        </w:r>
        <w:r w:rsidR="00E73712" w:rsidRPr="00E73712">
          <w:rPr>
            <w:noProof/>
            <w:webHidden/>
            <w:sz w:val="20"/>
          </w:rPr>
          <w:fldChar w:fldCharType="end"/>
        </w:r>
      </w:hyperlink>
    </w:p>
    <w:p w14:paraId="3765F8C2" w14:textId="1C1A89E3" w:rsidR="00E73712" w:rsidRDefault="001321C9">
      <w:pPr>
        <w:pStyle w:val="TOC4"/>
        <w:rPr>
          <w:rFonts w:eastAsiaTheme="minorEastAsia" w:cstheme="minorBidi"/>
          <w:noProof/>
          <w:snapToGrid/>
          <w:sz w:val="22"/>
          <w:szCs w:val="22"/>
          <w:lang w:eastAsia="en-AU"/>
        </w:rPr>
      </w:pPr>
      <w:hyperlink w:anchor="_Toc42847860" w:history="1">
        <w:r w:rsidR="00E73712" w:rsidRPr="00E73712">
          <w:rPr>
            <w:rStyle w:val="Hyperlink"/>
            <w:noProof/>
            <w:sz w:val="20"/>
          </w:rPr>
          <w:t>Appendix D</w:t>
        </w:r>
        <w:r w:rsidR="00E73712" w:rsidRPr="00E73712">
          <w:rPr>
            <w:rFonts w:eastAsiaTheme="minorEastAsia" w:cstheme="minorBidi"/>
            <w:noProof/>
            <w:snapToGrid/>
            <w:sz w:val="20"/>
            <w:lang w:eastAsia="en-AU"/>
          </w:rPr>
          <w:tab/>
        </w:r>
        <w:r w:rsidR="00E73712" w:rsidRPr="00E73712">
          <w:rPr>
            <w:rStyle w:val="Hyperlink"/>
            <w:noProof/>
            <w:sz w:val="20"/>
          </w:rPr>
          <w:t>Consulted stakeholders</w:t>
        </w:r>
        <w:r w:rsidR="00E73712" w:rsidRPr="00E73712">
          <w:rPr>
            <w:noProof/>
            <w:webHidden/>
            <w:sz w:val="20"/>
          </w:rPr>
          <w:tab/>
        </w:r>
        <w:r w:rsidR="00E73712" w:rsidRPr="00E73712">
          <w:rPr>
            <w:noProof/>
            <w:webHidden/>
            <w:sz w:val="20"/>
          </w:rPr>
          <w:fldChar w:fldCharType="begin"/>
        </w:r>
        <w:r w:rsidR="00E73712" w:rsidRPr="00E73712">
          <w:rPr>
            <w:noProof/>
            <w:webHidden/>
            <w:sz w:val="20"/>
          </w:rPr>
          <w:instrText xml:space="preserve"> PAGEREF _Toc42847860 \h </w:instrText>
        </w:r>
        <w:r w:rsidR="00E73712" w:rsidRPr="00E73712">
          <w:rPr>
            <w:noProof/>
            <w:webHidden/>
            <w:sz w:val="20"/>
          </w:rPr>
        </w:r>
        <w:r w:rsidR="00E73712" w:rsidRPr="00E73712">
          <w:rPr>
            <w:noProof/>
            <w:webHidden/>
            <w:sz w:val="20"/>
          </w:rPr>
          <w:fldChar w:fldCharType="separate"/>
        </w:r>
        <w:r w:rsidR="00D75351">
          <w:rPr>
            <w:noProof/>
            <w:webHidden/>
            <w:sz w:val="20"/>
          </w:rPr>
          <w:t>93</w:t>
        </w:r>
        <w:r w:rsidR="00E73712" w:rsidRPr="00E73712">
          <w:rPr>
            <w:noProof/>
            <w:webHidden/>
            <w:sz w:val="20"/>
          </w:rPr>
          <w:fldChar w:fldCharType="end"/>
        </w:r>
      </w:hyperlink>
    </w:p>
    <w:p w14:paraId="59BE8318" w14:textId="18A44BE3" w:rsidR="004F0878" w:rsidRPr="006842FF" w:rsidRDefault="00E73712" w:rsidP="008552A8">
      <w:pPr>
        <w:pStyle w:val="PwCNormal"/>
        <w:numPr>
          <w:ilvl w:val="0"/>
          <w:numId w:val="0"/>
        </w:numPr>
        <w:kinsoku/>
        <w:overflowPunct/>
        <w:autoSpaceDE/>
        <w:autoSpaceDN/>
        <w:adjustRightInd/>
        <w:snapToGrid/>
        <w:outlineLvl w:val="1"/>
        <w:sectPr w:rsidR="004F0878" w:rsidRPr="006842FF" w:rsidSect="008E1742">
          <w:headerReference w:type="even" r:id="rId22"/>
          <w:headerReference w:type="default" r:id="rId23"/>
          <w:footerReference w:type="even" r:id="rId24"/>
          <w:footerReference w:type="default" r:id="rId25"/>
          <w:headerReference w:type="first" r:id="rId26"/>
          <w:footerReference w:type="first" r:id="rId27"/>
          <w:pgSz w:w="11907" w:h="16840" w:code="9"/>
          <w:pgMar w:top="1588" w:right="1021" w:bottom="1418" w:left="2155" w:header="567" w:footer="567" w:gutter="0"/>
          <w:pgNumType w:fmt="lowerRoman" w:start="1"/>
          <w:cols w:space="720"/>
          <w:titlePg/>
          <w:docGrid w:linePitch="286"/>
        </w:sectPr>
      </w:pPr>
      <w:r>
        <w:rPr>
          <w:rFonts w:cstheme="minorHAnsi"/>
          <w:color w:val="auto"/>
          <w:sz w:val="20"/>
        </w:rPr>
        <w:fldChar w:fldCharType="end"/>
      </w:r>
    </w:p>
    <w:p w14:paraId="7CB80DAD" w14:textId="77777777" w:rsidR="005C4AF1" w:rsidRDefault="005C4AF1" w:rsidP="004127DC">
      <w:pPr>
        <w:pStyle w:val="Heading2"/>
      </w:pPr>
      <w:bookmarkStart w:id="36" w:name="_Toc36717736"/>
      <w:bookmarkStart w:id="37" w:name="_Toc36717737"/>
      <w:bookmarkStart w:id="38" w:name="_Toc36717738"/>
      <w:bookmarkStart w:id="39" w:name="_Toc36717739"/>
      <w:bookmarkStart w:id="40" w:name="_Toc36717740"/>
      <w:bookmarkStart w:id="41" w:name="_Toc36717741"/>
      <w:bookmarkStart w:id="42" w:name="_Toc36717742"/>
      <w:bookmarkStart w:id="43" w:name="_Toc36717743"/>
      <w:bookmarkStart w:id="44" w:name="_Toc36717744"/>
      <w:bookmarkStart w:id="45" w:name="_Toc36717745"/>
      <w:bookmarkStart w:id="46" w:name="_Toc36717746"/>
      <w:bookmarkStart w:id="47" w:name="_Toc36717747"/>
      <w:bookmarkStart w:id="48" w:name="_Toc36717748"/>
      <w:bookmarkStart w:id="49" w:name="_Toc36717749"/>
      <w:bookmarkStart w:id="50" w:name="_Toc36717750"/>
      <w:bookmarkStart w:id="51" w:name="_Toc36717751"/>
      <w:bookmarkStart w:id="52" w:name="_Toc36717752"/>
      <w:bookmarkStart w:id="53" w:name="_Toc36717753"/>
      <w:bookmarkStart w:id="54" w:name="_Toc36717754"/>
      <w:bookmarkStart w:id="55" w:name="_Toc36717755"/>
      <w:bookmarkStart w:id="56" w:name="_Toc36717756"/>
      <w:bookmarkStart w:id="57" w:name="_Toc36717757"/>
      <w:bookmarkStart w:id="58" w:name="_Toc36717758"/>
      <w:bookmarkStart w:id="59" w:name="_Toc36717759"/>
      <w:bookmarkStart w:id="60" w:name="_Toc36717760"/>
      <w:bookmarkStart w:id="61" w:name="_Toc36717761"/>
      <w:bookmarkStart w:id="62" w:name="_Toc36717762"/>
      <w:bookmarkStart w:id="63" w:name="_Toc36717763"/>
      <w:bookmarkStart w:id="64" w:name="_Toc36717804"/>
      <w:bookmarkStart w:id="65" w:name="_Toc36717805"/>
      <w:bookmarkStart w:id="66" w:name="_Toc36717806"/>
      <w:bookmarkStart w:id="67" w:name="_Toc36717807"/>
      <w:bookmarkStart w:id="68" w:name="_Toc36717808"/>
      <w:bookmarkStart w:id="69" w:name="_Toc36717809"/>
      <w:bookmarkStart w:id="70" w:name="_Toc36717810"/>
      <w:bookmarkStart w:id="71" w:name="_Toc36717811"/>
      <w:bookmarkStart w:id="72" w:name="_Toc36717812"/>
      <w:bookmarkStart w:id="73" w:name="_Toc36717813"/>
      <w:bookmarkStart w:id="74" w:name="_Toc36717814"/>
      <w:bookmarkStart w:id="75" w:name="_Toc36717815"/>
      <w:bookmarkStart w:id="76" w:name="_Toc36717816"/>
      <w:bookmarkStart w:id="77" w:name="_Toc36717817"/>
      <w:bookmarkStart w:id="78" w:name="_Toc36717818"/>
      <w:bookmarkStart w:id="79" w:name="_Toc36717819"/>
      <w:bookmarkStart w:id="80" w:name="_Toc36717835"/>
      <w:bookmarkStart w:id="81" w:name="_Toc36717836"/>
      <w:bookmarkStart w:id="82" w:name="_Toc36717837"/>
      <w:bookmarkStart w:id="83" w:name="_Toc36717838"/>
      <w:bookmarkStart w:id="84" w:name="_Toc36717839"/>
      <w:bookmarkStart w:id="85" w:name="_Toc36717840"/>
      <w:bookmarkStart w:id="86" w:name="_Toc36717841"/>
      <w:bookmarkStart w:id="87" w:name="_Toc36717842"/>
      <w:bookmarkStart w:id="88" w:name="_Toc36717843"/>
      <w:bookmarkStart w:id="89" w:name="_Toc36717844"/>
      <w:bookmarkStart w:id="90" w:name="_Toc36677370"/>
      <w:bookmarkStart w:id="91" w:name="_Toc42842756"/>
      <w:bookmarkStart w:id="92" w:name="_Toc42847834"/>
      <w:bookmarkStart w:id="93" w:name="_Toc28860325"/>
      <w:bookmarkStart w:id="94" w:name="_Toc30582376"/>
      <w:bookmarkStart w:id="95" w:name="_Ref31297109"/>
      <w:bookmarkStart w:id="96" w:name="_Ref31233181"/>
      <w:bookmarkStart w:id="97" w:name="_Ref31235056"/>
      <w:bookmarkStart w:id="98" w:name="_Ref31238841"/>
      <w:bookmarkStart w:id="99" w:name="_Ref3124006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lastRenderedPageBreak/>
        <w:t>This evaluation</w:t>
      </w:r>
      <w:bookmarkEnd w:id="90"/>
      <w:bookmarkEnd w:id="91"/>
      <w:bookmarkEnd w:id="92"/>
    </w:p>
    <w:p w14:paraId="3BF19D82" w14:textId="77777777" w:rsidR="005C4AF1" w:rsidRDefault="005C4AF1" w:rsidP="005C4AF1">
      <w:pPr>
        <w:pStyle w:val="PwCNormal"/>
        <w:spacing w:before="0" w:after="240" w:line="240" w:lineRule="auto"/>
        <w:ind w:left="454"/>
      </w:pPr>
    </w:p>
    <w:p w14:paraId="3F346137" w14:textId="77777777" w:rsidR="005C4AF1" w:rsidRDefault="005C4AF1" w:rsidP="005C4AF1">
      <w:pPr>
        <w:pStyle w:val="PwCNormal"/>
        <w:spacing w:before="0" w:after="240" w:line="240" w:lineRule="auto"/>
        <w:ind w:left="454"/>
      </w:pPr>
      <w:r>
        <w:rPr>
          <w:noProof/>
          <w:lang w:eastAsia="en-AU"/>
        </w:rPr>
        <mc:AlternateContent>
          <mc:Choice Requires="wps">
            <w:drawing>
              <wp:anchor distT="45720" distB="45720" distL="114300" distR="114300" simplePos="0" relativeHeight="251681792" behindDoc="0" locked="0" layoutInCell="1" allowOverlap="1" wp14:anchorId="69B339D0" wp14:editId="1BBDCCB0">
                <wp:simplePos x="0" y="0"/>
                <wp:positionH relativeFrom="column">
                  <wp:posOffset>1351915</wp:posOffset>
                </wp:positionH>
                <wp:positionV relativeFrom="paragraph">
                  <wp:posOffset>334010</wp:posOffset>
                </wp:positionV>
                <wp:extent cx="4419600" cy="4114800"/>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4114800"/>
                        </a:xfrm>
                        <a:prstGeom prst="rect">
                          <a:avLst/>
                        </a:prstGeom>
                        <a:solidFill>
                          <a:schemeClr val="accent1"/>
                        </a:solidFill>
                        <a:ln w="9525">
                          <a:noFill/>
                          <a:miter lim="800000"/>
                          <a:headEnd/>
                          <a:tailEnd/>
                        </a:ln>
                      </wps:spPr>
                      <wps:txbx>
                        <w:txbxContent>
                          <w:p w14:paraId="129BB8BF" w14:textId="77777777" w:rsidR="0080000B" w:rsidRPr="008552A8" w:rsidRDefault="0080000B" w:rsidP="005C4AF1">
                            <w:pPr>
                              <w:pStyle w:val="Divider1SubHeading"/>
                              <w:shd w:val="clear" w:color="auto" w:fill="D04A02" w:themeFill="accent1"/>
                              <w:rPr>
                                <w:rFonts w:asciiTheme="majorHAnsi" w:hAnsiTheme="majorHAnsi"/>
                                <w:i w:val="0"/>
                                <w:iCs/>
                              </w:rPr>
                            </w:pPr>
                            <w:r w:rsidRPr="008552A8">
                              <w:rPr>
                                <w:rFonts w:asciiTheme="majorHAnsi" w:hAnsiTheme="majorHAnsi"/>
                                <w:i w:val="0"/>
                                <w:iCs/>
                              </w:rPr>
                              <w:t>This chapter covers…</w:t>
                            </w:r>
                          </w:p>
                          <w:p w14:paraId="7B0B3CEB" w14:textId="77777777" w:rsidR="0080000B" w:rsidRPr="008552A8" w:rsidRDefault="0080000B" w:rsidP="00B95734">
                            <w:pPr>
                              <w:pStyle w:val="Divider1Text"/>
                              <w:numPr>
                                <w:ilvl w:val="0"/>
                                <w:numId w:val="45"/>
                              </w:numPr>
                              <w:shd w:val="clear" w:color="auto" w:fill="D04A02" w:themeFill="accent1"/>
                              <w:spacing w:before="60" w:after="60" w:line="200" w:lineRule="atLeast"/>
                              <w:ind w:left="714" w:hanging="357"/>
                              <w:rPr>
                                <w:rFonts w:cstheme="minorHAnsi"/>
                                <w:iCs/>
                              </w:rPr>
                            </w:pPr>
                            <w:r w:rsidRPr="008552A8">
                              <w:rPr>
                                <w:rFonts w:cstheme="minorHAnsi"/>
                                <w:iCs/>
                              </w:rPr>
                              <w:t>the focus of this evaluation</w:t>
                            </w:r>
                          </w:p>
                          <w:p w14:paraId="792CF2C9" w14:textId="77777777" w:rsidR="0080000B" w:rsidRPr="008552A8" w:rsidRDefault="0080000B" w:rsidP="00B95734">
                            <w:pPr>
                              <w:pStyle w:val="Divider1Text"/>
                              <w:numPr>
                                <w:ilvl w:val="0"/>
                                <w:numId w:val="45"/>
                              </w:numPr>
                              <w:shd w:val="clear" w:color="auto" w:fill="D04A02" w:themeFill="accent1"/>
                              <w:spacing w:before="60" w:after="60" w:line="200" w:lineRule="atLeast"/>
                              <w:ind w:left="714" w:hanging="357"/>
                              <w:rPr>
                                <w:rFonts w:cstheme="minorHAnsi"/>
                                <w:iCs/>
                              </w:rPr>
                            </w:pPr>
                            <w:r w:rsidRPr="008552A8">
                              <w:rPr>
                                <w:rFonts w:cstheme="minorHAnsi"/>
                                <w:iCs/>
                              </w:rPr>
                              <w:t>the evaluation approach employed</w:t>
                            </w:r>
                          </w:p>
                          <w:p w14:paraId="4C6B0D1E" w14:textId="77777777" w:rsidR="0080000B" w:rsidRPr="008552A8" w:rsidRDefault="0080000B" w:rsidP="00B95734">
                            <w:pPr>
                              <w:pStyle w:val="Divider1Text"/>
                              <w:numPr>
                                <w:ilvl w:val="0"/>
                                <w:numId w:val="45"/>
                              </w:numPr>
                              <w:shd w:val="clear" w:color="auto" w:fill="D04A02" w:themeFill="accent1"/>
                              <w:spacing w:before="60" w:after="60" w:line="200" w:lineRule="atLeast"/>
                              <w:ind w:left="714" w:hanging="357"/>
                              <w:rPr>
                                <w:rFonts w:cstheme="minorHAnsi"/>
                                <w:iCs/>
                              </w:rPr>
                            </w:pPr>
                            <w:r w:rsidRPr="008552A8">
                              <w:rPr>
                                <w:rFonts w:cstheme="minorHAnsi"/>
                                <w:iCs/>
                              </w:rPr>
                              <w:t xml:space="preserve">data collection approach.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B339D0" id="_x0000_t202" coordsize="21600,21600" o:spt="202" path="m,l,21600r21600,l21600,xe">
                <v:stroke joinstyle="miter"/>
                <v:path gradientshapeok="t" o:connecttype="rect"/>
              </v:shapetype>
              <v:shape id="Text Box 2" o:spid="_x0000_s1026" type="#_x0000_t202" style="position:absolute;left:0;text-align:left;margin-left:106.45pt;margin-top:26.3pt;width:348pt;height:32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" fillcolor="#d04a02 [3204]" stroked="f">
                <v:textbox>
                  <w:txbxContent>
                    <w:p w14:paraId="129BB8BF" w14:textId="77777777" w:rsidR="0080000B" w:rsidRPr="008552A8" w:rsidRDefault="0080000B" w:rsidP="005C4AF1">
                      <w:pPr>
                        <w:pStyle w:val="Divider1SubHeading"/>
                        <w:shd w:val="clear" w:color="auto" w:fill="D04A02" w:themeFill="accent1"/>
                        <w:rPr>
                          <w:rFonts w:asciiTheme="majorHAnsi" w:hAnsiTheme="majorHAnsi"/>
                          <w:i w:val="0"/>
                          <w:iCs/>
                        </w:rPr>
                      </w:pPr>
                      <w:r w:rsidRPr="008552A8">
                        <w:rPr>
                          <w:rFonts w:asciiTheme="majorHAnsi" w:hAnsiTheme="majorHAnsi"/>
                          <w:i w:val="0"/>
                          <w:iCs/>
                        </w:rPr>
                        <w:t>This chapter covers…</w:t>
                      </w:r>
                    </w:p>
                    <w:p w14:paraId="7B0B3CEB" w14:textId="77777777" w:rsidR="0080000B" w:rsidRPr="008552A8" w:rsidRDefault="0080000B" w:rsidP="00B95734">
                      <w:pPr>
                        <w:pStyle w:val="Divider1Text"/>
                        <w:numPr>
                          <w:ilvl w:val="0"/>
                          <w:numId w:val="45"/>
                        </w:numPr>
                        <w:shd w:val="clear" w:color="auto" w:fill="D04A02" w:themeFill="accent1"/>
                        <w:spacing w:before="60" w:after="60" w:line="200" w:lineRule="atLeast"/>
                        <w:ind w:left="714" w:hanging="357"/>
                        <w:rPr>
                          <w:rFonts w:cstheme="minorHAnsi"/>
                          <w:iCs/>
                        </w:rPr>
                      </w:pPr>
                      <w:r w:rsidRPr="008552A8">
                        <w:rPr>
                          <w:rFonts w:cstheme="minorHAnsi"/>
                          <w:iCs/>
                        </w:rPr>
                        <w:t>the focus of this evaluation</w:t>
                      </w:r>
                    </w:p>
                    <w:p w14:paraId="792CF2C9" w14:textId="77777777" w:rsidR="0080000B" w:rsidRPr="008552A8" w:rsidRDefault="0080000B" w:rsidP="00B95734">
                      <w:pPr>
                        <w:pStyle w:val="Divider1Text"/>
                        <w:numPr>
                          <w:ilvl w:val="0"/>
                          <w:numId w:val="45"/>
                        </w:numPr>
                        <w:shd w:val="clear" w:color="auto" w:fill="D04A02" w:themeFill="accent1"/>
                        <w:spacing w:before="60" w:after="60" w:line="200" w:lineRule="atLeast"/>
                        <w:ind w:left="714" w:hanging="357"/>
                        <w:rPr>
                          <w:rFonts w:cstheme="minorHAnsi"/>
                          <w:iCs/>
                        </w:rPr>
                      </w:pPr>
                      <w:r w:rsidRPr="008552A8">
                        <w:rPr>
                          <w:rFonts w:cstheme="minorHAnsi"/>
                          <w:iCs/>
                        </w:rPr>
                        <w:t>the evaluation approach employed</w:t>
                      </w:r>
                    </w:p>
                    <w:p w14:paraId="4C6B0D1E" w14:textId="77777777" w:rsidR="0080000B" w:rsidRPr="008552A8" w:rsidRDefault="0080000B" w:rsidP="00B95734">
                      <w:pPr>
                        <w:pStyle w:val="Divider1Text"/>
                        <w:numPr>
                          <w:ilvl w:val="0"/>
                          <w:numId w:val="45"/>
                        </w:numPr>
                        <w:shd w:val="clear" w:color="auto" w:fill="D04A02" w:themeFill="accent1"/>
                        <w:spacing w:before="60" w:after="60" w:line="200" w:lineRule="atLeast"/>
                        <w:ind w:left="714" w:hanging="357"/>
                        <w:rPr>
                          <w:rFonts w:cstheme="minorHAnsi"/>
                          <w:iCs/>
                        </w:rPr>
                      </w:pPr>
                      <w:r w:rsidRPr="008552A8">
                        <w:rPr>
                          <w:rFonts w:cstheme="minorHAnsi"/>
                          <w:iCs/>
                        </w:rPr>
                        <w:t xml:space="preserve">data collection approach. </w:t>
                      </w:r>
                    </w:p>
                  </w:txbxContent>
                </v:textbox>
                <w10:wrap type="square"/>
              </v:shape>
            </w:pict>
          </mc:Fallback>
        </mc:AlternateContent>
      </w:r>
      <w:r>
        <w:br w:type="page"/>
      </w:r>
    </w:p>
    <w:p w14:paraId="57823E6A" w14:textId="001BF632" w:rsidR="005C4AF1" w:rsidRPr="001D3D1F" w:rsidRDefault="00E67D50" w:rsidP="005C4AF1">
      <w:pPr>
        <w:pStyle w:val="Heading6"/>
        <w:rPr>
          <w:color w:val="auto"/>
        </w:rPr>
      </w:pPr>
      <w:bookmarkStart w:id="100" w:name="_Toc42847835"/>
      <w:bookmarkEnd w:id="93"/>
      <w:bookmarkEnd w:id="94"/>
      <w:bookmarkEnd w:id="95"/>
      <w:r>
        <w:rPr>
          <w:color w:val="auto"/>
        </w:rPr>
        <w:lastRenderedPageBreak/>
        <w:t>Evaluation of the National Framework</w:t>
      </w:r>
      <w:bookmarkEnd w:id="100"/>
      <w:r w:rsidR="00561328">
        <w:rPr>
          <w:color w:val="auto"/>
        </w:rPr>
        <w:t xml:space="preserve">  </w:t>
      </w:r>
    </w:p>
    <w:p w14:paraId="3AA154A1" w14:textId="4BC0920A" w:rsidR="005C4AF1" w:rsidRDefault="00561328" w:rsidP="005C4AF1">
      <w:pPr>
        <w:pStyle w:val="PwCNormal"/>
      </w:pPr>
      <w:bookmarkStart w:id="101" w:name="_Toc30582384"/>
      <w:bookmarkStart w:id="102" w:name="_Ref30700054"/>
      <w:r>
        <w:t xml:space="preserve">The National Framework </w:t>
      </w:r>
      <w:r w:rsidR="005C4AF1">
        <w:t xml:space="preserve">was established in 2009, presenting a national strategy for addressing child abuse and neglect. </w:t>
      </w:r>
      <w:r>
        <w:t>It</w:t>
      </w:r>
      <w:r w:rsidR="005C4AF1">
        <w:t xml:space="preserve"> was designed to operate over a twelve-year timeframe to 2020</w:t>
      </w:r>
      <w:r>
        <w:t>, with rolling three</w:t>
      </w:r>
      <w:r w:rsidR="00443F56">
        <w:t>-</w:t>
      </w:r>
      <w:r>
        <w:t xml:space="preserve">year action plans that specified the priorities and actions for each </w:t>
      </w:r>
      <w:r w:rsidR="00495E6A">
        <w:t>three-year</w:t>
      </w:r>
      <w:r>
        <w:t xml:space="preserve"> period. </w:t>
      </w:r>
      <w:r w:rsidR="005C4AF1">
        <w:t xml:space="preserve"> </w:t>
      </w:r>
    </w:p>
    <w:p w14:paraId="5A388272" w14:textId="35AF541D" w:rsidR="00E67D50" w:rsidRPr="004A304E" w:rsidRDefault="00E67D50" w:rsidP="004A304E">
      <w:pPr>
        <w:pStyle w:val="Heading7"/>
        <w:rPr>
          <w:color w:val="auto"/>
        </w:rPr>
      </w:pPr>
      <w:r>
        <w:rPr>
          <w:color w:val="auto"/>
        </w:rPr>
        <w:t>Mid-way evaluation of the National Framework</w:t>
      </w:r>
    </w:p>
    <w:p w14:paraId="44F14713" w14:textId="77777777" w:rsidR="005C4AF1" w:rsidRPr="001D3D1F" w:rsidRDefault="005C4AF1" w:rsidP="005C4AF1">
      <w:pPr>
        <w:pStyle w:val="PwCNormal"/>
      </w:pPr>
      <w:r>
        <w:rPr>
          <w:color w:val="auto"/>
        </w:rPr>
        <w:t xml:space="preserve">In 2015, </w:t>
      </w:r>
      <w:r w:rsidR="00561328">
        <w:rPr>
          <w:color w:val="auto"/>
        </w:rPr>
        <w:t>DSS</w:t>
      </w:r>
      <w:r>
        <w:rPr>
          <w:color w:val="auto"/>
        </w:rPr>
        <w:t xml:space="preserve"> commissioned a mid-way evaluation of the National Framework and its two initial action plans</w:t>
      </w:r>
      <w:r w:rsidRPr="001D3D1F">
        <w:t>.</w:t>
      </w:r>
      <w:r w:rsidRPr="001D3D1F">
        <w:rPr>
          <w:rStyle w:val="FootnoteReference"/>
        </w:rPr>
        <w:footnoteReference w:id="9"/>
      </w:r>
      <w:r w:rsidRPr="001D3D1F">
        <w:t xml:space="preserve"> </w:t>
      </w:r>
      <w:r>
        <w:rPr>
          <w:color w:val="auto"/>
        </w:rPr>
        <w:t>That evaluation found</w:t>
      </w:r>
      <w:r w:rsidRPr="001D3D1F">
        <w:t>, among other things, that:</w:t>
      </w:r>
    </w:p>
    <w:p w14:paraId="774080CF" w14:textId="77777777" w:rsidR="005C4AF1" w:rsidRPr="001D3D1F" w:rsidRDefault="005C4AF1" w:rsidP="005C4AF1">
      <w:pPr>
        <w:pStyle w:val="ListParagraph"/>
        <w:numPr>
          <w:ilvl w:val="0"/>
          <w:numId w:val="30"/>
        </w:numPr>
        <w:kinsoku/>
        <w:overflowPunct/>
        <w:autoSpaceDE/>
        <w:autoSpaceDN/>
        <w:adjustRightInd/>
        <w:snapToGrid/>
        <w:spacing w:after="240" w:line="240" w:lineRule="atLeast"/>
      </w:pPr>
      <w:r>
        <w:t>a</w:t>
      </w:r>
      <w:r w:rsidRPr="001D3D1F">
        <w:t xml:space="preserve"> lack of clarity over the Framework’s governance and implementation arrangements between 2013 and 2015 created uncertainty and mean</w:t>
      </w:r>
      <w:r>
        <w:t>t</w:t>
      </w:r>
      <w:r w:rsidRPr="001D3D1F">
        <w:t xml:space="preserve"> that the development of the Second Action Plan was ‘widely regarded as flawed’</w:t>
      </w:r>
    </w:p>
    <w:p w14:paraId="009A8E66" w14:textId="223AB387" w:rsidR="005C4AF1" w:rsidRPr="001D3D1F" w:rsidRDefault="005C4AF1" w:rsidP="005C4AF1">
      <w:pPr>
        <w:pStyle w:val="ListParagraph"/>
        <w:numPr>
          <w:ilvl w:val="0"/>
          <w:numId w:val="30"/>
        </w:numPr>
        <w:kinsoku/>
        <w:overflowPunct/>
        <w:autoSpaceDE/>
        <w:autoSpaceDN/>
        <w:adjustRightInd/>
        <w:snapToGrid/>
        <w:spacing w:after="240" w:line="240" w:lineRule="atLeast"/>
      </w:pPr>
      <w:r>
        <w:t>t</w:t>
      </w:r>
      <w:r w:rsidRPr="001D3D1F">
        <w:t>he implementation of a number of initiatives</w:t>
      </w:r>
      <w:r>
        <w:t xml:space="preserve"> were </w:t>
      </w:r>
      <w:r w:rsidRPr="001D3D1F">
        <w:t>viewed as successful, including: Communities for Children and Child Aware Approaches; Building Bridges; National Standards for Out of Home Care; and, the establishment of a National Children’s Commissioner</w:t>
      </w:r>
    </w:p>
    <w:p w14:paraId="445582A5" w14:textId="77777777" w:rsidR="005C4AF1" w:rsidRPr="001D3D1F" w:rsidRDefault="005C4AF1" w:rsidP="005C4AF1">
      <w:pPr>
        <w:pStyle w:val="ListParagraph"/>
        <w:numPr>
          <w:ilvl w:val="0"/>
          <w:numId w:val="30"/>
        </w:numPr>
        <w:kinsoku/>
        <w:overflowPunct/>
        <w:autoSpaceDE/>
        <w:autoSpaceDN/>
        <w:adjustRightInd/>
        <w:snapToGrid/>
        <w:spacing w:after="240" w:line="240" w:lineRule="atLeast"/>
      </w:pPr>
      <w:r>
        <w:t>the National Research Agenda, under the Framework had progressed the t</w:t>
      </w:r>
      <w:r w:rsidRPr="001D3D1F">
        <w:t xml:space="preserve">ranslation of research to practice </w:t>
      </w:r>
    </w:p>
    <w:p w14:paraId="1F81D880" w14:textId="77777777" w:rsidR="005C4AF1" w:rsidRPr="001D3D1F" w:rsidRDefault="005C4AF1" w:rsidP="005C4AF1">
      <w:pPr>
        <w:pStyle w:val="ListParagraph"/>
        <w:numPr>
          <w:ilvl w:val="0"/>
          <w:numId w:val="30"/>
        </w:numPr>
        <w:kinsoku/>
        <w:overflowPunct/>
        <w:autoSpaceDE/>
        <w:autoSpaceDN/>
        <w:adjustRightInd/>
        <w:snapToGrid/>
        <w:spacing w:after="240" w:line="240" w:lineRule="atLeast"/>
      </w:pPr>
      <w:r w:rsidRPr="001D3D1F">
        <w:t xml:space="preserve">the development of the Child Protection National Minimum Dataset </w:t>
      </w:r>
      <w:r>
        <w:t xml:space="preserve">was a key achievement. </w:t>
      </w:r>
    </w:p>
    <w:p w14:paraId="535B5C4C" w14:textId="77777777" w:rsidR="005C4AF1" w:rsidRPr="001D3D1F" w:rsidRDefault="005C4AF1" w:rsidP="005C4AF1">
      <w:r w:rsidRPr="001D3D1F">
        <w:t xml:space="preserve">Key implementation challenges </w:t>
      </w:r>
      <w:r>
        <w:t xml:space="preserve">identified through the 2015 mid-way evaluation </w:t>
      </w:r>
      <w:r w:rsidRPr="001D3D1F">
        <w:t>included:</w:t>
      </w:r>
    </w:p>
    <w:p w14:paraId="72F0B97B" w14:textId="77777777" w:rsidR="005C4AF1" w:rsidRPr="001D3D1F" w:rsidRDefault="005C4AF1" w:rsidP="005C4AF1">
      <w:pPr>
        <w:pStyle w:val="ListParagraph"/>
        <w:numPr>
          <w:ilvl w:val="0"/>
          <w:numId w:val="31"/>
        </w:numPr>
        <w:kinsoku/>
        <w:overflowPunct/>
        <w:autoSpaceDE/>
        <w:autoSpaceDN/>
        <w:adjustRightInd/>
        <w:snapToGrid/>
        <w:spacing w:after="240" w:line="240" w:lineRule="atLeast"/>
      </w:pPr>
      <w:r>
        <w:t>the use of t</w:t>
      </w:r>
      <w:r w:rsidRPr="001D3D1F">
        <w:t>ime-limited funding</w:t>
      </w:r>
    </w:p>
    <w:p w14:paraId="180896C7" w14:textId="77777777" w:rsidR="005C4AF1" w:rsidRPr="001D3D1F" w:rsidRDefault="005C4AF1" w:rsidP="005C4AF1">
      <w:pPr>
        <w:pStyle w:val="ListParagraph"/>
        <w:numPr>
          <w:ilvl w:val="0"/>
          <w:numId w:val="31"/>
        </w:numPr>
        <w:kinsoku/>
        <w:overflowPunct/>
        <w:autoSpaceDE/>
        <w:autoSpaceDN/>
        <w:adjustRightInd/>
        <w:snapToGrid/>
        <w:spacing w:after="240" w:line="240" w:lineRule="atLeast"/>
      </w:pPr>
      <w:r>
        <w:t>d</w:t>
      </w:r>
      <w:r w:rsidRPr="001D3D1F">
        <w:t>iscrete site-based trialling of initiatives (limiting the evidence base/scaleability</w:t>
      </w:r>
      <w:r>
        <w:t xml:space="preserve"> of activities</w:t>
      </w:r>
      <w:r w:rsidRPr="001D3D1F">
        <w:t>)</w:t>
      </w:r>
    </w:p>
    <w:p w14:paraId="1C8D03C5" w14:textId="77777777" w:rsidR="005C4AF1" w:rsidRPr="001D3D1F" w:rsidRDefault="005C4AF1" w:rsidP="005C4AF1">
      <w:pPr>
        <w:pStyle w:val="ListParagraph"/>
        <w:numPr>
          <w:ilvl w:val="0"/>
          <w:numId w:val="31"/>
        </w:numPr>
        <w:kinsoku/>
        <w:overflowPunct/>
        <w:autoSpaceDE/>
        <w:autoSpaceDN/>
        <w:adjustRightInd/>
        <w:snapToGrid/>
        <w:spacing w:after="240" w:line="240" w:lineRule="atLeast"/>
      </w:pPr>
      <w:r>
        <w:t>c</w:t>
      </w:r>
      <w:r w:rsidRPr="001D3D1F">
        <w:t xml:space="preserve">onstraints associated with </w:t>
      </w:r>
      <w:r>
        <w:t xml:space="preserve">government </w:t>
      </w:r>
      <w:r w:rsidRPr="001D3D1F">
        <w:t xml:space="preserve">procurement </w:t>
      </w:r>
      <w:r>
        <w:t xml:space="preserve">processes and contractual obligations </w:t>
      </w:r>
      <w:r w:rsidRPr="001D3D1F">
        <w:t xml:space="preserve">which limited the ability </w:t>
      </w:r>
      <w:r>
        <w:t xml:space="preserve">of service organisations </w:t>
      </w:r>
      <w:r w:rsidRPr="001D3D1F">
        <w:t>to implement early intervention approaches</w:t>
      </w:r>
    </w:p>
    <w:p w14:paraId="68D66E3C" w14:textId="77777777" w:rsidR="005C4AF1" w:rsidRPr="001D3D1F" w:rsidRDefault="005C4AF1" w:rsidP="005C4AF1">
      <w:pPr>
        <w:pStyle w:val="ListParagraph"/>
        <w:numPr>
          <w:ilvl w:val="0"/>
          <w:numId w:val="31"/>
        </w:numPr>
        <w:kinsoku/>
        <w:overflowPunct/>
        <w:autoSpaceDE/>
        <w:autoSpaceDN/>
        <w:adjustRightInd/>
        <w:snapToGrid/>
        <w:spacing w:after="240" w:line="240" w:lineRule="atLeast"/>
      </w:pPr>
      <w:r>
        <w:t>limited r</w:t>
      </w:r>
      <w:r w:rsidRPr="001D3D1F">
        <w:t>esearch funding to achieve the scale</w:t>
      </w:r>
      <w:r>
        <w:t xml:space="preserve"> and </w:t>
      </w:r>
      <w:r w:rsidRPr="001D3D1F">
        <w:t xml:space="preserve">evidence needed for </w:t>
      </w:r>
      <w:r>
        <w:t xml:space="preserve">governments and organisations to implement new evidence-informed approaches </w:t>
      </w:r>
    </w:p>
    <w:p w14:paraId="054FF38E" w14:textId="77777777" w:rsidR="005C4AF1" w:rsidRPr="001D3D1F" w:rsidRDefault="005C4AF1" w:rsidP="005C4AF1">
      <w:pPr>
        <w:pStyle w:val="ListParagraph"/>
        <w:numPr>
          <w:ilvl w:val="0"/>
          <w:numId w:val="31"/>
        </w:numPr>
        <w:kinsoku/>
        <w:overflowPunct/>
        <w:autoSpaceDE/>
        <w:autoSpaceDN/>
        <w:adjustRightInd/>
        <w:snapToGrid/>
        <w:spacing w:after="240" w:line="240" w:lineRule="atLeast"/>
      </w:pPr>
      <w:r>
        <w:t>t</w:t>
      </w:r>
      <w:r w:rsidRPr="001D3D1F">
        <w:t>he need for a shift from tertiary services to universal and preventative services</w:t>
      </w:r>
      <w:r>
        <w:t>.</w:t>
      </w:r>
    </w:p>
    <w:p w14:paraId="673F3672" w14:textId="41061776" w:rsidR="005C4AF1" w:rsidRDefault="005C4AF1" w:rsidP="005C4AF1">
      <w:r w:rsidRPr="001D3D1F">
        <w:t xml:space="preserve">The evaluation concluded that systemic change – particularly in </w:t>
      </w:r>
      <w:r>
        <w:t xml:space="preserve">the </w:t>
      </w:r>
      <w:r w:rsidRPr="001D3D1F">
        <w:t xml:space="preserve">governance arrangements needed to underpin a public health model - </w:t>
      </w:r>
      <w:r w:rsidR="00BA6510">
        <w:t>was</w:t>
      </w:r>
      <w:r w:rsidRPr="001D3D1F">
        <w:t xml:space="preserve"> required to progress </w:t>
      </w:r>
      <w:r>
        <w:t xml:space="preserve">the ambitions of </w:t>
      </w:r>
      <w:r w:rsidRPr="001D3D1F">
        <w:t xml:space="preserve">the Framework. </w:t>
      </w:r>
    </w:p>
    <w:p w14:paraId="7F18A587" w14:textId="21BEE668" w:rsidR="00E67D50" w:rsidRPr="00344BE8" w:rsidRDefault="00E67D50" w:rsidP="004A304E">
      <w:pPr>
        <w:pStyle w:val="Heading7"/>
      </w:pPr>
      <w:r w:rsidRPr="004A304E">
        <w:rPr>
          <w:color w:val="auto"/>
        </w:rPr>
        <w:t>Focus of this evaluation</w:t>
      </w:r>
    </w:p>
    <w:p w14:paraId="6F931E62" w14:textId="77777777" w:rsidR="005C4AF1" w:rsidRPr="00561328" w:rsidRDefault="005C4AF1" w:rsidP="00561328">
      <w:pPr>
        <w:pStyle w:val="PwCNormal"/>
      </w:pPr>
      <w:r>
        <w:t>Given th</w:t>
      </w:r>
      <w:r w:rsidR="006B6F5A">
        <w:t xml:space="preserve">e mid-way evaluation focused on the </w:t>
      </w:r>
      <w:r w:rsidR="00561328">
        <w:t xml:space="preserve">First and Second Action Plans, this evaluation has focused on the effectiveness and appropriateness of the National Framework and its Third and Fourth Action Plans. </w:t>
      </w:r>
      <w:r w:rsidRPr="00561328">
        <w:rPr>
          <w:color w:val="auto"/>
        </w:rPr>
        <w:t xml:space="preserve">This evaluation </w:t>
      </w:r>
      <w:r w:rsidR="00561328">
        <w:rPr>
          <w:color w:val="auto"/>
        </w:rPr>
        <w:t>sought</w:t>
      </w:r>
      <w:r w:rsidRPr="00561328">
        <w:rPr>
          <w:color w:val="auto"/>
        </w:rPr>
        <w:t xml:space="preserve"> to: </w:t>
      </w:r>
    </w:p>
    <w:p w14:paraId="7A0176A1" w14:textId="77777777" w:rsidR="00561328" w:rsidRPr="00443F56" w:rsidRDefault="00561328" w:rsidP="00443F56">
      <w:pPr>
        <w:pStyle w:val="ListParagraph"/>
        <w:numPr>
          <w:ilvl w:val="0"/>
          <w:numId w:val="31"/>
        </w:numPr>
        <w:kinsoku/>
        <w:overflowPunct/>
        <w:autoSpaceDE/>
        <w:autoSpaceDN/>
        <w:adjustRightInd/>
        <w:snapToGrid/>
        <w:spacing w:after="240" w:line="240" w:lineRule="atLeast"/>
      </w:pPr>
      <w:bookmarkStart w:id="103" w:name="_Ref30758235"/>
      <w:r w:rsidRPr="00443F56">
        <w:t xml:space="preserve">assess the National Framework in terms of implementation and outcomes achieved, taking a particular focus on the actions and outcomes achieved under the Third and Fourth Action Plans of the Framework </w:t>
      </w:r>
    </w:p>
    <w:p w14:paraId="25310762" w14:textId="77777777" w:rsidR="00561328" w:rsidRPr="00443F56" w:rsidRDefault="00561328" w:rsidP="00443F56">
      <w:pPr>
        <w:pStyle w:val="ListParagraph"/>
        <w:numPr>
          <w:ilvl w:val="0"/>
          <w:numId w:val="31"/>
        </w:numPr>
        <w:kinsoku/>
        <w:overflowPunct/>
        <w:autoSpaceDE/>
        <w:autoSpaceDN/>
        <w:adjustRightInd/>
        <w:snapToGrid/>
        <w:spacing w:after="240" w:line="240" w:lineRule="atLeast"/>
      </w:pPr>
      <w:r w:rsidRPr="00443F56">
        <w:t>assess the effectiveness of the overarching framework, including its governance arrangements and the broad implementation of the action plans</w:t>
      </w:r>
    </w:p>
    <w:p w14:paraId="64F50F0B" w14:textId="77777777" w:rsidR="00561328" w:rsidRPr="00443F56" w:rsidRDefault="00561328" w:rsidP="00443F56">
      <w:pPr>
        <w:pStyle w:val="ListParagraph"/>
        <w:numPr>
          <w:ilvl w:val="0"/>
          <w:numId w:val="31"/>
        </w:numPr>
        <w:kinsoku/>
        <w:overflowPunct/>
        <w:autoSpaceDE/>
        <w:autoSpaceDN/>
        <w:adjustRightInd/>
        <w:snapToGrid/>
        <w:spacing w:after="240" w:line="240" w:lineRule="atLeast"/>
      </w:pPr>
      <w:r w:rsidRPr="00443F56">
        <w:t xml:space="preserve">in particular, assess how the National Framework has coordinated effort across governments and the non-government sector and reduced the prevalence of child abuse and neglect. </w:t>
      </w:r>
    </w:p>
    <w:p w14:paraId="284F0E09" w14:textId="77777777" w:rsidR="005C4AF1" w:rsidRPr="001D3D1F" w:rsidRDefault="005C4AF1" w:rsidP="005C4AF1">
      <w:pPr>
        <w:pStyle w:val="Heading6"/>
        <w:rPr>
          <w:color w:val="auto"/>
        </w:rPr>
      </w:pPr>
      <w:bookmarkStart w:id="104" w:name="_Toc42847836"/>
      <w:r w:rsidRPr="001D3D1F">
        <w:rPr>
          <w:color w:val="auto"/>
        </w:rPr>
        <w:t>Evaluation approach</w:t>
      </w:r>
      <w:bookmarkEnd w:id="101"/>
      <w:bookmarkEnd w:id="102"/>
      <w:bookmarkEnd w:id="103"/>
      <w:bookmarkEnd w:id="104"/>
    </w:p>
    <w:p w14:paraId="7BDA3E77" w14:textId="2DD76E3C" w:rsidR="00561328" w:rsidRPr="003A51E2" w:rsidRDefault="00561328" w:rsidP="00561328">
      <w:pPr>
        <w:spacing w:before="100" w:after="100" w:line="280" w:lineRule="auto"/>
        <w:rPr>
          <w:rFonts w:ascii="Arial" w:hAnsi="Arial" w:cs="Times New Roman"/>
        </w:rPr>
      </w:pPr>
      <w:bookmarkStart w:id="105" w:name="_Ref30717475"/>
      <w:r w:rsidRPr="003A51E2">
        <w:rPr>
          <w:rFonts w:ascii="Arial" w:hAnsi="Arial" w:cs="Times New Roman"/>
        </w:rPr>
        <w:t xml:space="preserve">PwC and PIC </w:t>
      </w:r>
      <w:r w:rsidR="0017222D">
        <w:rPr>
          <w:rFonts w:ascii="Arial" w:hAnsi="Arial" w:cs="Times New Roman"/>
        </w:rPr>
        <w:t xml:space="preserve">undertook </w:t>
      </w:r>
      <w:r w:rsidRPr="003A51E2">
        <w:rPr>
          <w:rFonts w:ascii="Arial" w:hAnsi="Arial" w:cs="Times New Roman"/>
        </w:rPr>
        <w:t>his evaluation in line with a set of evaluation questions</w:t>
      </w:r>
      <w:r w:rsidR="00E67D50">
        <w:rPr>
          <w:rFonts w:ascii="Arial" w:hAnsi="Arial" w:cs="Times New Roman"/>
        </w:rPr>
        <w:t xml:space="preserve"> shown in Table 2.</w:t>
      </w:r>
      <w:r w:rsidRPr="003A51E2">
        <w:rPr>
          <w:rFonts w:ascii="Arial" w:hAnsi="Arial" w:cs="Times New Roman"/>
        </w:rPr>
        <w:t xml:space="preserve"> These evaluation questions incorporate different evaluation types, including:</w:t>
      </w:r>
    </w:p>
    <w:p w14:paraId="7E9B5B34" w14:textId="77777777" w:rsidR="00561328" w:rsidRPr="003A51E2" w:rsidRDefault="00561328" w:rsidP="00B95734">
      <w:pPr>
        <w:pStyle w:val="ListParagraph"/>
        <w:numPr>
          <w:ilvl w:val="0"/>
          <w:numId w:val="56"/>
        </w:numPr>
        <w:spacing w:before="120" w:after="120"/>
        <w:ind w:left="284" w:hanging="284"/>
        <w:contextualSpacing w:val="0"/>
        <w:rPr>
          <w:rFonts w:ascii="Arial" w:hAnsi="Arial" w:cs="Times New Roman"/>
        </w:rPr>
      </w:pPr>
      <w:r w:rsidRPr="001E103C">
        <w:rPr>
          <w:rFonts w:ascii="Arial" w:hAnsi="Arial" w:cs="Times New Roman"/>
          <w:b/>
          <w:bCs/>
          <w:color w:val="D04A02" w:themeColor="accent1"/>
        </w:rPr>
        <w:t>formative evaluation:</w:t>
      </w:r>
      <w:r w:rsidRPr="001E103C">
        <w:rPr>
          <w:rFonts w:ascii="Arial" w:hAnsi="Arial" w:cs="Times New Roman"/>
          <w:color w:val="D04A02" w:themeColor="accent1"/>
        </w:rPr>
        <w:t xml:space="preserve"> </w:t>
      </w:r>
      <w:r w:rsidRPr="003A51E2">
        <w:rPr>
          <w:rFonts w:ascii="Arial" w:hAnsi="Arial" w:cs="Times New Roman"/>
        </w:rPr>
        <w:t xml:space="preserve">an adaptive approach which enables refinement as the </w:t>
      </w:r>
      <w:r>
        <w:rPr>
          <w:rFonts w:ascii="Arial" w:hAnsi="Arial" w:cs="Times New Roman"/>
        </w:rPr>
        <w:t>framework</w:t>
      </w:r>
      <w:r w:rsidRPr="003A51E2">
        <w:rPr>
          <w:rFonts w:ascii="Arial" w:hAnsi="Arial" w:cs="Times New Roman"/>
        </w:rPr>
        <w:t xml:space="preserve"> is being implemented</w:t>
      </w:r>
    </w:p>
    <w:p w14:paraId="2906E363" w14:textId="77777777" w:rsidR="00561328" w:rsidRPr="003A51E2" w:rsidRDefault="00561328" w:rsidP="00B95734">
      <w:pPr>
        <w:pStyle w:val="ListParagraph"/>
        <w:numPr>
          <w:ilvl w:val="0"/>
          <w:numId w:val="56"/>
        </w:numPr>
        <w:spacing w:before="120" w:after="120"/>
        <w:ind w:left="284" w:hanging="284"/>
        <w:contextualSpacing w:val="0"/>
        <w:rPr>
          <w:rFonts w:ascii="Arial" w:hAnsi="Arial" w:cs="Times New Roman"/>
        </w:rPr>
      </w:pPr>
      <w:r w:rsidRPr="001E103C">
        <w:rPr>
          <w:rFonts w:ascii="Arial" w:hAnsi="Arial" w:cs="Times New Roman"/>
          <w:b/>
          <w:bCs/>
          <w:color w:val="D04A02" w:themeColor="accent1"/>
        </w:rPr>
        <w:t>process evaluation:</w:t>
      </w:r>
      <w:r w:rsidRPr="001E103C">
        <w:rPr>
          <w:rFonts w:ascii="Arial" w:hAnsi="Arial" w:cs="Times New Roman"/>
          <w:color w:val="D04A02" w:themeColor="accent1"/>
        </w:rPr>
        <w:t xml:space="preserve"> </w:t>
      </w:r>
      <w:r w:rsidRPr="003A51E2">
        <w:rPr>
          <w:rFonts w:ascii="Arial" w:hAnsi="Arial" w:cs="Times New Roman"/>
        </w:rPr>
        <w:t xml:space="preserve">determines whether the </w:t>
      </w:r>
      <w:r>
        <w:rPr>
          <w:rFonts w:ascii="Arial" w:hAnsi="Arial" w:cs="Times New Roman"/>
        </w:rPr>
        <w:t>framework</w:t>
      </w:r>
      <w:r w:rsidRPr="003A51E2">
        <w:rPr>
          <w:rFonts w:ascii="Arial" w:hAnsi="Arial" w:cs="Times New Roman"/>
        </w:rPr>
        <w:t xml:space="preserve"> was implemented as intended</w:t>
      </w:r>
    </w:p>
    <w:p w14:paraId="084E0C6F" w14:textId="77777777" w:rsidR="00561328" w:rsidRPr="003A51E2" w:rsidRDefault="00561328" w:rsidP="00B95734">
      <w:pPr>
        <w:pStyle w:val="ListParagraph"/>
        <w:numPr>
          <w:ilvl w:val="0"/>
          <w:numId w:val="56"/>
        </w:numPr>
        <w:spacing w:before="120" w:after="120"/>
        <w:ind w:left="284" w:hanging="284"/>
        <w:contextualSpacing w:val="0"/>
        <w:rPr>
          <w:rFonts w:ascii="Arial" w:hAnsi="Arial" w:cs="Times New Roman"/>
        </w:rPr>
      </w:pPr>
      <w:r w:rsidRPr="001E103C">
        <w:rPr>
          <w:rFonts w:ascii="Arial" w:hAnsi="Arial" w:cs="Times New Roman"/>
          <w:b/>
          <w:bCs/>
          <w:color w:val="D04A02" w:themeColor="accent1"/>
        </w:rPr>
        <w:lastRenderedPageBreak/>
        <w:t>outcomes evaluation:</w:t>
      </w:r>
      <w:r w:rsidRPr="001E103C">
        <w:rPr>
          <w:rFonts w:ascii="Arial" w:hAnsi="Arial" w:cs="Times New Roman"/>
          <w:color w:val="D04A02" w:themeColor="accent1"/>
        </w:rPr>
        <w:t xml:space="preserve"> </w:t>
      </w:r>
      <w:r w:rsidRPr="003A51E2">
        <w:rPr>
          <w:rFonts w:ascii="Arial" w:hAnsi="Arial" w:cs="Times New Roman"/>
        </w:rPr>
        <w:t xml:space="preserve">measures the progress of the </w:t>
      </w:r>
      <w:r>
        <w:rPr>
          <w:rFonts w:ascii="Arial" w:hAnsi="Arial" w:cs="Times New Roman"/>
        </w:rPr>
        <w:t>framework</w:t>
      </w:r>
      <w:r w:rsidRPr="003A51E2">
        <w:rPr>
          <w:rFonts w:ascii="Arial" w:hAnsi="Arial" w:cs="Times New Roman"/>
        </w:rPr>
        <w:t xml:space="preserve"> in achieving its intended outcomes. </w:t>
      </w:r>
    </w:p>
    <w:p w14:paraId="353FAC08" w14:textId="15D60B57" w:rsidR="00561328" w:rsidRPr="00561328" w:rsidRDefault="00561328" w:rsidP="00561328">
      <w:pPr>
        <w:spacing w:before="100" w:after="100" w:line="280" w:lineRule="auto"/>
        <w:rPr>
          <w:rFonts w:ascii="Arial" w:hAnsi="Arial" w:cs="Times New Roman"/>
          <w:szCs w:val="18"/>
        </w:rPr>
      </w:pPr>
      <w:r>
        <w:rPr>
          <w:rFonts w:ascii="Arial" w:hAnsi="Arial" w:cs="Times New Roman"/>
          <w:szCs w:val="18"/>
        </w:rPr>
        <w:fldChar w:fldCharType="begin"/>
      </w:r>
      <w:r>
        <w:rPr>
          <w:rFonts w:ascii="Arial" w:hAnsi="Arial" w:cs="Times New Roman"/>
          <w:szCs w:val="18"/>
        </w:rPr>
        <w:instrText xml:space="preserve"> REF _Ref36815235 \h </w:instrText>
      </w:r>
      <w:r>
        <w:rPr>
          <w:rFonts w:ascii="Arial" w:hAnsi="Arial" w:cs="Times New Roman"/>
          <w:szCs w:val="18"/>
        </w:rPr>
      </w:r>
      <w:r>
        <w:rPr>
          <w:rFonts w:ascii="Arial" w:hAnsi="Arial" w:cs="Times New Roman"/>
          <w:szCs w:val="18"/>
        </w:rPr>
        <w:fldChar w:fldCharType="separate"/>
      </w:r>
      <w:r w:rsidR="00D75351">
        <w:t xml:space="preserve">Table </w:t>
      </w:r>
      <w:r w:rsidR="00D75351">
        <w:rPr>
          <w:noProof/>
        </w:rPr>
        <w:t>2</w:t>
      </w:r>
      <w:r>
        <w:rPr>
          <w:rFonts w:ascii="Arial" w:hAnsi="Arial" w:cs="Times New Roman"/>
          <w:szCs w:val="18"/>
        </w:rPr>
        <w:fldChar w:fldCharType="end"/>
      </w:r>
      <w:r>
        <w:rPr>
          <w:rFonts w:ascii="Arial" w:hAnsi="Arial" w:cs="Times New Roman"/>
          <w:szCs w:val="18"/>
        </w:rPr>
        <w:t xml:space="preserve"> s</w:t>
      </w:r>
      <w:r w:rsidRPr="003A51E2">
        <w:rPr>
          <w:rFonts w:ascii="Arial" w:hAnsi="Arial" w:cs="Times New Roman"/>
          <w:szCs w:val="18"/>
        </w:rPr>
        <w:t>ets out the evaluation questions and sub-questions mapped against the evaluation objectives (question domains).</w:t>
      </w:r>
      <w:r w:rsidRPr="00447AAA">
        <w:rPr>
          <w:rFonts w:ascii="Arial" w:hAnsi="Arial" w:cs="Times New Roman"/>
          <w:szCs w:val="18"/>
        </w:rPr>
        <w:t xml:space="preserve"> </w:t>
      </w:r>
    </w:p>
    <w:p w14:paraId="66B7811A" w14:textId="17D59CDD" w:rsidR="005C4AF1" w:rsidRPr="00C465FF" w:rsidRDefault="00561328" w:rsidP="00561328">
      <w:pPr>
        <w:pStyle w:val="Caption"/>
      </w:pPr>
      <w:bookmarkStart w:id="106" w:name="_Ref36815235"/>
      <w:bookmarkEnd w:id="105"/>
      <w:r>
        <w:t xml:space="preserve">Table </w:t>
      </w:r>
      <w:fldSimple w:instr=" SEQ Table \* ARABIC ">
        <w:r w:rsidR="00D75351">
          <w:rPr>
            <w:noProof/>
          </w:rPr>
          <w:t>2</w:t>
        </w:r>
      </w:fldSimple>
      <w:bookmarkEnd w:id="106"/>
      <w:r>
        <w:t xml:space="preserve">: </w:t>
      </w:r>
      <w:r w:rsidR="005C4AF1" w:rsidRPr="00C465FF">
        <w:t>Evaluation domains mapped to key evaluation questions and sub-questions</w:t>
      </w:r>
    </w:p>
    <w:tbl>
      <w:tblPr>
        <w:tblStyle w:val="PwCColour1"/>
        <w:tblW w:w="5268" w:type="pct"/>
        <w:tblInd w:w="0" w:type="dxa"/>
        <w:tblLook w:val="01E0" w:firstRow="1" w:lastRow="1" w:firstColumn="1" w:lastColumn="1" w:noHBand="0" w:noVBand="0"/>
        <w:tblCaption w:val="description of table two Evaluation domains mapped to key evaluation questions and sub-questions"/>
        <w:tblDescription w:val="Table two is a visual representations of evaluation domains mapped to key evaluation questions and sub-questions.&#10;The table consists of three columns, Question domain, Key Evaluation Questions and Evaluation sub-questions.&#10;Question domain one: Outcomes: achievement of intended outcomes (barriers and enablers).  Domain one key evaluation question one. To what extent did the National Framework achieve its intended outcomes and what factors supported or inhibited outcomes?&#10;a. What were the major achievements of the National Framework?&#10;b. What supported and/or inhibited the implementation of the actions listed in the National Framework and Action Plans? What could be improved?&#10;c. What were the strengths and weaknesses of the National Framework, including the effectiveness of its governance structure?&#10;d. What supported and/or inhibited achievement of outcomes listed in the National Framework and Action Plans?&#10;e. How well did the National Framework and the Action Plans work together to achieve outcomes?&#10;f. How effective was the National Framework in informing the agenda for Indigenous priorities, actions and cultural appropriateness?&#10;g. How effective were the National Framework and Action Plans in achieving broader outcomes particularly coordinating effort across governments and the non-government sector and reducing the prevalence of child abuse and neglect?&#10;Question domain two: Effectiveness: supporting the policy agenda for children and young people.  Domain two key evaluation question two: How well did the National Framework support the policy agenda for children and young people?&#10;Evaluation sub questions for evaluation question two are:&#10;a. How well does the National Framework connect other elements of the broader policy agenda for children and young people at both a Commonwealth and state and territory level?&#10;b. Were there any gaps or was there areas of duplication with other key policy areas, including but not limited to: family and domestic violence, education, housing, justice, health, disability, culturally and linguistically diverse families, and Closing the Gap.&#10;Question domain three: Effectiveness and appropriateness: development processes. Domain three key evaluation question three: How effective was the development of the National Framework and Action Plan?&#10;Evaluation sub questions for evaluation question three are:&#10;a. How effective and appropriate were the consultations leading up to, and the resulting priorities and actions in the Third and Fourth Action Plans?&#10;ai. Did the development of the priorities and actions in the Third and Fourth Action Plans incorporate lessons learnt from previous action plans?&#10;aii. Did the priorities and actions in the Third and Fourth Action Plans clearly align with the high-level outcomes of the National Framework? &#10;b. To what extent were the duration and structure of the National Framework and its Action Plans appropriate?&#10;c. How well did the National Framework respond to the Convention on the Rights of the Child?&#10;d. To what extent did the National Framework engage with the public health model and primary prevention activities?&#10;"/>
      </w:tblPr>
      <w:tblGrid>
        <w:gridCol w:w="1948"/>
        <w:gridCol w:w="1551"/>
        <w:gridCol w:w="6884"/>
      </w:tblGrid>
      <w:tr w:rsidR="005C4AF1" w:rsidRPr="000F4FE4" w14:paraId="0F79FBFF" w14:textId="77777777" w:rsidTr="00561328">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938" w:type="pct"/>
            <w:tcBorders>
              <w:left w:val="single" w:sz="4" w:space="0" w:color="FFFFFF"/>
              <w:right w:val="single" w:sz="4" w:space="0" w:color="FFFFFF"/>
            </w:tcBorders>
            <w:vAlign w:val="center"/>
            <w:hideMark/>
          </w:tcPr>
          <w:p w14:paraId="28E0A640" w14:textId="77777777" w:rsidR="005C4AF1" w:rsidRPr="000F4FE4" w:rsidRDefault="005C4AF1" w:rsidP="00561328">
            <w:pPr>
              <w:spacing w:before="80" w:after="80" w:line="280" w:lineRule="auto"/>
              <w:rPr>
                <w:rFonts w:ascii="Arial" w:hAnsi="Arial"/>
                <w:b/>
              </w:rPr>
            </w:pPr>
            <w:r w:rsidRPr="000F4FE4">
              <w:rPr>
                <w:rFonts w:ascii="Arial" w:hAnsi="Arial"/>
                <w:b/>
              </w:rPr>
              <w:t>Question domain</w:t>
            </w:r>
          </w:p>
        </w:tc>
        <w:tc>
          <w:tcPr>
            <w:tcW w:w="747" w:type="pct"/>
            <w:tcBorders>
              <w:left w:val="single" w:sz="4" w:space="0" w:color="FFFFFF"/>
              <w:right w:val="single" w:sz="4" w:space="0" w:color="FFFFFF"/>
            </w:tcBorders>
            <w:vAlign w:val="center"/>
            <w:hideMark/>
          </w:tcPr>
          <w:p w14:paraId="4D56BCFE" w14:textId="77777777" w:rsidR="005C4AF1" w:rsidRPr="000F4FE4" w:rsidRDefault="005C4AF1" w:rsidP="00561328">
            <w:pPr>
              <w:spacing w:before="80" w:after="80" w:line="280" w:lineRule="auto"/>
              <w:cnfStyle w:val="100000000000" w:firstRow="1" w:lastRow="0" w:firstColumn="0" w:lastColumn="0" w:oddVBand="0" w:evenVBand="0" w:oddHBand="0" w:evenHBand="0" w:firstRowFirstColumn="0" w:firstRowLastColumn="0" w:lastRowFirstColumn="0" w:lastRowLastColumn="0"/>
              <w:rPr>
                <w:rFonts w:ascii="Arial" w:hAnsi="Arial"/>
                <w:b/>
              </w:rPr>
            </w:pPr>
            <w:r w:rsidRPr="000F4FE4">
              <w:rPr>
                <w:rFonts w:ascii="Arial" w:hAnsi="Arial"/>
                <w:b/>
              </w:rPr>
              <w:t>Key Evaluation Question</w:t>
            </w:r>
            <w:r w:rsidR="00561328">
              <w:rPr>
                <w:rFonts w:ascii="Arial" w:hAnsi="Arial"/>
                <w:b/>
              </w:rPr>
              <w:t>s</w:t>
            </w:r>
          </w:p>
        </w:tc>
        <w:tc>
          <w:tcPr>
            <w:tcW w:w="3315" w:type="pct"/>
            <w:tcBorders>
              <w:left w:val="single" w:sz="4" w:space="0" w:color="FFFFFF"/>
              <w:right w:val="single" w:sz="4" w:space="0" w:color="FFFFFF"/>
            </w:tcBorders>
            <w:vAlign w:val="center"/>
            <w:hideMark/>
          </w:tcPr>
          <w:p w14:paraId="139D2AA7" w14:textId="77777777" w:rsidR="005C4AF1" w:rsidRPr="000F4FE4" w:rsidRDefault="005C4AF1" w:rsidP="00561328">
            <w:pPr>
              <w:spacing w:before="80" w:after="80"/>
              <w:cnfStyle w:val="100000000000" w:firstRow="1" w:lastRow="0" w:firstColumn="0" w:lastColumn="0" w:oddVBand="0" w:evenVBand="0" w:oddHBand="0" w:evenHBand="0" w:firstRowFirstColumn="0" w:firstRowLastColumn="0" w:lastRowFirstColumn="0" w:lastRowLastColumn="0"/>
              <w:rPr>
                <w:rFonts w:ascii="Arial" w:hAnsi="Arial"/>
                <w:b/>
              </w:rPr>
            </w:pPr>
            <w:r>
              <w:rPr>
                <w:rFonts w:ascii="Arial" w:hAnsi="Arial"/>
                <w:b/>
              </w:rPr>
              <w:t>Evaluation s</w:t>
            </w:r>
            <w:r w:rsidRPr="000F4FE4">
              <w:rPr>
                <w:rFonts w:ascii="Arial" w:hAnsi="Arial"/>
                <w:b/>
              </w:rPr>
              <w:t>ub-questions</w:t>
            </w:r>
          </w:p>
        </w:tc>
      </w:tr>
      <w:tr w:rsidR="005C4AF1" w:rsidRPr="000F4FE4" w14:paraId="3B4CA650" w14:textId="77777777" w:rsidTr="00561328">
        <w:tc>
          <w:tcPr>
            <w:tcW w:w="938" w:type="pct"/>
            <w:tcBorders>
              <w:left w:val="single" w:sz="4" w:space="0" w:color="FFFFFF"/>
              <w:right w:val="single" w:sz="4" w:space="0" w:color="FFFFFF"/>
            </w:tcBorders>
          </w:tcPr>
          <w:p w14:paraId="55C5295F" w14:textId="77777777" w:rsidR="005C4AF1" w:rsidRDefault="005C4AF1" w:rsidP="00561328">
            <w:pPr>
              <w:spacing w:before="240" w:after="120" w:line="280" w:lineRule="auto"/>
              <w:rPr>
                <w:rFonts w:ascii="Arial" w:hAnsi="Arial"/>
                <w:b/>
              </w:rPr>
            </w:pPr>
            <w:r w:rsidRPr="000F4FE4">
              <w:rPr>
                <w:rFonts w:ascii="Arial" w:hAnsi="Arial"/>
                <w:noProof/>
                <w:sz w:val="16"/>
                <w:szCs w:val="16"/>
                <w:lang w:eastAsia="en-AU"/>
              </w:rPr>
              <w:drawing>
                <wp:inline distT="0" distB="0" distL="0" distR="0" wp14:anchorId="5B623388" wp14:editId="250A9AD6">
                  <wp:extent cx="431800" cy="431800"/>
                  <wp:effectExtent l="0" t="0" r="6350" b="6350"/>
                  <wp:docPr id="53" name="Picture 20" descr="Small bullseye target icon for domain 1 Outcomes: achievement of intended outcomes (barriers and enablers)." title="Icon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p>
          <w:p w14:paraId="07D10326" w14:textId="77777777" w:rsidR="005C4AF1" w:rsidRPr="000F4FE4" w:rsidRDefault="001173BD" w:rsidP="00561328">
            <w:pPr>
              <w:spacing w:before="240" w:after="120" w:line="280" w:lineRule="auto"/>
              <w:rPr>
                <w:rFonts w:ascii="Arial" w:hAnsi="Arial"/>
              </w:rPr>
            </w:pPr>
            <w:r>
              <w:rPr>
                <w:rFonts w:ascii="Arial" w:hAnsi="Arial"/>
                <w:b/>
              </w:rPr>
              <w:t xml:space="preserve">1: </w:t>
            </w:r>
            <w:r w:rsidR="005C4AF1" w:rsidRPr="000F4FE4">
              <w:rPr>
                <w:rFonts w:ascii="Arial" w:hAnsi="Arial"/>
                <w:b/>
              </w:rPr>
              <w:t>Outcomes:</w:t>
            </w:r>
            <w:r w:rsidR="005C4AF1" w:rsidRPr="000F4FE4">
              <w:rPr>
                <w:rFonts w:ascii="Arial" w:hAnsi="Arial"/>
              </w:rPr>
              <w:br/>
              <w:t>achievement of intended outcomes (barriers and enablers)</w:t>
            </w:r>
          </w:p>
          <w:p w14:paraId="78726FEA" w14:textId="77777777" w:rsidR="005C4AF1" w:rsidRPr="000F4FE4" w:rsidRDefault="005C4AF1" w:rsidP="00561328">
            <w:pPr>
              <w:spacing w:before="80" w:after="80" w:line="280" w:lineRule="auto"/>
              <w:rPr>
                <w:rFonts w:ascii="Arial" w:hAnsi="Arial"/>
                <w:sz w:val="16"/>
                <w:szCs w:val="16"/>
              </w:rPr>
            </w:pPr>
          </w:p>
        </w:tc>
        <w:tc>
          <w:tcPr>
            <w:tcW w:w="747" w:type="pct"/>
            <w:tcBorders>
              <w:left w:val="single" w:sz="4" w:space="0" w:color="FFFFFF"/>
              <w:right w:val="single" w:sz="4" w:space="0" w:color="FFFFFF"/>
            </w:tcBorders>
            <w:hideMark/>
          </w:tcPr>
          <w:p w14:paraId="593C5D2A" w14:textId="77777777" w:rsidR="005C4AF1" w:rsidRPr="000F4FE4" w:rsidRDefault="005C4AF1" w:rsidP="00561328">
            <w:pPr>
              <w:spacing w:before="240" w:after="120" w:line="280" w:lineRule="auto"/>
              <w:rPr>
                <w:rFonts w:ascii="Arial" w:hAnsi="Arial"/>
                <w:b/>
              </w:rPr>
            </w:pPr>
            <w:r>
              <w:rPr>
                <w:rFonts w:ascii="Arial" w:hAnsi="Arial"/>
                <w:b/>
              </w:rPr>
              <w:t>1</w:t>
            </w:r>
            <w:r w:rsidRPr="000F4FE4">
              <w:rPr>
                <w:rFonts w:ascii="Arial" w:hAnsi="Arial"/>
                <w:b/>
              </w:rPr>
              <w:t>. To what extent did the National Framework achieve its intended outcomes and what factors supported or inhibited outcomes?</w:t>
            </w:r>
          </w:p>
        </w:tc>
        <w:tc>
          <w:tcPr>
            <w:tcW w:w="3315" w:type="pct"/>
            <w:tcBorders>
              <w:left w:val="single" w:sz="4" w:space="0" w:color="FFFFFF"/>
              <w:right w:val="single" w:sz="4" w:space="0" w:color="FFFFFF"/>
            </w:tcBorders>
            <w:hideMark/>
          </w:tcPr>
          <w:p w14:paraId="7BCF0984" w14:textId="77777777" w:rsidR="005C4AF1" w:rsidRPr="000F4FE4" w:rsidRDefault="005C4AF1" w:rsidP="00561328">
            <w:pPr>
              <w:spacing w:before="60" w:after="60"/>
              <w:rPr>
                <w:rFonts w:ascii="Arial" w:hAnsi="Arial"/>
              </w:rPr>
            </w:pPr>
            <w:r w:rsidRPr="000F4FE4">
              <w:rPr>
                <w:rFonts w:ascii="Arial" w:hAnsi="Arial"/>
              </w:rPr>
              <w:t>a. What were the major achievements of the National Framework?</w:t>
            </w:r>
          </w:p>
          <w:p w14:paraId="50AD176B" w14:textId="77777777" w:rsidR="005C4AF1" w:rsidRPr="000F4FE4" w:rsidRDefault="005C4AF1" w:rsidP="00561328">
            <w:pPr>
              <w:spacing w:before="60" w:after="60"/>
              <w:rPr>
                <w:rFonts w:ascii="Arial" w:hAnsi="Arial"/>
              </w:rPr>
            </w:pPr>
            <w:r w:rsidRPr="000F4FE4">
              <w:rPr>
                <w:rFonts w:ascii="Arial" w:hAnsi="Arial"/>
              </w:rPr>
              <w:t>b. What supported and/or inhibited the implementation of the actions listed in the National Framework and Action Plans? What could be improved?</w:t>
            </w:r>
          </w:p>
          <w:p w14:paraId="1B68577D" w14:textId="77777777" w:rsidR="005C4AF1" w:rsidRPr="000F4FE4" w:rsidRDefault="005C4AF1" w:rsidP="00561328">
            <w:pPr>
              <w:spacing w:before="60" w:after="60"/>
              <w:rPr>
                <w:rFonts w:ascii="Arial" w:hAnsi="Arial"/>
              </w:rPr>
            </w:pPr>
            <w:r w:rsidRPr="000F4FE4">
              <w:rPr>
                <w:rFonts w:ascii="Arial" w:hAnsi="Arial"/>
              </w:rPr>
              <w:t>c. What were the strengths and weaknesses of the National Framework, including the effectiveness of its governance structure?</w:t>
            </w:r>
          </w:p>
          <w:p w14:paraId="0CF1144E" w14:textId="77777777" w:rsidR="005C4AF1" w:rsidRPr="000F4FE4" w:rsidRDefault="005C4AF1" w:rsidP="00561328">
            <w:pPr>
              <w:spacing w:before="60" w:after="60"/>
              <w:rPr>
                <w:rFonts w:ascii="Arial" w:hAnsi="Arial"/>
              </w:rPr>
            </w:pPr>
            <w:r w:rsidRPr="000F4FE4">
              <w:rPr>
                <w:rFonts w:ascii="Arial" w:hAnsi="Arial"/>
              </w:rPr>
              <w:t>d. What supported and/or inhibited achievement of outcomes listed in the National Framework and Action Plans?</w:t>
            </w:r>
          </w:p>
          <w:p w14:paraId="17A4A92A" w14:textId="77777777" w:rsidR="005C4AF1" w:rsidRPr="000F4FE4" w:rsidRDefault="005C4AF1" w:rsidP="00561328">
            <w:pPr>
              <w:spacing w:before="60" w:after="60"/>
              <w:rPr>
                <w:rFonts w:ascii="Arial" w:hAnsi="Arial"/>
              </w:rPr>
            </w:pPr>
            <w:r w:rsidRPr="000F4FE4">
              <w:rPr>
                <w:rFonts w:ascii="Arial" w:hAnsi="Arial"/>
              </w:rPr>
              <w:t>e. How well did the National Framework and the Action Plans work together to achieve outcomes?</w:t>
            </w:r>
          </w:p>
          <w:p w14:paraId="22FA65E9" w14:textId="77777777" w:rsidR="005C4AF1" w:rsidRPr="000F4FE4" w:rsidRDefault="005C4AF1" w:rsidP="00561328">
            <w:pPr>
              <w:spacing w:before="60" w:after="60"/>
              <w:rPr>
                <w:rFonts w:ascii="Arial" w:hAnsi="Arial"/>
              </w:rPr>
            </w:pPr>
            <w:r w:rsidRPr="000F4FE4">
              <w:rPr>
                <w:rFonts w:ascii="Arial" w:hAnsi="Arial"/>
              </w:rPr>
              <w:t>f. How effective was the National Framework in informing the agenda for Indigenous priorities, actions and cultural appropriateness?</w:t>
            </w:r>
          </w:p>
          <w:p w14:paraId="7B245137" w14:textId="77777777" w:rsidR="005C4AF1" w:rsidRPr="000F4FE4" w:rsidRDefault="005C4AF1" w:rsidP="00561328">
            <w:pPr>
              <w:spacing w:before="60" w:after="60"/>
              <w:rPr>
                <w:rFonts w:ascii="Arial" w:hAnsi="Arial"/>
              </w:rPr>
            </w:pPr>
            <w:r w:rsidRPr="000F4FE4">
              <w:rPr>
                <w:rFonts w:ascii="Arial" w:hAnsi="Arial"/>
              </w:rPr>
              <w:t>g. How effective were the National Framework and Action Plans in achieving broader outcomes particularly coordinating effort across governments and the non-government sector and reducing the prevalence of child abuse and neglect?</w:t>
            </w:r>
          </w:p>
        </w:tc>
      </w:tr>
      <w:tr w:rsidR="005C4AF1" w:rsidRPr="000F4FE4" w14:paraId="7D5CAFA0" w14:textId="77777777" w:rsidTr="00561328">
        <w:tc>
          <w:tcPr>
            <w:tcW w:w="938" w:type="pct"/>
            <w:tcBorders>
              <w:left w:val="single" w:sz="4" w:space="0" w:color="FFFFFF"/>
              <w:right w:val="single" w:sz="4" w:space="0" w:color="FFFFFF"/>
            </w:tcBorders>
          </w:tcPr>
          <w:p w14:paraId="0695244E" w14:textId="77777777" w:rsidR="005C4AF1" w:rsidRDefault="005C4AF1" w:rsidP="00561328">
            <w:pPr>
              <w:spacing w:before="240" w:after="120" w:line="280" w:lineRule="auto"/>
              <w:rPr>
                <w:rFonts w:ascii="Arial" w:hAnsi="Arial"/>
                <w:b/>
              </w:rPr>
            </w:pPr>
            <w:r w:rsidRPr="000F4FE4">
              <w:rPr>
                <w:rFonts w:ascii="Arial" w:hAnsi="Arial"/>
                <w:noProof/>
                <w:sz w:val="16"/>
                <w:szCs w:val="16"/>
                <w:lang w:eastAsia="en-AU"/>
              </w:rPr>
              <w:drawing>
                <wp:inline distT="0" distB="0" distL="0" distR="0" wp14:anchorId="3623C916" wp14:editId="5392B73A">
                  <wp:extent cx="431800" cy="431800"/>
                  <wp:effectExtent l="0" t="0" r="6350" b="6350"/>
                  <wp:docPr id="54" name="Picture 19" descr="Small arrow icon for domain 2 Effectiveness: supporting policy agenda for children and young people." title="Description o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p>
          <w:p w14:paraId="229E84A0" w14:textId="77777777" w:rsidR="005C4AF1" w:rsidRPr="000F4FE4" w:rsidRDefault="001173BD" w:rsidP="00561328">
            <w:pPr>
              <w:spacing w:before="240" w:after="120" w:line="280" w:lineRule="auto"/>
              <w:rPr>
                <w:rFonts w:ascii="Arial" w:hAnsi="Arial"/>
              </w:rPr>
            </w:pPr>
            <w:r>
              <w:rPr>
                <w:rFonts w:ascii="Arial" w:hAnsi="Arial"/>
                <w:b/>
              </w:rPr>
              <w:t xml:space="preserve">2: </w:t>
            </w:r>
            <w:r w:rsidR="005C4AF1" w:rsidRPr="000F4FE4">
              <w:rPr>
                <w:rFonts w:ascii="Arial" w:hAnsi="Arial"/>
                <w:b/>
              </w:rPr>
              <w:t>Effectiveness</w:t>
            </w:r>
            <w:r w:rsidR="005C4AF1" w:rsidRPr="000F4FE4">
              <w:rPr>
                <w:rFonts w:ascii="Arial" w:hAnsi="Arial"/>
              </w:rPr>
              <w:t>:</w:t>
            </w:r>
            <w:r w:rsidR="005C4AF1" w:rsidRPr="000F4FE4">
              <w:rPr>
                <w:rFonts w:ascii="Arial" w:hAnsi="Arial"/>
              </w:rPr>
              <w:br/>
              <w:t>supporting the policy agenda for children and young people</w:t>
            </w:r>
          </w:p>
          <w:p w14:paraId="3652C21F" w14:textId="77777777" w:rsidR="005C4AF1" w:rsidRPr="000F4FE4" w:rsidRDefault="005C4AF1" w:rsidP="00561328">
            <w:pPr>
              <w:spacing w:before="240" w:after="120" w:line="280" w:lineRule="auto"/>
              <w:rPr>
                <w:rFonts w:ascii="Arial" w:hAnsi="Arial"/>
                <w:noProof/>
                <w:sz w:val="16"/>
                <w:szCs w:val="16"/>
              </w:rPr>
            </w:pPr>
          </w:p>
        </w:tc>
        <w:tc>
          <w:tcPr>
            <w:tcW w:w="747" w:type="pct"/>
            <w:tcBorders>
              <w:left w:val="single" w:sz="4" w:space="0" w:color="FFFFFF"/>
              <w:right w:val="single" w:sz="4" w:space="0" w:color="FFFFFF"/>
            </w:tcBorders>
          </w:tcPr>
          <w:p w14:paraId="1FEDEA7E" w14:textId="77777777" w:rsidR="005C4AF1" w:rsidRDefault="005C4AF1" w:rsidP="00561328">
            <w:pPr>
              <w:spacing w:before="240" w:after="120" w:line="280" w:lineRule="auto"/>
              <w:rPr>
                <w:rFonts w:ascii="Arial" w:hAnsi="Arial"/>
                <w:b/>
              </w:rPr>
            </w:pPr>
            <w:r w:rsidRPr="000F4FE4">
              <w:rPr>
                <w:rFonts w:ascii="Arial" w:hAnsi="Arial"/>
                <w:b/>
              </w:rPr>
              <w:t>2. How well did the National Framework support the policy agenda for children and young people?</w:t>
            </w:r>
          </w:p>
        </w:tc>
        <w:tc>
          <w:tcPr>
            <w:tcW w:w="3315" w:type="pct"/>
            <w:tcBorders>
              <w:left w:val="single" w:sz="4" w:space="0" w:color="FFFFFF"/>
              <w:right w:val="single" w:sz="4" w:space="0" w:color="FFFFFF"/>
            </w:tcBorders>
          </w:tcPr>
          <w:p w14:paraId="0549A557" w14:textId="77777777" w:rsidR="005C4AF1" w:rsidRPr="000F4FE4" w:rsidRDefault="005C4AF1" w:rsidP="00561328">
            <w:pPr>
              <w:spacing w:before="60" w:after="60"/>
              <w:rPr>
                <w:rFonts w:ascii="Arial" w:hAnsi="Arial"/>
              </w:rPr>
            </w:pPr>
            <w:r w:rsidRPr="000F4FE4">
              <w:rPr>
                <w:rFonts w:ascii="Arial" w:hAnsi="Arial"/>
              </w:rPr>
              <w:t>a. How well does the National Framework connect other elements of the broader policy agenda for children and young people at both a Commonwealth and state and territory level?</w:t>
            </w:r>
          </w:p>
          <w:p w14:paraId="7558AB9B" w14:textId="77777777" w:rsidR="005C4AF1" w:rsidRPr="000F4FE4" w:rsidRDefault="005C4AF1" w:rsidP="00561328">
            <w:pPr>
              <w:spacing w:before="60" w:after="60"/>
              <w:rPr>
                <w:rFonts w:ascii="Arial" w:hAnsi="Arial"/>
              </w:rPr>
            </w:pPr>
            <w:r w:rsidRPr="000F4FE4">
              <w:rPr>
                <w:rFonts w:ascii="Arial" w:hAnsi="Arial"/>
              </w:rPr>
              <w:t>b. Were there any gaps or was there areas of duplication with other key policy areas, including but not limited to:</w:t>
            </w:r>
          </w:p>
          <w:p w14:paraId="65BC5191" w14:textId="77777777" w:rsidR="005C4AF1" w:rsidRPr="000F4FE4" w:rsidRDefault="005C4AF1" w:rsidP="00B95734">
            <w:pPr>
              <w:numPr>
                <w:ilvl w:val="0"/>
                <w:numId w:val="53"/>
              </w:numPr>
              <w:spacing w:before="60" w:after="60" w:line="240" w:lineRule="auto"/>
              <w:rPr>
                <w:rFonts w:ascii="Arial" w:hAnsi="Arial"/>
              </w:rPr>
            </w:pPr>
            <w:r w:rsidRPr="000F4FE4">
              <w:rPr>
                <w:rFonts w:ascii="Arial" w:hAnsi="Arial"/>
              </w:rPr>
              <w:t>family and domestic violence</w:t>
            </w:r>
          </w:p>
          <w:p w14:paraId="0492160D" w14:textId="77777777" w:rsidR="005C4AF1" w:rsidRPr="000F4FE4" w:rsidRDefault="005C4AF1" w:rsidP="00B95734">
            <w:pPr>
              <w:numPr>
                <w:ilvl w:val="0"/>
                <w:numId w:val="53"/>
              </w:numPr>
              <w:spacing w:before="60" w:after="60" w:line="240" w:lineRule="auto"/>
              <w:rPr>
                <w:rFonts w:ascii="Arial" w:hAnsi="Arial"/>
              </w:rPr>
            </w:pPr>
            <w:r w:rsidRPr="000F4FE4">
              <w:rPr>
                <w:rFonts w:ascii="Arial" w:hAnsi="Arial"/>
              </w:rPr>
              <w:t>education</w:t>
            </w:r>
          </w:p>
          <w:p w14:paraId="73649330" w14:textId="77777777" w:rsidR="005C4AF1" w:rsidRPr="000F4FE4" w:rsidRDefault="005C4AF1" w:rsidP="00B95734">
            <w:pPr>
              <w:numPr>
                <w:ilvl w:val="0"/>
                <w:numId w:val="53"/>
              </w:numPr>
              <w:spacing w:before="60" w:after="60" w:line="240" w:lineRule="auto"/>
              <w:rPr>
                <w:rFonts w:ascii="Arial" w:hAnsi="Arial"/>
              </w:rPr>
            </w:pPr>
            <w:r w:rsidRPr="000F4FE4">
              <w:rPr>
                <w:rFonts w:ascii="Arial" w:hAnsi="Arial"/>
              </w:rPr>
              <w:t>housing</w:t>
            </w:r>
          </w:p>
          <w:p w14:paraId="746F878E" w14:textId="77777777" w:rsidR="005C4AF1" w:rsidRPr="000F4FE4" w:rsidRDefault="005C4AF1" w:rsidP="00B95734">
            <w:pPr>
              <w:numPr>
                <w:ilvl w:val="0"/>
                <w:numId w:val="53"/>
              </w:numPr>
              <w:spacing w:before="60" w:after="60" w:line="240" w:lineRule="auto"/>
              <w:rPr>
                <w:rFonts w:ascii="Arial" w:hAnsi="Arial"/>
              </w:rPr>
            </w:pPr>
            <w:r w:rsidRPr="000F4FE4">
              <w:rPr>
                <w:rFonts w:ascii="Arial" w:hAnsi="Arial"/>
              </w:rPr>
              <w:t>justice</w:t>
            </w:r>
          </w:p>
          <w:p w14:paraId="75B03ACF" w14:textId="77777777" w:rsidR="005C4AF1" w:rsidRPr="000F4FE4" w:rsidRDefault="005C4AF1" w:rsidP="00B95734">
            <w:pPr>
              <w:numPr>
                <w:ilvl w:val="0"/>
                <w:numId w:val="53"/>
              </w:numPr>
              <w:spacing w:before="60" w:after="60" w:line="240" w:lineRule="auto"/>
              <w:rPr>
                <w:rFonts w:ascii="Arial" w:hAnsi="Arial"/>
              </w:rPr>
            </w:pPr>
            <w:r w:rsidRPr="000F4FE4">
              <w:rPr>
                <w:rFonts w:ascii="Arial" w:hAnsi="Arial"/>
              </w:rPr>
              <w:t xml:space="preserve">health </w:t>
            </w:r>
          </w:p>
          <w:p w14:paraId="04CD0A85" w14:textId="77777777" w:rsidR="005C4AF1" w:rsidRPr="000F4FE4" w:rsidRDefault="005C4AF1" w:rsidP="00B95734">
            <w:pPr>
              <w:numPr>
                <w:ilvl w:val="0"/>
                <w:numId w:val="53"/>
              </w:numPr>
              <w:spacing w:before="60" w:after="60" w:line="240" w:lineRule="auto"/>
              <w:rPr>
                <w:rFonts w:ascii="Arial" w:hAnsi="Arial"/>
              </w:rPr>
            </w:pPr>
            <w:r w:rsidRPr="000F4FE4">
              <w:rPr>
                <w:rFonts w:ascii="Arial" w:hAnsi="Arial"/>
              </w:rPr>
              <w:t>disability</w:t>
            </w:r>
          </w:p>
          <w:p w14:paraId="49193269" w14:textId="77777777" w:rsidR="005C4AF1" w:rsidRDefault="005C4AF1" w:rsidP="00B95734">
            <w:pPr>
              <w:numPr>
                <w:ilvl w:val="0"/>
                <w:numId w:val="53"/>
              </w:numPr>
              <w:spacing w:before="60" w:after="60" w:line="240" w:lineRule="auto"/>
              <w:rPr>
                <w:rFonts w:ascii="Arial" w:hAnsi="Arial"/>
              </w:rPr>
            </w:pPr>
            <w:r w:rsidRPr="000F4FE4">
              <w:rPr>
                <w:rFonts w:ascii="Arial" w:hAnsi="Arial"/>
              </w:rPr>
              <w:t>culturally and linguistically diverse families</w:t>
            </w:r>
          </w:p>
          <w:p w14:paraId="66AFB26B" w14:textId="77777777" w:rsidR="005C4AF1" w:rsidRPr="006E4260" w:rsidRDefault="005C4AF1" w:rsidP="00B95734">
            <w:pPr>
              <w:numPr>
                <w:ilvl w:val="0"/>
                <w:numId w:val="53"/>
              </w:numPr>
              <w:spacing w:before="60" w:after="60" w:line="240" w:lineRule="auto"/>
              <w:rPr>
                <w:rFonts w:ascii="Arial" w:hAnsi="Arial"/>
              </w:rPr>
            </w:pPr>
            <w:r w:rsidRPr="006E4260">
              <w:rPr>
                <w:rFonts w:ascii="Arial" w:hAnsi="Arial"/>
              </w:rPr>
              <w:t>Closing the Gap?</w:t>
            </w:r>
          </w:p>
        </w:tc>
      </w:tr>
      <w:tr w:rsidR="005C4AF1" w:rsidRPr="000F4FE4" w14:paraId="195FD181" w14:textId="77777777" w:rsidTr="00561328">
        <w:trPr>
          <w:cnfStyle w:val="010000000000" w:firstRow="0" w:lastRow="1" w:firstColumn="0" w:lastColumn="0" w:oddVBand="0" w:evenVBand="0" w:oddHBand="0" w:evenHBand="0" w:firstRowFirstColumn="0" w:firstRowLastColumn="0" w:lastRowFirstColumn="0" w:lastRowLastColumn="0"/>
        </w:trPr>
        <w:tc>
          <w:tcPr>
            <w:tcW w:w="938" w:type="pct"/>
            <w:tcBorders>
              <w:left w:val="single" w:sz="4" w:space="0" w:color="FFFFFF"/>
              <w:bottom w:val="single" w:sz="6" w:space="0" w:color="7D7D7D"/>
              <w:right w:val="single" w:sz="4" w:space="0" w:color="FFFFFF"/>
            </w:tcBorders>
          </w:tcPr>
          <w:p w14:paraId="67CA7785" w14:textId="77777777" w:rsidR="005C4AF1" w:rsidRDefault="005C4AF1" w:rsidP="00561328">
            <w:pPr>
              <w:spacing w:before="240" w:after="120" w:line="280" w:lineRule="auto"/>
              <w:rPr>
                <w:rFonts w:ascii="Arial" w:hAnsi="Arial"/>
                <w:b/>
              </w:rPr>
            </w:pPr>
            <w:r w:rsidRPr="000F4FE4">
              <w:rPr>
                <w:rFonts w:ascii="Arial" w:hAnsi="Arial"/>
                <w:noProof/>
                <w:sz w:val="16"/>
                <w:szCs w:val="16"/>
                <w:lang w:eastAsia="en-AU"/>
              </w:rPr>
              <w:drawing>
                <wp:inline distT="0" distB="0" distL="0" distR="0" wp14:anchorId="3B5EEF88" wp14:editId="375C8C8E">
                  <wp:extent cx="431800" cy="431800"/>
                  <wp:effectExtent l="0" t="0" r="6350" b="6350"/>
                  <wp:docPr id="55" name="Picture 18" descr="Small circular icon for domain 3 Effectiveness and appropriateness: development process." title="Icon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a:ln>
                            <a:noFill/>
                          </a:ln>
                        </pic:spPr>
                      </pic:pic>
                    </a:graphicData>
                  </a:graphic>
                </wp:inline>
              </w:drawing>
            </w:r>
          </w:p>
          <w:p w14:paraId="5D5826D2" w14:textId="77777777" w:rsidR="005C4AF1" w:rsidRPr="000F4FE4" w:rsidRDefault="001173BD" w:rsidP="00561328">
            <w:pPr>
              <w:spacing w:before="240" w:after="120" w:line="280" w:lineRule="auto"/>
              <w:rPr>
                <w:rFonts w:ascii="Arial" w:hAnsi="Arial"/>
              </w:rPr>
            </w:pPr>
            <w:r>
              <w:rPr>
                <w:rFonts w:ascii="Arial" w:hAnsi="Arial"/>
                <w:b/>
              </w:rPr>
              <w:t xml:space="preserve">3: </w:t>
            </w:r>
            <w:r w:rsidR="005C4AF1" w:rsidRPr="000F4FE4">
              <w:rPr>
                <w:rFonts w:ascii="Arial" w:hAnsi="Arial"/>
                <w:b/>
              </w:rPr>
              <w:t>Effectiveness and appropriateness</w:t>
            </w:r>
            <w:r w:rsidR="005C4AF1" w:rsidRPr="000F4FE4">
              <w:rPr>
                <w:rFonts w:ascii="Arial" w:hAnsi="Arial"/>
              </w:rPr>
              <w:t>: development processes</w:t>
            </w:r>
          </w:p>
          <w:p w14:paraId="19D629A6" w14:textId="77777777" w:rsidR="005C4AF1" w:rsidRPr="000F4FE4" w:rsidRDefault="005C4AF1" w:rsidP="00561328">
            <w:pPr>
              <w:spacing w:before="240" w:after="120" w:line="280" w:lineRule="auto"/>
              <w:rPr>
                <w:rFonts w:ascii="Arial" w:hAnsi="Arial"/>
                <w:noProof/>
                <w:sz w:val="16"/>
                <w:szCs w:val="16"/>
              </w:rPr>
            </w:pPr>
          </w:p>
        </w:tc>
        <w:tc>
          <w:tcPr>
            <w:tcW w:w="747" w:type="pct"/>
            <w:tcBorders>
              <w:left w:val="single" w:sz="4" w:space="0" w:color="FFFFFF"/>
              <w:bottom w:val="single" w:sz="6" w:space="0" w:color="7D7D7D"/>
              <w:right w:val="single" w:sz="4" w:space="0" w:color="FFFFFF"/>
            </w:tcBorders>
          </w:tcPr>
          <w:p w14:paraId="4808733C" w14:textId="77777777" w:rsidR="005C4AF1" w:rsidRPr="000F4FE4" w:rsidRDefault="005C4AF1" w:rsidP="00561328">
            <w:pPr>
              <w:spacing w:before="240" w:after="120" w:line="280" w:lineRule="auto"/>
              <w:rPr>
                <w:rFonts w:ascii="Arial" w:hAnsi="Arial"/>
                <w:b/>
              </w:rPr>
            </w:pPr>
            <w:r>
              <w:rPr>
                <w:rFonts w:ascii="Arial" w:hAnsi="Arial"/>
                <w:b/>
              </w:rPr>
              <w:t>3</w:t>
            </w:r>
            <w:r w:rsidRPr="000F4FE4">
              <w:rPr>
                <w:rFonts w:ascii="Arial" w:hAnsi="Arial"/>
                <w:b/>
              </w:rPr>
              <w:t xml:space="preserve">. How effective was the development of the National Framework and Action Plan?  </w:t>
            </w:r>
          </w:p>
        </w:tc>
        <w:tc>
          <w:tcPr>
            <w:tcW w:w="3315" w:type="pct"/>
            <w:tcBorders>
              <w:left w:val="single" w:sz="4" w:space="0" w:color="FFFFFF"/>
              <w:bottom w:val="single" w:sz="6" w:space="0" w:color="7D7D7D"/>
              <w:right w:val="single" w:sz="4" w:space="0" w:color="FFFFFF"/>
            </w:tcBorders>
          </w:tcPr>
          <w:p w14:paraId="0739ABE7" w14:textId="77777777" w:rsidR="005C4AF1" w:rsidRPr="000F4FE4" w:rsidRDefault="005C4AF1" w:rsidP="00561328">
            <w:pPr>
              <w:spacing w:before="60" w:after="60"/>
              <w:rPr>
                <w:rFonts w:ascii="Arial" w:hAnsi="Arial"/>
              </w:rPr>
            </w:pPr>
            <w:r w:rsidRPr="000F4FE4">
              <w:rPr>
                <w:rFonts w:ascii="Arial" w:hAnsi="Arial"/>
              </w:rPr>
              <w:t>a. How effective and appropriate were the consultations leading up to, and the resulting priorities and actions in the Third and Fourth Action Plans?</w:t>
            </w:r>
          </w:p>
          <w:p w14:paraId="4A846DFF" w14:textId="77777777" w:rsidR="005C4AF1" w:rsidRPr="000F4FE4" w:rsidRDefault="005C4AF1" w:rsidP="00561328">
            <w:pPr>
              <w:spacing w:before="60" w:after="60"/>
              <w:ind w:left="284"/>
              <w:rPr>
                <w:rFonts w:ascii="Arial" w:hAnsi="Arial"/>
              </w:rPr>
            </w:pPr>
            <w:r w:rsidRPr="000F4FE4">
              <w:rPr>
                <w:rFonts w:ascii="Arial" w:hAnsi="Arial"/>
              </w:rPr>
              <w:t>i. Did the development of the priorities and actions in the Third and Fourth Action Plans incorporate lessons learnt from previous action plans?</w:t>
            </w:r>
          </w:p>
          <w:p w14:paraId="557CA880" w14:textId="77777777" w:rsidR="005C4AF1" w:rsidRPr="000F4FE4" w:rsidRDefault="005C4AF1" w:rsidP="00561328">
            <w:pPr>
              <w:spacing w:before="60" w:after="60"/>
              <w:ind w:left="284"/>
              <w:rPr>
                <w:rFonts w:ascii="Arial" w:hAnsi="Arial"/>
              </w:rPr>
            </w:pPr>
            <w:r w:rsidRPr="000F4FE4">
              <w:rPr>
                <w:rFonts w:ascii="Arial" w:hAnsi="Arial"/>
              </w:rPr>
              <w:t xml:space="preserve">ii. Did the priorities and actions in the Third and Fourth Action Plans clearly align with the high-level outcomes of the National Framework? </w:t>
            </w:r>
          </w:p>
          <w:p w14:paraId="2A5920AD" w14:textId="77777777" w:rsidR="005C4AF1" w:rsidRPr="000F4FE4" w:rsidRDefault="005C4AF1" w:rsidP="00561328">
            <w:pPr>
              <w:spacing w:before="60" w:after="60"/>
              <w:rPr>
                <w:rFonts w:ascii="Arial" w:hAnsi="Arial"/>
              </w:rPr>
            </w:pPr>
            <w:r w:rsidRPr="000F4FE4">
              <w:rPr>
                <w:rFonts w:ascii="Arial" w:hAnsi="Arial"/>
              </w:rPr>
              <w:t>b. To what extent were the duration and structure of the National Framework and its Action Plans appropriate?</w:t>
            </w:r>
          </w:p>
          <w:p w14:paraId="38474F16" w14:textId="77777777" w:rsidR="005C4AF1" w:rsidRPr="000F4FE4" w:rsidRDefault="005C4AF1" w:rsidP="00561328">
            <w:pPr>
              <w:spacing w:before="60" w:after="60"/>
              <w:rPr>
                <w:rFonts w:ascii="Arial" w:hAnsi="Arial"/>
              </w:rPr>
            </w:pPr>
            <w:r w:rsidRPr="000F4FE4">
              <w:rPr>
                <w:rFonts w:ascii="Arial" w:hAnsi="Arial"/>
              </w:rPr>
              <w:t>c. How well did the National Framework respond to the Convention on the Rights of the Child?</w:t>
            </w:r>
          </w:p>
          <w:p w14:paraId="22B1C859" w14:textId="77777777" w:rsidR="005C4AF1" w:rsidRPr="000F4FE4" w:rsidRDefault="005C4AF1" w:rsidP="00561328">
            <w:pPr>
              <w:spacing w:before="60" w:after="60"/>
              <w:rPr>
                <w:rFonts w:ascii="Arial" w:hAnsi="Arial"/>
              </w:rPr>
            </w:pPr>
            <w:r w:rsidRPr="000F4FE4">
              <w:rPr>
                <w:rFonts w:ascii="Arial" w:hAnsi="Arial"/>
              </w:rPr>
              <w:t>d. To what extent did the National Framework engage with the public health model and primary prevention activities?</w:t>
            </w:r>
          </w:p>
        </w:tc>
      </w:tr>
    </w:tbl>
    <w:p w14:paraId="0BF50D2B" w14:textId="284E84A7" w:rsidR="005C4AF1" w:rsidRPr="001D3D1F" w:rsidRDefault="005C4AF1" w:rsidP="005C4AF1">
      <w:pPr>
        <w:pStyle w:val="PwCNormal"/>
        <w:numPr>
          <w:ilvl w:val="0"/>
          <w:numId w:val="0"/>
        </w:numPr>
        <w:rPr>
          <w:color w:val="auto"/>
        </w:rPr>
      </w:pPr>
      <w:r w:rsidRPr="001D3D1F">
        <w:rPr>
          <w:color w:val="auto"/>
        </w:rPr>
        <w:t>An evaluation framework was developed to build out each of the evaluation sub-questions and methods by which this evaluation has sought to address the key questions. It is outlined in</w:t>
      </w:r>
      <w:r>
        <w:rPr>
          <w:color w:val="auto"/>
        </w:rPr>
        <w:t xml:space="preserve"> </w:t>
      </w:r>
      <w:r>
        <w:rPr>
          <w:color w:val="auto"/>
        </w:rPr>
        <w:fldChar w:fldCharType="begin"/>
      </w:r>
      <w:r>
        <w:rPr>
          <w:color w:val="auto"/>
        </w:rPr>
        <w:instrText xml:space="preserve"> REF _Ref31230036 \n \h </w:instrText>
      </w:r>
      <w:r>
        <w:rPr>
          <w:color w:val="auto"/>
        </w:rPr>
      </w:r>
      <w:r>
        <w:rPr>
          <w:color w:val="auto"/>
        </w:rPr>
        <w:fldChar w:fldCharType="separate"/>
      </w:r>
      <w:r w:rsidR="00D75351">
        <w:rPr>
          <w:color w:val="auto"/>
        </w:rPr>
        <w:t>Appendix A</w:t>
      </w:r>
      <w:r>
        <w:rPr>
          <w:color w:val="auto"/>
        </w:rPr>
        <w:fldChar w:fldCharType="end"/>
      </w:r>
      <w:r w:rsidRPr="001D3D1F">
        <w:rPr>
          <w:color w:val="auto"/>
        </w:rPr>
        <w:t xml:space="preserve">. </w:t>
      </w:r>
    </w:p>
    <w:p w14:paraId="5306F327" w14:textId="77777777" w:rsidR="005C4AF1" w:rsidRPr="001D3D1F" w:rsidRDefault="0074309D" w:rsidP="005C4AF1">
      <w:pPr>
        <w:pStyle w:val="Heading7"/>
        <w:rPr>
          <w:color w:val="auto"/>
        </w:rPr>
      </w:pPr>
      <w:r>
        <w:rPr>
          <w:color w:val="auto"/>
        </w:rPr>
        <w:lastRenderedPageBreak/>
        <w:t xml:space="preserve">Key methods adopted </w:t>
      </w:r>
    </w:p>
    <w:p w14:paraId="4CAAF26A" w14:textId="77777777" w:rsidR="005C4AF1" w:rsidRPr="001D3D1F" w:rsidRDefault="005C4AF1" w:rsidP="005C4AF1">
      <w:pPr>
        <w:pStyle w:val="PwCNormal"/>
        <w:rPr>
          <w:color w:val="auto"/>
          <w:lang w:val="en-GB"/>
        </w:rPr>
      </w:pPr>
      <w:r w:rsidRPr="001D3D1F">
        <w:rPr>
          <w:color w:val="auto"/>
          <w:lang w:val="en-GB"/>
        </w:rPr>
        <w:t xml:space="preserve">This evaluation was undertaken </w:t>
      </w:r>
      <w:r w:rsidR="00561328">
        <w:rPr>
          <w:color w:val="auto"/>
          <w:lang w:val="en-GB"/>
        </w:rPr>
        <w:t>between late</w:t>
      </w:r>
      <w:r w:rsidRPr="001D3D1F">
        <w:rPr>
          <w:color w:val="auto"/>
          <w:lang w:val="en-GB"/>
        </w:rPr>
        <w:t xml:space="preserve"> 2019</w:t>
      </w:r>
      <w:r w:rsidR="00561328">
        <w:rPr>
          <w:color w:val="auto"/>
          <w:lang w:val="en-GB"/>
        </w:rPr>
        <w:t xml:space="preserve"> and early 2020</w:t>
      </w:r>
      <w:r w:rsidRPr="001D3D1F">
        <w:rPr>
          <w:color w:val="auto"/>
          <w:lang w:val="en-GB"/>
        </w:rPr>
        <w:t>. It has comprised</w:t>
      </w:r>
      <w:r>
        <w:rPr>
          <w:color w:val="auto"/>
          <w:lang w:val="en-GB"/>
        </w:rPr>
        <w:t>:</w:t>
      </w:r>
      <w:r w:rsidRPr="001D3D1F">
        <w:rPr>
          <w:color w:val="auto"/>
          <w:lang w:val="en-GB"/>
        </w:rPr>
        <w:t xml:space="preserve"> </w:t>
      </w:r>
    </w:p>
    <w:p w14:paraId="55229EC7" w14:textId="0ADD7114" w:rsidR="005C4AF1" w:rsidRPr="001D3D1F" w:rsidRDefault="005C4AF1" w:rsidP="005C4AF1">
      <w:pPr>
        <w:pStyle w:val="ListBullet"/>
      </w:pPr>
      <w:r w:rsidRPr="001D3D1F">
        <w:t>a comprehensive nation</w:t>
      </w:r>
      <w:r w:rsidR="003B38FD">
        <w:t>-wide</w:t>
      </w:r>
      <w:r w:rsidRPr="001D3D1F">
        <w:t xml:space="preserve"> and tripartite (Commonwealth Government, state and territory government and non-government) consultation program</w:t>
      </w:r>
    </w:p>
    <w:p w14:paraId="2C322311" w14:textId="77777777" w:rsidR="005C4AF1" w:rsidRPr="001D3D1F" w:rsidRDefault="005C4AF1" w:rsidP="005C4AF1">
      <w:pPr>
        <w:pStyle w:val="ListBullet"/>
      </w:pPr>
      <w:r w:rsidRPr="001D3D1F">
        <w:t>quantitative and qualitative analysis, leveraging a range of existing data and resources</w:t>
      </w:r>
      <w:r w:rsidR="00561328">
        <w:t>.</w:t>
      </w:r>
    </w:p>
    <w:p w14:paraId="1A7816CC" w14:textId="2D879011" w:rsidR="005C4AF1" w:rsidRPr="001D3D1F" w:rsidRDefault="00561328" w:rsidP="005C4AF1">
      <w:pPr>
        <w:pStyle w:val="PwCNormal"/>
        <w:numPr>
          <w:ilvl w:val="0"/>
          <w:numId w:val="0"/>
        </w:numPr>
        <w:rPr>
          <w:color w:val="auto"/>
        </w:rPr>
      </w:pPr>
      <w:r>
        <w:rPr>
          <w:color w:val="auto"/>
        </w:rPr>
        <w:t>DSS selected the stakeholders to be consulted as part of this evaluation, including stakeholders representing a range of</w:t>
      </w:r>
      <w:r w:rsidR="005C4AF1" w:rsidRPr="001D3D1F">
        <w:rPr>
          <w:color w:val="auto"/>
        </w:rPr>
        <w:t xml:space="preserve"> different jurisdictional, sector and issue-based perspectives. A full list of organisations consulted through this evaluation is provided in</w:t>
      </w:r>
      <w:r w:rsidR="005C4AF1">
        <w:rPr>
          <w:color w:val="auto"/>
        </w:rPr>
        <w:t xml:space="preserve"> </w:t>
      </w:r>
      <w:r w:rsidR="005C4AF1">
        <w:rPr>
          <w:color w:val="auto"/>
        </w:rPr>
        <w:fldChar w:fldCharType="begin"/>
      </w:r>
      <w:r w:rsidR="005C4AF1">
        <w:rPr>
          <w:color w:val="auto"/>
        </w:rPr>
        <w:instrText xml:space="preserve"> REF _Ref31230131 \n \h </w:instrText>
      </w:r>
      <w:r w:rsidR="005C4AF1">
        <w:rPr>
          <w:color w:val="auto"/>
        </w:rPr>
      </w:r>
      <w:r w:rsidR="005C4AF1">
        <w:rPr>
          <w:color w:val="auto"/>
        </w:rPr>
        <w:fldChar w:fldCharType="separate"/>
      </w:r>
      <w:r w:rsidR="00D75351">
        <w:rPr>
          <w:color w:val="auto"/>
        </w:rPr>
        <w:t>Appendix D</w:t>
      </w:r>
      <w:r w:rsidR="005C4AF1">
        <w:rPr>
          <w:color w:val="auto"/>
        </w:rPr>
        <w:fldChar w:fldCharType="end"/>
      </w:r>
      <w:r w:rsidR="005C4AF1" w:rsidRPr="001D3D1F">
        <w:rPr>
          <w:color w:val="auto"/>
        </w:rPr>
        <w:t>.</w:t>
      </w:r>
    </w:p>
    <w:p w14:paraId="0C0F5EDD" w14:textId="77777777" w:rsidR="008B22C7" w:rsidRPr="001D3D1F" w:rsidRDefault="008B22C7" w:rsidP="008B22C7">
      <w:pPr>
        <w:pStyle w:val="Heading7"/>
        <w:rPr>
          <w:color w:val="auto"/>
        </w:rPr>
      </w:pPr>
      <w:bookmarkStart w:id="107" w:name="_Ref30453547"/>
      <w:r>
        <w:rPr>
          <w:color w:val="auto"/>
        </w:rPr>
        <w:t>Limitations encountered</w:t>
      </w:r>
    </w:p>
    <w:p w14:paraId="44B6F417" w14:textId="77777777" w:rsidR="008B22C7" w:rsidRPr="008B22C7" w:rsidRDefault="008B22C7" w:rsidP="008B22C7">
      <w:pPr>
        <w:pStyle w:val="PwCNormal"/>
      </w:pPr>
      <w:r>
        <w:t xml:space="preserve">Limitations were </w:t>
      </w:r>
      <w:r w:rsidRPr="008B22C7">
        <w:t>encountered</w:t>
      </w:r>
      <w:r>
        <w:t xml:space="preserve"> throughout the evaluation</w:t>
      </w:r>
      <w:r w:rsidRPr="008B22C7">
        <w:t xml:space="preserve">, that impacted the ability to gather comprehensive evidence and validate findings on particular evaluation questions and sub-questions. These include: </w:t>
      </w:r>
    </w:p>
    <w:p w14:paraId="39BEEBD9" w14:textId="77777777" w:rsidR="008B22C7" w:rsidRPr="008B22C7" w:rsidRDefault="008B22C7" w:rsidP="004A304E">
      <w:pPr>
        <w:pStyle w:val="PwCNormal"/>
        <w:numPr>
          <w:ilvl w:val="0"/>
          <w:numId w:val="0"/>
        </w:numPr>
      </w:pPr>
      <w:r w:rsidRPr="004A304E">
        <w:rPr>
          <w:rFonts w:ascii="Arial" w:hAnsi="Arial" w:cs="Times New Roman"/>
          <w:b/>
          <w:bCs/>
          <w:color w:val="D04A02" w:themeColor="accent1"/>
        </w:rPr>
        <w:t>Evaluating a high-level framework:</w:t>
      </w:r>
      <w:r w:rsidRPr="008B22C7">
        <w:rPr>
          <w:b/>
          <w:bCs/>
        </w:rPr>
        <w:t xml:space="preserve"> </w:t>
      </w:r>
      <w:r w:rsidRPr="008B22C7">
        <w:t xml:space="preserve">The National Framework is a collection of action plans, strategic focus areas, priorities and activities spanning a twelve-year period. Rather than being a single program or a discrete policy, a range of different parties delivered actions broadly aligning to the Framework in a variety of different contexts over time. The individualised nature of these outcomes makes it challenging to attribute outcomes specifically to the National Framework. </w:t>
      </w:r>
    </w:p>
    <w:p w14:paraId="6C6AC756" w14:textId="77777777" w:rsidR="008B22C7" w:rsidRPr="008B22C7" w:rsidRDefault="008B22C7" w:rsidP="004A304E">
      <w:pPr>
        <w:pStyle w:val="PwCNormal"/>
        <w:numPr>
          <w:ilvl w:val="0"/>
          <w:numId w:val="0"/>
        </w:numPr>
      </w:pPr>
      <w:r w:rsidRPr="004A304E">
        <w:rPr>
          <w:rFonts w:ascii="Arial" w:hAnsi="Arial" w:cs="Times New Roman"/>
          <w:b/>
          <w:bCs/>
          <w:color w:val="D04A02" w:themeColor="accent1"/>
        </w:rPr>
        <w:t>Absence of an outcomes measurement framework and a logic model:</w:t>
      </w:r>
      <w:r w:rsidRPr="008B22C7">
        <w:rPr>
          <w:b/>
          <w:bCs/>
        </w:rPr>
        <w:t xml:space="preserve"> </w:t>
      </w:r>
      <w:r w:rsidRPr="008B22C7">
        <w:t xml:space="preserve">While the National Framework identified the high-level outcomes that the parties to the Framework were seeking to achieve, the absence of an evaluation framework affected the ability to measure its effectiveness. A program logic would have outlined how the action plans, strategic focus areas, priorities and actions would collectively deliver on the outcomes. </w:t>
      </w:r>
    </w:p>
    <w:p w14:paraId="576E1079" w14:textId="18AA62C3" w:rsidR="008B22C7" w:rsidRPr="008B22C7" w:rsidRDefault="008B22C7" w:rsidP="004A304E">
      <w:pPr>
        <w:pStyle w:val="PwCNormal"/>
        <w:numPr>
          <w:ilvl w:val="0"/>
          <w:numId w:val="0"/>
        </w:numPr>
      </w:pPr>
      <w:r w:rsidRPr="004A304E">
        <w:rPr>
          <w:rFonts w:ascii="Arial" w:hAnsi="Arial" w:cs="Times New Roman"/>
          <w:b/>
          <w:bCs/>
          <w:color w:val="D04A02" w:themeColor="accent1"/>
        </w:rPr>
        <w:t>Undertaking elements of a process evaluation after significant time had passed:</w:t>
      </w:r>
      <w:r w:rsidRPr="008B22C7">
        <w:t xml:space="preserve"> Undertaking an evaluation of the Third and Fourth Action Plans became difficult, as many of the stakeholders consulted were not able to provide detailed commentary due to the time that had </w:t>
      </w:r>
      <w:r w:rsidR="004D0CEB">
        <w:t>elapsed</w:t>
      </w:r>
      <w:r w:rsidRPr="008B22C7">
        <w:t xml:space="preserve">. They had either commenced in their roles after the action plans were developed or were not able to recall specific details.  </w:t>
      </w:r>
    </w:p>
    <w:p w14:paraId="66AC99FC" w14:textId="5E39E9E3" w:rsidR="004A304E" w:rsidRPr="004127DC" w:rsidRDefault="008B22C7" w:rsidP="004A304E">
      <w:pPr>
        <w:pStyle w:val="PwCNormal"/>
        <w:numPr>
          <w:ilvl w:val="0"/>
          <w:numId w:val="0"/>
        </w:numPr>
      </w:pPr>
      <w:r w:rsidRPr="004A304E">
        <w:rPr>
          <w:rFonts w:ascii="Arial" w:hAnsi="Arial" w:cs="Times New Roman"/>
          <w:b/>
          <w:bCs/>
          <w:color w:val="D04A02" w:themeColor="accent1"/>
        </w:rPr>
        <w:t xml:space="preserve">Lack of available data and evidence: </w:t>
      </w:r>
      <w:r w:rsidRPr="004127DC">
        <w:t xml:space="preserve">While there have been significant efforts over the life of the Framework to improve data collection on the safety and wellbeing of Australia’s children, challenges exist preventing the comparability of data across jurisdictions.  The lack of a prevalence study of child abuse and neglect resulted in an inability to make conclusive findings on whether the National Framework achieved its intended outcomes. </w:t>
      </w:r>
    </w:p>
    <w:p w14:paraId="069C4C9D" w14:textId="77777777" w:rsidR="005C4AF1" w:rsidRPr="008552A8" w:rsidRDefault="005C4AF1" w:rsidP="004A304E">
      <w:pPr>
        <w:pStyle w:val="PwCNormal"/>
        <w:numPr>
          <w:ilvl w:val="0"/>
          <w:numId w:val="0"/>
        </w:numPr>
      </w:pPr>
      <w:r w:rsidRPr="008552A8">
        <w:t xml:space="preserve">Stakeholders were contacted by PwC and PIC to seek their engagement and were provided with an information sheet ahead of interviews that outlined the scope of this evaluation and the key questions to be raised through consultations. Consultations were run as semi-structured interviews against key questions </w:t>
      </w:r>
      <w:r w:rsidR="0074309D" w:rsidRPr="008552A8">
        <w:t>and sub-questions in the</w:t>
      </w:r>
      <w:r w:rsidRPr="008552A8">
        <w:t xml:space="preserve"> evaluation framework and were led by a senior member of the PwC and PIC team. </w:t>
      </w:r>
    </w:p>
    <w:p w14:paraId="3533E460" w14:textId="77777777" w:rsidR="005C4AF1" w:rsidRPr="001D3D1F" w:rsidRDefault="005C4AF1" w:rsidP="004A304E">
      <w:pPr>
        <w:pStyle w:val="Heading7"/>
        <w:numPr>
          <w:ilvl w:val="0"/>
          <w:numId w:val="0"/>
        </w:numPr>
        <w:rPr>
          <w:color w:val="auto"/>
          <w:lang w:val="en-GB"/>
        </w:rPr>
      </w:pPr>
      <w:bookmarkStart w:id="108" w:name="_Ref30758263"/>
      <w:r w:rsidRPr="001D3D1F">
        <w:rPr>
          <w:color w:val="auto"/>
          <w:lang w:val="en-GB"/>
        </w:rPr>
        <w:t>Capture and analysis of data</w:t>
      </w:r>
      <w:bookmarkEnd w:id="108"/>
    </w:p>
    <w:p w14:paraId="22CCF957" w14:textId="77777777" w:rsidR="005E3A69" w:rsidRDefault="005C4AF1" w:rsidP="004A304E">
      <w:pPr>
        <w:pStyle w:val="PwCNormal"/>
        <w:numPr>
          <w:ilvl w:val="0"/>
          <w:numId w:val="0"/>
        </w:numPr>
        <w:rPr>
          <w:color w:val="auto"/>
          <w:lang w:val="en-GB"/>
        </w:rPr>
      </w:pPr>
      <w:r w:rsidRPr="001D3D1F">
        <w:rPr>
          <w:color w:val="auto"/>
          <w:lang w:val="en-GB"/>
        </w:rPr>
        <w:t xml:space="preserve">To support the capture and consistent analysis of information collected through this evaluation, a data tool </w:t>
      </w:r>
      <w:r>
        <w:rPr>
          <w:color w:val="auto"/>
          <w:lang w:val="en-GB"/>
        </w:rPr>
        <w:t xml:space="preserve">was developed to input </w:t>
      </w:r>
      <w:r w:rsidRPr="001D3D1F">
        <w:rPr>
          <w:color w:val="auto"/>
          <w:lang w:val="en-GB"/>
        </w:rPr>
        <w:t xml:space="preserve">stakeholder responses </w:t>
      </w:r>
      <w:r>
        <w:rPr>
          <w:color w:val="auto"/>
          <w:lang w:val="en-GB"/>
        </w:rPr>
        <w:t xml:space="preserve">(representing organisations) </w:t>
      </w:r>
      <w:r w:rsidRPr="001D3D1F">
        <w:rPr>
          <w:color w:val="auto"/>
          <w:lang w:val="en-GB"/>
        </w:rPr>
        <w:t xml:space="preserve">to evaluation questions and </w:t>
      </w:r>
      <w:r>
        <w:rPr>
          <w:color w:val="auto"/>
          <w:lang w:val="en-GB"/>
        </w:rPr>
        <w:t xml:space="preserve">develop </w:t>
      </w:r>
      <w:r w:rsidRPr="001D3D1F">
        <w:rPr>
          <w:color w:val="auto"/>
          <w:lang w:val="en-GB"/>
        </w:rPr>
        <w:t xml:space="preserve">common themes. Categorisation was undertaken in two </w:t>
      </w:r>
      <w:r>
        <w:rPr>
          <w:color w:val="auto"/>
          <w:lang w:val="en-GB"/>
        </w:rPr>
        <w:t>stage</w:t>
      </w:r>
      <w:r w:rsidRPr="001D3D1F">
        <w:rPr>
          <w:color w:val="auto"/>
          <w:lang w:val="en-GB"/>
        </w:rPr>
        <w:t>s</w:t>
      </w:r>
      <w:r>
        <w:rPr>
          <w:color w:val="auto"/>
          <w:lang w:val="en-GB"/>
        </w:rPr>
        <w:t>; first,</w:t>
      </w:r>
      <w:r w:rsidRPr="001D3D1F">
        <w:rPr>
          <w:color w:val="auto"/>
          <w:lang w:val="en-GB"/>
        </w:rPr>
        <w:t xml:space="preserve"> an initial categorisation to understand emerging themes</w:t>
      </w:r>
      <w:r>
        <w:rPr>
          <w:color w:val="auto"/>
          <w:lang w:val="en-GB"/>
        </w:rPr>
        <w:t>,</w:t>
      </w:r>
      <w:r w:rsidRPr="001D3D1F">
        <w:rPr>
          <w:color w:val="auto"/>
          <w:lang w:val="en-GB"/>
        </w:rPr>
        <w:t xml:space="preserve"> and a second categorisation to refine themes and develop findings. </w:t>
      </w:r>
    </w:p>
    <w:p w14:paraId="2C863681" w14:textId="7CD47145" w:rsidR="005C4AF1" w:rsidRDefault="005C4AF1" w:rsidP="004A304E">
      <w:pPr>
        <w:pStyle w:val="PwCNormal"/>
        <w:numPr>
          <w:ilvl w:val="0"/>
          <w:numId w:val="0"/>
        </w:numPr>
        <w:rPr>
          <w:color w:val="auto"/>
          <w:lang w:val="en-GB"/>
        </w:rPr>
      </w:pPr>
      <w:r w:rsidRPr="001D3D1F">
        <w:rPr>
          <w:color w:val="auto"/>
          <w:lang w:val="en-GB"/>
        </w:rPr>
        <w:t xml:space="preserve">Perspectives presented in this report have been validated by cross-referencing this data tool against other </w:t>
      </w:r>
      <w:r>
        <w:rPr>
          <w:color w:val="auto"/>
          <w:lang w:val="en-GB"/>
        </w:rPr>
        <w:t>organisation’s</w:t>
      </w:r>
      <w:r w:rsidRPr="001D3D1F">
        <w:rPr>
          <w:color w:val="auto"/>
          <w:lang w:val="en-GB"/>
        </w:rPr>
        <w:t xml:space="preserve"> perspectives</w:t>
      </w:r>
      <w:r>
        <w:rPr>
          <w:color w:val="auto"/>
          <w:lang w:val="en-GB"/>
        </w:rPr>
        <w:t xml:space="preserve"> and to assess the extent to which organisations expressed the same or similar viewpoints. The data tools used as part of this analysis are shown in </w:t>
      </w:r>
      <w:r>
        <w:rPr>
          <w:color w:val="auto"/>
          <w:lang w:val="en-GB"/>
        </w:rPr>
        <w:fldChar w:fldCharType="begin"/>
      </w:r>
      <w:r>
        <w:rPr>
          <w:color w:val="auto"/>
          <w:lang w:val="en-GB"/>
        </w:rPr>
        <w:instrText xml:space="preserve"> REF _Ref36631028 \n \h </w:instrText>
      </w:r>
      <w:r>
        <w:rPr>
          <w:color w:val="auto"/>
          <w:lang w:val="en-GB"/>
        </w:rPr>
      </w:r>
      <w:r>
        <w:rPr>
          <w:color w:val="auto"/>
          <w:lang w:val="en-GB"/>
        </w:rPr>
        <w:fldChar w:fldCharType="separate"/>
      </w:r>
      <w:r w:rsidR="00D75351">
        <w:rPr>
          <w:color w:val="auto"/>
          <w:lang w:val="en-GB"/>
        </w:rPr>
        <w:t>Appendix A</w:t>
      </w:r>
      <w:r>
        <w:rPr>
          <w:color w:val="auto"/>
          <w:lang w:val="en-GB"/>
        </w:rPr>
        <w:fldChar w:fldCharType="end"/>
      </w:r>
      <w:r>
        <w:rPr>
          <w:color w:val="auto"/>
          <w:lang w:val="en-GB"/>
        </w:rPr>
        <w:t xml:space="preserve"> of this report. </w:t>
      </w:r>
    </w:p>
    <w:p w14:paraId="33E5B9AC" w14:textId="77777777" w:rsidR="005C4AF1" w:rsidRDefault="005C4AF1" w:rsidP="005C4AF1">
      <w:pPr>
        <w:pStyle w:val="PwCNormal"/>
        <w:rPr>
          <w:color w:val="auto"/>
          <w:lang w:val="en-GB"/>
        </w:rPr>
      </w:pPr>
      <w:r>
        <w:rPr>
          <w:color w:val="auto"/>
          <w:lang w:val="en-GB"/>
        </w:rPr>
        <w:t xml:space="preserve">Limitations </w:t>
      </w:r>
      <w:r w:rsidR="005E3A69">
        <w:rPr>
          <w:color w:val="auto"/>
          <w:lang w:val="en-GB"/>
        </w:rPr>
        <w:t>associated with</w:t>
      </w:r>
      <w:r>
        <w:rPr>
          <w:color w:val="auto"/>
          <w:lang w:val="en-GB"/>
        </w:rPr>
        <w:t xml:space="preserve"> the stakeholder consultations are noted in the Executive Summary. </w:t>
      </w:r>
    </w:p>
    <w:p w14:paraId="3A67F1B4" w14:textId="2C59D405" w:rsidR="00141EA1" w:rsidRDefault="00141EA1" w:rsidP="00B95734">
      <w:pPr>
        <w:pStyle w:val="Heading2"/>
        <w:numPr>
          <w:ilvl w:val="1"/>
          <w:numId w:val="43"/>
        </w:numPr>
      </w:pPr>
      <w:bookmarkStart w:id="109" w:name="_Toc42842757"/>
      <w:bookmarkStart w:id="110" w:name="_Ref36840432"/>
      <w:bookmarkStart w:id="111" w:name="_Ref36840445"/>
      <w:bookmarkStart w:id="112" w:name="_Toc42847837"/>
      <w:bookmarkStart w:id="113" w:name="_Ref42850670"/>
      <w:bookmarkEnd w:id="107"/>
      <w:r>
        <w:lastRenderedPageBreak/>
        <w:t>Background</w:t>
      </w:r>
      <w:bookmarkEnd w:id="109"/>
      <w:bookmarkEnd w:id="110"/>
      <w:bookmarkEnd w:id="111"/>
      <w:bookmarkEnd w:id="112"/>
      <w:bookmarkEnd w:id="113"/>
      <w:r>
        <w:t xml:space="preserve"> </w:t>
      </w:r>
    </w:p>
    <w:p w14:paraId="40B060FB" w14:textId="77777777" w:rsidR="00141EA1" w:rsidRDefault="00141EA1" w:rsidP="00141EA1">
      <w:pPr>
        <w:pStyle w:val="PwCNormal"/>
        <w:spacing w:before="0" w:after="240" w:line="240" w:lineRule="auto"/>
        <w:ind w:left="454"/>
      </w:pPr>
    </w:p>
    <w:p w14:paraId="498547D0" w14:textId="77777777" w:rsidR="00141EA1" w:rsidRDefault="00141EA1" w:rsidP="00141EA1">
      <w:pPr>
        <w:pStyle w:val="PwCNormal"/>
        <w:spacing w:before="0" w:after="240" w:line="240" w:lineRule="auto"/>
        <w:ind w:left="454"/>
      </w:pPr>
      <w:r>
        <w:rPr>
          <w:noProof/>
          <w:lang w:eastAsia="en-AU"/>
        </w:rPr>
        <mc:AlternateContent>
          <mc:Choice Requires="wps">
            <w:drawing>
              <wp:anchor distT="45720" distB="45720" distL="114300" distR="114300" simplePos="0" relativeHeight="251674624" behindDoc="0" locked="0" layoutInCell="1" allowOverlap="1" wp14:anchorId="6A771217" wp14:editId="74FDEDDE">
                <wp:simplePos x="0" y="0"/>
                <wp:positionH relativeFrom="column">
                  <wp:posOffset>1351915</wp:posOffset>
                </wp:positionH>
                <wp:positionV relativeFrom="paragraph">
                  <wp:posOffset>334010</wp:posOffset>
                </wp:positionV>
                <wp:extent cx="4419600" cy="411480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4114800"/>
                        </a:xfrm>
                        <a:prstGeom prst="rect">
                          <a:avLst/>
                        </a:prstGeom>
                        <a:solidFill>
                          <a:schemeClr val="accent1"/>
                        </a:solidFill>
                        <a:ln w="9525">
                          <a:noFill/>
                          <a:miter lim="800000"/>
                          <a:headEnd/>
                          <a:tailEnd/>
                        </a:ln>
                      </wps:spPr>
                      <wps:txbx>
                        <w:txbxContent>
                          <w:p w14:paraId="408541D0" w14:textId="77777777" w:rsidR="0080000B" w:rsidRPr="008552A8" w:rsidRDefault="0080000B" w:rsidP="00141EA1">
                            <w:pPr>
                              <w:pStyle w:val="Divider1SubHeading"/>
                              <w:shd w:val="clear" w:color="auto" w:fill="D04A02" w:themeFill="accent1"/>
                              <w:rPr>
                                <w:rFonts w:asciiTheme="majorHAnsi" w:hAnsiTheme="majorHAnsi"/>
                                <w:i w:val="0"/>
                                <w:iCs/>
                              </w:rPr>
                            </w:pPr>
                            <w:r w:rsidRPr="008552A8">
                              <w:rPr>
                                <w:rFonts w:asciiTheme="majorHAnsi" w:hAnsiTheme="majorHAnsi"/>
                                <w:i w:val="0"/>
                                <w:iCs/>
                              </w:rPr>
                              <w:t>This chapter covers…</w:t>
                            </w:r>
                          </w:p>
                          <w:p w14:paraId="533AA626" w14:textId="77777777" w:rsidR="0080000B" w:rsidRPr="008552A8" w:rsidRDefault="0080000B" w:rsidP="00B95734">
                            <w:pPr>
                              <w:pStyle w:val="Divider1Text"/>
                              <w:numPr>
                                <w:ilvl w:val="0"/>
                                <w:numId w:val="45"/>
                              </w:numPr>
                              <w:shd w:val="clear" w:color="auto" w:fill="D04A02" w:themeFill="accent1"/>
                              <w:spacing w:before="60" w:after="60" w:line="200" w:lineRule="atLeast"/>
                              <w:ind w:left="714" w:hanging="357"/>
                              <w:rPr>
                                <w:rFonts w:cstheme="minorHAnsi"/>
                                <w:iCs/>
                              </w:rPr>
                            </w:pPr>
                            <w:r w:rsidRPr="008552A8">
                              <w:rPr>
                                <w:rFonts w:cstheme="minorHAnsi"/>
                                <w:iCs/>
                              </w:rPr>
                              <w:t>contextual background to this evaluation including</w:t>
                            </w:r>
                          </w:p>
                          <w:p w14:paraId="0C04D4A1" w14:textId="3D76406A" w:rsidR="0080000B" w:rsidRPr="008552A8" w:rsidRDefault="0080000B" w:rsidP="00B95734">
                            <w:pPr>
                              <w:pStyle w:val="Divider1Text"/>
                              <w:numPr>
                                <w:ilvl w:val="1"/>
                                <w:numId w:val="45"/>
                              </w:numPr>
                              <w:shd w:val="clear" w:color="auto" w:fill="D04A02" w:themeFill="accent1"/>
                              <w:spacing w:before="60" w:after="60" w:line="200" w:lineRule="atLeast"/>
                              <w:rPr>
                                <w:rFonts w:cstheme="minorHAnsi"/>
                                <w:iCs/>
                              </w:rPr>
                            </w:pPr>
                            <w:r w:rsidRPr="008552A8">
                              <w:rPr>
                                <w:rFonts w:cstheme="minorHAnsi"/>
                                <w:iCs/>
                              </w:rPr>
                              <w:t>the purpose of the National Framework for Protecting Australia’s Children 2009-2020</w:t>
                            </w:r>
                          </w:p>
                          <w:p w14:paraId="305DC948" w14:textId="77777777" w:rsidR="0080000B" w:rsidRPr="008552A8" w:rsidRDefault="0080000B" w:rsidP="00B95734">
                            <w:pPr>
                              <w:pStyle w:val="Divider1Text"/>
                              <w:numPr>
                                <w:ilvl w:val="1"/>
                                <w:numId w:val="45"/>
                              </w:numPr>
                              <w:shd w:val="clear" w:color="auto" w:fill="D04A02" w:themeFill="accent1"/>
                              <w:spacing w:before="60" w:after="60" w:line="200" w:lineRule="atLeast"/>
                              <w:rPr>
                                <w:rFonts w:cstheme="minorHAnsi"/>
                                <w:iCs/>
                              </w:rPr>
                            </w:pPr>
                            <w:r w:rsidRPr="008552A8">
                              <w:rPr>
                                <w:rFonts w:cstheme="minorHAnsi"/>
                                <w:iCs/>
                              </w:rPr>
                              <w:t xml:space="preserve">as well as its structure including its governance and action plans </w:t>
                            </w:r>
                          </w:p>
                          <w:p w14:paraId="18FF89C1" w14:textId="77777777" w:rsidR="0080000B" w:rsidRPr="008552A8" w:rsidRDefault="0080000B" w:rsidP="00B95734">
                            <w:pPr>
                              <w:pStyle w:val="Divider1Text"/>
                              <w:numPr>
                                <w:ilvl w:val="1"/>
                                <w:numId w:val="45"/>
                              </w:numPr>
                              <w:shd w:val="clear" w:color="auto" w:fill="D04A02" w:themeFill="accent1"/>
                              <w:spacing w:before="60" w:after="60" w:line="200" w:lineRule="atLeast"/>
                              <w:rPr>
                                <w:rFonts w:cstheme="minorHAnsi"/>
                                <w:iCs/>
                              </w:rPr>
                            </w:pPr>
                            <w:r w:rsidRPr="008552A8">
                              <w:rPr>
                                <w:rFonts w:cstheme="minorHAnsi"/>
                                <w:iCs/>
                              </w:rPr>
                              <w:t>expenditure and statistics on children’s safety and wellbeing over the operation of the Framework.</w:t>
                            </w:r>
                          </w:p>
                          <w:p w14:paraId="1E54663D" w14:textId="77777777" w:rsidR="0080000B" w:rsidRPr="00620786" w:rsidRDefault="0080000B" w:rsidP="005C4AF1">
                            <w:pPr>
                              <w:pStyle w:val="Divider1Text"/>
                              <w:shd w:val="clear" w:color="auto" w:fill="D04A02" w:themeFill="accent1"/>
                              <w:spacing w:before="60" w:after="60" w:line="200" w:lineRule="atLeast"/>
                              <w:ind w:left="1080"/>
                              <w:rPr>
                                <w:rFonts w:asciiTheme="majorHAnsi" w:hAnsiTheme="majorHAnsi"/>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71217" id="_x0000_s1027" type="#_x0000_t202" style="position:absolute;left:0;text-align:left;margin-left:106.45pt;margin-top:26.3pt;width:348pt;height:32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" fillcolor="#d04a02 [3204]" stroked="f">
                <v:textbox>
                  <w:txbxContent>
                    <w:p w14:paraId="408541D0" w14:textId="77777777" w:rsidR="0080000B" w:rsidRPr="008552A8" w:rsidRDefault="0080000B" w:rsidP="00141EA1">
                      <w:pPr>
                        <w:pStyle w:val="Divider1SubHeading"/>
                        <w:shd w:val="clear" w:color="auto" w:fill="D04A02" w:themeFill="accent1"/>
                        <w:rPr>
                          <w:rFonts w:asciiTheme="majorHAnsi" w:hAnsiTheme="majorHAnsi"/>
                          <w:i w:val="0"/>
                          <w:iCs/>
                        </w:rPr>
                      </w:pPr>
                      <w:r w:rsidRPr="008552A8">
                        <w:rPr>
                          <w:rFonts w:asciiTheme="majorHAnsi" w:hAnsiTheme="majorHAnsi"/>
                          <w:i w:val="0"/>
                          <w:iCs/>
                        </w:rPr>
                        <w:t>This chapter covers…</w:t>
                      </w:r>
                    </w:p>
                    <w:p w14:paraId="533AA626" w14:textId="77777777" w:rsidR="0080000B" w:rsidRPr="008552A8" w:rsidRDefault="0080000B" w:rsidP="00B95734">
                      <w:pPr>
                        <w:pStyle w:val="Divider1Text"/>
                        <w:numPr>
                          <w:ilvl w:val="0"/>
                          <w:numId w:val="45"/>
                        </w:numPr>
                        <w:shd w:val="clear" w:color="auto" w:fill="D04A02" w:themeFill="accent1"/>
                        <w:spacing w:before="60" w:after="60" w:line="200" w:lineRule="atLeast"/>
                        <w:ind w:left="714" w:hanging="357"/>
                        <w:rPr>
                          <w:rFonts w:cstheme="minorHAnsi"/>
                          <w:iCs/>
                        </w:rPr>
                      </w:pPr>
                      <w:r w:rsidRPr="008552A8">
                        <w:rPr>
                          <w:rFonts w:cstheme="minorHAnsi"/>
                          <w:iCs/>
                        </w:rPr>
                        <w:t>contextual background to this evaluation including</w:t>
                      </w:r>
                    </w:p>
                    <w:p w14:paraId="0C04D4A1" w14:textId="3D76406A" w:rsidR="0080000B" w:rsidRPr="008552A8" w:rsidRDefault="0080000B" w:rsidP="00B95734">
                      <w:pPr>
                        <w:pStyle w:val="Divider1Text"/>
                        <w:numPr>
                          <w:ilvl w:val="1"/>
                          <w:numId w:val="45"/>
                        </w:numPr>
                        <w:shd w:val="clear" w:color="auto" w:fill="D04A02" w:themeFill="accent1"/>
                        <w:spacing w:before="60" w:after="60" w:line="200" w:lineRule="atLeast"/>
                        <w:rPr>
                          <w:rFonts w:cstheme="minorHAnsi"/>
                          <w:iCs/>
                        </w:rPr>
                      </w:pPr>
                      <w:r w:rsidRPr="008552A8">
                        <w:rPr>
                          <w:rFonts w:cstheme="minorHAnsi"/>
                          <w:iCs/>
                        </w:rPr>
                        <w:t>the purpose of the National Framework for Protecting Australia’s Children 2009-2020</w:t>
                      </w:r>
                    </w:p>
                    <w:p w14:paraId="305DC948" w14:textId="77777777" w:rsidR="0080000B" w:rsidRPr="008552A8" w:rsidRDefault="0080000B" w:rsidP="00B95734">
                      <w:pPr>
                        <w:pStyle w:val="Divider1Text"/>
                        <w:numPr>
                          <w:ilvl w:val="1"/>
                          <w:numId w:val="45"/>
                        </w:numPr>
                        <w:shd w:val="clear" w:color="auto" w:fill="D04A02" w:themeFill="accent1"/>
                        <w:spacing w:before="60" w:after="60" w:line="200" w:lineRule="atLeast"/>
                        <w:rPr>
                          <w:rFonts w:cstheme="minorHAnsi"/>
                          <w:iCs/>
                        </w:rPr>
                      </w:pPr>
                      <w:r w:rsidRPr="008552A8">
                        <w:rPr>
                          <w:rFonts w:cstheme="minorHAnsi"/>
                          <w:iCs/>
                        </w:rPr>
                        <w:t xml:space="preserve">as well as its structure including its governance and action plans </w:t>
                      </w:r>
                    </w:p>
                    <w:p w14:paraId="18FF89C1" w14:textId="77777777" w:rsidR="0080000B" w:rsidRPr="008552A8" w:rsidRDefault="0080000B" w:rsidP="00B95734">
                      <w:pPr>
                        <w:pStyle w:val="Divider1Text"/>
                        <w:numPr>
                          <w:ilvl w:val="1"/>
                          <w:numId w:val="45"/>
                        </w:numPr>
                        <w:shd w:val="clear" w:color="auto" w:fill="D04A02" w:themeFill="accent1"/>
                        <w:spacing w:before="60" w:after="60" w:line="200" w:lineRule="atLeast"/>
                        <w:rPr>
                          <w:rFonts w:cstheme="minorHAnsi"/>
                          <w:iCs/>
                        </w:rPr>
                      </w:pPr>
                      <w:r w:rsidRPr="008552A8">
                        <w:rPr>
                          <w:rFonts w:cstheme="minorHAnsi"/>
                          <w:iCs/>
                        </w:rPr>
                        <w:t>expenditure and statistics on children’s safety and wellbeing over the operation of the Framework.</w:t>
                      </w:r>
                    </w:p>
                    <w:p w14:paraId="1E54663D" w14:textId="77777777" w:rsidR="0080000B" w:rsidRPr="00620786" w:rsidRDefault="0080000B" w:rsidP="005C4AF1">
                      <w:pPr>
                        <w:pStyle w:val="Divider1Text"/>
                        <w:shd w:val="clear" w:color="auto" w:fill="D04A02" w:themeFill="accent1"/>
                        <w:spacing w:before="60" w:after="60" w:line="200" w:lineRule="atLeast"/>
                        <w:ind w:left="1080"/>
                        <w:rPr>
                          <w:rFonts w:asciiTheme="majorHAnsi" w:hAnsiTheme="majorHAnsi"/>
                          <w:i/>
                        </w:rPr>
                      </w:pPr>
                    </w:p>
                  </w:txbxContent>
                </v:textbox>
                <w10:wrap type="square"/>
              </v:shape>
            </w:pict>
          </mc:Fallback>
        </mc:AlternateContent>
      </w:r>
      <w:r>
        <w:br w:type="page"/>
      </w:r>
    </w:p>
    <w:p w14:paraId="1920CD1B" w14:textId="77777777" w:rsidR="001E4CC4" w:rsidRDefault="001E4CC4" w:rsidP="00B95734">
      <w:pPr>
        <w:pStyle w:val="Heading6"/>
        <w:numPr>
          <w:ilvl w:val="2"/>
          <w:numId w:val="43"/>
        </w:numPr>
      </w:pPr>
      <w:bookmarkStart w:id="114" w:name="_Toc42847838"/>
      <w:bookmarkEnd w:id="96"/>
      <w:bookmarkEnd w:id="97"/>
      <w:bookmarkEnd w:id="98"/>
      <w:bookmarkEnd w:id="99"/>
      <w:r>
        <w:lastRenderedPageBreak/>
        <w:t>Overview of the National Framework for Protecting Australia’s Children 2009-2020</w:t>
      </w:r>
      <w:bookmarkEnd w:id="114"/>
    </w:p>
    <w:p w14:paraId="1A6956C8" w14:textId="7EF2F178" w:rsidR="00BF2793" w:rsidRDefault="00BF2793" w:rsidP="00BF2793">
      <w:pPr>
        <w:pStyle w:val="PwCNormal"/>
      </w:pPr>
      <w:r w:rsidRPr="00424472">
        <w:t>The National Framework is an initiative of COAG.</w:t>
      </w:r>
      <w:r>
        <w:t xml:space="preserve"> Endorsed in 2009, the National Framework sets out a vision for an integrated approach to protecting the safety and well-being of Australia’s children. </w:t>
      </w:r>
      <w:r w:rsidRPr="00B2557A">
        <w:t xml:space="preserve">It </w:t>
      </w:r>
      <w:r>
        <w:t xml:space="preserve">brings together </w:t>
      </w:r>
      <w:r w:rsidRPr="00B2557A">
        <w:t>the Commonwealth, state and territory governments and the non-government sector</w:t>
      </w:r>
      <w:r>
        <w:t xml:space="preserve"> who share responsibility for delivering safety and well-being services. </w:t>
      </w:r>
    </w:p>
    <w:p w14:paraId="5633058E" w14:textId="77777777" w:rsidR="008305B1" w:rsidRPr="004A304E" w:rsidRDefault="00BF2793" w:rsidP="00BF2793">
      <w:pPr>
        <w:pStyle w:val="PwCNormal"/>
      </w:pPr>
      <w:r w:rsidRPr="00EA5248">
        <w:t xml:space="preserve">The </w:t>
      </w:r>
      <w:r w:rsidRPr="004A304E">
        <w:t xml:space="preserve">Framework is structured around the singular high-level outcome that ‘Australia’s children and young people are safe and well’, delivered through the ‘substantial and sustained reduction in child abuse and neglect in Australia over time’. </w:t>
      </w:r>
    </w:p>
    <w:p w14:paraId="7E68FCB0" w14:textId="49523725" w:rsidR="009D204E" w:rsidRPr="004A304E" w:rsidRDefault="008305B1" w:rsidP="009D204E">
      <w:pPr>
        <w:pStyle w:val="PwCNormal"/>
      </w:pPr>
      <w:r w:rsidRPr="004A304E">
        <w:t xml:space="preserve">The high-level outcome is </w:t>
      </w:r>
      <w:r w:rsidRPr="00935AC0">
        <w:t>recognised as an ambitious target</w:t>
      </w:r>
      <w:r w:rsidR="003B38FD" w:rsidRPr="00935AC0">
        <w:t>. A target</w:t>
      </w:r>
      <w:r w:rsidRPr="00935AC0">
        <w:t xml:space="preserve"> that sought to engage stakeholders across the sector, jurisdictions and policy areas to address the intractable challenges associated with</w:t>
      </w:r>
      <w:r w:rsidR="003B38FD" w:rsidRPr="000472C3">
        <w:t xml:space="preserve"> reducing</w:t>
      </w:r>
      <w:r w:rsidRPr="000472C3">
        <w:t xml:space="preserve"> child abuse and neglect</w:t>
      </w:r>
      <w:r w:rsidR="009D204E" w:rsidRPr="004A304E">
        <w:t>.</w:t>
      </w:r>
      <w:r w:rsidR="009D204E" w:rsidRPr="004A304E">
        <w:rPr>
          <w:rStyle w:val="FootnoteReference"/>
        </w:rPr>
        <w:footnoteReference w:id="10"/>
      </w:r>
      <w:r w:rsidR="009D204E" w:rsidRPr="004A304E">
        <w:t xml:space="preserve"> The Framework was developed as a mechanism to deliver a collaborative environment and with an ambitious goal to influence system-level change and reduce child abuse and neglect. </w:t>
      </w:r>
    </w:p>
    <w:p w14:paraId="1CB2DF8E" w14:textId="77777777" w:rsidR="00BF2793" w:rsidRPr="004A304E" w:rsidRDefault="00BF2793" w:rsidP="00BF2793">
      <w:pPr>
        <w:pStyle w:val="PwCNormal"/>
      </w:pPr>
      <w:r w:rsidRPr="004A304E">
        <w:t xml:space="preserve">To support delivery against the target, the Framework comprises of six supporting outcomes, which are in turn measured through progress indicators that have evolved over the life of the Framework. </w:t>
      </w:r>
    </w:p>
    <w:p w14:paraId="1537088E" w14:textId="77777777" w:rsidR="00BF2793" w:rsidRPr="00F065BC" w:rsidRDefault="00BF2793" w:rsidP="00BF2793">
      <w:pPr>
        <w:spacing w:line="240" w:lineRule="auto"/>
        <w:rPr>
          <w:rFonts w:cstheme="minorHAnsi"/>
          <w:szCs w:val="22"/>
        </w:rPr>
      </w:pPr>
      <w:r w:rsidRPr="004A304E">
        <w:rPr>
          <w:rFonts w:cstheme="minorHAnsi"/>
          <w:szCs w:val="22"/>
        </w:rPr>
        <w:t>The six supporting outcomes are:</w:t>
      </w:r>
    </w:p>
    <w:p w14:paraId="7B4FEB60" w14:textId="77777777" w:rsidR="00BF2793" w:rsidRPr="00F065BC" w:rsidRDefault="00BF2793" w:rsidP="00B95734">
      <w:pPr>
        <w:pStyle w:val="ChapterNumberedList1"/>
        <w:numPr>
          <w:ilvl w:val="7"/>
          <w:numId w:val="43"/>
        </w:numPr>
      </w:pPr>
      <w:r w:rsidRPr="00F065BC">
        <w:t>Children live in safe and supportive families and communities</w:t>
      </w:r>
      <w:r>
        <w:t>.</w:t>
      </w:r>
    </w:p>
    <w:p w14:paraId="4405C021" w14:textId="77777777" w:rsidR="00BF2793" w:rsidRPr="00F065BC" w:rsidRDefault="00BF2793" w:rsidP="00B95734">
      <w:pPr>
        <w:pStyle w:val="ChapterNumberedList1"/>
        <w:numPr>
          <w:ilvl w:val="7"/>
          <w:numId w:val="43"/>
        </w:numPr>
      </w:pPr>
      <w:r w:rsidRPr="00F065BC">
        <w:t>Children and families access adequate support to promote safety and intervene early</w:t>
      </w:r>
      <w:r>
        <w:t>.</w:t>
      </w:r>
    </w:p>
    <w:p w14:paraId="2BA88E60" w14:textId="77777777" w:rsidR="00BF2793" w:rsidRPr="00F065BC" w:rsidRDefault="00BF2793" w:rsidP="00B95734">
      <w:pPr>
        <w:pStyle w:val="ChapterNumberedList1"/>
        <w:numPr>
          <w:ilvl w:val="7"/>
          <w:numId w:val="43"/>
        </w:numPr>
      </w:pPr>
      <w:r w:rsidRPr="00F065BC">
        <w:t>Risk factors for child abuse and neglect are addressed</w:t>
      </w:r>
      <w:r>
        <w:t>.</w:t>
      </w:r>
    </w:p>
    <w:p w14:paraId="7C6AD149" w14:textId="77777777" w:rsidR="00BF2793" w:rsidRPr="00F065BC" w:rsidRDefault="00BF2793" w:rsidP="00B95734">
      <w:pPr>
        <w:pStyle w:val="ChapterNumberedList1"/>
        <w:numPr>
          <w:ilvl w:val="7"/>
          <w:numId w:val="43"/>
        </w:numPr>
      </w:pPr>
      <w:r w:rsidRPr="00F065BC">
        <w:t>Children who have been abused or neglected receive the support and care they need for their safety and wellbeing</w:t>
      </w:r>
      <w:r>
        <w:t>.</w:t>
      </w:r>
    </w:p>
    <w:p w14:paraId="28EBEA9C" w14:textId="77777777" w:rsidR="00BF2793" w:rsidRPr="00F065BC" w:rsidRDefault="00BF2793" w:rsidP="00B95734">
      <w:pPr>
        <w:pStyle w:val="ChapterNumberedList1"/>
        <w:numPr>
          <w:ilvl w:val="7"/>
          <w:numId w:val="43"/>
        </w:numPr>
      </w:pPr>
      <w:r w:rsidRPr="00F065BC">
        <w:t>Indigenous children are supported and safe in their families and communities</w:t>
      </w:r>
      <w:r>
        <w:t>.</w:t>
      </w:r>
    </w:p>
    <w:p w14:paraId="7D943DB5" w14:textId="77777777" w:rsidR="00BF2793" w:rsidRDefault="00BF2793" w:rsidP="00B95734">
      <w:pPr>
        <w:pStyle w:val="ChapterNumberedList1"/>
        <w:numPr>
          <w:ilvl w:val="7"/>
          <w:numId w:val="43"/>
        </w:numPr>
      </w:pPr>
      <w:r w:rsidRPr="00F065BC">
        <w:t>Child sexual abuse and exploitation is prevented and survivors receive adequate support.</w:t>
      </w:r>
    </w:p>
    <w:p w14:paraId="3B103D31" w14:textId="77777777" w:rsidR="00BF2793" w:rsidRDefault="00BF2793" w:rsidP="00B95734">
      <w:pPr>
        <w:pStyle w:val="Heading7"/>
        <w:numPr>
          <w:ilvl w:val="3"/>
          <w:numId w:val="43"/>
        </w:numPr>
      </w:pPr>
      <w:r>
        <w:t>Design and operation of the Framework</w:t>
      </w:r>
    </w:p>
    <w:p w14:paraId="79086520" w14:textId="08AA6E68" w:rsidR="00BF2793" w:rsidRDefault="00BF2793" w:rsidP="00BF2793">
      <w:pPr>
        <w:pStyle w:val="PwCNormal"/>
      </w:pPr>
      <w:r>
        <w:t xml:space="preserve">The National Framework extends over a 12-year </w:t>
      </w:r>
      <w:r w:rsidR="00D061D5">
        <w:t>time frame</w:t>
      </w:r>
      <w:r>
        <w:t>, supported by rolling 3-year action plans. Each action plan outlines key priorities or strategic focus areas and actions to be progressed over each 3-year period. Action plans are developed and agreed in consultation with sector stakeholders and the advice of the National Forum (discussed below under Governance). The two action plans considered as part of this evaluation are the Third and Fourth Action Plan. Their priorities are shown in</w:t>
      </w:r>
      <w:r w:rsidR="00FB2466">
        <w:t xml:space="preserve"> </w:t>
      </w:r>
      <w:r w:rsidR="00FB2466">
        <w:fldChar w:fldCharType="begin"/>
      </w:r>
      <w:r w:rsidR="00FB2466">
        <w:instrText xml:space="preserve"> REF _Ref31295838 \h </w:instrText>
      </w:r>
      <w:r w:rsidR="00FB2466">
        <w:fldChar w:fldCharType="separate"/>
      </w:r>
      <w:r w:rsidR="00D75351">
        <w:t xml:space="preserve">Table </w:t>
      </w:r>
      <w:r w:rsidR="00D75351">
        <w:rPr>
          <w:noProof/>
        </w:rPr>
        <w:t>3</w:t>
      </w:r>
      <w:r w:rsidR="00FB2466">
        <w:fldChar w:fldCharType="end"/>
      </w:r>
      <w:r>
        <w:t>.</w:t>
      </w:r>
      <w:r w:rsidRPr="002C1024">
        <w:t xml:space="preserve"> </w:t>
      </w:r>
      <w:r>
        <w:t xml:space="preserve">The 2015 mid-way evaluation considered previous action plans (the First and Second Action Plans) and are not </w:t>
      </w:r>
      <w:r w:rsidR="00306AA1">
        <w:t>in</w:t>
      </w:r>
      <w:r>
        <w:t xml:space="preserve"> scope of this evaluation.</w:t>
      </w:r>
    </w:p>
    <w:p w14:paraId="521C8525" w14:textId="0CB34046" w:rsidR="00BF2793" w:rsidRDefault="00BF2793" w:rsidP="00BF2793">
      <w:pPr>
        <w:pStyle w:val="Caption"/>
      </w:pPr>
      <w:bookmarkStart w:id="115" w:name="_Ref31295838"/>
      <w:r>
        <w:t xml:space="preserve">Table </w:t>
      </w:r>
      <w:fldSimple w:instr=" SEQ Table \* ARABIC ">
        <w:r w:rsidR="00D75351">
          <w:rPr>
            <w:noProof/>
          </w:rPr>
          <w:t>3</w:t>
        </w:r>
      </w:fldSimple>
      <w:bookmarkEnd w:id="115"/>
      <w:r>
        <w:t>: Third and Fourth Action Plan focus areas</w:t>
      </w:r>
    </w:p>
    <w:tbl>
      <w:tblPr>
        <w:tblStyle w:val="PwCColour"/>
        <w:tblW w:w="5000" w:type="pct"/>
        <w:tblLook w:val="04A0" w:firstRow="1" w:lastRow="0" w:firstColumn="1" w:lastColumn="0" w:noHBand="0" w:noVBand="1"/>
        <w:tblCaption w:val="Description of table three."/>
        <w:tblDescription w:val="This table describes the key focus areas / strategies for the third and fourth action plan.&#10;The Third Action Plan (2015 – 2018) had the following key focus areas / strategies: Cross cutting focus area: Aboriginal and Torres Strait Island children and families. Strategy 1: Early intervention with a focus on the early years, particularly the first 1000 days for a child. Strategy 2: Helping young people in out-of-home care to thrive into adulthood. Strategy 3: Organisations responding better to children and young people to keep them safe.&#10;The Fourth Action Plan (2018-2020) has the following four key focus areas / strategies: Priority 1: Improving outcomes for Aboriginal and Torres Strait Islander children at risk of entering, or in contact with, child protection systems. Priority 2: Improving prevention and early intervention through joint service planning and investment. Priority 3: Improving outcomes for children in out-of-home care by enhancing placement stability through reunification and other permanent care options. Priority 4: Improving organisations’ and governments’ ability to keep children and young people safe from abuse."/>
      </w:tblPr>
      <w:tblGrid>
        <w:gridCol w:w="2688"/>
        <w:gridCol w:w="7167"/>
      </w:tblGrid>
      <w:tr w:rsidR="00BF2793" w:rsidRPr="002B7285" w14:paraId="4FA0E607" w14:textId="77777777" w:rsidTr="0071760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64" w:type="pct"/>
            <w:vAlign w:val="center"/>
          </w:tcPr>
          <w:p w14:paraId="2B2CB47C" w14:textId="77777777" w:rsidR="00BF2793" w:rsidRPr="002B7285" w:rsidRDefault="00BF2793" w:rsidP="00717604">
            <w:pPr>
              <w:pStyle w:val="TableColumnHeadingSmall"/>
            </w:pPr>
            <w:r>
              <w:t>Action Plan</w:t>
            </w:r>
          </w:p>
        </w:tc>
        <w:tc>
          <w:tcPr>
            <w:tcW w:w="3636" w:type="pct"/>
          </w:tcPr>
          <w:p w14:paraId="6D14BCEE" w14:textId="77777777" w:rsidR="00BF2793" w:rsidRPr="002B7285" w:rsidRDefault="00BF2793" w:rsidP="00717604">
            <w:pPr>
              <w:pStyle w:val="TableColumnHeadingSmall"/>
              <w:cnfStyle w:val="100000000000" w:firstRow="1" w:lastRow="0" w:firstColumn="0" w:lastColumn="0" w:oddVBand="0" w:evenVBand="0" w:oddHBand="0" w:evenHBand="0" w:firstRowFirstColumn="0" w:firstRowLastColumn="0" w:lastRowFirstColumn="0" w:lastRowLastColumn="0"/>
            </w:pPr>
            <w:r>
              <w:t>Key focus areas/strategies</w:t>
            </w:r>
          </w:p>
        </w:tc>
      </w:tr>
      <w:tr w:rsidR="00BF2793" w:rsidRPr="002B7285" w14:paraId="53F82939" w14:textId="77777777" w:rsidTr="00717604">
        <w:tc>
          <w:tcPr>
            <w:tcW w:w="1364" w:type="pct"/>
            <w:vAlign w:val="center"/>
          </w:tcPr>
          <w:p w14:paraId="6AA58636" w14:textId="77777777" w:rsidR="00BF2793" w:rsidRPr="00876E03" w:rsidRDefault="00BF2793" w:rsidP="00717604">
            <w:pPr>
              <w:pStyle w:val="TableTextSmall"/>
              <w:rPr>
                <w:b/>
              </w:rPr>
            </w:pPr>
            <w:r w:rsidRPr="00876E03">
              <w:rPr>
                <w:b/>
              </w:rPr>
              <w:t>Third Action Plan (2015-2018)</w:t>
            </w:r>
          </w:p>
        </w:tc>
        <w:tc>
          <w:tcPr>
            <w:tcW w:w="3636" w:type="pct"/>
          </w:tcPr>
          <w:p w14:paraId="6B1AC67E" w14:textId="77777777" w:rsidR="00BF2793" w:rsidRPr="006955DA" w:rsidRDefault="00BF2793" w:rsidP="00717604">
            <w:pPr>
              <w:pStyle w:val="TableBullet1Small"/>
            </w:pPr>
            <w:r w:rsidRPr="006955DA">
              <w:t>Cross cutting focus area: Aboriginal and Torres Strait Island children and families</w:t>
            </w:r>
          </w:p>
          <w:p w14:paraId="7D3DB9CB" w14:textId="77777777" w:rsidR="00BF2793" w:rsidRPr="006955DA" w:rsidRDefault="00BF2793" w:rsidP="00717604">
            <w:pPr>
              <w:pStyle w:val="TableBullet1Small"/>
            </w:pPr>
            <w:r w:rsidRPr="006955DA">
              <w:t>Strategy 1: Early intervention with a focus on the early years, particularly the first 1000 days for a child</w:t>
            </w:r>
          </w:p>
          <w:p w14:paraId="440DA1D9" w14:textId="77777777" w:rsidR="00BF2793" w:rsidRPr="006955DA" w:rsidRDefault="00BF2793" w:rsidP="00717604">
            <w:pPr>
              <w:pStyle w:val="TableBullet1Small"/>
            </w:pPr>
            <w:r w:rsidRPr="006955DA">
              <w:t>Strategy 2: Helping young people in out-of-home care to thrive into adulthood</w:t>
            </w:r>
          </w:p>
          <w:p w14:paraId="5A06DA79" w14:textId="77777777" w:rsidR="00BF2793" w:rsidRPr="006955DA" w:rsidRDefault="00BF2793" w:rsidP="00717604">
            <w:pPr>
              <w:pStyle w:val="TableBullet1Small"/>
            </w:pPr>
            <w:r w:rsidRPr="006955DA">
              <w:t>Strategy 3: Organisations responding better to children and young people to keep them safe</w:t>
            </w:r>
          </w:p>
        </w:tc>
      </w:tr>
      <w:tr w:rsidR="00BF2793" w:rsidRPr="002B7285" w14:paraId="0B4F77C0" w14:textId="77777777" w:rsidTr="00717604">
        <w:tc>
          <w:tcPr>
            <w:tcW w:w="1364" w:type="pct"/>
            <w:vAlign w:val="center"/>
          </w:tcPr>
          <w:p w14:paraId="725264AB" w14:textId="77777777" w:rsidR="00BF2793" w:rsidRPr="00876E03" w:rsidRDefault="00BF2793" w:rsidP="00717604">
            <w:pPr>
              <w:pStyle w:val="TableTextSmall"/>
              <w:rPr>
                <w:b/>
              </w:rPr>
            </w:pPr>
            <w:r w:rsidRPr="00876E03">
              <w:rPr>
                <w:b/>
              </w:rPr>
              <w:t>Fourth Action Plan (2018-2020)</w:t>
            </w:r>
          </w:p>
        </w:tc>
        <w:tc>
          <w:tcPr>
            <w:tcW w:w="3636" w:type="pct"/>
          </w:tcPr>
          <w:p w14:paraId="5DECE2B7" w14:textId="77777777" w:rsidR="00BF2793" w:rsidRPr="006955DA" w:rsidRDefault="00BF2793" w:rsidP="00717604">
            <w:pPr>
              <w:pStyle w:val="TableBullet1Small"/>
            </w:pPr>
            <w:r>
              <w:t xml:space="preserve">Priority 1: </w:t>
            </w:r>
            <w:r w:rsidRPr="006955DA">
              <w:t xml:space="preserve">Improving outcomes for Aboriginal and Torres Strait Islander children at risk of entering, or in contact with, child protection systems </w:t>
            </w:r>
          </w:p>
          <w:p w14:paraId="63C26437" w14:textId="77777777" w:rsidR="00BF2793" w:rsidRPr="006955DA" w:rsidRDefault="00BF2793" w:rsidP="00717604">
            <w:pPr>
              <w:pStyle w:val="TableBullet1Small"/>
            </w:pPr>
            <w:r>
              <w:t xml:space="preserve">Priority 2: </w:t>
            </w:r>
            <w:r w:rsidRPr="006955DA">
              <w:t xml:space="preserve">Improving prevention and early intervention through joint service planning and investment </w:t>
            </w:r>
          </w:p>
          <w:p w14:paraId="338B74BD" w14:textId="77777777" w:rsidR="00BF2793" w:rsidRPr="006955DA" w:rsidRDefault="00BF2793" w:rsidP="00717604">
            <w:pPr>
              <w:pStyle w:val="TableBullet1Small"/>
            </w:pPr>
            <w:r>
              <w:lastRenderedPageBreak/>
              <w:t xml:space="preserve">Priority 3: </w:t>
            </w:r>
            <w:r w:rsidRPr="006955DA">
              <w:t xml:space="preserve">Improving outcomes for children in out-of-home care by enhancing placement stability through reunification and other permanent care options </w:t>
            </w:r>
          </w:p>
          <w:p w14:paraId="080A3993" w14:textId="77777777" w:rsidR="00BF2793" w:rsidRPr="002B7285" w:rsidRDefault="00BF2793" w:rsidP="00717604">
            <w:pPr>
              <w:pStyle w:val="TableBullet1Small"/>
            </w:pPr>
            <w:r>
              <w:t xml:space="preserve">Priority 4: </w:t>
            </w:r>
            <w:r w:rsidRPr="006955DA">
              <w:t xml:space="preserve">Improving organisations’ and governments’ ability to keep children and young people safe from abuse. </w:t>
            </w:r>
          </w:p>
        </w:tc>
      </w:tr>
    </w:tbl>
    <w:p w14:paraId="02B1AED6" w14:textId="77777777" w:rsidR="00BF2793" w:rsidRDefault="00BF2793" w:rsidP="000F0022">
      <w:pPr>
        <w:pStyle w:val="PwCNormal"/>
        <w:spacing w:before="120"/>
      </w:pPr>
    </w:p>
    <w:p w14:paraId="758CF00D" w14:textId="77777777" w:rsidR="00BF2793" w:rsidRPr="00F94854" w:rsidRDefault="00BF2793" w:rsidP="00B95734">
      <w:pPr>
        <w:pStyle w:val="Heading7"/>
        <w:numPr>
          <w:ilvl w:val="3"/>
          <w:numId w:val="43"/>
        </w:numPr>
      </w:pPr>
      <w:r>
        <w:t>A shift to a public health model</w:t>
      </w:r>
    </w:p>
    <w:p w14:paraId="3AE2184A" w14:textId="46C4134B" w:rsidR="00BF2793" w:rsidRDefault="000848B5" w:rsidP="00BF2793">
      <w:pPr>
        <w:pStyle w:val="PwCNormal"/>
      </w:pPr>
      <w:r>
        <w:t>In 2009, t</w:t>
      </w:r>
      <w:r w:rsidR="00BF2793">
        <w:t xml:space="preserve">he National Framework identified that </w:t>
      </w:r>
      <w:r w:rsidR="00BF2793" w:rsidRPr="00F94854">
        <w:t xml:space="preserve">a shift in emphasis </w:t>
      </w:r>
      <w:r w:rsidR="00BF2793" w:rsidRPr="00E561B8">
        <w:t xml:space="preserve">was needed in Australia </w:t>
      </w:r>
      <w:r w:rsidR="00BF2793" w:rsidRPr="00F94854">
        <w:t xml:space="preserve">from protecting children from abuse and neglect to </w:t>
      </w:r>
      <w:r>
        <w:t xml:space="preserve">include </w:t>
      </w:r>
      <w:r w:rsidR="00BF2793" w:rsidRPr="00F94854">
        <w:t xml:space="preserve">promoting children’s safety and wellbeing. </w:t>
      </w:r>
      <w:r w:rsidR="00BF2793">
        <w:t>This is the vision of a ‘public health model’ of child protection where greater emphasis (including resources) is placed on universal or preventative interventions reducing the overall need for statutory interventions, as outlined in</w:t>
      </w:r>
      <w:r w:rsidR="009F2751">
        <w:t xml:space="preserve"> </w:t>
      </w:r>
      <w:r w:rsidR="009F2751">
        <w:fldChar w:fldCharType="begin"/>
      </w:r>
      <w:r w:rsidR="009F2751">
        <w:instrText xml:space="preserve"> REF _Ref31296394 \h </w:instrText>
      </w:r>
      <w:r w:rsidR="009F2751">
        <w:fldChar w:fldCharType="separate"/>
      </w:r>
      <w:r w:rsidR="00D75351">
        <w:t xml:space="preserve">Figure </w:t>
      </w:r>
      <w:r w:rsidR="00D75351">
        <w:rPr>
          <w:noProof/>
        </w:rPr>
        <w:t>3</w:t>
      </w:r>
      <w:r w:rsidR="009F2751">
        <w:fldChar w:fldCharType="end"/>
      </w:r>
      <w:r w:rsidR="00BF2793">
        <w:t>. The size of each component of the pyramid is intended to reflect the relative resource/effort envisaged by the public health model, with the largest investment in the bottom of the pyramid (universal services), and the smallest investment at the top of the pyramid (statutory system).</w:t>
      </w:r>
    </w:p>
    <w:p w14:paraId="0ECA9924" w14:textId="49489FC9" w:rsidR="00BF2793" w:rsidRDefault="00BF2793" w:rsidP="00BF2793">
      <w:pPr>
        <w:pStyle w:val="Caption"/>
      </w:pPr>
      <w:bookmarkStart w:id="116" w:name="_Ref31296394"/>
      <w:r>
        <w:t xml:space="preserve">Figure </w:t>
      </w:r>
      <w:fldSimple w:instr=" SEQ Figure \* ARABIC ">
        <w:r w:rsidR="00D75351">
          <w:rPr>
            <w:noProof/>
          </w:rPr>
          <w:t>3</w:t>
        </w:r>
      </w:fldSimple>
      <w:bookmarkEnd w:id="116"/>
      <w:r>
        <w:t>: Application of the primary health model to child protection – a system for protecting children</w:t>
      </w:r>
    </w:p>
    <w:p w14:paraId="0D61ADC8" w14:textId="1AD993E5" w:rsidR="00BF2793" w:rsidRDefault="00766727" w:rsidP="00E66938">
      <w:pPr>
        <w:spacing w:line="240" w:lineRule="auto"/>
        <w:jc w:val="center"/>
        <w:rPr>
          <w:rFonts w:asciiTheme="majorHAnsi" w:hAnsiTheme="majorHAnsi"/>
          <w:b/>
          <w:sz w:val="24"/>
          <w:szCs w:val="24"/>
        </w:rPr>
      </w:pPr>
      <w:r w:rsidRPr="00766727">
        <w:rPr>
          <w:noProof/>
          <w:lang w:eastAsia="en-AU"/>
        </w:rPr>
        <w:drawing>
          <wp:inline distT="0" distB="0" distL="0" distR="0" wp14:anchorId="4A352BE8" wp14:editId="65C1292C">
            <wp:extent cx="4045789" cy="2887162"/>
            <wp:effectExtent l="0" t="0" r="0" b="0"/>
            <wp:docPr id="20" name="Picture 20" descr="Image of a triangle with four sections to depicting the system for protecton children.  From the bottom of the triangle up the sections are 1. Universal preventative initiatives to suport families and children. 2. Early intervention services targeted at vulnerable familes and childrens.  3. Targeted services and programs for at risk families and children. 4 or the top point of the triangle,   Statutory system.  State and territory governments, and non-gorvernment organisations cover all four sections, while the commonwealth government only cover sections one, two and three. " title="Description of 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52941" cy="2892266"/>
                    </a:xfrm>
                    <a:prstGeom prst="rect">
                      <a:avLst/>
                    </a:prstGeom>
                    <a:noFill/>
                    <a:ln>
                      <a:noFill/>
                    </a:ln>
                  </pic:spPr>
                </pic:pic>
              </a:graphicData>
            </a:graphic>
          </wp:inline>
        </w:drawing>
      </w:r>
    </w:p>
    <w:p w14:paraId="775491DE" w14:textId="7384514D" w:rsidR="00BF2793" w:rsidRPr="000C6DF8" w:rsidRDefault="00BF2793" w:rsidP="00BF2793">
      <w:pPr>
        <w:pStyle w:val="PwCNormal"/>
      </w:pPr>
      <w:r w:rsidRPr="009D5935">
        <w:t>The</w:t>
      </w:r>
      <w:r w:rsidR="00D061D5" w:rsidRPr="009D5935">
        <w:t xml:space="preserve"> outcomes of the</w:t>
      </w:r>
      <w:r w:rsidRPr="009D5935">
        <w:t xml:space="preserve"> Framework </w:t>
      </w:r>
      <w:r w:rsidRPr="00A47B98">
        <w:t>w</w:t>
      </w:r>
      <w:r w:rsidR="00CF2819" w:rsidRPr="000F4E57">
        <w:t>ere</w:t>
      </w:r>
      <w:r w:rsidRPr="000F4E57">
        <w:t xml:space="preserve"> more closely aligned to an </w:t>
      </w:r>
      <w:r w:rsidR="00183599" w:rsidRPr="000A32C2">
        <w:t>“</w:t>
      </w:r>
      <w:r w:rsidRPr="000A32C2">
        <w:t>hourglass</w:t>
      </w:r>
      <w:r w:rsidR="00183599" w:rsidRPr="000A32C2">
        <w:t>”</w:t>
      </w:r>
      <w:r w:rsidRPr="000A32C2">
        <w:t xml:space="preserve"> than </w:t>
      </w:r>
      <w:r w:rsidRPr="00702C0C">
        <w:t xml:space="preserve">a pyramid due to the </w:t>
      </w:r>
      <w:r w:rsidR="00C46E17" w:rsidRPr="004B0AF5">
        <w:t>significant</w:t>
      </w:r>
      <w:r w:rsidRPr="004B0AF5">
        <w:t xml:space="preserve"> demands on child protection services that had accumulate</w:t>
      </w:r>
      <w:r w:rsidRPr="0037541D">
        <w:t xml:space="preserve">d over previous years. </w:t>
      </w:r>
      <w:r w:rsidR="00C46E17" w:rsidRPr="0037541D">
        <w:t xml:space="preserve">The public health model </w:t>
      </w:r>
      <w:r w:rsidRPr="001E03BC">
        <w:t>was considered a key point of reference for the activities un</w:t>
      </w:r>
      <w:r w:rsidRPr="009D5935">
        <w:t xml:space="preserve">dertaken under the Framework and part of the broader vision of what a future system might look like to achieve the outcomes of the Framework. </w:t>
      </w:r>
      <w:r w:rsidR="00DC49E0" w:rsidRPr="009D5935">
        <w:t>While public health elements were referenced in concept, the supporting outcomes and indicators against which the National Framework was progressed maintained a child protection focus</w:t>
      </w:r>
      <w:r w:rsidR="00C46E17" w:rsidRPr="009D5935">
        <w:t>.</w:t>
      </w:r>
      <w:r w:rsidR="00DC49E0" w:rsidRPr="009D5935">
        <w:t xml:space="preserve"> </w:t>
      </w:r>
      <w:r w:rsidRPr="009D5935">
        <w:rPr>
          <w:color w:val="auto"/>
        </w:rPr>
        <w:t xml:space="preserve">Chapter </w:t>
      </w:r>
      <w:r w:rsidRPr="009D5935">
        <w:rPr>
          <w:color w:val="auto"/>
        </w:rPr>
        <w:fldChar w:fldCharType="begin"/>
      </w:r>
      <w:r w:rsidRPr="009D5935">
        <w:rPr>
          <w:color w:val="auto"/>
        </w:rPr>
        <w:instrText xml:space="preserve"> REF _Ref31231261 \n \h </w:instrText>
      </w:r>
      <w:r w:rsidR="00B86725" w:rsidRPr="008552A8">
        <w:rPr>
          <w:color w:val="auto"/>
        </w:rPr>
        <w:instrText xml:space="preserve"> \* MERGEFORMAT </w:instrText>
      </w:r>
      <w:r w:rsidRPr="009D5935">
        <w:rPr>
          <w:color w:val="auto"/>
        </w:rPr>
      </w:r>
      <w:r w:rsidRPr="009D5935">
        <w:rPr>
          <w:color w:val="auto"/>
        </w:rPr>
        <w:fldChar w:fldCharType="separate"/>
      </w:r>
      <w:r w:rsidR="00D75351">
        <w:rPr>
          <w:color w:val="auto"/>
        </w:rPr>
        <w:t>6</w:t>
      </w:r>
      <w:r w:rsidRPr="009D5935">
        <w:rPr>
          <w:color w:val="auto"/>
        </w:rPr>
        <w:fldChar w:fldCharType="end"/>
      </w:r>
      <w:r w:rsidR="00F80616" w:rsidRPr="009D5935">
        <w:rPr>
          <w:color w:val="auto"/>
        </w:rPr>
        <w:t xml:space="preserve"> </w:t>
      </w:r>
      <w:r w:rsidRPr="009D5935">
        <w:rPr>
          <w:color w:val="auto"/>
        </w:rPr>
        <w:t>explores the alignment of the Framework to the public health mo</w:t>
      </w:r>
      <w:r w:rsidRPr="000C6DF8">
        <w:rPr>
          <w:color w:val="auto"/>
        </w:rPr>
        <w:t xml:space="preserve">del. </w:t>
      </w:r>
    </w:p>
    <w:p w14:paraId="026CE50B" w14:textId="77777777" w:rsidR="00BF2793" w:rsidRDefault="00BF2793" w:rsidP="00B95734">
      <w:pPr>
        <w:pStyle w:val="Heading7"/>
        <w:numPr>
          <w:ilvl w:val="3"/>
          <w:numId w:val="43"/>
        </w:numPr>
      </w:pPr>
      <w:r>
        <w:t>Governance of the National Framework</w:t>
      </w:r>
    </w:p>
    <w:p w14:paraId="269B7FFC" w14:textId="1C0804F0" w:rsidR="00BF2793" w:rsidRDefault="00BF2793" w:rsidP="00BF2793">
      <w:pPr>
        <w:pStyle w:val="PwCNormal"/>
      </w:pPr>
      <w:r>
        <w:t xml:space="preserve">The governance structure underpinning the National Framework has evolved over </w:t>
      </w:r>
      <w:r w:rsidRPr="004A304E">
        <w:t>time</w:t>
      </w:r>
      <w:r w:rsidR="005C471B" w:rsidRPr="004A304E">
        <w:t xml:space="preserve"> in response to</w:t>
      </w:r>
      <w:r w:rsidR="001B5BD9" w:rsidRPr="004A304E">
        <w:t xml:space="preserve"> COAG committee changes and feedback over the framewo</w:t>
      </w:r>
      <w:r w:rsidR="004A304E">
        <w:t>r</w:t>
      </w:r>
      <w:r w:rsidR="001B5BD9" w:rsidRPr="004A304E">
        <w:t>k</w:t>
      </w:r>
      <w:r w:rsidRPr="004A304E">
        <w:t xml:space="preserve">. These changes </w:t>
      </w:r>
      <w:r w:rsidR="004A304E">
        <w:t>provide important context for</w:t>
      </w:r>
      <w:r w:rsidRPr="004A304E">
        <w:t xml:space="preserve"> </w:t>
      </w:r>
      <w:r w:rsidRPr="00935AC0">
        <w:t xml:space="preserve">many of the perspectives shared </w:t>
      </w:r>
      <w:r w:rsidR="004A304E" w:rsidRPr="00935AC0">
        <w:t xml:space="preserve">by stakeholders </w:t>
      </w:r>
      <w:r w:rsidRPr="00935AC0">
        <w:t>through this evaluation</w:t>
      </w:r>
      <w:r w:rsidR="004D0CEB">
        <w:t>.</w:t>
      </w:r>
      <w:r w:rsidRPr="00935AC0">
        <w:t xml:space="preserve"> </w:t>
      </w:r>
      <w:r w:rsidR="00DC49E0" w:rsidRPr="00935AC0">
        <w:t>These</w:t>
      </w:r>
      <w:r w:rsidR="00DC49E0">
        <w:t xml:space="preserve"> aspects are described in detail in Chapter 3 of this report. </w:t>
      </w:r>
      <w:r>
        <w:t>At a high-level the common stakeholders involved in governance were:</w:t>
      </w:r>
    </w:p>
    <w:p w14:paraId="3689A7BD" w14:textId="2DB09B87" w:rsidR="00BF2793" w:rsidRDefault="00BF2793" w:rsidP="00BF2793">
      <w:pPr>
        <w:pStyle w:val="ListBullet"/>
      </w:pPr>
      <w:r>
        <w:t>Community Services Ministers (CSM) –</w:t>
      </w:r>
      <w:r w:rsidR="005C471B">
        <w:t xml:space="preserve"> mechanism where </w:t>
      </w:r>
      <w:r>
        <w:t>state/territory and Commonwealth Ministers responsible for a variety of community services including child protection</w:t>
      </w:r>
      <w:r w:rsidR="005C471B">
        <w:t xml:space="preserve"> meet and discuss issues</w:t>
      </w:r>
    </w:p>
    <w:p w14:paraId="59F4C930" w14:textId="688DF777" w:rsidR="00BF2793" w:rsidRDefault="00BF2793" w:rsidP="00BF2793">
      <w:pPr>
        <w:pStyle w:val="ListBullet"/>
      </w:pPr>
      <w:r>
        <w:t>Children and Families Secretaries Groups (CAF</w:t>
      </w:r>
      <w:r w:rsidR="0067593C">
        <w:t>S</w:t>
      </w:r>
      <w:r>
        <w:t>) – formal group state/territory and Commonwealth Secretaries with responsibly for children and families</w:t>
      </w:r>
    </w:p>
    <w:p w14:paraId="1ED713E0" w14:textId="77777777" w:rsidR="00BF2793" w:rsidRDefault="00BF2793" w:rsidP="00BF2793">
      <w:pPr>
        <w:pStyle w:val="ListBullet"/>
      </w:pPr>
      <w:r>
        <w:lastRenderedPageBreak/>
        <w:t xml:space="preserve">National Forum for Protecting Australia’s Children – tripartite group encompassing representatives from </w:t>
      </w:r>
      <w:r w:rsidRPr="00EA044B">
        <w:t>Commonwealth, state and territory governments and the non-government sector</w:t>
      </w:r>
      <w:r>
        <w:t xml:space="preserve"> appointed by the National Coalition for Child Safety and Well-being</w:t>
      </w:r>
    </w:p>
    <w:p w14:paraId="3C223F42" w14:textId="19DDF153" w:rsidR="001B5BD9" w:rsidRPr="00D061D5" w:rsidRDefault="001B5BD9" w:rsidP="00BF2793">
      <w:pPr>
        <w:pStyle w:val="ListBullet"/>
      </w:pPr>
      <w:r w:rsidRPr="00D061D5">
        <w:t xml:space="preserve">Aboriginal and Torres Strait Islander Working Group </w:t>
      </w:r>
      <w:r w:rsidR="00935AC0" w:rsidRPr="00D061D5">
        <w:t>–</w:t>
      </w:r>
      <w:r w:rsidRPr="00D061D5">
        <w:t xml:space="preserve"> </w:t>
      </w:r>
      <w:r w:rsidR="00935AC0" w:rsidRPr="00D061D5">
        <w:t>advisory group of Indigenous experts and representatives</w:t>
      </w:r>
    </w:p>
    <w:p w14:paraId="08E19A60" w14:textId="77777777" w:rsidR="00BF2793" w:rsidRDefault="00BF2793" w:rsidP="00BF2793">
      <w:pPr>
        <w:pStyle w:val="ListBullet"/>
      </w:pPr>
      <w:r>
        <w:t>Members of various working groups.</w:t>
      </w:r>
    </w:p>
    <w:p w14:paraId="51EC0EB8" w14:textId="025DD0D8" w:rsidR="005C471B" w:rsidRDefault="00BF2793" w:rsidP="00BF2793">
      <w:pPr>
        <w:pStyle w:val="ListBullet"/>
        <w:numPr>
          <w:ilvl w:val="0"/>
          <w:numId w:val="0"/>
        </w:numPr>
      </w:pPr>
      <w:r>
        <w:t xml:space="preserve">An overview of the governance structure for the Third and Fourth Action Plan is outlined in </w:t>
      </w:r>
      <w:r w:rsidR="009F2751">
        <w:fldChar w:fldCharType="begin"/>
      </w:r>
      <w:r w:rsidR="009F2751">
        <w:instrText xml:space="preserve"> REF _Ref31296416 \h </w:instrText>
      </w:r>
      <w:r w:rsidR="009F2751">
        <w:fldChar w:fldCharType="separate"/>
      </w:r>
      <w:r w:rsidR="00D75351">
        <w:t xml:space="preserve">Figure </w:t>
      </w:r>
      <w:r w:rsidR="00D75351">
        <w:rPr>
          <w:noProof/>
        </w:rPr>
        <w:t>4</w:t>
      </w:r>
      <w:r w:rsidR="009F2751">
        <w:fldChar w:fldCharType="end"/>
      </w:r>
      <w:r w:rsidR="009F2751">
        <w:t xml:space="preserve"> </w:t>
      </w:r>
      <w:r>
        <w:t>and</w:t>
      </w:r>
      <w:r w:rsidR="009F2751">
        <w:t xml:space="preserve"> </w:t>
      </w:r>
      <w:r w:rsidR="009F2751">
        <w:fldChar w:fldCharType="begin"/>
      </w:r>
      <w:r w:rsidR="009F2751">
        <w:instrText xml:space="preserve"> REF _Ref31296422 \h </w:instrText>
      </w:r>
      <w:r w:rsidR="009F2751">
        <w:fldChar w:fldCharType="separate"/>
      </w:r>
      <w:r w:rsidR="00D75351">
        <w:t xml:space="preserve">Figure </w:t>
      </w:r>
      <w:r w:rsidR="00D75351">
        <w:rPr>
          <w:noProof/>
        </w:rPr>
        <w:t>5</w:t>
      </w:r>
      <w:r w:rsidR="009F2751">
        <w:fldChar w:fldCharType="end"/>
      </w:r>
      <w:r>
        <w:t xml:space="preserve"> below.</w:t>
      </w:r>
      <w:r w:rsidR="007E18CD">
        <w:rPr>
          <w:rStyle w:val="FootnoteReference"/>
        </w:rPr>
        <w:footnoteReference w:id="11"/>
      </w:r>
      <w:r>
        <w:t xml:space="preserve"> </w:t>
      </w:r>
    </w:p>
    <w:p w14:paraId="67FD8B5F" w14:textId="1D3D70C8" w:rsidR="00BF2793" w:rsidRPr="00E80790" w:rsidRDefault="00BF2793" w:rsidP="00BF2793">
      <w:pPr>
        <w:pStyle w:val="Caption"/>
        <w:rPr>
          <w:i/>
        </w:rPr>
      </w:pPr>
      <w:bookmarkStart w:id="117" w:name="_Ref31296416"/>
      <w:r>
        <w:t xml:space="preserve">Figure </w:t>
      </w:r>
      <w:fldSimple w:instr=" SEQ Figure \* ARABIC ">
        <w:r w:rsidR="00D75351">
          <w:rPr>
            <w:noProof/>
          </w:rPr>
          <w:t>4</w:t>
        </w:r>
      </w:fldSimple>
      <w:bookmarkEnd w:id="117"/>
      <w:r>
        <w:t xml:space="preserve"> - </w:t>
      </w:r>
      <w:r w:rsidRPr="00D5032E">
        <w:t xml:space="preserve">Third Action Plan: Governance </w:t>
      </w:r>
      <w:r w:rsidRPr="00E80790">
        <w:rPr>
          <w:i/>
        </w:rPr>
        <w:t>Structure</w:t>
      </w:r>
    </w:p>
    <w:p w14:paraId="04D8B640" w14:textId="41636C7F" w:rsidR="00BF2793" w:rsidRDefault="00BF2793" w:rsidP="00E66938">
      <w:pPr>
        <w:pStyle w:val="PwCNormal"/>
        <w:jc w:val="center"/>
      </w:pPr>
      <w:r w:rsidRPr="00184A76">
        <w:rPr>
          <w:noProof/>
          <w:lang w:eastAsia="en-AU"/>
        </w:rPr>
        <w:drawing>
          <wp:inline distT="0" distB="0" distL="0" distR="0" wp14:anchorId="63E83A64" wp14:editId="57A68BC9">
            <wp:extent cx="5320332" cy="2289657"/>
            <wp:effectExtent l="0" t="0" r="0" b="0"/>
            <wp:docPr id="28" name="Picture 28" descr="Third action plan governance structure.&#10;CAFS is at the top of the hierarchy.  &#10;The second layer of the hierarchy has the following groups and links. &#10;The National Forum for Protecting Australia's Children has arrows pointing to to CAFS, The Commonwealth, State and Territory Officials Working Group and the National Coalition Steering Group.  &#10;The Commonwealth, State and Territory Officials Working Group has arrows pointing to CAFS and the National Forum for Protecting Australia's Children.  &#10;The National Coalition Steering Group has an arrow pointing to the National Forum for Protecting Australia's Children.  &#10;The bottom layer of the hierarchy has the following groups and links.  &#10;Strategy Working Groups, Strategy 1 NGO Coalition, Strategy 2 Commonwealth and Strategy 3 State and Territory governments has arrows pointing to the National Forum for Protecting Australia's Children, the Aboriginal and Torres Strait Islander Working Group and the Research Advisory Committee. &#10;The Aboriginal and Torres Strait Islander Working Group has arrows pointing to Strategy Working Groups, Strategy 1 NGO Coalition, Strategy 2 Commonwealth and Strategy 3 State and Territory governments has arrows pointing to the National Forum for Protecting Australia's Children. &#10;The Research Advisory Committee has arrows pointing to Strategy Working Groups, Strategy 1 NGO Coalition, Strategy 2 Commonwealth and Strategy 3 State and Territory governments has arrows pointing to the National Forum for Protecting Australia's Children." title="Description of Third action plan governanc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6083" cy="2296435"/>
                    </a:xfrm>
                    <a:prstGeom prst="rect">
                      <a:avLst/>
                    </a:prstGeom>
                    <a:noFill/>
                    <a:ln>
                      <a:noFill/>
                    </a:ln>
                  </pic:spPr>
                </pic:pic>
              </a:graphicData>
            </a:graphic>
          </wp:inline>
        </w:drawing>
      </w:r>
    </w:p>
    <w:p w14:paraId="17601BAD" w14:textId="77777777" w:rsidR="00AC4ADC" w:rsidRDefault="00AC4ADC">
      <w:pPr>
        <w:kinsoku/>
        <w:overflowPunct/>
        <w:autoSpaceDE/>
        <w:autoSpaceDN/>
        <w:adjustRightInd/>
        <w:snapToGrid/>
        <w:spacing w:line="240" w:lineRule="auto"/>
        <w:rPr>
          <w:bCs/>
          <w:color w:val="D04A02" w:themeColor="accent1"/>
          <w:szCs w:val="18"/>
        </w:rPr>
      </w:pPr>
      <w:bookmarkStart w:id="118" w:name="_Ref31296422"/>
      <w:r>
        <w:br w:type="page"/>
      </w:r>
    </w:p>
    <w:p w14:paraId="08D45699" w14:textId="59F7ED86" w:rsidR="00BF2793" w:rsidRDefault="00BF2793" w:rsidP="00BF2793">
      <w:pPr>
        <w:pStyle w:val="Caption"/>
      </w:pPr>
      <w:r>
        <w:lastRenderedPageBreak/>
        <w:t xml:space="preserve">Figure </w:t>
      </w:r>
      <w:fldSimple w:instr=" SEQ Figure \* ARABIC ">
        <w:r w:rsidR="00D75351">
          <w:rPr>
            <w:noProof/>
          </w:rPr>
          <w:t>5</w:t>
        </w:r>
      </w:fldSimple>
      <w:bookmarkEnd w:id="118"/>
      <w:r w:rsidR="009F2751">
        <w:t>:</w:t>
      </w:r>
      <w:r>
        <w:t xml:space="preserve"> </w:t>
      </w:r>
      <w:r w:rsidRPr="00F82A91">
        <w:t>Fourth Action Plan: Governance Structure</w:t>
      </w:r>
    </w:p>
    <w:p w14:paraId="1C21FF60" w14:textId="0C715407" w:rsidR="007E18CD" w:rsidRPr="00D733DD" w:rsidRDefault="006E6D25" w:rsidP="006E6D25">
      <w:pPr>
        <w:pStyle w:val="PwCNormal"/>
        <w:jc w:val="center"/>
      </w:pPr>
      <w:r w:rsidRPr="006E6D25">
        <w:rPr>
          <w:noProof/>
          <w:lang w:eastAsia="en-AU"/>
        </w:rPr>
        <w:drawing>
          <wp:inline distT="0" distB="0" distL="0" distR="0" wp14:anchorId="24C832B3" wp14:editId="47E7E213">
            <wp:extent cx="4832985" cy="3634105"/>
            <wp:effectExtent l="0" t="0" r="5715" b="4445"/>
            <wp:docPr id="21" name="Picture 21" descr="Community Services Ministers (CSM) is at the top of the hierarchy. &#10;The second layer of the hierarchy the Children and Families Secretaries (CAFS) Group, which reports to CSM.&#10;The third layer of the hierarchy consists of the following groups which report to CAFS: &#10;• CAFS Strategic Information Group (SIG) which is chaired by AIHW and NSW; &#10;• The Aboriginal and Torres Strait Islander Working Group (priority one) which is chaired by QLD and ACT;&#10;• Early Intervention and Prevention Initiative (priority two) which is chaired by ACT and Tas;&#10;• Permanency Working Group (priority three) which is chaired by Vic and NSW;&#10;• Child Safety Working Group (priority four) which is chaired by NOCS and NSW.&#10;&#10;The bottom layer of the hierarchy consists of the following groups:&#10;Children and Families Data Network (CAFDaN), which is chaired by AIHW and reports to SIG.&#10;The Aboriginal and Torres Strait Islander Working Group, which is chaired by SNAICC and has a consultation relationship with the four priority area working groups.&#10;The National Forum, which is co-chaired by Families Australia and the commonwealth Department of Social Services.  The National Forum has a consultation relationship with the four priority area working groups.&#10;" title="Figure 5: Fourth Action Plan: Governanc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32985" cy="3634105"/>
                    </a:xfrm>
                    <a:prstGeom prst="rect">
                      <a:avLst/>
                    </a:prstGeom>
                    <a:noFill/>
                    <a:ln>
                      <a:noFill/>
                    </a:ln>
                  </pic:spPr>
                </pic:pic>
              </a:graphicData>
            </a:graphic>
          </wp:inline>
        </w:drawing>
      </w:r>
    </w:p>
    <w:p w14:paraId="5F4EC629" w14:textId="77777777" w:rsidR="00BF2793" w:rsidRDefault="00BF2793" w:rsidP="00B95734">
      <w:pPr>
        <w:pStyle w:val="Heading6"/>
        <w:numPr>
          <w:ilvl w:val="2"/>
          <w:numId w:val="43"/>
        </w:numPr>
      </w:pPr>
      <w:bookmarkStart w:id="119" w:name="_Toc42847839"/>
      <w:r>
        <w:t>Prevalence of child abuse and neglect over the course of the Framework</w:t>
      </w:r>
      <w:bookmarkEnd w:id="119"/>
    </w:p>
    <w:p w14:paraId="6C150D40" w14:textId="77777777" w:rsidR="009D204E" w:rsidRPr="00FA3E74" w:rsidRDefault="009D204E" w:rsidP="009D204E">
      <w:pPr>
        <w:pStyle w:val="PwCNormal"/>
        <w:rPr>
          <w:iCs/>
        </w:rPr>
      </w:pPr>
      <w:r w:rsidRPr="00FA3E74">
        <w:rPr>
          <w:iCs/>
        </w:rPr>
        <w:t xml:space="preserve">The National Framework’s target to achieve ‘substantial and sustained reduction in child abuse and neglect in Australia over time’ must be contextualised </w:t>
      </w:r>
      <w:r w:rsidR="004A33C6" w:rsidRPr="00EA5248">
        <w:rPr>
          <w:iCs/>
        </w:rPr>
        <w:t>by</w:t>
      </w:r>
      <w:r w:rsidRPr="00FA3E74">
        <w:rPr>
          <w:iCs/>
        </w:rPr>
        <w:t xml:space="preserve"> the changes that have occurred over the operation of the National Framework. Since inception</w:t>
      </w:r>
      <w:r w:rsidR="004A33C6" w:rsidRPr="00EA5248">
        <w:rPr>
          <w:iCs/>
        </w:rPr>
        <w:t>:</w:t>
      </w:r>
    </w:p>
    <w:p w14:paraId="7EAA41D6" w14:textId="77777777" w:rsidR="009D204E" w:rsidRDefault="004A33C6" w:rsidP="00B95734">
      <w:pPr>
        <w:pStyle w:val="PwCNormal"/>
        <w:numPr>
          <w:ilvl w:val="0"/>
          <w:numId w:val="46"/>
        </w:numPr>
      </w:pPr>
      <w:r>
        <w:t>s</w:t>
      </w:r>
      <w:r w:rsidR="009D204E">
        <w:t>pending on child protection and family support services has grown, indicating the growing need for these services</w:t>
      </w:r>
    </w:p>
    <w:p w14:paraId="64ACBD07" w14:textId="77777777" w:rsidR="009D204E" w:rsidRDefault="004A33C6" w:rsidP="00B95734">
      <w:pPr>
        <w:pStyle w:val="PwCNormal"/>
        <w:numPr>
          <w:ilvl w:val="0"/>
          <w:numId w:val="46"/>
        </w:numPr>
      </w:pPr>
      <w:r>
        <w:t>t</w:t>
      </w:r>
      <w:r w:rsidR="009D204E">
        <w:t>he rates of children in care has increased, and substantially so among Aboriginal and Torres Strait Islander children</w:t>
      </w:r>
    </w:p>
    <w:p w14:paraId="51DCB359" w14:textId="77777777" w:rsidR="009D204E" w:rsidRDefault="004A33C6" w:rsidP="00B95734">
      <w:pPr>
        <w:pStyle w:val="PwCNormal"/>
        <w:numPr>
          <w:ilvl w:val="0"/>
          <w:numId w:val="46"/>
        </w:numPr>
      </w:pPr>
      <w:r>
        <w:t>there have been changes in jurisdictional approaches to notifications, investigations and substantiations, which means that it is difficult to draw conclusions as to whether there has been impact on these indicators</w:t>
      </w:r>
    </w:p>
    <w:p w14:paraId="1AD93633" w14:textId="219DFEB7" w:rsidR="004A33C6" w:rsidRDefault="004A33C6" w:rsidP="00B95734">
      <w:pPr>
        <w:pStyle w:val="PwCNormal"/>
        <w:numPr>
          <w:ilvl w:val="0"/>
          <w:numId w:val="46"/>
        </w:numPr>
      </w:pPr>
      <w:r>
        <w:t xml:space="preserve">at the same time, the </w:t>
      </w:r>
      <w:r w:rsidR="008547DE">
        <w:t xml:space="preserve">increasing </w:t>
      </w:r>
      <w:r>
        <w:t>rate of children receiving intensive family support services suggest</w:t>
      </w:r>
      <w:r w:rsidR="008547DE">
        <w:t>s</w:t>
      </w:r>
      <w:r>
        <w:t xml:space="preserve"> that there is a growing need for these supports. </w:t>
      </w:r>
    </w:p>
    <w:p w14:paraId="1A010657" w14:textId="454183ED" w:rsidR="00BF2793" w:rsidRPr="00616298" w:rsidRDefault="004A33C6" w:rsidP="00BF2793">
      <w:pPr>
        <w:pStyle w:val="PwCNormal"/>
        <w:numPr>
          <w:ilvl w:val="0"/>
          <w:numId w:val="0"/>
        </w:numPr>
      </w:pPr>
      <w:r w:rsidRPr="00EA5248">
        <w:t xml:space="preserve">Changes in practices, reporting and prevalence make comparison of the impact of the National Framework on its target difficult. </w:t>
      </w:r>
      <w:r w:rsidR="00BF2793" w:rsidRPr="00B0614F">
        <w:t>R</w:t>
      </w:r>
      <w:r w:rsidR="00BF2793" w:rsidRPr="00616298">
        <w:t xml:space="preserve">ecognising that it would be challenging to track the progress of the National Framework in achieving its primary target </w:t>
      </w:r>
      <w:r w:rsidR="00BF2793" w:rsidRPr="00EA5248">
        <w:t>of ‘</w:t>
      </w:r>
      <w:r w:rsidR="00BF2793" w:rsidRPr="00FA3E74">
        <w:t>a substantial and sustained reduction in child abuse and neglect in Australia over time’</w:t>
      </w:r>
      <w:r w:rsidR="00BF2793" w:rsidRPr="00EA5248">
        <w:t xml:space="preserve"> without a prevalence study of child abuse and neglect, a set of 32 data indicators were established. In addition to these indicators, annual data is compiled within the Productivity Commission’s Report on Governme</w:t>
      </w:r>
      <w:r w:rsidR="00BF2793" w:rsidRPr="00616298">
        <w:t xml:space="preserve">nt </w:t>
      </w:r>
      <w:r w:rsidR="00BF2793" w:rsidRPr="007434DF">
        <w:t xml:space="preserve">Services </w:t>
      </w:r>
      <w:r w:rsidR="00BF2793" w:rsidRPr="00D061D5">
        <w:t>(R</w:t>
      </w:r>
      <w:r w:rsidR="008547DE" w:rsidRPr="00D061D5">
        <w:t>o</w:t>
      </w:r>
      <w:r w:rsidR="00BF2793" w:rsidRPr="00D061D5">
        <w:t>GS)</w:t>
      </w:r>
      <w:r w:rsidR="00BF2793" w:rsidRPr="007434DF">
        <w:t xml:space="preserve"> on</w:t>
      </w:r>
      <w:r w:rsidR="00BF2793" w:rsidRPr="00616298">
        <w:t xml:space="preserve"> child protection and family support services provided and government spending. </w:t>
      </w:r>
    </w:p>
    <w:p w14:paraId="345CF9D8" w14:textId="7D6F05F1" w:rsidR="00BF2793" w:rsidRDefault="00BF2793" w:rsidP="00BF2793">
      <w:pPr>
        <w:pStyle w:val="PwCNormal"/>
        <w:numPr>
          <w:ilvl w:val="0"/>
          <w:numId w:val="0"/>
        </w:numPr>
      </w:pPr>
      <w:r>
        <w:t xml:space="preserve">These indicators and </w:t>
      </w:r>
      <w:r w:rsidR="000848B5">
        <w:t>RoGS</w:t>
      </w:r>
      <w:r>
        <w:t xml:space="preserve"> data provide a high-level overview of how child protection and related data points have changed in the decade between 2009 and now. These provide context to the findings presented in this report. </w:t>
      </w:r>
    </w:p>
    <w:p w14:paraId="6DE99CD2" w14:textId="77777777" w:rsidR="00BF2793" w:rsidRDefault="00BF2793" w:rsidP="00B95734">
      <w:pPr>
        <w:pStyle w:val="Heading7"/>
        <w:numPr>
          <w:ilvl w:val="3"/>
          <w:numId w:val="43"/>
        </w:numPr>
      </w:pPr>
      <w:r>
        <w:t>Spending on child protection and family support services</w:t>
      </w:r>
      <w:r w:rsidR="009D204E">
        <w:t xml:space="preserve"> continues to grow</w:t>
      </w:r>
    </w:p>
    <w:p w14:paraId="36321DD3" w14:textId="070DB1C2" w:rsidR="00BF2793" w:rsidRDefault="009F2751" w:rsidP="00BF2793">
      <w:pPr>
        <w:pStyle w:val="PwCNormal"/>
      </w:pPr>
      <w:r>
        <w:fldChar w:fldCharType="begin"/>
      </w:r>
      <w:r>
        <w:instrText xml:space="preserve"> REF _Ref31296446 \h </w:instrText>
      </w:r>
      <w:r>
        <w:fldChar w:fldCharType="separate"/>
      </w:r>
      <w:r w:rsidR="00D75351">
        <w:t xml:space="preserve">Figure </w:t>
      </w:r>
      <w:r w:rsidR="00D75351">
        <w:rPr>
          <w:noProof/>
        </w:rPr>
        <w:t>6</w:t>
      </w:r>
      <w:r>
        <w:fldChar w:fldCharType="end"/>
      </w:r>
      <w:r>
        <w:t xml:space="preserve"> </w:t>
      </w:r>
      <w:r w:rsidR="00F80616">
        <w:t>shows</w:t>
      </w:r>
      <w:r w:rsidR="00BF2793" w:rsidRPr="00122A52">
        <w:t xml:space="preserve"> total government funding</w:t>
      </w:r>
      <w:r w:rsidR="00BF2793">
        <w:t xml:space="preserve"> </w:t>
      </w:r>
      <w:r w:rsidR="00BF2793" w:rsidRPr="00122A52">
        <w:t xml:space="preserve">on protective intervention services, out of home care, intensive family support and general family support services between 2008-09 and 2017-18 </w:t>
      </w:r>
      <w:r w:rsidR="00BF2793">
        <w:t>(</w:t>
      </w:r>
      <w:r w:rsidR="00BF2793" w:rsidRPr="00122A52">
        <w:t>in 2017-18 dollars</w:t>
      </w:r>
      <w:r w:rsidR="00BF2793">
        <w:t>) across Australia</w:t>
      </w:r>
      <w:r w:rsidR="00BF2793" w:rsidRPr="00122A52">
        <w:t xml:space="preserve">. Reporting of spending </w:t>
      </w:r>
      <w:r w:rsidR="00BF2793" w:rsidRPr="00122A52">
        <w:lastRenderedPageBreak/>
        <w:t xml:space="preserve">on general family support services was included in 2011-12, prior to then, spending estimates exclude family support services. </w:t>
      </w:r>
      <w:r w:rsidR="00F80616">
        <w:t>S</w:t>
      </w:r>
      <w:r w:rsidR="00BF2793" w:rsidRPr="00122A52">
        <w:t>pending on child protection and family support services has increased by 7 per cent per annum between 2011-12 and 2017-18.</w:t>
      </w:r>
      <w:r w:rsidR="00BF2793">
        <w:t xml:space="preserve"> </w:t>
      </w:r>
      <w:r w:rsidR="00F80616">
        <w:t>Across the same time points, t</w:t>
      </w:r>
      <w:r w:rsidR="00BF2793">
        <w:t>otal government spending was reported as $3.99 billion</w:t>
      </w:r>
      <w:r w:rsidR="00F80616">
        <w:t xml:space="preserve"> (2011-12)</w:t>
      </w:r>
      <w:r w:rsidR="00BF2793">
        <w:t xml:space="preserve">, increasing to $5.84 billion by 2017-18. </w:t>
      </w:r>
    </w:p>
    <w:p w14:paraId="3BAEF31B" w14:textId="43540636" w:rsidR="00BF2793" w:rsidRDefault="00BF2793" w:rsidP="00BF2793">
      <w:pPr>
        <w:pStyle w:val="Caption"/>
      </w:pPr>
      <w:bookmarkStart w:id="120" w:name="_Ref31296446"/>
      <w:r>
        <w:t xml:space="preserve">Figure </w:t>
      </w:r>
      <w:fldSimple w:instr=" SEQ Figure \* ARABIC ">
        <w:r w:rsidR="00D75351">
          <w:rPr>
            <w:noProof/>
          </w:rPr>
          <w:t>6</w:t>
        </w:r>
      </w:fldSimple>
      <w:bookmarkEnd w:id="120"/>
      <w:r>
        <w:t>: Government spending on child protection and family support services between 2008-09 and 2017-18</w:t>
      </w:r>
      <w:r>
        <w:rPr>
          <w:rStyle w:val="FootnoteReference"/>
        </w:rPr>
        <w:footnoteReference w:id="12"/>
      </w:r>
    </w:p>
    <w:p w14:paraId="41B12947" w14:textId="66809C18" w:rsidR="00BF2793" w:rsidRDefault="00766727" w:rsidP="00BF2793">
      <w:pPr>
        <w:pStyle w:val="PwCNormal"/>
        <w:numPr>
          <w:ilvl w:val="0"/>
          <w:numId w:val="0"/>
        </w:numPr>
      </w:pPr>
      <w:r w:rsidRPr="00766727">
        <w:t xml:space="preserve"> </w:t>
      </w:r>
      <w:r w:rsidRPr="00766727">
        <w:rPr>
          <w:noProof/>
          <w:lang w:eastAsia="en-AU"/>
        </w:rPr>
        <w:drawing>
          <wp:inline distT="0" distB="0" distL="0" distR="0" wp14:anchorId="2C4BF2BC" wp14:editId="42BDDEC4">
            <wp:extent cx="6127750" cy="3432175"/>
            <wp:effectExtent l="0" t="0" r="6350" b="0"/>
            <wp:docPr id="35" name="Picture 35" descr="Figure 6 shows total government funding on protective intervention services, out of home care, intensive family support and general family support services between 2008-09 and 2017-18 (in 2017-18 dollars) across Australia. Reporting of spending on general family support services was included in 2011-12, prior to then, spending estimates exclude family support services. Spending on child protection and family support services has increased by 7 per cent per annum between 2011-12 and 2017-18. Across the same time points, total government spending was reported as $3.99 billion (2011-12), increasing to $5.84 billion by 2017-18. " title="Figure 6: Government spending on child protection and family support services between 2008-09 and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7750" cy="3432175"/>
                    </a:xfrm>
                    <a:prstGeom prst="rect">
                      <a:avLst/>
                    </a:prstGeom>
                    <a:noFill/>
                    <a:ln>
                      <a:noFill/>
                    </a:ln>
                  </pic:spPr>
                </pic:pic>
              </a:graphicData>
            </a:graphic>
          </wp:inline>
        </w:drawing>
      </w:r>
    </w:p>
    <w:p w14:paraId="448953CC" w14:textId="08E4C783" w:rsidR="00BF2793" w:rsidRDefault="00BF2793" w:rsidP="00BF2793">
      <w:pPr>
        <w:pStyle w:val="PwCNormal"/>
      </w:pPr>
      <w:r>
        <w:t>The proportion of spending on child protection and family support service types ha</w:t>
      </w:r>
      <w:r w:rsidR="005D35CE">
        <w:t>s</w:t>
      </w:r>
      <w:r>
        <w:t xml:space="preserve"> remained relatively constant between 2011-12 and 2017-18 with a small decrease in spending on protective intervention services being offset by an increase in out-of-home care services. Approximately 17% of spending is dedicated to family support services. </w:t>
      </w:r>
    </w:p>
    <w:p w14:paraId="63608C21" w14:textId="77777777" w:rsidR="00BF2793" w:rsidRDefault="00BF2793" w:rsidP="00B95734">
      <w:pPr>
        <w:pStyle w:val="Heading7"/>
        <w:numPr>
          <w:ilvl w:val="3"/>
          <w:numId w:val="43"/>
        </w:numPr>
      </w:pPr>
      <w:r>
        <w:t xml:space="preserve">Rates of children and young people in child protection </w:t>
      </w:r>
      <w:r w:rsidR="004A33C6">
        <w:t>continues to increase, especially among Aboriginal and Torres Strait Islander children</w:t>
      </w:r>
    </w:p>
    <w:p w14:paraId="09ECB1B9" w14:textId="082591B2" w:rsidR="00BF2793" w:rsidRDefault="009F2751" w:rsidP="00BF2793">
      <w:pPr>
        <w:pStyle w:val="PwCNormal"/>
        <w:numPr>
          <w:ilvl w:val="0"/>
          <w:numId w:val="0"/>
        </w:numPr>
      </w:pPr>
      <w:r>
        <w:fldChar w:fldCharType="begin"/>
      </w:r>
      <w:r>
        <w:instrText xml:space="preserve"> REF _Ref31296458 \h </w:instrText>
      </w:r>
      <w:r>
        <w:fldChar w:fldCharType="separate"/>
      </w:r>
      <w:r w:rsidR="00D75351">
        <w:t xml:space="preserve">Figure </w:t>
      </w:r>
      <w:r w:rsidR="00D75351">
        <w:rPr>
          <w:noProof/>
        </w:rPr>
        <w:t>7</w:t>
      </w:r>
      <w:r>
        <w:fldChar w:fldCharType="end"/>
      </w:r>
      <w:r>
        <w:t xml:space="preserve"> </w:t>
      </w:r>
      <w:r w:rsidR="00F80616">
        <w:t>depicts</w:t>
      </w:r>
      <w:r w:rsidR="00BF2793">
        <w:t xml:space="preserve"> the rate of Indigenous, non-Indigenous and all children on care and protection orders in Australia over the period between 2008-09 and 2017-18. The number of children on a care and protection order in Australia has increased from </w:t>
      </w:r>
      <w:r w:rsidR="00BF2793" w:rsidRPr="0096320D">
        <w:t>35,409</w:t>
      </w:r>
      <w:r w:rsidR="00BF2793">
        <w:t xml:space="preserve"> (7.5 children per 1000)</w:t>
      </w:r>
      <w:r w:rsidR="00BF2793" w:rsidRPr="0096320D">
        <w:t xml:space="preserve"> </w:t>
      </w:r>
      <w:r w:rsidR="00BF2793">
        <w:t xml:space="preserve">to </w:t>
      </w:r>
      <w:r w:rsidR="00BF2793" w:rsidRPr="0096320D">
        <w:t>56,412</w:t>
      </w:r>
      <w:r w:rsidR="00BF2793">
        <w:t xml:space="preserve"> (10.2 children per 1000), representing a compound annual growth rate of 3 per cent per annum. Over the same period the number of Aboriginal and Torres Strait Islander children on care and protection orders has increased significantly from </w:t>
      </w:r>
      <w:r w:rsidR="00BF2793" w:rsidRPr="0096320D">
        <w:t>10,271</w:t>
      </w:r>
      <w:r w:rsidR="00BF2793">
        <w:t xml:space="preserve"> (38.4 children per 1000) in 2008-09 to </w:t>
      </w:r>
      <w:r w:rsidR="00BF2793" w:rsidRPr="0096320D">
        <w:t xml:space="preserve">20,484 </w:t>
      </w:r>
      <w:r w:rsidR="00BF2793">
        <w:t xml:space="preserve">(67.2 children per 1000) </w:t>
      </w:r>
      <w:r w:rsidR="00BF2793" w:rsidRPr="0096320D">
        <w:t>as at 201</w:t>
      </w:r>
      <w:r w:rsidR="00BF2793">
        <w:t>7</w:t>
      </w:r>
      <w:r w:rsidR="00BF2793" w:rsidRPr="0096320D">
        <w:t>-1</w:t>
      </w:r>
      <w:r w:rsidR="00BF2793">
        <w:t>8,</w:t>
      </w:r>
      <w:r w:rsidR="00BF2793" w:rsidRPr="0096320D">
        <w:rPr>
          <w:rStyle w:val="FootnoteReference"/>
        </w:rPr>
        <w:footnoteReference w:id="13"/>
      </w:r>
      <w:r w:rsidR="00BF2793">
        <w:t xml:space="preserve"> representing a compound annual growth rate of 6 per cent per annum. In 2017-18 Aboriginal and Torres Strait Islander children were 10 times more likely than non-Indigenous children to be on a care and protection order.</w:t>
      </w:r>
      <w:r w:rsidR="00BF2793">
        <w:rPr>
          <w:rStyle w:val="FootnoteReference"/>
        </w:rPr>
        <w:footnoteReference w:id="14"/>
      </w:r>
      <w:r w:rsidR="00BF2793">
        <w:t xml:space="preserve"> </w:t>
      </w:r>
      <w:r w:rsidR="004A33C6">
        <w:t xml:space="preserve">Some of the underpinning factors influencing these trends are explored in Chapter 3. </w:t>
      </w:r>
    </w:p>
    <w:p w14:paraId="586AB09E" w14:textId="344CDF5E" w:rsidR="00BF2793" w:rsidRDefault="00BF2793" w:rsidP="00BF2793">
      <w:pPr>
        <w:pStyle w:val="Caption"/>
      </w:pPr>
      <w:bookmarkStart w:id="121" w:name="_Ref31296458"/>
      <w:r>
        <w:lastRenderedPageBreak/>
        <w:t xml:space="preserve">Figure </w:t>
      </w:r>
      <w:fldSimple w:instr=" SEQ Figure \* ARABIC ">
        <w:r w:rsidR="00D75351">
          <w:rPr>
            <w:noProof/>
          </w:rPr>
          <w:t>7</w:t>
        </w:r>
      </w:fldSimple>
      <w:bookmarkEnd w:id="121"/>
      <w:r>
        <w:t>: Change in the rate of Indigenous and non-Indigenous children on care and protection orders in Australia, 2008-09 to 2017-18</w:t>
      </w:r>
    </w:p>
    <w:p w14:paraId="10066FE6" w14:textId="77777777" w:rsidR="00BF2793" w:rsidRPr="00332992" w:rsidRDefault="00BF2793" w:rsidP="00BF2793">
      <w:r w:rsidRPr="00995601">
        <w:rPr>
          <w:noProof/>
          <w:lang w:eastAsia="en-AU"/>
        </w:rPr>
        <w:drawing>
          <wp:inline distT="0" distB="0" distL="0" distR="0" wp14:anchorId="5076F27F" wp14:editId="7AA25CA3">
            <wp:extent cx="6264275" cy="3095625"/>
            <wp:effectExtent l="0" t="0" r="3175" b="0"/>
            <wp:docPr id="32" name="Picture 32" descr="Figure 7 depicts the rate of Indigenous, non-Indigenous and all children on care and protection orders in Australia over the period between 2008-09 and 2017-18. The number of children on a care and protection order in Australia has increased from 35,409 (7.5 children per 1000) to 56,412 (10.2 children per 1000), representing a compound annual growth rate of 3 per cent per annum. Over the same period the number of Aboriginal and Torres Strait Islander children on care and protection orders has increased significantly from 10,271 (38.4 children per 1000) in 2008-09 to 20,484 (67.2 children per 1000) as at 2017-18,  representing a compound annual growth rate of 6 per cent per annum. In 2017-18 Aboriginal and Torres Strait Islander children were 10 times more likely than non-Indigenous children to be on a care and protection order.  Some of the underpinning factors influencing these trends are explored in Chapter 3." title="Figure 7: Change in the rate of Indigenous and non-Indigenous children on care and protection orders in Australia, 2008-09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4275" cy="3095625"/>
                    </a:xfrm>
                    <a:prstGeom prst="rect">
                      <a:avLst/>
                    </a:prstGeom>
                    <a:noFill/>
                    <a:ln>
                      <a:noFill/>
                    </a:ln>
                  </pic:spPr>
                </pic:pic>
              </a:graphicData>
            </a:graphic>
          </wp:inline>
        </w:drawing>
      </w:r>
    </w:p>
    <w:p w14:paraId="61FF7D81" w14:textId="4E9F769B" w:rsidR="00BF2793" w:rsidRDefault="00BF2793" w:rsidP="00BF2793">
      <w:pPr>
        <w:pStyle w:val="PwCNormal"/>
        <w:numPr>
          <w:ilvl w:val="0"/>
          <w:numId w:val="0"/>
        </w:numPr>
      </w:pPr>
      <w:r>
        <w:t xml:space="preserve">Over the same period of time the number of children in out of home care has also increased. </w:t>
      </w:r>
      <w:r w:rsidR="009F2751">
        <w:fldChar w:fldCharType="begin"/>
      </w:r>
      <w:r w:rsidR="009F2751">
        <w:instrText xml:space="preserve"> REF _Ref31296472 \h </w:instrText>
      </w:r>
      <w:r w:rsidR="009F2751">
        <w:fldChar w:fldCharType="separate"/>
      </w:r>
      <w:r w:rsidR="00D75351">
        <w:t xml:space="preserve">Figure </w:t>
      </w:r>
      <w:r w:rsidR="00D75351">
        <w:rPr>
          <w:noProof/>
        </w:rPr>
        <w:t>8</w:t>
      </w:r>
      <w:r w:rsidR="009F2751">
        <w:fldChar w:fldCharType="end"/>
      </w:r>
      <w:r w:rsidR="009F2751">
        <w:t xml:space="preserve"> </w:t>
      </w:r>
      <w:r w:rsidR="00F80616">
        <w:t>depicts</w:t>
      </w:r>
      <w:r>
        <w:t xml:space="preserve"> the rate of Indigenous, non-Indigenous and all children who were in out-of-home care in Australia on 30 June of each year, over the period between 2008-09 and 2017-18. The number of children </w:t>
      </w:r>
      <w:r w:rsidR="00D061D5">
        <w:t xml:space="preserve">in </w:t>
      </w:r>
      <w:r>
        <w:t>out-of-home care in Australia has increased from 34,069 (6.8 children per 1000)</w:t>
      </w:r>
      <w:r w:rsidRPr="0096320D">
        <w:t xml:space="preserve"> </w:t>
      </w:r>
      <w:r>
        <w:t xml:space="preserve">to 45,756 (8.3 children per 1000), representing a compound annual growth rate of 2 per cent per annum. Over the same period the number of Aboriginal and Torres Strait Islander children in out-of-home care has also increased significantly from </w:t>
      </w:r>
      <w:r w:rsidRPr="0096320D">
        <w:t>10</w:t>
      </w:r>
      <w:r>
        <w:t>,512 (37.5 children per 1000) in 2008-09 to 17,787</w:t>
      </w:r>
      <w:r w:rsidRPr="0096320D">
        <w:t xml:space="preserve"> </w:t>
      </w:r>
      <w:r>
        <w:t xml:space="preserve">(58.3 children per 1000) </w:t>
      </w:r>
      <w:r w:rsidRPr="0096320D">
        <w:t>as at 201</w:t>
      </w:r>
      <w:r>
        <w:t>7</w:t>
      </w:r>
      <w:r w:rsidRPr="0096320D">
        <w:t>-1</w:t>
      </w:r>
      <w:r>
        <w:t>8,</w:t>
      </w:r>
      <w:r w:rsidRPr="0096320D">
        <w:rPr>
          <w:rStyle w:val="FootnoteReference"/>
        </w:rPr>
        <w:footnoteReference w:id="15"/>
      </w:r>
      <w:r>
        <w:t xml:space="preserve"> representing a compound annual growth rate of 5 per cent per annum. In 2008-09 Aboriginal and Torres Strait Islander children made up 31 percent of all children in out-of-home care, this proportion has grown and in 2017-18 they made up 60 percent of all children in out-of-home care. In 2017-18 Aboriginal and Torres Strait Islander children were 11 times more likely than non-Indigenous children to be in out-of-home care.</w:t>
      </w:r>
      <w:r>
        <w:rPr>
          <w:rStyle w:val="FootnoteReference"/>
        </w:rPr>
        <w:footnoteReference w:id="16"/>
      </w:r>
      <w:r>
        <w:t xml:space="preserve"> </w:t>
      </w:r>
    </w:p>
    <w:p w14:paraId="217EAB7C" w14:textId="679298A9" w:rsidR="00BF2793" w:rsidRDefault="00BF2793" w:rsidP="00BF2793">
      <w:pPr>
        <w:pStyle w:val="Caption"/>
      </w:pPr>
      <w:bookmarkStart w:id="122" w:name="_Ref31296472"/>
      <w:r>
        <w:lastRenderedPageBreak/>
        <w:t xml:space="preserve">Figure </w:t>
      </w:r>
      <w:fldSimple w:instr=" SEQ Figure \* ARABIC ">
        <w:r w:rsidR="00D75351">
          <w:rPr>
            <w:noProof/>
          </w:rPr>
          <w:t>8</w:t>
        </w:r>
      </w:fldSimple>
      <w:bookmarkEnd w:id="122"/>
      <w:r>
        <w:t xml:space="preserve">: </w:t>
      </w:r>
      <w:r w:rsidRPr="006310FE">
        <w:t>Change in the rate of Indigenous and non-Indigenous children in out of home care Australia, 2008-09 to 2017-18</w:t>
      </w:r>
    </w:p>
    <w:p w14:paraId="138583EC" w14:textId="77777777" w:rsidR="00BF2793" w:rsidRDefault="00BF2793" w:rsidP="00BF2793">
      <w:pPr>
        <w:pStyle w:val="PwCNormal"/>
        <w:numPr>
          <w:ilvl w:val="0"/>
          <w:numId w:val="0"/>
        </w:numPr>
      </w:pPr>
      <w:r w:rsidRPr="004266BE">
        <w:rPr>
          <w:noProof/>
          <w:lang w:eastAsia="en-AU"/>
        </w:rPr>
        <w:drawing>
          <wp:inline distT="0" distB="0" distL="0" distR="0" wp14:anchorId="3BCDF7EB" wp14:editId="3282730B">
            <wp:extent cx="6264275" cy="3352165"/>
            <wp:effectExtent l="0" t="0" r="3175" b="0"/>
            <wp:docPr id="33" name="Picture 33" descr="Figure 8 depicts the rate of Indigenous, non-Indigenous and all children who were in out-of-home care in Australia on 30 June of each year, over the period between 2008-09 and 2017-18. The number of children in out-of-home care in Australia has increased from 34,069 (6.8 children per 1000) to 45,756 (8.3 children per 1000), representing a compound annual growth rate of 2 per cent per annum. Over the same period the number of Aboriginal and Torres Strait Islander children in out-of-home care has also increased significantly from 10,512 (37.5 children per 1000) in 2008-09 to 17,787 (58.3 children per 1000) as at 2017-18,  representing a compound annual growth rate of 5 per cent per annum. In 2008-09 Aboriginal and Torres Strait Islander children made up 31 percent of all children in out-of-home care, this proportion has grown and in 2017-18 they made up 60 percent of all children in out-of-home care. In 2017-18 Aboriginal and Torres Strait Islander children were 11 times more likely than non-Indigenous children to be in out-of-home care" title="Figure 8: Change in the rate of Indigenous and non-Indigenous children in out of home care Australia, 2008-09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64275" cy="3352165"/>
                    </a:xfrm>
                    <a:prstGeom prst="rect">
                      <a:avLst/>
                    </a:prstGeom>
                    <a:noFill/>
                    <a:ln>
                      <a:noFill/>
                    </a:ln>
                  </pic:spPr>
                </pic:pic>
              </a:graphicData>
            </a:graphic>
          </wp:inline>
        </w:drawing>
      </w:r>
      <w:r w:rsidRPr="004266BE" w:rsidDel="004266BE">
        <w:t xml:space="preserve"> </w:t>
      </w:r>
    </w:p>
    <w:p w14:paraId="0422C057" w14:textId="77777777" w:rsidR="00BF2793" w:rsidRDefault="00BF2793" w:rsidP="00BF2793">
      <w:pPr>
        <w:pStyle w:val="PwCNormal"/>
        <w:numPr>
          <w:ilvl w:val="0"/>
          <w:numId w:val="0"/>
        </w:numPr>
      </w:pPr>
      <w:r>
        <w:t xml:space="preserve">There is no consistent trend in the rate of children in notifications, investigations and substantiations across Australia. </w:t>
      </w:r>
      <w:r w:rsidR="004A33C6">
        <w:t xml:space="preserve">This is because it is challenging to draw conclusions across and within jurisdictions as </w:t>
      </w:r>
      <w:r w:rsidR="00B25820">
        <w:t xml:space="preserve">practices and processes have changed over the timeframes considered. </w:t>
      </w:r>
      <w:r>
        <w:t xml:space="preserve">While at a national level there has been an increase in notifications from 43.5 per 1000 to 44.7 per 1000 between 2008-09 and 2017-18 and an increase in substantiations from 6.9 per 1000 to 8.5 per 1000 between 2008-09 and 2017-18. There has been a national decrease in investigations over the same period from 21.5 per 1000 to 17.5 per 1000. </w:t>
      </w:r>
    </w:p>
    <w:p w14:paraId="443987A5" w14:textId="15AD722E" w:rsidR="00BF2793" w:rsidRDefault="00BF2793" w:rsidP="00BF2793">
      <w:pPr>
        <w:pStyle w:val="PwCNormal"/>
        <w:numPr>
          <w:ilvl w:val="0"/>
          <w:numId w:val="0"/>
        </w:numPr>
      </w:pPr>
      <w:r>
        <w:t xml:space="preserve">Additionally, the national average masks significant jurisdictional differences. </w:t>
      </w:r>
      <w:r w:rsidR="009F2751">
        <w:fldChar w:fldCharType="begin"/>
      </w:r>
      <w:r w:rsidR="009F2751">
        <w:instrText xml:space="preserve"> REF _Ref31296490 \h </w:instrText>
      </w:r>
      <w:r w:rsidR="009F2751">
        <w:fldChar w:fldCharType="separate"/>
      </w:r>
      <w:r w:rsidR="00D75351" w:rsidRPr="0096320D">
        <w:t xml:space="preserve">Table </w:t>
      </w:r>
      <w:r w:rsidR="00D75351">
        <w:rPr>
          <w:noProof/>
        </w:rPr>
        <w:t>4</w:t>
      </w:r>
      <w:r w:rsidR="009F2751">
        <w:fldChar w:fldCharType="end"/>
      </w:r>
      <w:r w:rsidR="009F2751">
        <w:t xml:space="preserve"> </w:t>
      </w:r>
      <w:r>
        <w:t xml:space="preserve">shows that the rate of notifications increased over the period in four jurisdictions and decreased in four jurisdictions. A similar pattern is also observable in investigations which increased in three jurisdictions and decreased in five jurisdictions and substantiations which increased in three jurisdictions while decreasing in five jurisdictions. </w:t>
      </w:r>
    </w:p>
    <w:p w14:paraId="6E15AE10" w14:textId="47694592" w:rsidR="00BF2793" w:rsidRDefault="00BF2793" w:rsidP="00BF2793">
      <w:pPr>
        <w:pStyle w:val="PwCNormal"/>
        <w:numPr>
          <w:ilvl w:val="0"/>
          <w:numId w:val="0"/>
        </w:numPr>
      </w:pPr>
      <w:r>
        <w:t>Jurisdictional differences may also be driven by a large number of reporting and policy/legislative changes over the period which have influenced the comparability of data (these are summarised in</w:t>
      </w:r>
      <w:r w:rsidR="009F2751">
        <w:t xml:space="preserve"> </w:t>
      </w:r>
      <w:r w:rsidR="009F2751">
        <w:fldChar w:fldCharType="begin"/>
      </w:r>
      <w:r w:rsidR="009F2751">
        <w:instrText xml:space="preserve"> REF _Ref31296490 \h </w:instrText>
      </w:r>
      <w:r w:rsidR="009F2751">
        <w:fldChar w:fldCharType="separate"/>
      </w:r>
      <w:r w:rsidR="00D75351" w:rsidRPr="0096320D">
        <w:t xml:space="preserve">Table </w:t>
      </w:r>
      <w:r w:rsidR="00D75351">
        <w:rPr>
          <w:noProof/>
        </w:rPr>
        <w:t>4</w:t>
      </w:r>
      <w:r w:rsidR="009F2751">
        <w:fldChar w:fldCharType="end"/>
      </w:r>
      <w:r w:rsidR="009F2751">
        <w:t>)</w:t>
      </w:r>
      <w:r>
        <w:t xml:space="preserve">. For example, in Queensland, amendments to the </w:t>
      </w:r>
      <w:r w:rsidRPr="00372217">
        <w:rPr>
          <w:i/>
        </w:rPr>
        <w:t>Child Protection Act 1999</w:t>
      </w:r>
      <w:r>
        <w:t xml:space="preserve">, changed mandatory reporting requirements and significantly influenced the number of notifications made in that jurisdiction. </w:t>
      </w:r>
    </w:p>
    <w:p w14:paraId="50C395F2" w14:textId="77777777" w:rsidR="000F0022" w:rsidRDefault="000F0022">
      <w:pPr>
        <w:kinsoku/>
        <w:overflowPunct/>
        <w:autoSpaceDE/>
        <w:autoSpaceDN/>
        <w:adjustRightInd/>
        <w:snapToGrid/>
        <w:spacing w:line="240" w:lineRule="auto"/>
        <w:rPr>
          <w:color w:val="000000" w:themeColor="text1"/>
        </w:rPr>
      </w:pPr>
      <w:r>
        <w:br w:type="page"/>
      </w:r>
    </w:p>
    <w:p w14:paraId="7A5C41BF" w14:textId="52214E4E" w:rsidR="00BF2793" w:rsidRPr="0096320D" w:rsidRDefault="00BF2793" w:rsidP="00BF2793">
      <w:pPr>
        <w:pStyle w:val="Caption"/>
      </w:pPr>
      <w:bookmarkStart w:id="123" w:name="_Ref31296490"/>
      <w:r w:rsidRPr="0096320D">
        <w:lastRenderedPageBreak/>
        <w:t xml:space="preserve">Table </w:t>
      </w:r>
      <w:fldSimple w:instr=" SEQ Table \* ARABIC ">
        <w:r w:rsidR="00D75351">
          <w:rPr>
            <w:noProof/>
          </w:rPr>
          <w:t>4</w:t>
        </w:r>
      </w:fldSimple>
      <w:bookmarkEnd w:id="123"/>
      <w:r w:rsidRPr="0096320D">
        <w:t>: Rate of change per 1</w:t>
      </w:r>
      <w:r>
        <w:t>,</w:t>
      </w:r>
      <w:r w:rsidRPr="0096320D">
        <w:t>000 children between 2008-9 and 2017-18 for notifications, investigations and substantiations</w:t>
      </w:r>
      <w:r w:rsidRPr="0096320D">
        <w:rPr>
          <w:rStyle w:val="FootnoteReference"/>
        </w:rPr>
        <w:footnoteReference w:id="17"/>
      </w:r>
    </w:p>
    <w:tbl>
      <w:tblPr>
        <w:tblStyle w:val="PwCColour"/>
        <w:tblW w:w="10207" w:type="dxa"/>
        <w:tblLook w:val="04A0" w:firstRow="1" w:lastRow="0" w:firstColumn="1" w:lastColumn="0" w:noHBand="0" w:noVBand="1"/>
        <w:tblCaption w:val="Table 4: Rate of change per 1,000 children between 2008-9 and 2017-18 for notifications, investigations and substantiations"/>
        <w:tblDescription w:val="The rate of change per 1,000 children between 2008-9 and 2017-18 for notifications, investigations and substantiations is broken down by state as follows&#10;&#10;CAGR is the compound annual growth rate.&#10;&#10;Tasmania &#10;Notifications: The difference is down by 10.8, and the CAGR minus 2%.&#10;Investigation: The difference is down by 8.3, and the CAGR minus 8%.&#10;Substantiations: The difference is down by 3.5, and the CAGR minus 5%&#10;Factors influencing comparability: Changes to the definition of a notification were introduced as of 2015-16 making data from previous years incomparable with data from 2015-16 onwards. 2015-16 data is now consistent with other jurisdictions.&#10;&#10;Victoria&#10;Notifications: The difference is up by 26.2, and the CAGR positive 7%.&#10;Investigation: The difference is up by 12.9, and the CAGR positive 11%.&#10;Substantiations: The difference is up by 7.2, and the CAGR positive 10%&#10;Factors influencing comparability: None. &#10;&#10;Northern Territory&#10;Notifications: The difference is up by 115.6, and the CAGR positive 11%.&#10;Investigation: The difference is up by 49.9, and the CAGR positive 11%.&#10;Substantiations: The difference is up by 14.4, and the CAGR positive 9%&#10;Factors influencing comparability: None. &#10;&#10;New South Wales&#10;Notifications: The difference is down by 19.3, and the CAGR minus 3%.&#10;Investigation: NA reported&#10;Substantiations: NA reported&#10;Factors influencing comparability: NSW implemented a new client management system in 2017-18 to improve data quality for future periods. Limited data was provided for 2017-18. &#10;&#10;Queensland&#10;Notifications: The difference is down by 3.1, and the CAGR minus 2%.&#10;Investigation: The difference is down by 1.5, and the CAGR minus 1%.&#10;Substantiations: The difference is down by 1.6, and the CAGR minus 3%&#10;Factors influencing comparability: From 2014-15 Qld made a suite of changes including; requiring all notifications to be investigated, the consolidation of mandatory reporting legislation and ‘child concern reports’. Data from 2014-15 onwards is not comparable with earlier periods. &#10;&#10;Western Australia&#10;Notifications: The difference is up by 7.2, and the CAGR positive 4%.&#10;Investigation: The difference is up by 7.4, and the CAGR positive 8%.&#10;Substantiations: The difference is up by 4.5, and the CAGR positive 11%&#10;Factors influencing comparability: None. &#10;&#10;South Australia&#10;Notifications: The difference is down by 4.3, and the CAGR minus 1%.&#10;Investigation: The difference is down by 5.9, and the CAGR minus 6%.&#10;Substantiations: The difference is down by 1.2, and the CAGR minus 3%&#10;Factors influencing comparability: SA only counts notifications as those reports which meet the criteria for a reasonable suspicions of child abuse and neglect. &#10;&#10;Australian Capital Territory &#10;Notifications: The difference is up by 11.2, and the CAGR positive 2%.&#10;Investigation: The difference is down by 2.2, and the CAGR negative 2%.&#10;Substantiations: The difference is down by 5.2, and the CAGR negative 11%&#10;Factors influencing comparability: ACT includes notifications as all intakes that meet the definition of both a child concern report and a child protection report. &#10;&#10;Commonwealth&#10;Notifications: The difference is up by 1.2, and the CAGR positive 2%.&#10;Investigation: The difference is down by 4, and the CAGR negative 2%.&#10;Substantiations: The difference is up by 1.6, and the CAGR positive 2%&#10;Factors influencing comparability:  Left blank.&#10;"/>
      </w:tblPr>
      <w:tblGrid>
        <w:gridCol w:w="1395"/>
        <w:gridCol w:w="999"/>
        <w:gridCol w:w="1218"/>
        <w:gridCol w:w="999"/>
        <w:gridCol w:w="1261"/>
        <w:gridCol w:w="1018"/>
        <w:gridCol w:w="623"/>
        <w:gridCol w:w="65"/>
        <w:gridCol w:w="2629"/>
      </w:tblGrid>
      <w:tr w:rsidR="00BF2793" w:rsidRPr="0096320D" w14:paraId="4096AE03" w14:textId="77777777" w:rsidTr="00717604">
        <w:trPr>
          <w:cnfStyle w:val="100000000000" w:firstRow="1" w:lastRow="0" w:firstColumn="0" w:lastColumn="0" w:oddVBand="0" w:evenVBand="0" w:oddHBand="0" w:evenHBand="0" w:firstRowFirstColumn="0" w:firstRowLastColumn="0" w:lastRowFirstColumn="0" w:lastRowLastColumn="0"/>
          <w:cantSplit/>
        </w:trPr>
        <w:tc>
          <w:tcPr>
            <w:cnfStyle w:val="000000000100" w:firstRow="0" w:lastRow="0" w:firstColumn="0" w:lastColumn="0" w:oddVBand="0" w:evenVBand="0" w:oddHBand="0" w:evenHBand="0" w:firstRowFirstColumn="1" w:firstRowLastColumn="0" w:lastRowFirstColumn="0" w:lastRowLastColumn="0"/>
            <w:tcW w:w="1395" w:type="dxa"/>
            <w:tcBorders>
              <w:left w:val="nil"/>
              <w:right w:val="nil"/>
            </w:tcBorders>
            <w:vAlign w:val="center"/>
          </w:tcPr>
          <w:p w14:paraId="40533E9D" w14:textId="77777777" w:rsidR="00BF2793" w:rsidRPr="0096320D" w:rsidRDefault="00BF2793" w:rsidP="00717604">
            <w:pPr>
              <w:pStyle w:val="TableColumnHeadingSmall"/>
            </w:pPr>
            <w:r>
              <w:t>Jurisdiction</w:t>
            </w:r>
          </w:p>
        </w:tc>
        <w:tc>
          <w:tcPr>
            <w:tcW w:w="2217" w:type="dxa"/>
            <w:gridSpan w:val="2"/>
            <w:tcBorders>
              <w:left w:val="nil"/>
            </w:tcBorders>
            <w:vAlign w:val="center"/>
          </w:tcPr>
          <w:p w14:paraId="5495DB2F" w14:textId="77777777" w:rsidR="00BF2793" w:rsidRPr="0096320D" w:rsidRDefault="00BF2793" w:rsidP="00717604">
            <w:pPr>
              <w:pStyle w:val="TableColumnHeadingSmall"/>
              <w:cnfStyle w:val="100000000000" w:firstRow="1" w:lastRow="0" w:firstColumn="0" w:lastColumn="0" w:oddVBand="0" w:evenVBand="0" w:oddHBand="0" w:evenHBand="0" w:firstRowFirstColumn="0" w:firstRowLastColumn="0" w:lastRowFirstColumn="0" w:lastRowLastColumn="0"/>
            </w:pPr>
            <w:r w:rsidRPr="0096320D">
              <w:t>Notifications</w:t>
            </w:r>
          </w:p>
        </w:tc>
        <w:tc>
          <w:tcPr>
            <w:tcW w:w="2260" w:type="dxa"/>
            <w:gridSpan w:val="2"/>
            <w:vAlign w:val="center"/>
          </w:tcPr>
          <w:p w14:paraId="1406853A" w14:textId="77777777" w:rsidR="00BF2793" w:rsidRPr="0096320D" w:rsidRDefault="00BF2793" w:rsidP="00717604">
            <w:pPr>
              <w:pStyle w:val="TableColumnHeadingSmall"/>
              <w:cnfStyle w:val="100000000000" w:firstRow="1" w:lastRow="0" w:firstColumn="0" w:lastColumn="0" w:oddVBand="0" w:evenVBand="0" w:oddHBand="0" w:evenHBand="0" w:firstRowFirstColumn="0" w:firstRowLastColumn="0" w:lastRowFirstColumn="0" w:lastRowLastColumn="0"/>
            </w:pPr>
            <w:r w:rsidRPr="0096320D">
              <w:t>Investigations</w:t>
            </w:r>
          </w:p>
        </w:tc>
        <w:tc>
          <w:tcPr>
            <w:tcW w:w="1641" w:type="dxa"/>
            <w:gridSpan w:val="2"/>
            <w:vAlign w:val="center"/>
          </w:tcPr>
          <w:p w14:paraId="5931ABCE" w14:textId="77777777" w:rsidR="00BF2793" w:rsidRPr="0096320D" w:rsidRDefault="00BF2793" w:rsidP="00717604">
            <w:pPr>
              <w:pStyle w:val="TableColumnHeadingSmall"/>
              <w:cnfStyle w:val="100000000000" w:firstRow="1" w:lastRow="0" w:firstColumn="0" w:lastColumn="0" w:oddVBand="0" w:evenVBand="0" w:oddHBand="0" w:evenHBand="0" w:firstRowFirstColumn="0" w:firstRowLastColumn="0" w:lastRowFirstColumn="0" w:lastRowLastColumn="0"/>
            </w:pPr>
            <w:r w:rsidRPr="0096320D">
              <w:t>Substantiations</w:t>
            </w:r>
          </w:p>
        </w:tc>
        <w:tc>
          <w:tcPr>
            <w:tcW w:w="2694" w:type="dxa"/>
            <w:gridSpan w:val="2"/>
            <w:vAlign w:val="center"/>
          </w:tcPr>
          <w:p w14:paraId="6198DE58" w14:textId="77777777" w:rsidR="00BF2793" w:rsidRPr="0096320D" w:rsidRDefault="00BF2793" w:rsidP="00717604">
            <w:pPr>
              <w:pStyle w:val="TableColumnHeadingSmall"/>
              <w:cnfStyle w:val="100000000000" w:firstRow="1" w:lastRow="0" w:firstColumn="0" w:lastColumn="0" w:oddVBand="0" w:evenVBand="0" w:oddHBand="0" w:evenHBand="0" w:firstRowFirstColumn="0" w:firstRowLastColumn="0" w:lastRowFirstColumn="0" w:lastRowLastColumn="0"/>
            </w:pPr>
            <w:r>
              <w:t>Factors influencing comparability</w:t>
            </w:r>
          </w:p>
        </w:tc>
      </w:tr>
      <w:tr w:rsidR="00BF2793" w:rsidRPr="0096320D" w14:paraId="4EB3A97E" w14:textId="77777777" w:rsidTr="00717604">
        <w:trPr>
          <w:cantSplit/>
        </w:trPr>
        <w:tc>
          <w:tcPr>
            <w:tcW w:w="1395" w:type="dxa"/>
            <w:tcBorders>
              <w:top w:val="single" w:sz="4" w:space="0" w:color="EB8C00" w:themeColor="accent4"/>
              <w:right w:val="dotted" w:sz="4" w:space="0" w:color="808080" w:themeColor="background1" w:themeShade="80"/>
            </w:tcBorders>
          </w:tcPr>
          <w:p w14:paraId="6F9E6CF9" w14:textId="77777777" w:rsidR="00BF2793" w:rsidRPr="0096320D" w:rsidRDefault="00BF2793" w:rsidP="00717604">
            <w:pPr>
              <w:pStyle w:val="TableColumnHeadingSmall"/>
            </w:pPr>
          </w:p>
        </w:tc>
        <w:tc>
          <w:tcPr>
            <w:tcW w:w="999" w:type="dxa"/>
            <w:tcBorders>
              <w:top w:val="single" w:sz="4" w:space="0" w:color="EB8C00" w:themeColor="accent4"/>
              <w:left w:val="dotted" w:sz="4" w:space="0" w:color="808080" w:themeColor="background1" w:themeShade="80"/>
            </w:tcBorders>
          </w:tcPr>
          <w:p w14:paraId="2BC77C07" w14:textId="77777777" w:rsidR="00BF2793" w:rsidRPr="0096320D" w:rsidRDefault="00BF2793" w:rsidP="00717604">
            <w:pPr>
              <w:pStyle w:val="TableColumnHeadingSmall"/>
              <w:rPr>
                <w:i/>
              </w:rPr>
            </w:pPr>
            <w:r w:rsidRPr="0096320D">
              <w:rPr>
                <w:i/>
              </w:rPr>
              <w:t xml:space="preserve">Difference </w:t>
            </w:r>
          </w:p>
        </w:tc>
        <w:tc>
          <w:tcPr>
            <w:tcW w:w="1218" w:type="dxa"/>
            <w:tcBorders>
              <w:top w:val="single" w:sz="4" w:space="0" w:color="EB8C00" w:themeColor="accent4"/>
              <w:right w:val="dotted" w:sz="4" w:space="0" w:color="auto"/>
            </w:tcBorders>
          </w:tcPr>
          <w:p w14:paraId="1EEDDDDB" w14:textId="77777777" w:rsidR="00BF2793" w:rsidRPr="0096320D" w:rsidRDefault="00BF2793" w:rsidP="00717604">
            <w:pPr>
              <w:pStyle w:val="TableColumnHeadingSmall"/>
              <w:rPr>
                <w:i/>
              </w:rPr>
            </w:pPr>
            <w:r>
              <w:rPr>
                <w:i/>
              </w:rPr>
              <w:t>CAGR</w:t>
            </w:r>
          </w:p>
        </w:tc>
        <w:tc>
          <w:tcPr>
            <w:tcW w:w="999" w:type="dxa"/>
            <w:tcBorders>
              <w:top w:val="single" w:sz="4" w:space="0" w:color="EB8C00" w:themeColor="accent4"/>
              <w:left w:val="dotted" w:sz="4" w:space="0" w:color="auto"/>
            </w:tcBorders>
          </w:tcPr>
          <w:p w14:paraId="2664CEB6" w14:textId="77777777" w:rsidR="00BF2793" w:rsidRPr="0096320D" w:rsidRDefault="00BF2793" w:rsidP="00717604">
            <w:pPr>
              <w:pStyle w:val="TableColumnHeadingSmall"/>
            </w:pPr>
            <w:r w:rsidRPr="0096320D">
              <w:rPr>
                <w:i/>
              </w:rPr>
              <w:t xml:space="preserve">Difference </w:t>
            </w:r>
          </w:p>
        </w:tc>
        <w:tc>
          <w:tcPr>
            <w:tcW w:w="1261" w:type="dxa"/>
            <w:tcBorders>
              <w:top w:val="single" w:sz="4" w:space="0" w:color="EB8C00" w:themeColor="accent4"/>
              <w:right w:val="dotted" w:sz="4" w:space="0" w:color="auto"/>
            </w:tcBorders>
          </w:tcPr>
          <w:p w14:paraId="045ADFC8" w14:textId="77777777" w:rsidR="00BF2793" w:rsidRPr="0096320D" w:rsidRDefault="00BF2793" w:rsidP="00717604">
            <w:pPr>
              <w:pStyle w:val="TableColumnHeadingSmall"/>
            </w:pPr>
            <w:r>
              <w:rPr>
                <w:i/>
              </w:rPr>
              <w:t>CAGR</w:t>
            </w:r>
          </w:p>
        </w:tc>
        <w:tc>
          <w:tcPr>
            <w:tcW w:w="1018" w:type="dxa"/>
            <w:tcBorders>
              <w:top w:val="single" w:sz="4" w:space="0" w:color="EB8C00" w:themeColor="accent4"/>
              <w:left w:val="dotted" w:sz="4" w:space="0" w:color="auto"/>
            </w:tcBorders>
          </w:tcPr>
          <w:p w14:paraId="2D47AFF5" w14:textId="77777777" w:rsidR="00BF2793" w:rsidRPr="0096320D" w:rsidRDefault="00BF2793" w:rsidP="00717604">
            <w:pPr>
              <w:pStyle w:val="TableColumnHeadingSmall"/>
            </w:pPr>
            <w:r w:rsidRPr="0096320D">
              <w:rPr>
                <w:i/>
              </w:rPr>
              <w:t xml:space="preserve">Difference </w:t>
            </w:r>
          </w:p>
        </w:tc>
        <w:tc>
          <w:tcPr>
            <w:tcW w:w="688" w:type="dxa"/>
            <w:gridSpan w:val="2"/>
            <w:tcBorders>
              <w:top w:val="single" w:sz="4" w:space="0" w:color="EB8C00" w:themeColor="accent4"/>
              <w:right w:val="dotted" w:sz="4" w:space="0" w:color="7D7D7D" w:themeColor="text2"/>
            </w:tcBorders>
          </w:tcPr>
          <w:p w14:paraId="32361B9A" w14:textId="77777777" w:rsidR="00BF2793" w:rsidRPr="0096320D" w:rsidRDefault="00BF2793" w:rsidP="00717604">
            <w:pPr>
              <w:pStyle w:val="TableColumnHeadingSmall"/>
            </w:pPr>
            <w:r>
              <w:rPr>
                <w:i/>
              </w:rPr>
              <w:t>CAGR</w:t>
            </w:r>
          </w:p>
        </w:tc>
        <w:tc>
          <w:tcPr>
            <w:tcW w:w="2629" w:type="dxa"/>
            <w:tcBorders>
              <w:top w:val="single" w:sz="4" w:space="0" w:color="EB8C00" w:themeColor="accent4"/>
              <w:left w:val="dotted" w:sz="4" w:space="0" w:color="7D7D7D" w:themeColor="text2"/>
            </w:tcBorders>
          </w:tcPr>
          <w:p w14:paraId="60CDB55D" w14:textId="77777777" w:rsidR="00BF2793" w:rsidRDefault="00BF2793" w:rsidP="00717604">
            <w:pPr>
              <w:pStyle w:val="TableColumnHeadingSmall"/>
              <w:rPr>
                <w:i/>
              </w:rPr>
            </w:pPr>
          </w:p>
        </w:tc>
      </w:tr>
      <w:tr w:rsidR="00BF2793" w:rsidRPr="0096320D" w14:paraId="6D94231D" w14:textId="77777777" w:rsidTr="00717604">
        <w:tc>
          <w:tcPr>
            <w:tcW w:w="1395" w:type="dxa"/>
            <w:tcBorders>
              <w:top w:val="single" w:sz="4" w:space="0" w:color="EB8C00" w:themeColor="accent4"/>
              <w:right w:val="dotted" w:sz="4" w:space="0" w:color="808080" w:themeColor="background1" w:themeShade="80"/>
            </w:tcBorders>
            <w:vAlign w:val="center"/>
          </w:tcPr>
          <w:p w14:paraId="5D7A3883" w14:textId="77777777" w:rsidR="00BF2793" w:rsidRPr="0096320D" w:rsidRDefault="00BF2793" w:rsidP="00717604">
            <w:pPr>
              <w:pStyle w:val="TableTextSmall"/>
            </w:pPr>
            <w:r w:rsidRPr="0096320D">
              <w:t>Tasmania</w:t>
            </w:r>
          </w:p>
        </w:tc>
        <w:tc>
          <w:tcPr>
            <w:tcW w:w="999" w:type="dxa"/>
            <w:tcBorders>
              <w:top w:val="single" w:sz="4" w:space="0" w:color="EB8C00" w:themeColor="accent4"/>
              <w:left w:val="dotted" w:sz="4" w:space="0" w:color="808080" w:themeColor="background1" w:themeShade="80"/>
            </w:tcBorders>
            <w:vAlign w:val="center"/>
          </w:tcPr>
          <w:p w14:paraId="34D6EF74" w14:textId="77777777" w:rsidR="00BF2793" w:rsidRPr="0096320D" w:rsidRDefault="00BF2793" w:rsidP="00717604">
            <w:pPr>
              <w:pStyle w:val="TableTextSmall"/>
            </w:pPr>
            <w:r w:rsidRPr="0096320D">
              <w:rPr>
                <w:rFonts w:cstheme="minorHAnsi"/>
                <w:sz w:val="24"/>
              </w:rPr>
              <w:t xml:space="preserve">↓ </w:t>
            </w:r>
            <w:r w:rsidRPr="0096320D">
              <w:t>10.8</w:t>
            </w:r>
          </w:p>
        </w:tc>
        <w:tc>
          <w:tcPr>
            <w:tcW w:w="1218" w:type="dxa"/>
            <w:tcBorders>
              <w:top w:val="single" w:sz="4" w:space="0" w:color="EB8C00" w:themeColor="accent4"/>
              <w:bottom w:val="dotted" w:sz="8" w:space="0" w:color="7D7D7D" w:themeColor="text2"/>
              <w:right w:val="dotted" w:sz="4" w:space="0" w:color="auto"/>
            </w:tcBorders>
            <w:vAlign w:val="center"/>
          </w:tcPr>
          <w:p w14:paraId="34AD0444" w14:textId="77777777" w:rsidR="00BF2793" w:rsidRPr="00BD418C" w:rsidRDefault="00BF2793" w:rsidP="00717604">
            <w:pPr>
              <w:pStyle w:val="TableTextSmall"/>
              <w:rPr>
                <w:rFonts w:ascii="Calibri" w:hAnsi="Calibri" w:cs="Calibri"/>
                <w:snapToGrid/>
                <w:color w:val="000000"/>
                <w:lang w:eastAsia="en-AU"/>
              </w:rPr>
            </w:pPr>
            <w:r w:rsidRPr="00613A1D">
              <w:t>-2%</w:t>
            </w:r>
          </w:p>
        </w:tc>
        <w:tc>
          <w:tcPr>
            <w:tcW w:w="999" w:type="dxa"/>
            <w:tcBorders>
              <w:top w:val="single" w:sz="4" w:space="0" w:color="EB8C00" w:themeColor="accent4"/>
              <w:left w:val="dotted" w:sz="4" w:space="0" w:color="auto"/>
            </w:tcBorders>
            <w:vAlign w:val="center"/>
          </w:tcPr>
          <w:p w14:paraId="6C897759" w14:textId="77777777" w:rsidR="00BF2793" w:rsidRPr="0096320D" w:rsidRDefault="00BF2793" w:rsidP="00717604">
            <w:pPr>
              <w:pStyle w:val="TableTextSmall"/>
              <w:rPr>
                <w:rFonts w:cstheme="minorHAnsi"/>
              </w:rPr>
            </w:pPr>
            <w:r w:rsidRPr="0096320D">
              <w:rPr>
                <w:rFonts w:cstheme="minorHAnsi"/>
                <w:sz w:val="24"/>
              </w:rPr>
              <w:t xml:space="preserve">↓ </w:t>
            </w:r>
            <w:r w:rsidRPr="0096320D">
              <w:rPr>
                <w:rFonts w:cstheme="minorHAnsi"/>
              </w:rPr>
              <w:t>8.3</w:t>
            </w:r>
          </w:p>
        </w:tc>
        <w:tc>
          <w:tcPr>
            <w:tcW w:w="1261" w:type="dxa"/>
            <w:tcBorders>
              <w:top w:val="single" w:sz="4" w:space="0" w:color="EB8C00" w:themeColor="accent4"/>
              <w:left w:val="dotted" w:sz="4" w:space="0" w:color="auto"/>
              <w:bottom w:val="dotted" w:sz="8" w:space="0" w:color="7D7D7D" w:themeColor="text2"/>
              <w:right w:val="dotted" w:sz="4" w:space="0" w:color="auto"/>
            </w:tcBorders>
            <w:vAlign w:val="center"/>
          </w:tcPr>
          <w:p w14:paraId="70B47895" w14:textId="77777777" w:rsidR="00BF2793" w:rsidRPr="0096320D" w:rsidRDefault="00BF2793" w:rsidP="00717604">
            <w:pPr>
              <w:pStyle w:val="TableTextSmall"/>
              <w:rPr>
                <w:rFonts w:cstheme="minorHAnsi"/>
              </w:rPr>
            </w:pPr>
            <w:r w:rsidRPr="005915A1">
              <w:t>-8%</w:t>
            </w:r>
          </w:p>
        </w:tc>
        <w:tc>
          <w:tcPr>
            <w:tcW w:w="1018" w:type="dxa"/>
            <w:tcBorders>
              <w:top w:val="single" w:sz="4" w:space="0" w:color="EB8C00" w:themeColor="accent4"/>
              <w:left w:val="dotted" w:sz="4" w:space="0" w:color="auto"/>
            </w:tcBorders>
            <w:vAlign w:val="center"/>
          </w:tcPr>
          <w:p w14:paraId="5682D1A8" w14:textId="77777777" w:rsidR="00BF2793" w:rsidRPr="0096320D" w:rsidRDefault="00BF2793" w:rsidP="00717604">
            <w:pPr>
              <w:pStyle w:val="TableTextSmall"/>
              <w:rPr>
                <w:rFonts w:cstheme="minorHAnsi"/>
              </w:rPr>
            </w:pPr>
            <w:r w:rsidRPr="0096320D">
              <w:rPr>
                <w:rFonts w:cstheme="minorHAnsi"/>
                <w:sz w:val="24"/>
              </w:rPr>
              <w:t xml:space="preserve">↓ </w:t>
            </w:r>
            <w:r w:rsidRPr="0096320D">
              <w:rPr>
                <w:rFonts w:cstheme="minorHAnsi"/>
              </w:rPr>
              <w:t>3.5</w:t>
            </w:r>
          </w:p>
        </w:tc>
        <w:tc>
          <w:tcPr>
            <w:tcW w:w="688" w:type="dxa"/>
            <w:gridSpan w:val="2"/>
            <w:tcBorders>
              <w:top w:val="single" w:sz="4" w:space="0" w:color="EB8C00" w:themeColor="accent4"/>
              <w:left w:val="dotted" w:sz="4" w:space="0" w:color="auto"/>
              <w:right w:val="dotted" w:sz="4" w:space="0" w:color="7D7D7D" w:themeColor="text2"/>
            </w:tcBorders>
            <w:vAlign w:val="center"/>
          </w:tcPr>
          <w:p w14:paraId="73B1F8AA" w14:textId="77777777" w:rsidR="00BF2793" w:rsidRPr="0096320D" w:rsidRDefault="00BF2793" w:rsidP="00717604">
            <w:pPr>
              <w:pStyle w:val="TableTextSmall"/>
              <w:rPr>
                <w:rFonts w:cstheme="minorHAnsi"/>
              </w:rPr>
            </w:pPr>
            <w:r w:rsidRPr="00BE73F8">
              <w:t>-5%</w:t>
            </w:r>
          </w:p>
        </w:tc>
        <w:tc>
          <w:tcPr>
            <w:tcW w:w="2629" w:type="dxa"/>
            <w:tcBorders>
              <w:top w:val="single" w:sz="4" w:space="0" w:color="EB8C00" w:themeColor="accent4"/>
              <w:left w:val="dotted" w:sz="4" w:space="0" w:color="7D7D7D" w:themeColor="text2"/>
            </w:tcBorders>
            <w:vAlign w:val="center"/>
          </w:tcPr>
          <w:p w14:paraId="0D9D7B69" w14:textId="77777777" w:rsidR="00BF2793" w:rsidRPr="0096320D" w:rsidRDefault="00BF2793" w:rsidP="00717604">
            <w:pPr>
              <w:pStyle w:val="TableTextSmall"/>
              <w:rPr>
                <w:rFonts w:cstheme="minorHAnsi"/>
              </w:rPr>
            </w:pPr>
            <w:r>
              <w:rPr>
                <w:rFonts w:cstheme="minorHAnsi"/>
              </w:rPr>
              <w:t xml:space="preserve">Changes to the definition of a notification were introduced as of 2015-16 making data from previous years incomparable with data from 2015-16 onwards. 2015-16 data is now consistent with other jurisdictions.  </w:t>
            </w:r>
          </w:p>
        </w:tc>
      </w:tr>
      <w:tr w:rsidR="00BF2793" w:rsidRPr="0096320D" w14:paraId="4E57F6C2" w14:textId="77777777" w:rsidTr="00717604">
        <w:tc>
          <w:tcPr>
            <w:tcW w:w="1395" w:type="dxa"/>
            <w:tcBorders>
              <w:right w:val="dotted" w:sz="4" w:space="0" w:color="808080" w:themeColor="background1" w:themeShade="80"/>
            </w:tcBorders>
            <w:vAlign w:val="center"/>
          </w:tcPr>
          <w:p w14:paraId="671403AC" w14:textId="77777777" w:rsidR="00BF2793" w:rsidRPr="0096320D" w:rsidRDefault="00BF2793" w:rsidP="00717604">
            <w:pPr>
              <w:pStyle w:val="TableTextSmall"/>
            </w:pPr>
            <w:r w:rsidRPr="0096320D">
              <w:t>Victoria</w:t>
            </w:r>
          </w:p>
        </w:tc>
        <w:tc>
          <w:tcPr>
            <w:tcW w:w="999" w:type="dxa"/>
            <w:tcBorders>
              <w:left w:val="dotted" w:sz="4" w:space="0" w:color="808080" w:themeColor="background1" w:themeShade="80"/>
            </w:tcBorders>
            <w:vAlign w:val="center"/>
          </w:tcPr>
          <w:p w14:paraId="05DDCC4F" w14:textId="77777777" w:rsidR="00BF2793" w:rsidRPr="0096320D" w:rsidRDefault="00BF2793" w:rsidP="00717604">
            <w:pPr>
              <w:pStyle w:val="TableTextSmall"/>
            </w:pPr>
            <w:r w:rsidRPr="0096320D">
              <w:rPr>
                <w:rFonts w:cstheme="minorHAnsi"/>
                <w:sz w:val="24"/>
              </w:rPr>
              <w:t xml:space="preserve">↑ </w:t>
            </w:r>
            <w:r w:rsidRPr="0096320D">
              <w:t>26.2</w:t>
            </w:r>
          </w:p>
        </w:tc>
        <w:tc>
          <w:tcPr>
            <w:tcW w:w="1218" w:type="dxa"/>
            <w:tcBorders>
              <w:top w:val="dotted" w:sz="8" w:space="0" w:color="7D7D7D" w:themeColor="text2"/>
              <w:bottom w:val="dotted" w:sz="8" w:space="0" w:color="7D7D7D" w:themeColor="text2"/>
              <w:right w:val="dotted" w:sz="4" w:space="0" w:color="auto"/>
            </w:tcBorders>
            <w:vAlign w:val="center"/>
          </w:tcPr>
          <w:p w14:paraId="28F3989D" w14:textId="77777777" w:rsidR="00BF2793" w:rsidRPr="0096320D" w:rsidRDefault="00BF2793" w:rsidP="00717604">
            <w:pPr>
              <w:pStyle w:val="TableTextSmall"/>
            </w:pPr>
            <w:r w:rsidRPr="00613A1D">
              <w:t>7%</w:t>
            </w:r>
          </w:p>
        </w:tc>
        <w:tc>
          <w:tcPr>
            <w:tcW w:w="999" w:type="dxa"/>
            <w:tcBorders>
              <w:left w:val="dotted" w:sz="4" w:space="0" w:color="auto"/>
            </w:tcBorders>
            <w:vAlign w:val="center"/>
          </w:tcPr>
          <w:p w14:paraId="2432956E" w14:textId="77777777" w:rsidR="00BF2793" w:rsidRPr="0096320D" w:rsidRDefault="00BF2793" w:rsidP="00717604">
            <w:pPr>
              <w:pStyle w:val="TableTextSmall"/>
              <w:rPr>
                <w:rFonts w:cstheme="minorHAnsi"/>
              </w:rPr>
            </w:pPr>
            <w:r w:rsidRPr="0096320D">
              <w:rPr>
                <w:rFonts w:cstheme="minorHAnsi"/>
                <w:sz w:val="24"/>
              </w:rPr>
              <w:t xml:space="preserve">↑ </w:t>
            </w:r>
            <w:r w:rsidRPr="0096320D">
              <w:rPr>
                <w:rFonts w:cstheme="minorHAnsi"/>
              </w:rPr>
              <w:t>12.9</w:t>
            </w:r>
          </w:p>
        </w:tc>
        <w:tc>
          <w:tcPr>
            <w:tcW w:w="1261" w:type="dxa"/>
            <w:tcBorders>
              <w:top w:val="dotted" w:sz="8" w:space="0" w:color="7D7D7D" w:themeColor="text2"/>
              <w:left w:val="dotted" w:sz="4" w:space="0" w:color="auto"/>
              <w:bottom w:val="dotted" w:sz="8" w:space="0" w:color="7D7D7D" w:themeColor="text2"/>
              <w:right w:val="dotted" w:sz="4" w:space="0" w:color="auto"/>
            </w:tcBorders>
            <w:vAlign w:val="center"/>
          </w:tcPr>
          <w:p w14:paraId="439B60FF" w14:textId="77777777" w:rsidR="00BF2793" w:rsidRPr="0096320D" w:rsidRDefault="00BF2793" w:rsidP="00717604">
            <w:pPr>
              <w:pStyle w:val="TableTextSmall"/>
              <w:rPr>
                <w:rFonts w:cstheme="minorHAnsi"/>
              </w:rPr>
            </w:pPr>
            <w:r w:rsidRPr="005915A1">
              <w:t>11%</w:t>
            </w:r>
          </w:p>
        </w:tc>
        <w:tc>
          <w:tcPr>
            <w:tcW w:w="1018" w:type="dxa"/>
            <w:tcBorders>
              <w:left w:val="dotted" w:sz="4" w:space="0" w:color="auto"/>
            </w:tcBorders>
            <w:vAlign w:val="center"/>
          </w:tcPr>
          <w:p w14:paraId="3AE4EDC7" w14:textId="77777777" w:rsidR="00BF2793" w:rsidRPr="0096320D" w:rsidRDefault="00BF2793" w:rsidP="00717604">
            <w:pPr>
              <w:pStyle w:val="TableTextSmall"/>
              <w:rPr>
                <w:rFonts w:cstheme="minorHAnsi"/>
              </w:rPr>
            </w:pPr>
            <w:r w:rsidRPr="0096320D">
              <w:rPr>
                <w:rFonts w:cstheme="minorHAnsi"/>
                <w:sz w:val="24"/>
              </w:rPr>
              <w:t xml:space="preserve">↑ </w:t>
            </w:r>
            <w:r w:rsidRPr="0096320D">
              <w:rPr>
                <w:rFonts w:cstheme="minorHAnsi"/>
              </w:rPr>
              <w:t>7.2</w:t>
            </w:r>
          </w:p>
        </w:tc>
        <w:tc>
          <w:tcPr>
            <w:tcW w:w="688" w:type="dxa"/>
            <w:gridSpan w:val="2"/>
            <w:tcBorders>
              <w:left w:val="dotted" w:sz="4" w:space="0" w:color="auto"/>
              <w:right w:val="dotted" w:sz="4" w:space="0" w:color="7D7D7D" w:themeColor="text2"/>
            </w:tcBorders>
            <w:vAlign w:val="center"/>
          </w:tcPr>
          <w:p w14:paraId="7B82CEA5" w14:textId="77777777" w:rsidR="00BF2793" w:rsidRPr="0096320D" w:rsidRDefault="00BF2793" w:rsidP="00717604">
            <w:pPr>
              <w:pStyle w:val="TableTextSmall"/>
              <w:rPr>
                <w:rFonts w:cstheme="minorHAnsi"/>
              </w:rPr>
            </w:pPr>
            <w:r w:rsidRPr="00BE73F8">
              <w:t>10%</w:t>
            </w:r>
          </w:p>
        </w:tc>
        <w:tc>
          <w:tcPr>
            <w:tcW w:w="2629" w:type="dxa"/>
            <w:tcBorders>
              <w:left w:val="dotted" w:sz="4" w:space="0" w:color="7D7D7D" w:themeColor="text2"/>
            </w:tcBorders>
            <w:vAlign w:val="center"/>
          </w:tcPr>
          <w:p w14:paraId="643E8A99" w14:textId="77777777" w:rsidR="00BF2793" w:rsidRPr="0096320D" w:rsidRDefault="00BF2793" w:rsidP="00717604">
            <w:pPr>
              <w:pStyle w:val="TableTextSmall"/>
              <w:rPr>
                <w:rFonts w:cstheme="minorHAnsi"/>
              </w:rPr>
            </w:pPr>
            <w:r>
              <w:rPr>
                <w:rFonts w:cstheme="minorHAnsi"/>
              </w:rPr>
              <w:t xml:space="preserve">None. </w:t>
            </w:r>
          </w:p>
        </w:tc>
      </w:tr>
      <w:tr w:rsidR="00BF2793" w:rsidRPr="0096320D" w14:paraId="351B9B09" w14:textId="77777777" w:rsidTr="00717604">
        <w:tc>
          <w:tcPr>
            <w:tcW w:w="1395" w:type="dxa"/>
            <w:tcBorders>
              <w:bottom w:val="dotted" w:sz="8" w:space="0" w:color="7D7D7D" w:themeColor="text2"/>
              <w:right w:val="dotted" w:sz="4" w:space="0" w:color="808080" w:themeColor="background1" w:themeShade="80"/>
            </w:tcBorders>
            <w:vAlign w:val="center"/>
          </w:tcPr>
          <w:p w14:paraId="1FA24EE3" w14:textId="77777777" w:rsidR="00BF2793" w:rsidRPr="0096320D" w:rsidRDefault="00BF2793" w:rsidP="00717604">
            <w:pPr>
              <w:pStyle w:val="TableTextSmall"/>
            </w:pPr>
            <w:r w:rsidRPr="0096320D">
              <w:t>Northern Territory</w:t>
            </w:r>
          </w:p>
        </w:tc>
        <w:tc>
          <w:tcPr>
            <w:tcW w:w="999" w:type="dxa"/>
            <w:tcBorders>
              <w:left w:val="dotted" w:sz="4" w:space="0" w:color="808080" w:themeColor="background1" w:themeShade="80"/>
              <w:bottom w:val="dotted" w:sz="8" w:space="0" w:color="7D7D7D" w:themeColor="text2"/>
            </w:tcBorders>
            <w:vAlign w:val="center"/>
          </w:tcPr>
          <w:p w14:paraId="30B92F36" w14:textId="77777777" w:rsidR="00BF2793" w:rsidRPr="0096320D" w:rsidRDefault="00BF2793" w:rsidP="00717604">
            <w:pPr>
              <w:pStyle w:val="TableTextSmall"/>
            </w:pPr>
            <w:r w:rsidRPr="0096320D">
              <w:rPr>
                <w:rFonts w:cstheme="minorHAnsi"/>
                <w:sz w:val="24"/>
              </w:rPr>
              <w:t xml:space="preserve">↑ </w:t>
            </w:r>
            <w:r w:rsidRPr="0096320D">
              <w:rPr>
                <w:rFonts w:cstheme="minorHAnsi"/>
              </w:rPr>
              <w:t>115.6</w:t>
            </w:r>
          </w:p>
        </w:tc>
        <w:tc>
          <w:tcPr>
            <w:tcW w:w="1218" w:type="dxa"/>
            <w:tcBorders>
              <w:top w:val="dotted" w:sz="8" w:space="0" w:color="7D7D7D" w:themeColor="text2"/>
              <w:bottom w:val="dotted" w:sz="8" w:space="0" w:color="7D7D7D" w:themeColor="text2"/>
              <w:right w:val="dotted" w:sz="4" w:space="0" w:color="auto"/>
            </w:tcBorders>
            <w:vAlign w:val="center"/>
          </w:tcPr>
          <w:p w14:paraId="4B54EECD" w14:textId="77777777" w:rsidR="00BF2793" w:rsidRPr="0096320D" w:rsidRDefault="00BF2793" w:rsidP="00717604">
            <w:pPr>
              <w:pStyle w:val="TableTextSmall"/>
            </w:pPr>
            <w:r w:rsidRPr="00613A1D">
              <w:t>11%</w:t>
            </w:r>
          </w:p>
        </w:tc>
        <w:tc>
          <w:tcPr>
            <w:tcW w:w="999" w:type="dxa"/>
            <w:tcBorders>
              <w:left w:val="dotted" w:sz="4" w:space="0" w:color="auto"/>
              <w:bottom w:val="dotted" w:sz="8" w:space="0" w:color="7D7D7D" w:themeColor="text2"/>
            </w:tcBorders>
            <w:vAlign w:val="center"/>
          </w:tcPr>
          <w:p w14:paraId="145A138E" w14:textId="77777777" w:rsidR="00BF2793" w:rsidRPr="0096320D" w:rsidRDefault="00BF2793" w:rsidP="00717604">
            <w:pPr>
              <w:pStyle w:val="TableTextSmall"/>
              <w:rPr>
                <w:rFonts w:cstheme="minorHAnsi"/>
              </w:rPr>
            </w:pPr>
            <w:r w:rsidRPr="0096320D">
              <w:rPr>
                <w:rFonts w:cstheme="minorHAnsi"/>
                <w:sz w:val="24"/>
              </w:rPr>
              <w:t xml:space="preserve">↑ </w:t>
            </w:r>
            <w:r w:rsidRPr="0096320D">
              <w:rPr>
                <w:rFonts w:cstheme="minorHAnsi"/>
              </w:rPr>
              <w:t>49.9</w:t>
            </w:r>
          </w:p>
        </w:tc>
        <w:tc>
          <w:tcPr>
            <w:tcW w:w="1261" w:type="dxa"/>
            <w:tcBorders>
              <w:top w:val="dotted" w:sz="8" w:space="0" w:color="7D7D7D" w:themeColor="text2"/>
              <w:left w:val="dotted" w:sz="4" w:space="0" w:color="auto"/>
              <w:bottom w:val="dotted" w:sz="8" w:space="0" w:color="7D7D7D" w:themeColor="text2"/>
              <w:right w:val="dotted" w:sz="4" w:space="0" w:color="auto"/>
            </w:tcBorders>
            <w:vAlign w:val="center"/>
          </w:tcPr>
          <w:p w14:paraId="5EACE355" w14:textId="77777777" w:rsidR="00BF2793" w:rsidRPr="0096320D" w:rsidRDefault="00BF2793" w:rsidP="00717604">
            <w:pPr>
              <w:pStyle w:val="TableTextSmall"/>
              <w:rPr>
                <w:rFonts w:cstheme="minorHAnsi"/>
              </w:rPr>
            </w:pPr>
            <w:r w:rsidRPr="005915A1">
              <w:t>11%</w:t>
            </w:r>
          </w:p>
        </w:tc>
        <w:tc>
          <w:tcPr>
            <w:tcW w:w="1018" w:type="dxa"/>
            <w:tcBorders>
              <w:left w:val="dotted" w:sz="4" w:space="0" w:color="auto"/>
              <w:bottom w:val="dotted" w:sz="8" w:space="0" w:color="7D7D7D" w:themeColor="text2"/>
            </w:tcBorders>
            <w:vAlign w:val="center"/>
          </w:tcPr>
          <w:p w14:paraId="299A2F4A" w14:textId="77777777" w:rsidR="00BF2793" w:rsidRPr="0096320D" w:rsidRDefault="00BF2793" w:rsidP="00717604">
            <w:pPr>
              <w:pStyle w:val="TableTextSmall"/>
              <w:rPr>
                <w:rFonts w:cstheme="minorHAnsi"/>
              </w:rPr>
            </w:pPr>
            <w:r w:rsidRPr="0096320D">
              <w:rPr>
                <w:rFonts w:cstheme="minorHAnsi"/>
                <w:sz w:val="24"/>
              </w:rPr>
              <w:t xml:space="preserve">↑ </w:t>
            </w:r>
            <w:r w:rsidRPr="0096320D">
              <w:rPr>
                <w:rFonts w:cstheme="minorHAnsi"/>
              </w:rPr>
              <w:t>14.4</w:t>
            </w:r>
          </w:p>
        </w:tc>
        <w:tc>
          <w:tcPr>
            <w:tcW w:w="688" w:type="dxa"/>
            <w:gridSpan w:val="2"/>
            <w:tcBorders>
              <w:left w:val="dotted" w:sz="4" w:space="0" w:color="auto"/>
              <w:bottom w:val="dotted" w:sz="8" w:space="0" w:color="7D7D7D" w:themeColor="text2"/>
              <w:right w:val="dotted" w:sz="4" w:space="0" w:color="7D7D7D" w:themeColor="text2"/>
            </w:tcBorders>
            <w:vAlign w:val="center"/>
          </w:tcPr>
          <w:p w14:paraId="1B14E395" w14:textId="77777777" w:rsidR="00BF2793" w:rsidRPr="0096320D" w:rsidRDefault="00BF2793" w:rsidP="00717604">
            <w:pPr>
              <w:pStyle w:val="TableTextSmall"/>
              <w:rPr>
                <w:rFonts w:cstheme="minorHAnsi"/>
              </w:rPr>
            </w:pPr>
            <w:r w:rsidRPr="00BE73F8">
              <w:t>9%</w:t>
            </w:r>
          </w:p>
        </w:tc>
        <w:tc>
          <w:tcPr>
            <w:tcW w:w="2629" w:type="dxa"/>
            <w:tcBorders>
              <w:left w:val="dotted" w:sz="4" w:space="0" w:color="7D7D7D" w:themeColor="text2"/>
              <w:bottom w:val="dotted" w:sz="8" w:space="0" w:color="7D7D7D" w:themeColor="text2"/>
            </w:tcBorders>
            <w:vAlign w:val="center"/>
          </w:tcPr>
          <w:p w14:paraId="0B6B795D" w14:textId="77777777" w:rsidR="00BF2793" w:rsidRPr="0096320D" w:rsidRDefault="00BF2793" w:rsidP="00717604">
            <w:pPr>
              <w:pStyle w:val="TableTextSmall"/>
              <w:rPr>
                <w:rFonts w:cstheme="minorHAnsi"/>
              </w:rPr>
            </w:pPr>
            <w:r>
              <w:rPr>
                <w:rFonts w:cstheme="minorHAnsi"/>
              </w:rPr>
              <w:t xml:space="preserve">None. </w:t>
            </w:r>
          </w:p>
        </w:tc>
      </w:tr>
      <w:tr w:rsidR="00BF2793" w:rsidRPr="0096320D" w14:paraId="4F5AD391" w14:textId="77777777" w:rsidTr="00717604">
        <w:tc>
          <w:tcPr>
            <w:tcW w:w="1395" w:type="dxa"/>
            <w:tcBorders>
              <w:top w:val="dotted" w:sz="8" w:space="0" w:color="7D7D7D" w:themeColor="text2"/>
              <w:bottom w:val="dotted" w:sz="4" w:space="0" w:color="auto"/>
              <w:right w:val="dotted" w:sz="4" w:space="0" w:color="808080" w:themeColor="background1" w:themeShade="80"/>
            </w:tcBorders>
            <w:vAlign w:val="center"/>
          </w:tcPr>
          <w:p w14:paraId="7F176F39" w14:textId="77777777" w:rsidR="00BF2793" w:rsidRPr="0096320D" w:rsidRDefault="00BF2793" w:rsidP="00717604">
            <w:pPr>
              <w:pStyle w:val="TableTextSmall"/>
            </w:pPr>
            <w:r w:rsidRPr="0096320D">
              <w:t>New South Wales</w:t>
            </w:r>
          </w:p>
        </w:tc>
        <w:tc>
          <w:tcPr>
            <w:tcW w:w="999" w:type="dxa"/>
            <w:tcBorders>
              <w:top w:val="dotted" w:sz="8" w:space="0" w:color="7D7D7D" w:themeColor="text2"/>
              <w:left w:val="dotted" w:sz="4" w:space="0" w:color="808080" w:themeColor="background1" w:themeShade="80"/>
              <w:bottom w:val="dotted" w:sz="4" w:space="0" w:color="auto"/>
            </w:tcBorders>
            <w:vAlign w:val="center"/>
          </w:tcPr>
          <w:p w14:paraId="4112DE6F" w14:textId="77777777" w:rsidR="00BF2793" w:rsidRPr="0096320D" w:rsidRDefault="00BF2793" w:rsidP="00717604">
            <w:pPr>
              <w:pStyle w:val="TableTextSmall"/>
            </w:pPr>
            <w:r w:rsidRPr="0096320D">
              <w:rPr>
                <w:rFonts w:cstheme="minorHAnsi"/>
                <w:sz w:val="24"/>
              </w:rPr>
              <w:t xml:space="preserve">↓ </w:t>
            </w:r>
            <w:r w:rsidRPr="0096320D">
              <w:t>19.3</w:t>
            </w:r>
          </w:p>
        </w:tc>
        <w:tc>
          <w:tcPr>
            <w:tcW w:w="1218" w:type="dxa"/>
            <w:tcBorders>
              <w:top w:val="dotted" w:sz="8" w:space="0" w:color="7D7D7D" w:themeColor="text2"/>
              <w:bottom w:val="dotted" w:sz="4" w:space="0" w:color="auto"/>
              <w:right w:val="dotted" w:sz="4" w:space="0" w:color="auto"/>
            </w:tcBorders>
            <w:vAlign w:val="center"/>
          </w:tcPr>
          <w:p w14:paraId="0BEC2490" w14:textId="77777777" w:rsidR="00BF2793" w:rsidRPr="0096320D" w:rsidRDefault="00BF2793" w:rsidP="00717604">
            <w:pPr>
              <w:pStyle w:val="TableTextSmall"/>
            </w:pPr>
            <w:r w:rsidRPr="00613A1D">
              <w:t>-3%</w:t>
            </w:r>
          </w:p>
        </w:tc>
        <w:tc>
          <w:tcPr>
            <w:tcW w:w="999" w:type="dxa"/>
            <w:tcBorders>
              <w:top w:val="dotted" w:sz="8" w:space="0" w:color="7D7D7D" w:themeColor="text2"/>
              <w:left w:val="dotted" w:sz="4" w:space="0" w:color="auto"/>
              <w:bottom w:val="dotted" w:sz="4" w:space="0" w:color="auto"/>
            </w:tcBorders>
            <w:vAlign w:val="center"/>
          </w:tcPr>
          <w:p w14:paraId="7D4372CA" w14:textId="77777777" w:rsidR="00BF2793" w:rsidRPr="0096320D" w:rsidRDefault="00BF2793" w:rsidP="00717604">
            <w:pPr>
              <w:pStyle w:val="TableTextSmall"/>
              <w:rPr>
                <w:rFonts w:cstheme="minorHAnsi"/>
              </w:rPr>
            </w:pPr>
          </w:p>
        </w:tc>
        <w:tc>
          <w:tcPr>
            <w:tcW w:w="1261" w:type="dxa"/>
            <w:tcBorders>
              <w:top w:val="dotted" w:sz="8" w:space="0" w:color="7D7D7D" w:themeColor="text2"/>
              <w:left w:val="dotted" w:sz="4" w:space="0" w:color="auto"/>
              <w:bottom w:val="dotted" w:sz="4" w:space="0" w:color="auto"/>
              <w:right w:val="dotted" w:sz="4" w:space="0" w:color="auto"/>
            </w:tcBorders>
            <w:vAlign w:val="center"/>
          </w:tcPr>
          <w:p w14:paraId="1F979E5B" w14:textId="77777777" w:rsidR="00BF2793" w:rsidRPr="0096320D" w:rsidRDefault="00BF2793" w:rsidP="00717604">
            <w:pPr>
              <w:pStyle w:val="TableTextSmall"/>
              <w:rPr>
                <w:rFonts w:cstheme="minorHAnsi"/>
              </w:rPr>
            </w:pPr>
            <w:r w:rsidRPr="005915A1">
              <w:t>NA</w:t>
            </w:r>
          </w:p>
        </w:tc>
        <w:tc>
          <w:tcPr>
            <w:tcW w:w="1018" w:type="dxa"/>
            <w:tcBorders>
              <w:top w:val="dotted" w:sz="8" w:space="0" w:color="7D7D7D" w:themeColor="text2"/>
              <w:left w:val="dotted" w:sz="4" w:space="0" w:color="auto"/>
              <w:bottom w:val="dotted" w:sz="4" w:space="0" w:color="auto"/>
            </w:tcBorders>
            <w:vAlign w:val="center"/>
          </w:tcPr>
          <w:p w14:paraId="16A2BCFD" w14:textId="77777777" w:rsidR="00BF2793" w:rsidRPr="0096320D" w:rsidRDefault="00BF2793" w:rsidP="00717604">
            <w:pPr>
              <w:pStyle w:val="TableTextSmall"/>
              <w:rPr>
                <w:rFonts w:cstheme="minorHAnsi"/>
              </w:rPr>
            </w:pPr>
          </w:p>
        </w:tc>
        <w:tc>
          <w:tcPr>
            <w:tcW w:w="688" w:type="dxa"/>
            <w:gridSpan w:val="2"/>
            <w:tcBorders>
              <w:top w:val="dotted" w:sz="8" w:space="0" w:color="7D7D7D" w:themeColor="text2"/>
              <w:left w:val="dotted" w:sz="4" w:space="0" w:color="auto"/>
              <w:bottom w:val="dotted" w:sz="4" w:space="0" w:color="auto"/>
              <w:right w:val="dotted" w:sz="4" w:space="0" w:color="7D7D7D" w:themeColor="text2"/>
            </w:tcBorders>
            <w:vAlign w:val="center"/>
          </w:tcPr>
          <w:p w14:paraId="7C38E4A9" w14:textId="77777777" w:rsidR="00BF2793" w:rsidRPr="0096320D" w:rsidRDefault="00BF2793" w:rsidP="00717604">
            <w:pPr>
              <w:pStyle w:val="TableTextSmall"/>
              <w:rPr>
                <w:rFonts w:cstheme="minorHAnsi"/>
              </w:rPr>
            </w:pPr>
            <w:r w:rsidRPr="00BE73F8">
              <w:t>NA</w:t>
            </w:r>
          </w:p>
        </w:tc>
        <w:tc>
          <w:tcPr>
            <w:tcW w:w="2629" w:type="dxa"/>
            <w:tcBorders>
              <w:top w:val="dotted" w:sz="8" w:space="0" w:color="7D7D7D" w:themeColor="text2"/>
              <w:left w:val="dotted" w:sz="4" w:space="0" w:color="7D7D7D" w:themeColor="text2"/>
              <w:bottom w:val="dotted" w:sz="4" w:space="0" w:color="auto"/>
            </w:tcBorders>
            <w:vAlign w:val="center"/>
          </w:tcPr>
          <w:p w14:paraId="2DA934C9" w14:textId="77777777" w:rsidR="00BF2793" w:rsidRPr="0096320D" w:rsidRDefault="00BF2793" w:rsidP="00717604">
            <w:pPr>
              <w:pStyle w:val="TableTextSmall"/>
              <w:rPr>
                <w:rFonts w:cstheme="minorHAnsi"/>
              </w:rPr>
            </w:pPr>
            <w:r>
              <w:rPr>
                <w:rFonts w:cstheme="minorHAnsi"/>
              </w:rPr>
              <w:t xml:space="preserve">NSW implemented a new client management system in 2017-18 to improve data quality for future periods. Limited data was provided for 2017-18. </w:t>
            </w:r>
          </w:p>
        </w:tc>
      </w:tr>
      <w:tr w:rsidR="00BF2793" w:rsidRPr="0096320D" w14:paraId="157ACB72" w14:textId="77777777" w:rsidTr="00717604">
        <w:tc>
          <w:tcPr>
            <w:tcW w:w="1395" w:type="dxa"/>
            <w:tcBorders>
              <w:top w:val="dotted" w:sz="4" w:space="0" w:color="auto"/>
              <w:right w:val="dotted" w:sz="4" w:space="0" w:color="808080" w:themeColor="background1" w:themeShade="80"/>
            </w:tcBorders>
            <w:vAlign w:val="center"/>
          </w:tcPr>
          <w:p w14:paraId="6A7345A1" w14:textId="77777777" w:rsidR="00BF2793" w:rsidRPr="0096320D" w:rsidRDefault="00BF2793" w:rsidP="00717604">
            <w:pPr>
              <w:pStyle w:val="TableTextSmall"/>
            </w:pPr>
            <w:r w:rsidRPr="0096320D">
              <w:t>Queensland</w:t>
            </w:r>
          </w:p>
        </w:tc>
        <w:tc>
          <w:tcPr>
            <w:tcW w:w="999" w:type="dxa"/>
            <w:tcBorders>
              <w:top w:val="dotted" w:sz="4" w:space="0" w:color="auto"/>
              <w:left w:val="dotted" w:sz="4" w:space="0" w:color="808080" w:themeColor="background1" w:themeShade="80"/>
            </w:tcBorders>
            <w:vAlign w:val="center"/>
          </w:tcPr>
          <w:p w14:paraId="6343172A" w14:textId="77777777" w:rsidR="00BF2793" w:rsidRPr="0096320D" w:rsidRDefault="00BF2793" w:rsidP="00717604">
            <w:pPr>
              <w:pStyle w:val="TableTextSmall"/>
            </w:pPr>
            <w:r w:rsidRPr="0096320D">
              <w:rPr>
                <w:rFonts w:cstheme="minorHAnsi"/>
                <w:sz w:val="24"/>
              </w:rPr>
              <w:t xml:space="preserve">↓ </w:t>
            </w:r>
            <w:r w:rsidRPr="0096320D">
              <w:t>3.1</w:t>
            </w:r>
          </w:p>
        </w:tc>
        <w:tc>
          <w:tcPr>
            <w:tcW w:w="1218" w:type="dxa"/>
            <w:tcBorders>
              <w:top w:val="dotted" w:sz="4" w:space="0" w:color="auto"/>
              <w:bottom w:val="dotted" w:sz="8" w:space="0" w:color="7D7D7D" w:themeColor="text2"/>
              <w:right w:val="dotted" w:sz="4" w:space="0" w:color="auto"/>
            </w:tcBorders>
            <w:vAlign w:val="center"/>
          </w:tcPr>
          <w:p w14:paraId="1FDC92C2" w14:textId="77777777" w:rsidR="00BF2793" w:rsidRPr="0096320D" w:rsidRDefault="00BF2793" w:rsidP="00717604">
            <w:pPr>
              <w:pStyle w:val="TableTextSmall"/>
            </w:pPr>
            <w:r w:rsidRPr="00613A1D">
              <w:t>-2%</w:t>
            </w:r>
          </w:p>
        </w:tc>
        <w:tc>
          <w:tcPr>
            <w:tcW w:w="999" w:type="dxa"/>
            <w:tcBorders>
              <w:top w:val="dotted" w:sz="4" w:space="0" w:color="auto"/>
              <w:left w:val="dotted" w:sz="4" w:space="0" w:color="auto"/>
            </w:tcBorders>
            <w:vAlign w:val="center"/>
          </w:tcPr>
          <w:p w14:paraId="6BF6D08D" w14:textId="77777777" w:rsidR="00BF2793" w:rsidRPr="0096320D" w:rsidRDefault="00BF2793" w:rsidP="00717604">
            <w:pPr>
              <w:pStyle w:val="TableTextSmall"/>
              <w:rPr>
                <w:rFonts w:cstheme="minorHAnsi"/>
              </w:rPr>
            </w:pPr>
            <w:r w:rsidRPr="0096320D">
              <w:rPr>
                <w:rFonts w:cstheme="minorHAnsi"/>
                <w:sz w:val="24"/>
              </w:rPr>
              <w:t xml:space="preserve">↓ </w:t>
            </w:r>
            <w:r w:rsidRPr="0096320D">
              <w:rPr>
                <w:rFonts w:cstheme="minorHAnsi"/>
              </w:rPr>
              <w:t>1.5</w:t>
            </w:r>
          </w:p>
        </w:tc>
        <w:tc>
          <w:tcPr>
            <w:tcW w:w="1261" w:type="dxa"/>
            <w:tcBorders>
              <w:top w:val="dotted" w:sz="4" w:space="0" w:color="auto"/>
              <w:left w:val="dotted" w:sz="4" w:space="0" w:color="auto"/>
              <w:bottom w:val="dotted" w:sz="8" w:space="0" w:color="7D7D7D" w:themeColor="text2"/>
              <w:right w:val="dotted" w:sz="4" w:space="0" w:color="auto"/>
            </w:tcBorders>
            <w:vAlign w:val="center"/>
          </w:tcPr>
          <w:p w14:paraId="76AB9446" w14:textId="77777777" w:rsidR="00BF2793" w:rsidRPr="0096320D" w:rsidRDefault="00BF2793" w:rsidP="00717604">
            <w:pPr>
              <w:pStyle w:val="TableTextSmall"/>
              <w:rPr>
                <w:rFonts w:cstheme="minorHAnsi"/>
              </w:rPr>
            </w:pPr>
            <w:r w:rsidRPr="005915A1">
              <w:t>-1%</w:t>
            </w:r>
          </w:p>
        </w:tc>
        <w:tc>
          <w:tcPr>
            <w:tcW w:w="1018" w:type="dxa"/>
            <w:tcBorders>
              <w:top w:val="dotted" w:sz="4" w:space="0" w:color="auto"/>
              <w:left w:val="dotted" w:sz="4" w:space="0" w:color="auto"/>
            </w:tcBorders>
            <w:vAlign w:val="center"/>
          </w:tcPr>
          <w:p w14:paraId="2F6446BA" w14:textId="77777777" w:rsidR="00BF2793" w:rsidRPr="0096320D" w:rsidRDefault="00BF2793" w:rsidP="00717604">
            <w:pPr>
              <w:pStyle w:val="TableTextSmall"/>
              <w:rPr>
                <w:rFonts w:cstheme="minorHAnsi"/>
              </w:rPr>
            </w:pPr>
            <w:r w:rsidRPr="0096320D">
              <w:rPr>
                <w:rFonts w:cstheme="minorHAnsi"/>
                <w:sz w:val="24"/>
              </w:rPr>
              <w:t xml:space="preserve">↓ </w:t>
            </w:r>
            <w:r w:rsidRPr="0096320D">
              <w:rPr>
                <w:rFonts w:cstheme="minorHAnsi"/>
              </w:rPr>
              <w:t>1.6</w:t>
            </w:r>
          </w:p>
        </w:tc>
        <w:tc>
          <w:tcPr>
            <w:tcW w:w="688" w:type="dxa"/>
            <w:gridSpan w:val="2"/>
            <w:tcBorders>
              <w:top w:val="dotted" w:sz="4" w:space="0" w:color="auto"/>
              <w:left w:val="dotted" w:sz="4" w:space="0" w:color="auto"/>
              <w:right w:val="dotted" w:sz="4" w:space="0" w:color="7D7D7D" w:themeColor="text2"/>
            </w:tcBorders>
            <w:vAlign w:val="center"/>
          </w:tcPr>
          <w:p w14:paraId="34FA2CCE" w14:textId="77777777" w:rsidR="00BF2793" w:rsidRPr="0096320D" w:rsidRDefault="00BF2793" w:rsidP="00717604">
            <w:pPr>
              <w:pStyle w:val="TableTextSmall"/>
              <w:rPr>
                <w:rFonts w:cstheme="minorHAnsi"/>
              </w:rPr>
            </w:pPr>
            <w:r w:rsidRPr="00BE73F8">
              <w:t>-3%</w:t>
            </w:r>
          </w:p>
        </w:tc>
        <w:tc>
          <w:tcPr>
            <w:tcW w:w="2629" w:type="dxa"/>
            <w:tcBorders>
              <w:top w:val="dotted" w:sz="4" w:space="0" w:color="auto"/>
              <w:left w:val="dotted" w:sz="4" w:space="0" w:color="7D7D7D" w:themeColor="text2"/>
            </w:tcBorders>
            <w:vAlign w:val="center"/>
          </w:tcPr>
          <w:p w14:paraId="7C95AF80" w14:textId="77777777" w:rsidR="00BF2793" w:rsidRPr="0096320D" w:rsidRDefault="00BF2793" w:rsidP="00717604">
            <w:pPr>
              <w:pStyle w:val="TableTextSmall"/>
              <w:rPr>
                <w:rFonts w:cstheme="minorHAnsi"/>
              </w:rPr>
            </w:pPr>
            <w:r>
              <w:rPr>
                <w:rFonts w:cstheme="minorHAnsi"/>
              </w:rPr>
              <w:t xml:space="preserve">From 2014-15 Qld made a suite of changes including; requiring all notifications to be investigated, the consolidation of mandatory reporting legislation and ‘child concern reports’. Data from 2014-15 onwards is not comparable with earlier periods. </w:t>
            </w:r>
          </w:p>
        </w:tc>
      </w:tr>
      <w:tr w:rsidR="00BF2793" w:rsidRPr="0096320D" w14:paraId="09C8852C" w14:textId="77777777" w:rsidTr="00717604">
        <w:tc>
          <w:tcPr>
            <w:tcW w:w="1395" w:type="dxa"/>
            <w:tcBorders>
              <w:right w:val="dotted" w:sz="4" w:space="0" w:color="808080" w:themeColor="background1" w:themeShade="80"/>
            </w:tcBorders>
            <w:vAlign w:val="center"/>
          </w:tcPr>
          <w:p w14:paraId="22DB9754" w14:textId="77777777" w:rsidR="00BF2793" w:rsidRPr="0096320D" w:rsidRDefault="00BF2793" w:rsidP="00717604">
            <w:pPr>
              <w:pStyle w:val="TableTextSmall"/>
            </w:pPr>
            <w:r w:rsidRPr="0096320D">
              <w:t>Western Australia</w:t>
            </w:r>
          </w:p>
        </w:tc>
        <w:tc>
          <w:tcPr>
            <w:tcW w:w="999" w:type="dxa"/>
            <w:tcBorders>
              <w:left w:val="dotted" w:sz="4" w:space="0" w:color="808080" w:themeColor="background1" w:themeShade="80"/>
            </w:tcBorders>
            <w:vAlign w:val="center"/>
          </w:tcPr>
          <w:p w14:paraId="5D492CDB" w14:textId="77777777" w:rsidR="00BF2793" w:rsidRPr="0096320D" w:rsidRDefault="00BF2793" w:rsidP="00717604">
            <w:pPr>
              <w:pStyle w:val="TableTextSmall"/>
            </w:pPr>
            <w:r w:rsidRPr="0096320D">
              <w:rPr>
                <w:rFonts w:cstheme="minorHAnsi"/>
                <w:sz w:val="24"/>
              </w:rPr>
              <w:t xml:space="preserve">↑ </w:t>
            </w:r>
            <w:r w:rsidRPr="0096320D">
              <w:t>7.2</w:t>
            </w:r>
          </w:p>
        </w:tc>
        <w:tc>
          <w:tcPr>
            <w:tcW w:w="1218" w:type="dxa"/>
            <w:tcBorders>
              <w:top w:val="dotted" w:sz="8" w:space="0" w:color="7D7D7D" w:themeColor="text2"/>
              <w:bottom w:val="dotted" w:sz="8" w:space="0" w:color="7D7D7D" w:themeColor="text2"/>
              <w:right w:val="dotted" w:sz="4" w:space="0" w:color="auto"/>
            </w:tcBorders>
            <w:vAlign w:val="center"/>
          </w:tcPr>
          <w:p w14:paraId="5B4AC85D" w14:textId="77777777" w:rsidR="00BF2793" w:rsidRPr="0096320D" w:rsidRDefault="00BF2793" w:rsidP="00717604">
            <w:pPr>
              <w:pStyle w:val="TableTextSmall"/>
            </w:pPr>
            <w:r w:rsidRPr="00613A1D">
              <w:t>4%</w:t>
            </w:r>
          </w:p>
        </w:tc>
        <w:tc>
          <w:tcPr>
            <w:tcW w:w="999" w:type="dxa"/>
            <w:tcBorders>
              <w:left w:val="dotted" w:sz="4" w:space="0" w:color="auto"/>
            </w:tcBorders>
            <w:vAlign w:val="center"/>
          </w:tcPr>
          <w:p w14:paraId="5EF58CD2" w14:textId="77777777" w:rsidR="00BF2793" w:rsidRPr="0096320D" w:rsidRDefault="00BF2793" w:rsidP="00717604">
            <w:pPr>
              <w:pStyle w:val="TableTextSmall"/>
              <w:rPr>
                <w:rFonts w:cstheme="minorHAnsi"/>
              </w:rPr>
            </w:pPr>
            <w:r w:rsidRPr="0096320D">
              <w:rPr>
                <w:rFonts w:cstheme="minorHAnsi"/>
                <w:sz w:val="24"/>
              </w:rPr>
              <w:t xml:space="preserve">↑ </w:t>
            </w:r>
            <w:r w:rsidRPr="0096320D">
              <w:rPr>
                <w:rFonts w:cstheme="minorHAnsi"/>
              </w:rPr>
              <w:t>7.4</w:t>
            </w:r>
          </w:p>
        </w:tc>
        <w:tc>
          <w:tcPr>
            <w:tcW w:w="1261" w:type="dxa"/>
            <w:tcBorders>
              <w:top w:val="dotted" w:sz="8" w:space="0" w:color="7D7D7D" w:themeColor="text2"/>
              <w:left w:val="dotted" w:sz="4" w:space="0" w:color="auto"/>
              <w:bottom w:val="dotted" w:sz="8" w:space="0" w:color="7D7D7D" w:themeColor="text2"/>
              <w:right w:val="dotted" w:sz="4" w:space="0" w:color="auto"/>
            </w:tcBorders>
            <w:vAlign w:val="center"/>
          </w:tcPr>
          <w:p w14:paraId="0D2849DB" w14:textId="77777777" w:rsidR="00BF2793" w:rsidRPr="0096320D" w:rsidRDefault="00BF2793" w:rsidP="00717604">
            <w:pPr>
              <w:pStyle w:val="TableTextSmall"/>
              <w:rPr>
                <w:rFonts w:cstheme="minorHAnsi"/>
              </w:rPr>
            </w:pPr>
            <w:r w:rsidRPr="005915A1">
              <w:t>8%</w:t>
            </w:r>
          </w:p>
        </w:tc>
        <w:tc>
          <w:tcPr>
            <w:tcW w:w="1018" w:type="dxa"/>
            <w:tcBorders>
              <w:left w:val="dotted" w:sz="4" w:space="0" w:color="auto"/>
            </w:tcBorders>
            <w:vAlign w:val="center"/>
          </w:tcPr>
          <w:p w14:paraId="5DA609CF" w14:textId="77777777" w:rsidR="00BF2793" w:rsidRPr="0096320D" w:rsidRDefault="00BF2793" w:rsidP="00717604">
            <w:pPr>
              <w:pStyle w:val="TableTextSmall"/>
              <w:rPr>
                <w:rFonts w:cstheme="minorHAnsi"/>
              </w:rPr>
            </w:pPr>
            <w:r w:rsidRPr="0096320D">
              <w:rPr>
                <w:rFonts w:cstheme="minorHAnsi"/>
                <w:sz w:val="24"/>
              </w:rPr>
              <w:t xml:space="preserve">↑ </w:t>
            </w:r>
            <w:r w:rsidRPr="0096320D">
              <w:rPr>
                <w:rFonts w:cstheme="minorHAnsi"/>
              </w:rPr>
              <w:t>4.5</w:t>
            </w:r>
          </w:p>
        </w:tc>
        <w:tc>
          <w:tcPr>
            <w:tcW w:w="688" w:type="dxa"/>
            <w:gridSpan w:val="2"/>
            <w:tcBorders>
              <w:left w:val="dotted" w:sz="4" w:space="0" w:color="auto"/>
              <w:right w:val="dotted" w:sz="4" w:space="0" w:color="7D7D7D" w:themeColor="text2"/>
            </w:tcBorders>
            <w:vAlign w:val="center"/>
          </w:tcPr>
          <w:p w14:paraId="45D32D54" w14:textId="77777777" w:rsidR="00BF2793" w:rsidRPr="0096320D" w:rsidRDefault="00BF2793" w:rsidP="00717604">
            <w:pPr>
              <w:pStyle w:val="TableTextSmall"/>
              <w:rPr>
                <w:rFonts w:cstheme="minorHAnsi"/>
              </w:rPr>
            </w:pPr>
            <w:r w:rsidRPr="00BE73F8">
              <w:t>11%</w:t>
            </w:r>
          </w:p>
        </w:tc>
        <w:tc>
          <w:tcPr>
            <w:tcW w:w="2629" w:type="dxa"/>
            <w:tcBorders>
              <w:left w:val="dotted" w:sz="4" w:space="0" w:color="7D7D7D" w:themeColor="text2"/>
            </w:tcBorders>
            <w:vAlign w:val="center"/>
          </w:tcPr>
          <w:p w14:paraId="517ED544" w14:textId="77777777" w:rsidR="00BF2793" w:rsidRPr="0096320D" w:rsidRDefault="00BF2793" w:rsidP="00717604">
            <w:pPr>
              <w:pStyle w:val="TableTextSmall"/>
              <w:rPr>
                <w:rFonts w:cstheme="minorHAnsi"/>
              </w:rPr>
            </w:pPr>
            <w:r>
              <w:rPr>
                <w:rFonts w:cstheme="minorHAnsi"/>
              </w:rPr>
              <w:t xml:space="preserve">None. </w:t>
            </w:r>
          </w:p>
        </w:tc>
      </w:tr>
      <w:tr w:rsidR="00BF2793" w:rsidRPr="0096320D" w14:paraId="11C64A4B" w14:textId="77777777" w:rsidTr="00717604">
        <w:tc>
          <w:tcPr>
            <w:tcW w:w="1395" w:type="dxa"/>
            <w:tcBorders>
              <w:right w:val="dotted" w:sz="4" w:space="0" w:color="808080" w:themeColor="background1" w:themeShade="80"/>
            </w:tcBorders>
            <w:vAlign w:val="center"/>
          </w:tcPr>
          <w:p w14:paraId="6CA998F0" w14:textId="77777777" w:rsidR="00BF2793" w:rsidRPr="0096320D" w:rsidRDefault="00BF2793" w:rsidP="00717604">
            <w:pPr>
              <w:pStyle w:val="TableTextSmall"/>
            </w:pPr>
            <w:r w:rsidRPr="0096320D">
              <w:t>South Australia</w:t>
            </w:r>
          </w:p>
        </w:tc>
        <w:tc>
          <w:tcPr>
            <w:tcW w:w="999" w:type="dxa"/>
            <w:tcBorders>
              <w:left w:val="dotted" w:sz="4" w:space="0" w:color="808080" w:themeColor="background1" w:themeShade="80"/>
            </w:tcBorders>
            <w:vAlign w:val="center"/>
          </w:tcPr>
          <w:p w14:paraId="415D129E" w14:textId="77777777" w:rsidR="00BF2793" w:rsidRPr="0096320D" w:rsidRDefault="00BF2793" w:rsidP="00717604">
            <w:pPr>
              <w:pStyle w:val="TableTextSmall"/>
            </w:pPr>
            <w:r w:rsidRPr="0096320D">
              <w:rPr>
                <w:rFonts w:cstheme="minorHAnsi"/>
                <w:sz w:val="24"/>
              </w:rPr>
              <w:t xml:space="preserve">↓ </w:t>
            </w:r>
            <w:r w:rsidRPr="0096320D">
              <w:t>4.3</w:t>
            </w:r>
          </w:p>
        </w:tc>
        <w:tc>
          <w:tcPr>
            <w:tcW w:w="1218" w:type="dxa"/>
            <w:tcBorders>
              <w:top w:val="dotted" w:sz="8" w:space="0" w:color="7D7D7D" w:themeColor="text2"/>
              <w:bottom w:val="dotted" w:sz="8" w:space="0" w:color="7D7D7D" w:themeColor="text2"/>
              <w:right w:val="dotted" w:sz="4" w:space="0" w:color="auto"/>
            </w:tcBorders>
            <w:vAlign w:val="center"/>
          </w:tcPr>
          <w:p w14:paraId="2AA012BD" w14:textId="77777777" w:rsidR="00BF2793" w:rsidRPr="0096320D" w:rsidRDefault="00BF2793" w:rsidP="00717604">
            <w:pPr>
              <w:pStyle w:val="TableTextSmall"/>
            </w:pPr>
            <w:r w:rsidRPr="00613A1D">
              <w:t>-1%</w:t>
            </w:r>
          </w:p>
        </w:tc>
        <w:tc>
          <w:tcPr>
            <w:tcW w:w="999" w:type="dxa"/>
            <w:tcBorders>
              <w:left w:val="dotted" w:sz="4" w:space="0" w:color="auto"/>
            </w:tcBorders>
            <w:vAlign w:val="center"/>
          </w:tcPr>
          <w:p w14:paraId="59FBA03F" w14:textId="77777777" w:rsidR="00BF2793" w:rsidRPr="0096320D" w:rsidRDefault="00BF2793" w:rsidP="00717604">
            <w:pPr>
              <w:pStyle w:val="TableTextSmall"/>
              <w:rPr>
                <w:rFonts w:cstheme="minorHAnsi"/>
              </w:rPr>
            </w:pPr>
            <w:r w:rsidRPr="0096320D">
              <w:rPr>
                <w:rFonts w:cstheme="minorHAnsi"/>
                <w:sz w:val="24"/>
              </w:rPr>
              <w:t xml:space="preserve">↓ </w:t>
            </w:r>
            <w:r w:rsidRPr="0096320D">
              <w:rPr>
                <w:rFonts w:cstheme="minorHAnsi"/>
              </w:rPr>
              <w:t>5.9</w:t>
            </w:r>
          </w:p>
        </w:tc>
        <w:tc>
          <w:tcPr>
            <w:tcW w:w="1261" w:type="dxa"/>
            <w:tcBorders>
              <w:top w:val="dotted" w:sz="8" w:space="0" w:color="7D7D7D" w:themeColor="text2"/>
              <w:left w:val="dotted" w:sz="4" w:space="0" w:color="auto"/>
              <w:bottom w:val="dotted" w:sz="8" w:space="0" w:color="7D7D7D" w:themeColor="text2"/>
              <w:right w:val="dotted" w:sz="4" w:space="0" w:color="auto"/>
            </w:tcBorders>
            <w:vAlign w:val="center"/>
          </w:tcPr>
          <w:p w14:paraId="253F6495" w14:textId="77777777" w:rsidR="00BF2793" w:rsidRPr="0096320D" w:rsidRDefault="00BF2793" w:rsidP="00717604">
            <w:pPr>
              <w:pStyle w:val="TableTextSmall"/>
              <w:rPr>
                <w:rFonts w:cstheme="minorHAnsi"/>
              </w:rPr>
            </w:pPr>
            <w:r w:rsidRPr="005915A1">
              <w:t>-6%</w:t>
            </w:r>
          </w:p>
        </w:tc>
        <w:tc>
          <w:tcPr>
            <w:tcW w:w="1018" w:type="dxa"/>
            <w:tcBorders>
              <w:left w:val="dotted" w:sz="4" w:space="0" w:color="auto"/>
            </w:tcBorders>
            <w:vAlign w:val="center"/>
          </w:tcPr>
          <w:p w14:paraId="0C027DDA" w14:textId="77777777" w:rsidR="00BF2793" w:rsidRPr="0096320D" w:rsidRDefault="00BF2793" w:rsidP="00717604">
            <w:pPr>
              <w:pStyle w:val="TableTextSmall"/>
              <w:rPr>
                <w:rFonts w:cstheme="minorHAnsi"/>
              </w:rPr>
            </w:pPr>
            <w:r w:rsidRPr="0096320D">
              <w:rPr>
                <w:rFonts w:cstheme="minorHAnsi"/>
                <w:sz w:val="24"/>
              </w:rPr>
              <w:t xml:space="preserve">↓ </w:t>
            </w:r>
            <w:r w:rsidRPr="0096320D">
              <w:rPr>
                <w:rFonts w:cstheme="minorHAnsi"/>
              </w:rPr>
              <w:t>1.2</w:t>
            </w:r>
          </w:p>
        </w:tc>
        <w:tc>
          <w:tcPr>
            <w:tcW w:w="688" w:type="dxa"/>
            <w:gridSpan w:val="2"/>
            <w:tcBorders>
              <w:left w:val="dotted" w:sz="4" w:space="0" w:color="auto"/>
              <w:right w:val="dotted" w:sz="4" w:space="0" w:color="7D7D7D" w:themeColor="text2"/>
            </w:tcBorders>
            <w:vAlign w:val="center"/>
          </w:tcPr>
          <w:p w14:paraId="56A2BFE1" w14:textId="77777777" w:rsidR="00BF2793" w:rsidRPr="0096320D" w:rsidRDefault="00BF2793" w:rsidP="00717604">
            <w:pPr>
              <w:pStyle w:val="TableTextSmall"/>
              <w:rPr>
                <w:rFonts w:cstheme="minorHAnsi"/>
              </w:rPr>
            </w:pPr>
            <w:r w:rsidRPr="00BE73F8">
              <w:t>-3%</w:t>
            </w:r>
          </w:p>
        </w:tc>
        <w:tc>
          <w:tcPr>
            <w:tcW w:w="2629" w:type="dxa"/>
            <w:tcBorders>
              <w:left w:val="dotted" w:sz="4" w:space="0" w:color="7D7D7D" w:themeColor="text2"/>
            </w:tcBorders>
            <w:vAlign w:val="center"/>
          </w:tcPr>
          <w:p w14:paraId="3CA7F09B" w14:textId="77777777" w:rsidR="00BF2793" w:rsidRPr="0096320D" w:rsidRDefault="00BF2793" w:rsidP="00717604">
            <w:pPr>
              <w:pStyle w:val="TableTextSmall"/>
              <w:rPr>
                <w:rFonts w:cstheme="minorHAnsi"/>
              </w:rPr>
            </w:pPr>
            <w:r>
              <w:rPr>
                <w:rFonts w:cstheme="minorHAnsi"/>
              </w:rPr>
              <w:t xml:space="preserve">SA only counts notifications as those reports which meet the criteria for a reasonable suspicions of child abuse and neglect. </w:t>
            </w:r>
          </w:p>
        </w:tc>
      </w:tr>
      <w:tr w:rsidR="00BF2793" w:rsidRPr="0096320D" w14:paraId="0F74E2AB" w14:textId="77777777" w:rsidTr="00717604">
        <w:tc>
          <w:tcPr>
            <w:tcW w:w="1395" w:type="dxa"/>
            <w:tcBorders>
              <w:right w:val="dotted" w:sz="4" w:space="0" w:color="808080" w:themeColor="background1" w:themeShade="80"/>
            </w:tcBorders>
            <w:vAlign w:val="center"/>
          </w:tcPr>
          <w:p w14:paraId="7F1CECDE" w14:textId="77777777" w:rsidR="00BF2793" w:rsidRPr="0096320D" w:rsidRDefault="00BF2793" w:rsidP="00717604">
            <w:pPr>
              <w:pStyle w:val="TableTextSmall"/>
            </w:pPr>
            <w:r w:rsidRPr="0096320D">
              <w:t xml:space="preserve">Australian Capital Territory </w:t>
            </w:r>
          </w:p>
        </w:tc>
        <w:tc>
          <w:tcPr>
            <w:tcW w:w="999" w:type="dxa"/>
            <w:tcBorders>
              <w:left w:val="dotted" w:sz="4" w:space="0" w:color="808080" w:themeColor="background1" w:themeShade="80"/>
            </w:tcBorders>
            <w:vAlign w:val="center"/>
          </w:tcPr>
          <w:p w14:paraId="13B807BF" w14:textId="77777777" w:rsidR="00BF2793" w:rsidRPr="0096320D" w:rsidRDefault="00BF2793" w:rsidP="00717604">
            <w:pPr>
              <w:pStyle w:val="TableTextSmall"/>
            </w:pPr>
            <w:r w:rsidRPr="0096320D">
              <w:rPr>
                <w:rFonts w:cstheme="minorHAnsi"/>
                <w:sz w:val="24"/>
              </w:rPr>
              <w:t xml:space="preserve">↑ </w:t>
            </w:r>
            <w:r w:rsidRPr="0096320D">
              <w:t>11.2</w:t>
            </w:r>
          </w:p>
        </w:tc>
        <w:tc>
          <w:tcPr>
            <w:tcW w:w="1218" w:type="dxa"/>
            <w:tcBorders>
              <w:top w:val="dotted" w:sz="8" w:space="0" w:color="7D7D7D" w:themeColor="text2"/>
              <w:bottom w:val="dotted" w:sz="8" w:space="0" w:color="7D7D7D" w:themeColor="text2"/>
              <w:right w:val="dotted" w:sz="4" w:space="0" w:color="auto"/>
            </w:tcBorders>
            <w:vAlign w:val="center"/>
          </w:tcPr>
          <w:p w14:paraId="160DF10C" w14:textId="77777777" w:rsidR="00BF2793" w:rsidRPr="0096320D" w:rsidRDefault="00BF2793" w:rsidP="00717604">
            <w:pPr>
              <w:pStyle w:val="TableTextSmall"/>
            </w:pPr>
            <w:r w:rsidRPr="00613A1D">
              <w:t>2%</w:t>
            </w:r>
          </w:p>
        </w:tc>
        <w:tc>
          <w:tcPr>
            <w:tcW w:w="999" w:type="dxa"/>
            <w:tcBorders>
              <w:left w:val="dotted" w:sz="4" w:space="0" w:color="auto"/>
            </w:tcBorders>
            <w:vAlign w:val="center"/>
          </w:tcPr>
          <w:p w14:paraId="2FE517DA" w14:textId="77777777" w:rsidR="00BF2793" w:rsidRPr="0096320D" w:rsidRDefault="00BF2793" w:rsidP="00717604">
            <w:pPr>
              <w:pStyle w:val="TableTextSmall"/>
              <w:rPr>
                <w:rFonts w:cstheme="minorHAnsi"/>
              </w:rPr>
            </w:pPr>
            <w:r w:rsidRPr="0096320D">
              <w:rPr>
                <w:rFonts w:cstheme="minorHAnsi"/>
                <w:sz w:val="24"/>
              </w:rPr>
              <w:t xml:space="preserve">↓ </w:t>
            </w:r>
            <w:r w:rsidRPr="0096320D">
              <w:rPr>
                <w:rFonts w:cstheme="minorHAnsi"/>
              </w:rPr>
              <w:t>2.2</w:t>
            </w:r>
          </w:p>
        </w:tc>
        <w:tc>
          <w:tcPr>
            <w:tcW w:w="1261" w:type="dxa"/>
            <w:tcBorders>
              <w:top w:val="dotted" w:sz="8" w:space="0" w:color="7D7D7D" w:themeColor="text2"/>
              <w:left w:val="dotted" w:sz="4" w:space="0" w:color="auto"/>
              <w:bottom w:val="dotted" w:sz="8" w:space="0" w:color="7D7D7D" w:themeColor="text2"/>
              <w:right w:val="dotted" w:sz="4" w:space="0" w:color="auto"/>
            </w:tcBorders>
            <w:vAlign w:val="center"/>
          </w:tcPr>
          <w:p w14:paraId="02D0CC68" w14:textId="77777777" w:rsidR="00BF2793" w:rsidRPr="0096320D" w:rsidRDefault="00BF2793" w:rsidP="00717604">
            <w:pPr>
              <w:pStyle w:val="TableTextSmall"/>
              <w:rPr>
                <w:rFonts w:cstheme="minorHAnsi"/>
              </w:rPr>
            </w:pPr>
            <w:r w:rsidRPr="005915A1">
              <w:t>-2%</w:t>
            </w:r>
          </w:p>
        </w:tc>
        <w:tc>
          <w:tcPr>
            <w:tcW w:w="1018" w:type="dxa"/>
            <w:tcBorders>
              <w:left w:val="dotted" w:sz="4" w:space="0" w:color="auto"/>
            </w:tcBorders>
            <w:vAlign w:val="center"/>
          </w:tcPr>
          <w:p w14:paraId="1F3E6CD4" w14:textId="77777777" w:rsidR="00BF2793" w:rsidRPr="0096320D" w:rsidRDefault="00BF2793" w:rsidP="00717604">
            <w:pPr>
              <w:pStyle w:val="TableTextSmall"/>
              <w:rPr>
                <w:rFonts w:cstheme="minorHAnsi"/>
              </w:rPr>
            </w:pPr>
            <w:r w:rsidRPr="0096320D">
              <w:rPr>
                <w:rFonts w:cstheme="minorHAnsi"/>
                <w:sz w:val="24"/>
              </w:rPr>
              <w:t xml:space="preserve">↓ </w:t>
            </w:r>
            <w:r w:rsidRPr="0096320D">
              <w:rPr>
                <w:rFonts w:cstheme="minorHAnsi"/>
              </w:rPr>
              <w:t>5.2</w:t>
            </w:r>
          </w:p>
        </w:tc>
        <w:tc>
          <w:tcPr>
            <w:tcW w:w="688" w:type="dxa"/>
            <w:gridSpan w:val="2"/>
            <w:tcBorders>
              <w:left w:val="dotted" w:sz="4" w:space="0" w:color="auto"/>
              <w:right w:val="dotted" w:sz="4" w:space="0" w:color="7D7D7D" w:themeColor="text2"/>
            </w:tcBorders>
            <w:vAlign w:val="center"/>
          </w:tcPr>
          <w:p w14:paraId="38E1B997" w14:textId="77777777" w:rsidR="00BF2793" w:rsidRPr="0096320D" w:rsidRDefault="00BF2793" w:rsidP="00717604">
            <w:pPr>
              <w:pStyle w:val="TableTextSmall"/>
              <w:rPr>
                <w:rFonts w:cstheme="minorHAnsi"/>
              </w:rPr>
            </w:pPr>
            <w:r w:rsidRPr="00BE73F8">
              <w:t>-11%</w:t>
            </w:r>
          </w:p>
        </w:tc>
        <w:tc>
          <w:tcPr>
            <w:tcW w:w="2629" w:type="dxa"/>
            <w:tcBorders>
              <w:left w:val="dotted" w:sz="4" w:space="0" w:color="7D7D7D" w:themeColor="text2"/>
            </w:tcBorders>
            <w:vAlign w:val="center"/>
          </w:tcPr>
          <w:p w14:paraId="4699A5A7" w14:textId="77777777" w:rsidR="00BF2793" w:rsidRPr="0096320D" w:rsidRDefault="00BF2793" w:rsidP="00717604">
            <w:pPr>
              <w:pStyle w:val="TableTextSmall"/>
              <w:rPr>
                <w:rFonts w:cstheme="minorHAnsi"/>
              </w:rPr>
            </w:pPr>
            <w:r>
              <w:rPr>
                <w:rFonts w:cstheme="minorHAnsi"/>
              </w:rPr>
              <w:t xml:space="preserve">ACT includes notifications as all intakes that meet the definition of both a child concern report and a child protection report. </w:t>
            </w:r>
          </w:p>
        </w:tc>
      </w:tr>
      <w:tr w:rsidR="00BF2793" w:rsidRPr="0096320D" w14:paraId="3E41BA06" w14:textId="77777777" w:rsidTr="00717604">
        <w:tc>
          <w:tcPr>
            <w:tcW w:w="1395" w:type="dxa"/>
            <w:tcBorders>
              <w:right w:val="dotted" w:sz="4" w:space="0" w:color="808080" w:themeColor="background1" w:themeShade="80"/>
            </w:tcBorders>
            <w:vAlign w:val="center"/>
          </w:tcPr>
          <w:p w14:paraId="12287C49" w14:textId="77777777" w:rsidR="00BF2793" w:rsidRPr="0096320D" w:rsidRDefault="00BF2793" w:rsidP="00717604">
            <w:pPr>
              <w:pStyle w:val="TableTextSmall"/>
            </w:pPr>
            <w:r w:rsidRPr="0096320D">
              <w:t>Commonwealth</w:t>
            </w:r>
          </w:p>
        </w:tc>
        <w:tc>
          <w:tcPr>
            <w:tcW w:w="999" w:type="dxa"/>
            <w:tcBorders>
              <w:left w:val="dotted" w:sz="4" w:space="0" w:color="808080" w:themeColor="background1" w:themeShade="80"/>
              <w:bottom w:val="single" w:sz="6" w:space="0" w:color="7D7D7D" w:themeColor="text2"/>
            </w:tcBorders>
            <w:vAlign w:val="center"/>
          </w:tcPr>
          <w:p w14:paraId="3634BEE8" w14:textId="77777777" w:rsidR="00BF2793" w:rsidRPr="0096320D" w:rsidRDefault="00BF2793" w:rsidP="00717604">
            <w:pPr>
              <w:pStyle w:val="TableTextSmall"/>
              <w:rPr>
                <w:rFonts w:cstheme="minorHAnsi"/>
              </w:rPr>
            </w:pPr>
            <w:r w:rsidRPr="0096320D">
              <w:rPr>
                <w:rFonts w:cstheme="minorHAnsi"/>
                <w:sz w:val="24"/>
              </w:rPr>
              <w:t xml:space="preserve">↑ </w:t>
            </w:r>
            <w:r w:rsidRPr="0096320D">
              <w:rPr>
                <w:rFonts w:cstheme="minorHAnsi"/>
              </w:rPr>
              <w:t>1.2</w:t>
            </w:r>
          </w:p>
        </w:tc>
        <w:tc>
          <w:tcPr>
            <w:tcW w:w="1218" w:type="dxa"/>
            <w:tcBorders>
              <w:top w:val="dotted" w:sz="8" w:space="0" w:color="7D7D7D" w:themeColor="text2"/>
              <w:bottom w:val="single" w:sz="6" w:space="0" w:color="7D7D7D" w:themeColor="text2"/>
              <w:right w:val="dotted" w:sz="4" w:space="0" w:color="auto"/>
            </w:tcBorders>
            <w:vAlign w:val="center"/>
          </w:tcPr>
          <w:p w14:paraId="208CA193" w14:textId="77777777" w:rsidR="00BF2793" w:rsidRPr="0096320D" w:rsidRDefault="00BF2793" w:rsidP="00717604">
            <w:pPr>
              <w:pStyle w:val="TableTextSmall"/>
            </w:pPr>
            <w:r w:rsidRPr="00613A1D">
              <w:t>2%</w:t>
            </w:r>
          </w:p>
        </w:tc>
        <w:tc>
          <w:tcPr>
            <w:tcW w:w="999" w:type="dxa"/>
            <w:tcBorders>
              <w:left w:val="dotted" w:sz="4" w:space="0" w:color="auto"/>
            </w:tcBorders>
            <w:vAlign w:val="center"/>
          </w:tcPr>
          <w:p w14:paraId="4E1F4F55" w14:textId="77777777" w:rsidR="00BF2793" w:rsidRPr="0096320D" w:rsidRDefault="00BF2793" w:rsidP="00717604">
            <w:pPr>
              <w:pStyle w:val="TableTextSmall"/>
              <w:rPr>
                <w:rFonts w:cstheme="minorHAnsi"/>
              </w:rPr>
            </w:pPr>
            <w:r w:rsidRPr="0096320D">
              <w:rPr>
                <w:rFonts w:cstheme="minorHAnsi"/>
                <w:sz w:val="24"/>
              </w:rPr>
              <w:t>↓</w:t>
            </w:r>
            <w:r w:rsidRPr="0096320D">
              <w:rPr>
                <w:rFonts w:cstheme="minorHAnsi"/>
              </w:rPr>
              <w:t xml:space="preserve"> 4</w:t>
            </w:r>
          </w:p>
        </w:tc>
        <w:tc>
          <w:tcPr>
            <w:tcW w:w="1261" w:type="dxa"/>
            <w:tcBorders>
              <w:top w:val="dotted" w:sz="8" w:space="0" w:color="7D7D7D" w:themeColor="text2"/>
              <w:left w:val="dotted" w:sz="4" w:space="0" w:color="auto"/>
              <w:bottom w:val="single" w:sz="6" w:space="0" w:color="7D7D7D" w:themeColor="text2"/>
              <w:right w:val="dotted" w:sz="4" w:space="0" w:color="auto"/>
            </w:tcBorders>
            <w:vAlign w:val="center"/>
          </w:tcPr>
          <w:p w14:paraId="22333BEF" w14:textId="77777777" w:rsidR="00BF2793" w:rsidRPr="0096320D" w:rsidRDefault="00BF2793" w:rsidP="00717604">
            <w:pPr>
              <w:pStyle w:val="TableTextSmall"/>
              <w:rPr>
                <w:rFonts w:cstheme="minorHAnsi"/>
              </w:rPr>
            </w:pPr>
            <w:r w:rsidRPr="005915A1">
              <w:t>-2%</w:t>
            </w:r>
          </w:p>
        </w:tc>
        <w:tc>
          <w:tcPr>
            <w:tcW w:w="1018" w:type="dxa"/>
            <w:tcBorders>
              <w:left w:val="dotted" w:sz="4" w:space="0" w:color="auto"/>
            </w:tcBorders>
            <w:vAlign w:val="center"/>
          </w:tcPr>
          <w:p w14:paraId="228F0150" w14:textId="77777777" w:rsidR="00BF2793" w:rsidRPr="0096320D" w:rsidRDefault="00BF2793" w:rsidP="00717604">
            <w:pPr>
              <w:pStyle w:val="TableTextSmall"/>
              <w:rPr>
                <w:rFonts w:cstheme="minorHAnsi"/>
              </w:rPr>
            </w:pPr>
            <w:r w:rsidRPr="0096320D">
              <w:rPr>
                <w:rFonts w:cstheme="minorHAnsi"/>
                <w:sz w:val="24"/>
              </w:rPr>
              <w:t xml:space="preserve">↑ </w:t>
            </w:r>
            <w:r w:rsidRPr="0096320D">
              <w:rPr>
                <w:rFonts w:cstheme="minorHAnsi"/>
              </w:rPr>
              <w:t>1.6</w:t>
            </w:r>
          </w:p>
        </w:tc>
        <w:tc>
          <w:tcPr>
            <w:tcW w:w="688" w:type="dxa"/>
            <w:gridSpan w:val="2"/>
            <w:tcBorders>
              <w:left w:val="dotted" w:sz="4" w:space="0" w:color="auto"/>
              <w:right w:val="dotted" w:sz="4" w:space="0" w:color="7D7D7D" w:themeColor="text2"/>
            </w:tcBorders>
            <w:vAlign w:val="center"/>
          </w:tcPr>
          <w:p w14:paraId="63322A75" w14:textId="77777777" w:rsidR="00BF2793" w:rsidRPr="0096320D" w:rsidRDefault="00BF2793" w:rsidP="00717604">
            <w:pPr>
              <w:pStyle w:val="TableTextSmall"/>
              <w:rPr>
                <w:rFonts w:cstheme="minorHAnsi"/>
              </w:rPr>
            </w:pPr>
            <w:r w:rsidRPr="00BE73F8">
              <w:t>2%</w:t>
            </w:r>
          </w:p>
        </w:tc>
        <w:tc>
          <w:tcPr>
            <w:tcW w:w="2629" w:type="dxa"/>
            <w:tcBorders>
              <w:left w:val="dotted" w:sz="4" w:space="0" w:color="7D7D7D" w:themeColor="text2"/>
            </w:tcBorders>
            <w:vAlign w:val="center"/>
          </w:tcPr>
          <w:p w14:paraId="1693C6E3" w14:textId="77777777" w:rsidR="00BF2793" w:rsidRPr="0096320D" w:rsidRDefault="00BF2793" w:rsidP="00717604">
            <w:pPr>
              <w:pStyle w:val="TableTextSmall"/>
              <w:rPr>
                <w:rFonts w:cstheme="minorHAnsi"/>
              </w:rPr>
            </w:pPr>
          </w:p>
        </w:tc>
      </w:tr>
    </w:tbl>
    <w:p w14:paraId="7A8A3D8F" w14:textId="77777777" w:rsidR="00BF2793" w:rsidRDefault="00BF2793" w:rsidP="00BF2793">
      <w:pPr>
        <w:pStyle w:val="PwCNormal"/>
        <w:numPr>
          <w:ilvl w:val="0"/>
          <w:numId w:val="0"/>
        </w:numPr>
      </w:pPr>
      <w:r>
        <w:t xml:space="preserve">While the total proportion of spending on family support services has remained relatively constant since 2012-13, the total number of children receiving family support services has increased. </w:t>
      </w:r>
    </w:p>
    <w:p w14:paraId="24689ECC" w14:textId="1AD34F43" w:rsidR="00BF2793" w:rsidRDefault="009F2751" w:rsidP="00BF2793">
      <w:pPr>
        <w:pStyle w:val="PwCNormal"/>
        <w:numPr>
          <w:ilvl w:val="0"/>
          <w:numId w:val="0"/>
        </w:numPr>
      </w:pPr>
      <w:r>
        <w:fldChar w:fldCharType="begin"/>
      </w:r>
      <w:r>
        <w:instrText xml:space="preserve"> REF _Ref31296528 \h </w:instrText>
      </w:r>
      <w:r>
        <w:fldChar w:fldCharType="separate"/>
      </w:r>
      <w:r w:rsidR="00D75351">
        <w:t xml:space="preserve">Figure </w:t>
      </w:r>
      <w:r w:rsidR="00D75351">
        <w:rPr>
          <w:noProof/>
        </w:rPr>
        <w:t>9</w:t>
      </w:r>
      <w:r>
        <w:fldChar w:fldCharType="end"/>
      </w:r>
      <w:r>
        <w:t xml:space="preserve"> </w:t>
      </w:r>
      <w:r w:rsidR="00F80616">
        <w:t xml:space="preserve">shows </w:t>
      </w:r>
      <w:r w:rsidR="00BF2793">
        <w:t xml:space="preserve">the rate of children receiving intensive family support services in Australia </w:t>
      </w:r>
      <w:r w:rsidR="00F80616">
        <w:t>growing</w:t>
      </w:r>
      <w:r w:rsidR="00BF2793">
        <w:t xml:space="preserve"> at a rate of 10 per cent per annum, with approximately 9.5 children per 1,000 accessing intensive family support in 2017-18. </w:t>
      </w:r>
      <w:r w:rsidR="007205E5">
        <w:t>T</w:t>
      </w:r>
      <w:r w:rsidR="00BF2793">
        <w:t xml:space="preserve">he number of children receiving intensive family support services has increased from 21,976 in 2008-09 to 52,028 in 2017-18 (a compound annual growth rate of 10%). By comparison, total funding for family support services has grown at a rate of 5 per cent per annum between 2012-13 and 2017-18. The result has been a decrease in the average recurrent expenditure per child receiving support of 11 per cent. This decrease may represent greater efficiency in service provision or could signal a </w:t>
      </w:r>
      <w:r w:rsidR="00BF2793">
        <w:lastRenderedPageBreak/>
        <w:t xml:space="preserve">reduction in the level or intensity of support provided, it is not possible to determine the cause of this change with currently available data. </w:t>
      </w:r>
    </w:p>
    <w:p w14:paraId="5CA0B7B9" w14:textId="30644A7E" w:rsidR="00BF2793" w:rsidRDefault="00BF2793" w:rsidP="00BF2793">
      <w:pPr>
        <w:pStyle w:val="Caption"/>
      </w:pPr>
      <w:bookmarkStart w:id="124" w:name="_Ref31296528"/>
      <w:r>
        <w:t xml:space="preserve">Figure </w:t>
      </w:r>
      <w:fldSimple w:instr=" SEQ Figure \* ARABIC ">
        <w:r w:rsidR="00D75351">
          <w:rPr>
            <w:noProof/>
          </w:rPr>
          <w:t>9</w:t>
        </w:r>
      </w:fldSimple>
      <w:bookmarkEnd w:id="124"/>
      <w:r>
        <w:t>: Rate per 1000 of children receiving intensive family support services in Australia, 2008-09 to 2017-18</w:t>
      </w:r>
      <w:r>
        <w:rPr>
          <w:rStyle w:val="FootnoteReference"/>
        </w:rPr>
        <w:footnoteReference w:id="18"/>
      </w:r>
    </w:p>
    <w:p w14:paraId="1CB51637" w14:textId="77777777" w:rsidR="00BF2793" w:rsidRPr="00A46C1E" w:rsidRDefault="00BF2793" w:rsidP="00BF2793">
      <w:pPr>
        <w:pStyle w:val="PwCNormal"/>
        <w:numPr>
          <w:ilvl w:val="0"/>
          <w:numId w:val="0"/>
        </w:numPr>
      </w:pPr>
      <w:r w:rsidRPr="00122A52">
        <w:rPr>
          <w:noProof/>
          <w:lang w:eastAsia="en-AU"/>
        </w:rPr>
        <w:drawing>
          <wp:inline distT="0" distB="0" distL="0" distR="0" wp14:anchorId="69069D9A" wp14:editId="7CE5B679">
            <wp:extent cx="6264275" cy="3398520"/>
            <wp:effectExtent l="0" t="0" r="3175" b="0"/>
            <wp:docPr id="34" name="Picture 34" descr="Figure 9 shows the rate of children receiving intensive family support services in Australia growing at a rate of 10 per cent per annum, with approximately 9.5 children per 1,000 accessing intensive family support in 2017-18. The number of children receiving intensive family support services has increased from 21,976 in 2008-09 to 52,028 in 2017-18 (a compound annual growth rate of 10%). By comparison, total funding for family support services has grown at a rate of 5 per cent per annum between 2012-13 and 2017-18. The result has been a decrease in the average recurrent expenditure per child receiving support of 11 per cent. This decrease may represent greater efficiency in service provision or could signal a reduction in the level or intensity of support provided, it is not possible to determine the cause of this change with currently available data. " title="Figure 9: Rate per 1000 of children receiving intensive family support services in Australia, 2008-09 to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4275" cy="3398520"/>
                    </a:xfrm>
                    <a:prstGeom prst="rect">
                      <a:avLst/>
                    </a:prstGeom>
                    <a:noFill/>
                    <a:ln>
                      <a:noFill/>
                    </a:ln>
                  </pic:spPr>
                </pic:pic>
              </a:graphicData>
            </a:graphic>
          </wp:inline>
        </w:drawing>
      </w:r>
      <w:r w:rsidRPr="00CE514B" w:rsidDel="00CE514B">
        <w:rPr>
          <w:highlight w:val="yellow"/>
        </w:rPr>
        <w:t xml:space="preserve"> </w:t>
      </w:r>
    </w:p>
    <w:p w14:paraId="6A2205EF" w14:textId="77777777" w:rsidR="00BF2793" w:rsidRDefault="00BF2793" w:rsidP="00B95734">
      <w:pPr>
        <w:pStyle w:val="Heading7"/>
        <w:numPr>
          <w:ilvl w:val="3"/>
          <w:numId w:val="43"/>
        </w:numPr>
      </w:pPr>
      <w:r>
        <w:t>National Framework data indicators</w:t>
      </w:r>
    </w:p>
    <w:p w14:paraId="364A8661" w14:textId="6E1E3CE2" w:rsidR="00BF2793" w:rsidRDefault="00F80616" w:rsidP="00BF2793">
      <w:pPr>
        <w:pStyle w:val="PwCNormal"/>
        <w:numPr>
          <w:ilvl w:val="0"/>
          <w:numId w:val="0"/>
        </w:numPr>
      </w:pPr>
      <w:r>
        <w:t>Thirty-two</w:t>
      </w:r>
      <w:r w:rsidR="00BF2793">
        <w:t xml:space="preserve"> data indicators</w:t>
      </w:r>
      <w:r w:rsidR="00BF2793">
        <w:rPr>
          <w:rStyle w:val="FootnoteReference"/>
        </w:rPr>
        <w:footnoteReference w:id="19"/>
      </w:r>
      <w:r w:rsidR="00BF2793">
        <w:t xml:space="preserve"> are compiled to report the progress of the Framework’s high-level target and supporting outcomes. Of these indicators, </w:t>
      </w:r>
      <w:r w:rsidR="00B25820">
        <w:t xml:space="preserve">based on Australian Institute of Health and Welfare (AIHW) data and reporting, </w:t>
      </w:r>
      <w:r w:rsidR="00BF2793">
        <w:t xml:space="preserve">three are not reported on as no data is available and ten have insufficient time series data to make a reliable assessment of trends. </w:t>
      </w:r>
      <w:r w:rsidR="00B25820">
        <w:t xml:space="preserve">Challenges with data are explored further in Chapter 3. </w:t>
      </w:r>
      <w:r w:rsidR="00BF2793">
        <w:t xml:space="preserve">A summary of the 19 indicators with reliable time series data is provided in </w:t>
      </w:r>
      <w:r w:rsidR="009F2751">
        <w:fldChar w:fldCharType="begin"/>
      </w:r>
      <w:r w:rsidR="009F2751">
        <w:instrText xml:space="preserve"> REF _Ref31296542 \h </w:instrText>
      </w:r>
      <w:r w:rsidR="009F2751">
        <w:fldChar w:fldCharType="separate"/>
      </w:r>
      <w:r w:rsidR="00D75351">
        <w:t xml:space="preserve">Table </w:t>
      </w:r>
      <w:r w:rsidR="00D75351">
        <w:rPr>
          <w:noProof/>
        </w:rPr>
        <w:t>5</w:t>
      </w:r>
      <w:r w:rsidR="009F2751">
        <w:fldChar w:fldCharType="end"/>
      </w:r>
      <w:r w:rsidR="009F2751">
        <w:t xml:space="preserve"> </w:t>
      </w:r>
      <w:r w:rsidR="00BF2793">
        <w:t xml:space="preserve">below. At a high level, </w:t>
      </w:r>
      <w:r w:rsidR="00D527C8">
        <w:t xml:space="preserve">four </w:t>
      </w:r>
      <w:r w:rsidR="00BF2793">
        <w:t xml:space="preserve">indicators have shown improvement over the life of the framework, 12 indicators have remained steady or show no </w:t>
      </w:r>
      <w:r w:rsidR="00C062B3">
        <w:t xml:space="preserve">clear trend, </w:t>
      </w:r>
      <w:r w:rsidR="00BF2793">
        <w:t xml:space="preserve">and </w:t>
      </w:r>
      <w:r w:rsidR="00D527C8">
        <w:t xml:space="preserve">three </w:t>
      </w:r>
      <w:r w:rsidR="00BF2793">
        <w:t>indicators have worsened</w:t>
      </w:r>
      <w:r w:rsidR="0091006E">
        <w:t xml:space="preserve"> as reported by AIHW</w:t>
      </w:r>
      <w:r w:rsidR="00BF2793">
        <w:t xml:space="preserve">. </w:t>
      </w:r>
      <w:r w:rsidR="00B25820">
        <w:t xml:space="preserve">Note that due to year-to-year variability in data points, a linear trend cannot always be derived. Trend directions represented here are extracted from AIHW reporting which have analysed trends in each dataset. </w:t>
      </w:r>
    </w:p>
    <w:p w14:paraId="641207EF" w14:textId="1B4675C9" w:rsidR="00BF2793" w:rsidRDefault="00BF2793" w:rsidP="00BF2793">
      <w:pPr>
        <w:pStyle w:val="Caption"/>
      </w:pPr>
      <w:bookmarkStart w:id="125" w:name="_Ref31296542"/>
      <w:r>
        <w:t xml:space="preserve">Table </w:t>
      </w:r>
      <w:fldSimple w:instr=" SEQ Table \* ARABIC ">
        <w:r w:rsidR="00D75351">
          <w:rPr>
            <w:noProof/>
          </w:rPr>
          <w:t>5</w:t>
        </w:r>
      </w:fldSimple>
      <w:bookmarkEnd w:id="125"/>
      <w:r>
        <w:t>: Summary of National Framework data indicators with reliable time series data</w:t>
      </w:r>
      <w:r>
        <w:rPr>
          <w:rStyle w:val="FootnoteReference"/>
        </w:rPr>
        <w:footnoteReference w:id="20"/>
      </w:r>
    </w:p>
    <w:tbl>
      <w:tblPr>
        <w:tblW w:w="9865" w:type="dxa"/>
        <w:tblCellMar>
          <w:left w:w="0" w:type="dxa"/>
          <w:right w:w="0" w:type="dxa"/>
        </w:tblCellMar>
        <w:tblLook w:val="04A0" w:firstRow="1" w:lastRow="0" w:firstColumn="1" w:lastColumn="0" w:noHBand="0" w:noVBand="1"/>
        <w:tblCaption w:val="Summary of National Framework data indicators with reliable time series data"/>
        <w:tblDescription w:val="At a high level, four indicators have shown improvement over the life of the framework, 12 indicators have remained steady or show no clear trend, and three indicators have worsened as reported by AIHW. Note that due to year-to-year variability in data points, a linear trend cannot always be derived. Trend directions represented here are extracted from AIHW reporting which have analysed trends in each dataset. "/>
      </w:tblPr>
      <w:tblGrid>
        <w:gridCol w:w="1367"/>
        <w:gridCol w:w="2050"/>
        <w:gridCol w:w="1282"/>
        <w:gridCol w:w="1128"/>
        <w:gridCol w:w="1230"/>
        <w:gridCol w:w="1162"/>
        <w:gridCol w:w="1646"/>
      </w:tblGrid>
      <w:tr w:rsidR="004D0CEB" w14:paraId="5B81BE89" w14:textId="77777777" w:rsidTr="00233EB0">
        <w:trPr>
          <w:trHeight w:val="852"/>
        </w:trPr>
        <w:tc>
          <w:tcPr>
            <w:tcW w:w="1364" w:type="dxa"/>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22C74DB8" w14:textId="77777777" w:rsidR="00BF2793" w:rsidRDefault="00BF2793">
            <w:pPr>
              <w:pStyle w:val="TableColumnHeadingSmall"/>
              <w:rPr>
                <w:snapToGrid/>
                <w:lang w:eastAsia="en-AU"/>
              </w:rPr>
            </w:pPr>
            <w:r>
              <w:t>Domain</w:t>
            </w:r>
          </w:p>
        </w:tc>
        <w:tc>
          <w:tcPr>
            <w:tcW w:w="2038" w:type="dxa"/>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52FD42EA" w14:textId="77777777" w:rsidR="00BF2793" w:rsidRDefault="00BF2793" w:rsidP="008552A8">
            <w:pPr>
              <w:pStyle w:val="TableColumnHeadingSmall"/>
              <w:jc w:val="center"/>
            </w:pPr>
            <w:r>
              <w:t>Indicator</w:t>
            </w:r>
          </w:p>
        </w:tc>
        <w:tc>
          <w:tcPr>
            <w:tcW w:w="1285" w:type="dxa"/>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58FCF841" w14:textId="77777777" w:rsidR="00BF2793" w:rsidRDefault="00BF2793" w:rsidP="008552A8">
            <w:pPr>
              <w:pStyle w:val="TableColumnHeadingSmall"/>
              <w:jc w:val="center"/>
            </w:pPr>
            <w:r>
              <w:t>Baseline year</w:t>
            </w:r>
            <w:r w:rsidR="00B25820">
              <w:t>*</w:t>
            </w:r>
          </w:p>
        </w:tc>
        <w:tc>
          <w:tcPr>
            <w:tcW w:w="1130" w:type="dxa"/>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7BCCA901" w14:textId="77777777" w:rsidR="00BF2793" w:rsidRDefault="00BF2793" w:rsidP="008552A8">
            <w:pPr>
              <w:pStyle w:val="TableColumnHeadingSmall"/>
              <w:jc w:val="center"/>
            </w:pPr>
            <w:r>
              <w:t>Baseline year value</w:t>
            </w:r>
          </w:p>
        </w:tc>
        <w:tc>
          <w:tcPr>
            <w:tcW w:w="1233" w:type="dxa"/>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757C91EE" w14:textId="77777777" w:rsidR="00BF2793" w:rsidRDefault="00BF2793" w:rsidP="008552A8">
            <w:pPr>
              <w:pStyle w:val="TableColumnHeadingSmall"/>
              <w:jc w:val="center"/>
            </w:pPr>
            <w:r>
              <w:t>Current year</w:t>
            </w:r>
          </w:p>
        </w:tc>
        <w:tc>
          <w:tcPr>
            <w:tcW w:w="1165" w:type="dxa"/>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46F7605B" w14:textId="77777777" w:rsidR="00BF2793" w:rsidRDefault="00BF2793" w:rsidP="008552A8">
            <w:pPr>
              <w:pStyle w:val="TableColumnHeadingSmall"/>
              <w:jc w:val="center"/>
            </w:pPr>
            <w:r>
              <w:t>Value (current)</w:t>
            </w:r>
          </w:p>
        </w:tc>
        <w:tc>
          <w:tcPr>
            <w:tcW w:w="1650" w:type="dxa"/>
            <w:tcBorders>
              <w:top w:val="single" w:sz="4" w:space="0" w:color="ED7D31"/>
              <w:left w:val="nil"/>
              <w:bottom w:val="single" w:sz="4" w:space="0" w:color="ED7D31"/>
              <w:right w:val="nil"/>
            </w:tcBorders>
            <w:shd w:val="clear" w:color="auto" w:fill="auto"/>
            <w:tcMar>
              <w:top w:w="15" w:type="dxa"/>
              <w:left w:w="15" w:type="dxa"/>
              <w:bottom w:w="0" w:type="dxa"/>
              <w:right w:w="15" w:type="dxa"/>
            </w:tcMar>
            <w:vAlign w:val="center"/>
            <w:hideMark/>
          </w:tcPr>
          <w:p w14:paraId="1B385781" w14:textId="77777777" w:rsidR="00BF2793" w:rsidRDefault="00BF2793" w:rsidP="008552A8">
            <w:pPr>
              <w:pStyle w:val="TableColumnHeadingSmall"/>
              <w:jc w:val="center"/>
            </w:pPr>
            <w:r>
              <w:t>Trend</w:t>
            </w:r>
          </w:p>
        </w:tc>
      </w:tr>
      <w:tr w:rsidR="00BF2793" w14:paraId="52F62D7E" w14:textId="77777777" w:rsidTr="00717604">
        <w:trPr>
          <w:trHeight w:val="337"/>
        </w:trPr>
        <w:tc>
          <w:tcPr>
            <w:tcW w:w="0" w:type="auto"/>
            <w:gridSpan w:val="7"/>
            <w:tcBorders>
              <w:top w:val="nil"/>
              <w:left w:val="nil"/>
              <w:bottom w:val="nil"/>
              <w:right w:val="nil"/>
            </w:tcBorders>
            <w:shd w:val="clear" w:color="000000" w:fill="D9D9D9"/>
            <w:noWrap/>
            <w:tcMar>
              <w:top w:w="15" w:type="dxa"/>
              <w:left w:w="15" w:type="dxa"/>
              <w:bottom w:w="0" w:type="dxa"/>
              <w:right w:w="15" w:type="dxa"/>
            </w:tcMar>
            <w:vAlign w:val="center"/>
            <w:hideMark/>
          </w:tcPr>
          <w:p w14:paraId="1B778356" w14:textId="77777777" w:rsidR="00BF2793" w:rsidRPr="0009264F" w:rsidRDefault="00BF2793" w:rsidP="00717604">
            <w:pPr>
              <w:pStyle w:val="TableTextSmall"/>
              <w:rPr>
                <w:b/>
              </w:rPr>
            </w:pPr>
            <w:r w:rsidRPr="0009264F">
              <w:rPr>
                <w:b/>
              </w:rPr>
              <w:t>High level outcome: Australia's children and young people are safe and well</w:t>
            </w:r>
          </w:p>
        </w:tc>
      </w:tr>
      <w:tr w:rsidR="004D0CEB" w14:paraId="355213C0" w14:textId="77777777" w:rsidTr="00233EB0">
        <w:trPr>
          <w:trHeight w:val="568"/>
        </w:trPr>
        <w:tc>
          <w:tcPr>
            <w:tcW w:w="1364" w:type="dxa"/>
            <w:tcBorders>
              <w:top w:val="nil"/>
              <w:left w:val="nil"/>
              <w:bottom w:val="single" w:sz="4" w:space="0" w:color="808080"/>
              <w:right w:val="nil"/>
            </w:tcBorders>
            <w:shd w:val="clear" w:color="auto" w:fill="auto"/>
            <w:tcMar>
              <w:top w:w="15" w:type="dxa"/>
              <w:left w:w="135" w:type="dxa"/>
              <w:bottom w:w="0" w:type="dxa"/>
              <w:right w:w="15" w:type="dxa"/>
            </w:tcMar>
            <w:vAlign w:val="center"/>
            <w:hideMark/>
          </w:tcPr>
          <w:p w14:paraId="493C1DE7" w14:textId="77777777" w:rsidR="00BF2793" w:rsidRPr="002718AF" w:rsidRDefault="00BF2793" w:rsidP="00717604">
            <w:pPr>
              <w:pStyle w:val="TableTextSmall"/>
            </w:pPr>
            <w:r w:rsidRPr="002718AF">
              <w:t>Child protection substantiations</w:t>
            </w:r>
          </w:p>
        </w:tc>
        <w:tc>
          <w:tcPr>
            <w:tcW w:w="2038"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22540CAC" w14:textId="77777777" w:rsidR="00BF2793" w:rsidRPr="002718AF" w:rsidRDefault="00BF2793" w:rsidP="00717604">
            <w:pPr>
              <w:pStyle w:val="TableTextSmall"/>
            </w:pPr>
            <w:r w:rsidRPr="002718AF">
              <w:t xml:space="preserve">Rate of children aged 0–17 years who were the subject </w:t>
            </w:r>
            <w:r w:rsidRPr="002718AF">
              <w:lastRenderedPageBreak/>
              <w:t>of child protection substantiation</w:t>
            </w:r>
          </w:p>
        </w:tc>
        <w:tc>
          <w:tcPr>
            <w:tcW w:w="1285"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0D76EF97" w14:textId="77777777" w:rsidR="00BF2793" w:rsidRPr="002718AF" w:rsidRDefault="00BF2793" w:rsidP="00717604">
            <w:pPr>
              <w:pStyle w:val="TableTextSmall"/>
            </w:pPr>
            <w:r w:rsidRPr="002718AF">
              <w:lastRenderedPageBreak/>
              <w:t>2009–10</w:t>
            </w:r>
          </w:p>
        </w:tc>
        <w:tc>
          <w:tcPr>
            <w:tcW w:w="1130"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26D223D0" w14:textId="77777777" w:rsidR="00BF2793" w:rsidRPr="002718AF" w:rsidRDefault="00BF2793" w:rsidP="00717604">
            <w:pPr>
              <w:pStyle w:val="TableTextSmall"/>
            </w:pPr>
            <w:r w:rsidRPr="002718AF">
              <w:t>6.2 (per 1,000)</w:t>
            </w:r>
          </w:p>
        </w:tc>
        <w:tc>
          <w:tcPr>
            <w:tcW w:w="1233"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66B49FA1" w14:textId="77777777" w:rsidR="00BF2793" w:rsidRPr="002718AF" w:rsidRDefault="00BF2793" w:rsidP="00717604">
            <w:pPr>
              <w:pStyle w:val="TableTextSmall"/>
            </w:pPr>
            <w:r w:rsidRPr="002718AF">
              <w:t>2017–18</w:t>
            </w:r>
          </w:p>
        </w:tc>
        <w:tc>
          <w:tcPr>
            <w:tcW w:w="1165"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3A5CBEC0" w14:textId="77777777" w:rsidR="00BF2793" w:rsidRPr="002718AF" w:rsidRDefault="00BF2793" w:rsidP="00717604">
            <w:pPr>
              <w:pStyle w:val="TableTextSmall"/>
            </w:pPr>
            <w:r w:rsidRPr="002718AF">
              <w:t>8.5 (per 1,000)</w:t>
            </w:r>
          </w:p>
        </w:tc>
        <w:tc>
          <w:tcPr>
            <w:tcW w:w="1650"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130EAEBC" w14:textId="45132D47" w:rsidR="00BF2793" w:rsidRPr="002718AF" w:rsidRDefault="00BF2793" w:rsidP="00717604">
            <w:pPr>
              <w:jc w:val="center"/>
              <w:rPr>
                <w:rFonts w:ascii="Calibri" w:hAnsi="Calibri" w:cs="Calibri"/>
                <w:b/>
                <w:bCs/>
                <w:color w:val="000000"/>
                <w:szCs w:val="18"/>
              </w:rPr>
            </w:pPr>
            <w:r w:rsidRPr="002718AF">
              <w:rPr>
                <w:rFonts w:ascii="Calibri" w:hAnsi="Calibri" w:cs="Calibri"/>
                <w:b/>
                <w:bCs/>
                <w:color w:val="000000"/>
                <w:szCs w:val="18"/>
              </w:rPr>
              <w:t>↑</w:t>
            </w:r>
            <w:r w:rsidR="00B86725">
              <w:rPr>
                <w:rFonts w:ascii="Calibri" w:hAnsi="Calibri" w:cs="Calibri"/>
                <w:b/>
                <w:bCs/>
                <w:color w:val="000000"/>
                <w:szCs w:val="18"/>
              </w:rPr>
              <w:t xml:space="preserve"> </w:t>
            </w:r>
            <w:r w:rsidR="00B86725" w:rsidRPr="008552A8">
              <w:rPr>
                <w:rFonts w:cstheme="minorHAnsi"/>
                <w:b/>
                <w:bCs/>
                <w:color w:val="000000"/>
                <w:sz w:val="14"/>
                <w:szCs w:val="14"/>
              </w:rPr>
              <w:t>(</w:t>
            </w:r>
            <w:r w:rsidR="0091006E">
              <w:rPr>
                <w:rFonts w:cstheme="minorHAnsi"/>
                <w:b/>
                <w:bCs/>
                <w:color w:val="000000"/>
                <w:sz w:val="14"/>
                <w:szCs w:val="14"/>
              </w:rPr>
              <w:t>increase</w:t>
            </w:r>
            <w:r w:rsidR="00B86725" w:rsidRPr="008552A8">
              <w:rPr>
                <w:rFonts w:cstheme="minorHAnsi"/>
                <w:b/>
                <w:bCs/>
                <w:color w:val="000000"/>
                <w:sz w:val="14"/>
                <w:szCs w:val="14"/>
              </w:rPr>
              <w:t>)</w:t>
            </w:r>
          </w:p>
        </w:tc>
      </w:tr>
      <w:tr w:rsidR="004D0CEB" w14:paraId="33190926" w14:textId="77777777" w:rsidTr="00233EB0">
        <w:trPr>
          <w:trHeight w:val="284"/>
        </w:trPr>
        <w:tc>
          <w:tcPr>
            <w:tcW w:w="1364" w:type="dxa"/>
            <w:tcBorders>
              <w:top w:val="nil"/>
              <w:left w:val="nil"/>
              <w:bottom w:val="single" w:sz="4" w:space="0" w:color="808080"/>
              <w:right w:val="nil"/>
            </w:tcBorders>
            <w:shd w:val="clear" w:color="auto" w:fill="auto"/>
            <w:tcMar>
              <w:top w:w="15" w:type="dxa"/>
              <w:left w:w="135" w:type="dxa"/>
              <w:bottom w:w="0" w:type="dxa"/>
              <w:right w:w="15" w:type="dxa"/>
            </w:tcMar>
            <w:vAlign w:val="center"/>
            <w:hideMark/>
          </w:tcPr>
          <w:p w14:paraId="28CC8218" w14:textId="77777777" w:rsidR="00BF2793" w:rsidRPr="002718AF" w:rsidRDefault="00BF2793" w:rsidP="00717604">
            <w:pPr>
              <w:pStyle w:val="TableTextSmall"/>
            </w:pPr>
            <w:r w:rsidRPr="002718AF">
              <w:t>Out-of-home care</w:t>
            </w:r>
          </w:p>
        </w:tc>
        <w:tc>
          <w:tcPr>
            <w:tcW w:w="2038"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48A7A849" w14:textId="77777777" w:rsidR="00BF2793" w:rsidRPr="002718AF" w:rsidRDefault="00BF2793" w:rsidP="00717604">
            <w:pPr>
              <w:pStyle w:val="TableTextSmall"/>
            </w:pPr>
            <w:r w:rsidRPr="002718AF">
              <w:t>Rate of children aged 0–17 years who are in out-of-home care</w:t>
            </w:r>
          </w:p>
        </w:tc>
        <w:tc>
          <w:tcPr>
            <w:tcW w:w="1285"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62EFE2FE" w14:textId="77777777" w:rsidR="00BF2793" w:rsidRPr="002718AF" w:rsidRDefault="00BF2793" w:rsidP="00717604">
            <w:pPr>
              <w:pStyle w:val="TableTextSmall"/>
            </w:pPr>
            <w:r w:rsidRPr="002718AF">
              <w:t>2010</w:t>
            </w:r>
          </w:p>
        </w:tc>
        <w:tc>
          <w:tcPr>
            <w:tcW w:w="1130"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27E40863" w14:textId="77777777" w:rsidR="00BF2793" w:rsidRPr="002718AF" w:rsidRDefault="00BF2793" w:rsidP="00717604">
            <w:pPr>
              <w:pStyle w:val="TableTextSmall"/>
            </w:pPr>
            <w:r w:rsidRPr="002718AF">
              <w:t>7.1 (per 1,000)</w:t>
            </w:r>
          </w:p>
        </w:tc>
        <w:tc>
          <w:tcPr>
            <w:tcW w:w="1233"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722276D5" w14:textId="77777777" w:rsidR="00BF2793" w:rsidRPr="002718AF" w:rsidRDefault="00BF2793" w:rsidP="00717604">
            <w:pPr>
              <w:pStyle w:val="TableTextSmall"/>
            </w:pPr>
            <w:r w:rsidRPr="002718AF">
              <w:t>2018</w:t>
            </w:r>
          </w:p>
        </w:tc>
        <w:tc>
          <w:tcPr>
            <w:tcW w:w="1165"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2F35C46A" w14:textId="77777777" w:rsidR="00BF2793" w:rsidRPr="002718AF" w:rsidRDefault="00BF2793" w:rsidP="00717604">
            <w:pPr>
              <w:pStyle w:val="TableTextSmall"/>
            </w:pPr>
            <w:r w:rsidRPr="002718AF">
              <w:t>8.2 (per 1,000)</w:t>
            </w:r>
          </w:p>
        </w:tc>
        <w:tc>
          <w:tcPr>
            <w:tcW w:w="1650"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3CBCD3E0" w14:textId="0BBCD3A3" w:rsidR="00BF2793" w:rsidRPr="002718AF" w:rsidRDefault="00BF2793" w:rsidP="00717604">
            <w:pPr>
              <w:jc w:val="center"/>
              <w:rPr>
                <w:rFonts w:ascii="Calibri" w:hAnsi="Calibri" w:cs="Calibri"/>
                <w:b/>
                <w:bCs/>
                <w:color w:val="000000"/>
                <w:szCs w:val="18"/>
              </w:rPr>
            </w:pPr>
            <w:r w:rsidRPr="002718AF">
              <w:rPr>
                <w:rFonts w:ascii="Calibri" w:hAnsi="Calibri" w:cs="Calibri"/>
                <w:b/>
                <w:bCs/>
                <w:color w:val="000000"/>
                <w:szCs w:val="18"/>
              </w:rPr>
              <w:t>↑</w:t>
            </w:r>
            <w:r w:rsidR="00B86725">
              <w:rPr>
                <w:rFonts w:ascii="Calibri" w:hAnsi="Calibri" w:cs="Calibri"/>
                <w:b/>
                <w:bCs/>
                <w:color w:val="000000"/>
                <w:szCs w:val="18"/>
              </w:rPr>
              <w:t xml:space="preserve"> </w:t>
            </w:r>
            <w:r w:rsidR="00B86725" w:rsidRPr="008552A8">
              <w:rPr>
                <w:rFonts w:cstheme="minorHAnsi"/>
                <w:b/>
                <w:bCs/>
                <w:color w:val="000000"/>
                <w:sz w:val="14"/>
                <w:szCs w:val="14"/>
              </w:rPr>
              <w:t>(</w:t>
            </w:r>
            <w:r w:rsidR="0091006E">
              <w:rPr>
                <w:rFonts w:cstheme="minorHAnsi"/>
                <w:b/>
                <w:bCs/>
                <w:color w:val="000000"/>
                <w:sz w:val="14"/>
                <w:szCs w:val="14"/>
              </w:rPr>
              <w:t>increase</w:t>
            </w:r>
            <w:r w:rsidR="00B86725" w:rsidRPr="008552A8">
              <w:rPr>
                <w:rFonts w:cstheme="minorHAnsi"/>
                <w:b/>
                <w:bCs/>
                <w:color w:val="000000"/>
                <w:sz w:val="14"/>
                <w:szCs w:val="14"/>
              </w:rPr>
              <w:t>)</w:t>
            </w:r>
          </w:p>
        </w:tc>
      </w:tr>
      <w:tr w:rsidR="004D0CEB" w14:paraId="2A3481EE" w14:textId="77777777" w:rsidTr="00233EB0">
        <w:trPr>
          <w:trHeight w:val="284"/>
        </w:trPr>
        <w:tc>
          <w:tcPr>
            <w:tcW w:w="1364" w:type="dxa"/>
            <w:tcBorders>
              <w:top w:val="nil"/>
              <w:left w:val="nil"/>
              <w:bottom w:val="single" w:sz="4" w:space="0" w:color="808080"/>
              <w:right w:val="nil"/>
            </w:tcBorders>
            <w:shd w:val="clear" w:color="auto" w:fill="auto"/>
            <w:tcMar>
              <w:top w:w="15" w:type="dxa"/>
              <w:left w:w="135" w:type="dxa"/>
              <w:bottom w:w="0" w:type="dxa"/>
              <w:right w:w="15" w:type="dxa"/>
            </w:tcMar>
            <w:vAlign w:val="center"/>
            <w:hideMark/>
          </w:tcPr>
          <w:p w14:paraId="6280C94D" w14:textId="77777777" w:rsidR="00BF2793" w:rsidRPr="00FA3E74" w:rsidRDefault="00BF2793" w:rsidP="00717604">
            <w:pPr>
              <w:pStyle w:val="TableTextSmall"/>
            </w:pPr>
            <w:r w:rsidRPr="00FA3E74">
              <w:t>Teenage births</w:t>
            </w:r>
          </w:p>
        </w:tc>
        <w:tc>
          <w:tcPr>
            <w:tcW w:w="2038"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01B7684B" w14:textId="77777777" w:rsidR="00BF2793" w:rsidRPr="00FA3E74" w:rsidRDefault="00BF2793" w:rsidP="00717604">
            <w:pPr>
              <w:pStyle w:val="TableTextSmall"/>
            </w:pPr>
            <w:r w:rsidRPr="00FA3E74">
              <w:t>Age-specific birth rate for women aged 15–19 years</w:t>
            </w:r>
          </w:p>
        </w:tc>
        <w:tc>
          <w:tcPr>
            <w:tcW w:w="1285"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7428A623" w14:textId="77777777" w:rsidR="00BF2793" w:rsidRPr="00FA3E74" w:rsidRDefault="00BF2793" w:rsidP="00717604">
            <w:pPr>
              <w:pStyle w:val="TableTextSmall"/>
            </w:pPr>
            <w:r w:rsidRPr="00FA3E74">
              <w:t>2009</w:t>
            </w:r>
          </w:p>
        </w:tc>
        <w:tc>
          <w:tcPr>
            <w:tcW w:w="1130"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567A82F4" w14:textId="77777777" w:rsidR="00BF2793" w:rsidRPr="00FA3E74" w:rsidRDefault="00BF2793" w:rsidP="00717604">
            <w:pPr>
              <w:pStyle w:val="TableTextSmall"/>
            </w:pPr>
            <w:r w:rsidRPr="00FA3E74">
              <w:t>16.4 (per 1,000)</w:t>
            </w:r>
          </w:p>
        </w:tc>
        <w:tc>
          <w:tcPr>
            <w:tcW w:w="1233"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34FEAD52" w14:textId="77777777" w:rsidR="00BF2793" w:rsidRPr="00FA3E74" w:rsidRDefault="00BF2793" w:rsidP="00717604">
            <w:pPr>
              <w:pStyle w:val="TableTextSmall"/>
            </w:pPr>
            <w:r w:rsidRPr="00FA3E74">
              <w:t>2016</w:t>
            </w:r>
          </w:p>
        </w:tc>
        <w:tc>
          <w:tcPr>
            <w:tcW w:w="1165"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294C0519" w14:textId="77777777" w:rsidR="00BF2793" w:rsidRPr="00FA3E74" w:rsidRDefault="00BF2793" w:rsidP="00717604">
            <w:pPr>
              <w:pStyle w:val="TableTextSmall"/>
            </w:pPr>
            <w:r w:rsidRPr="00FA3E74">
              <w:t>10.2 (per 1,000)</w:t>
            </w:r>
          </w:p>
        </w:tc>
        <w:tc>
          <w:tcPr>
            <w:tcW w:w="1650"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646C4F8B" w14:textId="660FDBB2" w:rsidR="00BF2793" w:rsidRPr="002718AF" w:rsidRDefault="00BF2793" w:rsidP="00717604">
            <w:pPr>
              <w:jc w:val="center"/>
              <w:rPr>
                <w:rFonts w:ascii="Calibri" w:hAnsi="Calibri" w:cs="Calibri"/>
                <w:b/>
                <w:bCs/>
                <w:color w:val="000000"/>
                <w:szCs w:val="18"/>
              </w:rPr>
            </w:pPr>
            <w:r w:rsidRPr="00FA3E74">
              <w:rPr>
                <w:rFonts w:ascii="Calibri" w:hAnsi="Calibri" w:cs="Calibri"/>
                <w:b/>
                <w:bCs/>
                <w:color w:val="000000"/>
                <w:szCs w:val="18"/>
              </w:rPr>
              <w:t>↓</w:t>
            </w:r>
            <w:r w:rsidR="00B86725">
              <w:rPr>
                <w:rFonts w:ascii="Calibri" w:hAnsi="Calibri" w:cs="Calibri"/>
                <w:b/>
                <w:bCs/>
                <w:color w:val="000000"/>
                <w:szCs w:val="18"/>
              </w:rPr>
              <w:t xml:space="preserve"> </w:t>
            </w:r>
            <w:r w:rsidR="00B86725" w:rsidRPr="008552A8">
              <w:rPr>
                <w:rFonts w:cstheme="minorHAnsi"/>
                <w:b/>
                <w:bCs/>
                <w:color w:val="000000"/>
                <w:sz w:val="14"/>
                <w:szCs w:val="14"/>
              </w:rPr>
              <w:t>(</w:t>
            </w:r>
            <w:r w:rsidR="0091006E">
              <w:rPr>
                <w:rFonts w:cstheme="minorHAnsi"/>
                <w:b/>
                <w:bCs/>
                <w:color w:val="000000"/>
                <w:sz w:val="14"/>
                <w:szCs w:val="14"/>
              </w:rPr>
              <w:t>decrease</w:t>
            </w:r>
            <w:r w:rsidR="00B86725" w:rsidRPr="008552A8">
              <w:rPr>
                <w:rFonts w:cstheme="minorHAnsi"/>
                <w:b/>
                <w:bCs/>
                <w:color w:val="000000"/>
                <w:sz w:val="14"/>
                <w:szCs w:val="14"/>
              </w:rPr>
              <w:t>)</w:t>
            </w:r>
          </w:p>
        </w:tc>
      </w:tr>
      <w:tr w:rsidR="004D0CEB" w14:paraId="587B65B6" w14:textId="77777777" w:rsidTr="00233EB0">
        <w:trPr>
          <w:trHeight w:val="284"/>
        </w:trPr>
        <w:tc>
          <w:tcPr>
            <w:tcW w:w="1364" w:type="dxa"/>
            <w:tcBorders>
              <w:top w:val="nil"/>
              <w:left w:val="nil"/>
              <w:bottom w:val="single" w:sz="4" w:space="0" w:color="808080"/>
              <w:right w:val="nil"/>
            </w:tcBorders>
            <w:shd w:val="clear" w:color="auto" w:fill="auto"/>
            <w:tcMar>
              <w:top w:w="15" w:type="dxa"/>
              <w:left w:w="135" w:type="dxa"/>
              <w:bottom w:w="0" w:type="dxa"/>
              <w:right w:w="15" w:type="dxa"/>
            </w:tcMar>
            <w:vAlign w:val="center"/>
            <w:hideMark/>
          </w:tcPr>
          <w:p w14:paraId="3B6959A8" w14:textId="77777777" w:rsidR="00BF2793" w:rsidRPr="002718AF" w:rsidRDefault="00BF2793" w:rsidP="00717604">
            <w:pPr>
              <w:pStyle w:val="TableTextSmall"/>
            </w:pPr>
            <w:r w:rsidRPr="002718AF">
              <w:t>Low birthweight</w:t>
            </w:r>
          </w:p>
        </w:tc>
        <w:tc>
          <w:tcPr>
            <w:tcW w:w="2038"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53A165D6" w14:textId="77777777" w:rsidR="00BF2793" w:rsidRPr="002718AF" w:rsidRDefault="00BF2793" w:rsidP="00717604">
            <w:pPr>
              <w:pStyle w:val="TableTextSmall"/>
            </w:pPr>
            <w:r w:rsidRPr="002718AF">
              <w:t>Proportion of live born infants of low birthweight</w:t>
            </w:r>
          </w:p>
        </w:tc>
        <w:tc>
          <w:tcPr>
            <w:tcW w:w="1285"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71CC9A7B" w14:textId="77777777" w:rsidR="00BF2793" w:rsidRPr="002718AF" w:rsidRDefault="00BF2793" w:rsidP="00717604">
            <w:pPr>
              <w:pStyle w:val="TableTextSmall"/>
            </w:pPr>
            <w:r w:rsidRPr="002718AF">
              <w:t>2009</w:t>
            </w:r>
          </w:p>
        </w:tc>
        <w:tc>
          <w:tcPr>
            <w:tcW w:w="1130"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514F556C" w14:textId="77777777" w:rsidR="00BF2793" w:rsidRPr="002718AF" w:rsidRDefault="00BF2793" w:rsidP="00717604">
            <w:pPr>
              <w:pStyle w:val="TableTextSmall"/>
            </w:pPr>
            <w:r w:rsidRPr="002718AF">
              <w:t>6.2%</w:t>
            </w:r>
          </w:p>
        </w:tc>
        <w:tc>
          <w:tcPr>
            <w:tcW w:w="1233"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6B8CEA12" w14:textId="77777777" w:rsidR="00BF2793" w:rsidRPr="002718AF" w:rsidRDefault="00BF2793" w:rsidP="00717604">
            <w:pPr>
              <w:pStyle w:val="TableTextSmall"/>
            </w:pPr>
            <w:r w:rsidRPr="002718AF">
              <w:t>2016</w:t>
            </w:r>
          </w:p>
        </w:tc>
        <w:tc>
          <w:tcPr>
            <w:tcW w:w="1165"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17FCAC94" w14:textId="77777777" w:rsidR="00BF2793" w:rsidRPr="002718AF" w:rsidRDefault="00BF2793" w:rsidP="00717604">
            <w:pPr>
              <w:pStyle w:val="TableTextSmall"/>
            </w:pPr>
            <w:r w:rsidRPr="002718AF">
              <w:t>6.5%</w:t>
            </w:r>
          </w:p>
        </w:tc>
        <w:tc>
          <w:tcPr>
            <w:tcW w:w="1650"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53755CF1" w14:textId="096C2072" w:rsidR="00BF2793" w:rsidRPr="002718AF" w:rsidRDefault="00BF2793" w:rsidP="00717604">
            <w:pPr>
              <w:jc w:val="center"/>
              <w:rPr>
                <w:rFonts w:ascii="Calibri" w:hAnsi="Calibri" w:cs="Calibri"/>
                <w:b/>
                <w:bCs/>
                <w:color w:val="000000"/>
                <w:szCs w:val="18"/>
              </w:rPr>
            </w:pPr>
            <w:r w:rsidRPr="002718AF">
              <w:rPr>
                <w:rFonts w:ascii="Calibri" w:hAnsi="Calibri" w:cs="Calibri"/>
                <w:b/>
                <w:bCs/>
                <w:color w:val="000000"/>
                <w:szCs w:val="18"/>
              </w:rPr>
              <w:t>↑</w:t>
            </w:r>
            <w:r w:rsidR="00B86725">
              <w:rPr>
                <w:rFonts w:ascii="Calibri" w:hAnsi="Calibri" w:cs="Calibri"/>
                <w:b/>
                <w:bCs/>
                <w:color w:val="000000"/>
                <w:szCs w:val="18"/>
              </w:rPr>
              <w:t xml:space="preserve"> </w:t>
            </w:r>
            <w:r w:rsidR="00B86725" w:rsidRPr="008552A8">
              <w:rPr>
                <w:rFonts w:cstheme="minorHAnsi"/>
                <w:b/>
                <w:bCs/>
                <w:color w:val="000000"/>
                <w:sz w:val="14"/>
                <w:szCs w:val="14"/>
              </w:rPr>
              <w:t>(</w:t>
            </w:r>
            <w:r w:rsidR="0091006E">
              <w:rPr>
                <w:rFonts w:cstheme="minorHAnsi"/>
                <w:b/>
                <w:bCs/>
                <w:color w:val="000000"/>
                <w:sz w:val="14"/>
                <w:szCs w:val="14"/>
              </w:rPr>
              <w:t>increase</w:t>
            </w:r>
            <w:r w:rsidR="00B86725" w:rsidRPr="008552A8">
              <w:rPr>
                <w:rFonts w:cstheme="minorHAnsi"/>
                <w:b/>
                <w:bCs/>
                <w:color w:val="000000"/>
                <w:sz w:val="14"/>
                <w:szCs w:val="14"/>
              </w:rPr>
              <w:t>)</w:t>
            </w:r>
          </w:p>
        </w:tc>
      </w:tr>
      <w:tr w:rsidR="004D0CEB" w14:paraId="531D1A74" w14:textId="77777777" w:rsidTr="00233EB0">
        <w:trPr>
          <w:trHeight w:val="284"/>
        </w:trPr>
        <w:tc>
          <w:tcPr>
            <w:tcW w:w="1364" w:type="dxa"/>
            <w:tcBorders>
              <w:top w:val="nil"/>
              <w:left w:val="nil"/>
              <w:bottom w:val="single" w:sz="4" w:space="0" w:color="808080"/>
              <w:right w:val="nil"/>
            </w:tcBorders>
            <w:shd w:val="clear" w:color="auto" w:fill="auto"/>
            <w:tcMar>
              <w:top w:w="15" w:type="dxa"/>
              <w:left w:w="135" w:type="dxa"/>
              <w:bottom w:w="0" w:type="dxa"/>
              <w:right w:w="15" w:type="dxa"/>
            </w:tcMar>
            <w:vAlign w:val="center"/>
            <w:hideMark/>
          </w:tcPr>
          <w:p w14:paraId="10F9E0FE" w14:textId="77777777" w:rsidR="00BF2793" w:rsidRPr="00FA3E74" w:rsidRDefault="00BF2793" w:rsidP="00717604">
            <w:pPr>
              <w:pStyle w:val="TableTextSmall"/>
            </w:pPr>
            <w:r w:rsidRPr="00FA3E74">
              <w:t>Child homicide</w:t>
            </w:r>
          </w:p>
        </w:tc>
        <w:tc>
          <w:tcPr>
            <w:tcW w:w="2038"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5D393D00" w14:textId="77777777" w:rsidR="00BF2793" w:rsidRPr="00FA3E74" w:rsidRDefault="00BF2793" w:rsidP="00717604">
            <w:pPr>
              <w:pStyle w:val="TableTextSmall"/>
            </w:pPr>
            <w:r w:rsidRPr="00FA3E74">
              <w:t>Assault (homicide) death rate for children aged 0–17 years</w:t>
            </w:r>
          </w:p>
        </w:tc>
        <w:tc>
          <w:tcPr>
            <w:tcW w:w="1285"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77E602D6" w14:textId="77777777" w:rsidR="00BF2793" w:rsidRPr="00FA3E74" w:rsidRDefault="00BF2793" w:rsidP="00717604">
            <w:pPr>
              <w:pStyle w:val="TableTextSmall"/>
            </w:pPr>
            <w:r w:rsidRPr="00FA3E74">
              <w:t>2008–10</w:t>
            </w:r>
          </w:p>
        </w:tc>
        <w:tc>
          <w:tcPr>
            <w:tcW w:w="1130"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4E07C3C7" w14:textId="77777777" w:rsidR="00BF2793" w:rsidRPr="00FA3E74" w:rsidRDefault="00BF2793" w:rsidP="00717604">
            <w:pPr>
              <w:pStyle w:val="TableTextSmall"/>
            </w:pPr>
            <w:r w:rsidRPr="00FA3E74">
              <w:t>0.5 (per 100,000)</w:t>
            </w:r>
          </w:p>
        </w:tc>
        <w:tc>
          <w:tcPr>
            <w:tcW w:w="1233"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1AEE82D6" w14:textId="77777777" w:rsidR="00BF2793" w:rsidRPr="00FA3E74" w:rsidRDefault="00BF2793" w:rsidP="00717604">
            <w:pPr>
              <w:pStyle w:val="TableTextSmall"/>
            </w:pPr>
            <w:r w:rsidRPr="00FA3E74">
              <w:t>2012–14</w:t>
            </w:r>
          </w:p>
        </w:tc>
        <w:tc>
          <w:tcPr>
            <w:tcW w:w="1165"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4B1E018A" w14:textId="77777777" w:rsidR="00BF2793" w:rsidRPr="00FA3E74" w:rsidRDefault="00BF2793" w:rsidP="00717604">
            <w:pPr>
              <w:pStyle w:val="TableTextSmall"/>
            </w:pPr>
            <w:r w:rsidRPr="00FA3E74">
              <w:t>0.4 (per 100,000)</w:t>
            </w:r>
          </w:p>
        </w:tc>
        <w:tc>
          <w:tcPr>
            <w:tcW w:w="1650"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592DF501" w14:textId="7BF91031" w:rsidR="00BF2793" w:rsidRPr="002718AF" w:rsidRDefault="00BF2793" w:rsidP="00717604">
            <w:pPr>
              <w:jc w:val="center"/>
              <w:rPr>
                <w:rFonts w:ascii="Calibri" w:hAnsi="Calibri" w:cs="Calibri"/>
                <w:b/>
                <w:bCs/>
                <w:color w:val="000000"/>
                <w:szCs w:val="18"/>
              </w:rPr>
            </w:pPr>
            <w:r w:rsidRPr="00FA3E74">
              <w:rPr>
                <w:rFonts w:ascii="Calibri" w:hAnsi="Calibri" w:cs="Calibri"/>
                <w:b/>
                <w:bCs/>
                <w:color w:val="000000"/>
                <w:szCs w:val="18"/>
              </w:rPr>
              <w:t>~</w:t>
            </w:r>
            <w:r w:rsidR="00B86725">
              <w:rPr>
                <w:rFonts w:ascii="Calibri" w:hAnsi="Calibri" w:cs="Calibri"/>
                <w:b/>
                <w:bCs/>
                <w:color w:val="000000"/>
                <w:szCs w:val="18"/>
              </w:rPr>
              <w:t xml:space="preserve"> </w:t>
            </w:r>
            <w:r w:rsidR="00B86725" w:rsidRPr="008552A8">
              <w:rPr>
                <w:rFonts w:cstheme="minorHAnsi"/>
                <w:b/>
                <w:bCs/>
                <w:color w:val="000000"/>
                <w:sz w:val="14"/>
                <w:szCs w:val="14"/>
              </w:rPr>
              <w:t>(</w:t>
            </w:r>
            <w:r w:rsidR="00D527C8" w:rsidRPr="008552A8">
              <w:rPr>
                <w:rFonts w:cstheme="minorHAnsi"/>
                <w:b/>
                <w:bCs/>
                <w:color w:val="000000"/>
                <w:sz w:val="14"/>
                <w:szCs w:val="14"/>
              </w:rPr>
              <w:t>steady</w:t>
            </w:r>
            <w:r w:rsidR="00C062B3">
              <w:rPr>
                <w:rFonts w:cstheme="minorHAnsi"/>
                <w:b/>
                <w:bCs/>
                <w:color w:val="000000"/>
                <w:sz w:val="14"/>
                <w:szCs w:val="14"/>
              </w:rPr>
              <w:t>/no clear trend</w:t>
            </w:r>
            <w:r w:rsidR="00B86725" w:rsidRPr="008552A8">
              <w:rPr>
                <w:rFonts w:cstheme="minorHAnsi"/>
                <w:b/>
                <w:bCs/>
                <w:color w:val="000000"/>
                <w:sz w:val="14"/>
                <w:szCs w:val="14"/>
              </w:rPr>
              <w:t>)</w:t>
            </w:r>
          </w:p>
        </w:tc>
      </w:tr>
      <w:tr w:rsidR="004D0CEB" w14:paraId="77659427" w14:textId="77777777" w:rsidTr="00233EB0">
        <w:trPr>
          <w:trHeight w:val="568"/>
        </w:trPr>
        <w:tc>
          <w:tcPr>
            <w:tcW w:w="1364" w:type="dxa"/>
            <w:tcBorders>
              <w:top w:val="nil"/>
              <w:left w:val="nil"/>
              <w:bottom w:val="single" w:sz="4" w:space="0" w:color="808080"/>
              <w:right w:val="nil"/>
            </w:tcBorders>
            <w:shd w:val="clear" w:color="auto" w:fill="auto"/>
            <w:tcMar>
              <w:top w:w="15" w:type="dxa"/>
              <w:left w:w="135" w:type="dxa"/>
              <w:bottom w:w="0" w:type="dxa"/>
              <w:right w:w="15" w:type="dxa"/>
            </w:tcMar>
            <w:vAlign w:val="center"/>
            <w:hideMark/>
          </w:tcPr>
          <w:p w14:paraId="1E8CADFB" w14:textId="77777777" w:rsidR="00BF2793" w:rsidRPr="00FA3E74" w:rsidRDefault="00BF2793" w:rsidP="00717604">
            <w:pPr>
              <w:pStyle w:val="TableTextSmall"/>
            </w:pPr>
            <w:r w:rsidRPr="00FA3E74">
              <w:t>Early childhood development</w:t>
            </w:r>
          </w:p>
        </w:tc>
        <w:tc>
          <w:tcPr>
            <w:tcW w:w="2038"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15FB47DC" w14:textId="77777777" w:rsidR="00BF2793" w:rsidRPr="00FA3E74" w:rsidRDefault="00BF2793" w:rsidP="00717604">
            <w:pPr>
              <w:pStyle w:val="TableTextSmall"/>
            </w:pPr>
            <w:r w:rsidRPr="00FA3E74">
              <w:t>Proportion of children who are developmentally vulnerable on one or more domains of the AEDC</w:t>
            </w:r>
          </w:p>
        </w:tc>
        <w:tc>
          <w:tcPr>
            <w:tcW w:w="1285"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640075F2" w14:textId="77777777" w:rsidR="00BF2793" w:rsidRPr="00FA3E74" w:rsidRDefault="00BF2793" w:rsidP="00717604">
            <w:pPr>
              <w:pStyle w:val="TableTextSmall"/>
            </w:pPr>
            <w:r w:rsidRPr="00FA3E74">
              <w:t>2009</w:t>
            </w:r>
          </w:p>
        </w:tc>
        <w:tc>
          <w:tcPr>
            <w:tcW w:w="1130"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00B9B982" w14:textId="77777777" w:rsidR="00BF2793" w:rsidRPr="00FA3E74" w:rsidRDefault="00BF2793" w:rsidP="00717604">
            <w:pPr>
              <w:pStyle w:val="TableTextSmall"/>
            </w:pPr>
            <w:r w:rsidRPr="00FA3E74">
              <w:t>23.6%</w:t>
            </w:r>
          </w:p>
        </w:tc>
        <w:tc>
          <w:tcPr>
            <w:tcW w:w="1233"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700E559D" w14:textId="77777777" w:rsidR="00BF2793" w:rsidRPr="00FA3E74" w:rsidRDefault="00BF2793" w:rsidP="00717604">
            <w:pPr>
              <w:pStyle w:val="TableTextSmall"/>
            </w:pPr>
            <w:r w:rsidRPr="00FA3E74">
              <w:t>2015</w:t>
            </w:r>
          </w:p>
        </w:tc>
        <w:tc>
          <w:tcPr>
            <w:tcW w:w="1165"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70F75A60" w14:textId="77777777" w:rsidR="00BF2793" w:rsidRPr="00FA3E74" w:rsidRDefault="00BF2793" w:rsidP="00717604">
            <w:pPr>
              <w:pStyle w:val="TableTextSmall"/>
            </w:pPr>
            <w:r w:rsidRPr="00FA3E74">
              <w:t>22.0%</w:t>
            </w:r>
          </w:p>
        </w:tc>
        <w:tc>
          <w:tcPr>
            <w:tcW w:w="1650"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5C53014B" w14:textId="1E93980A" w:rsidR="00BF2793" w:rsidRPr="002718AF" w:rsidRDefault="00BF2793" w:rsidP="00717604">
            <w:pPr>
              <w:jc w:val="center"/>
              <w:rPr>
                <w:rFonts w:ascii="Calibri" w:hAnsi="Calibri" w:cs="Calibri"/>
                <w:b/>
                <w:bCs/>
                <w:color w:val="000000"/>
                <w:szCs w:val="18"/>
              </w:rPr>
            </w:pPr>
            <w:r w:rsidRPr="00FA3E74">
              <w:rPr>
                <w:rFonts w:ascii="Calibri" w:hAnsi="Calibri" w:cs="Calibri"/>
                <w:b/>
                <w:bCs/>
                <w:color w:val="000000"/>
                <w:szCs w:val="18"/>
              </w:rPr>
              <w:t>~</w:t>
            </w:r>
            <w:r w:rsidR="00B86725">
              <w:rPr>
                <w:rFonts w:ascii="Calibri" w:hAnsi="Calibri" w:cs="Calibri"/>
                <w:b/>
                <w:bCs/>
                <w:color w:val="000000"/>
                <w:szCs w:val="18"/>
              </w:rPr>
              <w:t xml:space="preserve"> </w:t>
            </w:r>
            <w:r w:rsidR="00B86725" w:rsidRPr="008552A8">
              <w:rPr>
                <w:rFonts w:cstheme="minorHAnsi"/>
                <w:b/>
                <w:bCs/>
                <w:color w:val="000000"/>
                <w:sz w:val="14"/>
                <w:szCs w:val="14"/>
              </w:rPr>
              <w:t>(</w:t>
            </w:r>
            <w:r w:rsidR="00C062B3">
              <w:rPr>
                <w:rFonts w:cstheme="minorHAnsi"/>
                <w:b/>
                <w:bCs/>
                <w:color w:val="000000"/>
                <w:sz w:val="14"/>
                <w:szCs w:val="14"/>
              </w:rPr>
              <w:t>steady/no clear trend</w:t>
            </w:r>
            <w:r w:rsidR="00B86725" w:rsidRPr="008552A8">
              <w:rPr>
                <w:rFonts w:cstheme="minorHAnsi"/>
                <w:b/>
                <w:bCs/>
                <w:color w:val="000000"/>
                <w:sz w:val="14"/>
                <w:szCs w:val="14"/>
              </w:rPr>
              <w:t>)</w:t>
            </w:r>
          </w:p>
        </w:tc>
      </w:tr>
      <w:tr w:rsidR="004D0CEB" w14:paraId="55EDE7FC" w14:textId="77777777" w:rsidTr="00233EB0">
        <w:trPr>
          <w:trHeight w:val="852"/>
        </w:trPr>
        <w:tc>
          <w:tcPr>
            <w:tcW w:w="1364" w:type="dxa"/>
            <w:tcBorders>
              <w:top w:val="nil"/>
              <w:left w:val="nil"/>
              <w:bottom w:val="nil"/>
              <w:right w:val="nil"/>
            </w:tcBorders>
            <w:shd w:val="clear" w:color="auto" w:fill="auto"/>
            <w:tcMar>
              <w:top w:w="15" w:type="dxa"/>
              <w:left w:w="135" w:type="dxa"/>
              <w:bottom w:w="0" w:type="dxa"/>
              <w:right w:w="15" w:type="dxa"/>
            </w:tcMar>
            <w:vAlign w:val="center"/>
            <w:hideMark/>
          </w:tcPr>
          <w:p w14:paraId="0EF18A51" w14:textId="77777777" w:rsidR="00BF2793" w:rsidRPr="00FA3E74" w:rsidRDefault="00BF2793" w:rsidP="00717604">
            <w:pPr>
              <w:pStyle w:val="TableTextSmall"/>
            </w:pPr>
            <w:r w:rsidRPr="00FA3E74">
              <w:t>Family economic situation</w:t>
            </w:r>
          </w:p>
        </w:tc>
        <w:tc>
          <w:tcPr>
            <w:tcW w:w="2038" w:type="dxa"/>
            <w:tcBorders>
              <w:top w:val="nil"/>
              <w:left w:val="nil"/>
              <w:bottom w:val="nil"/>
              <w:right w:val="nil"/>
            </w:tcBorders>
            <w:shd w:val="clear" w:color="auto" w:fill="auto"/>
            <w:tcMar>
              <w:top w:w="15" w:type="dxa"/>
              <w:left w:w="15" w:type="dxa"/>
              <w:bottom w:w="0" w:type="dxa"/>
              <w:right w:w="15" w:type="dxa"/>
            </w:tcMar>
            <w:vAlign w:val="center"/>
            <w:hideMark/>
          </w:tcPr>
          <w:p w14:paraId="6353F980" w14:textId="77777777" w:rsidR="00BF2793" w:rsidRPr="00FA3E74" w:rsidRDefault="00BF2793" w:rsidP="00717604">
            <w:pPr>
              <w:pStyle w:val="TableTextSmall"/>
            </w:pPr>
            <w:r w:rsidRPr="00FA3E74">
              <w:t>Proportion of households with children aged 0–14 years where at least 50% of gross household income is from government pensions and allowances</w:t>
            </w:r>
          </w:p>
        </w:tc>
        <w:tc>
          <w:tcPr>
            <w:tcW w:w="1285" w:type="dxa"/>
            <w:tcBorders>
              <w:top w:val="nil"/>
              <w:left w:val="nil"/>
              <w:bottom w:val="nil"/>
              <w:right w:val="nil"/>
            </w:tcBorders>
            <w:shd w:val="clear" w:color="auto" w:fill="auto"/>
            <w:noWrap/>
            <w:tcMar>
              <w:top w:w="15" w:type="dxa"/>
              <w:left w:w="15" w:type="dxa"/>
              <w:bottom w:w="0" w:type="dxa"/>
              <w:right w:w="15" w:type="dxa"/>
            </w:tcMar>
            <w:vAlign w:val="center"/>
            <w:hideMark/>
          </w:tcPr>
          <w:p w14:paraId="2797868F" w14:textId="77777777" w:rsidR="00BF2793" w:rsidRPr="00FA3E74" w:rsidRDefault="00BF2793" w:rsidP="00717604">
            <w:pPr>
              <w:pStyle w:val="TableTextSmall"/>
            </w:pPr>
            <w:r w:rsidRPr="00FA3E74">
              <w:t>2009–10</w:t>
            </w:r>
          </w:p>
        </w:tc>
        <w:tc>
          <w:tcPr>
            <w:tcW w:w="1130" w:type="dxa"/>
            <w:tcBorders>
              <w:top w:val="nil"/>
              <w:left w:val="nil"/>
              <w:bottom w:val="nil"/>
              <w:right w:val="nil"/>
            </w:tcBorders>
            <w:shd w:val="clear" w:color="auto" w:fill="auto"/>
            <w:noWrap/>
            <w:tcMar>
              <w:top w:w="15" w:type="dxa"/>
              <w:left w:w="15" w:type="dxa"/>
              <w:bottom w:w="0" w:type="dxa"/>
              <w:right w:w="15" w:type="dxa"/>
            </w:tcMar>
            <w:vAlign w:val="center"/>
            <w:hideMark/>
          </w:tcPr>
          <w:p w14:paraId="7B11D45E" w14:textId="77777777" w:rsidR="00BF2793" w:rsidRPr="00FA3E74" w:rsidRDefault="00BF2793" w:rsidP="00717604">
            <w:pPr>
              <w:pStyle w:val="TableTextSmall"/>
            </w:pPr>
            <w:r w:rsidRPr="00FA3E74">
              <w:t>17.1%</w:t>
            </w:r>
          </w:p>
        </w:tc>
        <w:tc>
          <w:tcPr>
            <w:tcW w:w="1233" w:type="dxa"/>
            <w:tcBorders>
              <w:top w:val="nil"/>
              <w:left w:val="nil"/>
              <w:bottom w:val="nil"/>
              <w:right w:val="nil"/>
            </w:tcBorders>
            <w:shd w:val="clear" w:color="auto" w:fill="auto"/>
            <w:noWrap/>
            <w:tcMar>
              <w:top w:w="15" w:type="dxa"/>
              <w:left w:w="15" w:type="dxa"/>
              <w:bottom w:w="0" w:type="dxa"/>
              <w:right w:w="15" w:type="dxa"/>
            </w:tcMar>
            <w:vAlign w:val="center"/>
            <w:hideMark/>
          </w:tcPr>
          <w:p w14:paraId="760D11BB" w14:textId="77777777" w:rsidR="00BF2793" w:rsidRPr="00FA3E74" w:rsidRDefault="00BF2793" w:rsidP="00717604">
            <w:pPr>
              <w:pStyle w:val="TableTextSmall"/>
            </w:pPr>
            <w:r w:rsidRPr="00FA3E74">
              <w:t>2015–16</w:t>
            </w:r>
          </w:p>
        </w:tc>
        <w:tc>
          <w:tcPr>
            <w:tcW w:w="1165" w:type="dxa"/>
            <w:tcBorders>
              <w:top w:val="nil"/>
              <w:left w:val="nil"/>
              <w:bottom w:val="nil"/>
              <w:right w:val="nil"/>
            </w:tcBorders>
            <w:shd w:val="clear" w:color="auto" w:fill="auto"/>
            <w:noWrap/>
            <w:tcMar>
              <w:top w:w="15" w:type="dxa"/>
              <w:left w:w="15" w:type="dxa"/>
              <w:bottom w:w="0" w:type="dxa"/>
              <w:right w:w="15" w:type="dxa"/>
            </w:tcMar>
            <w:vAlign w:val="center"/>
            <w:hideMark/>
          </w:tcPr>
          <w:p w14:paraId="6E6E2F3D" w14:textId="77777777" w:rsidR="00BF2793" w:rsidRPr="00FA3E74" w:rsidRDefault="00BF2793" w:rsidP="00717604">
            <w:pPr>
              <w:pStyle w:val="TableTextSmall"/>
            </w:pPr>
            <w:r w:rsidRPr="00FA3E74">
              <w:t>13.2%</w:t>
            </w:r>
          </w:p>
        </w:tc>
        <w:tc>
          <w:tcPr>
            <w:tcW w:w="1650" w:type="dxa"/>
            <w:tcBorders>
              <w:top w:val="nil"/>
              <w:left w:val="nil"/>
              <w:bottom w:val="nil"/>
              <w:right w:val="nil"/>
            </w:tcBorders>
            <w:shd w:val="clear" w:color="auto" w:fill="auto"/>
            <w:noWrap/>
            <w:tcMar>
              <w:top w:w="15" w:type="dxa"/>
              <w:left w:w="15" w:type="dxa"/>
              <w:bottom w:w="0" w:type="dxa"/>
              <w:right w:w="15" w:type="dxa"/>
            </w:tcMar>
            <w:vAlign w:val="center"/>
            <w:hideMark/>
          </w:tcPr>
          <w:p w14:paraId="14171E31" w14:textId="1F3C8184" w:rsidR="00BF2793" w:rsidRPr="002718AF" w:rsidRDefault="00BF2793" w:rsidP="00717604">
            <w:pPr>
              <w:jc w:val="center"/>
              <w:rPr>
                <w:rFonts w:ascii="Calibri" w:hAnsi="Calibri" w:cs="Calibri"/>
                <w:b/>
                <w:bCs/>
                <w:color w:val="000000"/>
                <w:szCs w:val="18"/>
              </w:rPr>
            </w:pPr>
            <w:r w:rsidRPr="00FA3E74">
              <w:rPr>
                <w:rFonts w:ascii="Calibri" w:hAnsi="Calibri" w:cs="Calibri"/>
                <w:b/>
                <w:bCs/>
                <w:color w:val="000000"/>
                <w:szCs w:val="18"/>
              </w:rPr>
              <w:t>↓</w:t>
            </w:r>
            <w:r w:rsidR="00B86725">
              <w:rPr>
                <w:rFonts w:ascii="Calibri" w:hAnsi="Calibri" w:cs="Calibri"/>
                <w:b/>
                <w:bCs/>
                <w:color w:val="000000"/>
                <w:szCs w:val="18"/>
              </w:rPr>
              <w:t xml:space="preserve"> </w:t>
            </w:r>
            <w:r w:rsidR="00B86725" w:rsidRPr="008552A8">
              <w:rPr>
                <w:rFonts w:cstheme="minorHAnsi"/>
                <w:b/>
                <w:bCs/>
                <w:color w:val="000000"/>
                <w:sz w:val="14"/>
                <w:szCs w:val="14"/>
              </w:rPr>
              <w:t>(</w:t>
            </w:r>
            <w:r w:rsidR="0091006E">
              <w:rPr>
                <w:rFonts w:cstheme="minorHAnsi"/>
                <w:b/>
                <w:bCs/>
                <w:color w:val="000000"/>
                <w:sz w:val="14"/>
                <w:szCs w:val="14"/>
              </w:rPr>
              <w:t>decrease</w:t>
            </w:r>
            <w:r w:rsidR="00B86725" w:rsidRPr="008552A8">
              <w:rPr>
                <w:rFonts w:cstheme="minorHAnsi"/>
                <w:b/>
                <w:bCs/>
                <w:color w:val="000000"/>
                <w:sz w:val="14"/>
                <w:szCs w:val="14"/>
              </w:rPr>
              <w:t>)</w:t>
            </w:r>
          </w:p>
        </w:tc>
      </w:tr>
      <w:tr w:rsidR="00BF2793" w14:paraId="75A61E2D" w14:textId="77777777" w:rsidTr="00717604">
        <w:trPr>
          <w:trHeight w:val="284"/>
        </w:trPr>
        <w:tc>
          <w:tcPr>
            <w:tcW w:w="0" w:type="auto"/>
            <w:gridSpan w:val="7"/>
            <w:tcBorders>
              <w:top w:val="nil"/>
              <w:left w:val="nil"/>
              <w:bottom w:val="nil"/>
              <w:right w:val="nil"/>
            </w:tcBorders>
            <w:shd w:val="clear" w:color="000000" w:fill="D9D9D9"/>
            <w:noWrap/>
            <w:tcMar>
              <w:top w:w="15" w:type="dxa"/>
              <w:left w:w="15" w:type="dxa"/>
              <w:bottom w:w="0" w:type="dxa"/>
              <w:right w:w="15" w:type="dxa"/>
            </w:tcMar>
            <w:vAlign w:val="center"/>
            <w:hideMark/>
          </w:tcPr>
          <w:p w14:paraId="22E99281" w14:textId="77777777" w:rsidR="00BF2793" w:rsidRPr="002718AF" w:rsidRDefault="00BF2793" w:rsidP="00717604">
            <w:pPr>
              <w:pStyle w:val="TableTextSmall"/>
              <w:rPr>
                <w:b/>
              </w:rPr>
            </w:pPr>
            <w:r w:rsidRPr="002718AF">
              <w:rPr>
                <w:b/>
              </w:rPr>
              <w:t>Supporting Outcome 1: Children live in safe and supportive families and communities</w:t>
            </w:r>
          </w:p>
        </w:tc>
      </w:tr>
      <w:tr w:rsidR="004D0CEB" w14:paraId="73AB40A6" w14:textId="77777777" w:rsidTr="00233EB0">
        <w:trPr>
          <w:trHeight w:val="568"/>
        </w:trPr>
        <w:tc>
          <w:tcPr>
            <w:tcW w:w="1364" w:type="dxa"/>
            <w:tcBorders>
              <w:top w:val="nil"/>
              <w:left w:val="nil"/>
              <w:bottom w:val="nil"/>
              <w:right w:val="nil"/>
            </w:tcBorders>
            <w:shd w:val="clear" w:color="auto" w:fill="auto"/>
            <w:tcMar>
              <w:top w:w="15" w:type="dxa"/>
              <w:left w:w="135" w:type="dxa"/>
              <w:bottom w:w="0" w:type="dxa"/>
              <w:right w:w="15" w:type="dxa"/>
            </w:tcMar>
            <w:vAlign w:val="center"/>
            <w:hideMark/>
          </w:tcPr>
          <w:p w14:paraId="00E090D9" w14:textId="77777777" w:rsidR="00BF2793" w:rsidRPr="002718AF" w:rsidRDefault="00BF2793" w:rsidP="00717604">
            <w:pPr>
              <w:pStyle w:val="TableTextSmall"/>
            </w:pPr>
            <w:r w:rsidRPr="002718AF">
              <w:t>Family functioning</w:t>
            </w:r>
          </w:p>
        </w:tc>
        <w:tc>
          <w:tcPr>
            <w:tcW w:w="2038" w:type="dxa"/>
            <w:tcBorders>
              <w:top w:val="nil"/>
              <w:left w:val="nil"/>
              <w:bottom w:val="nil"/>
              <w:right w:val="nil"/>
            </w:tcBorders>
            <w:shd w:val="clear" w:color="auto" w:fill="auto"/>
            <w:tcMar>
              <w:top w:w="15" w:type="dxa"/>
              <w:left w:w="15" w:type="dxa"/>
              <w:bottom w:w="0" w:type="dxa"/>
              <w:right w:w="15" w:type="dxa"/>
            </w:tcMar>
            <w:vAlign w:val="center"/>
            <w:hideMark/>
          </w:tcPr>
          <w:p w14:paraId="422188E8" w14:textId="77777777" w:rsidR="00BF2793" w:rsidRPr="002718AF" w:rsidRDefault="00BF2793" w:rsidP="00717604">
            <w:pPr>
              <w:pStyle w:val="TableTextSmall"/>
            </w:pPr>
            <w:r w:rsidRPr="002718AF">
              <w:t>Proportion of families who report ‘good’, ‘very good’ or ‘excellent’ family cohesion</w:t>
            </w:r>
          </w:p>
        </w:tc>
        <w:tc>
          <w:tcPr>
            <w:tcW w:w="1285" w:type="dxa"/>
            <w:tcBorders>
              <w:top w:val="nil"/>
              <w:left w:val="nil"/>
              <w:bottom w:val="nil"/>
              <w:right w:val="nil"/>
            </w:tcBorders>
            <w:shd w:val="clear" w:color="auto" w:fill="auto"/>
            <w:noWrap/>
            <w:tcMar>
              <w:top w:w="15" w:type="dxa"/>
              <w:left w:w="15" w:type="dxa"/>
              <w:bottom w:w="0" w:type="dxa"/>
              <w:right w:w="15" w:type="dxa"/>
            </w:tcMar>
            <w:vAlign w:val="center"/>
            <w:hideMark/>
          </w:tcPr>
          <w:p w14:paraId="1B8E0F57" w14:textId="77777777" w:rsidR="00BF2793" w:rsidRPr="002718AF" w:rsidRDefault="00BF2793" w:rsidP="00717604">
            <w:pPr>
              <w:pStyle w:val="TableTextSmall"/>
            </w:pPr>
          </w:p>
        </w:tc>
        <w:tc>
          <w:tcPr>
            <w:tcW w:w="1130" w:type="dxa"/>
            <w:tcBorders>
              <w:top w:val="nil"/>
              <w:left w:val="nil"/>
              <w:bottom w:val="nil"/>
              <w:right w:val="nil"/>
            </w:tcBorders>
            <w:shd w:val="clear" w:color="auto" w:fill="auto"/>
            <w:noWrap/>
            <w:tcMar>
              <w:top w:w="15" w:type="dxa"/>
              <w:left w:w="15" w:type="dxa"/>
              <w:bottom w:w="0" w:type="dxa"/>
              <w:right w:w="15" w:type="dxa"/>
            </w:tcMar>
            <w:vAlign w:val="center"/>
            <w:hideMark/>
          </w:tcPr>
          <w:p w14:paraId="33EF407E" w14:textId="77777777" w:rsidR="00BF2793" w:rsidRPr="002718AF" w:rsidRDefault="00BF2793" w:rsidP="00717604">
            <w:pPr>
              <w:pStyle w:val="TableTextSmall"/>
              <w:rPr>
                <w:sz w:val="20"/>
              </w:rPr>
            </w:pPr>
          </w:p>
        </w:tc>
        <w:tc>
          <w:tcPr>
            <w:tcW w:w="1233" w:type="dxa"/>
            <w:tcBorders>
              <w:top w:val="nil"/>
              <w:left w:val="nil"/>
              <w:bottom w:val="nil"/>
              <w:right w:val="nil"/>
            </w:tcBorders>
            <w:shd w:val="clear" w:color="auto" w:fill="auto"/>
            <w:noWrap/>
            <w:tcMar>
              <w:top w:w="15" w:type="dxa"/>
              <w:left w:w="15" w:type="dxa"/>
              <w:bottom w:w="0" w:type="dxa"/>
              <w:right w:w="15" w:type="dxa"/>
            </w:tcMar>
            <w:vAlign w:val="center"/>
            <w:hideMark/>
          </w:tcPr>
          <w:p w14:paraId="7C89EAFA" w14:textId="77777777" w:rsidR="00BF2793" w:rsidRPr="002718AF" w:rsidRDefault="00BF2793" w:rsidP="00717604">
            <w:pPr>
              <w:pStyle w:val="TableTextSmall"/>
              <w:rPr>
                <w:sz w:val="20"/>
              </w:rPr>
            </w:pPr>
          </w:p>
        </w:tc>
        <w:tc>
          <w:tcPr>
            <w:tcW w:w="1165" w:type="dxa"/>
            <w:tcBorders>
              <w:top w:val="nil"/>
              <w:left w:val="nil"/>
              <w:bottom w:val="nil"/>
              <w:right w:val="nil"/>
            </w:tcBorders>
            <w:shd w:val="clear" w:color="auto" w:fill="auto"/>
            <w:noWrap/>
            <w:tcMar>
              <w:top w:w="15" w:type="dxa"/>
              <w:left w:w="15" w:type="dxa"/>
              <w:bottom w:w="0" w:type="dxa"/>
              <w:right w:w="15" w:type="dxa"/>
            </w:tcMar>
            <w:vAlign w:val="center"/>
            <w:hideMark/>
          </w:tcPr>
          <w:p w14:paraId="5208646B" w14:textId="77777777" w:rsidR="00BF2793" w:rsidRPr="002718AF" w:rsidRDefault="00BF2793" w:rsidP="00717604">
            <w:pPr>
              <w:pStyle w:val="TableTextSmall"/>
              <w:rPr>
                <w:sz w:val="20"/>
              </w:rPr>
            </w:pPr>
          </w:p>
        </w:tc>
        <w:tc>
          <w:tcPr>
            <w:tcW w:w="1650" w:type="dxa"/>
            <w:tcBorders>
              <w:top w:val="nil"/>
              <w:left w:val="nil"/>
              <w:bottom w:val="nil"/>
              <w:right w:val="nil"/>
            </w:tcBorders>
            <w:shd w:val="clear" w:color="auto" w:fill="auto"/>
            <w:noWrap/>
            <w:tcMar>
              <w:top w:w="15" w:type="dxa"/>
              <w:left w:w="15" w:type="dxa"/>
              <w:bottom w:w="0" w:type="dxa"/>
              <w:right w:w="15" w:type="dxa"/>
            </w:tcMar>
            <w:vAlign w:val="center"/>
            <w:hideMark/>
          </w:tcPr>
          <w:p w14:paraId="2701306B" w14:textId="77777777" w:rsidR="00BF2793" w:rsidRPr="002718AF" w:rsidRDefault="00BF2793" w:rsidP="00717604">
            <w:pPr>
              <w:rPr>
                <w:sz w:val="20"/>
              </w:rPr>
            </w:pPr>
          </w:p>
        </w:tc>
      </w:tr>
      <w:tr w:rsidR="004D0CEB" w14:paraId="6E06978B" w14:textId="77777777" w:rsidTr="008552A8">
        <w:trPr>
          <w:trHeight w:val="284"/>
        </w:trPr>
        <w:tc>
          <w:tcPr>
            <w:tcW w:w="1364" w:type="dxa"/>
            <w:tcBorders>
              <w:top w:val="nil"/>
              <w:left w:val="nil"/>
              <w:bottom w:val="nil"/>
              <w:right w:val="nil"/>
            </w:tcBorders>
            <w:shd w:val="clear" w:color="auto" w:fill="auto"/>
            <w:tcMar>
              <w:top w:w="15" w:type="dxa"/>
              <w:left w:w="15" w:type="dxa"/>
              <w:bottom w:w="0" w:type="dxa"/>
              <w:right w:w="15" w:type="dxa"/>
            </w:tcMar>
            <w:vAlign w:val="center"/>
            <w:hideMark/>
          </w:tcPr>
          <w:p w14:paraId="0BDC20F6" w14:textId="77777777" w:rsidR="00BF2793" w:rsidRPr="002718AF" w:rsidRDefault="00BF2793" w:rsidP="00717604">
            <w:pPr>
              <w:pStyle w:val="TableTextSmall"/>
              <w:rPr>
                <w:sz w:val="20"/>
              </w:rPr>
            </w:pPr>
          </w:p>
        </w:tc>
        <w:tc>
          <w:tcPr>
            <w:tcW w:w="2038" w:type="dxa"/>
            <w:tcBorders>
              <w:top w:val="nil"/>
              <w:left w:val="nil"/>
              <w:bottom w:val="nil"/>
              <w:right w:val="nil"/>
            </w:tcBorders>
            <w:shd w:val="clear" w:color="auto" w:fill="auto"/>
            <w:noWrap/>
            <w:tcMar>
              <w:top w:w="15" w:type="dxa"/>
              <w:left w:w="270" w:type="dxa"/>
              <w:bottom w:w="0" w:type="dxa"/>
              <w:right w:w="15" w:type="dxa"/>
            </w:tcMar>
            <w:vAlign w:val="center"/>
            <w:hideMark/>
          </w:tcPr>
          <w:p w14:paraId="16E92C33" w14:textId="77777777" w:rsidR="00BF2793" w:rsidRPr="002718AF" w:rsidRDefault="00BF2793" w:rsidP="00717604">
            <w:pPr>
              <w:pStyle w:val="TableTextSmall"/>
            </w:pPr>
            <w:r w:rsidRPr="002718AF">
              <w:t>(a) birth cohort</w:t>
            </w:r>
          </w:p>
        </w:tc>
        <w:tc>
          <w:tcPr>
            <w:tcW w:w="1285" w:type="dxa"/>
            <w:tcBorders>
              <w:top w:val="nil"/>
              <w:left w:val="nil"/>
              <w:bottom w:val="nil"/>
              <w:right w:val="nil"/>
            </w:tcBorders>
            <w:shd w:val="clear" w:color="auto" w:fill="auto"/>
            <w:noWrap/>
            <w:tcMar>
              <w:top w:w="15" w:type="dxa"/>
              <w:left w:w="15" w:type="dxa"/>
              <w:bottom w:w="0" w:type="dxa"/>
              <w:right w:w="15" w:type="dxa"/>
            </w:tcMar>
            <w:vAlign w:val="center"/>
            <w:hideMark/>
          </w:tcPr>
          <w:p w14:paraId="0A51682A" w14:textId="77777777" w:rsidR="00BF2793" w:rsidRPr="002718AF" w:rsidRDefault="00BF2793" w:rsidP="00717604">
            <w:pPr>
              <w:pStyle w:val="TableTextSmall"/>
            </w:pPr>
            <w:r w:rsidRPr="002718AF">
              <w:t>2010–11</w:t>
            </w:r>
          </w:p>
        </w:tc>
        <w:tc>
          <w:tcPr>
            <w:tcW w:w="1130" w:type="dxa"/>
            <w:tcBorders>
              <w:top w:val="nil"/>
              <w:left w:val="nil"/>
              <w:bottom w:val="nil"/>
              <w:right w:val="nil"/>
            </w:tcBorders>
            <w:shd w:val="clear" w:color="auto" w:fill="auto"/>
            <w:noWrap/>
            <w:tcMar>
              <w:top w:w="15" w:type="dxa"/>
              <w:left w:w="15" w:type="dxa"/>
              <w:bottom w:w="0" w:type="dxa"/>
              <w:right w:w="15" w:type="dxa"/>
            </w:tcMar>
            <w:vAlign w:val="center"/>
            <w:hideMark/>
          </w:tcPr>
          <w:p w14:paraId="7015B93E" w14:textId="77777777" w:rsidR="00BF2793" w:rsidRPr="002718AF" w:rsidRDefault="00BF2793" w:rsidP="00717604">
            <w:pPr>
              <w:pStyle w:val="TableTextSmall"/>
            </w:pPr>
            <w:r w:rsidRPr="002718AF">
              <w:t>89.5%</w:t>
            </w:r>
          </w:p>
        </w:tc>
        <w:tc>
          <w:tcPr>
            <w:tcW w:w="1233" w:type="dxa"/>
            <w:tcBorders>
              <w:top w:val="nil"/>
              <w:left w:val="nil"/>
              <w:bottom w:val="nil"/>
              <w:right w:val="nil"/>
            </w:tcBorders>
            <w:shd w:val="clear" w:color="auto" w:fill="auto"/>
            <w:noWrap/>
            <w:tcMar>
              <w:top w:w="15" w:type="dxa"/>
              <w:left w:w="15" w:type="dxa"/>
              <w:bottom w:w="0" w:type="dxa"/>
              <w:right w:w="15" w:type="dxa"/>
            </w:tcMar>
            <w:vAlign w:val="center"/>
            <w:hideMark/>
          </w:tcPr>
          <w:p w14:paraId="0C708340" w14:textId="77777777" w:rsidR="00BF2793" w:rsidRPr="002718AF" w:rsidRDefault="00BF2793" w:rsidP="00717604">
            <w:pPr>
              <w:pStyle w:val="TableTextSmall"/>
            </w:pPr>
            <w:r w:rsidRPr="002718AF">
              <w:t>2015–16</w:t>
            </w:r>
          </w:p>
        </w:tc>
        <w:tc>
          <w:tcPr>
            <w:tcW w:w="1165" w:type="dxa"/>
            <w:tcBorders>
              <w:top w:val="nil"/>
              <w:left w:val="nil"/>
              <w:bottom w:val="nil"/>
              <w:right w:val="nil"/>
            </w:tcBorders>
            <w:shd w:val="clear" w:color="auto" w:fill="auto"/>
            <w:noWrap/>
            <w:tcMar>
              <w:top w:w="15" w:type="dxa"/>
              <w:left w:w="15" w:type="dxa"/>
              <w:bottom w:w="0" w:type="dxa"/>
              <w:right w:w="15" w:type="dxa"/>
            </w:tcMar>
            <w:vAlign w:val="center"/>
            <w:hideMark/>
          </w:tcPr>
          <w:p w14:paraId="5367EE50" w14:textId="77777777" w:rsidR="00BF2793" w:rsidRPr="002718AF" w:rsidRDefault="00BF2793" w:rsidP="00717604">
            <w:pPr>
              <w:pStyle w:val="TableTextSmall"/>
            </w:pPr>
            <w:r w:rsidRPr="002718AF">
              <w:t>88.4%</w:t>
            </w:r>
          </w:p>
        </w:tc>
        <w:tc>
          <w:tcPr>
            <w:tcW w:w="1650" w:type="dxa"/>
            <w:tcBorders>
              <w:top w:val="nil"/>
              <w:left w:val="nil"/>
              <w:bottom w:val="nil"/>
              <w:right w:val="nil"/>
            </w:tcBorders>
            <w:shd w:val="clear" w:color="auto" w:fill="auto"/>
            <w:noWrap/>
            <w:tcMar>
              <w:top w:w="15" w:type="dxa"/>
              <w:left w:w="15" w:type="dxa"/>
              <w:bottom w:w="0" w:type="dxa"/>
              <w:right w:w="15" w:type="dxa"/>
            </w:tcMar>
            <w:vAlign w:val="center"/>
            <w:hideMark/>
          </w:tcPr>
          <w:p w14:paraId="552E5884" w14:textId="3979FF2B" w:rsidR="00BF2793" w:rsidRPr="002718AF" w:rsidRDefault="00BF2793" w:rsidP="00717604">
            <w:pPr>
              <w:jc w:val="center"/>
              <w:rPr>
                <w:rFonts w:ascii="Calibri" w:hAnsi="Calibri" w:cs="Calibri"/>
                <w:b/>
                <w:bCs/>
                <w:color w:val="000000"/>
                <w:szCs w:val="18"/>
              </w:rPr>
            </w:pPr>
            <w:r w:rsidRPr="002718AF">
              <w:rPr>
                <w:rFonts w:ascii="Calibri" w:hAnsi="Calibri" w:cs="Calibri"/>
                <w:b/>
                <w:bCs/>
                <w:color w:val="000000"/>
                <w:szCs w:val="18"/>
              </w:rPr>
              <w:t>~</w:t>
            </w:r>
            <w:r w:rsidR="00B86725">
              <w:rPr>
                <w:rFonts w:ascii="Calibri" w:hAnsi="Calibri" w:cs="Calibri"/>
                <w:b/>
                <w:bCs/>
                <w:color w:val="000000"/>
                <w:szCs w:val="18"/>
              </w:rPr>
              <w:t xml:space="preserve"> </w:t>
            </w:r>
            <w:r w:rsidR="00B86725" w:rsidRPr="008552A8">
              <w:rPr>
                <w:rFonts w:cstheme="minorHAnsi"/>
                <w:b/>
                <w:bCs/>
                <w:color w:val="000000"/>
                <w:sz w:val="14"/>
                <w:szCs w:val="14"/>
              </w:rPr>
              <w:t>(</w:t>
            </w:r>
            <w:r w:rsidR="00C062B3">
              <w:rPr>
                <w:rFonts w:cstheme="minorHAnsi"/>
                <w:b/>
                <w:bCs/>
                <w:color w:val="000000"/>
                <w:sz w:val="14"/>
                <w:szCs w:val="14"/>
              </w:rPr>
              <w:t>steady/no clear trend</w:t>
            </w:r>
            <w:r w:rsidR="00B86725" w:rsidRPr="008552A8">
              <w:rPr>
                <w:rFonts w:cstheme="minorHAnsi"/>
                <w:b/>
                <w:bCs/>
                <w:color w:val="000000"/>
                <w:sz w:val="14"/>
                <w:szCs w:val="14"/>
              </w:rPr>
              <w:t>)</w:t>
            </w:r>
          </w:p>
        </w:tc>
      </w:tr>
      <w:tr w:rsidR="004D0CEB" w14:paraId="63A4D728" w14:textId="77777777" w:rsidTr="008552A8">
        <w:trPr>
          <w:trHeight w:val="284"/>
        </w:trPr>
        <w:tc>
          <w:tcPr>
            <w:tcW w:w="1364" w:type="dxa"/>
            <w:tcBorders>
              <w:top w:val="nil"/>
              <w:left w:val="nil"/>
              <w:bottom w:val="nil"/>
              <w:right w:val="nil"/>
            </w:tcBorders>
            <w:shd w:val="clear" w:color="auto" w:fill="auto"/>
            <w:tcMar>
              <w:top w:w="15" w:type="dxa"/>
              <w:left w:w="15" w:type="dxa"/>
              <w:bottom w:w="0" w:type="dxa"/>
              <w:right w:w="15" w:type="dxa"/>
            </w:tcMar>
            <w:vAlign w:val="center"/>
            <w:hideMark/>
          </w:tcPr>
          <w:p w14:paraId="0DF0964D" w14:textId="77777777" w:rsidR="00BF2793" w:rsidRPr="002718AF" w:rsidRDefault="00BF2793" w:rsidP="00717604">
            <w:pPr>
              <w:pStyle w:val="TableTextSmall"/>
              <w:rPr>
                <w:rFonts w:ascii="Calibri" w:hAnsi="Calibri" w:cs="Calibri"/>
              </w:rPr>
            </w:pPr>
          </w:p>
        </w:tc>
        <w:tc>
          <w:tcPr>
            <w:tcW w:w="2038" w:type="dxa"/>
            <w:tcBorders>
              <w:top w:val="nil"/>
              <w:left w:val="nil"/>
              <w:bottom w:val="nil"/>
              <w:right w:val="nil"/>
            </w:tcBorders>
            <w:shd w:val="clear" w:color="auto" w:fill="auto"/>
            <w:noWrap/>
            <w:tcMar>
              <w:top w:w="15" w:type="dxa"/>
              <w:left w:w="270" w:type="dxa"/>
              <w:bottom w:w="0" w:type="dxa"/>
              <w:right w:w="15" w:type="dxa"/>
            </w:tcMar>
            <w:vAlign w:val="center"/>
            <w:hideMark/>
          </w:tcPr>
          <w:p w14:paraId="61C2C38A" w14:textId="77777777" w:rsidR="00BF2793" w:rsidRPr="002718AF" w:rsidRDefault="00BF2793" w:rsidP="00717604">
            <w:pPr>
              <w:pStyle w:val="TableTextSmall"/>
            </w:pPr>
            <w:r w:rsidRPr="002718AF">
              <w:t>(b) kinder cohort</w:t>
            </w:r>
          </w:p>
        </w:tc>
        <w:tc>
          <w:tcPr>
            <w:tcW w:w="1285" w:type="dxa"/>
            <w:tcBorders>
              <w:top w:val="nil"/>
              <w:left w:val="nil"/>
              <w:bottom w:val="nil"/>
              <w:right w:val="nil"/>
            </w:tcBorders>
            <w:shd w:val="clear" w:color="auto" w:fill="auto"/>
            <w:noWrap/>
            <w:tcMar>
              <w:top w:w="15" w:type="dxa"/>
              <w:left w:w="15" w:type="dxa"/>
              <w:bottom w:w="0" w:type="dxa"/>
              <w:right w:w="15" w:type="dxa"/>
            </w:tcMar>
            <w:vAlign w:val="center"/>
            <w:hideMark/>
          </w:tcPr>
          <w:p w14:paraId="07D46E7C" w14:textId="77777777" w:rsidR="00BF2793" w:rsidRPr="002718AF" w:rsidRDefault="00BF2793" w:rsidP="00717604">
            <w:pPr>
              <w:pStyle w:val="TableTextSmall"/>
            </w:pPr>
            <w:r w:rsidRPr="002718AF">
              <w:t>2010–11</w:t>
            </w:r>
          </w:p>
        </w:tc>
        <w:tc>
          <w:tcPr>
            <w:tcW w:w="1130" w:type="dxa"/>
            <w:tcBorders>
              <w:top w:val="nil"/>
              <w:left w:val="nil"/>
              <w:bottom w:val="nil"/>
              <w:right w:val="nil"/>
            </w:tcBorders>
            <w:shd w:val="clear" w:color="auto" w:fill="auto"/>
            <w:noWrap/>
            <w:tcMar>
              <w:top w:w="15" w:type="dxa"/>
              <w:left w:w="15" w:type="dxa"/>
              <w:bottom w:w="0" w:type="dxa"/>
              <w:right w:w="15" w:type="dxa"/>
            </w:tcMar>
            <w:vAlign w:val="center"/>
            <w:hideMark/>
          </w:tcPr>
          <w:p w14:paraId="7B9F4D5B" w14:textId="77777777" w:rsidR="00BF2793" w:rsidRPr="002718AF" w:rsidRDefault="00BF2793" w:rsidP="00717604">
            <w:pPr>
              <w:pStyle w:val="TableTextSmall"/>
            </w:pPr>
            <w:r w:rsidRPr="002718AF">
              <w:t>87.7%</w:t>
            </w:r>
          </w:p>
        </w:tc>
        <w:tc>
          <w:tcPr>
            <w:tcW w:w="1233" w:type="dxa"/>
            <w:tcBorders>
              <w:top w:val="nil"/>
              <w:left w:val="nil"/>
              <w:bottom w:val="nil"/>
              <w:right w:val="nil"/>
            </w:tcBorders>
            <w:shd w:val="clear" w:color="auto" w:fill="auto"/>
            <w:noWrap/>
            <w:tcMar>
              <w:top w:w="15" w:type="dxa"/>
              <w:left w:w="15" w:type="dxa"/>
              <w:bottom w:w="0" w:type="dxa"/>
              <w:right w:w="15" w:type="dxa"/>
            </w:tcMar>
            <w:vAlign w:val="center"/>
            <w:hideMark/>
          </w:tcPr>
          <w:p w14:paraId="296792BF" w14:textId="77777777" w:rsidR="00BF2793" w:rsidRPr="002718AF" w:rsidRDefault="00BF2793" w:rsidP="00717604">
            <w:pPr>
              <w:pStyle w:val="TableTextSmall"/>
            </w:pPr>
            <w:r w:rsidRPr="002718AF">
              <w:t>2015–16</w:t>
            </w:r>
          </w:p>
        </w:tc>
        <w:tc>
          <w:tcPr>
            <w:tcW w:w="1165" w:type="dxa"/>
            <w:tcBorders>
              <w:top w:val="nil"/>
              <w:left w:val="nil"/>
              <w:bottom w:val="nil"/>
              <w:right w:val="nil"/>
            </w:tcBorders>
            <w:shd w:val="clear" w:color="auto" w:fill="auto"/>
            <w:noWrap/>
            <w:tcMar>
              <w:top w:w="15" w:type="dxa"/>
              <w:left w:w="15" w:type="dxa"/>
              <w:bottom w:w="0" w:type="dxa"/>
              <w:right w:w="15" w:type="dxa"/>
            </w:tcMar>
            <w:vAlign w:val="center"/>
            <w:hideMark/>
          </w:tcPr>
          <w:p w14:paraId="05757871" w14:textId="77777777" w:rsidR="00BF2793" w:rsidRPr="002718AF" w:rsidRDefault="00BF2793" w:rsidP="00717604">
            <w:pPr>
              <w:pStyle w:val="TableTextSmall"/>
            </w:pPr>
            <w:r w:rsidRPr="002718AF">
              <w:t>87.3%</w:t>
            </w:r>
          </w:p>
        </w:tc>
        <w:tc>
          <w:tcPr>
            <w:tcW w:w="1650" w:type="dxa"/>
            <w:tcBorders>
              <w:top w:val="nil"/>
              <w:left w:val="nil"/>
              <w:bottom w:val="nil"/>
              <w:right w:val="nil"/>
            </w:tcBorders>
            <w:shd w:val="clear" w:color="auto" w:fill="auto"/>
            <w:noWrap/>
            <w:tcMar>
              <w:top w:w="15" w:type="dxa"/>
              <w:left w:w="15" w:type="dxa"/>
              <w:bottom w:w="0" w:type="dxa"/>
              <w:right w:w="15" w:type="dxa"/>
            </w:tcMar>
            <w:vAlign w:val="center"/>
            <w:hideMark/>
          </w:tcPr>
          <w:p w14:paraId="069A2C5E" w14:textId="183EDFC7" w:rsidR="00BF2793" w:rsidRPr="002718AF" w:rsidRDefault="00BF2793" w:rsidP="00717604">
            <w:pPr>
              <w:jc w:val="center"/>
              <w:rPr>
                <w:rFonts w:ascii="Calibri" w:hAnsi="Calibri" w:cs="Calibri"/>
                <w:b/>
                <w:bCs/>
                <w:color w:val="000000"/>
                <w:szCs w:val="18"/>
              </w:rPr>
            </w:pPr>
            <w:r w:rsidRPr="002718AF">
              <w:rPr>
                <w:rFonts w:ascii="Calibri" w:hAnsi="Calibri" w:cs="Calibri"/>
                <w:b/>
                <w:bCs/>
                <w:color w:val="000000"/>
                <w:szCs w:val="18"/>
              </w:rPr>
              <w:t>~</w:t>
            </w:r>
            <w:r w:rsidR="00D527C8">
              <w:rPr>
                <w:rFonts w:ascii="Calibri" w:hAnsi="Calibri" w:cs="Calibri"/>
                <w:b/>
                <w:bCs/>
                <w:color w:val="000000"/>
                <w:szCs w:val="18"/>
              </w:rPr>
              <w:t xml:space="preserve"> </w:t>
            </w:r>
            <w:r w:rsidR="00D527C8" w:rsidRPr="008552A8">
              <w:rPr>
                <w:rFonts w:cstheme="minorHAnsi"/>
                <w:b/>
                <w:bCs/>
                <w:color w:val="000000"/>
                <w:sz w:val="14"/>
                <w:szCs w:val="14"/>
              </w:rPr>
              <w:t>(</w:t>
            </w:r>
            <w:r w:rsidR="00C062B3">
              <w:rPr>
                <w:rFonts w:cstheme="minorHAnsi"/>
                <w:b/>
                <w:bCs/>
                <w:color w:val="000000"/>
                <w:sz w:val="14"/>
                <w:szCs w:val="14"/>
              </w:rPr>
              <w:t>steady/no clear trend</w:t>
            </w:r>
            <w:r w:rsidR="00D527C8" w:rsidRPr="008552A8">
              <w:rPr>
                <w:rFonts w:cstheme="minorHAnsi"/>
                <w:b/>
                <w:bCs/>
                <w:color w:val="000000"/>
                <w:sz w:val="14"/>
                <w:szCs w:val="14"/>
              </w:rPr>
              <w:t>)</w:t>
            </w:r>
          </w:p>
        </w:tc>
      </w:tr>
      <w:tr w:rsidR="00BF2793" w14:paraId="16D7A1EB" w14:textId="77777777" w:rsidTr="00717604">
        <w:trPr>
          <w:trHeight w:val="284"/>
        </w:trPr>
        <w:tc>
          <w:tcPr>
            <w:tcW w:w="0" w:type="auto"/>
            <w:gridSpan w:val="7"/>
            <w:tcBorders>
              <w:top w:val="nil"/>
              <w:left w:val="nil"/>
              <w:bottom w:val="nil"/>
              <w:right w:val="nil"/>
            </w:tcBorders>
            <w:shd w:val="clear" w:color="000000" w:fill="D9D9D9"/>
            <w:noWrap/>
            <w:tcMar>
              <w:top w:w="15" w:type="dxa"/>
              <w:left w:w="15" w:type="dxa"/>
              <w:bottom w:w="0" w:type="dxa"/>
              <w:right w:w="15" w:type="dxa"/>
            </w:tcMar>
            <w:vAlign w:val="center"/>
            <w:hideMark/>
          </w:tcPr>
          <w:p w14:paraId="45DEFE89" w14:textId="77777777" w:rsidR="00BF2793" w:rsidRPr="002718AF" w:rsidRDefault="00BF2793" w:rsidP="00717604">
            <w:pPr>
              <w:pStyle w:val="TableTextSmall"/>
              <w:rPr>
                <w:b/>
              </w:rPr>
            </w:pPr>
            <w:r w:rsidRPr="002718AF">
              <w:rPr>
                <w:b/>
              </w:rPr>
              <w:t>Supporting outcome 2: Children and families access adequate support to promote safety and intervene early</w:t>
            </w:r>
          </w:p>
        </w:tc>
      </w:tr>
      <w:tr w:rsidR="004D0CEB" w14:paraId="0B4E48A1" w14:textId="77777777" w:rsidTr="00233EB0">
        <w:trPr>
          <w:trHeight w:val="284"/>
        </w:trPr>
        <w:tc>
          <w:tcPr>
            <w:tcW w:w="1364" w:type="dxa"/>
            <w:tcBorders>
              <w:top w:val="nil"/>
              <w:left w:val="nil"/>
              <w:bottom w:val="single" w:sz="4" w:space="0" w:color="808080"/>
              <w:right w:val="nil"/>
            </w:tcBorders>
            <w:shd w:val="clear" w:color="auto" w:fill="auto"/>
            <w:tcMar>
              <w:top w:w="15" w:type="dxa"/>
              <w:left w:w="135" w:type="dxa"/>
              <w:bottom w:w="0" w:type="dxa"/>
              <w:right w:w="15" w:type="dxa"/>
            </w:tcMar>
            <w:vAlign w:val="center"/>
            <w:hideMark/>
          </w:tcPr>
          <w:p w14:paraId="696B672C" w14:textId="77777777" w:rsidR="00BF2793" w:rsidRPr="00FA3E74" w:rsidRDefault="00BF2793" w:rsidP="00717604">
            <w:pPr>
              <w:pStyle w:val="TableTextSmall"/>
            </w:pPr>
            <w:r w:rsidRPr="00FA3E74">
              <w:t>Early childhood education</w:t>
            </w:r>
          </w:p>
        </w:tc>
        <w:tc>
          <w:tcPr>
            <w:tcW w:w="2038"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5861E2AB" w14:textId="77777777" w:rsidR="00BF2793" w:rsidRPr="00FA3E74" w:rsidRDefault="00BF2793" w:rsidP="00717604">
            <w:pPr>
              <w:pStyle w:val="TableTextSmall"/>
            </w:pPr>
            <w:r w:rsidRPr="00FA3E74">
              <w:t>Attendance rate of children aged 4–5 years at preschool programs</w:t>
            </w:r>
          </w:p>
        </w:tc>
        <w:tc>
          <w:tcPr>
            <w:tcW w:w="1285"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3E41923D" w14:textId="77777777" w:rsidR="00BF2793" w:rsidRPr="00FA3E74" w:rsidRDefault="00BF2793" w:rsidP="00717604">
            <w:pPr>
              <w:pStyle w:val="TableTextSmall"/>
            </w:pPr>
            <w:r w:rsidRPr="00FA3E74">
              <w:t>2012</w:t>
            </w:r>
          </w:p>
        </w:tc>
        <w:tc>
          <w:tcPr>
            <w:tcW w:w="1130"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7493F903" w14:textId="77777777" w:rsidR="00BF2793" w:rsidRPr="00FA3E74" w:rsidRDefault="00BF2793" w:rsidP="00717604">
            <w:pPr>
              <w:pStyle w:val="TableTextSmall"/>
            </w:pPr>
            <w:r w:rsidRPr="00FA3E74">
              <w:t>86.1%</w:t>
            </w:r>
          </w:p>
        </w:tc>
        <w:tc>
          <w:tcPr>
            <w:tcW w:w="1233"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6BC4D389" w14:textId="77777777" w:rsidR="00BF2793" w:rsidRPr="00FA3E74" w:rsidRDefault="00BF2793" w:rsidP="00717604">
            <w:pPr>
              <w:pStyle w:val="TableTextSmall"/>
            </w:pPr>
            <w:r w:rsidRPr="00FA3E74">
              <w:t>2017</w:t>
            </w:r>
          </w:p>
        </w:tc>
        <w:tc>
          <w:tcPr>
            <w:tcW w:w="1165"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78F41AE3" w14:textId="77777777" w:rsidR="00BF2793" w:rsidRPr="00FA3E74" w:rsidRDefault="00BF2793" w:rsidP="00717604">
            <w:pPr>
              <w:pStyle w:val="TableTextSmall"/>
            </w:pPr>
            <w:r w:rsidRPr="00FA3E74">
              <w:t>87.3%</w:t>
            </w:r>
          </w:p>
        </w:tc>
        <w:tc>
          <w:tcPr>
            <w:tcW w:w="1650"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47B87ADD" w14:textId="3F1B8FE3" w:rsidR="00BF2793" w:rsidRPr="002718AF" w:rsidRDefault="00BF2793" w:rsidP="00717604">
            <w:pPr>
              <w:jc w:val="center"/>
              <w:rPr>
                <w:rFonts w:ascii="Calibri" w:hAnsi="Calibri" w:cs="Calibri"/>
                <w:b/>
                <w:bCs/>
                <w:color w:val="000000"/>
                <w:szCs w:val="18"/>
              </w:rPr>
            </w:pPr>
            <w:r w:rsidRPr="00FA3E74">
              <w:rPr>
                <w:rFonts w:ascii="Calibri" w:hAnsi="Calibri" w:cs="Calibri"/>
                <w:b/>
                <w:bCs/>
                <w:color w:val="000000"/>
                <w:szCs w:val="18"/>
              </w:rPr>
              <w:t>↑</w:t>
            </w:r>
            <w:r w:rsidR="00D527C8">
              <w:rPr>
                <w:rFonts w:ascii="Calibri" w:hAnsi="Calibri" w:cs="Calibri"/>
                <w:b/>
                <w:bCs/>
                <w:color w:val="000000"/>
                <w:szCs w:val="18"/>
              </w:rPr>
              <w:t xml:space="preserve"> </w:t>
            </w:r>
            <w:r w:rsidR="00D527C8" w:rsidRPr="008552A8">
              <w:rPr>
                <w:rFonts w:cstheme="minorHAnsi"/>
                <w:b/>
                <w:bCs/>
                <w:color w:val="000000"/>
                <w:sz w:val="14"/>
                <w:szCs w:val="14"/>
              </w:rPr>
              <w:t>(i</w:t>
            </w:r>
            <w:r w:rsidR="0091006E">
              <w:rPr>
                <w:rFonts w:cstheme="minorHAnsi"/>
                <w:b/>
                <w:bCs/>
                <w:color w:val="000000"/>
                <w:sz w:val="14"/>
                <w:szCs w:val="14"/>
              </w:rPr>
              <w:t>ncrease</w:t>
            </w:r>
            <w:r w:rsidR="00D527C8" w:rsidRPr="008552A8">
              <w:rPr>
                <w:rFonts w:cstheme="minorHAnsi"/>
                <w:b/>
                <w:bCs/>
                <w:color w:val="000000"/>
                <w:sz w:val="14"/>
                <w:szCs w:val="14"/>
              </w:rPr>
              <w:t>)</w:t>
            </w:r>
          </w:p>
        </w:tc>
      </w:tr>
      <w:tr w:rsidR="004D0CEB" w14:paraId="56B06E97" w14:textId="77777777" w:rsidTr="00233EB0">
        <w:trPr>
          <w:trHeight w:val="568"/>
        </w:trPr>
        <w:tc>
          <w:tcPr>
            <w:tcW w:w="1364" w:type="dxa"/>
            <w:tcBorders>
              <w:top w:val="nil"/>
              <w:left w:val="nil"/>
              <w:bottom w:val="nil"/>
              <w:right w:val="nil"/>
            </w:tcBorders>
            <w:shd w:val="clear" w:color="auto" w:fill="auto"/>
            <w:tcMar>
              <w:top w:w="15" w:type="dxa"/>
              <w:left w:w="135" w:type="dxa"/>
              <w:bottom w:w="0" w:type="dxa"/>
              <w:right w:w="15" w:type="dxa"/>
            </w:tcMar>
            <w:vAlign w:val="center"/>
            <w:hideMark/>
          </w:tcPr>
          <w:p w14:paraId="554501E2" w14:textId="77777777" w:rsidR="00BF2793" w:rsidRPr="002718AF" w:rsidRDefault="00BF2793" w:rsidP="00717604">
            <w:pPr>
              <w:pStyle w:val="TableTextSmall"/>
            </w:pPr>
            <w:r w:rsidRPr="002718AF">
              <w:t>Antenatal care</w:t>
            </w:r>
          </w:p>
        </w:tc>
        <w:tc>
          <w:tcPr>
            <w:tcW w:w="2038" w:type="dxa"/>
            <w:tcBorders>
              <w:top w:val="nil"/>
              <w:left w:val="nil"/>
              <w:bottom w:val="nil"/>
              <w:right w:val="nil"/>
            </w:tcBorders>
            <w:shd w:val="clear" w:color="auto" w:fill="auto"/>
            <w:tcMar>
              <w:top w:w="15" w:type="dxa"/>
              <w:left w:w="15" w:type="dxa"/>
              <w:bottom w:w="0" w:type="dxa"/>
              <w:right w:w="15" w:type="dxa"/>
            </w:tcMar>
            <w:vAlign w:val="center"/>
            <w:hideMark/>
          </w:tcPr>
          <w:p w14:paraId="53661A2F" w14:textId="77777777" w:rsidR="00BF2793" w:rsidRPr="002718AF" w:rsidRDefault="00BF2793" w:rsidP="00717604">
            <w:pPr>
              <w:pStyle w:val="TableTextSmall"/>
            </w:pPr>
            <w:r w:rsidRPr="002718AF">
              <w:t>Proportion of women who had at least five antenatal visits during pregnancy</w:t>
            </w:r>
          </w:p>
        </w:tc>
        <w:tc>
          <w:tcPr>
            <w:tcW w:w="1285" w:type="dxa"/>
            <w:tcBorders>
              <w:top w:val="nil"/>
              <w:left w:val="nil"/>
              <w:bottom w:val="nil"/>
              <w:right w:val="nil"/>
            </w:tcBorders>
            <w:shd w:val="clear" w:color="auto" w:fill="auto"/>
            <w:noWrap/>
            <w:tcMar>
              <w:top w:w="15" w:type="dxa"/>
              <w:left w:w="15" w:type="dxa"/>
              <w:bottom w:w="0" w:type="dxa"/>
              <w:right w:w="15" w:type="dxa"/>
            </w:tcMar>
            <w:vAlign w:val="center"/>
            <w:hideMark/>
          </w:tcPr>
          <w:p w14:paraId="0F076A2C" w14:textId="77777777" w:rsidR="00BF2793" w:rsidRPr="002718AF" w:rsidRDefault="00BF2793" w:rsidP="00717604">
            <w:pPr>
              <w:pStyle w:val="TableTextSmall"/>
            </w:pPr>
            <w:r w:rsidRPr="002718AF">
              <w:t>2010</w:t>
            </w:r>
          </w:p>
        </w:tc>
        <w:tc>
          <w:tcPr>
            <w:tcW w:w="1130" w:type="dxa"/>
            <w:tcBorders>
              <w:top w:val="nil"/>
              <w:left w:val="nil"/>
              <w:bottom w:val="nil"/>
              <w:right w:val="nil"/>
            </w:tcBorders>
            <w:shd w:val="clear" w:color="auto" w:fill="auto"/>
            <w:noWrap/>
            <w:tcMar>
              <w:top w:w="15" w:type="dxa"/>
              <w:left w:w="15" w:type="dxa"/>
              <w:bottom w:w="0" w:type="dxa"/>
              <w:right w:w="15" w:type="dxa"/>
            </w:tcMar>
            <w:vAlign w:val="center"/>
            <w:hideMark/>
          </w:tcPr>
          <w:p w14:paraId="2A80DF72" w14:textId="77777777" w:rsidR="00BF2793" w:rsidRPr="002718AF" w:rsidRDefault="00BF2793" w:rsidP="00717604">
            <w:pPr>
              <w:pStyle w:val="TableTextSmall"/>
            </w:pPr>
            <w:r w:rsidRPr="002718AF">
              <w:t>94.3%</w:t>
            </w:r>
          </w:p>
        </w:tc>
        <w:tc>
          <w:tcPr>
            <w:tcW w:w="1233" w:type="dxa"/>
            <w:tcBorders>
              <w:top w:val="nil"/>
              <w:left w:val="nil"/>
              <w:bottom w:val="nil"/>
              <w:right w:val="nil"/>
            </w:tcBorders>
            <w:shd w:val="clear" w:color="auto" w:fill="auto"/>
            <w:noWrap/>
            <w:tcMar>
              <w:top w:w="15" w:type="dxa"/>
              <w:left w:w="15" w:type="dxa"/>
              <w:bottom w:w="0" w:type="dxa"/>
              <w:right w:w="15" w:type="dxa"/>
            </w:tcMar>
            <w:vAlign w:val="center"/>
            <w:hideMark/>
          </w:tcPr>
          <w:p w14:paraId="2D08DA81" w14:textId="77777777" w:rsidR="00BF2793" w:rsidRPr="002718AF" w:rsidRDefault="00BF2793" w:rsidP="00717604">
            <w:pPr>
              <w:pStyle w:val="TableTextSmall"/>
            </w:pPr>
            <w:r w:rsidRPr="002718AF">
              <w:t>2016</w:t>
            </w:r>
          </w:p>
        </w:tc>
        <w:tc>
          <w:tcPr>
            <w:tcW w:w="1165" w:type="dxa"/>
            <w:tcBorders>
              <w:top w:val="nil"/>
              <w:left w:val="nil"/>
              <w:bottom w:val="nil"/>
              <w:right w:val="nil"/>
            </w:tcBorders>
            <w:shd w:val="clear" w:color="auto" w:fill="auto"/>
            <w:noWrap/>
            <w:tcMar>
              <w:top w:w="15" w:type="dxa"/>
              <w:left w:w="15" w:type="dxa"/>
              <w:bottom w:w="0" w:type="dxa"/>
              <w:right w:w="15" w:type="dxa"/>
            </w:tcMar>
            <w:vAlign w:val="center"/>
            <w:hideMark/>
          </w:tcPr>
          <w:p w14:paraId="47B34248" w14:textId="77777777" w:rsidR="00BF2793" w:rsidRPr="002718AF" w:rsidRDefault="00BF2793" w:rsidP="00717604">
            <w:pPr>
              <w:pStyle w:val="TableTextSmall"/>
            </w:pPr>
            <w:r w:rsidRPr="002718AF">
              <w:t>93.6%</w:t>
            </w:r>
          </w:p>
        </w:tc>
        <w:tc>
          <w:tcPr>
            <w:tcW w:w="1650" w:type="dxa"/>
            <w:tcBorders>
              <w:top w:val="nil"/>
              <w:left w:val="nil"/>
              <w:bottom w:val="nil"/>
              <w:right w:val="nil"/>
            </w:tcBorders>
            <w:shd w:val="clear" w:color="auto" w:fill="auto"/>
            <w:noWrap/>
            <w:tcMar>
              <w:top w:w="15" w:type="dxa"/>
              <w:left w:w="15" w:type="dxa"/>
              <w:bottom w:w="0" w:type="dxa"/>
              <w:right w:w="15" w:type="dxa"/>
            </w:tcMar>
            <w:vAlign w:val="center"/>
            <w:hideMark/>
          </w:tcPr>
          <w:p w14:paraId="43029F92" w14:textId="1F6BD2F4" w:rsidR="00BF2793" w:rsidRPr="002718AF" w:rsidRDefault="00BF2793" w:rsidP="00717604">
            <w:pPr>
              <w:jc w:val="center"/>
              <w:rPr>
                <w:rFonts w:ascii="Calibri" w:hAnsi="Calibri" w:cs="Calibri"/>
                <w:b/>
                <w:bCs/>
                <w:color w:val="000000"/>
                <w:szCs w:val="18"/>
              </w:rPr>
            </w:pPr>
            <w:r w:rsidRPr="002718AF">
              <w:rPr>
                <w:rFonts w:ascii="Calibri" w:hAnsi="Calibri" w:cs="Calibri"/>
                <w:b/>
                <w:bCs/>
                <w:color w:val="000000"/>
                <w:szCs w:val="18"/>
              </w:rPr>
              <w:t>~</w:t>
            </w:r>
            <w:r w:rsidR="00D527C8">
              <w:rPr>
                <w:rFonts w:ascii="Calibri" w:hAnsi="Calibri" w:cs="Calibri"/>
                <w:b/>
                <w:bCs/>
                <w:color w:val="000000"/>
                <w:szCs w:val="18"/>
              </w:rPr>
              <w:t xml:space="preserve"> </w:t>
            </w:r>
            <w:r w:rsidR="00D527C8" w:rsidRPr="008552A8">
              <w:rPr>
                <w:rFonts w:cstheme="minorHAnsi"/>
                <w:b/>
                <w:bCs/>
                <w:color w:val="000000"/>
                <w:sz w:val="14"/>
                <w:szCs w:val="14"/>
              </w:rPr>
              <w:t>(</w:t>
            </w:r>
            <w:r w:rsidR="00C062B3">
              <w:rPr>
                <w:rFonts w:cstheme="minorHAnsi"/>
                <w:b/>
                <w:bCs/>
                <w:color w:val="000000"/>
                <w:sz w:val="14"/>
                <w:szCs w:val="14"/>
              </w:rPr>
              <w:t>steady/no clear trend</w:t>
            </w:r>
            <w:r w:rsidR="00D527C8" w:rsidRPr="008552A8">
              <w:rPr>
                <w:rFonts w:cstheme="minorHAnsi"/>
                <w:b/>
                <w:bCs/>
                <w:color w:val="000000"/>
                <w:sz w:val="14"/>
                <w:szCs w:val="14"/>
              </w:rPr>
              <w:t>)</w:t>
            </w:r>
          </w:p>
        </w:tc>
      </w:tr>
      <w:tr w:rsidR="00BF2793" w14:paraId="23191DD7" w14:textId="77777777" w:rsidTr="00717604">
        <w:trPr>
          <w:trHeight w:val="284"/>
        </w:trPr>
        <w:tc>
          <w:tcPr>
            <w:tcW w:w="0" w:type="auto"/>
            <w:gridSpan w:val="7"/>
            <w:tcBorders>
              <w:top w:val="nil"/>
              <w:left w:val="nil"/>
              <w:bottom w:val="nil"/>
              <w:right w:val="nil"/>
            </w:tcBorders>
            <w:shd w:val="clear" w:color="000000" w:fill="D9D9D9"/>
            <w:noWrap/>
            <w:tcMar>
              <w:top w:w="15" w:type="dxa"/>
              <w:left w:w="15" w:type="dxa"/>
              <w:bottom w:w="0" w:type="dxa"/>
              <w:right w:w="15" w:type="dxa"/>
            </w:tcMar>
            <w:vAlign w:val="center"/>
            <w:hideMark/>
          </w:tcPr>
          <w:p w14:paraId="498F8CCB" w14:textId="77777777" w:rsidR="00BF2793" w:rsidRPr="002718AF" w:rsidRDefault="00BF2793" w:rsidP="00717604">
            <w:pPr>
              <w:pStyle w:val="TableTextSmall"/>
              <w:rPr>
                <w:b/>
              </w:rPr>
            </w:pPr>
            <w:r w:rsidRPr="002718AF">
              <w:rPr>
                <w:b/>
              </w:rPr>
              <w:t>Supporting Outcome 3: Risk factors for abuse and neglect are addressed</w:t>
            </w:r>
          </w:p>
        </w:tc>
      </w:tr>
      <w:tr w:rsidR="004D0CEB" w14:paraId="4A309205" w14:textId="77777777" w:rsidTr="00233EB0">
        <w:trPr>
          <w:trHeight w:val="568"/>
        </w:trPr>
        <w:tc>
          <w:tcPr>
            <w:tcW w:w="1364" w:type="dxa"/>
            <w:tcBorders>
              <w:top w:val="nil"/>
              <w:left w:val="nil"/>
              <w:bottom w:val="single" w:sz="4" w:space="0" w:color="808080"/>
              <w:right w:val="nil"/>
            </w:tcBorders>
            <w:shd w:val="clear" w:color="auto" w:fill="auto"/>
            <w:tcMar>
              <w:top w:w="15" w:type="dxa"/>
              <w:left w:w="135" w:type="dxa"/>
              <w:bottom w:w="0" w:type="dxa"/>
              <w:right w:w="15" w:type="dxa"/>
            </w:tcMar>
            <w:vAlign w:val="center"/>
            <w:hideMark/>
          </w:tcPr>
          <w:p w14:paraId="159A8FA2" w14:textId="77777777" w:rsidR="00BF2793" w:rsidRPr="00FA3E74" w:rsidRDefault="00BF2793" w:rsidP="00717604">
            <w:pPr>
              <w:pStyle w:val="TableTextSmall"/>
            </w:pPr>
            <w:r w:rsidRPr="00FA3E74">
              <w:t>Parental substance use (alcohol)</w:t>
            </w:r>
          </w:p>
        </w:tc>
        <w:tc>
          <w:tcPr>
            <w:tcW w:w="2038"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6584FB1D" w14:textId="77777777" w:rsidR="00BF2793" w:rsidRPr="00FA3E74" w:rsidRDefault="00BF2793" w:rsidP="00717604">
            <w:pPr>
              <w:pStyle w:val="TableTextSmall"/>
            </w:pPr>
            <w:r w:rsidRPr="00FA3E74">
              <w:t>Proportion of parents with children aged 0–14 years who drank alcohol at risky levels</w:t>
            </w:r>
          </w:p>
        </w:tc>
        <w:tc>
          <w:tcPr>
            <w:tcW w:w="1285"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39A26964" w14:textId="77777777" w:rsidR="00BF2793" w:rsidRPr="00FA3E74" w:rsidRDefault="00BF2793" w:rsidP="00717604">
            <w:pPr>
              <w:pStyle w:val="TableTextSmall"/>
            </w:pPr>
            <w:r w:rsidRPr="00FA3E74">
              <w:t>2010</w:t>
            </w:r>
          </w:p>
        </w:tc>
        <w:tc>
          <w:tcPr>
            <w:tcW w:w="1130"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26B203B6" w14:textId="77777777" w:rsidR="00BF2793" w:rsidRPr="00FA3E74" w:rsidRDefault="00BF2793" w:rsidP="00717604">
            <w:pPr>
              <w:pStyle w:val="TableTextSmall"/>
            </w:pPr>
            <w:r w:rsidRPr="00FA3E74">
              <w:t>48.1%</w:t>
            </w:r>
          </w:p>
        </w:tc>
        <w:tc>
          <w:tcPr>
            <w:tcW w:w="1233"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1645238D" w14:textId="77777777" w:rsidR="00BF2793" w:rsidRPr="00FA3E74" w:rsidRDefault="00BF2793" w:rsidP="00717604">
            <w:pPr>
              <w:pStyle w:val="TableTextSmall"/>
            </w:pPr>
            <w:r w:rsidRPr="00FA3E74">
              <w:t>2016</w:t>
            </w:r>
          </w:p>
        </w:tc>
        <w:tc>
          <w:tcPr>
            <w:tcW w:w="1165"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7571A82B" w14:textId="77777777" w:rsidR="00BF2793" w:rsidRPr="00FA3E74" w:rsidRDefault="00BF2793" w:rsidP="00717604">
            <w:pPr>
              <w:pStyle w:val="TableTextSmall"/>
            </w:pPr>
            <w:r w:rsidRPr="00FA3E74">
              <w:t>43.5%</w:t>
            </w:r>
          </w:p>
        </w:tc>
        <w:tc>
          <w:tcPr>
            <w:tcW w:w="1650"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244D728F" w14:textId="0688AC2B" w:rsidR="00BF2793" w:rsidRPr="002718AF" w:rsidRDefault="00BF2793" w:rsidP="00717604">
            <w:pPr>
              <w:jc w:val="center"/>
              <w:rPr>
                <w:rFonts w:ascii="Calibri" w:hAnsi="Calibri" w:cs="Calibri"/>
                <w:b/>
                <w:bCs/>
                <w:color w:val="000000"/>
                <w:szCs w:val="18"/>
              </w:rPr>
            </w:pPr>
            <w:r w:rsidRPr="00FA3E74">
              <w:rPr>
                <w:rFonts w:ascii="Calibri" w:hAnsi="Calibri" w:cs="Calibri"/>
                <w:b/>
                <w:bCs/>
                <w:color w:val="000000"/>
                <w:szCs w:val="18"/>
              </w:rPr>
              <w:t>↓</w:t>
            </w:r>
            <w:r w:rsidR="00D527C8">
              <w:rPr>
                <w:rFonts w:ascii="Calibri" w:hAnsi="Calibri" w:cs="Calibri"/>
                <w:b/>
                <w:bCs/>
                <w:color w:val="000000"/>
                <w:szCs w:val="18"/>
              </w:rPr>
              <w:t xml:space="preserve"> </w:t>
            </w:r>
            <w:r w:rsidR="00D527C8" w:rsidRPr="008552A8">
              <w:rPr>
                <w:rFonts w:cstheme="minorHAnsi"/>
                <w:b/>
                <w:bCs/>
                <w:color w:val="000000"/>
                <w:sz w:val="14"/>
                <w:szCs w:val="14"/>
              </w:rPr>
              <w:t>(</w:t>
            </w:r>
            <w:r w:rsidR="0091006E">
              <w:rPr>
                <w:rFonts w:cstheme="minorHAnsi"/>
                <w:b/>
                <w:bCs/>
                <w:color w:val="000000"/>
                <w:sz w:val="14"/>
                <w:szCs w:val="14"/>
              </w:rPr>
              <w:t>decrease</w:t>
            </w:r>
            <w:r w:rsidR="00D527C8" w:rsidRPr="008552A8">
              <w:rPr>
                <w:rFonts w:cstheme="minorHAnsi"/>
                <w:b/>
                <w:bCs/>
                <w:color w:val="000000"/>
                <w:sz w:val="14"/>
                <w:szCs w:val="14"/>
              </w:rPr>
              <w:t>)</w:t>
            </w:r>
          </w:p>
        </w:tc>
      </w:tr>
      <w:tr w:rsidR="004D0CEB" w14:paraId="180A6A30" w14:textId="77777777" w:rsidTr="00233EB0">
        <w:trPr>
          <w:trHeight w:val="568"/>
        </w:trPr>
        <w:tc>
          <w:tcPr>
            <w:tcW w:w="1364" w:type="dxa"/>
            <w:tcBorders>
              <w:top w:val="nil"/>
              <w:left w:val="nil"/>
              <w:bottom w:val="single" w:sz="4" w:space="0" w:color="808080"/>
              <w:right w:val="nil"/>
            </w:tcBorders>
            <w:shd w:val="clear" w:color="auto" w:fill="auto"/>
            <w:tcMar>
              <w:top w:w="15" w:type="dxa"/>
              <w:left w:w="135" w:type="dxa"/>
              <w:bottom w:w="0" w:type="dxa"/>
              <w:right w:w="15" w:type="dxa"/>
            </w:tcMar>
            <w:vAlign w:val="center"/>
            <w:hideMark/>
          </w:tcPr>
          <w:p w14:paraId="445E9AE4" w14:textId="77777777" w:rsidR="00BF2793" w:rsidRPr="00FA3E74" w:rsidRDefault="00BF2793" w:rsidP="00717604">
            <w:pPr>
              <w:pStyle w:val="TableTextSmall"/>
            </w:pPr>
            <w:r w:rsidRPr="00FA3E74">
              <w:t>Parental mental health</w:t>
            </w:r>
          </w:p>
        </w:tc>
        <w:tc>
          <w:tcPr>
            <w:tcW w:w="2038"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7C68E4D5" w14:textId="77777777" w:rsidR="00BF2793" w:rsidRPr="00FA3E74" w:rsidRDefault="00BF2793" w:rsidP="00717604">
            <w:pPr>
              <w:pStyle w:val="TableTextSmall"/>
            </w:pPr>
            <w:r w:rsidRPr="00FA3E74">
              <w:t>Proportion of parents with children aged 0–14 years who have a mental health problem</w:t>
            </w:r>
          </w:p>
        </w:tc>
        <w:tc>
          <w:tcPr>
            <w:tcW w:w="1285"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5F1FAE92" w14:textId="77777777" w:rsidR="00BF2793" w:rsidRPr="00FA3E74" w:rsidRDefault="00BF2793" w:rsidP="00717604">
            <w:pPr>
              <w:pStyle w:val="TableTextSmall"/>
            </w:pPr>
            <w:r w:rsidRPr="00FA3E74">
              <w:t>2009</w:t>
            </w:r>
          </w:p>
        </w:tc>
        <w:tc>
          <w:tcPr>
            <w:tcW w:w="1130"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5D790628" w14:textId="77777777" w:rsidR="00BF2793" w:rsidRPr="00FA3E74" w:rsidRDefault="00BF2793" w:rsidP="00717604">
            <w:pPr>
              <w:pStyle w:val="TableTextSmall"/>
            </w:pPr>
            <w:r w:rsidRPr="00FA3E74">
              <w:t>16.9%</w:t>
            </w:r>
          </w:p>
        </w:tc>
        <w:tc>
          <w:tcPr>
            <w:tcW w:w="1233"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06EE14AF" w14:textId="77777777" w:rsidR="00BF2793" w:rsidRPr="00FA3E74" w:rsidRDefault="00BF2793" w:rsidP="00717604">
            <w:pPr>
              <w:pStyle w:val="TableTextSmall"/>
            </w:pPr>
            <w:r w:rsidRPr="00FA3E74">
              <w:t>2017</w:t>
            </w:r>
          </w:p>
        </w:tc>
        <w:tc>
          <w:tcPr>
            <w:tcW w:w="1165"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769C437B" w14:textId="77777777" w:rsidR="00BF2793" w:rsidRPr="00FA3E74" w:rsidRDefault="00BF2793" w:rsidP="00717604">
            <w:pPr>
              <w:pStyle w:val="TableTextSmall"/>
            </w:pPr>
            <w:r w:rsidRPr="00FA3E74">
              <w:t>16.3%</w:t>
            </w:r>
          </w:p>
        </w:tc>
        <w:tc>
          <w:tcPr>
            <w:tcW w:w="1650"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63D5B194" w14:textId="22A62696" w:rsidR="00BF2793" w:rsidRPr="002718AF" w:rsidRDefault="00BF2793" w:rsidP="00717604">
            <w:pPr>
              <w:jc w:val="center"/>
              <w:rPr>
                <w:rFonts w:ascii="Calibri" w:hAnsi="Calibri" w:cs="Calibri"/>
                <w:b/>
                <w:bCs/>
                <w:color w:val="000000"/>
                <w:szCs w:val="18"/>
              </w:rPr>
            </w:pPr>
            <w:r w:rsidRPr="00FA3E74">
              <w:rPr>
                <w:rFonts w:ascii="Calibri" w:hAnsi="Calibri" w:cs="Calibri"/>
                <w:b/>
                <w:bCs/>
                <w:color w:val="000000"/>
                <w:szCs w:val="18"/>
              </w:rPr>
              <w:t>~</w:t>
            </w:r>
            <w:r w:rsidR="00D527C8">
              <w:rPr>
                <w:rFonts w:ascii="Calibri" w:hAnsi="Calibri" w:cs="Calibri"/>
                <w:b/>
                <w:bCs/>
                <w:color w:val="000000"/>
                <w:szCs w:val="18"/>
              </w:rPr>
              <w:t xml:space="preserve"> </w:t>
            </w:r>
            <w:r w:rsidR="00D527C8" w:rsidRPr="008552A8">
              <w:rPr>
                <w:rFonts w:cstheme="minorHAnsi"/>
                <w:b/>
                <w:bCs/>
                <w:color w:val="000000"/>
                <w:sz w:val="14"/>
                <w:szCs w:val="14"/>
              </w:rPr>
              <w:t>(</w:t>
            </w:r>
            <w:r w:rsidR="00C062B3">
              <w:rPr>
                <w:rFonts w:cstheme="minorHAnsi"/>
                <w:b/>
                <w:bCs/>
                <w:color w:val="000000"/>
                <w:sz w:val="14"/>
                <w:szCs w:val="14"/>
              </w:rPr>
              <w:t>steady/no clear trend</w:t>
            </w:r>
            <w:r w:rsidR="0091006E">
              <w:rPr>
                <w:rFonts w:cstheme="minorHAnsi"/>
                <w:b/>
                <w:bCs/>
                <w:color w:val="000000"/>
                <w:sz w:val="14"/>
                <w:szCs w:val="14"/>
              </w:rPr>
              <w:t>)</w:t>
            </w:r>
          </w:p>
        </w:tc>
      </w:tr>
      <w:tr w:rsidR="004D0CEB" w14:paraId="5B5247AE" w14:textId="77777777" w:rsidTr="00233EB0">
        <w:trPr>
          <w:trHeight w:val="568"/>
        </w:trPr>
        <w:tc>
          <w:tcPr>
            <w:tcW w:w="1364" w:type="dxa"/>
            <w:tcBorders>
              <w:top w:val="nil"/>
              <w:left w:val="nil"/>
              <w:bottom w:val="nil"/>
              <w:right w:val="nil"/>
            </w:tcBorders>
            <w:shd w:val="clear" w:color="auto" w:fill="auto"/>
            <w:tcMar>
              <w:top w:w="15" w:type="dxa"/>
              <w:left w:w="135" w:type="dxa"/>
              <w:bottom w:w="0" w:type="dxa"/>
              <w:right w:w="15" w:type="dxa"/>
            </w:tcMar>
            <w:vAlign w:val="center"/>
            <w:hideMark/>
          </w:tcPr>
          <w:p w14:paraId="62986ABC" w14:textId="77777777" w:rsidR="00BF2793" w:rsidRPr="002718AF" w:rsidRDefault="00BF2793" w:rsidP="00717604">
            <w:pPr>
              <w:pStyle w:val="TableTextSmall"/>
            </w:pPr>
            <w:r w:rsidRPr="002718AF">
              <w:t>Homelessness</w:t>
            </w:r>
          </w:p>
        </w:tc>
        <w:tc>
          <w:tcPr>
            <w:tcW w:w="2038" w:type="dxa"/>
            <w:tcBorders>
              <w:top w:val="nil"/>
              <w:left w:val="nil"/>
              <w:bottom w:val="nil"/>
              <w:right w:val="nil"/>
            </w:tcBorders>
            <w:shd w:val="clear" w:color="auto" w:fill="auto"/>
            <w:tcMar>
              <w:top w:w="15" w:type="dxa"/>
              <w:left w:w="15" w:type="dxa"/>
              <w:bottom w:w="0" w:type="dxa"/>
              <w:right w:w="15" w:type="dxa"/>
            </w:tcMar>
            <w:vAlign w:val="center"/>
            <w:hideMark/>
          </w:tcPr>
          <w:p w14:paraId="0C438A16" w14:textId="77777777" w:rsidR="00BF2793" w:rsidRPr="002718AF" w:rsidRDefault="00BF2793" w:rsidP="00717604">
            <w:pPr>
              <w:pStyle w:val="TableTextSmall"/>
            </w:pPr>
            <w:r w:rsidRPr="002718AF">
              <w:t>Rate of children aged 0–17 years who receive assistance through homelessness services (accompanied and unaccompanied)</w:t>
            </w:r>
          </w:p>
        </w:tc>
        <w:tc>
          <w:tcPr>
            <w:tcW w:w="1285" w:type="dxa"/>
            <w:tcBorders>
              <w:top w:val="nil"/>
              <w:left w:val="nil"/>
              <w:bottom w:val="nil"/>
              <w:right w:val="nil"/>
            </w:tcBorders>
            <w:shd w:val="clear" w:color="auto" w:fill="auto"/>
            <w:noWrap/>
            <w:tcMar>
              <w:top w:w="15" w:type="dxa"/>
              <w:left w:w="15" w:type="dxa"/>
              <w:bottom w:w="0" w:type="dxa"/>
              <w:right w:w="15" w:type="dxa"/>
            </w:tcMar>
            <w:vAlign w:val="center"/>
            <w:hideMark/>
          </w:tcPr>
          <w:p w14:paraId="16153507" w14:textId="77777777" w:rsidR="00BF2793" w:rsidRPr="002718AF" w:rsidRDefault="00BF2793" w:rsidP="00717604">
            <w:pPr>
              <w:pStyle w:val="TableTextSmall"/>
            </w:pPr>
            <w:r w:rsidRPr="002718AF">
              <w:t>2011–12</w:t>
            </w:r>
          </w:p>
        </w:tc>
        <w:tc>
          <w:tcPr>
            <w:tcW w:w="1130" w:type="dxa"/>
            <w:tcBorders>
              <w:top w:val="nil"/>
              <w:left w:val="nil"/>
              <w:bottom w:val="nil"/>
              <w:right w:val="nil"/>
            </w:tcBorders>
            <w:shd w:val="clear" w:color="auto" w:fill="auto"/>
            <w:noWrap/>
            <w:tcMar>
              <w:top w:w="15" w:type="dxa"/>
              <w:left w:w="15" w:type="dxa"/>
              <w:bottom w:w="0" w:type="dxa"/>
              <w:right w:w="15" w:type="dxa"/>
            </w:tcMar>
            <w:vAlign w:val="center"/>
            <w:hideMark/>
          </w:tcPr>
          <w:p w14:paraId="46A00883" w14:textId="77777777" w:rsidR="00BF2793" w:rsidRPr="002718AF" w:rsidRDefault="00BF2793" w:rsidP="00717604">
            <w:pPr>
              <w:pStyle w:val="TableTextSmall"/>
            </w:pPr>
            <w:r w:rsidRPr="002718AF">
              <w:t>13.3 (per 1,000)</w:t>
            </w:r>
          </w:p>
        </w:tc>
        <w:tc>
          <w:tcPr>
            <w:tcW w:w="1233" w:type="dxa"/>
            <w:tcBorders>
              <w:top w:val="nil"/>
              <w:left w:val="nil"/>
              <w:bottom w:val="nil"/>
              <w:right w:val="nil"/>
            </w:tcBorders>
            <w:shd w:val="clear" w:color="auto" w:fill="auto"/>
            <w:noWrap/>
            <w:tcMar>
              <w:top w:w="15" w:type="dxa"/>
              <w:left w:w="15" w:type="dxa"/>
              <w:bottom w:w="0" w:type="dxa"/>
              <w:right w:w="15" w:type="dxa"/>
            </w:tcMar>
            <w:vAlign w:val="center"/>
            <w:hideMark/>
          </w:tcPr>
          <w:p w14:paraId="0473618F" w14:textId="77777777" w:rsidR="00BF2793" w:rsidRPr="002718AF" w:rsidRDefault="00BF2793" w:rsidP="00717604">
            <w:pPr>
              <w:pStyle w:val="TableTextSmall"/>
            </w:pPr>
            <w:r w:rsidRPr="002718AF">
              <w:t>2017–18</w:t>
            </w:r>
          </w:p>
        </w:tc>
        <w:tc>
          <w:tcPr>
            <w:tcW w:w="1165" w:type="dxa"/>
            <w:tcBorders>
              <w:top w:val="nil"/>
              <w:left w:val="nil"/>
              <w:bottom w:val="nil"/>
              <w:right w:val="nil"/>
            </w:tcBorders>
            <w:shd w:val="clear" w:color="auto" w:fill="auto"/>
            <w:noWrap/>
            <w:tcMar>
              <w:top w:w="15" w:type="dxa"/>
              <w:left w:w="15" w:type="dxa"/>
              <w:bottom w:w="0" w:type="dxa"/>
              <w:right w:w="15" w:type="dxa"/>
            </w:tcMar>
            <w:vAlign w:val="center"/>
            <w:hideMark/>
          </w:tcPr>
          <w:p w14:paraId="597267DD" w14:textId="77777777" w:rsidR="00BF2793" w:rsidRPr="002718AF" w:rsidRDefault="00BF2793" w:rsidP="00717604">
            <w:pPr>
              <w:pStyle w:val="TableTextSmall"/>
            </w:pPr>
            <w:r w:rsidRPr="002718AF">
              <w:t>16.3 (per 1,000)</w:t>
            </w:r>
          </w:p>
        </w:tc>
        <w:tc>
          <w:tcPr>
            <w:tcW w:w="1650" w:type="dxa"/>
            <w:tcBorders>
              <w:top w:val="nil"/>
              <w:left w:val="nil"/>
              <w:bottom w:val="nil"/>
              <w:right w:val="nil"/>
            </w:tcBorders>
            <w:shd w:val="clear" w:color="auto" w:fill="auto"/>
            <w:noWrap/>
            <w:tcMar>
              <w:top w:w="15" w:type="dxa"/>
              <w:left w:w="15" w:type="dxa"/>
              <w:bottom w:w="0" w:type="dxa"/>
              <w:right w:w="15" w:type="dxa"/>
            </w:tcMar>
            <w:vAlign w:val="center"/>
            <w:hideMark/>
          </w:tcPr>
          <w:p w14:paraId="15077CFA" w14:textId="5B23137E" w:rsidR="00BF2793" w:rsidRPr="002718AF" w:rsidRDefault="00BF2793" w:rsidP="00717604">
            <w:pPr>
              <w:jc w:val="center"/>
              <w:rPr>
                <w:rFonts w:ascii="Calibri" w:hAnsi="Calibri" w:cs="Calibri"/>
                <w:b/>
                <w:bCs/>
                <w:color w:val="000000"/>
                <w:szCs w:val="18"/>
              </w:rPr>
            </w:pPr>
            <w:r w:rsidRPr="002718AF">
              <w:rPr>
                <w:rFonts w:ascii="Calibri" w:hAnsi="Calibri" w:cs="Calibri"/>
                <w:b/>
                <w:bCs/>
                <w:color w:val="000000"/>
                <w:szCs w:val="18"/>
              </w:rPr>
              <w:t>~</w:t>
            </w:r>
            <w:r w:rsidR="00D527C8">
              <w:rPr>
                <w:rFonts w:ascii="Calibri" w:hAnsi="Calibri" w:cs="Calibri"/>
                <w:b/>
                <w:bCs/>
                <w:color w:val="000000"/>
                <w:szCs w:val="18"/>
              </w:rPr>
              <w:t xml:space="preserve"> </w:t>
            </w:r>
            <w:r w:rsidR="00D527C8" w:rsidRPr="008552A8">
              <w:rPr>
                <w:rFonts w:cstheme="minorHAnsi"/>
                <w:b/>
                <w:bCs/>
                <w:color w:val="000000"/>
                <w:sz w:val="14"/>
                <w:szCs w:val="14"/>
              </w:rPr>
              <w:t>(</w:t>
            </w:r>
            <w:r w:rsidR="00C062B3">
              <w:rPr>
                <w:rFonts w:cstheme="minorHAnsi"/>
                <w:b/>
                <w:bCs/>
                <w:color w:val="000000"/>
                <w:sz w:val="14"/>
                <w:szCs w:val="14"/>
              </w:rPr>
              <w:t>steady/no clear trend</w:t>
            </w:r>
            <w:r w:rsidR="00D527C8" w:rsidRPr="008552A8">
              <w:rPr>
                <w:rFonts w:cstheme="minorHAnsi"/>
                <w:b/>
                <w:bCs/>
                <w:color w:val="000000"/>
                <w:sz w:val="14"/>
                <w:szCs w:val="14"/>
              </w:rPr>
              <w:t>)</w:t>
            </w:r>
          </w:p>
        </w:tc>
      </w:tr>
      <w:tr w:rsidR="00BF2793" w:rsidRPr="0009264F" w14:paraId="29FB412E" w14:textId="77777777" w:rsidTr="00717604">
        <w:trPr>
          <w:trHeight w:val="284"/>
        </w:trPr>
        <w:tc>
          <w:tcPr>
            <w:tcW w:w="0" w:type="auto"/>
            <w:gridSpan w:val="7"/>
            <w:tcBorders>
              <w:top w:val="nil"/>
              <w:left w:val="nil"/>
              <w:bottom w:val="nil"/>
              <w:right w:val="nil"/>
            </w:tcBorders>
            <w:shd w:val="clear" w:color="000000" w:fill="D9D9D9"/>
            <w:noWrap/>
            <w:tcMar>
              <w:top w:w="15" w:type="dxa"/>
              <w:left w:w="15" w:type="dxa"/>
              <w:bottom w:w="0" w:type="dxa"/>
              <w:right w:w="15" w:type="dxa"/>
            </w:tcMar>
            <w:vAlign w:val="center"/>
            <w:hideMark/>
          </w:tcPr>
          <w:p w14:paraId="7E94B546" w14:textId="77777777" w:rsidR="00BF2793" w:rsidRPr="002718AF" w:rsidRDefault="00BF2793" w:rsidP="00717604">
            <w:pPr>
              <w:pStyle w:val="TableTextSmall"/>
              <w:rPr>
                <w:b/>
              </w:rPr>
            </w:pPr>
            <w:r w:rsidRPr="002718AF">
              <w:rPr>
                <w:b/>
              </w:rPr>
              <w:t>Supporting Outcome 4: Children who have been abused or neglected receive the support and care they need for their safety and wellbeing</w:t>
            </w:r>
          </w:p>
        </w:tc>
      </w:tr>
      <w:tr w:rsidR="004D0CEB" w14:paraId="3D9E0A5B" w14:textId="77777777" w:rsidTr="00233EB0">
        <w:trPr>
          <w:trHeight w:val="568"/>
        </w:trPr>
        <w:tc>
          <w:tcPr>
            <w:tcW w:w="1364" w:type="dxa"/>
            <w:tcBorders>
              <w:top w:val="nil"/>
              <w:left w:val="nil"/>
              <w:bottom w:val="single" w:sz="4" w:space="0" w:color="808080"/>
              <w:right w:val="nil"/>
            </w:tcBorders>
            <w:shd w:val="clear" w:color="auto" w:fill="auto"/>
            <w:tcMar>
              <w:top w:w="15" w:type="dxa"/>
              <w:left w:w="135" w:type="dxa"/>
              <w:bottom w:w="0" w:type="dxa"/>
              <w:right w:w="15" w:type="dxa"/>
            </w:tcMar>
            <w:vAlign w:val="center"/>
            <w:hideMark/>
          </w:tcPr>
          <w:p w14:paraId="27005A34" w14:textId="77777777" w:rsidR="00BF2793" w:rsidRPr="002718AF" w:rsidRDefault="00BF2793" w:rsidP="00717604">
            <w:pPr>
              <w:pStyle w:val="TableTextSmall"/>
            </w:pPr>
            <w:r w:rsidRPr="002718AF">
              <w:lastRenderedPageBreak/>
              <w:t>Child protection resubstantiations</w:t>
            </w:r>
          </w:p>
        </w:tc>
        <w:tc>
          <w:tcPr>
            <w:tcW w:w="2038"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53914439" w14:textId="77777777" w:rsidR="00BF2793" w:rsidRPr="002718AF" w:rsidRDefault="00BF2793" w:rsidP="00717604">
            <w:pPr>
              <w:pStyle w:val="TableTextSmall"/>
            </w:pPr>
            <w:r w:rsidRPr="002718AF">
              <w:t>Rate of children aged 0–17 years who were the subject of a child protection resubstantiation in a given year</w:t>
            </w:r>
          </w:p>
        </w:tc>
        <w:tc>
          <w:tcPr>
            <w:tcW w:w="1285"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06F3158D" w14:textId="77777777" w:rsidR="00BF2793" w:rsidRPr="002718AF" w:rsidRDefault="00BF2793" w:rsidP="00717604">
            <w:pPr>
              <w:pStyle w:val="TableTextSmall"/>
            </w:pPr>
            <w:r w:rsidRPr="002718AF">
              <w:t>2008–09</w:t>
            </w:r>
          </w:p>
        </w:tc>
        <w:tc>
          <w:tcPr>
            <w:tcW w:w="1130"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368E89B5" w14:textId="77777777" w:rsidR="00BF2793" w:rsidRPr="002718AF" w:rsidRDefault="00BF2793" w:rsidP="00717604">
            <w:pPr>
              <w:pStyle w:val="TableTextSmall"/>
            </w:pPr>
            <w:r w:rsidRPr="002718AF">
              <w:t>17.3%</w:t>
            </w:r>
          </w:p>
        </w:tc>
        <w:tc>
          <w:tcPr>
            <w:tcW w:w="1233"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1545A32C" w14:textId="77777777" w:rsidR="00BF2793" w:rsidRPr="002718AF" w:rsidRDefault="00BF2793" w:rsidP="00717604">
            <w:pPr>
              <w:pStyle w:val="TableTextSmall"/>
            </w:pPr>
            <w:r w:rsidRPr="002718AF">
              <w:t>2016–17</w:t>
            </w:r>
          </w:p>
        </w:tc>
        <w:tc>
          <w:tcPr>
            <w:tcW w:w="1165"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2B918E3A" w14:textId="77777777" w:rsidR="00BF2793" w:rsidRPr="002718AF" w:rsidRDefault="00BF2793" w:rsidP="00717604">
            <w:pPr>
              <w:pStyle w:val="TableTextSmall"/>
            </w:pPr>
            <w:r w:rsidRPr="002718AF">
              <w:t>17.6%</w:t>
            </w:r>
          </w:p>
        </w:tc>
        <w:tc>
          <w:tcPr>
            <w:tcW w:w="1650"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0A0A063D" w14:textId="6BAFC228" w:rsidR="00BF2793" w:rsidRPr="002718AF" w:rsidRDefault="00BF2793" w:rsidP="00717604">
            <w:pPr>
              <w:jc w:val="center"/>
              <w:rPr>
                <w:rFonts w:ascii="Calibri" w:hAnsi="Calibri" w:cs="Calibri"/>
                <w:b/>
                <w:bCs/>
                <w:color w:val="000000"/>
                <w:szCs w:val="18"/>
              </w:rPr>
            </w:pPr>
            <w:r w:rsidRPr="002718AF">
              <w:rPr>
                <w:rFonts w:ascii="Calibri" w:hAnsi="Calibri" w:cs="Calibri"/>
                <w:b/>
                <w:bCs/>
                <w:color w:val="000000"/>
                <w:szCs w:val="18"/>
              </w:rPr>
              <w:t>~</w:t>
            </w:r>
            <w:r w:rsidR="00D527C8">
              <w:rPr>
                <w:rFonts w:ascii="Calibri" w:hAnsi="Calibri" w:cs="Calibri"/>
                <w:b/>
                <w:bCs/>
                <w:color w:val="000000"/>
                <w:szCs w:val="18"/>
              </w:rPr>
              <w:t xml:space="preserve"> </w:t>
            </w:r>
            <w:r w:rsidR="00D527C8" w:rsidRPr="008552A8">
              <w:rPr>
                <w:rFonts w:cstheme="minorHAnsi"/>
                <w:b/>
                <w:bCs/>
                <w:color w:val="000000"/>
                <w:sz w:val="14"/>
                <w:szCs w:val="14"/>
              </w:rPr>
              <w:t>(</w:t>
            </w:r>
            <w:r w:rsidR="00C062B3">
              <w:rPr>
                <w:rFonts w:cstheme="minorHAnsi"/>
                <w:b/>
                <w:bCs/>
                <w:color w:val="000000"/>
                <w:sz w:val="14"/>
                <w:szCs w:val="14"/>
              </w:rPr>
              <w:t>steady/no clear trend</w:t>
            </w:r>
            <w:r w:rsidR="00D527C8" w:rsidRPr="008552A8">
              <w:rPr>
                <w:rFonts w:cstheme="minorHAnsi"/>
                <w:b/>
                <w:bCs/>
                <w:color w:val="000000"/>
                <w:sz w:val="14"/>
                <w:szCs w:val="14"/>
              </w:rPr>
              <w:t>)</w:t>
            </w:r>
          </w:p>
        </w:tc>
      </w:tr>
      <w:tr w:rsidR="004D0CEB" w14:paraId="22FEAEF6" w14:textId="77777777" w:rsidTr="00233EB0">
        <w:trPr>
          <w:trHeight w:val="568"/>
        </w:trPr>
        <w:tc>
          <w:tcPr>
            <w:tcW w:w="1364" w:type="dxa"/>
            <w:tcBorders>
              <w:top w:val="nil"/>
              <w:left w:val="nil"/>
              <w:bottom w:val="single" w:sz="4" w:space="0" w:color="808080"/>
              <w:right w:val="nil"/>
            </w:tcBorders>
            <w:shd w:val="clear" w:color="auto" w:fill="auto"/>
            <w:tcMar>
              <w:top w:w="15" w:type="dxa"/>
              <w:left w:w="135" w:type="dxa"/>
              <w:bottom w:w="0" w:type="dxa"/>
              <w:right w:w="15" w:type="dxa"/>
            </w:tcMar>
            <w:vAlign w:val="center"/>
            <w:hideMark/>
          </w:tcPr>
          <w:p w14:paraId="730027BD" w14:textId="77777777" w:rsidR="00BF2793" w:rsidRPr="002718AF" w:rsidRDefault="00BF2793" w:rsidP="00717604">
            <w:pPr>
              <w:pStyle w:val="TableTextSmall"/>
            </w:pPr>
            <w:r w:rsidRPr="002718AF">
              <w:t>Placement stability</w:t>
            </w:r>
          </w:p>
        </w:tc>
        <w:tc>
          <w:tcPr>
            <w:tcW w:w="2038"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68015FF7" w14:textId="77777777" w:rsidR="00BF2793" w:rsidRPr="002718AF" w:rsidRDefault="00BF2793" w:rsidP="00717604">
            <w:pPr>
              <w:pStyle w:val="TableTextSmall"/>
            </w:pPr>
            <w:r w:rsidRPr="002718AF">
              <w:t>Proportion of children aged 0–17 years exiting out-of-home care during the year who had 1 or 2 placements</w:t>
            </w:r>
          </w:p>
        </w:tc>
        <w:tc>
          <w:tcPr>
            <w:tcW w:w="1285"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17CB6C90" w14:textId="77777777" w:rsidR="00BF2793" w:rsidRPr="002718AF" w:rsidRDefault="00BF2793" w:rsidP="00717604">
            <w:pPr>
              <w:pStyle w:val="TableTextSmall"/>
            </w:pPr>
            <w:r w:rsidRPr="002718AF">
              <w:t>2009–10</w:t>
            </w:r>
          </w:p>
        </w:tc>
        <w:tc>
          <w:tcPr>
            <w:tcW w:w="1130"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72107E04" w14:textId="77777777" w:rsidR="00BF2793" w:rsidRPr="002718AF" w:rsidRDefault="00BF2793" w:rsidP="00717604">
            <w:pPr>
              <w:pStyle w:val="TableTextSmall"/>
            </w:pPr>
            <w:r w:rsidRPr="002718AF">
              <w:t>63.3%</w:t>
            </w:r>
          </w:p>
        </w:tc>
        <w:tc>
          <w:tcPr>
            <w:tcW w:w="1233"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7DBF5802" w14:textId="77777777" w:rsidR="00BF2793" w:rsidRPr="002718AF" w:rsidRDefault="00BF2793" w:rsidP="00717604">
            <w:pPr>
              <w:pStyle w:val="TableTextSmall"/>
            </w:pPr>
            <w:r w:rsidRPr="002718AF">
              <w:t>2017–18</w:t>
            </w:r>
          </w:p>
        </w:tc>
        <w:tc>
          <w:tcPr>
            <w:tcW w:w="1165"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30A04EF8" w14:textId="77777777" w:rsidR="00BF2793" w:rsidRPr="002718AF" w:rsidRDefault="00BF2793" w:rsidP="00717604">
            <w:pPr>
              <w:pStyle w:val="TableTextSmall"/>
            </w:pPr>
            <w:r w:rsidRPr="002718AF">
              <w:t>65.6%</w:t>
            </w:r>
          </w:p>
        </w:tc>
        <w:tc>
          <w:tcPr>
            <w:tcW w:w="1650"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11025EE2" w14:textId="50B85C43" w:rsidR="00BF2793" w:rsidRPr="002718AF" w:rsidRDefault="00BF2793" w:rsidP="00717604">
            <w:pPr>
              <w:jc w:val="center"/>
              <w:rPr>
                <w:rFonts w:ascii="Calibri" w:hAnsi="Calibri" w:cs="Calibri"/>
                <w:b/>
                <w:bCs/>
                <w:color w:val="000000"/>
                <w:szCs w:val="18"/>
              </w:rPr>
            </w:pPr>
            <w:r w:rsidRPr="002718AF">
              <w:rPr>
                <w:rFonts w:ascii="Calibri" w:hAnsi="Calibri" w:cs="Calibri"/>
                <w:b/>
                <w:bCs/>
                <w:color w:val="000000"/>
                <w:szCs w:val="18"/>
              </w:rPr>
              <w:t>~</w:t>
            </w:r>
            <w:r w:rsidR="00D527C8">
              <w:rPr>
                <w:rFonts w:ascii="Calibri" w:hAnsi="Calibri" w:cs="Calibri"/>
                <w:b/>
                <w:bCs/>
                <w:color w:val="000000"/>
                <w:szCs w:val="18"/>
              </w:rPr>
              <w:t xml:space="preserve"> </w:t>
            </w:r>
            <w:r w:rsidR="00D527C8" w:rsidRPr="008552A8">
              <w:rPr>
                <w:rFonts w:cstheme="minorHAnsi"/>
                <w:b/>
                <w:bCs/>
                <w:color w:val="000000"/>
                <w:sz w:val="14"/>
                <w:szCs w:val="14"/>
              </w:rPr>
              <w:t>(</w:t>
            </w:r>
            <w:r w:rsidR="00C062B3">
              <w:rPr>
                <w:rFonts w:cstheme="minorHAnsi"/>
                <w:b/>
                <w:bCs/>
                <w:color w:val="000000"/>
                <w:sz w:val="14"/>
                <w:szCs w:val="14"/>
              </w:rPr>
              <w:t>steady/no clear trend</w:t>
            </w:r>
            <w:r w:rsidR="00D527C8" w:rsidRPr="008552A8">
              <w:rPr>
                <w:rFonts w:cstheme="minorHAnsi"/>
                <w:b/>
                <w:bCs/>
                <w:color w:val="000000"/>
                <w:sz w:val="14"/>
                <w:szCs w:val="14"/>
              </w:rPr>
              <w:t>)</w:t>
            </w:r>
          </w:p>
        </w:tc>
      </w:tr>
      <w:tr w:rsidR="004D0CEB" w14:paraId="27D9DDC1" w14:textId="77777777" w:rsidTr="00233EB0">
        <w:trPr>
          <w:trHeight w:val="568"/>
        </w:trPr>
        <w:tc>
          <w:tcPr>
            <w:tcW w:w="1364" w:type="dxa"/>
            <w:tcBorders>
              <w:top w:val="nil"/>
              <w:left w:val="nil"/>
              <w:bottom w:val="nil"/>
              <w:right w:val="nil"/>
            </w:tcBorders>
            <w:shd w:val="clear" w:color="auto" w:fill="auto"/>
            <w:tcMar>
              <w:top w:w="15" w:type="dxa"/>
              <w:left w:w="135" w:type="dxa"/>
              <w:bottom w:w="0" w:type="dxa"/>
              <w:right w:w="15" w:type="dxa"/>
            </w:tcMar>
            <w:vAlign w:val="center"/>
            <w:hideMark/>
          </w:tcPr>
          <w:p w14:paraId="1F8AE950" w14:textId="77777777" w:rsidR="00BF2793" w:rsidRPr="002718AF" w:rsidRDefault="00BF2793" w:rsidP="00717604">
            <w:pPr>
              <w:pStyle w:val="TableTextSmall"/>
            </w:pPr>
            <w:r w:rsidRPr="002718AF">
              <w:t>Leaving care plans</w:t>
            </w:r>
          </w:p>
        </w:tc>
        <w:tc>
          <w:tcPr>
            <w:tcW w:w="2038" w:type="dxa"/>
            <w:tcBorders>
              <w:top w:val="nil"/>
              <w:left w:val="nil"/>
              <w:bottom w:val="nil"/>
              <w:right w:val="nil"/>
            </w:tcBorders>
            <w:shd w:val="clear" w:color="auto" w:fill="auto"/>
            <w:tcMar>
              <w:top w:w="15" w:type="dxa"/>
              <w:left w:w="15" w:type="dxa"/>
              <w:bottom w:w="0" w:type="dxa"/>
              <w:right w:w="15" w:type="dxa"/>
            </w:tcMar>
            <w:vAlign w:val="center"/>
            <w:hideMark/>
          </w:tcPr>
          <w:p w14:paraId="2F2562A7" w14:textId="77777777" w:rsidR="00BF2793" w:rsidRPr="002718AF" w:rsidRDefault="00BF2793" w:rsidP="00717604">
            <w:pPr>
              <w:pStyle w:val="TableTextSmall"/>
            </w:pPr>
            <w:r w:rsidRPr="002718AF">
              <w:t>Proportion of young people aged 15–17 years who have a leaving care plan</w:t>
            </w:r>
          </w:p>
        </w:tc>
        <w:tc>
          <w:tcPr>
            <w:tcW w:w="1285" w:type="dxa"/>
            <w:tcBorders>
              <w:top w:val="nil"/>
              <w:left w:val="nil"/>
              <w:bottom w:val="nil"/>
              <w:right w:val="nil"/>
            </w:tcBorders>
            <w:shd w:val="clear" w:color="auto" w:fill="auto"/>
            <w:noWrap/>
            <w:tcMar>
              <w:top w:w="15" w:type="dxa"/>
              <w:left w:w="15" w:type="dxa"/>
              <w:bottom w:w="0" w:type="dxa"/>
              <w:right w:w="15" w:type="dxa"/>
            </w:tcMar>
            <w:vAlign w:val="center"/>
            <w:hideMark/>
          </w:tcPr>
          <w:p w14:paraId="48466A2C" w14:textId="77777777" w:rsidR="00BF2793" w:rsidRPr="002718AF" w:rsidRDefault="00BF2793" w:rsidP="00717604">
            <w:pPr>
              <w:pStyle w:val="TableTextSmall"/>
            </w:pPr>
            <w:r w:rsidRPr="002718AF">
              <w:t>2012</w:t>
            </w:r>
          </w:p>
        </w:tc>
        <w:tc>
          <w:tcPr>
            <w:tcW w:w="1130" w:type="dxa"/>
            <w:tcBorders>
              <w:top w:val="nil"/>
              <w:left w:val="nil"/>
              <w:bottom w:val="nil"/>
              <w:right w:val="nil"/>
            </w:tcBorders>
            <w:shd w:val="clear" w:color="auto" w:fill="auto"/>
            <w:noWrap/>
            <w:tcMar>
              <w:top w:w="15" w:type="dxa"/>
              <w:left w:w="15" w:type="dxa"/>
              <w:bottom w:w="0" w:type="dxa"/>
              <w:right w:w="15" w:type="dxa"/>
            </w:tcMar>
            <w:vAlign w:val="center"/>
            <w:hideMark/>
          </w:tcPr>
          <w:p w14:paraId="5063FB17" w14:textId="77777777" w:rsidR="00BF2793" w:rsidRPr="002718AF" w:rsidRDefault="00BF2793" w:rsidP="00717604">
            <w:pPr>
              <w:pStyle w:val="TableTextSmall"/>
            </w:pPr>
            <w:r w:rsidRPr="002718AF">
              <w:t>77.0%</w:t>
            </w:r>
          </w:p>
        </w:tc>
        <w:tc>
          <w:tcPr>
            <w:tcW w:w="1233" w:type="dxa"/>
            <w:tcBorders>
              <w:top w:val="nil"/>
              <w:left w:val="nil"/>
              <w:bottom w:val="nil"/>
              <w:right w:val="nil"/>
            </w:tcBorders>
            <w:shd w:val="clear" w:color="auto" w:fill="auto"/>
            <w:noWrap/>
            <w:tcMar>
              <w:top w:w="15" w:type="dxa"/>
              <w:left w:w="15" w:type="dxa"/>
              <w:bottom w:w="0" w:type="dxa"/>
              <w:right w:w="15" w:type="dxa"/>
            </w:tcMar>
            <w:vAlign w:val="center"/>
            <w:hideMark/>
          </w:tcPr>
          <w:p w14:paraId="26A48AC8" w14:textId="77777777" w:rsidR="00BF2793" w:rsidRPr="002718AF" w:rsidRDefault="00BF2793" w:rsidP="00717604">
            <w:pPr>
              <w:pStyle w:val="TableTextSmall"/>
            </w:pPr>
            <w:r w:rsidRPr="002718AF">
              <w:t>2018</w:t>
            </w:r>
          </w:p>
        </w:tc>
        <w:tc>
          <w:tcPr>
            <w:tcW w:w="1165" w:type="dxa"/>
            <w:tcBorders>
              <w:top w:val="nil"/>
              <w:left w:val="nil"/>
              <w:bottom w:val="nil"/>
              <w:right w:val="nil"/>
            </w:tcBorders>
            <w:shd w:val="clear" w:color="auto" w:fill="auto"/>
            <w:noWrap/>
            <w:tcMar>
              <w:top w:w="15" w:type="dxa"/>
              <w:left w:w="15" w:type="dxa"/>
              <w:bottom w:w="0" w:type="dxa"/>
              <w:right w:w="15" w:type="dxa"/>
            </w:tcMar>
            <w:vAlign w:val="center"/>
            <w:hideMark/>
          </w:tcPr>
          <w:p w14:paraId="116CE3F0" w14:textId="77777777" w:rsidR="00BF2793" w:rsidRPr="002718AF" w:rsidRDefault="00BF2793" w:rsidP="00717604">
            <w:pPr>
              <w:pStyle w:val="TableTextSmall"/>
            </w:pPr>
            <w:r w:rsidRPr="002718AF">
              <w:t>58.8%</w:t>
            </w:r>
          </w:p>
        </w:tc>
        <w:tc>
          <w:tcPr>
            <w:tcW w:w="1650" w:type="dxa"/>
            <w:tcBorders>
              <w:top w:val="nil"/>
              <w:left w:val="nil"/>
              <w:bottom w:val="nil"/>
              <w:right w:val="nil"/>
            </w:tcBorders>
            <w:shd w:val="clear" w:color="auto" w:fill="auto"/>
            <w:noWrap/>
            <w:tcMar>
              <w:top w:w="15" w:type="dxa"/>
              <w:left w:w="15" w:type="dxa"/>
              <w:bottom w:w="0" w:type="dxa"/>
              <w:right w:w="15" w:type="dxa"/>
            </w:tcMar>
            <w:vAlign w:val="center"/>
            <w:hideMark/>
          </w:tcPr>
          <w:p w14:paraId="19713A64" w14:textId="4BB84730" w:rsidR="00BF2793" w:rsidRPr="002718AF" w:rsidRDefault="00BF2793" w:rsidP="00717604">
            <w:pPr>
              <w:jc w:val="center"/>
              <w:rPr>
                <w:rFonts w:ascii="Calibri" w:hAnsi="Calibri" w:cs="Calibri"/>
                <w:b/>
                <w:bCs/>
                <w:color w:val="000000"/>
                <w:szCs w:val="18"/>
              </w:rPr>
            </w:pPr>
            <w:r w:rsidRPr="002718AF">
              <w:rPr>
                <w:rFonts w:ascii="Calibri" w:hAnsi="Calibri" w:cs="Calibri"/>
                <w:b/>
                <w:bCs/>
                <w:color w:val="000000"/>
                <w:szCs w:val="18"/>
              </w:rPr>
              <w:t>~</w:t>
            </w:r>
            <w:r w:rsidR="00D527C8">
              <w:rPr>
                <w:rFonts w:ascii="Calibri" w:hAnsi="Calibri" w:cs="Calibri"/>
                <w:b/>
                <w:bCs/>
                <w:color w:val="000000"/>
                <w:szCs w:val="18"/>
              </w:rPr>
              <w:t xml:space="preserve"> </w:t>
            </w:r>
            <w:r w:rsidR="00D527C8" w:rsidRPr="008552A8">
              <w:rPr>
                <w:rFonts w:cstheme="minorHAnsi"/>
                <w:b/>
                <w:bCs/>
                <w:color w:val="000000"/>
                <w:sz w:val="14"/>
                <w:szCs w:val="14"/>
              </w:rPr>
              <w:t>(</w:t>
            </w:r>
            <w:r w:rsidR="00C062B3">
              <w:rPr>
                <w:rFonts w:cstheme="minorHAnsi"/>
                <w:b/>
                <w:bCs/>
                <w:color w:val="000000"/>
                <w:sz w:val="14"/>
                <w:szCs w:val="14"/>
              </w:rPr>
              <w:t>steady/no clear trend</w:t>
            </w:r>
            <w:r w:rsidR="00D527C8" w:rsidRPr="008552A8">
              <w:rPr>
                <w:rFonts w:cstheme="minorHAnsi"/>
                <w:b/>
                <w:bCs/>
                <w:color w:val="000000"/>
                <w:sz w:val="14"/>
                <w:szCs w:val="14"/>
              </w:rPr>
              <w:t>)</w:t>
            </w:r>
          </w:p>
        </w:tc>
      </w:tr>
      <w:tr w:rsidR="00BF2793" w14:paraId="2F2D16D6" w14:textId="77777777" w:rsidTr="00717604">
        <w:trPr>
          <w:trHeight w:val="284"/>
        </w:trPr>
        <w:tc>
          <w:tcPr>
            <w:tcW w:w="0" w:type="auto"/>
            <w:gridSpan w:val="7"/>
            <w:tcBorders>
              <w:top w:val="nil"/>
              <w:left w:val="nil"/>
              <w:bottom w:val="nil"/>
              <w:right w:val="nil"/>
            </w:tcBorders>
            <w:shd w:val="clear" w:color="000000" w:fill="D9D9D9"/>
            <w:noWrap/>
            <w:tcMar>
              <w:top w:w="15" w:type="dxa"/>
              <w:left w:w="15" w:type="dxa"/>
              <w:bottom w:w="0" w:type="dxa"/>
              <w:right w:w="15" w:type="dxa"/>
            </w:tcMar>
            <w:vAlign w:val="center"/>
            <w:hideMark/>
          </w:tcPr>
          <w:p w14:paraId="6C1CFD44" w14:textId="77777777" w:rsidR="00BF2793" w:rsidRPr="002718AF" w:rsidRDefault="00BF2793" w:rsidP="00717604">
            <w:pPr>
              <w:pStyle w:val="TableTextSmall"/>
              <w:rPr>
                <w:b/>
              </w:rPr>
            </w:pPr>
            <w:r w:rsidRPr="002718AF">
              <w:rPr>
                <w:b/>
              </w:rPr>
              <w:t>Supporting Outcome 5: Indigenous children are supported and safe in their families and communities</w:t>
            </w:r>
          </w:p>
        </w:tc>
      </w:tr>
      <w:tr w:rsidR="004D0CEB" w14:paraId="00F6E148" w14:textId="77777777" w:rsidTr="00233EB0">
        <w:trPr>
          <w:trHeight w:val="568"/>
        </w:trPr>
        <w:tc>
          <w:tcPr>
            <w:tcW w:w="1364" w:type="dxa"/>
            <w:tcBorders>
              <w:top w:val="nil"/>
              <w:left w:val="nil"/>
              <w:bottom w:val="nil"/>
              <w:right w:val="nil"/>
            </w:tcBorders>
            <w:shd w:val="clear" w:color="auto" w:fill="auto"/>
            <w:tcMar>
              <w:top w:w="15" w:type="dxa"/>
              <w:left w:w="135" w:type="dxa"/>
              <w:bottom w:w="0" w:type="dxa"/>
              <w:right w:w="15" w:type="dxa"/>
            </w:tcMar>
            <w:vAlign w:val="center"/>
            <w:hideMark/>
          </w:tcPr>
          <w:p w14:paraId="6FD1D067" w14:textId="77777777" w:rsidR="00BF2793" w:rsidRPr="002718AF" w:rsidRDefault="00BF2793" w:rsidP="00717604">
            <w:pPr>
              <w:pStyle w:val="TableTextSmall"/>
            </w:pPr>
            <w:r w:rsidRPr="002718AF">
              <w:t>Placement of Indigenous children (relatives/kin)</w:t>
            </w:r>
          </w:p>
        </w:tc>
        <w:tc>
          <w:tcPr>
            <w:tcW w:w="2038" w:type="dxa"/>
            <w:tcBorders>
              <w:top w:val="nil"/>
              <w:left w:val="nil"/>
              <w:bottom w:val="nil"/>
              <w:right w:val="nil"/>
            </w:tcBorders>
            <w:shd w:val="clear" w:color="auto" w:fill="auto"/>
            <w:tcMar>
              <w:top w:w="15" w:type="dxa"/>
              <w:left w:w="15" w:type="dxa"/>
              <w:bottom w:w="0" w:type="dxa"/>
              <w:right w:w="15" w:type="dxa"/>
            </w:tcMar>
            <w:vAlign w:val="center"/>
            <w:hideMark/>
          </w:tcPr>
          <w:p w14:paraId="5F34F641" w14:textId="77777777" w:rsidR="00BF2793" w:rsidRPr="002718AF" w:rsidRDefault="00BF2793" w:rsidP="00717604">
            <w:pPr>
              <w:pStyle w:val="TableTextSmall"/>
            </w:pPr>
            <w:r w:rsidRPr="002718AF">
              <w:t>Proportion of Indigenous children aged 0–17 years in out-of-home care placed with extended family or other Indigenous caregivers</w:t>
            </w:r>
          </w:p>
        </w:tc>
        <w:tc>
          <w:tcPr>
            <w:tcW w:w="1285" w:type="dxa"/>
            <w:tcBorders>
              <w:top w:val="nil"/>
              <w:left w:val="nil"/>
              <w:bottom w:val="nil"/>
              <w:right w:val="nil"/>
            </w:tcBorders>
            <w:shd w:val="clear" w:color="auto" w:fill="auto"/>
            <w:noWrap/>
            <w:tcMar>
              <w:top w:w="15" w:type="dxa"/>
              <w:left w:w="15" w:type="dxa"/>
              <w:bottom w:w="0" w:type="dxa"/>
              <w:right w:w="15" w:type="dxa"/>
            </w:tcMar>
            <w:vAlign w:val="center"/>
            <w:hideMark/>
          </w:tcPr>
          <w:p w14:paraId="0DD7F8C1" w14:textId="77777777" w:rsidR="00BF2793" w:rsidRPr="002718AF" w:rsidRDefault="00BF2793" w:rsidP="00717604">
            <w:pPr>
              <w:pStyle w:val="TableTextSmall"/>
            </w:pPr>
            <w:r w:rsidRPr="002718AF">
              <w:t>2010</w:t>
            </w:r>
          </w:p>
        </w:tc>
        <w:tc>
          <w:tcPr>
            <w:tcW w:w="1130" w:type="dxa"/>
            <w:tcBorders>
              <w:top w:val="nil"/>
              <w:left w:val="nil"/>
              <w:bottom w:val="nil"/>
              <w:right w:val="nil"/>
            </w:tcBorders>
            <w:shd w:val="clear" w:color="auto" w:fill="auto"/>
            <w:noWrap/>
            <w:tcMar>
              <w:top w:w="15" w:type="dxa"/>
              <w:left w:w="15" w:type="dxa"/>
              <w:bottom w:w="0" w:type="dxa"/>
              <w:right w:w="15" w:type="dxa"/>
            </w:tcMar>
            <w:vAlign w:val="center"/>
            <w:hideMark/>
          </w:tcPr>
          <w:p w14:paraId="316EAF20" w14:textId="77777777" w:rsidR="00BF2793" w:rsidRPr="002718AF" w:rsidRDefault="00BF2793" w:rsidP="00717604">
            <w:pPr>
              <w:pStyle w:val="TableTextSmall"/>
            </w:pPr>
            <w:r w:rsidRPr="002718AF">
              <w:t>70.5%</w:t>
            </w:r>
          </w:p>
        </w:tc>
        <w:tc>
          <w:tcPr>
            <w:tcW w:w="1233" w:type="dxa"/>
            <w:tcBorders>
              <w:top w:val="nil"/>
              <w:left w:val="nil"/>
              <w:bottom w:val="nil"/>
              <w:right w:val="nil"/>
            </w:tcBorders>
            <w:shd w:val="clear" w:color="auto" w:fill="auto"/>
            <w:noWrap/>
            <w:tcMar>
              <w:top w:w="15" w:type="dxa"/>
              <w:left w:w="15" w:type="dxa"/>
              <w:bottom w:w="0" w:type="dxa"/>
              <w:right w:w="15" w:type="dxa"/>
            </w:tcMar>
            <w:vAlign w:val="center"/>
            <w:hideMark/>
          </w:tcPr>
          <w:p w14:paraId="7E411C23" w14:textId="77777777" w:rsidR="00BF2793" w:rsidRPr="002718AF" w:rsidRDefault="00BF2793" w:rsidP="00717604">
            <w:pPr>
              <w:pStyle w:val="TableTextSmall"/>
            </w:pPr>
            <w:r w:rsidRPr="002718AF">
              <w:t>2018</w:t>
            </w:r>
          </w:p>
        </w:tc>
        <w:tc>
          <w:tcPr>
            <w:tcW w:w="1165" w:type="dxa"/>
            <w:tcBorders>
              <w:top w:val="nil"/>
              <w:left w:val="nil"/>
              <w:bottom w:val="nil"/>
              <w:right w:val="nil"/>
            </w:tcBorders>
            <w:shd w:val="clear" w:color="auto" w:fill="auto"/>
            <w:noWrap/>
            <w:tcMar>
              <w:top w:w="15" w:type="dxa"/>
              <w:left w:w="15" w:type="dxa"/>
              <w:bottom w:w="0" w:type="dxa"/>
              <w:right w:w="15" w:type="dxa"/>
            </w:tcMar>
            <w:vAlign w:val="center"/>
            <w:hideMark/>
          </w:tcPr>
          <w:p w14:paraId="22E16FCA" w14:textId="77777777" w:rsidR="00BF2793" w:rsidRPr="002718AF" w:rsidRDefault="00BF2793" w:rsidP="00717604">
            <w:pPr>
              <w:pStyle w:val="TableTextSmall"/>
            </w:pPr>
            <w:r w:rsidRPr="002718AF">
              <w:t>65.2%</w:t>
            </w:r>
          </w:p>
        </w:tc>
        <w:tc>
          <w:tcPr>
            <w:tcW w:w="1650" w:type="dxa"/>
            <w:tcBorders>
              <w:top w:val="nil"/>
              <w:left w:val="nil"/>
              <w:bottom w:val="nil"/>
              <w:right w:val="nil"/>
            </w:tcBorders>
            <w:shd w:val="clear" w:color="auto" w:fill="auto"/>
            <w:noWrap/>
            <w:tcMar>
              <w:top w:w="15" w:type="dxa"/>
              <w:left w:w="15" w:type="dxa"/>
              <w:bottom w:w="0" w:type="dxa"/>
              <w:right w:w="15" w:type="dxa"/>
            </w:tcMar>
            <w:vAlign w:val="center"/>
            <w:hideMark/>
          </w:tcPr>
          <w:p w14:paraId="3D8A62A3" w14:textId="778FD5E6" w:rsidR="00BF2793" w:rsidRPr="002718AF" w:rsidRDefault="00BF2793" w:rsidP="00717604">
            <w:pPr>
              <w:jc w:val="center"/>
              <w:rPr>
                <w:rFonts w:ascii="Calibri" w:hAnsi="Calibri" w:cs="Calibri"/>
                <w:b/>
                <w:bCs/>
                <w:color w:val="000000"/>
                <w:szCs w:val="18"/>
              </w:rPr>
            </w:pPr>
            <w:r w:rsidRPr="002718AF">
              <w:rPr>
                <w:rFonts w:ascii="Calibri" w:hAnsi="Calibri" w:cs="Calibri"/>
                <w:b/>
                <w:bCs/>
                <w:color w:val="000000"/>
                <w:szCs w:val="18"/>
              </w:rPr>
              <w:t>~</w:t>
            </w:r>
            <w:r w:rsidR="00D527C8">
              <w:rPr>
                <w:rFonts w:ascii="Calibri" w:hAnsi="Calibri" w:cs="Calibri"/>
                <w:b/>
                <w:bCs/>
                <w:color w:val="000000"/>
                <w:szCs w:val="18"/>
              </w:rPr>
              <w:t xml:space="preserve"> </w:t>
            </w:r>
            <w:r w:rsidR="00D527C8" w:rsidRPr="008552A8">
              <w:rPr>
                <w:rFonts w:cstheme="minorHAnsi"/>
                <w:b/>
                <w:bCs/>
                <w:color w:val="000000"/>
                <w:sz w:val="14"/>
                <w:szCs w:val="14"/>
              </w:rPr>
              <w:t>(</w:t>
            </w:r>
            <w:r w:rsidR="00C062B3">
              <w:rPr>
                <w:rFonts w:cstheme="minorHAnsi"/>
                <w:b/>
                <w:bCs/>
                <w:color w:val="000000"/>
                <w:sz w:val="14"/>
                <w:szCs w:val="14"/>
              </w:rPr>
              <w:t>steady/no clear trend</w:t>
            </w:r>
            <w:r w:rsidR="00D527C8" w:rsidRPr="008552A8">
              <w:rPr>
                <w:rFonts w:cstheme="minorHAnsi"/>
                <w:b/>
                <w:bCs/>
                <w:color w:val="000000"/>
                <w:sz w:val="14"/>
                <w:szCs w:val="14"/>
              </w:rPr>
              <w:t>)</w:t>
            </w:r>
          </w:p>
        </w:tc>
      </w:tr>
      <w:tr w:rsidR="00BF2793" w14:paraId="5617D48A" w14:textId="77777777" w:rsidTr="00717604">
        <w:trPr>
          <w:trHeight w:val="284"/>
        </w:trPr>
        <w:tc>
          <w:tcPr>
            <w:tcW w:w="0" w:type="auto"/>
            <w:gridSpan w:val="7"/>
            <w:tcBorders>
              <w:top w:val="nil"/>
              <w:left w:val="nil"/>
              <w:bottom w:val="nil"/>
              <w:right w:val="nil"/>
            </w:tcBorders>
            <w:shd w:val="clear" w:color="000000" w:fill="D9D9D9"/>
            <w:noWrap/>
            <w:tcMar>
              <w:top w:w="15" w:type="dxa"/>
              <w:left w:w="15" w:type="dxa"/>
              <w:bottom w:w="0" w:type="dxa"/>
              <w:right w:w="15" w:type="dxa"/>
            </w:tcMar>
            <w:vAlign w:val="center"/>
            <w:hideMark/>
          </w:tcPr>
          <w:p w14:paraId="1A2D475F" w14:textId="77777777" w:rsidR="00BF2793" w:rsidRPr="002718AF" w:rsidRDefault="00BF2793" w:rsidP="00717604">
            <w:pPr>
              <w:pStyle w:val="TableTextSmall"/>
              <w:rPr>
                <w:b/>
              </w:rPr>
            </w:pPr>
            <w:r w:rsidRPr="002718AF">
              <w:rPr>
                <w:b/>
              </w:rPr>
              <w:t>Supporting Outcome 6: Child sexual abuse and exploitation is prevented and survivors receive adequate support</w:t>
            </w:r>
          </w:p>
        </w:tc>
      </w:tr>
      <w:tr w:rsidR="004D0CEB" w14:paraId="41AD042F" w14:textId="77777777" w:rsidTr="00233EB0">
        <w:trPr>
          <w:trHeight w:val="568"/>
        </w:trPr>
        <w:tc>
          <w:tcPr>
            <w:tcW w:w="1364" w:type="dxa"/>
            <w:tcBorders>
              <w:top w:val="nil"/>
              <w:left w:val="nil"/>
              <w:bottom w:val="single" w:sz="4" w:space="0" w:color="808080"/>
              <w:right w:val="nil"/>
            </w:tcBorders>
            <w:shd w:val="clear" w:color="auto" w:fill="auto"/>
            <w:tcMar>
              <w:top w:w="15" w:type="dxa"/>
              <w:left w:w="135" w:type="dxa"/>
              <w:bottom w:w="0" w:type="dxa"/>
              <w:right w:w="15" w:type="dxa"/>
            </w:tcMar>
            <w:vAlign w:val="center"/>
            <w:hideMark/>
          </w:tcPr>
          <w:p w14:paraId="6B418CFB" w14:textId="77777777" w:rsidR="00BF2793" w:rsidRPr="002718AF" w:rsidRDefault="00BF2793" w:rsidP="00717604">
            <w:pPr>
              <w:pStyle w:val="TableTextSmall"/>
            </w:pPr>
            <w:r w:rsidRPr="002718AF">
              <w:t>Sexual abuse substantiations</w:t>
            </w:r>
          </w:p>
        </w:tc>
        <w:tc>
          <w:tcPr>
            <w:tcW w:w="2038" w:type="dxa"/>
            <w:tcBorders>
              <w:top w:val="nil"/>
              <w:left w:val="nil"/>
              <w:bottom w:val="single" w:sz="4" w:space="0" w:color="808080"/>
              <w:right w:val="nil"/>
            </w:tcBorders>
            <w:shd w:val="clear" w:color="auto" w:fill="auto"/>
            <w:tcMar>
              <w:top w:w="15" w:type="dxa"/>
              <w:left w:w="15" w:type="dxa"/>
              <w:bottom w:w="0" w:type="dxa"/>
              <w:right w:w="15" w:type="dxa"/>
            </w:tcMar>
            <w:vAlign w:val="center"/>
            <w:hideMark/>
          </w:tcPr>
          <w:p w14:paraId="4CCA6F6C" w14:textId="77777777" w:rsidR="00BF2793" w:rsidRPr="002718AF" w:rsidRDefault="00BF2793" w:rsidP="00717604">
            <w:pPr>
              <w:pStyle w:val="TableTextSmall"/>
            </w:pPr>
            <w:r w:rsidRPr="002718AF">
              <w:t>Rate of children aged 0–17 years who were the subject of a child protection substantiation for sexual abuse</w:t>
            </w:r>
          </w:p>
        </w:tc>
        <w:tc>
          <w:tcPr>
            <w:tcW w:w="1285"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0D214DFE" w14:textId="77777777" w:rsidR="00BF2793" w:rsidRPr="002718AF" w:rsidRDefault="00BF2793" w:rsidP="00717604">
            <w:pPr>
              <w:pStyle w:val="TableTextSmall"/>
            </w:pPr>
            <w:r w:rsidRPr="002718AF">
              <w:t>2012–13</w:t>
            </w:r>
          </w:p>
        </w:tc>
        <w:tc>
          <w:tcPr>
            <w:tcW w:w="1130"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51B9AEE3" w14:textId="77777777" w:rsidR="00BF2793" w:rsidRPr="002718AF" w:rsidRDefault="00BF2793" w:rsidP="00717604">
            <w:pPr>
              <w:pStyle w:val="TableTextSmall"/>
            </w:pPr>
            <w:r w:rsidRPr="002718AF">
              <w:t>0.8 (per 1,000)</w:t>
            </w:r>
          </w:p>
        </w:tc>
        <w:tc>
          <w:tcPr>
            <w:tcW w:w="1233"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5B771B59" w14:textId="77777777" w:rsidR="00BF2793" w:rsidRPr="002718AF" w:rsidRDefault="00BF2793" w:rsidP="00717604">
            <w:pPr>
              <w:pStyle w:val="TableTextSmall"/>
            </w:pPr>
            <w:r w:rsidRPr="002718AF">
              <w:t>2017–18</w:t>
            </w:r>
          </w:p>
        </w:tc>
        <w:tc>
          <w:tcPr>
            <w:tcW w:w="1165"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0360F9DB" w14:textId="77777777" w:rsidR="00BF2793" w:rsidRPr="002718AF" w:rsidRDefault="00BF2793" w:rsidP="00717604">
            <w:pPr>
              <w:pStyle w:val="TableTextSmall"/>
            </w:pPr>
            <w:r w:rsidRPr="002718AF">
              <w:t>0.9 (per 1,000)</w:t>
            </w:r>
          </w:p>
        </w:tc>
        <w:tc>
          <w:tcPr>
            <w:tcW w:w="1650" w:type="dxa"/>
            <w:tcBorders>
              <w:top w:val="nil"/>
              <w:left w:val="nil"/>
              <w:bottom w:val="single" w:sz="4" w:space="0" w:color="808080"/>
              <w:right w:val="nil"/>
            </w:tcBorders>
            <w:shd w:val="clear" w:color="auto" w:fill="auto"/>
            <w:noWrap/>
            <w:tcMar>
              <w:top w:w="15" w:type="dxa"/>
              <w:left w:w="15" w:type="dxa"/>
              <w:bottom w:w="0" w:type="dxa"/>
              <w:right w:w="15" w:type="dxa"/>
            </w:tcMar>
            <w:vAlign w:val="center"/>
            <w:hideMark/>
          </w:tcPr>
          <w:p w14:paraId="3A5DF5D7" w14:textId="640DD41C" w:rsidR="00BF2793" w:rsidRPr="002718AF" w:rsidRDefault="00BF2793" w:rsidP="00717604">
            <w:pPr>
              <w:jc w:val="center"/>
              <w:rPr>
                <w:rFonts w:ascii="Calibri" w:hAnsi="Calibri" w:cs="Calibri"/>
                <w:b/>
                <w:bCs/>
                <w:color w:val="000000"/>
                <w:szCs w:val="18"/>
              </w:rPr>
            </w:pPr>
            <w:r w:rsidRPr="002718AF">
              <w:rPr>
                <w:rFonts w:ascii="Calibri" w:hAnsi="Calibri" w:cs="Calibri"/>
                <w:b/>
                <w:bCs/>
                <w:color w:val="000000"/>
                <w:szCs w:val="18"/>
              </w:rPr>
              <w:t>~</w:t>
            </w:r>
            <w:r w:rsidR="00D527C8">
              <w:rPr>
                <w:rFonts w:ascii="Calibri" w:hAnsi="Calibri" w:cs="Calibri"/>
                <w:b/>
                <w:bCs/>
                <w:color w:val="000000"/>
                <w:szCs w:val="18"/>
              </w:rPr>
              <w:t xml:space="preserve"> </w:t>
            </w:r>
            <w:r w:rsidR="00D527C8" w:rsidRPr="008552A8">
              <w:rPr>
                <w:rFonts w:cstheme="minorHAnsi"/>
                <w:b/>
                <w:bCs/>
                <w:color w:val="000000"/>
                <w:sz w:val="14"/>
                <w:szCs w:val="14"/>
              </w:rPr>
              <w:t>(</w:t>
            </w:r>
            <w:r w:rsidR="00C062B3">
              <w:rPr>
                <w:rFonts w:cstheme="minorHAnsi"/>
                <w:b/>
                <w:bCs/>
                <w:color w:val="000000"/>
                <w:sz w:val="14"/>
                <w:szCs w:val="14"/>
              </w:rPr>
              <w:t>steady/no clear trend</w:t>
            </w:r>
            <w:r w:rsidR="00D527C8" w:rsidRPr="008552A8">
              <w:rPr>
                <w:rFonts w:cstheme="minorHAnsi"/>
                <w:b/>
                <w:bCs/>
                <w:color w:val="000000"/>
                <w:sz w:val="14"/>
                <w:szCs w:val="14"/>
              </w:rPr>
              <w:t>)</w:t>
            </w:r>
          </w:p>
        </w:tc>
      </w:tr>
      <w:tr w:rsidR="004D0CEB" w14:paraId="68850872" w14:textId="77777777" w:rsidTr="00233EB0">
        <w:trPr>
          <w:trHeight w:val="568"/>
        </w:trPr>
        <w:tc>
          <w:tcPr>
            <w:tcW w:w="1364" w:type="dxa"/>
            <w:tcBorders>
              <w:top w:val="nil"/>
              <w:left w:val="nil"/>
              <w:bottom w:val="single" w:sz="4" w:space="0" w:color="auto"/>
              <w:right w:val="nil"/>
            </w:tcBorders>
            <w:shd w:val="clear" w:color="auto" w:fill="auto"/>
            <w:tcMar>
              <w:top w:w="15" w:type="dxa"/>
              <w:left w:w="135" w:type="dxa"/>
              <w:bottom w:w="0" w:type="dxa"/>
              <w:right w:w="15" w:type="dxa"/>
            </w:tcMar>
            <w:vAlign w:val="center"/>
            <w:hideMark/>
          </w:tcPr>
          <w:p w14:paraId="25865911" w14:textId="77777777" w:rsidR="00BF2793" w:rsidRPr="00FA3E74" w:rsidRDefault="00BF2793" w:rsidP="00717604">
            <w:pPr>
              <w:pStyle w:val="TableTextSmall"/>
            </w:pPr>
            <w:r w:rsidRPr="00FA3E74">
              <w:t>Child sexual assault</w:t>
            </w:r>
          </w:p>
        </w:tc>
        <w:tc>
          <w:tcPr>
            <w:tcW w:w="2038" w:type="dxa"/>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2E139A6C" w14:textId="77777777" w:rsidR="00BF2793" w:rsidRPr="00FA3E74" w:rsidRDefault="00BF2793" w:rsidP="00717604">
            <w:pPr>
              <w:pStyle w:val="TableTextSmall"/>
            </w:pPr>
            <w:r w:rsidRPr="00FA3E74">
              <w:t>Rate of children aged 0–14 years who have been the victim of sexual assault</w:t>
            </w:r>
          </w:p>
        </w:tc>
        <w:tc>
          <w:tcPr>
            <w:tcW w:w="128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117F262" w14:textId="77777777" w:rsidR="00BF2793" w:rsidRPr="00FA3E74" w:rsidRDefault="00BF2793" w:rsidP="00717604">
            <w:pPr>
              <w:pStyle w:val="TableTextSmall"/>
            </w:pPr>
            <w:r w:rsidRPr="00FA3E74">
              <w:t>2010</w:t>
            </w:r>
          </w:p>
        </w:tc>
        <w:tc>
          <w:tcPr>
            <w:tcW w:w="113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EBA6893" w14:textId="77777777" w:rsidR="00BF2793" w:rsidRPr="00FA3E74" w:rsidRDefault="00BF2793" w:rsidP="00717604">
            <w:pPr>
              <w:pStyle w:val="TableTextSmall"/>
            </w:pPr>
            <w:r w:rsidRPr="00FA3E74">
              <w:t>210.3 (per 100,000)</w:t>
            </w:r>
          </w:p>
        </w:tc>
        <w:tc>
          <w:tcPr>
            <w:tcW w:w="1233"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04ABA79" w14:textId="77777777" w:rsidR="00BF2793" w:rsidRPr="00FA3E74" w:rsidRDefault="00BF2793" w:rsidP="00717604">
            <w:pPr>
              <w:pStyle w:val="TableTextSmall"/>
            </w:pPr>
            <w:r w:rsidRPr="00FA3E74">
              <w:t>2017</w:t>
            </w:r>
          </w:p>
        </w:tc>
        <w:tc>
          <w:tcPr>
            <w:tcW w:w="116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DE0A374" w14:textId="77777777" w:rsidR="00BF2793" w:rsidRPr="00FA3E74" w:rsidRDefault="00BF2793" w:rsidP="00717604">
            <w:pPr>
              <w:pStyle w:val="TableTextSmall"/>
            </w:pPr>
            <w:r w:rsidRPr="00FA3E74">
              <w:t>202.8 (per 100,000)</w:t>
            </w:r>
          </w:p>
        </w:tc>
        <w:tc>
          <w:tcPr>
            <w:tcW w:w="1650"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DEB5769" w14:textId="018F243F" w:rsidR="00BF2793" w:rsidRPr="002718AF" w:rsidRDefault="00BF2793" w:rsidP="00717604">
            <w:pPr>
              <w:jc w:val="center"/>
              <w:rPr>
                <w:rFonts w:ascii="Calibri" w:hAnsi="Calibri" w:cs="Calibri"/>
                <w:b/>
                <w:bCs/>
                <w:color w:val="000000"/>
                <w:szCs w:val="18"/>
              </w:rPr>
            </w:pPr>
            <w:r w:rsidRPr="00FA3E74">
              <w:rPr>
                <w:rFonts w:ascii="Calibri" w:hAnsi="Calibri" w:cs="Calibri"/>
                <w:b/>
                <w:bCs/>
                <w:color w:val="000000"/>
                <w:szCs w:val="18"/>
              </w:rPr>
              <w:t>~</w:t>
            </w:r>
            <w:r w:rsidR="00D527C8">
              <w:rPr>
                <w:rFonts w:ascii="Calibri" w:hAnsi="Calibri" w:cs="Calibri"/>
                <w:b/>
                <w:bCs/>
                <w:color w:val="000000"/>
                <w:szCs w:val="18"/>
              </w:rPr>
              <w:t xml:space="preserve"> </w:t>
            </w:r>
            <w:r w:rsidR="00D527C8" w:rsidRPr="008552A8">
              <w:rPr>
                <w:rFonts w:cstheme="minorHAnsi"/>
                <w:b/>
                <w:bCs/>
                <w:color w:val="000000"/>
                <w:sz w:val="14"/>
                <w:szCs w:val="14"/>
              </w:rPr>
              <w:t>(</w:t>
            </w:r>
            <w:r w:rsidR="00C062B3">
              <w:rPr>
                <w:rFonts w:cstheme="minorHAnsi"/>
                <w:b/>
                <w:bCs/>
                <w:color w:val="000000"/>
                <w:sz w:val="14"/>
                <w:szCs w:val="14"/>
              </w:rPr>
              <w:t>steady/no clear trend</w:t>
            </w:r>
            <w:r w:rsidR="00D527C8" w:rsidRPr="008552A8">
              <w:rPr>
                <w:rFonts w:cstheme="minorHAnsi"/>
                <w:b/>
                <w:bCs/>
                <w:color w:val="000000"/>
                <w:sz w:val="14"/>
                <w:szCs w:val="14"/>
              </w:rPr>
              <w:t>)</w:t>
            </w:r>
          </w:p>
        </w:tc>
      </w:tr>
    </w:tbl>
    <w:p w14:paraId="52A1EB2F" w14:textId="77777777" w:rsidR="00BF2793" w:rsidRPr="00FA3E74" w:rsidRDefault="00B25820" w:rsidP="00B25820">
      <w:pPr>
        <w:pStyle w:val="PwCNormal"/>
        <w:numPr>
          <w:ilvl w:val="0"/>
          <w:numId w:val="0"/>
        </w:numPr>
        <w:rPr>
          <w:sz w:val="16"/>
          <w:szCs w:val="18"/>
        </w:rPr>
      </w:pPr>
      <w:r w:rsidRPr="00FA3E74">
        <w:rPr>
          <w:sz w:val="16"/>
          <w:szCs w:val="18"/>
        </w:rPr>
        <w:t xml:space="preserve">*Note: baseline years vary </w:t>
      </w:r>
      <w:r w:rsidR="002718AF" w:rsidRPr="00FA3E74">
        <w:rPr>
          <w:sz w:val="16"/>
          <w:szCs w:val="18"/>
        </w:rPr>
        <w:t xml:space="preserve">between data indicators due to differences in data collection and baselining methods. </w:t>
      </w:r>
    </w:p>
    <w:p w14:paraId="28C847E3" w14:textId="77777777" w:rsidR="00787C2E" w:rsidRDefault="00787C2E" w:rsidP="00787C2E">
      <w:pPr>
        <w:pStyle w:val="PwCNormal"/>
        <w:numPr>
          <w:ilvl w:val="0"/>
          <w:numId w:val="0"/>
        </w:numPr>
      </w:pPr>
    </w:p>
    <w:p w14:paraId="267A92D4" w14:textId="77777777" w:rsidR="00787C2E" w:rsidRPr="00787C2E" w:rsidRDefault="00787C2E" w:rsidP="00787C2E">
      <w:pPr>
        <w:pStyle w:val="PwCNormal"/>
        <w:numPr>
          <w:ilvl w:val="0"/>
          <w:numId w:val="0"/>
        </w:numPr>
        <w:sectPr w:rsidR="00787C2E" w:rsidRPr="00787C2E" w:rsidSect="00F04A55">
          <w:headerReference w:type="even" r:id="rId38"/>
          <w:headerReference w:type="default" r:id="rId39"/>
          <w:footerReference w:type="even" r:id="rId40"/>
          <w:footerReference w:type="default" r:id="rId41"/>
          <w:headerReference w:type="first" r:id="rId42"/>
          <w:footerReference w:type="first" r:id="rId43"/>
          <w:pgSz w:w="11907" w:h="16840" w:code="9"/>
          <w:pgMar w:top="1588" w:right="1021" w:bottom="1418" w:left="1021" w:header="567" w:footer="567" w:gutter="0"/>
          <w:cols w:space="227"/>
          <w:docGrid w:linePitch="360"/>
        </w:sectPr>
      </w:pPr>
    </w:p>
    <w:p w14:paraId="475F8DCE" w14:textId="77777777" w:rsidR="00663019" w:rsidRPr="00663019" w:rsidRDefault="00663019" w:rsidP="00B95734">
      <w:pPr>
        <w:pStyle w:val="Heading2"/>
        <w:numPr>
          <w:ilvl w:val="1"/>
          <w:numId w:val="43"/>
        </w:numPr>
      </w:pPr>
      <w:bookmarkStart w:id="126" w:name="_Toc42842758"/>
      <w:bookmarkStart w:id="127" w:name="_Toc42847840"/>
      <w:bookmarkStart w:id="128" w:name="_Ref31231203"/>
      <w:bookmarkStart w:id="129" w:name="_Ref31239671"/>
      <w:bookmarkStart w:id="130" w:name="_Ref31239694"/>
      <w:bookmarkStart w:id="131" w:name="_Ref31239803"/>
      <w:bookmarkStart w:id="132" w:name="_Ref31239900"/>
      <w:bookmarkStart w:id="133" w:name="_Ref31294445"/>
      <w:bookmarkStart w:id="134" w:name="_Ref31294472"/>
      <w:bookmarkStart w:id="135" w:name="_Toc28860326"/>
      <w:bookmarkStart w:id="136" w:name="_Toc30582386"/>
      <w:r w:rsidRPr="00663019">
        <w:lastRenderedPageBreak/>
        <w:t xml:space="preserve">Evaluation question </w:t>
      </w:r>
      <w:r w:rsidR="005B735B">
        <w:t>1</w:t>
      </w:r>
      <w:r w:rsidRPr="00663019">
        <w:t>:</w:t>
      </w:r>
      <w:r w:rsidR="00620786">
        <w:t xml:space="preserve"> </w:t>
      </w:r>
      <w:r w:rsidRPr="00663019">
        <w:t>To what extent did the National Framework achieve its intended outcomes and what factors supported or inhibited outcomes?</w:t>
      </w:r>
      <w:bookmarkEnd w:id="126"/>
      <w:bookmarkEnd w:id="127"/>
    </w:p>
    <w:p w14:paraId="37CFF9EB" w14:textId="77777777" w:rsidR="00663019" w:rsidRDefault="00663019" w:rsidP="00663019">
      <w:pPr>
        <w:pStyle w:val="PwCNormal"/>
        <w:spacing w:before="0" w:after="240" w:line="240" w:lineRule="auto"/>
        <w:ind w:left="454"/>
      </w:pPr>
    </w:p>
    <w:p w14:paraId="40B37D4B" w14:textId="77777777" w:rsidR="00663019" w:rsidRDefault="00663019" w:rsidP="00663019">
      <w:pPr>
        <w:pStyle w:val="PwCNormal"/>
        <w:spacing w:before="0" w:after="240" w:line="240" w:lineRule="auto"/>
        <w:ind w:left="454"/>
      </w:pPr>
      <w:r>
        <w:rPr>
          <w:noProof/>
          <w:lang w:eastAsia="en-AU"/>
        </w:rPr>
        <mc:AlternateContent>
          <mc:Choice Requires="wps">
            <w:drawing>
              <wp:anchor distT="45720" distB="45720" distL="114300" distR="114300" simplePos="0" relativeHeight="251662336" behindDoc="0" locked="0" layoutInCell="1" allowOverlap="1" wp14:anchorId="488E8289" wp14:editId="1E32976A">
                <wp:simplePos x="0" y="0"/>
                <wp:positionH relativeFrom="column">
                  <wp:posOffset>1351915</wp:posOffset>
                </wp:positionH>
                <wp:positionV relativeFrom="paragraph">
                  <wp:posOffset>334010</wp:posOffset>
                </wp:positionV>
                <wp:extent cx="4419600" cy="411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4114800"/>
                        </a:xfrm>
                        <a:prstGeom prst="rect">
                          <a:avLst/>
                        </a:prstGeom>
                        <a:solidFill>
                          <a:schemeClr val="accent1"/>
                        </a:solidFill>
                        <a:ln w="9525">
                          <a:noFill/>
                          <a:miter lim="800000"/>
                          <a:headEnd/>
                          <a:tailEnd/>
                        </a:ln>
                      </wps:spPr>
                      <wps:txbx>
                        <w:txbxContent>
                          <w:p w14:paraId="6E111C06" w14:textId="77777777" w:rsidR="0080000B" w:rsidRPr="008552A8" w:rsidRDefault="0080000B" w:rsidP="00620786">
                            <w:pPr>
                              <w:pStyle w:val="Divider1SubHeading"/>
                              <w:shd w:val="clear" w:color="auto" w:fill="D04A02" w:themeFill="accent1"/>
                              <w:rPr>
                                <w:rFonts w:asciiTheme="majorHAnsi" w:hAnsiTheme="majorHAnsi"/>
                                <w:i w:val="0"/>
                                <w:iCs/>
                              </w:rPr>
                            </w:pPr>
                            <w:r w:rsidRPr="008552A8">
                              <w:rPr>
                                <w:rFonts w:asciiTheme="majorHAnsi" w:hAnsiTheme="majorHAnsi"/>
                                <w:i w:val="0"/>
                                <w:iCs/>
                              </w:rPr>
                              <w:t>This chapter covers…</w:t>
                            </w:r>
                          </w:p>
                          <w:p w14:paraId="216D0F03" w14:textId="77777777" w:rsidR="0080000B" w:rsidRPr="008552A8" w:rsidRDefault="0080000B" w:rsidP="00B95734">
                            <w:pPr>
                              <w:pStyle w:val="Divider1Text"/>
                              <w:numPr>
                                <w:ilvl w:val="0"/>
                                <w:numId w:val="45"/>
                              </w:numPr>
                              <w:shd w:val="clear" w:color="auto" w:fill="D04A02" w:themeFill="accent1"/>
                              <w:spacing w:before="60" w:after="60" w:line="200" w:lineRule="atLeast"/>
                              <w:ind w:left="714" w:hanging="357"/>
                              <w:rPr>
                                <w:rFonts w:cstheme="minorHAnsi"/>
                                <w:iCs/>
                              </w:rPr>
                            </w:pPr>
                            <w:r w:rsidRPr="008552A8">
                              <w:rPr>
                                <w:rFonts w:cstheme="minorHAnsi"/>
                                <w:iCs/>
                              </w:rPr>
                              <w:t>the outcomes of the National Framework and its Third and Fourth Action Plans. Aspects of the Framework’s strengths and weaknesses and factors that supported or inhibited the achievement of outcomes are also explored. It comprises three sections:</w:t>
                            </w:r>
                          </w:p>
                          <w:p w14:paraId="6FE5B13E" w14:textId="7379E8D1" w:rsidR="0080000B" w:rsidRPr="008552A8" w:rsidRDefault="0080000B" w:rsidP="00B95734">
                            <w:pPr>
                              <w:pStyle w:val="Divider1Text"/>
                              <w:numPr>
                                <w:ilvl w:val="1"/>
                                <w:numId w:val="45"/>
                              </w:numPr>
                              <w:shd w:val="clear" w:color="auto" w:fill="D04A02" w:themeFill="accent1"/>
                              <w:spacing w:before="60" w:after="60" w:line="200" w:lineRule="atLeast"/>
                              <w:rPr>
                                <w:rFonts w:cstheme="minorHAnsi"/>
                                <w:iCs/>
                              </w:rPr>
                            </w:pPr>
                            <w:r w:rsidRPr="008552A8">
                              <w:rPr>
                                <w:rFonts w:cstheme="minorHAnsi"/>
                                <w:iCs/>
                              </w:rPr>
                              <w:t xml:space="preserve">Section </w:t>
                            </w:r>
                            <w:r w:rsidRPr="008552A8">
                              <w:rPr>
                                <w:rFonts w:cstheme="minorHAnsi"/>
                                <w:iCs/>
                              </w:rPr>
                              <w:fldChar w:fldCharType="begin"/>
                            </w:r>
                            <w:r w:rsidRPr="008552A8">
                              <w:rPr>
                                <w:rFonts w:cstheme="minorHAnsi"/>
                                <w:iCs/>
                              </w:rPr>
                              <w:instrText xml:space="preserve"> REF _Ref31296566 \n \h  \* MERGEFORMAT </w:instrText>
                            </w:r>
                            <w:r w:rsidRPr="008552A8">
                              <w:rPr>
                                <w:rFonts w:cstheme="minorHAnsi"/>
                                <w:iCs/>
                              </w:rPr>
                            </w:r>
                            <w:r w:rsidRPr="008552A8">
                              <w:rPr>
                                <w:rFonts w:cstheme="minorHAnsi"/>
                                <w:iCs/>
                              </w:rPr>
                              <w:fldChar w:fldCharType="separate"/>
                            </w:r>
                            <w:r>
                              <w:rPr>
                                <w:rFonts w:cstheme="minorHAnsi"/>
                                <w:iCs/>
                              </w:rPr>
                              <w:t>4.1</w:t>
                            </w:r>
                            <w:r w:rsidRPr="008552A8">
                              <w:rPr>
                                <w:rFonts w:cstheme="minorHAnsi"/>
                                <w:iCs/>
                              </w:rPr>
                              <w:fldChar w:fldCharType="end"/>
                            </w:r>
                            <w:r w:rsidRPr="008552A8">
                              <w:rPr>
                                <w:rFonts w:cstheme="minorHAnsi"/>
                                <w:iCs/>
                              </w:rPr>
                              <w:t xml:space="preserve"> explores the major achievements of the Framework. </w:t>
                            </w:r>
                          </w:p>
                          <w:p w14:paraId="59CD787B" w14:textId="4DAABFF3" w:rsidR="0080000B" w:rsidRPr="008552A8" w:rsidRDefault="0080000B" w:rsidP="00B95734">
                            <w:pPr>
                              <w:pStyle w:val="Divider1Text"/>
                              <w:numPr>
                                <w:ilvl w:val="1"/>
                                <w:numId w:val="45"/>
                              </w:numPr>
                              <w:shd w:val="clear" w:color="auto" w:fill="D04A02" w:themeFill="accent1"/>
                              <w:spacing w:before="60" w:after="60" w:line="200" w:lineRule="atLeast"/>
                              <w:rPr>
                                <w:rFonts w:cstheme="minorHAnsi"/>
                                <w:iCs/>
                              </w:rPr>
                            </w:pPr>
                            <w:r w:rsidRPr="008552A8">
                              <w:rPr>
                                <w:rFonts w:cstheme="minorHAnsi"/>
                                <w:iCs/>
                              </w:rPr>
                              <w:t xml:space="preserve">Section </w:t>
                            </w:r>
                            <w:r w:rsidRPr="008552A8">
                              <w:rPr>
                                <w:rFonts w:cstheme="minorHAnsi"/>
                                <w:iCs/>
                              </w:rPr>
                              <w:fldChar w:fldCharType="begin"/>
                            </w:r>
                            <w:r w:rsidRPr="008552A8">
                              <w:rPr>
                                <w:rFonts w:cstheme="minorHAnsi"/>
                                <w:iCs/>
                              </w:rPr>
                              <w:instrText xml:space="preserve"> REF _Ref31296580 \n \h  \* MERGEFORMAT </w:instrText>
                            </w:r>
                            <w:r w:rsidRPr="008552A8">
                              <w:rPr>
                                <w:rFonts w:cstheme="minorHAnsi"/>
                                <w:iCs/>
                              </w:rPr>
                            </w:r>
                            <w:r w:rsidRPr="008552A8">
                              <w:rPr>
                                <w:rFonts w:cstheme="minorHAnsi"/>
                                <w:iCs/>
                              </w:rPr>
                              <w:fldChar w:fldCharType="separate"/>
                            </w:r>
                            <w:r>
                              <w:rPr>
                                <w:rFonts w:cstheme="minorHAnsi"/>
                                <w:iCs/>
                              </w:rPr>
                              <w:t>4.2</w:t>
                            </w:r>
                            <w:r w:rsidRPr="008552A8">
                              <w:rPr>
                                <w:rFonts w:cstheme="minorHAnsi"/>
                                <w:iCs/>
                              </w:rPr>
                              <w:fldChar w:fldCharType="end"/>
                            </w:r>
                            <w:r w:rsidRPr="008552A8">
                              <w:rPr>
                                <w:rFonts w:cstheme="minorHAnsi"/>
                                <w:iCs/>
                              </w:rPr>
                              <w:t xml:space="preserve"> explores four key areas that organisations identified as important strengths, weaknesses, supports or inhibitors of achieving the outcomes of the Framework and action plans. </w:t>
                            </w:r>
                          </w:p>
                          <w:p w14:paraId="565E433F" w14:textId="57CB93F0" w:rsidR="0080000B" w:rsidRPr="008552A8" w:rsidRDefault="0080000B" w:rsidP="00B95734">
                            <w:pPr>
                              <w:pStyle w:val="Divider1Text"/>
                              <w:numPr>
                                <w:ilvl w:val="1"/>
                                <w:numId w:val="45"/>
                              </w:numPr>
                              <w:shd w:val="clear" w:color="auto" w:fill="D04A02" w:themeFill="accent1"/>
                              <w:spacing w:before="60" w:after="60" w:line="200" w:lineRule="atLeast"/>
                              <w:rPr>
                                <w:rFonts w:cstheme="minorHAnsi"/>
                                <w:iCs/>
                              </w:rPr>
                            </w:pPr>
                            <w:r w:rsidRPr="008552A8">
                              <w:rPr>
                                <w:rFonts w:cstheme="minorHAnsi"/>
                                <w:iCs/>
                              </w:rPr>
                              <w:t xml:space="preserve">Section </w:t>
                            </w:r>
                            <w:r w:rsidRPr="008552A8">
                              <w:rPr>
                                <w:rFonts w:cstheme="minorHAnsi"/>
                                <w:iCs/>
                              </w:rPr>
                              <w:fldChar w:fldCharType="begin"/>
                            </w:r>
                            <w:r w:rsidRPr="008552A8">
                              <w:rPr>
                                <w:rFonts w:cstheme="minorHAnsi"/>
                                <w:iCs/>
                              </w:rPr>
                              <w:instrText xml:space="preserve"> REF _Ref31296593 \n \h  \* MERGEFORMAT </w:instrText>
                            </w:r>
                            <w:r w:rsidRPr="008552A8">
                              <w:rPr>
                                <w:rFonts w:cstheme="minorHAnsi"/>
                                <w:iCs/>
                              </w:rPr>
                            </w:r>
                            <w:r w:rsidRPr="008552A8">
                              <w:rPr>
                                <w:rFonts w:cstheme="minorHAnsi"/>
                                <w:iCs/>
                              </w:rPr>
                              <w:fldChar w:fldCharType="separate"/>
                            </w:r>
                            <w:r>
                              <w:rPr>
                                <w:rFonts w:cstheme="minorHAnsi"/>
                                <w:iCs/>
                              </w:rPr>
                              <w:t>4.3</w:t>
                            </w:r>
                            <w:r w:rsidRPr="008552A8">
                              <w:rPr>
                                <w:rFonts w:cstheme="minorHAnsi"/>
                                <w:iCs/>
                              </w:rPr>
                              <w:fldChar w:fldCharType="end"/>
                            </w:r>
                            <w:r w:rsidRPr="008552A8">
                              <w:rPr>
                                <w:rFonts w:cstheme="minorHAnsi"/>
                                <w:iCs/>
                              </w:rPr>
                              <w:t xml:space="preserve"> explores the effectiveness of the National Framework in impacting the priorities and actions for Indigenous children.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E8289" id="_x0000_s1028" type="#_x0000_t202" style="position:absolute;left:0;text-align:left;margin-left:106.45pt;margin-top:26.3pt;width:348pt;height:32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" fillcolor="#d04a02 [3204]" stroked="f">
                <v:textbox>
                  <w:txbxContent>
                    <w:p w14:paraId="6E111C06" w14:textId="77777777" w:rsidR="0080000B" w:rsidRPr="008552A8" w:rsidRDefault="0080000B" w:rsidP="00620786">
                      <w:pPr>
                        <w:pStyle w:val="Divider1SubHeading"/>
                        <w:shd w:val="clear" w:color="auto" w:fill="D04A02" w:themeFill="accent1"/>
                        <w:rPr>
                          <w:rFonts w:asciiTheme="majorHAnsi" w:hAnsiTheme="majorHAnsi"/>
                          <w:i w:val="0"/>
                          <w:iCs/>
                        </w:rPr>
                      </w:pPr>
                      <w:r w:rsidRPr="008552A8">
                        <w:rPr>
                          <w:rFonts w:asciiTheme="majorHAnsi" w:hAnsiTheme="majorHAnsi"/>
                          <w:i w:val="0"/>
                          <w:iCs/>
                        </w:rPr>
                        <w:t>This chapter covers…</w:t>
                      </w:r>
                    </w:p>
                    <w:p w14:paraId="216D0F03" w14:textId="77777777" w:rsidR="0080000B" w:rsidRPr="008552A8" w:rsidRDefault="0080000B" w:rsidP="00B95734">
                      <w:pPr>
                        <w:pStyle w:val="Divider1Text"/>
                        <w:numPr>
                          <w:ilvl w:val="0"/>
                          <w:numId w:val="45"/>
                        </w:numPr>
                        <w:shd w:val="clear" w:color="auto" w:fill="D04A02" w:themeFill="accent1"/>
                        <w:spacing w:before="60" w:after="60" w:line="200" w:lineRule="atLeast"/>
                        <w:ind w:left="714" w:hanging="357"/>
                        <w:rPr>
                          <w:rFonts w:cstheme="minorHAnsi"/>
                          <w:iCs/>
                        </w:rPr>
                      </w:pPr>
                      <w:r w:rsidRPr="008552A8">
                        <w:rPr>
                          <w:rFonts w:cstheme="minorHAnsi"/>
                          <w:iCs/>
                        </w:rPr>
                        <w:t>the outcomes of the National Framework and its Third and Fourth Action Plans. Aspects of the Framework’s strengths and weaknesses and factors that supported or inhibited the achievement of outcomes are also explored. It comprises three sections:</w:t>
                      </w:r>
                    </w:p>
                    <w:p w14:paraId="6FE5B13E" w14:textId="7379E8D1" w:rsidR="0080000B" w:rsidRPr="008552A8" w:rsidRDefault="0080000B" w:rsidP="00B95734">
                      <w:pPr>
                        <w:pStyle w:val="Divider1Text"/>
                        <w:numPr>
                          <w:ilvl w:val="1"/>
                          <w:numId w:val="45"/>
                        </w:numPr>
                        <w:shd w:val="clear" w:color="auto" w:fill="D04A02" w:themeFill="accent1"/>
                        <w:spacing w:before="60" w:after="60" w:line="200" w:lineRule="atLeast"/>
                        <w:rPr>
                          <w:rFonts w:cstheme="minorHAnsi"/>
                          <w:iCs/>
                        </w:rPr>
                      </w:pPr>
                      <w:r w:rsidRPr="008552A8">
                        <w:rPr>
                          <w:rFonts w:cstheme="minorHAnsi"/>
                          <w:iCs/>
                        </w:rPr>
                        <w:t xml:space="preserve">Section </w:t>
                      </w:r>
                      <w:r w:rsidRPr="008552A8">
                        <w:rPr>
                          <w:rFonts w:cstheme="minorHAnsi"/>
                          <w:iCs/>
                        </w:rPr>
                        <w:fldChar w:fldCharType="begin"/>
                      </w:r>
                      <w:r w:rsidRPr="008552A8">
                        <w:rPr>
                          <w:rFonts w:cstheme="minorHAnsi"/>
                          <w:iCs/>
                        </w:rPr>
                        <w:instrText xml:space="preserve"> REF _Ref31296566 \n \h  \* MERGEFORMAT </w:instrText>
                      </w:r>
                      <w:r w:rsidRPr="008552A8">
                        <w:rPr>
                          <w:rFonts w:cstheme="minorHAnsi"/>
                          <w:iCs/>
                        </w:rPr>
                      </w:r>
                      <w:r w:rsidRPr="008552A8">
                        <w:rPr>
                          <w:rFonts w:cstheme="minorHAnsi"/>
                          <w:iCs/>
                        </w:rPr>
                        <w:fldChar w:fldCharType="separate"/>
                      </w:r>
                      <w:r>
                        <w:rPr>
                          <w:rFonts w:cstheme="minorHAnsi"/>
                          <w:iCs/>
                        </w:rPr>
                        <w:t>4.1</w:t>
                      </w:r>
                      <w:r w:rsidRPr="008552A8">
                        <w:rPr>
                          <w:rFonts w:cstheme="minorHAnsi"/>
                          <w:iCs/>
                        </w:rPr>
                        <w:fldChar w:fldCharType="end"/>
                      </w:r>
                      <w:r w:rsidRPr="008552A8">
                        <w:rPr>
                          <w:rFonts w:cstheme="minorHAnsi"/>
                          <w:iCs/>
                        </w:rPr>
                        <w:t xml:space="preserve"> explores the major achievements of the Framework. </w:t>
                      </w:r>
                    </w:p>
                    <w:p w14:paraId="59CD787B" w14:textId="4DAABFF3" w:rsidR="0080000B" w:rsidRPr="008552A8" w:rsidRDefault="0080000B" w:rsidP="00B95734">
                      <w:pPr>
                        <w:pStyle w:val="Divider1Text"/>
                        <w:numPr>
                          <w:ilvl w:val="1"/>
                          <w:numId w:val="45"/>
                        </w:numPr>
                        <w:shd w:val="clear" w:color="auto" w:fill="D04A02" w:themeFill="accent1"/>
                        <w:spacing w:before="60" w:after="60" w:line="200" w:lineRule="atLeast"/>
                        <w:rPr>
                          <w:rFonts w:cstheme="minorHAnsi"/>
                          <w:iCs/>
                        </w:rPr>
                      </w:pPr>
                      <w:r w:rsidRPr="008552A8">
                        <w:rPr>
                          <w:rFonts w:cstheme="minorHAnsi"/>
                          <w:iCs/>
                        </w:rPr>
                        <w:t xml:space="preserve">Section </w:t>
                      </w:r>
                      <w:r w:rsidRPr="008552A8">
                        <w:rPr>
                          <w:rFonts w:cstheme="minorHAnsi"/>
                          <w:iCs/>
                        </w:rPr>
                        <w:fldChar w:fldCharType="begin"/>
                      </w:r>
                      <w:r w:rsidRPr="008552A8">
                        <w:rPr>
                          <w:rFonts w:cstheme="minorHAnsi"/>
                          <w:iCs/>
                        </w:rPr>
                        <w:instrText xml:space="preserve"> REF _Ref31296580 \n \h  \* MERGEFORMAT </w:instrText>
                      </w:r>
                      <w:r w:rsidRPr="008552A8">
                        <w:rPr>
                          <w:rFonts w:cstheme="minorHAnsi"/>
                          <w:iCs/>
                        </w:rPr>
                      </w:r>
                      <w:r w:rsidRPr="008552A8">
                        <w:rPr>
                          <w:rFonts w:cstheme="minorHAnsi"/>
                          <w:iCs/>
                        </w:rPr>
                        <w:fldChar w:fldCharType="separate"/>
                      </w:r>
                      <w:r>
                        <w:rPr>
                          <w:rFonts w:cstheme="minorHAnsi"/>
                          <w:iCs/>
                        </w:rPr>
                        <w:t>4.2</w:t>
                      </w:r>
                      <w:r w:rsidRPr="008552A8">
                        <w:rPr>
                          <w:rFonts w:cstheme="minorHAnsi"/>
                          <w:iCs/>
                        </w:rPr>
                        <w:fldChar w:fldCharType="end"/>
                      </w:r>
                      <w:r w:rsidRPr="008552A8">
                        <w:rPr>
                          <w:rFonts w:cstheme="minorHAnsi"/>
                          <w:iCs/>
                        </w:rPr>
                        <w:t xml:space="preserve"> explores four key areas that organisations identified as important strengths, weaknesses, supports or inhibitors of achieving the outcomes of the Framework and action plans. </w:t>
                      </w:r>
                    </w:p>
                    <w:p w14:paraId="565E433F" w14:textId="57CB93F0" w:rsidR="0080000B" w:rsidRPr="008552A8" w:rsidRDefault="0080000B" w:rsidP="00B95734">
                      <w:pPr>
                        <w:pStyle w:val="Divider1Text"/>
                        <w:numPr>
                          <w:ilvl w:val="1"/>
                          <w:numId w:val="45"/>
                        </w:numPr>
                        <w:shd w:val="clear" w:color="auto" w:fill="D04A02" w:themeFill="accent1"/>
                        <w:spacing w:before="60" w:after="60" w:line="200" w:lineRule="atLeast"/>
                        <w:rPr>
                          <w:rFonts w:cstheme="minorHAnsi"/>
                          <w:iCs/>
                        </w:rPr>
                      </w:pPr>
                      <w:r w:rsidRPr="008552A8">
                        <w:rPr>
                          <w:rFonts w:cstheme="minorHAnsi"/>
                          <w:iCs/>
                        </w:rPr>
                        <w:t xml:space="preserve">Section </w:t>
                      </w:r>
                      <w:r w:rsidRPr="008552A8">
                        <w:rPr>
                          <w:rFonts w:cstheme="minorHAnsi"/>
                          <w:iCs/>
                        </w:rPr>
                        <w:fldChar w:fldCharType="begin"/>
                      </w:r>
                      <w:r w:rsidRPr="008552A8">
                        <w:rPr>
                          <w:rFonts w:cstheme="minorHAnsi"/>
                          <w:iCs/>
                        </w:rPr>
                        <w:instrText xml:space="preserve"> REF _Ref31296593 \n \h  \* MERGEFORMAT </w:instrText>
                      </w:r>
                      <w:r w:rsidRPr="008552A8">
                        <w:rPr>
                          <w:rFonts w:cstheme="minorHAnsi"/>
                          <w:iCs/>
                        </w:rPr>
                      </w:r>
                      <w:r w:rsidRPr="008552A8">
                        <w:rPr>
                          <w:rFonts w:cstheme="minorHAnsi"/>
                          <w:iCs/>
                        </w:rPr>
                        <w:fldChar w:fldCharType="separate"/>
                      </w:r>
                      <w:r>
                        <w:rPr>
                          <w:rFonts w:cstheme="minorHAnsi"/>
                          <w:iCs/>
                        </w:rPr>
                        <w:t>4.3</w:t>
                      </w:r>
                      <w:r w:rsidRPr="008552A8">
                        <w:rPr>
                          <w:rFonts w:cstheme="minorHAnsi"/>
                          <w:iCs/>
                        </w:rPr>
                        <w:fldChar w:fldCharType="end"/>
                      </w:r>
                      <w:r w:rsidRPr="008552A8">
                        <w:rPr>
                          <w:rFonts w:cstheme="minorHAnsi"/>
                          <w:iCs/>
                        </w:rPr>
                        <w:t xml:space="preserve"> explores the effectiveness of the National Framework in impacting the priorities and actions for Indigenous children. </w:t>
                      </w:r>
                    </w:p>
                  </w:txbxContent>
                </v:textbox>
                <w10:wrap type="square"/>
              </v:shape>
            </w:pict>
          </mc:Fallback>
        </mc:AlternateContent>
      </w:r>
      <w:r>
        <w:br w:type="page"/>
      </w:r>
    </w:p>
    <w:p w14:paraId="40DA86AE" w14:textId="77777777" w:rsidR="00D36A99" w:rsidRDefault="00D36A99" w:rsidP="00B95734">
      <w:pPr>
        <w:pStyle w:val="Heading6"/>
        <w:numPr>
          <w:ilvl w:val="2"/>
          <w:numId w:val="43"/>
        </w:numPr>
      </w:pPr>
      <w:bookmarkStart w:id="137" w:name="_Ref31296566"/>
      <w:bookmarkStart w:id="138" w:name="_Toc42847841"/>
      <w:bookmarkEnd w:id="128"/>
      <w:bookmarkEnd w:id="129"/>
      <w:bookmarkEnd w:id="130"/>
      <w:bookmarkEnd w:id="131"/>
      <w:bookmarkEnd w:id="132"/>
      <w:bookmarkEnd w:id="133"/>
      <w:bookmarkEnd w:id="134"/>
      <w:r>
        <w:lastRenderedPageBreak/>
        <w:t>Achievements of the National Framework and Action Plans</w:t>
      </w:r>
      <w:bookmarkEnd w:id="137"/>
      <w:bookmarkEnd w:id="138"/>
    </w:p>
    <w:tbl>
      <w:tblPr>
        <w:tblStyle w:val="PwCColour"/>
        <w:tblW w:w="0" w:type="auto"/>
        <w:tblBorders>
          <w:top w:val="single" w:sz="4" w:space="0" w:color="EB8C00" w:themeColor="accent4"/>
          <w:left w:val="single" w:sz="4" w:space="0" w:color="EB8C00" w:themeColor="accent4"/>
          <w:bottom w:val="single" w:sz="4" w:space="0" w:color="EB8C00" w:themeColor="accent4"/>
          <w:right w:val="single" w:sz="4" w:space="0" w:color="EB8C00" w:themeColor="accent4"/>
          <w:insideH w:val="none" w:sz="0" w:space="0" w:color="auto"/>
          <w:insideV w:val="none" w:sz="0" w:space="0" w:color="auto"/>
        </w:tblBorders>
        <w:shd w:val="clear" w:color="auto" w:fill="FED8C3" w:themeFill="accent1" w:themeFillTint="33"/>
        <w:tblLook w:val="04A0" w:firstRow="1" w:lastRow="0" w:firstColumn="1" w:lastColumn="0" w:noHBand="0" w:noVBand="1"/>
        <w:tblCaption w:val="Key finding"/>
        <w:tblDescription w:val="Organisations reported that a major achievement of the Framework has been keeping the welfare of children on the national ‘agenda.’ The implementation of a number of key initiatives, including the National Children’s Commissioner and National Standards for Out-of-Home Care, are major achievements of the Framework.  Although the Framework implemented a number of key initiatives, it appears that the Framework did not achieve the high-level goal of a substantial and sustained reduction in child abuse and neglect, "/>
      </w:tblPr>
      <w:tblGrid>
        <w:gridCol w:w="9855"/>
      </w:tblGrid>
      <w:tr w:rsidR="00D36A99" w14:paraId="0AE07DE0" w14:textId="77777777" w:rsidTr="00D36A9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855" w:type="dxa"/>
            <w:tcBorders>
              <w:top w:val="none" w:sz="0" w:space="0" w:color="auto"/>
              <w:bottom w:val="none" w:sz="0" w:space="0" w:color="auto"/>
            </w:tcBorders>
            <w:shd w:val="clear" w:color="auto" w:fill="FED8C3" w:themeFill="accent1" w:themeFillTint="33"/>
            <w:vAlign w:val="center"/>
          </w:tcPr>
          <w:p w14:paraId="23219409" w14:textId="66451FB8" w:rsidR="004D0CEB" w:rsidRDefault="004D0CEB" w:rsidP="00D36A99">
            <w:pPr>
              <w:pStyle w:val="PwCNormal"/>
              <w:numPr>
                <w:ilvl w:val="0"/>
                <w:numId w:val="0"/>
              </w:numPr>
              <w:spacing w:before="60" w:after="60" w:line="240" w:lineRule="auto"/>
            </w:pPr>
            <w:r>
              <w:rPr>
                <w:b/>
              </w:rPr>
              <w:t>Key finding</w:t>
            </w:r>
          </w:p>
          <w:p w14:paraId="7891C286" w14:textId="04DEC32B" w:rsidR="00D36A99" w:rsidRPr="00576E19" w:rsidRDefault="00AB65E8" w:rsidP="005518F9">
            <w:pPr>
              <w:pStyle w:val="PwCNormal"/>
              <w:numPr>
                <w:ilvl w:val="0"/>
                <w:numId w:val="0"/>
              </w:numPr>
              <w:spacing w:before="60" w:after="60" w:line="240" w:lineRule="auto"/>
              <w:ind w:left="284"/>
            </w:pPr>
            <w:r>
              <w:t>O</w:t>
            </w:r>
            <w:r w:rsidRPr="00E71593">
              <w:t>rganisations reported that a major achievement of the Framework has been keeping the welfare of children on the national ‘agenda</w:t>
            </w:r>
            <w:r>
              <w:t>.</w:t>
            </w:r>
            <w:r w:rsidRPr="00E71593">
              <w:t>’</w:t>
            </w:r>
            <w:r>
              <w:t xml:space="preserve"> </w:t>
            </w:r>
            <w:r w:rsidR="005D35CE">
              <w:t>T</w:t>
            </w:r>
            <w:r w:rsidR="005D35CE" w:rsidRPr="00270C51">
              <w:t>he implementation of a number of key initiatives</w:t>
            </w:r>
            <w:r w:rsidR="005D35CE">
              <w:t>, including the National Children’s Commissioner and National Standards for Out-of-Home Care,</w:t>
            </w:r>
            <w:r w:rsidR="005D35CE" w:rsidRPr="00270C51">
              <w:t xml:space="preserve"> </w:t>
            </w:r>
            <w:r w:rsidR="005D35CE">
              <w:t>are</w:t>
            </w:r>
            <w:r w:rsidR="005D35CE" w:rsidRPr="00270C51">
              <w:t xml:space="preserve"> major achievements of the Framework</w:t>
            </w:r>
            <w:r w:rsidR="005D35CE">
              <w:t xml:space="preserve">.  </w:t>
            </w:r>
            <w:r w:rsidR="005518F9">
              <w:t>Although the Framework implemented a number of key initiatives, i</w:t>
            </w:r>
            <w:r w:rsidR="005B735B">
              <w:t>t</w:t>
            </w:r>
            <w:r w:rsidRPr="00270C51">
              <w:t xml:space="preserve"> appears that the Framework did not achieve</w:t>
            </w:r>
            <w:r w:rsidR="005518F9">
              <w:t xml:space="preserve"> the high-level goal of</w:t>
            </w:r>
            <w:r w:rsidRPr="00270C51">
              <w:t xml:space="preserve"> </w:t>
            </w:r>
            <w:r>
              <w:t>a substantial and sustained reduction in child abuse and neglect</w:t>
            </w:r>
            <w:r w:rsidR="005518F9">
              <w:t>,</w:t>
            </w:r>
            <w:r w:rsidR="005B735B">
              <w:t xml:space="preserve"> </w:t>
            </w:r>
          </w:p>
        </w:tc>
      </w:tr>
    </w:tbl>
    <w:p w14:paraId="1C4BF658" w14:textId="77777777" w:rsidR="00D36A99" w:rsidRDefault="00D36A99" w:rsidP="00D36A99">
      <w:pPr>
        <w:pStyle w:val="Minorheading"/>
      </w:pPr>
      <w:r>
        <w:t xml:space="preserve">The majority of stakeholders reported that there were achievements that they believed could be clearly attributed to the Framework. </w:t>
      </w:r>
    </w:p>
    <w:p w14:paraId="29364950" w14:textId="77777777" w:rsidR="00D36A99" w:rsidRPr="00162902" w:rsidRDefault="00D36A99" w:rsidP="00D36A99">
      <w:pPr>
        <w:pStyle w:val="ListBullet"/>
        <w:numPr>
          <w:ilvl w:val="0"/>
          <w:numId w:val="0"/>
        </w:numPr>
      </w:pPr>
      <w:r w:rsidRPr="00162902">
        <w:t xml:space="preserve">The </w:t>
      </w:r>
      <w:r w:rsidRPr="00804442">
        <w:t xml:space="preserve">most </w:t>
      </w:r>
      <w:r w:rsidR="003E5C6E" w:rsidRPr="00804442">
        <w:t xml:space="preserve">frequently cited </w:t>
      </w:r>
      <w:r w:rsidRPr="00804442">
        <w:t>achievement was that by providing a clear, published and endorsed position on the need to reduce the prevalence of child abuse and neglect in Australia, the needs of the most vulnerable children and families were ‘on the agenda.’</w:t>
      </w:r>
      <w:r w:rsidRPr="00162902">
        <w:t xml:space="preserve"> Organisations reported: </w:t>
      </w:r>
    </w:p>
    <w:p w14:paraId="22A75682" w14:textId="77777777" w:rsidR="00D36A99" w:rsidRPr="00162902" w:rsidRDefault="00D36A99" w:rsidP="00D36A99">
      <w:pPr>
        <w:pStyle w:val="ListBullet"/>
      </w:pPr>
      <w:r w:rsidRPr="00162902">
        <w:t xml:space="preserve">the longevity of the Framework enabled it to transcend changing ministerial priorities, maintain bipartisan support and create focus on a </w:t>
      </w:r>
      <w:r w:rsidRPr="00804442">
        <w:t>well-meaning national conversation that aimed to achieve coordination</w:t>
      </w:r>
    </w:p>
    <w:p w14:paraId="08AE87E8" w14:textId="77777777" w:rsidR="00D36A99" w:rsidRPr="00162902" w:rsidRDefault="00D36A99" w:rsidP="00D36A99">
      <w:pPr>
        <w:pStyle w:val="ListBullet"/>
      </w:pPr>
      <w:r w:rsidRPr="00162902">
        <w:t xml:space="preserve">there is an inherent value in having the National Framework and convening the National Forum as it </w:t>
      </w:r>
      <w:r w:rsidRPr="00804442">
        <w:t>communicates a level of importance</w:t>
      </w:r>
      <w:r w:rsidRPr="00162902">
        <w:t xml:space="preserve"> placed on the needs of Australian children and young people.</w:t>
      </w:r>
    </w:p>
    <w:p w14:paraId="2AA0781E" w14:textId="77777777" w:rsidR="00D36A99" w:rsidRPr="00162902" w:rsidRDefault="00D36A99" w:rsidP="00D36A99">
      <w:pPr>
        <w:pStyle w:val="ListBullet"/>
        <w:numPr>
          <w:ilvl w:val="0"/>
          <w:numId w:val="0"/>
        </w:numPr>
      </w:pPr>
      <w:r w:rsidRPr="00162902">
        <w:t xml:space="preserve">Some organisations indicated that having the National Framework and Forum, whilst probably not the catalyst for change, </w:t>
      </w:r>
      <w:r w:rsidRPr="00804442">
        <w:t>may have contributed to the broader environment that has seen other reforms and changes that have improved the wellbeing of children</w:t>
      </w:r>
      <w:r w:rsidRPr="00162902">
        <w:t>. Organisations provided the following examples:</w:t>
      </w:r>
    </w:p>
    <w:p w14:paraId="692CF083" w14:textId="688B4DE3" w:rsidR="00D36A99" w:rsidRPr="001412E5" w:rsidRDefault="00D36A99" w:rsidP="00D36A99">
      <w:pPr>
        <w:pStyle w:val="ListBullet"/>
      </w:pPr>
      <w:r w:rsidRPr="001412E5">
        <w:t xml:space="preserve">the implementation of the National Principles for Child Safe Organisations which were recommended by the </w:t>
      </w:r>
      <w:r w:rsidRPr="004C5D6B">
        <w:rPr>
          <w:i/>
        </w:rPr>
        <w:t>Royal Commission into Institutional responses to Child Sexual Abuse</w:t>
      </w:r>
      <w:r w:rsidRPr="001412E5">
        <w:t xml:space="preserve"> and </w:t>
      </w:r>
      <w:r w:rsidR="007575D9">
        <w:t>developed</w:t>
      </w:r>
      <w:r w:rsidRPr="001412E5">
        <w:t xml:space="preserve"> through the Third Action Plan. </w:t>
      </w:r>
    </w:p>
    <w:p w14:paraId="7C13B4B7" w14:textId="77777777" w:rsidR="00D36A99" w:rsidRPr="001412E5" w:rsidRDefault="00D36A99" w:rsidP="00D36A99">
      <w:pPr>
        <w:pStyle w:val="ListBullet"/>
      </w:pPr>
      <w:r w:rsidRPr="001412E5">
        <w:t xml:space="preserve">broader campaigns including </w:t>
      </w:r>
      <w:r w:rsidRPr="001412E5">
        <w:rPr>
          <w:i/>
        </w:rPr>
        <w:t>Family Matters</w:t>
      </w:r>
      <w:r w:rsidRPr="001412E5">
        <w:t xml:space="preserve"> and </w:t>
      </w:r>
      <w:r w:rsidRPr="001412E5">
        <w:rPr>
          <w:i/>
        </w:rPr>
        <w:t>Every Child</w:t>
      </w:r>
      <w:r w:rsidRPr="001412E5">
        <w:t xml:space="preserve"> were supported by the relationships and conversations facilitated by the Framework and Forum. </w:t>
      </w:r>
    </w:p>
    <w:p w14:paraId="1B08DC99" w14:textId="687D34C7" w:rsidR="00D36A99" w:rsidRPr="00162902" w:rsidRDefault="003E5C6E" w:rsidP="00E40E95">
      <w:pPr>
        <w:pStyle w:val="CommentText"/>
      </w:pPr>
      <w:r w:rsidRPr="001412E5">
        <w:t xml:space="preserve">A large number </w:t>
      </w:r>
      <w:r w:rsidR="00D36A99" w:rsidRPr="001412E5">
        <w:t xml:space="preserve">organisations </w:t>
      </w:r>
      <w:r w:rsidRPr="001412E5">
        <w:t xml:space="preserve">who were closely involved with the development and delivery of the action plans </w:t>
      </w:r>
      <w:r w:rsidR="00D36A99" w:rsidRPr="001412E5">
        <w:t>reported that the National Framework enabled the generation of cross-jurisdictional relationships between the National Forum members and these relationships have resulted in trust, coordination and collaboration, which was not present prior to the Framework. Stakeholders commented f</w:t>
      </w:r>
      <w:r w:rsidR="00D36A99" w:rsidRPr="00804442">
        <w:t>avourably on the inclusion of Non-Governmental Organisations (NGOs)</w:t>
      </w:r>
      <w:r w:rsidR="00D36A99" w:rsidRPr="00162902">
        <w:t xml:space="preserve"> as part of the National Forum and particularly identified building </w:t>
      </w:r>
      <w:r w:rsidR="00D36A99" w:rsidRPr="00804442">
        <w:t xml:space="preserve">greater understanding and relationships with </w:t>
      </w:r>
      <w:r w:rsidR="00320124" w:rsidRPr="00804442">
        <w:t>the</w:t>
      </w:r>
      <w:r w:rsidR="00C46E17" w:rsidRPr="00804442">
        <w:t xml:space="preserve"> </w:t>
      </w:r>
      <w:r w:rsidR="00C46E17" w:rsidRPr="00162902">
        <w:t xml:space="preserve">SNAICC – National Voice for our </w:t>
      </w:r>
      <w:r w:rsidR="00804442" w:rsidRPr="00162902">
        <w:t xml:space="preserve">Children </w:t>
      </w:r>
      <w:r w:rsidR="00D36A99" w:rsidRPr="00162902">
        <w:t xml:space="preserve">as an achievement. An example that was provided was the workshops facilitated by SNAICC in each jurisdiction in relation to the implementation of the </w:t>
      </w:r>
      <w:r w:rsidR="00D36A99" w:rsidRPr="001412E5">
        <w:t>ATSICPP, resulted in greater ongoing engagement with SNAICC by the jurisdictions.</w:t>
      </w:r>
      <w:r w:rsidR="00D36A99" w:rsidRPr="00162902">
        <w:rPr>
          <w:rStyle w:val="FootnoteReference"/>
        </w:rPr>
        <w:footnoteReference w:id="21"/>
      </w:r>
      <w:r w:rsidR="00D36A99" w:rsidRPr="00162902">
        <w:t xml:space="preserve">  </w:t>
      </w:r>
    </w:p>
    <w:p w14:paraId="3E03A6D5" w14:textId="77777777" w:rsidR="00D36A99" w:rsidRDefault="00D36A99" w:rsidP="00D36A99">
      <w:pPr>
        <w:pStyle w:val="PwCNormal"/>
        <w:numPr>
          <w:ilvl w:val="0"/>
          <w:numId w:val="0"/>
        </w:numPr>
      </w:pPr>
      <w:r w:rsidRPr="001412E5">
        <w:t>Organisations</w:t>
      </w:r>
      <w:r w:rsidRPr="004C5D6B">
        <w:t xml:space="preserve"> identified </w:t>
      </w:r>
      <w:r w:rsidR="00320124" w:rsidRPr="004C5D6B">
        <w:t xml:space="preserve">a </w:t>
      </w:r>
      <w:r w:rsidRPr="004C5D6B">
        <w:t xml:space="preserve">range of specific initiatives delivered by the Framework over successive action plans as major achievements. The top </w:t>
      </w:r>
      <w:r w:rsidRPr="00804442">
        <w:t>four most commonly reported initiatives</w:t>
      </w:r>
      <w:r w:rsidRPr="00162902">
        <w:t xml:space="preserve"> were:</w:t>
      </w:r>
    </w:p>
    <w:p w14:paraId="2D241DA2" w14:textId="77777777" w:rsidR="00D36A99" w:rsidRDefault="00D36A99" w:rsidP="00D36A99">
      <w:pPr>
        <w:pStyle w:val="ListBullet"/>
      </w:pPr>
      <w:r>
        <w:t>the agreement of the National Standards for Out-Of-Home-Care</w:t>
      </w:r>
    </w:p>
    <w:p w14:paraId="5D91AB0A" w14:textId="77777777" w:rsidR="00D36A99" w:rsidRDefault="00D36A99" w:rsidP="00D36A99">
      <w:pPr>
        <w:pStyle w:val="ListBullet"/>
      </w:pPr>
      <w:r>
        <w:t>the establishment of the National Children’s Commissioner</w:t>
      </w:r>
    </w:p>
    <w:p w14:paraId="385B7AA5" w14:textId="77777777" w:rsidR="00D36A99" w:rsidRDefault="00D36A99" w:rsidP="00D36A99">
      <w:pPr>
        <w:pStyle w:val="ListBullet"/>
      </w:pPr>
      <w:r>
        <w:t>the development of the Child Protection National Minimum Data Set</w:t>
      </w:r>
    </w:p>
    <w:p w14:paraId="287CE7E1" w14:textId="70F1FC9E" w:rsidR="00D36A99" w:rsidRDefault="00D36A99" w:rsidP="00D36A99">
      <w:pPr>
        <w:pStyle w:val="ListBullet"/>
      </w:pPr>
      <w:r>
        <w:t xml:space="preserve"> the support that the National Forum </w:t>
      </w:r>
      <w:r w:rsidR="00EF1B5F">
        <w:t>(as a regular convening of government and non-government stakeholders)</w:t>
      </w:r>
      <w:r w:rsidR="00162902">
        <w:t xml:space="preserve"> and the ATSI Working Group</w:t>
      </w:r>
      <w:r w:rsidR="00EF1B5F">
        <w:t xml:space="preserve"> </w:t>
      </w:r>
      <w:r>
        <w:t xml:space="preserve">provided for more comprehensive implementation of the ATSICPP. </w:t>
      </w:r>
    </w:p>
    <w:p w14:paraId="5AD877B5" w14:textId="4381B950" w:rsidR="003E5C6E" w:rsidRDefault="003E5C6E" w:rsidP="00FA3E74">
      <w:pPr>
        <w:pStyle w:val="PwCNormal-Single"/>
      </w:pPr>
      <w:r>
        <w:t xml:space="preserve">Desktop review of the reported achievements of the action plans identified these achievements along with others, largely delivered through trials and specific initiatives. These are outlined in </w:t>
      </w:r>
      <w:r>
        <w:fldChar w:fldCharType="begin"/>
      </w:r>
      <w:r>
        <w:instrText xml:space="preserve"> REF _Ref36669373 \h  \* MERGEFORMAT </w:instrText>
      </w:r>
      <w:r>
        <w:fldChar w:fldCharType="separate"/>
      </w:r>
      <w:r w:rsidR="00D75351">
        <w:t xml:space="preserve">Table </w:t>
      </w:r>
      <w:r w:rsidR="00D75351">
        <w:rPr>
          <w:noProof/>
        </w:rPr>
        <w:t>6</w:t>
      </w:r>
      <w:r>
        <w:fldChar w:fldCharType="end"/>
      </w:r>
      <w:r>
        <w:t>.</w:t>
      </w:r>
    </w:p>
    <w:p w14:paraId="3D7533D8" w14:textId="7F0DFBFD" w:rsidR="00293EF5" w:rsidRDefault="00270322" w:rsidP="00FA3E74">
      <w:pPr>
        <w:pStyle w:val="Caption"/>
      </w:pPr>
      <w:bookmarkStart w:id="139" w:name="_Ref36669373"/>
      <w:r>
        <w:lastRenderedPageBreak/>
        <w:t xml:space="preserve">Table </w:t>
      </w:r>
      <w:fldSimple w:instr=" SEQ Table \* ARABIC ">
        <w:r w:rsidR="00D75351">
          <w:rPr>
            <w:noProof/>
          </w:rPr>
          <w:t>6</w:t>
        </w:r>
      </w:fldSimple>
      <w:bookmarkEnd w:id="139"/>
      <w:r>
        <w:t>: Selection of</w:t>
      </w:r>
      <w:r w:rsidR="00F17413">
        <w:t xml:space="preserve"> key projects</w:t>
      </w:r>
      <w:r>
        <w:t xml:space="preserve"> from National Framework Action Plans</w:t>
      </w:r>
    </w:p>
    <w:tbl>
      <w:tblPr>
        <w:tblStyle w:val="PwCColour"/>
        <w:tblW w:w="5000" w:type="pct"/>
        <w:tblLayout w:type="fixed"/>
        <w:tblLook w:val="04A0" w:firstRow="1" w:lastRow="0" w:firstColumn="1" w:lastColumn="0" w:noHBand="0" w:noVBand="1"/>
        <w:tblCaption w:val="Table 6: Selection of key projects from National Framework Action Plans"/>
        <w:tblDescription w:val="Key projects from National Framework Action Plans &#10;Key projects for action plan one 2009 – 2012 include the establishment of a National Children’s Commissioner and agreement of the National Standards for Out-of-Home-Care&#10;Key projects for action plan two 2012 – 2015 include trialling of the Child Aware Approaches (CAA) initiative that builds on partnerships between Commonwealth, state and territory governments and the community sector; development of the Child Protection National Minimum Data Set; reforming the Transition to Independent Living Allowance (TILA); and National Research Agenda for Protecting Children 2011-2014 - Three research projects selected through an open tender process and jointly funded by the Australian Government and State and Territory Governments, comprised key components of the National Research Agenda.&#10;Key projects for action plan three 2015 – 2018  include The Building Capacity in Australian Parents (BCAP) trial (branded ‘Parent Link’) which aims to build parenting skills and strengths-based parenting behaviours. The National Community Awareness Raising Strategy (NCAR) aims to raise community awareness about the importance of the first 1,000 days of a child’s life. Towards Independent Adulthood (TIA) is an initiative that aims to help young people in out-of-home care (OOHC) to thrive into adulthood. SNAICC – National Voice for our Children has developed a Guide to Support Implementation of the ATSICPP. Connect4Safety - the Inter-jurisdictional Child Protection Data Sharing Project. Development of the National Principles for Child Safe Organisations&#10;Key projects for action plan four 2018 – 2020 include ongoing implementation of the ATSICPP. Announcement of seven out of 10 sites for Stronger Places, Stronger People Research project on Guide for decision making on permanency in a timely manner&#10;"/>
      </w:tblPr>
      <w:tblGrid>
        <w:gridCol w:w="1555"/>
        <w:gridCol w:w="8300"/>
      </w:tblGrid>
      <w:tr w:rsidR="00293EF5" w14:paraId="72DAE08A" w14:textId="77777777" w:rsidTr="00FA3E7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555" w:type="dxa"/>
          </w:tcPr>
          <w:p w14:paraId="5452BE2F" w14:textId="77777777" w:rsidR="00293EF5" w:rsidRDefault="00293EF5" w:rsidP="00FA3E74">
            <w:pPr>
              <w:pStyle w:val="TableColumnHeadingSmall"/>
            </w:pPr>
            <w:r>
              <w:t>Action Plan</w:t>
            </w:r>
          </w:p>
        </w:tc>
        <w:tc>
          <w:tcPr>
            <w:tcW w:w="8300" w:type="dxa"/>
          </w:tcPr>
          <w:p w14:paraId="0556ED51" w14:textId="0B94009E" w:rsidR="00293EF5" w:rsidRDefault="00293EF5" w:rsidP="00804442">
            <w:pPr>
              <w:pStyle w:val="TableColumnHeadingSmall"/>
              <w:cnfStyle w:val="100000000000" w:firstRow="1" w:lastRow="0" w:firstColumn="0" w:lastColumn="0" w:oddVBand="0" w:evenVBand="0" w:oddHBand="0" w:evenHBand="0" w:firstRowFirstColumn="0" w:firstRowLastColumn="0" w:lastRowFirstColumn="0" w:lastRowLastColumn="0"/>
            </w:pPr>
            <w:r>
              <w:t xml:space="preserve">Selection of </w:t>
            </w:r>
            <w:r w:rsidR="00804442">
              <w:t>key projects</w:t>
            </w:r>
          </w:p>
        </w:tc>
      </w:tr>
      <w:tr w:rsidR="00293EF5" w14:paraId="39A46E3E" w14:textId="77777777" w:rsidTr="00FA3E74">
        <w:tc>
          <w:tcPr>
            <w:tcW w:w="1555" w:type="dxa"/>
          </w:tcPr>
          <w:p w14:paraId="51E4FD1A" w14:textId="77777777" w:rsidR="00293EF5" w:rsidRDefault="00293EF5">
            <w:pPr>
              <w:pStyle w:val="TableTextSmall"/>
            </w:pPr>
            <w:r>
              <w:t>Action Plan 1</w:t>
            </w:r>
          </w:p>
          <w:p w14:paraId="58CEA8BC" w14:textId="77777777" w:rsidR="00527FCE" w:rsidRDefault="00527FCE" w:rsidP="00FA3E74">
            <w:pPr>
              <w:pStyle w:val="TableTextSmall"/>
            </w:pPr>
            <w:r>
              <w:t>2009 – 2012</w:t>
            </w:r>
          </w:p>
        </w:tc>
        <w:tc>
          <w:tcPr>
            <w:tcW w:w="8300" w:type="dxa"/>
          </w:tcPr>
          <w:p w14:paraId="0B2C096B" w14:textId="77777777" w:rsidR="00527FCE" w:rsidRDefault="00C50FAD" w:rsidP="00B95734">
            <w:pPr>
              <w:pStyle w:val="TableTextSmall"/>
              <w:numPr>
                <w:ilvl w:val="0"/>
                <w:numId w:val="48"/>
              </w:numPr>
              <w:tabs>
                <w:tab w:val="center" w:pos="3688"/>
              </w:tabs>
            </w:pPr>
            <w:r w:rsidRPr="00C50FAD">
              <w:t>Establishment of a National Children’s Commissioner</w:t>
            </w:r>
          </w:p>
          <w:p w14:paraId="33720E89" w14:textId="77777777" w:rsidR="00C50FAD" w:rsidRDefault="00C50FAD" w:rsidP="00B95734">
            <w:pPr>
              <w:pStyle w:val="TableTextSmall"/>
              <w:numPr>
                <w:ilvl w:val="0"/>
                <w:numId w:val="48"/>
              </w:numPr>
              <w:tabs>
                <w:tab w:val="center" w:pos="3688"/>
              </w:tabs>
            </w:pPr>
            <w:r>
              <w:t>Agreement of the National Standards for Out-of-Home-Care</w:t>
            </w:r>
          </w:p>
        </w:tc>
      </w:tr>
      <w:tr w:rsidR="00527FCE" w14:paraId="7BFC0D84" w14:textId="77777777" w:rsidTr="00527FCE">
        <w:tc>
          <w:tcPr>
            <w:tcW w:w="1555" w:type="dxa"/>
          </w:tcPr>
          <w:p w14:paraId="74261D82" w14:textId="77777777" w:rsidR="00527FCE" w:rsidRDefault="00527FCE">
            <w:pPr>
              <w:pStyle w:val="TableTextSmall"/>
            </w:pPr>
            <w:r>
              <w:t>Action Plan 2</w:t>
            </w:r>
          </w:p>
          <w:p w14:paraId="7546EE06" w14:textId="77777777" w:rsidR="00527FCE" w:rsidRDefault="00527FCE">
            <w:pPr>
              <w:pStyle w:val="TableTextSmall"/>
            </w:pPr>
            <w:r>
              <w:t>2012 – 2015</w:t>
            </w:r>
          </w:p>
        </w:tc>
        <w:tc>
          <w:tcPr>
            <w:tcW w:w="8300" w:type="dxa"/>
          </w:tcPr>
          <w:p w14:paraId="3D26484D" w14:textId="77777777" w:rsidR="00C50FAD" w:rsidRDefault="00C50FAD" w:rsidP="00B95734">
            <w:pPr>
              <w:pStyle w:val="TableTextSmall"/>
              <w:numPr>
                <w:ilvl w:val="0"/>
                <w:numId w:val="47"/>
              </w:numPr>
              <w:tabs>
                <w:tab w:val="center" w:pos="3688"/>
              </w:tabs>
            </w:pPr>
            <w:r>
              <w:t>Trialling of the Child Aware Approaches (CAA) initiative that builds on partnerships between Commonwealth, state and territory governments and the community sector;</w:t>
            </w:r>
          </w:p>
          <w:p w14:paraId="00B09003" w14:textId="77777777" w:rsidR="00C50FAD" w:rsidRDefault="00C50FAD" w:rsidP="00B95734">
            <w:pPr>
              <w:pStyle w:val="TableTextSmall"/>
              <w:numPr>
                <w:ilvl w:val="0"/>
                <w:numId w:val="47"/>
              </w:numPr>
              <w:tabs>
                <w:tab w:val="center" w:pos="3688"/>
              </w:tabs>
            </w:pPr>
            <w:r>
              <w:t>Development of the Child Protection National Minimum Data Set;</w:t>
            </w:r>
          </w:p>
          <w:p w14:paraId="109174FF" w14:textId="77777777" w:rsidR="00C50FAD" w:rsidRDefault="00C50FAD" w:rsidP="00B95734">
            <w:pPr>
              <w:pStyle w:val="TableTextSmall"/>
              <w:numPr>
                <w:ilvl w:val="0"/>
                <w:numId w:val="47"/>
              </w:numPr>
              <w:tabs>
                <w:tab w:val="center" w:pos="3688"/>
              </w:tabs>
            </w:pPr>
            <w:r>
              <w:t>Reforming the Transition to Independent Living Allowance (TILA); and</w:t>
            </w:r>
          </w:p>
          <w:p w14:paraId="37420D11" w14:textId="77777777" w:rsidR="00527FCE" w:rsidRDefault="00C50FAD" w:rsidP="00B95734">
            <w:pPr>
              <w:pStyle w:val="TableTextSmall"/>
              <w:numPr>
                <w:ilvl w:val="0"/>
                <w:numId w:val="47"/>
              </w:numPr>
              <w:tabs>
                <w:tab w:val="center" w:pos="3688"/>
              </w:tabs>
            </w:pPr>
            <w:r>
              <w:t>National Research Agenda for Protecting Children 2011-2014 - Three research projects selected through an open tender process and jointly funded by the Australian Government and State and Territory Governments, comprised key components of the National Research Agenda.</w:t>
            </w:r>
          </w:p>
        </w:tc>
      </w:tr>
      <w:tr w:rsidR="00527FCE" w14:paraId="7DF79173" w14:textId="77777777" w:rsidTr="00527FCE">
        <w:tc>
          <w:tcPr>
            <w:tcW w:w="1555" w:type="dxa"/>
          </w:tcPr>
          <w:p w14:paraId="0F9F7C4A" w14:textId="77777777" w:rsidR="00527FCE" w:rsidRDefault="00527FCE">
            <w:pPr>
              <w:pStyle w:val="TableTextSmall"/>
            </w:pPr>
            <w:r>
              <w:t>Action Plan 3</w:t>
            </w:r>
          </w:p>
          <w:p w14:paraId="746FD5C2" w14:textId="77777777" w:rsidR="00527FCE" w:rsidRDefault="00527FCE">
            <w:pPr>
              <w:pStyle w:val="TableTextSmall"/>
            </w:pPr>
            <w:r>
              <w:t xml:space="preserve">2015 </w:t>
            </w:r>
            <w:r w:rsidR="00C50FAD">
              <w:t>–</w:t>
            </w:r>
            <w:r>
              <w:t xml:space="preserve"> 2018</w:t>
            </w:r>
          </w:p>
        </w:tc>
        <w:tc>
          <w:tcPr>
            <w:tcW w:w="8300" w:type="dxa"/>
          </w:tcPr>
          <w:p w14:paraId="01685A22" w14:textId="77777777" w:rsidR="00C50FAD" w:rsidRDefault="00C50FAD" w:rsidP="00B95734">
            <w:pPr>
              <w:pStyle w:val="TableTextSmall"/>
              <w:numPr>
                <w:ilvl w:val="0"/>
                <w:numId w:val="47"/>
              </w:numPr>
              <w:tabs>
                <w:tab w:val="center" w:pos="3688"/>
              </w:tabs>
            </w:pPr>
            <w:r>
              <w:t>The Building Capacity in Australian Parents (BCAP) trial (branded ‘Parent Link’) which aims to build parenting skills and strengths-based parenting behaviours.</w:t>
            </w:r>
          </w:p>
          <w:p w14:paraId="1B567823" w14:textId="77777777" w:rsidR="00C50FAD" w:rsidRDefault="00C50FAD" w:rsidP="00B95734">
            <w:pPr>
              <w:pStyle w:val="TableTextSmall"/>
              <w:numPr>
                <w:ilvl w:val="0"/>
                <w:numId w:val="47"/>
              </w:numPr>
              <w:tabs>
                <w:tab w:val="center" w:pos="3688"/>
              </w:tabs>
            </w:pPr>
            <w:r>
              <w:t>The National Community Awareness Raising Strategy (NCAR) aims to raise community awareness about the importance of the first 1,000 days of a child’s life.</w:t>
            </w:r>
          </w:p>
          <w:p w14:paraId="5F4B8984" w14:textId="77777777" w:rsidR="00C50FAD" w:rsidRDefault="00C50FAD" w:rsidP="00B95734">
            <w:pPr>
              <w:pStyle w:val="TableTextSmall"/>
              <w:numPr>
                <w:ilvl w:val="0"/>
                <w:numId w:val="47"/>
              </w:numPr>
              <w:tabs>
                <w:tab w:val="center" w:pos="3688"/>
              </w:tabs>
            </w:pPr>
            <w:r>
              <w:t>Towards Independent Adulthood (TIA) is an initiative that aims to help young people in out-of-home care (OOHC) to thrive into adulthood.</w:t>
            </w:r>
          </w:p>
          <w:p w14:paraId="1DF8BD85" w14:textId="214D8C85" w:rsidR="00C50FAD" w:rsidRDefault="003A1173" w:rsidP="00B95734">
            <w:pPr>
              <w:pStyle w:val="TableTextSmall"/>
              <w:numPr>
                <w:ilvl w:val="0"/>
                <w:numId w:val="47"/>
              </w:numPr>
              <w:tabs>
                <w:tab w:val="center" w:pos="3688"/>
              </w:tabs>
            </w:pPr>
            <w:r w:rsidRPr="003A1173">
              <w:t xml:space="preserve">SNAICC – National Voice for our Children has developed a </w:t>
            </w:r>
            <w:hyperlink r:id="rId44" w:history="1">
              <w:r w:rsidRPr="003A1173">
                <w:rPr>
                  <w:rStyle w:val="Hyperlink"/>
                </w:rPr>
                <w:t>Guide to Support Implementation</w:t>
              </w:r>
              <w:r>
                <w:rPr>
                  <w:rStyle w:val="Hyperlink"/>
                </w:rPr>
                <w:t xml:space="preserve"> </w:t>
              </w:r>
            </w:hyperlink>
            <w:r w:rsidRPr="003A1173">
              <w:t xml:space="preserve">of the ATSICPP. </w:t>
            </w:r>
            <w:r w:rsidR="00162902">
              <w:t>Connect4Safety - t</w:t>
            </w:r>
            <w:r w:rsidR="00C50FAD">
              <w:t xml:space="preserve">he Inter-jurisdictional Child Protection </w:t>
            </w:r>
            <w:r w:rsidR="00162902">
              <w:t>Data</w:t>
            </w:r>
            <w:r w:rsidR="00C50FAD">
              <w:t xml:space="preserve"> Sharing Project.</w:t>
            </w:r>
          </w:p>
          <w:p w14:paraId="6A8B52E2" w14:textId="77777777" w:rsidR="00162902" w:rsidRDefault="00162902" w:rsidP="00B95734">
            <w:pPr>
              <w:pStyle w:val="TableTextSmall"/>
              <w:numPr>
                <w:ilvl w:val="0"/>
                <w:numId w:val="47"/>
              </w:numPr>
              <w:tabs>
                <w:tab w:val="center" w:pos="3688"/>
              </w:tabs>
            </w:pPr>
            <w:r>
              <w:t>Development of the National Principles for Child Safe Organisations</w:t>
            </w:r>
          </w:p>
        </w:tc>
      </w:tr>
      <w:tr w:rsidR="00C50FAD" w14:paraId="1BEA4B2B" w14:textId="77777777" w:rsidTr="00527FCE">
        <w:tc>
          <w:tcPr>
            <w:tcW w:w="1555" w:type="dxa"/>
          </w:tcPr>
          <w:p w14:paraId="1D93D174" w14:textId="77777777" w:rsidR="00C50FAD" w:rsidRDefault="00C50FAD">
            <w:pPr>
              <w:pStyle w:val="TableTextSmall"/>
            </w:pPr>
            <w:r>
              <w:t>Action Plan 4</w:t>
            </w:r>
          </w:p>
          <w:p w14:paraId="4AD71F8A" w14:textId="77777777" w:rsidR="00C50FAD" w:rsidRDefault="00C50FAD">
            <w:pPr>
              <w:pStyle w:val="TableTextSmall"/>
            </w:pPr>
            <w:r>
              <w:t xml:space="preserve">2018 – 2020 </w:t>
            </w:r>
          </w:p>
        </w:tc>
        <w:tc>
          <w:tcPr>
            <w:tcW w:w="8300" w:type="dxa"/>
          </w:tcPr>
          <w:p w14:paraId="39E1C727" w14:textId="46649B2A" w:rsidR="00C50FAD" w:rsidRDefault="00804442" w:rsidP="00B95734">
            <w:pPr>
              <w:pStyle w:val="TableTextSmall"/>
              <w:numPr>
                <w:ilvl w:val="0"/>
                <w:numId w:val="47"/>
              </w:numPr>
              <w:tabs>
                <w:tab w:val="center" w:pos="3688"/>
              </w:tabs>
            </w:pPr>
            <w:r>
              <w:t>Ongoing i</w:t>
            </w:r>
            <w:r w:rsidR="00C50FAD">
              <w:t>mplementation of t</w:t>
            </w:r>
            <w:r w:rsidR="00C50FAD" w:rsidRPr="00C50FAD">
              <w:t xml:space="preserve">he ATSICPP </w:t>
            </w:r>
          </w:p>
          <w:p w14:paraId="25A1EABA" w14:textId="77777777" w:rsidR="00162902" w:rsidRDefault="00162902" w:rsidP="00B95734">
            <w:pPr>
              <w:pStyle w:val="TableTextSmall"/>
              <w:numPr>
                <w:ilvl w:val="0"/>
                <w:numId w:val="47"/>
              </w:numPr>
              <w:tabs>
                <w:tab w:val="center" w:pos="3688"/>
              </w:tabs>
            </w:pPr>
            <w:r>
              <w:t>Announcement of seven out of 10 sites for Stronger Places, Stronger People</w:t>
            </w:r>
          </w:p>
          <w:p w14:paraId="2D2FC020" w14:textId="0E753BDA" w:rsidR="00162902" w:rsidRDefault="00162902" w:rsidP="00B95734">
            <w:pPr>
              <w:pStyle w:val="TableTextSmall"/>
              <w:numPr>
                <w:ilvl w:val="0"/>
                <w:numId w:val="47"/>
              </w:numPr>
              <w:tabs>
                <w:tab w:val="center" w:pos="3688"/>
              </w:tabs>
            </w:pPr>
            <w:r>
              <w:t>Research project on Guide for decision making on permanency in a timely manner</w:t>
            </w:r>
          </w:p>
        </w:tc>
      </w:tr>
    </w:tbl>
    <w:p w14:paraId="0652654D" w14:textId="77777777" w:rsidR="000F0022" w:rsidRPr="000F0022" w:rsidRDefault="00527FCE" w:rsidP="000F0022">
      <w:pPr>
        <w:pStyle w:val="PwCNormal"/>
        <w:numPr>
          <w:ilvl w:val="0"/>
          <w:numId w:val="0"/>
        </w:numPr>
        <w:spacing w:before="0"/>
        <w:rPr>
          <w:sz w:val="16"/>
          <w:szCs w:val="18"/>
        </w:rPr>
      </w:pPr>
      <w:r w:rsidRPr="000F0022">
        <w:rPr>
          <w:sz w:val="16"/>
          <w:szCs w:val="18"/>
        </w:rPr>
        <w:t>Source:</w:t>
      </w:r>
      <w:r w:rsidR="00C50FAD" w:rsidRPr="000F0022">
        <w:rPr>
          <w:sz w:val="16"/>
          <w:szCs w:val="18"/>
        </w:rPr>
        <w:t xml:space="preserve"> DSS website.</w:t>
      </w:r>
      <w:r w:rsidRPr="000F0022">
        <w:rPr>
          <w:sz w:val="16"/>
          <w:szCs w:val="18"/>
        </w:rPr>
        <w:t xml:space="preserve"> </w:t>
      </w:r>
    </w:p>
    <w:p w14:paraId="2696E657" w14:textId="4285D6D0" w:rsidR="004162C3" w:rsidRDefault="004162C3" w:rsidP="004162C3">
      <w:pPr>
        <w:pStyle w:val="ListBullet"/>
        <w:numPr>
          <w:ilvl w:val="0"/>
          <w:numId w:val="0"/>
        </w:numPr>
      </w:pPr>
      <w:r>
        <w:t xml:space="preserve">At a broader level, the majority of organisations consulted valued the National </w:t>
      </w:r>
      <w:r w:rsidRPr="00162902">
        <w:t xml:space="preserve">Framework for its role in </w:t>
      </w:r>
      <w:r w:rsidRPr="00D061D5">
        <w:t>driving the children’s agenda</w:t>
      </w:r>
      <w:r w:rsidRPr="00162902">
        <w:t xml:space="preserve"> and </w:t>
      </w:r>
      <w:r w:rsidRPr="00D061D5">
        <w:t>creating an environment for collaboration and engagement across the sector and jurisdictions</w:t>
      </w:r>
      <w:r w:rsidRPr="00162902">
        <w:t>. However, there was not universal awareness of the National Framework’s achievements among organisations; some reported that they were either unaware or considered that there were limited achievements attributable to the Framework.</w:t>
      </w:r>
      <w:r>
        <w:t xml:space="preserve"> </w:t>
      </w:r>
    </w:p>
    <w:p w14:paraId="060F5D11" w14:textId="77777777" w:rsidR="004162C3" w:rsidRDefault="004162C3" w:rsidP="004162C3">
      <w:pPr>
        <w:pStyle w:val="ListBullet"/>
        <w:numPr>
          <w:ilvl w:val="0"/>
          <w:numId w:val="0"/>
        </w:numPr>
      </w:pPr>
      <w:r>
        <w:t>These views were almost always expressed in relation to the high-level objective of the Framework which was to achieve “</w:t>
      </w:r>
      <w:r w:rsidRPr="00280E76">
        <w:rPr>
          <w:i/>
        </w:rPr>
        <w:t>a substantial and sustained reduction in child abuse and neglect in Australia over time</w:t>
      </w:r>
      <w:r>
        <w:t xml:space="preserve">.” In many cases stakeholders also acknowledged that it may not have been possible to achieve the high-level objective within a 12-year Framework but they were still frustrated at what appeared to be a lack of progress on ‘turning the tide.’ </w:t>
      </w:r>
    </w:p>
    <w:p w14:paraId="16721744" w14:textId="72B2D434" w:rsidR="004162C3" w:rsidRDefault="004162C3" w:rsidP="004162C3">
      <w:pPr>
        <w:pStyle w:val="PwCNormal"/>
        <w:numPr>
          <w:ilvl w:val="0"/>
          <w:numId w:val="0"/>
        </w:numPr>
      </w:pPr>
      <w:r>
        <w:t xml:space="preserve">A review of data indicates that the number of children in Australia who receive child protection and/or family support services has increased over the life of the Framework (see Chapter </w:t>
      </w:r>
      <w:r>
        <w:fldChar w:fldCharType="begin"/>
      </w:r>
      <w:r>
        <w:instrText xml:space="preserve"> REF _Ref36840432 \r \h </w:instrText>
      </w:r>
      <w:r>
        <w:fldChar w:fldCharType="separate"/>
      </w:r>
      <w:r w:rsidR="00D75351">
        <w:t>3</w:t>
      </w:r>
      <w:r>
        <w:fldChar w:fldCharType="end"/>
      </w:r>
      <w:r>
        <w:t xml:space="preserve"> for an overview of data). A number of potentially competing factors could explain this increase including; </w:t>
      </w:r>
    </w:p>
    <w:p w14:paraId="31F3471F" w14:textId="238EC161" w:rsidR="004162C3" w:rsidRDefault="004162C3" w:rsidP="004162C3">
      <w:pPr>
        <w:pStyle w:val="ListBullet"/>
      </w:pPr>
      <w:r>
        <w:t xml:space="preserve">there is evidence that in developed countries around the world rates of children experiencing poverty, disadvantage and maltreatment are increasing. A 2019 </w:t>
      </w:r>
      <w:r w:rsidRPr="00400E62">
        <w:t>Organisation for Economic Co-operation and Development</w:t>
      </w:r>
      <w:r>
        <w:t xml:space="preserve"> (OECD) report estimates that one in seven children in developed countries are growing up in poverty today and over the last ten years childhood poverty has increased in two thirds of developed countries</w:t>
      </w:r>
      <w:r w:rsidR="004D0CEB">
        <w:rPr>
          <w:rStyle w:val="FootnoteReference"/>
        </w:rPr>
        <w:footnoteReference w:id="22"/>
      </w:r>
      <w:r>
        <w:t xml:space="preserve"> </w:t>
      </w:r>
    </w:p>
    <w:p w14:paraId="5CFC4BAC" w14:textId="77777777" w:rsidR="004162C3" w:rsidRDefault="004162C3" w:rsidP="004162C3">
      <w:pPr>
        <w:pStyle w:val="ListBullet"/>
      </w:pPr>
      <w:r>
        <w:t>emerging evidence from the BetterStart initiative, based on a case file review in South Australia indicates that the prevalence of children experiencing abuse and neglect could be in the order of one in four children, which is significantly higher than previous estimates</w:t>
      </w:r>
      <w:r>
        <w:rPr>
          <w:rStyle w:val="FootnoteReference"/>
        </w:rPr>
        <w:footnoteReference w:id="23"/>
      </w:r>
      <w:r>
        <w:t xml:space="preserve"> </w:t>
      </w:r>
    </w:p>
    <w:p w14:paraId="55EFF666" w14:textId="4919D88D" w:rsidR="004162C3" w:rsidRDefault="004162C3" w:rsidP="004162C3">
      <w:pPr>
        <w:pStyle w:val="ListBullet"/>
      </w:pPr>
      <w:r>
        <w:lastRenderedPageBreak/>
        <w:t xml:space="preserve">levels of notifications, investigations and substantiations have varied considerably across jurisdictions over the last ten years and have been influenced by policy and legislative changes which effect the rate of reporting of child abuse and neglect and the threshold that is determined as abuse and neglect. (See Chapter </w:t>
      </w:r>
      <w:r>
        <w:fldChar w:fldCharType="begin"/>
      </w:r>
      <w:r>
        <w:instrText xml:space="preserve"> REF _Ref36840445 \r \h </w:instrText>
      </w:r>
      <w:r>
        <w:fldChar w:fldCharType="separate"/>
      </w:r>
      <w:r w:rsidR="00D75351">
        <w:t>3</w:t>
      </w:r>
      <w:r>
        <w:fldChar w:fldCharType="end"/>
      </w:r>
      <w:r>
        <w:t xml:space="preserve"> for additional detail)</w:t>
      </w:r>
    </w:p>
    <w:p w14:paraId="2204E2B0" w14:textId="743F70E2" w:rsidR="000F0022" w:rsidRPr="003A1173" w:rsidRDefault="004162C3" w:rsidP="000F0022">
      <w:pPr>
        <w:pStyle w:val="PwCNormal"/>
        <w:numPr>
          <w:ilvl w:val="0"/>
          <w:numId w:val="0"/>
        </w:numPr>
      </w:pPr>
      <w:r>
        <w:t>Noting that the broader objective of the National Framework mightn’t have been achieved, t</w:t>
      </w:r>
      <w:r w:rsidR="00C63D32" w:rsidRPr="00847F1A">
        <w:t xml:space="preserve">he </w:t>
      </w:r>
      <w:r w:rsidR="00C63D32" w:rsidRPr="003A1173">
        <w:t>National Framework was successful in bringing and sustaining the policy priorities of children and young people to the national ‘agenda’. It delivered a range of initiatives as well as cornerstone outcomes in the establishment of the National Children’s Commissioner and National Standards for Out-of-Home care. The lack of a prevalence study m</w:t>
      </w:r>
      <w:r w:rsidR="00C63D32" w:rsidRPr="001412E5">
        <w:t xml:space="preserve">eant that the baseline against which the Framework could progress was not established. </w:t>
      </w:r>
      <w:r w:rsidR="00C63D32" w:rsidRPr="003A1173">
        <w:t>A robust baseline would assist future benchmarking to inform policy making.</w:t>
      </w:r>
    </w:p>
    <w:p w14:paraId="307937C1" w14:textId="77777777" w:rsidR="00D36A99" w:rsidRPr="003A1173" w:rsidRDefault="00D36A99" w:rsidP="00B95734">
      <w:pPr>
        <w:pStyle w:val="Heading6"/>
        <w:numPr>
          <w:ilvl w:val="2"/>
          <w:numId w:val="43"/>
        </w:numPr>
      </w:pPr>
      <w:bookmarkStart w:id="140" w:name="_Ref31296580"/>
      <w:bookmarkStart w:id="141" w:name="_Toc42847842"/>
      <w:r w:rsidRPr="003A1173">
        <w:t>Supporting factors, strengths, weaknesses and opportunities for improvement</w:t>
      </w:r>
      <w:bookmarkEnd w:id="140"/>
      <w:bookmarkEnd w:id="141"/>
      <w:r w:rsidRPr="003A1173">
        <w:t xml:space="preserve"> </w:t>
      </w:r>
    </w:p>
    <w:p w14:paraId="355CBB55" w14:textId="77777777" w:rsidR="00D36A99" w:rsidRPr="004C5D6B" w:rsidRDefault="00D36A99" w:rsidP="00D36A99">
      <w:pPr>
        <w:pStyle w:val="PwCNormal"/>
        <w:numPr>
          <w:ilvl w:val="0"/>
          <w:numId w:val="0"/>
        </w:numPr>
      </w:pPr>
      <w:r w:rsidRPr="001412E5">
        <w:t>All organisation</w:t>
      </w:r>
      <w:r w:rsidRPr="004C5D6B">
        <w:t xml:space="preserve">s consulted provided views on the supporting factors, strengths, weaknesses and opportunities for improvement of the Framework and Action Plans. </w:t>
      </w:r>
    </w:p>
    <w:p w14:paraId="418B8C03" w14:textId="23ED58AB" w:rsidR="00EF1B5F" w:rsidRPr="003A1173" w:rsidRDefault="00847F1A" w:rsidP="00D36A99">
      <w:pPr>
        <w:pStyle w:val="PwCNormal"/>
        <w:numPr>
          <w:ilvl w:val="0"/>
          <w:numId w:val="0"/>
        </w:numPr>
      </w:pPr>
      <w:r w:rsidRPr="001412E5">
        <w:t xml:space="preserve">As discussed in section </w:t>
      </w:r>
      <w:r w:rsidRPr="003A1173">
        <w:fldChar w:fldCharType="begin"/>
      </w:r>
      <w:r w:rsidRPr="003A1173">
        <w:instrText xml:space="preserve"> REF _Ref31296566 \r \h </w:instrText>
      </w:r>
      <w:r w:rsidR="003A1173">
        <w:instrText xml:space="preserve"> \* MERGEFORMAT </w:instrText>
      </w:r>
      <w:r w:rsidRPr="003A1173">
        <w:fldChar w:fldCharType="separate"/>
      </w:r>
      <w:r w:rsidR="00D75351">
        <w:t>4.1</w:t>
      </w:r>
      <w:r w:rsidRPr="003A1173">
        <w:fldChar w:fldCharType="end"/>
      </w:r>
      <w:r w:rsidRPr="003A1173">
        <w:t>, m</w:t>
      </w:r>
      <w:r w:rsidR="00EF1B5F" w:rsidRPr="003A1173">
        <w:t xml:space="preserve">any organisations referenced the role of the National Forum in fostering collaboration across governments and the non-government sector as a major strength of the Framework’s design. The longer-term view of the Framework also elevated the policy needs of children and ‘kept it on the agenda’. </w:t>
      </w:r>
    </w:p>
    <w:p w14:paraId="21872AA8" w14:textId="77777777" w:rsidR="00D36A99" w:rsidRPr="001412E5" w:rsidRDefault="00D36A99" w:rsidP="00D36A99">
      <w:pPr>
        <w:pStyle w:val="PwCNormal"/>
        <w:numPr>
          <w:ilvl w:val="0"/>
          <w:numId w:val="0"/>
        </w:numPr>
      </w:pPr>
      <w:r w:rsidRPr="001412E5">
        <w:t>Almost all org</w:t>
      </w:r>
      <w:r w:rsidRPr="004C5D6B">
        <w:t xml:space="preserve">anisations made statements that indicated that governance of the National Framework and </w:t>
      </w:r>
      <w:r w:rsidR="00A0133F" w:rsidRPr="004C5D6B">
        <w:t xml:space="preserve">the Third and Fourth Action Plans </w:t>
      </w:r>
      <w:r w:rsidRPr="001412E5">
        <w:t xml:space="preserve">was an inhibitor of the achievement of outcomes and implementation of actions. In referring to governance there were two broad challenges identified by organisations; </w:t>
      </w:r>
    </w:p>
    <w:p w14:paraId="597C2128" w14:textId="77777777" w:rsidR="00D36A99" w:rsidRPr="003A1173" w:rsidRDefault="00D36A99" w:rsidP="00B95734">
      <w:pPr>
        <w:pStyle w:val="ChapterNumberedList1"/>
        <w:numPr>
          <w:ilvl w:val="7"/>
          <w:numId w:val="43"/>
        </w:numPr>
      </w:pPr>
      <w:r w:rsidRPr="001412E5">
        <w:t xml:space="preserve">the ability of the Framework’s </w:t>
      </w:r>
      <w:r w:rsidRPr="003A1173">
        <w:t>governance arrangements to provide broader leadership and strategic direction that influenced priorities across government and service sectors to drive outcomes for children (outlined in section</w:t>
      </w:r>
      <w:r w:rsidR="00B45566" w:rsidRPr="003A1173">
        <w:t xml:space="preserve"> 3.2.2</w:t>
      </w:r>
      <w:r w:rsidRPr="003A1173">
        <w:t>)</w:t>
      </w:r>
    </w:p>
    <w:p w14:paraId="0A10E93B" w14:textId="77777777" w:rsidR="00D36A99" w:rsidRPr="003A1173" w:rsidRDefault="00D36A99" w:rsidP="00B95734">
      <w:pPr>
        <w:pStyle w:val="ChapterNumberedList1"/>
        <w:numPr>
          <w:ilvl w:val="7"/>
          <w:numId w:val="43"/>
        </w:numPr>
      </w:pPr>
      <w:r w:rsidRPr="003A1173">
        <w:t xml:space="preserve">the ability of the Framework and Action Plans’ governance to adequately support internal decision making that was aligned to the Framework’s objectives or to drive accountability for actions and outcomes (outlined in section </w:t>
      </w:r>
      <w:r w:rsidR="00B45566" w:rsidRPr="003A1173">
        <w:t>3.2.3</w:t>
      </w:r>
      <w:r w:rsidRPr="003A1173">
        <w:t>)</w:t>
      </w:r>
    </w:p>
    <w:p w14:paraId="45D02CEA" w14:textId="40DA8922" w:rsidR="00D36A99" w:rsidRPr="003A1173" w:rsidRDefault="00D36A99" w:rsidP="00D36A99">
      <w:pPr>
        <w:pStyle w:val="PwCNormal"/>
      </w:pPr>
      <w:r w:rsidRPr="003A1173">
        <w:t xml:space="preserve">In addition to these challenges, organisations identified challenges related to investment and resourcing, the use of data and evidence and coordination across government. Evidence of these themes are outlined in sections </w:t>
      </w:r>
      <w:r w:rsidR="004D0CEB">
        <w:t>4.2.3 and 4.2.4</w:t>
      </w:r>
      <w:r w:rsidRPr="003A1173">
        <w:t xml:space="preserve">. </w:t>
      </w:r>
    </w:p>
    <w:p w14:paraId="5E57D47D" w14:textId="1ACBC115" w:rsidR="00D36A99" w:rsidRDefault="00255792" w:rsidP="00B95734">
      <w:pPr>
        <w:pStyle w:val="Heading7"/>
        <w:numPr>
          <w:ilvl w:val="3"/>
          <w:numId w:val="43"/>
        </w:numPr>
      </w:pPr>
      <w:r>
        <w:t>Governance and decision making</w:t>
      </w:r>
    </w:p>
    <w:p w14:paraId="6A7FA430" w14:textId="15BB1368" w:rsidR="00D36A99" w:rsidRPr="001412E5" w:rsidRDefault="00D36A99" w:rsidP="00D36A99">
      <w:pPr>
        <w:pStyle w:val="ListBullet"/>
        <w:numPr>
          <w:ilvl w:val="0"/>
          <w:numId w:val="0"/>
        </w:numPr>
      </w:pPr>
      <w:r w:rsidRPr="003A1173">
        <w:t>Across all organisations there were differences regarding the aspects of the Framework’s governance models that either supported or inhibited it. Many organisations indicated that governance in the earlier years of the Framework was stronger</w:t>
      </w:r>
      <w:r w:rsidR="003A1173" w:rsidRPr="003A1173">
        <w:t>;</w:t>
      </w:r>
      <w:r w:rsidRPr="003A1173">
        <w:t xml:space="preserve"> several indicating that governance has been a consistent challenge throughout the Framework and a few indicating that the governance has improved in the Fourth Action Plan. Overall, as with many cross-governmental and large</w:t>
      </w:r>
      <w:r w:rsidR="00EF1B5F" w:rsidRPr="003A1173">
        <w:t>-</w:t>
      </w:r>
      <w:r w:rsidRPr="003A1173">
        <w:t>scale initiatives, the</w:t>
      </w:r>
      <w:r w:rsidRPr="001412E5">
        <w:t xml:space="preserve"> governance has been impacted by numerous changes that are outside the control of the Framework including COAG restructures and mode of government changes. </w:t>
      </w:r>
    </w:p>
    <w:p w14:paraId="3DCAAB0A" w14:textId="78E8A168" w:rsidR="00D36A99" w:rsidRPr="003A1173" w:rsidRDefault="00D36A99" w:rsidP="00D36A99">
      <w:pPr>
        <w:pStyle w:val="ListBullet"/>
        <w:numPr>
          <w:ilvl w:val="0"/>
          <w:numId w:val="0"/>
        </w:numPr>
      </w:pPr>
      <w:r w:rsidRPr="004C5D6B">
        <w:t>As outlined in the summary in Box 1</w:t>
      </w:r>
      <w:r w:rsidR="00183599" w:rsidRPr="004C5D6B">
        <w:t xml:space="preserve"> (below)</w:t>
      </w:r>
      <w:r w:rsidRPr="004C5D6B">
        <w:t xml:space="preserve">, </w:t>
      </w:r>
      <w:r w:rsidRPr="003A1173">
        <w:t>successive iterations of governance have resulted in the National Framework no longer reporting to a standing COAG committee and instead formally reporting to the Children and Families Secretaries (CAFS) and Community Services Ministers</w:t>
      </w:r>
      <w:r w:rsidR="003A1173" w:rsidRPr="003A1173">
        <w:t xml:space="preserve"> (CSM)</w:t>
      </w:r>
      <w:r w:rsidRPr="003A1173">
        <w:t xml:space="preserve">. A number of impacts of this change were reported by organisations including: </w:t>
      </w:r>
    </w:p>
    <w:p w14:paraId="1110DBDE" w14:textId="0B9EFAE2" w:rsidR="009A709D" w:rsidRDefault="00D36A99" w:rsidP="008552A8">
      <w:pPr>
        <w:pStyle w:val="ListBullet"/>
      </w:pPr>
      <w:r w:rsidRPr="00233EB0">
        <w:t xml:space="preserve">several organisations reported that CAFS was not able to influence governmental priorities to the extent of COAG. These organisations reported that they observed that the National Framework gradually became less of a priority for governments over the life of the Framework and this coincided with movements of the Framework’s governance structure away from the oversight, leadership and accountability of COAG. Some stakeholders reported that earlier governance models that reported through to COAG provided for a greater ‘authorising environment’ which led to the establishment of some signature initiatives such as the National Standards for OOHC and the National Children’s Commissioner. One focus group also reported that challenges to gaining authorisation had arisen but felt that the authorising environment had improved in later </w:t>
      </w:r>
      <w:r w:rsidR="00A0133F" w:rsidRPr="00233EB0">
        <w:t>a</w:t>
      </w:r>
      <w:r w:rsidRPr="00233EB0">
        <w:t xml:space="preserve">ction </w:t>
      </w:r>
      <w:r w:rsidR="00A0133F" w:rsidRPr="00233EB0">
        <w:t>p</w:t>
      </w:r>
      <w:r w:rsidRPr="00233EB0">
        <w:t xml:space="preserve">lans as DSS took on a bigger role in seeking approvals from CAFS and CSM out of session. </w:t>
      </w:r>
    </w:p>
    <w:p w14:paraId="588AB36C" w14:textId="77777777" w:rsidR="003D1F66" w:rsidRDefault="003D1F66" w:rsidP="003D1F66">
      <w:pPr>
        <w:pStyle w:val="ListBullet"/>
      </w:pPr>
      <w:r w:rsidRPr="00233EB0">
        <w:t>focus group discussion suggested that the evolution of the processing of reporting to the Community Services Ministers meetings (following the changes from the COAG Standing Committee of Community and Disability Services Ministers) had lessened the priority of the National Framework among governments</w:t>
      </w:r>
      <w:r>
        <w:t>.</w:t>
      </w:r>
      <w:r w:rsidRPr="003A1173">
        <w:t xml:space="preserve"> </w:t>
      </w:r>
    </w:p>
    <w:tbl>
      <w:tblPr>
        <w:tblStyle w:val="PwCColour"/>
        <w:tblW w:w="0" w:type="auto"/>
        <w:tblBorders>
          <w:top w:val="single" w:sz="4" w:space="0" w:color="FFB600" w:themeColor="accent2"/>
          <w:left w:val="single" w:sz="4" w:space="0" w:color="FFB600" w:themeColor="accent2"/>
          <w:bottom w:val="single" w:sz="4" w:space="0" w:color="FFB600" w:themeColor="accent2"/>
          <w:right w:val="single" w:sz="4" w:space="0" w:color="FFB600" w:themeColor="accent2"/>
          <w:insideH w:val="none" w:sz="0" w:space="0" w:color="auto"/>
          <w:insideV w:val="none" w:sz="0" w:space="0" w:color="auto"/>
        </w:tblBorders>
        <w:shd w:val="clear" w:color="auto" w:fill="FFF0CC" w:themeFill="accent2" w:themeFillTint="33"/>
        <w:tblLook w:val="04A0" w:firstRow="1" w:lastRow="0" w:firstColumn="1" w:lastColumn="0" w:noHBand="0" w:noVBand="1"/>
        <w:tblCaption w:val="Box 1: Summary of evolution of government"/>
        <w:tblDescription w:val="Governance arrangements of the Framework and Action Plans have evolved over time both in response to external changes such as COAG reviews and through internal processes to develop governance arrangements that best meet the needs of the Framework and its action plans. This section summarises some key changes to governance arrangements that give context to the operation of the Third and Fourth Action Plans (which were delivered between 2015 and 2020) as compared to earlier action plans. The evolution covers the period from 2009 to 2020.&#10;At inception (2009), the National Framework set out an ambition for arrangements that ensured it was supported by integrated governance that cut across government and the non-government sector in order to plan and implement actions. The governance structure was as follows. &#10;• the Community and Disability Services Ministers’ Conference was responsible for the implementation of the National Framework, reporting annually to COAG &#10;• a Ministerial Forum on Protecting Australia’s Children was convened to bring together Ministers with responsibilities under the National Framework. The Forum invited contribution from non-government representatives, such as State and Territory Children’s Commissioners and children and young people &#10;• the Community and Disability Services Ministers’ Advisory Committee (CDSMAC) to support CDSM to manage the National Framework&#10;• a tripartite National Framework Advisory Committee to advise on the operation of the National Framework, comprising CDSMAC officials with nominees from other sectors (such as health, education and justice) and non-government representatives (such as leading academics, practitioners and peak organisations) &#10;• supporting the formal governance mechanisms were a series of working groups, with members drawn from government and non-government organisations as appropriate.&#10;In March 2011 a significant reform of Ministerial Councils was announced which resulted in the dissolution of the Community and Disability Services Ministers Conference and supporting structures (CDSMAC).  Between 2011 and 2014 the National Framework reported to the Standing Council on Community, Housing and Disability Services and was supported by the Standing Council on Community and Disability Services Advisory Council. &#10;Further changes resulted in the dissolution of the Standing Council on Community, Housing and Disability Services in 2014. It was replaced by the Children and Families Secretaries Group (CAFS) and an informal structure referred to as the Community Services Ministers (CSM) meeting, which the National Framework reported to from 2014 onwards. As such the National Framework is no longer sponsored as an initiative of COAG and current COAG performance reporting does not include indicators related to child safety or wellbeing.   &#10;Chapter 2 outlines the governance structure and working groups of the National Framework, as per the Third and Fourth Action Plans. The governance arrangements for the Fourth Action Plan had not been finalised prior to consultation undertaken as part of this evaluation. The draft governance structure supporting the Fourth Action Plan demonstrates a number of key changes from the structure under the Third Action Plan including that; &#10;• CSM meeting is included within the governance structure diagram. CSM meetings took place during the period of the Third Action Plan and the CSM was designated ultimate responsibility for the Third Action Plan but this group was not included in the governance diagram. &#10;• Priority Working Groups report directly to CAFS. The Commonwealth, State and Territory Officials Working Group is no longer included in the structure. &#10;• The National Forum provides input and guidance to working groups but working groups no longer report through the National Forum to CAFS. &#10;• Alignment of the Working Groups to the four priorities outlined in the Fourth Action Plan plus the Aboriginal and Torres Strait Islander Working Group. Working groups are co-chaired by States/Territories and NOCS instead of being aligned to the three parties of the tripartite arrangement. The National Coalition no longer chair a working group and do not maintain membership on any of the Priority Working Groups.  &#10;• There are two Aboriginal and Torres Strait Islander Working Groups representing Priority One of the Fourth Action Plan and a separate advisory group who have input into all Priority Working Groups, the Strategic Information Group and the National Forum. &#10;• Outside of this governance structure there was an Inter-jurisdictional Child Protection Information Sharing working group which was convened in 2016 in response to the Royal Commission into Institutional Responses to Child Sexual Abuse. This group reported to CAFS. The work of this group was closely linked to the Priority 4, Child Safety Working Group who are progressing the response to Royal Commission recommendations through the Fourth Action Plan.  The group is no longer convened.&#10;• The CAFS Strategic Information Group (SIG) and Children and Families Data Network (CAFDaN) have been convened as part of the Fourth Action Plan. &#10;• The Research Advisory Committee is no longer convened.&#10;"/>
      </w:tblPr>
      <w:tblGrid>
        <w:gridCol w:w="9855"/>
      </w:tblGrid>
      <w:tr w:rsidR="008520C2" w:rsidRPr="001412E5" w14:paraId="48DB6E89" w14:textId="77777777" w:rsidTr="008520C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855" w:type="dxa"/>
            <w:tcBorders>
              <w:top w:val="none" w:sz="0" w:space="0" w:color="auto"/>
              <w:bottom w:val="none" w:sz="0" w:space="0" w:color="auto"/>
            </w:tcBorders>
            <w:shd w:val="clear" w:color="auto" w:fill="FFF0CC" w:themeFill="accent2" w:themeFillTint="33"/>
          </w:tcPr>
          <w:p w14:paraId="4E7E1DC0" w14:textId="3D5D4DCF" w:rsidR="008520C2" w:rsidRPr="008552A8" w:rsidRDefault="008520C2" w:rsidP="008552A8">
            <w:pPr>
              <w:pStyle w:val="ListBullet"/>
              <w:numPr>
                <w:ilvl w:val="0"/>
                <w:numId w:val="0"/>
              </w:numPr>
              <w:ind w:left="284" w:hanging="284"/>
            </w:pPr>
            <w:r w:rsidRPr="008552A8">
              <w:rPr>
                <w:color w:val="D04A02" w:themeColor="accent1"/>
              </w:rPr>
              <w:lastRenderedPageBreak/>
              <w:t xml:space="preserve">Box </w:t>
            </w:r>
            <w:r w:rsidRPr="008552A8">
              <w:rPr>
                <w:color w:val="D04A02" w:themeColor="accent1"/>
              </w:rPr>
              <w:fldChar w:fldCharType="begin"/>
            </w:r>
            <w:r w:rsidRPr="008552A8">
              <w:rPr>
                <w:color w:val="D04A02" w:themeColor="accent1"/>
              </w:rPr>
              <w:instrText xml:space="preserve"> SEQ Box \* ARABIC </w:instrText>
            </w:r>
            <w:r w:rsidRPr="008552A8">
              <w:rPr>
                <w:color w:val="D04A02" w:themeColor="accent1"/>
              </w:rPr>
              <w:fldChar w:fldCharType="separate"/>
            </w:r>
            <w:r w:rsidR="00D75351">
              <w:rPr>
                <w:noProof/>
                <w:color w:val="D04A02" w:themeColor="accent1"/>
              </w:rPr>
              <w:t>1</w:t>
            </w:r>
            <w:r w:rsidRPr="008552A8">
              <w:rPr>
                <w:noProof/>
                <w:color w:val="D04A02" w:themeColor="accent1"/>
              </w:rPr>
              <w:fldChar w:fldCharType="end"/>
            </w:r>
            <w:r w:rsidRPr="008552A8">
              <w:rPr>
                <w:color w:val="D04A02" w:themeColor="accent1"/>
              </w:rPr>
              <w:t xml:space="preserve"> Summary of the evolution of governance</w:t>
            </w:r>
          </w:p>
          <w:p w14:paraId="57482298" w14:textId="77777777" w:rsidR="008520C2" w:rsidRPr="001412E5" w:rsidRDefault="008520C2" w:rsidP="008552A8">
            <w:pPr>
              <w:pStyle w:val="PwCNormal"/>
              <w:spacing w:line="240" w:lineRule="auto"/>
            </w:pPr>
            <w:r w:rsidRPr="001412E5">
              <w:t>Governance arrangements of the Framework and Action Plans have evolved over time both in response to e</w:t>
            </w:r>
            <w:r w:rsidRPr="004C5D6B">
              <w:t xml:space="preserve">xternal changes such as COAG reviews and through internal processes to develop governance arrangements that best meet the needs of the Framework and its action plans. This section summarises some key </w:t>
            </w:r>
            <w:r w:rsidRPr="001412E5">
              <w:t>changes to governance arrangements that give context to the operation of the Third and Fourth Action Plans (which were delivered between 2015 and 2020) as compared to earlier action plans. The evolution covers the period from 2009 to 2020.</w:t>
            </w:r>
          </w:p>
          <w:p w14:paraId="056404E1" w14:textId="77777777" w:rsidR="008520C2" w:rsidRPr="001412E5" w:rsidRDefault="008520C2" w:rsidP="008552A8">
            <w:pPr>
              <w:pStyle w:val="PwCNormal"/>
              <w:spacing w:before="120" w:line="240" w:lineRule="auto"/>
            </w:pPr>
            <w:r w:rsidRPr="001412E5">
              <w:t xml:space="preserve">At inception (2009), the National Framework set out an ambition for arrangements that ensured it was supported by integrated governance that cut across government and the non-government sector in order to plan and implement actions. The governance structure was as follows. </w:t>
            </w:r>
          </w:p>
          <w:p w14:paraId="691BCF2D" w14:textId="7AA78E1C" w:rsidR="008520C2" w:rsidRPr="001412E5" w:rsidRDefault="008520C2" w:rsidP="008552A8">
            <w:pPr>
              <w:pStyle w:val="ListBullet"/>
              <w:spacing w:before="60" w:after="60" w:line="240" w:lineRule="auto"/>
              <w:rPr>
                <w:lang w:eastAsia="en-AU"/>
              </w:rPr>
            </w:pPr>
            <w:r w:rsidRPr="001412E5">
              <w:rPr>
                <w:lang w:eastAsia="en-AU"/>
              </w:rPr>
              <w:t xml:space="preserve">the Community and Disability Services Ministers’ Conference was responsible for the implementation of the National Framework, reporting annually to COAG </w:t>
            </w:r>
          </w:p>
          <w:p w14:paraId="6AE7EE53" w14:textId="77777777" w:rsidR="008520C2" w:rsidRPr="001412E5" w:rsidRDefault="008520C2" w:rsidP="008552A8">
            <w:pPr>
              <w:pStyle w:val="ListBullet"/>
              <w:spacing w:before="60" w:after="60" w:line="240" w:lineRule="auto"/>
              <w:rPr>
                <w:lang w:eastAsia="en-AU"/>
              </w:rPr>
            </w:pPr>
            <w:r w:rsidRPr="001412E5">
              <w:rPr>
                <w:lang w:eastAsia="en-AU"/>
              </w:rPr>
              <w:t xml:space="preserve">a Ministerial Forum on Protecting Australia’s Children was convened to bring together Ministers with responsibilities under the National Framework. The Forum invited contribution from non-government representatives, such as State and Territory Children’s Commissioners and children and young people </w:t>
            </w:r>
          </w:p>
          <w:p w14:paraId="5EAEE574" w14:textId="77777777" w:rsidR="008520C2" w:rsidRPr="001412E5" w:rsidRDefault="008520C2" w:rsidP="008552A8">
            <w:pPr>
              <w:pStyle w:val="ListBullet"/>
              <w:spacing w:before="60" w:after="60" w:line="240" w:lineRule="auto"/>
              <w:rPr>
                <w:lang w:eastAsia="en-AU"/>
              </w:rPr>
            </w:pPr>
            <w:r w:rsidRPr="001412E5">
              <w:rPr>
                <w:lang w:eastAsia="en-AU"/>
              </w:rPr>
              <w:t>the Community and Disability Services Ministers’ Advisory Committee (CDSMAC) to support CDSM to manage the National Framework</w:t>
            </w:r>
          </w:p>
          <w:p w14:paraId="76A5845B" w14:textId="77777777" w:rsidR="008520C2" w:rsidRPr="001412E5" w:rsidRDefault="008520C2" w:rsidP="008552A8">
            <w:pPr>
              <w:pStyle w:val="ListBullet"/>
              <w:spacing w:before="60" w:after="60" w:line="240" w:lineRule="auto"/>
              <w:rPr>
                <w:lang w:eastAsia="en-AU"/>
              </w:rPr>
            </w:pPr>
            <w:r w:rsidRPr="001412E5">
              <w:rPr>
                <w:lang w:eastAsia="en-AU"/>
              </w:rPr>
              <w:t xml:space="preserve">a tripartite National Framework Advisory Committee to advise on the operation of the National Framework, comprising CDSMAC officials with nominees from other sectors (such as health, education and justice) and non-government representatives (such as leading academics, practitioners and peak organisations) </w:t>
            </w:r>
          </w:p>
          <w:p w14:paraId="46D38281" w14:textId="77777777" w:rsidR="008520C2" w:rsidRPr="001412E5" w:rsidRDefault="008520C2" w:rsidP="008552A8">
            <w:pPr>
              <w:pStyle w:val="ListBullet"/>
              <w:spacing w:before="60" w:after="60" w:line="240" w:lineRule="auto"/>
              <w:rPr>
                <w:lang w:eastAsia="en-AU"/>
              </w:rPr>
            </w:pPr>
            <w:r w:rsidRPr="001412E5">
              <w:rPr>
                <w:lang w:eastAsia="en-AU"/>
              </w:rPr>
              <w:t>supporting the formal governance mechanisms were a series of working groups, with members drawn from government and non-government organisations as appropriate.</w:t>
            </w:r>
          </w:p>
          <w:p w14:paraId="0074F383" w14:textId="78D2BF5D" w:rsidR="008520C2" w:rsidRPr="001412E5" w:rsidRDefault="008520C2" w:rsidP="008552A8">
            <w:pPr>
              <w:pStyle w:val="PwCNormal"/>
              <w:numPr>
                <w:ilvl w:val="0"/>
                <w:numId w:val="0"/>
              </w:numPr>
              <w:spacing w:line="240" w:lineRule="auto"/>
            </w:pPr>
            <w:r w:rsidRPr="001412E5">
              <w:t>In March 2011 a significant reform of Ministerial Councils was announced which resulted in the dissolution of the Community and Disability Services Ministers Conference and supporting structures (CDSMAC).</w:t>
            </w:r>
            <w:r w:rsidRPr="003A1173">
              <w:rPr>
                <w:rStyle w:val="FootnoteReference"/>
              </w:rPr>
              <w:footnoteReference w:id="24"/>
            </w:r>
            <w:r w:rsidRPr="003A1173">
              <w:t xml:space="preserve"> </w:t>
            </w:r>
            <w:r w:rsidRPr="001412E5">
              <w:t xml:space="preserve">Between 2011 and 2014 </w:t>
            </w:r>
            <w:r w:rsidRPr="004C5D6B">
              <w:t xml:space="preserve">the National Framework reported to the Standing Council on Community, Housing and Disability Services and was supported by the Standing Council on Community and Disability Services Advisory Council. </w:t>
            </w:r>
          </w:p>
          <w:p w14:paraId="21AE9387" w14:textId="77777777" w:rsidR="008520C2" w:rsidRPr="003A1173" w:rsidRDefault="008520C2" w:rsidP="008552A8">
            <w:pPr>
              <w:pStyle w:val="PwCNormal"/>
              <w:numPr>
                <w:ilvl w:val="0"/>
                <w:numId w:val="0"/>
              </w:numPr>
              <w:spacing w:before="120" w:line="240" w:lineRule="auto"/>
            </w:pPr>
            <w:r w:rsidRPr="001412E5">
              <w:t>Further changes resulted in the dissolution of the Standing Council on Community, Housing and Disability Services in 2014. It was replaced by the Children and Families Secretaries Group (CAFS) and an informal structure referred to as the Community Services Ministers (CSM) meeting, which the National Framework reported to from 2014 onwards. As such the National Framework is no longer sponsored as an initiative of COAG and current COAG performance reporting does not include indicators related to child safety or wellbeing.</w:t>
            </w:r>
            <w:r w:rsidRPr="003A1173">
              <w:rPr>
                <w:rStyle w:val="FootnoteReference"/>
              </w:rPr>
              <w:footnoteReference w:id="25"/>
            </w:r>
            <w:r w:rsidRPr="003A1173">
              <w:t xml:space="preserve">  </w:t>
            </w:r>
          </w:p>
          <w:p w14:paraId="415E5898" w14:textId="01DC362B" w:rsidR="008520C2" w:rsidRPr="001412E5" w:rsidRDefault="008520C2" w:rsidP="008552A8">
            <w:pPr>
              <w:pStyle w:val="PwCNormal"/>
              <w:spacing w:before="120" w:line="240" w:lineRule="auto"/>
              <w:rPr>
                <w:rFonts w:ascii="Arial" w:hAnsi="Arial"/>
                <w:snapToGrid/>
                <w:color w:val="222222"/>
                <w:szCs w:val="18"/>
                <w:lang w:eastAsia="en-AU"/>
              </w:rPr>
            </w:pPr>
            <w:r w:rsidRPr="003A1173">
              <w:t xml:space="preserve">Chapter </w:t>
            </w:r>
            <w:r w:rsidRPr="003A1173">
              <w:fldChar w:fldCharType="begin"/>
            </w:r>
            <w:r w:rsidRPr="001412E5">
              <w:instrText xml:space="preserve"> REF _Ref31233181 \n \h </w:instrText>
            </w:r>
            <w:r>
              <w:instrText xml:space="preserve"> \* MERGEFORMAT </w:instrText>
            </w:r>
            <w:r w:rsidRPr="003A1173">
              <w:fldChar w:fldCharType="separate"/>
            </w:r>
            <w:r w:rsidR="00D75351">
              <w:t>2</w:t>
            </w:r>
            <w:r w:rsidRPr="003A1173">
              <w:fldChar w:fldCharType="end"/>
            </w:r>
            <w:r w:rsidRPr="003A1173">
              <w:t xml:space="preserve"> outlines the governance structure and working groups of the National Framework, as per the Third and Fourth Action Plans. </w:t>
            </w:r>
            <w:r w:rsidRPr="001412E5">
              <w:rPr>
                <w:rFonts w:ascii="Arial" w:hAnsi="Arial"/>
                <w:snapToGrid/>
                <w:color w:val="222222"/>
                <w:szCs w:val="18"/>
                <w:lang w:eastAsia="en-AU"/>
              </w:rPr>
              <w:t xml:space="preserve">The governance arrangements for the Fourth Action Plan had not been finalised prior to </w:t>
            </w:r>
            <w:r w:rsidRPr="004C5D6B">
              <w:rPr>
                <w:rFonts w:ascii="Arial" w:hAnsi="Arial"/>
                <w:snapToGrid/>
                <w:color w:val="222222"/>
                <w:szCs w:val="18"/>
                <w:lang w:eastAsia="en-AU"/>
              </w:rPr>
              <w:t xml:space="preserve">consultation undertaken as part of this evaluation. </w:t>
            </w:r>
            <w:r w:rsidRPr="001412E5">
              <w:rPr>
                <w:rFonts w:ascii="Arial" w:hAnsi="Arial"/>
                <w:snapToGrid/>
                <w:color w:val="222222"/>
                <w:szCs w:val="18"/>
                <w:lang w:eastAsia="en-AU"/>
              </w:rPr>
              <w:t xml:space="preserve">The draft governance structure supporting the Fourth Action Plan demonstrates a number of key changes from the structure under the Third Action Plan including that; </w:t>
            </w:r>
          </w:p>
          <w:p w14:paraId="5B798730" w14:textId="77777777" w:rsidR="008520C2" w:rsidRPr="001412E5" w:rsidRDefault="008520C2" w:rsidP="008552A8">
            <w:pPr>
              <w:pStyle w:val="ListBullet"/>
              <w:spacing w:before="60" w:after="60" w:line="240" w:lineRule="auto"/>
              <w:rPr>
                <w:lang w:eastAsia="en-AU"/>
              </w:rPr>
            </w:pPr>
            <w:r w:rsidRPr="001412E5">
              <w:rPr>
                <w:lang w:eastAsia="en-AU"/>
              </w:rPr>
              <w:t xml:space="preserve">CSM meeting is included within the governance structure diagram. CSM meetings took place during the period of the Third Action Plan and the CSM was designated ultimate responsibility for the Third Action Plan but this group was not included in the governance diagram. </w:t>
            </w:r>
          </w:p>
          <w:p w14:paraId="60441500" w14:textId="77777777" w:rsidR="008520C2" w:rsidRPr="001412E5" w:rsidRDefault="008520C2" w:rsidP="008552A8">
            <w:pPr>
              <w:pStyle w:val="ListBullet"/>
              <w:spacing w:before="60" w:after="60" w:line="240" w:lineRule="auto"/>
              <w:rPr>
                <w:lang w:eastAsia="en-AU"/>
              </w:rPr>
            </w:pPr>
            <w:r w:rsidRPr="001412E5">
              <w:rPr>
                <w:lang w:eastAsia="en-AU"/>
              </w:rPr>
              <w:t xml:space="preserve">Priority Working Groups report directly to CAFS. The Commonwealth, State and Territory Officials Working Group is no longer included in the structure. </w:t>
            </w:r>
          </w:p>
          <w:p w14:paraId="2EE695AA" w14:textId="6273C88D" w:rsidR="008520C2" w:rsidRPr="001412E5" w:rsidRDefault="008520C2" w:rsidP="008552A8">
            <w:pPr>
              <w:pStyle w:val="ListBullet"/>
              <w:spacing w:before="60" w:after="60" w:line="240" w:lineRule="auto"/>
              <w:rPr>
                <w:lang w:eastAsia="en-AU"/>
              </w:rPr>
            </w:pPr>
            <w:r w:rsidRPr="001412E5">
              <w:rPr>
                <w:lang w:eastAsia="en-AU"/>
              </w:rPr>
              <w:t xml:space="preserve">The National Forum provides input and guidance to </w:t>
            </w:r>
            <w:r w:rsidR="004D0CEB">
              <w:rPr>
                <w:lang w:eastAsia="en-AU"/>
              </w:rPr>
              <w:t>w</w:t>
            </w:r>
            <w:r w:rsidRPr="001412E5">
              <w:rPr>
                <w:lang w:eastAsia="en-AU"/>
              </w:rPr>
              <w:t xml:space="preserve">orking </w:t>
            </w:r>
            <w:r w:rsidR="004D0CEB">
              <w:rPr>
                <w:lang w:eastAsia="en-AU"/>
              </w:rPr>
              <w:t>g</w:t>
            </w:r>
            <w:r w:rsidRPr="001412E5">
              <w:rPr>
                <w:lang w:eastAsia="en-AU"/>
              </w:rPr>
              <w:t xml:space="preserve">roups but </w:t>
            </w:r>
            <w:r w:rsidR="004D0CEB">
              <w:rPr>
                <w:lang w:eastAsia="en-AU"/>
              </w:rPr>
              <w:t>w</w:t>
            </w:r>
            <w:r w:rsidRPr="001412E5">
              <w:rPr>
                <w:lang w:eastAsia="en-AU"/>
              </w:rPr>
              <w:t xml:space="preserve">orking </w:t>
            </w:r>
            <w:r w:rsidR="004D0CEB">
              <w:rPr>
                <w:lang w:eastAsia="en-AU"/>
              </w:rPr>
              <w:t>g</w:t>
            </w:r>
            <w:r w:rsidRPr="001412E5">
              <w:rPr>
                <w:lang w:eastAsia="en-AU"/>
              </w:rPr>
              <w:t xml:space="preserve">roups no longer report through the National Forum to CAFS. </w:t>
            </w:r>
          </w:p>
          <w:p w14:paraId="5F086D7A" w14:textId="77777777" w:rsidR="008520C2" w:rsidRPr="001412E5" w:rsidRDefault="008520C2" w:rsidP="008552A8">
            <w:pPr>
              <w:pStyle w:val="ListBullet"/>
              <w:spacing w:before="60" w:after="60" w:line="240" w:lineRule="auto"/>
              <w:rPr>
                <w:lang w:eastAsia="en-AU"/>
              </w:rPr>
            </w:pPr>
            <w:r w:rsidRPr="001412E5">
              <w:rPr>
                <w:lang w:eastAsia="en-AU"/>
              </w:rPr>
              <w:t xml:space="preserve">Alignment of the Working Groups to the four priorities outlined in the Fourth Action Plan plus the Aboriginal and Torres Strait Islander Working Group. Working groups are co-chaired by States/Territories and NOCS instead of being aligned to the three parties of the tripartite arrangement. The National Coalition no longer chair a working group and do not maintain membership on any of the Priority Working Groups.  </w:t>
            </w:r>
          </w:p>
          <w:p w14:paraId="615CCF8A" w14:textId="77777777" w:rsidR="008520C2" w:rsidRPr="001412E5" w:rsidRDefault="008520C2" w:rsidP="008552A8">
            <w:pPr>
              <w:pStyle w:val="ListBullet"/>
              <w:spacing w:before="60" w:after="60" w:line="240" w:lineRule="auto"/>
              <w:rPr>
                <w:lang w:eastAsia="en-AU"/>
              </w:rPr>
            </w:pPr>
            <w:r w:rsidRPr="001412E5">
              <w:rPr>
                <w:lang w:eastAsia="en-AU"/>
              </w:rPr>
              <w:t xml:space="preserve">There are two Aboriginal and Torres Strait Islander Working Groups representing Priority One of the Fourth Action Plan and a separate advisory group who have input into all Priority Working Groups, the Strategic Information Group and the National Forum. </w:t>
            </w:r>
          </w:p>
          <w:p w14:paraId="4092C264" w14:textId="163598E5" w:rsidR="008520C2" w:rsidRPr="001412E5" w:rsidRDefault="008520C2" w:rsidP="008552A8">
            <w:pPr>
              <w:pStyle w:val="ListBullet"/>
              <w:kinsoku/>
              <w:overflowPunct/>
              <w:autoSpaceDE/>
              <w:autoSpaceDN/>
              <w:adjustRightInd/>
              <w:snapToGrid/>
              <w:spacing w:before="60" w:after="60" w:line="240" w:lineRule="auto"/>
              <w:rPr>
                <w:rFonts w:ascii="Arial" w:hAnsi="Arial"/>
                <w:snapToGrid/>
                <w:color w:val="222222"/>
                <w:szCs w:val="18"/>
                <w:lang w:eastAsia="en-AU"/>
              </w:rPr>
            </w:pPr>
            <w:r w:rsidRPr="001412E5">
              <w:rPr>
                <w:lang w:eastAsia="en-AU"/>
              </w:rPr>
              <w:t xml:space="preserve">Outside of this governance structure there </w:t>
            </w:r>
            <w:r w:rsidR="007A1919">
              <w:rPr>
                <w:lang w:eastAsia="en-AU"/>
              </w:rPr>
              <w:t>wa</w:t>
            </w:r>
            <w:r w:rsidRPr="001412E5">
              <w:rPr>
                <w:lang w:eastAsia="en-AU"/>
              </w:rPr>
              <w:t xml:space="preserve">s an Inter-jurisdictional Child Protection Information Sharing working group which was convened in 2016 in response to the Royal Commission </w:t>
            </w:r>
            <w:r w:rsidR="007A1919">
              <w:rPr>
                <w:lang w:eastAsia="en-AU"/>
              </w:rPr>
              <w:t>int</w:t>
            </w:r>
            <w:r w:rsidRPr="001412E5">
              <w:rPr>
                <w:lang w:eastAsia="en-AU"/>
              </w:rPr>
              <w:t xml:space="preserve">o </w:t>
            </w:r>
            <w:r w:rsidR="007A1919">
              <w:rPr>
                <w:lang w:eastAsia="en-AU"/>
              </w:rPr>
              <w:t xml:space="preserve">Institutional Responses to </w:t>
            </w:r>
            <w:r w:rsidRPr="001412E5">
              <w:rPr>
                <w:lang w:eastAsia="en-AU"/>
              </w:rPr>
              <w:t>Child Sexual Abuse</w:t>
            </w:r>
            <w:r w:rsidR="007A1919">
              <w:rPr>
                <w:lang w:eastAsia="en-AU"/>
              </w:rPr>
              <w:t>.</w:t>
            </w:r>
            <w:r w:rsidRPr="001412E5">
              <w:rPr>
                <w:lang w:eastAsia="en-AU"/>
              </w:rPr>
              <w:t xml:space="preserve"> </w:t>
            </w:r>
            <w:r w:rsidR="007A1919">
              <w:rPr>
                <w:lang w:eastAsia="en-AU"/>
              </w:rPr>
              <w:t>T</w:t>
            </w:r>
            <w:r w:rsidR="007A1919" w:rsidRPr="001412E5">
              <w:rPr>
                <w:lang w:eastAsia="en-AU"/>
              </w:rPr>
              <w:t xml:space="preserve">his </w:t>
            </w:r>
            <w:r w:rsidRPr="001412E5">
              <w:rPr>
                <w:lang w:eastAsia="en-AU"/>
              </w:rPr>
              <w:t>group report</w:t>
            </w:r>
            <w:r w:rsidR="007A1919">
              <w:rPr>
                <w:lang w:eastAsia="en-AU"/>
              </w:rPr>
              <w:t>ed</w:t>
            </w:r>
            <w:r w:rsidRPr="001412E5">
              <w:rPr>
                <w:lang w:eastAsia="en-AU"/>
              </w:rPr>
              <w:t xml:space="preserve"> to CAFS. </w:t>
            </w:r>
            <w:r w:rsidR="007A1919">
              <w:rPr>
                <w:lang w:eastAsia="en-AU"/>
              </w:rPr>
              <w:t>The work of t</w:t>
            </w:r>
            <w:r w:rsidRPr="001412E5">
              <w:rPr>
                <w:lang w:eastAsia="en-AU"/>
              </w:rPr>
              <w:t xml:space="preserve">his group </w:t>
            </w:r>
            <w:r w:rsidR="007A1919">
              <w:rPr>
                <w:lang w:eastAsia="en-AU"/>
              </w:rPr>
              <w:t>wa</w:t>
            </w:r>
            <w:r w:rsidR="007A1919" w:rsidRPr="001412E5">
              <w:rPr>
                <w:lang w:eastAsia="en-AU"/>
              </w:rPr>
              <w:t xml:space="preserve">s </w:t>
            </w:r>
            <w:r w:rsidRPr="001412E5">
              <w:rPr>
                <w:lang w:eastAsia="en-AU"/>
              </w:rPr>
              <w:t>closely linked to the Priority 4, Child Safety Working Group who are progressing the response to Royal Commission recommendations through the Fourth Action Plan.</w:t>
            </w:r>
            <w:r w:rsidR="007A1919">
              <w:rPr>
                <w:lang w:eastAsia="en-AU"/>
              </w:rPr>
              <w:t xml:space="preserve">  The group is no longer convened.</w:t>
            </w:r>
          </w:p>
          <w:p w14:paraId="59384753" w14:textId="77777777" w:rsidR="008520C2" w:rsidRPr="001412E5" w:rsidRDefault="008520C2" w:rsidP="008552A8">
            <w:pPr>
              <w:pStyle w:val="ListBullet"/>
              <w:kinsoku/>
              <w:overflowPunct/>
              <w:autoSpaceDE/>
              <w:autoSpaceDN/>
              <w:adjustRightInd/>
              <w:snapToGrid/>
              <w:spacing w:before="60" w:after="60" w:line="240" w:lineRule="auto"/>
              <w:rPr>
                <w:rFonts w:ascii="Arial" w:hAnsi="Arial"/>
                <w:snapToGrid/>
                <w:color w:val="222222"/>
                <w:szCs w:val="18"/>
                <w:lang w:eastAsia="en-AU"/>
              </w:rPr>
            </w:pPr>
            <w:r w:rsidRPr="001412E5">
              <w:rPr>
                <w:lang w:eastAsia="en-AU"/>
              </w:rPr>
              <w:t xml:space="preserve">The CAFS Strategic Information Group (SIG) and Children and Families Data Network (CAFDaN) have been convened as part of the Fourth Action Plan. </w:t>
            </w:r>
          </w:p>
          <w:p w14:paraId="5F15228D" w14:textId="77777777" w:rsidR="008520C2" w:rsidRPr="001412E5" w:rsidRDefault="008520C2" w:rsidP="008552A8">
            <w:pPr>
              <w:pStyle w:val="ListBullet"/>
              <w:kinsoku/>
              <w:overflowPunct/>
              <w:autoSpaceDE/>
              <w:autoSpaceDN/>
              <w:adjustRightInd/>
              <w:snapToGrid/>
              <w:spacing w:before="60" w:after="60" w:line="240" w:lineRule="auto"/>
              <w:rPr>
                <w:rFonts w:ascii="Arial" w:hAnsi="Arial"/>
                <w:snapToGrid/>
                <w:color w:val="222222"/>
                <w:szCs w:val="18"/>
                <w:lang w:eastAsia="en-AU"/>
              </w:rPr>
            </w:pPr>
            <w:r w:rsidRPr="001412E5">
              <w:rPr>
                <w:lang w:eastAsia="en-AU"/>
              </w:rPr>
              <w:t>The Research Advisory Committee is no longer convened.</w:t>
            </w:r>
          </w:p>
        </w:tc>
      </w:tr>
    </w:tbl>
    <w:p w14:paraId="647BCFDA" w14:textId="34F02B20" w:rsidR="008520C2" w:rsidRDefault="008520C2" w:rsidP="008552A8">
      <w:pPr>
        <w:pStyle w:val="Minorheading"/>
      </w:pPr>
      <w:r>
        <w:lastRenderedPageBreak/>
        <w:t>Governance membership and representation</w:t>
      </w:r>
    </w:p>
    <w:p w14:paraId="78E3FFD1" w14:textId="675C8C36" w:rsidR="00D36A99" w:rsidRPr="003A1173" w:rsidRDefault="00D36A99" w:rsidP="00D36A99">
      <w:pPr>
        <w:pStyle w:val="ListBullet"/>
        <w:numPr>
          <w:ilvl w:val="0"/>
          <w:numId w:val="0"/>
        </w:numPr>
      </w:pPr>
      <w:r w:rsidRPr="003A1173">
        <w:t>In addition to the changes related to COAG structures, membership of the National Forum and Working Groups was heavily focussed on both government and non-government representatives from the child protection space which limited the Framework’s ability to have broader influence. Views</w:t>
      </w:r>
      <w:r w:rsidR="00E16EBA" w:rsidRPr="003A1173">
        <w:t xml:space="preserve"> provided</w:t>
      </w:r>
      <w:r w:rsidRPr="003A1173">
        <w:t xml:space="preserve"> included</w:t>
      </w:r>
      <w:r w:rsidR="00E16EBA" w:rsidRPr="003A1173">
        <w:t xml:space="preserve"> that</w:t>
      </w:r>
      <w:r w:rsidRPr="003A1173">
        <w:t xml:space="preserve">: </w:t>
      </w:r>
    </w:p>
    <w:p w14:paraId="5DD9FD98" w14:textId="6DCA35C3" w:rsidR="00D36A99" w:rsidRPr="003A1173" w:rsidRDefault="00D36A99" w:rsidP="00D36A99">
      <w:pPr>
        <w:pStyle w:val="ListBullet"/>
      </w:pPr>
      <w:r w:rsidRPr="001412E5">
        <w:t>a few organisations and a couple of focus groups reported that despite the broad membership of the National Coalition on Child Safety and Wellbeing (convened by Families Australia), the representative organisations o</w:t>
      </w:r>
      <w:r w:rsidRPr="004C5D6B">
        <w:t xml:space="preserve">n the Forum were mostly focussed on the statutory child protection space. It was reported that this led to a </w:t>
      </w:r>
      <w:r w:rsidRPr="003A1173">
        <w:t xml:space="preserve">narrowing of the priorities discussed </w:t>
      </w:r>
      <w:r w:rsidR="005E548D" w:rsidRPr="003A1173">
        <w:t>for action in the Third and Fourth Action Plans</w:t>
      </w:r>
      <w:r w:rsidRPr="003A1173">
        <w:t xml:space="preserve">. </w:t>
      </w:r>
    </w:p>
    <w:p w14:paraId="0EE2960D" w14:textId="607E1DB9" w:rsidR="00D36A99" w:rsidRPr="003A1173" w:rsidRDefault="00D36A99" w:rsidP="00D36A99">
      <w:pPr>
        <w:pStyle w:val="ListBullet"/>
      </w:pPr>
      <w:r w:rsidRPr="003A1173">
        <w:t xml:space="preserve">a few organisations also reported that government representation on the National Forum and Working Groups was also focussed heavily on child protection departments (state/territory) and DSS (Commonwealth). Organisations indicated that although Commonwealth Departments of Education and Health have been involved throughout, there were opportunities to better enhance representation. </w:t>
      </w:r>
      <w:r w:rsidR="00E93F1F">
        <w:t xml:space="preserve">Enhanced representation occurred after the establishment of the </w:t>
      </w:r>
      <w:r w:rsidRPr="003A1173">
        <w:t>National Office for Child Safety</w:t>
      </w:r>
      <w:r w:rsidR="00E93F1F">
        <w:t xml:space="preserve"> and</w:t>
      </w:r>
      <w:r w:rsidRPr="003A1173">
        <w:t xml:space="preserve"> the National Indigenous Australians Agency (NIAA)</w:t>
      </w:r>
      <w:r w:rsidR="00E93F1F">
        <w:t>.</w:t>
      </w:r>
      <w:r w:rsidRPr="003A1173">
        <w:t xml:space="preserve"> In addition, organisations referenced that the state/territory government representation has almost exclusively included child protection departments except in case where child protection is delivered as part of a broader portfolio in a jurisdiction. This has resulted in the exclusion of broader state representation among related portfolios such as disability, justice, community services and housing. </w:t>
      </w:r>
    </w:p>
    <w:p w14:paraId="25A31E6E" w14:textId="1CCBA1CF" w:rsidR="00E16EBA" w:rsidRPr="003A1173" w:rsidRDefault="00D36A99" w:rsidP="00D36A99">
      <w:pPr>
        <w:pStyle w:val="ListBullet"/>
        <w:numPr>
          <w:ilvl w:val="0"/>
          <w:numId w:val="0"/>
        </w:numPr>
      </w:pPr>
      <w:r w:rsidRPr="003A1173">
        <w:t xml:space="preserve">Further impacts related to coordination and influence of the broader policy agenda are outlined in detailed in Chapter </w:t>
      </w:r>
      <w:r w:rsidRPr="003A1173">
        <w:fldChar w:fldCharType="begin"/>
      </w:r>
      <w:r w:rsidRPr="003A1173">
        <w:instrText xml:space="preserve"> REF _Ref31235635 \n \h </w:instrText>
      </w:r>
      <w:r w:rsidR="003A1173">
        <w:instrText xml:space="preserve"> \* MERGEFORMAT </w:instrText>
      </w:r>
      <w:r w:rsidRPr="003A1173">
        <w:fldChar w:fldCharType="separate"/>
      </w:r>
      <w:r w:rsidR="00D75351">
        <w:t>5</w:t>
      </w:r>
      <w:r w:rsidRPr="003A1173">
        <w:fldChar w:fldCharType="end"/>
      </w:r>
      <w:r w:rsidR="005E548D" w:rsidRPr="003A1173">
        <w:t>.</w:t>
      </w:r>
      <w:r w:rsidRPr="003A1173">
        <w:t xml:space="preserve"> </w:t>
      </w:r>
    </w:p>
    <w:p w14:paraId="288C2DBE" w14:textId="0DFB2DC9" w:rsidR="008520C2" w:rsidRDefault="008520C2" w:rsidP="008520C2">
      <w:pPr>
        <w:pStyle w:val="Minorheading"/>
      </w:pPr>
      <w:r>
        <w:t>Strategic direction and decision-making</w:t>
      </w:r>
    </w:p>
    <w:tbl>
      <w:tblPr>
        <w:tblStyle w:val="PwCColour"/>
        <w:tblW w:w="0" w:type="auto"/>
        <w:tblBorders>
          <w:top w:val="single" w:sz="4" w:space="0" w:color="EB8C00" w:themeColor="accent4"/>
          <w:left w:val="single" w:sz="4" w:space="0" w:color="EB8C00" w:themeColor="accent4"/>
          <w:bottom w:val="single" w:sz="4" w:space="0" w:color="EB8C00" w:themeColor="accent4"/>
          <w:right w:val="single" w:sz="4" w:space="0" w:color="EB8C00" w:themeColor="accent4"/>
          <w:insideH w:val="none" w:sz="0" w:space="0" w:color="auto"/>
          <w:insideV w:val="none" w:sz="0" w:space="0" w:color="auto"/>
        </w:tblBorders>
        <w:shd w:val="clear" w:color="auto" w:fill="FED8C3" w:themeFill="accent1" w:themeFillTint="33"/>
        <w:tblLook w:val="04A0" w:firstRow="1" w:lastRow="0" w:firstColumn="1" w:lastColumn="0" w:noHBand="0" w:noVBand="1"/>
        <w:tblDescription w:val="The Third Action Plan was seen as the most effective through implementation, largely driven by its rationalisation of actions and focus on the child protection system where National Forum members had greater leverage to influence activity.&#10;The Framework and its governance mechanisms were unable to influence the broad strategic direction of governments and service sectors outside of child protection. This inability was influenced by successive changes to the governance structure which removed it from COAG oversight and the narrow membership of the National Forum which resulted in the Forum having limited networks and influence in broader service sectors.&#10;The governance structure did not drive consensus in decision-making within the National Forum and was ineffective in holding members accountable for outcomes of the Framework.&#10;"/>
      </w:tblPr>
      <w:tblGrid>
        <w:gridCol w:w="9855"/>
      </w:tblGrid>
      <w:tr w:rsidR="00D36A99" w:rsidRPr="001412E5" w14:paraId="19C56F30" w14:textId="77777777" w:rsidTr="00A0473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855" w:type="dxa"/>
            <w:tcBorders>
              <w:top w:val="none" w:sz="0" w:space="0" w:color="auto"/>
              <w:bottom w:val="none" w:sz="0" w:space="0" w:color="auto"/>
            </w:tcBorders>
            <w:shd w:val="clear" w:color="auto" w:fill="FED8C3" w:themeFill="accent1" w:themeFillTint="33"/>
            <w:vAlign w:val="center"/>
          </w:tcPr>
          <w:p w14:paraId="6F8D7FF1" w14:textId="77777777" w:rsidR="00FD46F5" w:rsidRPr="003A1173" w:rsidRDefault="00FD46F5" w:rsidP="00FA3E74">
            <w:pPr>
              <w:pStyle w:val="ListBullet"/>
              <w:numPr>
                <w:ilvl w:val="0"/>
                <w:numId w:val="0"/>
              </w:numPr>
              <w:ind w:left="284"/>
            </w:pPr>
            <w:r w:rsidRPr="003A1173">
              <w:t>The Third Action Plan was seen as the most effective through implementation, largely driven by its rationalisation of actions and focus on the child protection system where National Forum members had greater leverage to influence activity.</w:t>
            </w:r>
          </w:p>
          <w:p w14:paraId="22722ACD" w14:textId="4E1596CA" w:rsidR="00FD46F5" w:rsidRPr="003A1173" w:rsidRDefault="00300603" w:rsidP="00FA3E74">
            <w:pPr>
              <w:pStyle w:val="ListBullet"/>
              <w:numPr>
                <w:ilvl w:val="0"/>
                <w:numId w:val="0"/>
              </w:numPr>
              <w:ind w:left="284"/>
            </w:pPr>
            <w:r w:rsidRPr="003A1173">
              <w:t>The</w:t>
            </w:r>
            <w:r w:rsidR="00FD46F5" w:rsidRPr="003A1173">
              <w:t xml:space="preserve"> Framework and its governance mechanisms </w:t>
            </w:r>
            <w:r w:rsidRPr="003A1173">
              <w:t xml:space="preserve">were unable </w:t>
            </w:r>
            <w:r w:rsidR="00FD46F5" w:rsidRPr="003A1173">
              <w:t xml:space="preserve">to influence the broad strategic direction of governments and service sectors outside of child protection. This </w:t>
            </w:r>
            <w:r w:rsidRPr="003A1173">
              <w:t xml:space="preserve">inability </w:t>
            </w:r>
            <w:r w:rsidR="00FD46F5" w:rsidRPr="003A1173">
              <w:t>was influenced by successive changes to the governance structure which removed it from COAG oversight and the narrow membership of the National Forum which resulted in the Forum having limited networks and influence in broader service sectors.</w:t>
            </w:r>
          </w:p>
          <w:p w14:paraId="10E0C3D5" w14:textId="77777777" w:rsidR="00FD46F5" w:rsidRPr="003A1173" w:rsidRDefault="00FD46F5" w:rsidP="00FA3E74">
            <w:pPr>
              <w:pStyle w:val="ListBullet"/>
              <w:numPr>
                <w:ilvl w:val="0"/>
                <w:numId w:val="0"/>
              </w:numPr>
              <w:ind w:left="284"/>
            </w:pPr>
            <w:r w:rsidRPr="003A1173">
              <w:t>The governance structure did not drive consensus in decision-making within the National Forum and was ineffective in holding members accountable for outcomes of the Framework.</w:t>
            </w:r>
          </w:p>
        </w:tc>
      </w:tr>
    </w:tbl>
    <w:p w14:paraId="46474FBE" w14:textId="77777777" w:rsidR="00D36A99" w:rsidRPr="001412E5" w:rsidRDefault="00D36A99" w:rsidP="00D36A99">
      <w:pPr>
        <w:pStyle w:val="PwCNormal-Single"/>
      </w:pPr>
    </w:p>
    <w:p w14:paraId="38CAF48E" w14:textId="77777777" w:rsidR="00D36A99" w:rsidRPr="003A1173" w:rsidRDefault="00D36A99" w:rsidP="00D36A99">
      <w:pPr>
        <w:pStyle w:val="ListBullet"/>
        <w:numPr>
          <w:ilvl w:val="0"/>
          <w:numId w:val="0"/>
        </w:numPr>
        <w:rPr>
          <w:lang w:eastAsia="en-AU"/>
        </w:rPr>
      </w:pPr>
      <w:r w:rsidRPr="001412E5">
        <w:rPr>
          <w:lang w:eastAsia="en-AU"/>
        </w:rPr>
        <w:t xml:space="preserve">Stakeholders </w:t>
      </w:r>
      <w:r w:rsidR="00FD46F5" w:rsidRPr="001412E5">
        <w:rPr>
          <w:lang w:eastAsia="en-AU"/>
        </w:rPr>
        <w:t xml:space="preserve">familiar with the governance structure that underpinned the National Framework </w:t>
      </w:r>
      <w:r w:rsidRPr="001412E5">
        <w:rPr>
          <w:lang w:eastAsia="en-AU"/>
        </w:rPr>
        <w:t xml:space="preserve">reported positively on some aspects of the governance structure but generally agreed </w:t>
      </w:r>
      <w:r w:rsidRPr="003A1173">
        <w:rPr>
          <w:lang w:eastAsia="en-AU"/>
        </w:rPr>
        <w:t xml:space="preserve">that challenges in reaching agreement and/or decisions outweighed the positives. </w:t>
      </w:r>
    </w:p>
    <w:p w14:paraId="4603A214" w14:textId="0BD15496" w:rsidR="00D36A99" w:rsidRPr="003A1173" w:rsidRDefault="00D36A99" w:rsidP="003A1173">
      <w:pPr>
        <w:pStyle w:val="ListBullet"/>
        <w:numPr>
          <w:ilvl w:val="0"/>
          <w:numId w:val="0"/>
        </w:numPr>
        <w:rPr>
          <w:lang w:eastAsia="en-AU"/>
        </w:rPr>
      </w:pPr>
      <w:r w:rsidRPr="003A1173">
        <w:rPr>
          <w:lang w:eastAsia="en-AU"/>
        </w:rPr>
        <w:t xml:space="preserve">A few stakeholders highlighted that the current governance structure for the Fourth Action Plan has not been agreed or finalised. </w:t>
      </w:r>
      <w:r w:rsidR="00FD46F5" w:rsidRPr="003A1173">
        <w:rPr>
          <w:lang w:eastAsia="en-AU"/>
        </w:rPr>
        <w:t xml:space="preserve">A greater number of </w:t>
      </w:r>
      <w:r w:rsidRPr="003A1173">
        <w:rPr>
          <w:lang w:eastAsia="en-AU"/>
        </w:rPr>
        <w:t xml:space="preserve">organisations indicated that this challenge was broader than just the Fourth Action Plan and reported that the roles and responsibilities of tripartite members has never been well defined. This is supported by the desktop analysis of the terms of reference documents which is provided in </w:t>
      </w:r>
      <w:r w:rsidRPr="003A1173">
        <w:rPr>
          <w:lang w:eastAsia="en-AU"/>
        </w:rPr>
        <w:fldChar w:fldCharType="begin"/>
      </w:r>
      <w:r w:rsidRPr="001412E5">
        <w:rPr>
          <w:lang w:eastAsia="en-AU"/>
        </w:rPr>
        <w:instrText xml:space="preserve"> REF _Ref31236058 \n \h </w:instrText>
      </w:r>
      <w:r w:rsidR="003A1173">
        <w:rPr>
          <w:lang w:eastAsia="en-AU"/>
        </w:rPr>
        <w:instrText xml:space="preserve"> \* MERGEFORMAT </w:instrText>
      </w:r>
      <w:r w:rsidRPr="003A1173">
        <w:rPr>
          <w:lang w:eastAsia="en-AU"/>
        </w:rPr>
      </w:r>
      <w:r w:rsidRPr="003A1173">
        <w:rPr>
          <w:lang w:eastAsia="en-AU"/>
        </w:rPr>
        <w:fldChar w:fldCharType="separate"/>
      </w:r>
      <w:r w:rsidR="00D75351">
        <w:rPr>
          <w:lang w:eastAsia="en-AU"/>
        </w:rPr>
        <w:t>Appendix B</w:t>
      </w:r>
      <w:r w:rsidRPr="003A1173">
        <w:rPr>
          <w:lang w:eastAsia="en-AU"/>
        </w:rPr>
        <w:fldChar w:fldCharType="end"/>
      </w:r>
      <w:r w:rsidRPr="003A1173">
        <w:rPr>
          <w:lang w:eastAsia="en-AU"/>
        </w:rPr>
        <w:t xml:space="preserve"> and shows that there were inconsistent approaches to what information is included, how terms of reference are generated and signed off. </w:t>
      </w:r>
    </w:p>
    <w:p w14:paraId="146DACF7" w14:textId="77777777" w:rsidR="00D36A99" w:rsidRPr="003A1173" w:rsidRDefault="00FD46F5" w:rsidP="00D36A99">
      <w:pPr>
        <w:pStyle w:val="ListBullet"/>
        <w:numPr>
          <w:ilvl w:val="0"/>
          <w:numId w:val="0"/>
        </w:numPr>
        <w:rPr>
          <w:lang w:eastAsia="en-AU"/>
        </w:rPr>
      </w:pPr>
      <w:r w:rsidRPr="003A1173">
        <w:rPr>
          <w:lang w:eastAsia="en-AU"/>
        </w:rPr>
        <w:t>O</w:t>
      </w:r>
      <w:r w:rsidR="00D36A99" w:rsidRPr="003A1173">
        <w:rPr>
          <w:lang w:eastAsia="en-AU"/>
        </w:rPr>
        <w:t>rganisations reported that inter-jurisdictional collaboration was a key strength of the governance arrangements, particularly in relation to convening the National Forum and the working groups</w:t>
      </w:r>
      <w:r w:rsidRPr="003A1173">
        <w:rPr>
          <w:lang w:eastAsia="en-AU"/>
        </w:rPr>
        <w:t>, including that</w:t>
      </w:r>
      <w:r w:rsidR="00D36A99" w:rsidRPr="003A1173">
        <w:rPr>
          <w:lang w:eastAsia="en-AU"/>
        </w:rPr>
        <w:t xml:space="preserve">: </w:t>
      </w:r>
    </w:p>
    <w:p w14:paraId="4E912F16" w14:textId="77777777" w:rsidR="00D36A99" w:rsidRPr="003A1173" w:rsidRDefault="00D36A99" w:rsidP="00D36A99">
      <w:pPr>
        <w:pStyle w:val="ListBullet"/>
        <w:rPr>
          <w:lang w:eastAsia="en-AU"/>
        </w:rPr>
      </w:pPr>
      <w:r w:rsidRPr="003A1173">
        <w:rPr>
          <w:lang w:eastAsia="en-AU"/>
        </w:rPr>
        <w:t>the National Forum enforced a level of collaboration between members and that that the inclusion of NGOs on the National Forum helped to bridge jurisdictional boundaries and share lessons from around Australia</w:t>
      </w:r>
    </w:p>
    <w:p w14:paraId="450E2280" w14:textId="5872D741" w:rsidR="00D36A99" w:rsidRPr="001412E5" w:rsidRDefault="00D36A99" w:rsidP="00D36A99">
      <w:pPr>
        <w:pStyle w:val="ListBullet"/>
        <w:rPr>
          <w:lang w:eastAsia="en-AU"/>
        </w:rPr>
      </w:pPr>
      <w:r w:rsidRPr="003A1173">
        <w:lastRenderedPageBreak/>
        <w:t xml:space="preserve">a key issue regarding the governance was a lack of senior government attendance to the National Forum and working groups which meant delegates were not authorised to commit to implementing actions. These organisations highlighted that the seniority of government attendees reduced over time and stymied momentum for implementation and collaboration. </w:t>
      </w:r>
    </w:p>
    <w:p w14:paraId="702328B0" w14:textId="4DDC6D4B" w:rsidR="008520C2" w:rsidRDefault="008520C2" w:rsidP="008552A8">
      <w:pPr>
        <w:pStyle w:val="Minorheading"/>
      </w:pPr>
      <w:r>
        <w:t>Tripartite governance structure</w:t>
      </w:r>
    </w:p>
    <w:p w14:paraId="4A4E687C" w14:textId="308B6EB7" w:rsidR="00D36A99" w:rsidRPr="003A1173" w:rsidRDefault="00D36A99" w:rsidP="00D36A99">
      <w:pPr>
        <w:pStyle w:val="ListBullet"/>
        <w:numPr>
          <w:ilvl w:val="0"/>
          <w:numId w:val="0"/>
        </w:numPr>
        <w:rPr>
          <w:lang w:eastAsia="en-AU"/>
        </w:rPr>
      </w:pPr>
      <w:r w:rsidRPr="001412E5">
        <w:rPr>
          <w:lang w:eastAsia="en-AU"/>
        </w:rPr>
        <w:t>Some organisations reported that the tripartite nature of the governance was a key strength and something that set it apart from other national frameworks and policies in the beginning</w:t>
      </w:r>
      <w:r w:rsidRPr="003A1173">
        <w:rPr>
          <w:lang w:eastAsia="en-AU"/>
        </w:rPr>
        <w:t xml:space="preserve"> however over</w:t>
      </w:r>
      <w:r w:rsidR="00FD46F5" w:rsidRPr="003A1173">
        <w:rPr>
          <w:lang w:eastAsia="en-AU"/>
        </w:rPr>
        <w:t xml:space="preserve"> </w:t>
      </w:r>
      <w:r w:rsidRPr="003A1173">
        <w:rPr>
          <w:lang w:eastAsia="en-AU"/>
        </w:rPr>
        <w:t>time the tripartite nature evolved and became less productive. Views in relation to the tripartite nature of the governance included:</w:t>
      </w:r>
    </w:p>
    <w:p w14:paraId="3D0B2AAC" w14:textId="77777777" w:rsidR="00D36A99" w:rsidRPr="001412E5" w:rsidRDefault="00D36A99" w:rsidP="00D36A99">
      <w:pPr>
        <w:pStyle w:val="ListBullet"/>
        <w:rPr>
          <w:lang w:eastAsia="en-AU"/>
        </w:rPr>
      </w:pPr>
      <w:r w:rsidRPr="003A1173">
        <w:rPr>
          <w:lang w:eastAsia="en-AU"/>
        </w:rPr>
        <w:t xml:space="preserve">that the draft governance structure for the </w:t>
      </w:r>
      <w:r w:rsidRPr="001412E5">
        <w:rPr>
          <w:lang w:eastAsia="en-AU"/>
        </w:rPr>
        <w:t>Fourth Action Plan effectively dissolves the tripartite nature of the governance by removing the National Coalition from all decision-making bodies and working groups.</w:t>
      </w:r>
      <w:r w:rsidRPr="003A1173">
        <w:rPr>
          <w:lang w:eastAsia="en-AU"/>
        </w:rPr>
        <w:t xml:space="preserve"> Desktop analysis of the Fourth Action Plan governance structure identifies that membership of the priority working groups has been limited to the </w:t>
      </w:r>
      <w:r w:rsidRPr="001412E5">
        <w:rPr>
          <w:lang w:eastAsia="en-AU"/>
        </w:rPr>
        <w:t xml:space="preserve">state/territory and Commonwealth governments. As the working groups have shifted to report directly </w:t>
      </w:r>
      <w:r w:rsidR="00427AEB" w:rsidRPr="001412E5">
        <w:rPr>
          <w:lang w:eastAsia="en-AU"/>
        </w:rPr>
        <w:t xml:space="preserve">to </w:t>
      </w:r>
      <w:r w:rsidRPr="001412E5">
        <w:rPr>
          <w:lang w:eastAsia="en-AU"/>
        </w:rPr>
        <w:t xml:space="preserve">CAFS under this structure, stakeholders perceived that these changes risk that the National Coalition is not appropriately consulted as part of decision-making processes </w:t>
      </w:r>
    </w:p>
    <w:p w14:paraId="7070E937" w14:textId="77777777" w:rsidR="00D36A99" w:rsidRPr="003A1173" w:rsidRDefault="00D36A99" w:rsidP="00D36A99">
      <w:pPr>
        <w:pStyle w:val="ListBullet"/>
        <w:rPr>
          <w:lang w:eastAsia="en-AU"/>
        </w:rPr>
      </w:pPr>
      <w:r w:rsidRPr="003A1173">
        <w:rPr>
          <w:lang w:eastAsia="en-AU"/>
        </w:rPr>
        <w:t xml:space="preserve">that </w:t>
      </w:r>
      <w:r w:rsidRPr="001412E5">
        <w:rPr>
          <w:lang w:eastAsia="en-AU"/>
        </w:rPr>
        <w:t xml:space="preserve">representatives of the National Coalition on the National Forum were organisations that were focussed on the statutory child protection </w:t>
      </w:r>
      <w:r w:rsidR="00427AEB" w:rsidRPr="001412E5">
        <w:rPr>
          <w:lang w:eastAsia="en-AU"/>
        </w:rPr>
        <w:t>sector</w:t>
      </w:r>
      <w:r w:rsidR="00427AEB" w:rsidRPr="003A1173">
        <w:rPr>
          <w:lang w:eastAsia="en-AU"/>
        </w:rPr>
        <w:t xml:space="preserve"> </w:t>
      </w:r>
      <w:r w:rsidRPr="003A1173">
        <w:rPr>
          <w:lang w:eastAsia="en-AU"/>
        </w:rPr>
        <w:t xml:space="preserve">and reflected that this group heavily influenced conversation and focus towards the child protection space. </w:t>
      </w:r>
      <w:r w:rsidR="00196D37" w:rsidRPr="001412E5">
        <w:rPr>
          <w:lang w:eastAsia="en-AU"/>
        </w:rPr>
        <w:t>T</w:t>
      </w:r>
      <w:r w:rsidRPr="004C5D6B">
        <w:rPr>
          <w:lang w:eastAsia="en-AU"/>
        </w:rPr>
        <w:t xml:space="preserve">his focus sometimes hampered conversation and effort to discuss a broader early intervention and prevention agenda. </w:t>
      </w:r>
      <w:r w:rsidRPr="001412E5">
        <w:rPr>
          <w:lang w:eastAsia="en-AU"/>
        </w:rPr>
        <w:t>Some organisations reported that the rationalisation of working groups under the Fourth Action Plan enables greater focus on the delivery of planned early intervention and prevention initiatives</w:t>
      </w:r>
      <w:r w:rsidRPr="003A1173">
        <w:rPr>
          <w:lang w:eastAsia="en-AU"/>
        </w:rPr>
        <w:t xml:space="preserve">. </w:t>
      </w:r>
    </w:p>
    <w:p w14:paraId="5D05CFF7" w14:textId="61E03206" w:rsidR="008520C2" w:rsidRDefault="008520C2" w:rsidP="008552A8">
      <w:pPr>
        <w:pStyle w:val="Minorheading"/>
      </w:pPr>
      <w:r>
        <w:t>Role of the working groups</w:t>
      </w:r>
    </w:p>
    <w:p w14:paraId="36AFCFED" w14:textId="46058681" w:rsidR="00D36A99" w:rsidRPr="001412E5" w:rsidRDefault="00D36A99" w:rsidP="00D36A99">
      <w:pPr>
        <w:pStyle w:val="ListBullet"/>
        <w:numPr>
          <w:ilvl w:val="0"/>
          <w:numId w:val="0"/>
        </w:numPr>
        <w:rPr>
          <w:lang w:eastAsia="en-AU"/>
        </w:rPr>
      </w:pPr>
      <w:r w:rsidRPr="003A1173">
        <w:rPr>
          <w:lang w:eastAsia="en-AU"/>
        </w:rPr>
        <w:t xml:space="preserve">A few organisations reported that in the Third and Fourth Action Plan working groups </w:t>
      </w:r>
      <w:r w:rsidRPr="001412E5">
        <w:rPr>
          <w:lang w:eastAsia="en-AU"/>
        </w:rPr>
        <w:t>there has been increasing pressure to use the working groups to address or respond to the recommendations of inquiries, reviews and Royal Commissions.</w:t>
      </w:r>
      <w:r w:rsidRPr="003A1173">
        <w:rPr>
          <w:lang w:eastAsia="en-AU"/>
        </w:rPr>
        <w:t xml:space="preserve"> This was also supported in focus group discussions which indicated that as CAFS took on responsibility for ensuring</w:t>
      </w:r>
      <w:r>
        <w:rPr>
          <w:lang w:eastAsia="en-AU"/>
        </w:rPr>
        <w:t xml:space="preserve"> the full implementation of </w:t>
      </w:r>
      <w:r w:rsidRPr="001412E5">
        <w:rPr>
          <w:lang w:eastAsia="en-AU"/>
        </w:rPr>
        <w:t>Royal Commission</w:t>
      </w:r>
      <w:r w:rsidR="00821087" w:rsidRPr="001412E5">
        <w:rPr>
          <w:lang w:eastAsia="en-AU"/>
        </w:rPr>
        <w:t xml:space="preserve"> into Institutional Responses to Child Sexual Abuse</w:t>
      </w:r>
      <w:r w:rsidRPr="001412E5">
        <w:rPr>
          <w:lang w:eastAsia="en-AU"/>
        </w:rPr>
        <w:t xml:space="preserve"> recommendations, the National Forum and Working Groups became a natural mechanism to drive this work forward. This is supported by desktop analysis which found that: </w:t>
      </w:r>
    </w:p>
    <w:p w14:paraId="11C89523" w14:textId="77777777" w:rsidR="00D36A99" w:rsidRPr="001412E5" w:rsidRDefault="00D36A99" w:rsidP="00D36A99">
      <w:pPr>
        <w:pStyle w:val="ListBullet"/>
        <w:rPr>
          <w:lang w:eastAsia="en-AU"/>
        </w:rPr>
      </w:pPr>
      <w:r w:rsidRPr="001412E5">
        <w:rPr>
          <w:lang w:eastAsia="en-AU"/>
        </w:rPr>
        <w:t xml:space="preserve">the Terms of Reference for working groups in the Fourth Action Plan includes a broader mandate to respond to the priorities of CAFS and the CSM. This appears to be in line with a decision which was reached at the November 2017 National Forum and referenced at the August 2018 National Forum to move away from an implementation focus for the working groups (in reference to the working groups under the Third Action Plan) to a more ‘strategic approach’ and to streamline the membership of the working groups </w:t>
      </w:r>
    </w:p>
    <w:p w14:paraId="570E119E" w14:textId="77777777" w:rsidR="00D36A99" w:rsidRPr="001412E5" w:rsidRDefault="00D36A99" w:rsidP="00D36A99">
      <w:pPr>
        <w:pStyle w:val="ListBullet"/>
        <w:rPr>
          <w:lang w:eastAsia="en-AU"/>
        </w:rPr>
      </w:pPr>
      <w:r>
        <w:rPr>
          <w:lang w:eastAsia="en-AU"/>
        </w:rPr>
        <w:t>the inclusion of CAFS Strategic Information Group (CAFS SIG) and Children and Families Data Network (CAFDaN</w:t>
      </w:r>
      <w:r>
        <w:rPr>
          <w:rStyle w:val="CommentReference"/>
        </w:rPr>
        <w:t xml:space="preserve">) </w:t>
      </w:r>
      <w:r w:rsidR="002B75DA">
        <w:rPr>
          <w:rStyle w:val="CommentReference"/>
        </w:rPr>
        <w:t>i</w:t>
      </w:r>
      <w:r>
        <w:rPr>
          <w:lang w:eastAsia="en-AU"/>
        </w:rPr>
        <w:t xml:space="preserve">n the governance structure appeared to be a </w:t>
      </w:r>
      <w:r w:rsidRPr="001412E5">
        <w:rPr>
          <w:lang w:eastAsia="en-AU"/>
        </w:rPr>
        <w:t xml:space="preserve">mechanism for responding to and aligning with the </w:t>
      </w:r>
      <w:r w:rsidRPr="001412E5">
        <w:rPr>
          <w:i/>
          <w:lang w:eastAsia="en-AU"/>
        </w:rPr>
        <w:t>Royal Commission into Institutional Responses to Child Sexual Abuse</w:t>
      </w:r>
      <w:r w:rsidRPr="001412E5">
        <w:rPr>
          <w:lang w:eastAsia="en-AU"/>
        </w:rPr>
        <w:t xml:space="preserve"> and the</w:t>
      </w:r>
      <w:r w:rsidRPr="004C5D6B">
        <w:rPr>
          <w:lang w:eastAsia="en-AU"/>
        </w:rPr>
        <w:t xml:space="preserve"> </w:t>
      </w:r>
      <w:r w:rsidRPr="004C5D6B">
        <w:rPr>
          <w:i/>
          <w:lang w:eastAsia="en-AU"/>
        </w:rPr>
        <w:t>Royal Commission into the Protection and Detention of Children in the Northern Territory</w:t>
      </w:r>
      <w:r w:rsidRPr="001412E5">
        <w:rPr>
          <w:lang w:eastAsia="en-AU"/>
        </w:rPr>
        <w:t>.</w:t>
      </w:r>
      <w:r w:rsidRPr="001412E5">
        <w:rPr>
          <w:rStyle w:val="FootnoteReference"/>
          <w:lang w:eastAsia="en-AU"/>
        </w:rPr>
        <w:footnoteReference w:id="26"/>
      </w:r>
      <w:r w:rsidRPr="001412E5">
        <w:rPr>
          <w:lang w:eastAsia="en-AU"/>
        </w:rPr>
        <w:t xml:space="preserve">  </w:t>
      </w:r>
    </w:p>
    <w:p w14:paraId="51C6B330" w14:textId="77777777" w:rsidR="00D36A99" w:rsidRPr="001412E5" w:rsidRDefault="00432DF8" w:rsidP="00D36A99">
      <w:pPr>
        <w:pStyle w:val="ListBullet"/>
        <w:numPr>
          <w:ilvl w:val="0"/>
          <w:numId w:val="0"/>
        </w:numPr>
        <w:rPr>
          <w:lang w:eastAsia="en-AU"/>
        </w:rPr>
      </w:pPr>
      <w:r w:rsidRPr="001412E5">
        <w:rPr>
          <w:lang w:eastAsia="en-AU"/>
        </w:rPr>
        <w:t>The impact of using the governance structures of the National Framework for a purpose other than that specified in its Terms of Reference and planned priorities i</w:t>
      </w:r>
      <w:r w:rsidRPr="004C5D6B">
        <w:rPr>
          <w:lang w:eastAsia="en-AU"/>
        </w:rPr>
        <w:t xml:space="preserve">s that it </w:t>
      </w:r>
      <w:r w:rsidRPr="001412E5">
        <w:rPr>
          <w:lang w:eastAsia="en-AU"/>
        </w:rPr>
        <w:t xml:space="preserve">risks distracting from the agenda of the National Framework. It also risks cementing that the National Framework has a role in ‘advising’ or to function as a discussion forum for jurisdictions, but not an implementation arm. Revisions to the governance arrangements would be required if this structure is to be retained to be sure to quarantine or dedicate working groups focused on the agreed activities of the Framework. </w:t>
      </w:r>
    </w:p>
    <w:p w14:paraId="4ED51BA4" w14:textId="77777777" w:rsidR="00196D37" w:rsidRPr="005E548D" w:rsidRDefault="00196D37" w:rsidP="00D36A99">
      <w:pPr>
        <w:pStyle w:val="ListBullet"/>
        <w:numPr>
          <w:ilvl w:val="0"/>
          <w:numId w:val="0"/>
        </w:numPr>
        <w:rPr>
          <w:lang w:eastAsia="en-AU"/>
        </w:rPr>
      </w:pPr>
      <w:r w:rsidRPr="001412E5">
        <w:rPr>
          <w:lang w:eastAsia="en-AU"/>
        </w:rPr>
        <w:t>On balance, the governance structure support ongoing engagement between the ju</w:t>
      </w:r>
      <w:r w:rsidRPr="004C5D6B">
        <w:rPr>
          <w:lang w:eastAsia="en-AU"/>
        </w:rPr>
        <w:t xml:space="preserve">risdictions and sector, but considering the specific aspects, the </w:t>
      </w:r>
      <w:r w:rsidRPr="001412E5">
        <w:rPr>
          <w:lang w:eastAsia="en-AU"/>
        </w:rPr>
        <w:t>Third Action Plan was most effective given its narrower focus. Its focus on child protection reflected the strength of the governance structure which enabled it to influence those within the sector, however broader influence was more difficult to achieve. The lack of accountability or levers to drive consensus within the structure could be reviewed to enhance the delivery of outcomes.</w:t>
      </w:r>
    </w:p>
    <w:p w14:paraId="60924F4C" w14:textId="77777777" w:rsidR="00D36A99" w:rsidRDefault="00D36A99" w:rsidP="00B95734">
      <w:pPr>
        <w:pStyle w:val="Heading7"/>
        <w:numPr>
          <w:ilvl w:val="3"/>
          <w:numId w:val="43"/>
        </w:numPr>
      </w:pPr>
      <w:r w:rsidRPr="00CC09BC">
        <w:lastRenderedPageBreak/>
        <w:t>Investment and resourcing of the National Framework</w:t>
      </w:r>
    </w:p>
    <w:tbl>
      <w:tblPr>
        <w:tblStyle w:val="PwCColour"/>
        <w:tblW w:w="0" w:type="auto"/>
        <w:tblBorders>
          <w:top w:val="single" w:sz="4" w:space="0" w:color="EB8C00" w:themeColor="accent4"/>
          <w:left w:val="single" w:sz="4" w:space="0" w:color="EB8C00" w:themeColor="accent4"/>
          <w:bottom w:val="single" w:sz="4" w:space="0" w:color="EB8C00" w:themeColor="accent4"/>
          <w:right w:val="single" w:sz="4" w:space="0" w:color="EB8C00" w:themeColor="accent4"/>
          <w:insideH w:val="none" w:sz="0" w:space="0" w:color="auto"/>
          <w:insideV w:val="none" w:sz="0" w:space="0" w:color="auto"/>
        </w:tblBorders>
        <w:shd w:val="clear" w:color="auto" w:fill="FED8C3" w:themeFill="accent1" w:themeFillTint="33"/>
        <w:tblLook w:val="04A0" w:firstRow="1" w:lastRow="0" w:firstColumn="1" w:lastColumn="0" w:noHBand="0" w:noVBand="1"/>
        <w:tblCaption w:val="Key Finding"/>
        <w:tblDescription w:val="Available investment for the Framework limited the scale of initiatives pursued and in turn limited the achievement of outcomes. Joint funding opportunities were not sufficiently explored or implemented. "/>
      </w:tblPr>
      <w:tblGrid>
        <w:gridCol w:w="9855"/>
      </w:tblGrid>
      <w:tr w:rsidR="00D36A99" w14:paraId="078BF4CA" w14:textId="77777777" w:rsidTr="00D36A9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855" w:type="dxa"/>
            <w:tcBorders>
              <w:top w:val="none" w:sz="0" w:space="0" w:color="auto"/>
              <w:bottom w:val="none" w:sz="0" w:space="0" w:color="auto"/>
            </w:tcBorders>
            <w:shd w:val="clear" w:color="auto" w:fill="FED8C3" w:themeFill="accent1" w:themeFillTint="33"/>
            <w:vAlign w:val="center"/>
          </w:tcPr>
          <w:p w14:paraId="7AD7184A" w14:textId="2A74EA02" w:rsidR="009A709D" w:rsidRDefault="009A709D" w:rsidP="008552A8">
            <w:pPr>
              <w:pStyle w:val="PwCNormal"/>
              <w:numPr>
                <w:ilvl w:val="0"/>
                <w:numId w:val="0"/>
              </w:numPr>
              <w:spacing w:before="60" w:after="60" w:line="240" w:lineRule="auto"/>
            </w:pPr>
            <w:r>
              <w:rPr>
                <w:b/>
              </w:rPr>
              <w:t>Key finding</w:t>
            </w:r>
          </w:p>
          <w:p w14:paraId="57663855" w14:textId="77777777" w:rsidR="00196D37" w:rsidRPr="00576E19" w:rsidRDefault="00196D37" w:rsidP="00FA3E74">
            <w:pPr>
              <w:pStyle w:val="ListBullet"/>
              <w:numPr>
                <w:ilvl w:val="0"/>
                <w:numId w:val="0"/>
              </w:numPr>
              <w:ind w:left="284"/>
            </w:pPr>
            <w:r>
              <w:t>A</w:t>
            </w:r>
            <w:r w:rsidRPr="009C1206">
              <w:t xml:space="preserve">vailable investment for the Framework limited the scale of initiatives pursued </w:t>
            </w:r>
            <w:r w:rsidRPr="00270C51">
              <w:t>and in turn limited the achievement of o</w:t>
            </w:r>
            <w:r w:rsidRPr="009C1206">
              <w:t xml:space="preserve">utcomes. </w:t>
            </w:r>
            <w:r w:rsidRPr="00270C51">
              <w:t>J</w:t>
            </w:r>
            <w:r w:rsidRPr="009C1206">
              <w:t xml:space="preserve">oint funding opportunities </w:t>
            </w:r>
            <w:r w:rsidRPr="00270C51">
              <w:t xml:space="preserve">were </w:t>
            </w:r>
            <w:r w:rsidRPr="009C1206">
              <w:t xml:space="preserve">not </w:t>
            </w:r>
            <w:r w:rsidRPr="00270C51">
              <w:t xml:space="preserve">sufficiently </w:t>
            </w:r>
            <w:r w:rsidRPr="009C1206">
              <w:t xml:space="preserve">explored or implemented. </w:t>
            </w:r>
          </w:p>
        </w:tc>
      </w:tr>
    </w:tbl>
    <w:p w14:paraId="1F3AB00B" w14:textId="77777777" w:rsidR="00821087" w:rsidRPr="001412E5" w:rsidRDefault="00D36A99" w:rsidP="00D36A99">
      <w:pPr>
        <w:pStyle w:val="PwCNormal"/>
        <w:numPr>
          <w:ilvl w:val="0"/>
          <w:numId w:val="0"/>
        </w:numPr>
      </w:pPr>
      <w:r w:rsidRPr="001412E5">
        <w:t xml:space="preserve">Almost all organisations made statements that indicated that investment and resourcing of the National Framework and action plans inhibited the achievement of outcomes and implementation of actions. Several organisations agreed that </w:t>
      </w:r>
      <w:r w:rsidR="00821087" w:rsidRPr="001412E5">
        <w:t xml:space="preserve">funding committed was important to deliver specific actions of the action plans but identified that funding was not always prioritised and/or was directed to deliver specific initiatives, without ability to consider where it might best be invested. </w:t>
      </w:r>
    </w:p>
    <w:p w14:paraId="45BBF0AD" w14:textId="3DEFD5C4" w:rsidR="008520C2" w:rsidRDefault="008520C2" w:rsidP="008552A8">
      <w:pPr>
        <w:pStyle w:val="Minorheading"/>
      </w:pPr>
      <w:r>
        <w:t>Investment approaches</w:t>
      </w:r>
    </w:p>
    <w:p w14:paraId="2980547D" w14:textId="3BF51F3B" w:rsidR="00D36A99" w:rsidRPr="001412E5" w:rsidRDefault="00D36A99" w:rsidP="00D36A99">
      <w:pPr>
        <w:pStyle w:val="PwCNormal"/>
        <w:numPr>
          <w:ilvl w:val="0"/>
          <w:numId w:val="0"/>
        </w:numPr>
      </w:pPr>
      <w:r w:rsidRPr="001412E5">
        <w:t>Almost all organisations</w:t>
      </w:r>
      <w:r w:rsidRPr="004C5D6B">
        <w:t xml:space="preserve"> who identified investment as an inhibitor reported that there was a lack of resourcing for the Framework. Stakeholders who expressed this view </w:t>
      </w:r>
      <w:r w:rsidRPr="001412E5">
        <w:t xml:space="preserve">commented: </w:t>
      </w:r>
    </w:p>
    <w:p w14:paraId="3B36059E" w14:textId="77777777" w:rsidR="00D36A99" w:rsidRPr="001412E5" w:rsidRDefault="00D36A99" w:rsidP="00D36A99">
      <w:pPr>
        <w:pStyle w:val="ListBullet"/>
      </w:pPr>
      <w:r w:rsidRPr="001412E5">
        <w:t xml:space="preserve">that jurisdictions often look to the Commonwealth to provide leadership by investing in key initiatives under the Framework but it is not clear that this is the best or only investment model. </w:t>
      </w:r>
      <w:r w:rsidR="002B2462" w:rsidRPr="001412E5">
        <w:t>J</w:t>
      </w:r>
      <w:r w:rsidRPr="001412E5">
        <w:t>oint funding and investment matching opportunities could provide the most sustainable investment model for the Framework. Stakeholders</w:t>
      </w:r>
      <w:r w:rsidR="002B2462" w:rsidRPr="001412E5">
        <w:t>, particularly from the broader service sector,</w:t>
      </w:r>
      <w:r w:rsidRPr="001412E5">
        <w:t xml:space="preserve"> reported that</w:t>
      </w:r>
      <w:r w:rsidRPr="004C5D6B">
        <w:t xml:space="preserve"> these opportunities have not been appropriately explored under the Framework which may be connected to challenges faced with the governance model (outlined above). This was supported through desktop analysis of Strategy Workplans under the Third Action Pl</w:t>
      </w:r>
      <w:r w:rsidRPr="001412E5">
        <w:t xml:space="preserve">an which could not identify any documented joint funding/investment arrangements </w:t>
      </w:r>
    </w:p>
    <w:p w14:paraId="22825FCF" w14:textId="2FE3734C" w:rsidR="00D36A99" w:rsidRPr="001412E5" w:rsidRDefault="00D36A99" w:rsidP="00D36A99">
      <w:pPr>
        <w:pStyle w:val="ListBullet"/>
      </w:pPr>
      <w:r w:rsidRPr="001412E5">
        <w:t>that the funding under the National Framework compared to other national plans and commitments by the Commonwealth has been relatively less than for other plans given the broad and complex scope of the Framework. Stakeholders perceived that this resulted in action plans not being implemented successfully and also signalling the lesser priority of the Framework. A comparison was often drawn with the National Plan to Reduce Violence against Women and their Children, for which $328 million was committed for the implementation of the Fourth Action Plan (2019-2022)</w:t>
      </w:r>
      <w:r w:rsidRPr="001412E5">
        <w:rPr>
          <w:rStyle w:val="FootnoteReference"/>
        </w:rPr>
        <w:footnoteReference w:id="27"/>
      </w:r>
      <w:r w:rsidRPr="001412E5">
        <w:t xml:space="preserve"> compared to $48.06 million which has been provided for the Fourth Action Plan of the Framework (see </w:t>
      </w:r>
      <w:r w:rsidR="009F2751" w:rsidRPr="001412E5">
        <w:fldChar w:fldCharType="begin"/>
      </w:r>
      <w:r w:rsidR="009F2751" w:rsidRPr="001412E5">
        <w:instrText xml:space="preserve"> REF _Ref31238991 \n \h </w:instrText>
      </w:r>
      <w:r w:rsidR="001412E5">
        <w:instrText xml:space="preserve"> \* MERGEFORMAT </w:instrText>
      </w:r>
      <w:r w:rsidR="009F2751" w:rsidRPr="001412E5">
        <w:fldChar w:fldCharType="separate"/>
      </w:r>
      <w:r w:rsidR="00D75351">
        <w:t>Appendix C</w:t>
      </w:r>
      <w:r w:rsidR="009F2751" w:rsidRPr="001412E5">
        <w:fldChar w:fldCharType="end"/>
      </w:r>
      <w:r w:rsidR="009F2751" w:rsidRPr="001412E5">
        <w:t xml:space="preserve"> </w:t>
      </w:r>
      <w:r w:rsidRPr="001412E5">
        <w:t xml:space="preserve">for additional detail on the funding provided under the Third and Fourth Action Plans). </w:t>
      </w:r>
    </w:p>
    <w:p w14:paraId="7EA240C4" w14:textId="77777777" w:rsidR="00D36A99" w:rsidRPr="001412E5" w:rsidRDefault="00D36A99" w:rsidP="00D36A99">
      <w:pPr>
        <w:pStyle w:val="ListBullet"/>
        <w:numPr>
          <w:ilvl w:val="0"/>
          <w:numId w:val="0"/>
        </w:numPr>
      </w:pPr>
      <w:r w:rsidRPr="001412E5">
        <w:t xml:space="preserve">A few organisations who identified investment as a key inhibitor reported that there was a lack of investment in early intervention and prevention activities by jurisdictions. These stakeholders reported that: </w:t>
      </w:r>
    </w:p>
    <w:p w14:paraId="319BA4BA" w14:textId="77777777" w:rsidR="00D36A99" w:rsidRPr="004C5D6B" w:rsidRDefault="00D36A99" w:rsidP="00D36A99">
      <w:pPr>
        <w:pStyle w:val="ListBullet"/>
      </w:pPr>
      <w:r w:rsidRPr="001412E5">
        <w:t>jurisdictions face challenges in redirecting funding to early intervention and prevention in the short term while the population of children in the child protection system is still high and g</w:t>
      </w:r>
      <w:r w:rsidRPr="004C5D6B">
        <w:t xml:space="preserve">rowing </w:t>
      </w:r>
    </w:p>
    <w:p w14:paraId="3B0B416C" w14:textId="77777777" w:rsidR="00D36A99" w:rsidRPr="001412E5" w:rsidRDefault="00D36A99" w:rsidP="00D36A99">
      <w:pPr>
        <w:pStyle w:val="ListBullet"/>
      </w:pPr>
      <w:r w:rsidRPr="001412E5">
        <w:t xml:space="preserve">Commonwealth funding may be required in the short to medium term to enable simultaneous investment across the three tiers of the public health model, until a reduction and/or slowing of the number of children in the system is achieved. </w:t>
      </w:r>
    </w:p>
    <w:p w14:paraId="160C0F77" w14:textId="6B458E0A" w:rsidR="008520C2" w:rsidRDefault="008520C2" w:rsidP="008552A8">
      <w:pPr>
        <w:pStyle w:val="Minorheading"/>
      </w:pPr>
      <w:r>
        <w:t>Design and funding of trials</w:t>
      </w:r>
    </w:p>
    <w:p w14:paraId="39D99B82" w14:textId="282B092F" w:rsidR="00D36A99" w:rsidRPr="001412E5" w:rsidRDefault="00D36A99" w:rsidP="00D36A99">
      <w:pPr>
        <w:pStyle w:val="ListBullet"/>
        <w:numPr>
          <w:ilvl w:val="0"/>
          <w:numId w:val="0"/>
        </w:numPr>
      </w:pPr>
      <w:r w:rsidRPr="001412E5">
        <w:t xml:space="preserve">Several organisations identified that the short term or trial nature of the actions that were implemented, limited impact. The lack of ongoing and national implementation was generally seen as a result of a lack of secured funding or opportunity for long term investment of projects that showed promising results. Examples provided by organisations included: </w:t>
      </w:r>
    </w:p>
    <w:p w14:paraId="6C2FAACF" w14:textId="77777777" w:rsidR="00D36A99" w:rsidRPr="004C5D6B" w:rsidRDefault="00D36A99" w:rsidP="00D36A99">
      <w:pPr>
        <w:pStyle w:val="ListBullet"/>
      </w:pPr>
      <w:r w:rsidRPr="001412E5">
        <w:t>personal advisor models similar to that trialled under the Transition to Independent Adulthood initiative of the Third Action Plan have been in operation in the United Kingdom for a number of years and have been trialled and evaluated in Victoria through Berry Street’s Stand By Me initiative.</w:t>
      </w:r>
      <w:r w:rsidRPr="001412E5">
        <w:rPr>
          <w:rStyle w:val="FootnoteReference"/>
        </w:rPr>
        <w:footnoteReference w:id="28"/>
      </w:r>
      <w:r w:rsidRPr="001412E5">
        <w:t xml:space="preserve"> This organisation reported that given the evidence already exists for the effectiveness of this approach, it is not useful to implement further small scale trials of this program</w:t>
      </w:r>
      <w:r w:rsidRPr="004C5D6B">
        <w:t xml:space="preserve"> </w:t>
      </w:r>
    </w:p>
    <w:p w14:paraId="7BB8A634" w14:textId="77777777" w:rsidR="00D36A99" w:rsidRPr="001412E5" w:rsidRDefault="00D36A99" w:rsidP="00D36A99">
      <w:pPr>
        <w:pStyle w:val="ListBullet"/>
      </w:pPr>
      <w:r w:rsidRPr="001412E5">
        <w:lastRenderedPageBreak/>
        <w:t xml:space="preserve">most organisations reported frustration at the lack of scale of trials, demonstrations and initiatives that are funded, and often reported that given the small scale they were unsurprised that there had been minimal achievement of the Framework’s outcomes which are broad and ambitious compared to the funding and implementation that has been observed. </w:t>
      </w:r>
    </w:p>
    <w:p w14:paraId="0561EDEB" w14:textId="739E1247" w:rsidR="008520C2" w:rsidRDefault="008520C2" w:rsidP="008552A8">
      <w:pPr>
        <w:pStyle w:val="Minorheading"/>
      </w:pPr>
      <w:r>
        <w:t>Funding for the Framework</w:t>
      </w:r>
    </w:p>
    <w:p w14:paraId="75CD2561" w14:textId="29C4AEDD" w:rsidR="00D36A99" w:rsidRPr="001412E5" w:rsidRDefault="00D36A99" w:rsidP="00D36A99">
      <w:pPr>
        <w:pStyle w:val="PwCNormal"/>
      </w:pPr>
      <w:r w:rsidRPr="001412E5">
        <w:t xml:space="preserve">The desktop analysis of funding attached to the Framework and its action plans found that there is no dedicated investment plan attached to the Framework. Information on the funding provided for the Framework was provided by DSS. </w:t>
      </w:r>
      <w:r w:rsidR="003D5E9D" w:rsidRPr="001412E5">
        <w:t xml:space="preserve">An overview of total funding provided by the Commonwealth identified that over $184 million has been committed to the National Framework and associated initiatives as shown in </w:t>
      </w:r>
      <w:r w:rsidR="003D5E9D" w:rsidRPr="001412E5">
        <w:fldChar w:fldCharType="begin"/>
      </w:r>
      <w:r w:rsidR="003D5E9D" w:rsidRPr="001412E5">
        <w:instrText xml:space="preserve"> REF _Ref31296688 \h </w:instrText>
      </w:r>
      <w:r w:rsidR="001412E5">
        <w:instrText xml:space="preserve"> \* MERGEFORMAT </w:instrText>
      </w:r>
      <w:r w:rsidR="003D5E9D" w:rsidRPr="001412E5">
        <w:fldChar w:fldCharType="separate"/>
      </w:r>
      <w:r w:rsidR="00D75351">
        <w:t xml:space="preserve">Table </w:t>
      </w:r>
      <w:r w:rsidR="00D75351">
        <w:rPr>
          <w:noProof/>
        </w:rPr>
        <w:t>7</w:t>
      </w:r>
      <w:r w:rsidR="003D5E9D" w:rsidRPr="001412E5">
        <w:fldChar w:fldCharType="end"/>
      </w:r>
      <w:r w:rsidR="003D5E9D" w:rsidRPr="001412E5">
        <w:t>.</w:t>
      </w:r>
    </w:p>
    <w:p w14:paraId="5A1FEA41" w14:textId="334642C0" w:rsidR="00D36A99" w:rsidRPr="001412E5" w:rsidRDefault="00D36A99" w:rsidP="00D36A99">
      <w:pPr>
        <w:pStyle w:val="PwCNormal"/>
      </w:pPr>
      <w:r w:rsidRPr="001412E5">
        <w:t>A review of work plans for the three Strategy Working Groups under the Third Action Plan identified that outside of key initiatives funded by DSS and Department of Education,</w:t>
      </w:r>
      <w:r w:rsidRPr="004C5D6B">
        <w:t xml:space="preserve"> actions included do not have an identified source of funding or resourcing plan attached. Some initiatives appear to secure funding through the Base National Initiatives appropriation however documentation of the amount or duration of funding was not prov</w:t>
      </w:r>
      <w:r w:rsidRPr="001412E5">
        <w:t xml:space="preserve">ided. An outline of </w:t>
      </w:r>
      <w:r w:rsidR="003D5E9D" w:rsidRPr="001412E5">
        <w:t xml:space="preserve">specific </w:t>
      </w:r>
      <w:r w:rsidRPr="001412E5">
        <w:t xml:space="preserve">funding </w:t>
      </w:r>
      <w:r w:rsidR="003D5E9D" w:rsidRPr="001412E5">
        <w:t xml:space="preserve">for the Third and Fourth Action Plans </w:t>
      </w:r>
      <w:r w:rsidRPr="001412E5">
        <w:t xml:space="preserve">is shown in </w:t>
      </w:r>
      <w:r w:rsidR="005E548D" w:rsidRPr="001412E5">
        <w:fldChar w:fldCharType="begin"/>
      </w:r>
      <w:r w:rsidR="005E548D" w:rsidRPr="001412E5">
        <w:instrText xml:space="preserve"> REF _Ref36840891 \h </w:instrText>
      </w:r>
      <w:r w:rsidR="001412E5">
        <w:instrText xml:space="preserve"> \* MERGEFORMAT </w:instrText>
      </w:r>
      <w:r w:rsidR="005E548D" w:rsidRPr="001412E5">
        <w:fldChar w:fldCharType="separate"/>
      </w:r>
      <w:r w:rsidR="00D75351">
        <w:t xml:space="preserve">Table </w:t>
      </w:r>
      <w:r w:rsidR="00D75351">
        <w:rPr>
          <w:noProof/>
        </w:rPr>
        <w:t>8</w:t>
      </w:r>
      <w:r w:rsidR="005E548D" w:rsidRPr="001412E5">
        <w:fldChar w:fldCharType="end"/>
      </w:r>
      <w:r w:rsidR="005E548D" w:rsidRPr="001412E5">
        <w:t xml:space="preserve"> </w:t>
      </w:r>
      <w:r w:rsidRPr="001412E5">
        <w:t>with further detail provided in</w:t>
      </w:r>
      <w:r w:rsidR="009F2751" w:rsidRPr="001412E5">
        <w:t xml:space="preserve"> </w:t>
      </w:r>
      <w:r w:rsidR="009F2751" w:rsidRPr="001412E5">
        <w:fldChar w:fldCharType="begin"/>
      </w:r>
      <w:r w:rsidR="009F2751" w:rsidRPr="001412E5">
        <w:instrText xml:space="preserve"> REF _Ref31238991 \n \h </w:instrText>
      </w:r>
      <w:r w:rsidR="001412E5">
        <w:instrText xml:space="preserve"> \* MERGEFORMAT </w:instrText>
      </w:r>
      <w:r w:rsidR="009F2751" w:rsidRPr="001412E5">
        <w:fldChar w:fldCharType="separate"/>
      </w:r>
      <w:r w:rsidR="00D75351">
        <w:t>Appendix C</w:t>
      </w:r>
      <w:r w:rsidR="009F2751" w:rsidRPr="001412E5">
        <w:fldChar w:fldCharType="end"/>
      </w:r>
      <w:r w:rsidRPr="001412E5">
        <w:t>.</w:t>
      </w:r>
    </w:p>
    <w:p w14:paraId="156AAEBC" w14:textId="5B403A11" w:rsidR="00D36A99" w:rsidRDefault="00D36A99" w:rsidP="00D36A99">
      <w:pPr>
        <w:pStyle w:val="Caption"/>
      </w:pPr>
      <w:bookmarkStart w:id="142" w:name="_Ref31296688"/>
      <w:r>
        <w:t xml:space="preserve">Table </w:t>
      </w:r>
      <w:fldSimple w:instr=" SEQ Table \* ARABIC ">
        <w:r w:rsidR="00D75351">
          <w:rPr>
            <w:noProof/>
          </w:rPr>
          <w:t>7</w:t>
        </w:r>
      </w:fldSimple>
      <w:bookmarkEnd w:id="142"/>
      <w:r>
        <w:t xml:space="preserve">: Summary of funding provided by the </w:t>
      </w:r>
      <w:r w:rsidRPr="00255792">
        <w:t>Commonwealth</w:t>
      </w:r>
      <w:r>
        <w:t xml:space="preserve"> for the delivery of the </w:t>
      </w:r>
      <w:r w:rsidR="00A0133F">
        <w:t>a</w:t>
      </w:r>
      <w:r>
        <w:t xml:space="preserve">ction </w:t>
      </w:r>
      <w:r w:rsidR="00A0133F">
        <w:t>p</w:t>
      </w:r>
      <w:r>
        <w:t>lans</w:t>
      </w:r>
    </w:p>
    <w:tbl>
      <w:tblPr>
        <w:tblStyle w:val="PwCColour"/>
        <w:tblW w:w="5000" w:type="pct"/>
        <w:tblLook w:val="04A0" w:firstRow="1" w:lastRow="0" w:firstColumn="1" w:lastColumn="0" w:noHBand="0" w:noVBand="1"/>
        <w:tblCaption w:val="Table 7: Summary of funding provided by the Commonwealth for the delivery of the action plans"/>
        <w:tblDescription w:val="Table 7: Summary of funding provided by the Commonwealth for the delivery of the action plans&#10;In Action Plan 1 the commonwealth provided $63 million in funding (2009 to 2012)&#10;Funding amounts for Action Plan 2 were not captured in 2015 evaluation&#10;In Action Plan 3 Commonwealth Department of Social Services, provided $13.75 million in funding an d the Commonwealth Department of Education provided $60 million (2015-2020)&#10;In Action Plan 3 Commonwealth Department of Social Services provided $48.06 million in funding (2018-2023) &#10;"/>
      </w:tblPr>
      <w:tblGrid>
        <w:gridCol w:w="1401"/>
        <w:gridCol w:w="8454"/>
      </w:tblGrid>
      <w:tr w:rsidR="000641C4" w14:paraId="1C69D474" w14:textId="77777777" w:rsidTr="00FA3E74">
        <w:trPr>
          <w:cnfStyle w:val="100000000000" w:firstRow="1" w:lastRow="0" w:firstColumn="0" w:lastColumn="0" w:oddVBand="0" w:evenVBand="0" w:oddHBand="0" w:evenHBand="0" w:firstRowFirstColumn="0" w:firstRowLastColumn="0" w:lastRowFirstColumn="0" w:lastRowLastColumn="0"/>
          <w:trHeight w:val="538"/>
        </w:trPr>
        <w:tc>
          <w:tcPr>
            <w:cnfStyle w:val="000000000100" w:firstRow="0" w:lastRow="0" w:firstColumn="0" w:lastColumn="0" w:oddVBand="0" w:evenVBand="0" w:oddHBand="0" w:evenHBand="0" w:firstRowFirstColumn="1" w:firstRowLastColumn="0" w:lastRowFirstColumn="0" w:lastRowLastColumn="0"/>
            <w:tcW w:w="711" w:type="pct"/>
            <w:vAlign w:val="center"/>
          </w:tcPr>
          <w:p w14:paraId="38BE2416" w14:textId="77777777" w:rsidR="000641C4" w:rsidRPr="00FA3E74" w:rsidRDefault="000641C4" w:rsidP="00FA3E74">
            <w:pPr>
              <w:pStyle w:val="TableColumnHeadingSmall"/>
              <w:rPr>
                <w:b w:val="0"/>
              </w:rPr>
            </w:pPr>
            <w:r w:rsidRPr="00637353">
              <w:t>Action Plan</w:t>
            </w:r>
          </w:p>
        </w:tc>
        <w:tc>
          <w:tcPr>
            <w:tcW w:w="4289" w:type="pct"/>
            <w:vAlign w:val="center"/>
          </w:tcPr>
          <w:p w14:paraId="717B25E6" w14:textId="77777777" w:rsidR="000641C4" w:rsidRPr="00FA3E74" w:rsidRDefault="000641C4" w:rsidP="00FA3E74">
            <w:pPr>
              <w:pStyle w:val="TableColumnHeadingSmall"/>
              <w:cnfStyle w:val="100000000000" w:firstRow="1" w:lastRow="0" w:firstColumn="0" w:lastColumn="0" w:oddVBand="0" w:evenVBand="0" w:oddHBand="0" w:evenHBand="0" w:firstRowFirstColumn="0" w:firstRowLastColumn="0" w:lastRowFirstColumn="0" w:lastRowLastColumn="0"/>
              <w:rPr>
                <w:b w:val="0"/>
              </w:rPr>
            </w:pPr>
            <w:r w:rsidRPr="00637353">
              <w:t>Total a</w:t>
            </w:r>
            <w:r w:rsidRPr="00EA5248">
              <w:t>mount</w:t>
            </w:r>
            <w:r w:rsidRPr="00FA3E74">
              <w:footnoteReference w:id="29"/>
            </w:r>
          </w:p>
        </w:tc>
      </w:tr>
      <w:tr w:rsidR="000641C4" w14:paraId="14337071" w14:textId="77777777" w:rsidTr="00FA3E74">
        <w:tc>
          <w:tcPr>
            <w:tcW w:w="711" w:type="pct"/>
          </w:tcPr>
          <w:p w14:paraId="23082F33" w14:textId="77777777" w:rsidR="000641C4" w:rsidRPr="00FA3E74" w:rsidRDefault="000641C4" w:rsidP="00D36A99">
            <w:pPr>
              <w:pStyle w:val="TableTextSmall"/>
              <w:rPr>
                <w:b/>
                <w:bCs/>
              </w:rPr>
            </w:pPr>
            <w:r w:rsidRPr="00FA3E74">
              <w:rPr>
                <w:b/>
                <w:bCs/>
              </w:rPr>
              <w:t>1</w:t>
            </w:r>
          </w:p>
        </w:tc>
        <w:tc>
          <w:tcPr>
            <w:tcW w:w="4289" w:type="pct"/>
          </w:tcPr>
          <w:p w14:paraId="0C076ED4" w14:textId="77777777" w:rsidR="000641C4" w:rsidRPr="000F0022" w:rsidRDefault="000641C4" w:rsidP="00D36A99">
            <w:pPr>
              <w:pStyle w:val="TableTextSmall"/>
            </w:pPr>
            <w:r w:rsidRPr="000F0022">
              <w:t>$63 million (2009 to 2012)</w:t>
            </w:r>
          </w:p>
        </w:tc>
      </w:tr>
      <w:tr w:rsidR="000641C4" w14:paraId="391AF955" w14:textId="77777777" w:rsidTr="00FA3E74">
        <w:tc>
          <w:tcPr>
            <w:tcW w:w="711" w:type="pct"/>
          </w:tcPr>
          <w:p w14:paraId="146D6616" w14:textId="77777777" w:rsidR="000641C4" w:rsidRPr="00DD0C3E" w:rsidRDefault="000641C4" w:rsidP="00D36A99">
            <w:pPr>
              <w:pStyle w:val="TableTextSmall"/>
              <w:rPr>
                <w:b/>
                <w:bCs/>
              </w:rPr>
            </w:pPr>
            <w:r>
              <w:rPr>
                <w:b/>
                <w:bCs/>
              </w:rPr>
              <w:t>2</w:t>
            </w:r>
          </w:p>
        </w:tc>
        <w:tc>
          <w:tcPr>
            <w:tcW w:w="4289" w:type="pct"/>
          </w:tcPr>
          <w:p w14:paraId="43F214F6" w14:textId="77777777" w:rsidR="000641C4" w:rsidRPr="000F0022" w:rsidRDefault="000641C4" w:rsidP="00D36A99">
            <w:pPr>
              <w:pStyle w:val="TableTextSmall"/>
            </w:pPr>
            <w:r w:rsidRPr="000F0022">
              <w:t>Not captured in 2015 evaluation</w:t>
            </w:r>
          </w:p>
        </w:tc>
      </w:tr>
      <w:tr w:rsidR="000641C4" w14:paraId="6DD8AFBD" w14:textId="77777777" w:rsidTr="00FA3E74">
        <w:tc>
          <w:tcPr>
            <w:tcW w:w="711" w:type="pct"/>
          </w:tcPr>
          <w:p w14:paraId="5ADC1528" w14:textId="77777777" w:rsidR="000641C4" w:rsidRDefault="000641C4" w:rsidP="007256CC">
            <w:pPr>
              <w:pStyle w:val="TableTextSmall"/>
            </w:pPr>
            <w:r>
              <w:rPr>
                <w:b/>
              </w:rPr>
              <w:t>3</w:t>
            </w:r>
          </w:p>
        </w:tc>
        <w:tc>
          <w:tcPr>
            <w:tcW w:w="4289" w:type="pct"/>
          </w:tcPr>
          <w:p w14:paraId="48249338" w14:textId="77777777" w:rsidR="000641C4" w:rsidRPr="000F0022" w:rsidRDefault="000641C4" w:rsidP="007256CC">
            <w:pPr>
              <w:pStyle w:val="TableTextSmall"/>
            </w:pPr>
            <w:r w:rsidRPr="000F0022">
              <w:t>$13.75 million (2015-2020) – Department of Social Services</w:t>
            </w:r>
          </w:p>
          <w:p w14:paraId="3E30B691" w14:textId="77777777" w:rsidR="000641C4" w:rsidRPr="000F0022" w:rsidRDefault="000641C4" w:rsidP="007256CC">
            <w:pPr>
              <w:pStyle w:val="TableTextSmall"/>
            </w:pPr>
            <w:r w:rsidRPr="000F0022">
              <w:t>$60 million (2015-2020) – Department of Education</w:t>
            </w:r>
          </w:p>
        </w:tc>
      </w:tr>
      <w:tr w:rsidR="000641C4" w14:paraId="1FA7208D" w14:textId="77777777" w:rsidTr="00FA3E74">
        <w:tc>
          <w:tcPr>
            <w:tcW w:w="711" w:type="pct"/>
          </w:tcPr>
          <w:p w14:paraId="2CDAE869" w14:textId="77777777" w:rsidR="000641C4" w:rsidRDefault="000641C4" w:rsidP="007256CC">
            <w:pPr>
              <w:pStyle w:val="TableTextSmall"/>
            </w:pPr>
            <w:r>
              <w:rPr>
                <w:b/>
              </w:rPr>
              <w:t>4</w:t>
            </w:r>
          </w:p>
        </w:tc>
        <w:tc>
          <w:tcPr>
            <w:tcW w:w="4289" w:type="pct"/>
          </w:tcPr>
          <w:p w14:paraId="6512DCA2" w14:textId="77777777" w:rsidR="000641C4" w:rsidRPr="000F0022" w:rsidRDefault="000641C4" w:rsidP="007256CC">
            <w:pPr>
              <w:pStyle w:val="TableTextSmall"/>
            </w:pPr>
            <w:r w:rsidRPr="000F0022">
              <w:t>$48.06 million (2018-2023) – Department of Social Services</w:t>
            </w:r>
          </w:p>
        </w:tc>
      </w:tr>
    </w:tbl>
    <w:p w14:paraId="699871B3" w14:textId="77777777" w:rsidR="007256CC" w:rsidRPr="00FA3E74" w:rsidRDefault="0028576C">
      <w:pPr>
        <w:rPr>
          <w:color w:val="D04A02" w:themeColor="accent1"/>
          <w:sz w:val="14"/>
          <w:szCs w:val="16"/>
        </w:rPr>
      </w:pPr>
      <w:r w:rsidRPr="00FA3E74">
        <w:rPr>
          <w:color w:val="D04A02" w:themeColor="accent1"/>
          <w:sz w:val="14"/>
          <w:szCs w:val="16"/>
        </w:rPr>
        <w:t xml:space="preserve">Source: 2015 Evaluation </w:t>
      </w:r>
      <w:r w:rsidR="003D5E9D">
        <w:rPr>
          <w:color w:val="D04A02" w:themeColor="accent1"/>
          <w:sz w:val="14"/>
          <w:szCs w:val="16"/>
        </w:rPr>
        <w:t>and DSS data</w:t>
      </w:r>
    </w:p>
    <w:p w14:paraId="184ECDE0" w14:textId="6877E522" w:rsidR="0059469D" w:rsidRPr="00DD0C3E" w:rsidRDefault="0059469D" w:rsidP="00FA3E74">
      <w:pPr>
        <w:pStyle w:val="Caption"/>
      </w:pPr>
      <w:bookmarkStart w:id="143" w:name="_Ref36840891"/>
      <w:r>
        <w:t xml:space="preserve">Table </w:t>
      </w:r>
      <w:fldSimple w:instr=" SEQ Table \* ARABIC ">
        <w:r w:rsidR="00D75351">
          <w:rPr>
            <w:noProof/>
          </w:rPr>
          <w:t>8</w:t>
        </w:r>
      </w:fldSimple>
      <w:bookmarkEnd w:id="143"/>
      <w:r>
        <w:t>: Breakdown of major funding streams for the Third and Fourth Action Plan</w:t>
      </w:r>
      <w:r w:rsidR="003D5E9D">
        <w:t>s</w:t>
      </w:r>
    </w:p>
    <w:tbl>
      <w:tblPr>
        <w:tblStyle w:val="PwCColour"/>
        <w:tblW w:w="9776" w:type="dxa"/>
        <w:tblLook w:val="04A0" w:firstRow="1" w:lastRow="0" w:firstColumn="1" w:lastColumn="0" w:noHBand="0" w:noVBand="1"/>
        <w:tblCaption w:val="Table 8 shows a breakdown of major funding streams for the Third and Fourth Action Plan"/>
        <w:tblDescription w:val="Action Plan three funded:  The Base National Initiatives appropriation for$7.8 million which consisted of $2.6 million per annum, from 2015-16 to 2017-18). The Building Capacity in Australia’s Parents trial for $2.08 million from 2016-17 to 2019-20. The Transition to Independent Adulthood Trial for $3.87 million from 2016-17 to 2019-20. Connected Beginnings for approximately $12 million per annum.  Connected beginnings funding was provided by Department of Education  This is a total of $13.75 million from the Department of Social Services and $60 million from the Department of Education during 2015 to 2020.&#10;Action plan four funded: The Base National Initiatives appropriation for $7.8 million which consisted of $2.6 million per annum, from 2018-19 to 2020-21. Departmental reallocation to National Initiatives for $1.5 million in 2018-19. Stronger Places, Stronger People for $35 million in 2019-2023. The National Child Protection Information Sharing System for $3.867 million in 2018-19. This is a total of $48.06 million from Department of Social Services from 2018-2023.&#10;"/>
      </w:tblPr>
      <w:tblGrid>
        <w:gridCol w:w="793"/>
        <w:gridCol w:w="4201"/>
        <w:gridCol w:w="4782"/>
      </w:tblGrid>
      <w:tr w:rsidR="00D36A99" w14:paraId="09E2FE77" w14:textId="77777777" w:rsidTr="00FA3E7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0" w:type="dxa"/>
            <w:vAlign w:val="center"/>
          </w:tcPr>
          <w:p w14:paraId="223CC8CB" w14:textId="77777777" w:rsidR="00D36A99" w:rsidRDefault="007256CC" w:rsidP="00FA3E74">
            <w:pPr>
              <w:pStyle w:val="TableColumnHeadingSmall"/>
            </w:pPr>
            <w:r>
              <w:t>Action Plan</w:t>
            </w:r>
          </w:p>
        </w:tc>
        <w:tc>
          <w:tcPr>
            <w:tcW w:w="0" w:type="dxa"/>
            <w:vAlign w:val="center"/>
          </w:tcPr>
          <w:p w14:paraId="10EFD2FD" w14:textId="77777777" w:rsidR="00D36A99" w:rsidRDefault="007256CC" w:rsidP="00FA3E74">
            <w:pPr>
              <w:pStyle w:val="TableColumnHeadingSmall"/>
              <w:cnfStyle w:val="100000000000" w:firstRow="1" w:lastRow="0" w:firstColumn="0" w:lastColumn="0" w:oddVBand="0" w:evenVBand="0" w:oddHBand="0" w:evenHBand="0" w:firstRowFirstColumn="0" w:firstRowLastColumn="0" w:lastRowFirstColumn="0" w:lastRowLastColumn="0"/>
            </w:pPr>
            <w:r>
              <w:t>Funding</w:t>
            </w:r>
          </w:p>
        </w:tc>
        <w:tc>
          <w:tcPr>
            <w:tcW w:w="0" w:type="dxa"/>
            <w:vAlign w:val="center"/>
          </w:tcPr>
          <w:p w14:paraId="5B7DF313" w14:textId="77777777" w:rsidR="00D36A99" w:rsidRDefault="007256CC" w:rsidP="00FA3E74">
            <w:pPr>
              <w:pStyle w:val="TableColumnHeadingSmall"/>
              <w:cnfStyle w:val="100000000000" w:firstRow="1" w:lastRow="0" w:firstColumn="0" w:lastColumn="0" w:oddVBand="0" w:evenVBand="0" w:oddHBand="0" w:evenHBand="0" w:firstRowFirstColumn="0" w:firstRowLastColumn="0" w:lastRowFirstColumn="0" w:lastRowLastColumn="0"/>
            </w:pPr>
            <w:r>
              <w:t>Amount</w:t>
            </w:r>
            <w:r>
              <w:rPr>
                <w:rStyle w:val="FootnoteReference"/>
              </w:rPr>
              <w:footnoteReference w:id="30"/>
            </w:r>
          </w:p>
        </w:tc>
      </w:tr>
      <w:tr w:rsidR="007256CC" w14:paraId="0D72A511" w14:textId="77777777" w:rsidTr="007256CC">
        <w:tc>
          <w:tcPr>
            <w:tcW w:w="793" w:type="dxa"/>
          </w:tcPr>
          <w:p w14:paraId="6448D78C" w14:textId="77777777" w:rsidR="007256CC" w:rsidRDefault="007256CC" w:rsidP="007256CC">
            <w:pPr>
              <w:pStyle w:val="TableTextSmall"/>
            </w:pPr>
            <w:r>
              <w:t>3</w:t>
            </w:r>
          </w:p>
        </w:tc>
        <w:tc>
          <w:tcPr>
            <w:tcW w:w="4201" w:type="dxa"/>
          </w:tcPr>
          <w:p w14:paraId="5981F82A" w14:textId="77777777" w:rsidR="007256CC" w:rsidRDefault="007256CC" w:rsidP="007256CC">
            <w:pPr>
              <w:pStyle w:val="TableTextSmall"/>
            </w:pPr>
            <w:r>
              <w:t>Base National Initiatives appropriation</w:t>
            </w:r>
          </w:p>
        </w:tc>
        <w:tc>
          <w:tcPr>
            <w:tcW w:w="4782" w:type="dxa"/>
          </w:tcPr>
          <w:p w14:paraId="6A1A4915" w14:textId="77777777" w:rsidR="007256CC" w:rsidRDefault="007256CC" w:rsidP="007256CC">
            <w:pPr>
              <w:pStyle w:val="TableTextSmall"/>
            </w:pPr>
            <w:r>
              <w:t>$7.8 million ($2.6 million per annum, 2015-16 to 2017-18)</w:t>
            </w:r>
          </w:p>
        </w:tc>
      </w:tr>
      <w:tr w:rsidR="00D36A99" w14:paraId="7C6CC92E" w14:textId="77777777" w:rsidTr="007256CC">
        <w:tc>
          <w:tcPr>
            <w:tcW w:w="793" w:type="dxa"/>
          </w:tcPr>
          <w:p w14:paraId="02332903" w14:textId="77777777" w:rsidR="00D36A99" w:rsidRDefault="00D36A99" w:rsidP="00D36A99">
            <w:pPr>
              <w:pStyle w:val="TableTextSmall"/>
            </w:pPr>
            <w:r>
              <w:t>3</w:t>
            </w:r>
          </w:p>
        </w:tc>
        <w:tc>
          <w:tcPr>
            <w:tcW w:w="4201" w:type="dxa"/>
          </w:tcPr>
          <w:p w14:paraId="7FB91587" w14:textId="77777777" w:rsidR="00D36A99" w:rsidRDefault="00D36A99" w:rsidP="00D36A99">
            <w:pPr>
              <w:pStyle w:val="TableTextSmall"/>
            </w:pPr>
            <w:r>
              <w:t>Building Capacity in Australia’s Parents trial</w:t>
            </w:r>
          </w:p>
        </w:tc>
        <w:tc>
          <w:tcPr>
            <w:tcW w:w="4782" w:type="dxa"/>
          </w:tcPr>
          <w:p w14:paraId="7A7BDA25" w14:textId="77777777" w:rsidR="00D36A99" w:rsidRDefault="00D36A99" w:rsidP="00D36A99">
            <w:pPr>
              <w:pStyle w:val="TableTextSmall"/>
            </w:pPr>
            <w:r>
              <w:t>$2.08 million (2016-17 to 2019-20)</w:t>
            </w:r>
          </w:p>
        </w:tc>
      </w:tr>
      <w:tr w:rsidR="00D36A99" w14:paraId="62DFAE31" w14:textId="77777777" w:rsidTr="007256CC">
        <w:tc>
          <w:tcPr>
            <w:tcW w:w="793" w:type="dxa"/>
          </w:tcPr>
          <w:p w14:paraId="746EE0C5" w14:textId="77777777" w:rsidR="00D36A99" w:rsidRDefault="00D36A99" w:rsidP="00D36A99">
            <w:pPr>
              <w:pStyle w:val="TableTextSmall"/>
            </w:pPr>
            <w:r>
              <w:t>3</w:t>
            </w:r>
          </w:p>
        </w:tc>
        <w:tc>
          <w:tcPr>
            <w:tcW w:w="4201" w:type="dxa"/>
          </w:tcPr>
          <w:p w14:paraId="5CB1D788" w14:textId="77777777" w:rsidR="00D36A99" w:rsidRDefault="00D36A99" w:rsidP="00D36A99">
            <w:pPr>
              <w:pStyle w:val="TableTextSmall"/>
            </w:pPr>
            <w:r>
              <w:t>Transition to Independent Adulthood Trial</w:t>
            </w:r>
          </w:p>
        </w:tc>
        <w:tc>
          <w:tcPr>
            <w:tcW w:w="4782" w:type="dxa"/>
          </w:tcPr>
          <w:p w14:paraId="2DA660E3" w14:textId="77777777" w:rsidR="00D36A99" w:rsidRDefault="00D36A99" w:rsidP="00D36A99">
            <w:pPr>
              <w:pStyle w:val="TableTextSmall"/>
            </w:pPr>
            <w:r>
              <w:t>$3.87 million (2016-17 to 2019-20)</w:t>
            </w:r>
          </w:p>
        </w:tc>
      </w:tr>
      <w:tr w:rsidR="00D36A99" w14:paraId="0E3B2E0C" w14:textId="77777777" w:rsidTr="007256CC">
        <w:tc>
          <w:tcPr>
            <w:tcW w:w="793" w:type="dxa"/>
          </w:tcPr>
          <w:p w14:paraId="3A2A83D0" w14:textId="77777777" w:rsidR="00D36A99" w:rsidRDefault="00D36A99" w:rsidP="00D36A99">
            <w:pPr>
              <w:pStyle w:val="TableTextSmall"/>
            </w:pPr>
            <w:r>
              <w:t>3</w:t>
            </w:r>
          </w:p>
        </w:tc>
        <w:tc>
          <w:tcPr>
            <w:tcW w:w="4201" w:type="dxa"/>
          </w:tcPr>
          <w:p w14:paraId="0C0F9FA0" w14:textId="77777777" w:rsidR="00D36A99" w:rsidRDefault="00D36A99" w:rsidP="00D36A99">
            <w:pPr>
              <w:pStyle w:val="TableTextSmall"/>
            </w:pPr>
            <w:r>
              <w:t xml:space="preserve">Connected Beginnings </w:t>
            </w:r>
          </w:p>
        </w:tc>
        <w:tc>
          <w:tcPr>
            <w:tcW w:w="4782" w:type="dxa"/>
          </w:tcPr>
          <w:p w14:paraId="4E6B8787" w14:textId="77777777" w:rsidR="00D36A99" w:rsidRDefault="00D36A99" w:rsidP="00D36A99">
            <w:pPr>
              <w:pStyle w:val="TableTextSmall"/>
            </w:pPr>
            <w:r>
              <w:t xml:space="preserve">Approximately $12 million per annum provided by Department of Education </w:t>
            </w:r>
          </w:p>
        </w:tc>
      </w:tr>
      <w:tr w:rsidR="00D36A99" w14:paraId="769DD68C" w14:textId="77777777" w:rsidTr="007256CC">
        <w:tc>
          <w:tcPr>
            <w:tcW w:w="793" w:type="dxa"/>
          </w:tcPr>
          <w:p w14:paraId="0F623A56" w14:textId="77777777" w:rsidR="00D36A99" w:rsidRDefault="00D36A99" w:rsidP="00D36A99">
            <w:pPr>
              <w:pStyle w:val="TableTextSmall"/>
            </w:pPr>
            <w:r>
              <w:rPr>
                <w:b/>
              </w:rPr>
              <w:t>3</w:t>
            </w:r>
          </w:p>
        </w:tc>
        <w:tc>
          <w:tcPr>
            <w:tcW w:w="4201" w:type="dxa"/>
          </w:tcPr>
          <w:p w14:paraId="46649CA8" w14:textId="77777777" w:rsidR="00D36A99" w:rsidRDefault="00D36A99" w:rsidP="00D36A99">
            <w:pPr>
              <w:pStyle w:val="TableTextSmall"/>
            </w:pPr>
            <w:r w:rsidRPr="00F44E1C">
              <w:rPr>
                <w:b/>
              </w:rPr>
              <w:t>TOTAL</w:t>
            </w:r>
          </w:p>
        </w:tc>
        <w:tc>
          <w:tcPr>
            <w:tcW w:w="4782" w:type="dxa"/>
          </w:tcPr>
          <w:p w14:paraId="1CDAA157" w14:textId="77777777" w:rsidR="00D36A99" w:rsidRPr="00F44E1C" w:rsidRDefault="00D36A99" w:rsidP="00D36A99">
            <w:pPr>
              <w:pStyle w:val="TableTextSmall"/>
              <w:rPr>
                <w:b/>
              </w:rPr>
            </w:pPr>
            <w:r w:rsidRPr="00F44E1C">
              <w:rPr>
                <w:b/>
              </w:rPr>
              <w:t>$13.75 million (2015-2020) – Department of Social Services</w:t>
            </w:r>
          </w:p>
          <w:p w14:paraId="0A6C44F3" w14:textId="77777777" w:rsidR="00D36A99" w:rsidRDefault="00D36A99" w:rsidP="00D36A99">
            <w:pPr>
              <w:pStyle w:val="TableTextSmall"/>
            </w:pPr>
            <w:r w:rsidRPr="00F44E1C">
              <w:rPr>
                <w:b/>
              </w:rPr>
              <w:t>$60 million (2015-2020) – Department of Education</w:t>
            </w:r>
          </w:p>
        </w:tc>
      </w:tr>
      <w:tr w:rsidR="00D36A99" w14:paraId="2BF3DFAA" w14:textId="77777777" w:rsidTr="007256CC">
        <w:tc>
          <w:tcPr>
            <w:tcW w:w="793" w:type="dxa"/>
          </w:tcPr>
          <w:p w14:paraId="203CA283" w14:textId="77777777" w:rsidR="00D36A99" w:rsidRPr="00F44E1C" w:rsidRDefault="00D36A99" w:rsidP="00D36A99">
            <w:pPr>
              <w:pStyle w:val="TableTextSmall"/>
            </w:pPr>
            <w:r>
              <w:t>4</w:t>
            </w:r>
          </w:p>
        </w:tc>
        <w:tc>
          <w:tcPr>
            <w:tcW w:w="4201" w:type="dxa"/>
          </w:tcPr>
          <w:p w14:paraId="51333390" w14:textId="77777777" w:rsidR="00D36A99" w:rsidRPr="00F44E1C" w:rsidRDefault="00D36A99" w:rsidP="00D36A99">
            <w:pPr>
              <w:pStyle w:val="TableTextSmall"/>
            </w:pPr>
            <w:r>
              <w:t>Base National Initiatives appropriation</w:t>
            </w:r>
          </w:p>
        </w:tc>
        <w:tc>
          <w:tcPr>
            <w:tcW w:w="4782" w:type="dxa"/>
          </w:tcPr>
          <w:p w14:paraId="344DE917" w14:textId="77777777" w:rsidR="00D36A99" w:rsidRPr="00F44E1C" w:rsidRDefault="00D36A99" w:rsidP="00D36A99">
            <w:pPr>
              <w:pStyle w:val="TableTextSmall"/>
            </w:pPr>
            <w:r>
              <w:t>$7.8 million ($2.6 million per annum, 2018-19 to 2020-21)</w:t>
            </w:r>
          </w:p>
        </w:tc>
      </w:tr>
      <w:tr w:rsidR="00D36A99" w14:paraId="08C27A2D" w14:textId="77777777" w:rsidTr="007256CC">
        <w:tc>
          <w:tcPr>
            <w:tcW w:w="793" w:type="dxa"/>
          </w:tcPr>
          <w:p w14:paraId="45D83B19" w14:textId="77777777" w:rsidR="00D36A99" w:rsidRDefault="00D36A99" w:rsidP="00D36A99">
            <w:pPr>
              <w:pStyle w:val="TableTextSmall"/>
            </w:pPr>
            <w:r>
              <w:t>4</w:t>
            </w:r>
          </w:p>
        </w:tc>
        <w:tc>
          <w:tcPr>
            <w:tcW w:w="4201" w:type="dxa"/>
          </w:tcPr>
          <w:p w14:paraId="13600CB8" w14:textId="77777777" w:rsidR="00D36A99" w:rsidRDefault="00D36A99" w:rsidP="00D36A99">
            <w:pPr>
              <w:pStyle w:val="TableTextSmall"/>
            </w:pPr>
            <w:r>
              <w:t xml:space="preserve">Departmental reallocation to National Initiatives </w:t>
            </w:r>
          </w:p>
        </w:tc>
        <w:tc>
          <w:tcPr>
            <w:tcW w:w="4782" w:type="dxa"/>
          </w:tcPr>
          <w:p w14:paraId="66D4B221" w14:textId="77777777" w:rsidR="00D36A99" w:rsidRDefault="00D36A99" w:rsidP="00D36A99">
            <w:pPr>
              <w:pStyle w:val="TableTextSmall"/>
            </w:pPr>
            <w:r>
              <w:t xml:space="preserve">$1.5 million (2018-19) </w:t>
            </w:r>
          </w:p>
        </w:tc>
      </w:tr>
      <w:tr w:rsidR="00D36A99" w14:paraId="096F982E" w14:textId="77777777" w:rsidTr="007256CC">
        <w:tc>
          <w:tcPr>
            <w:tcW w:w="793" w:type="dxa"/>
          </w:tcPr>
          <w:p w14:paraId="27D5D030" w14:textId="77777777" w:rsidR="00D36A99" w:rsidRDefault="00D36A99" w:rsidP="00D36A99">
            <w:pPr>
              <w:pStyle w:val="TableTextSmall"/>
            </w:pPr>
            <w:r>
              <w:t>4</w:t>
            </w:r>
          </w:p>
        </w:tc>
        <w:tc>
          <w:tcPr>
            <w:tcW w:w="4201" w:type="dxa"/>
          </w:tcPr>
          <w:p w14:paraId="50A091FC" w14:textId="77777777" w:rsidR="00D36A99" w:rsidRDefault="00D36A99" w:rsidP="00D36A99">
            <w:pPr>
              <w:pStyle w:val="TableTextSmall"/>
            </w:pPr>
            <w:r>
              <w:t>Stronger Places, Stronger People</w:t>
            </w:r>
          </w:p>
        </w:tc>
        <w:tc>
          <w:tcPr>
            <w:tcW w:w="4782" w:type="dxa"/>
          </w:tcPr>
          <w:p w14:paraId="3B0D5480" w14:textId="77777777" w:rsidR="00D36A99" w:rsidRDefault="00D36A99" w:rsidP="00D36A99">
            <w:pPr>
              <w:pStyle w:val="TableTextSmall"/>
            </w:pPr>
            <w:r>
              <w:t>$35 million (2019-2023)</w:t>
            </w:r>
          </w:p>
        </w:tc>
      </w:tr>
      <w:tr w:rsidR="00D36A99" w14:paraId="2B81CF07" w14:textId="77777777" w:rsidTr="007256CC">
        <w:tc>
          <w:tcPr>
            <w:tcW w:w="793" w:type="dxa"/>
          </w:tcPr>
          <w:p w14:paraId="192DE2D9" w14:textId="77777777" w:rsidR="00D36A99" w:rsidRPr="00F44E1C" w:rsidRDefault="00D36A99" w:rsidP="00D36A99">
            <w:pPr>
              <w:pStyle w:val="TableTextSmall"/>
            </w:pPr>
            <w:r>
              <w:t>4</w:t>
            </w:r>
          </w:p>
        </w:tc>
        <w:tc>
          <w:tcPr>
            <w:tcW w:w="4201" w:type="dxa"/>
          </w:tcPr>
          <w:p w14:paraId="106452E9" w14:textId="77777777" w:rsidR="00D36A99" w:rsidRPr="00F44E1C" w:rsidRDefault="00D36A99" w:rsidP="00D36A99">
            <w:pPr>
              <w:pStyle w:val="TableTextSmall"/>
            </w:pPr>
            <w:r>
              <w:t xml:space="preserve">National Child Protection Information Sharing System </w:t>
            </w:r>
          </w:p>
        </w:tc>
        <w:tc>
          <w:tcPr>
            <w:tcW w:w="4782" w:type="dxa"/>
          </w:tcPr>
          <w:p w14:paraId="73CD7155" w14:textId="77777777" w:rsidR="00D36A99" w:rsidRPr="00F44E1C" w:rsidRDefault="00D36A99" w:rsidP="00D36A99">
            <w:pPr>
              <w:pStyle w:val="TableTextSmall"/>
            </w:pPr>
            <w:r>
              <w:t>$3.867 million (2018-19)</w:t>
            </w:r>
          </w:p>
        </w:tc>
      </w:tr>
      <w:tr w:rsidR="00D36A99" w14:paraId="5B7C9379" w14:textId="77777777" w:rsidTr="007256CC">
        <w:tc>
          <w:tcPr>
            <w:tcW w:w="793" w:type="dxa"/>
          </w:tcPr>
          <w:p w14:paraId="2DF010D7" w14:textId="77777777" w:rsidR="00D36A99" w:rsidRDefault="00D36A99" w:rsidP="00D36A99">
            <w:pPr>
              <w:pStyle w:val="TableTextSmall"/>
            </w:pPr>
            <w:r>
              <w:rPr>
                <w:b/>
              </w:rPr>
              <w:t>4</w:t>
            </w:r>
          </w:p>
        </w:tc>
        <w:tc>
          <w:tcPr>
            <w:tcW w:w="4201" w:type="dxa"/>
          </w:tcPr>
          <w:p w14:paraId="6DC2E504" w14:textId="77777777" w:rsidR="00D36A99" w:rsidRDefault="00D36A99" w:rsidP="00D36A99">
            <w:pPr>
              <w:pStyle w:val="TableTextSmall"/>
            </w:pPr>
            <w:r w:rsidRPr="00F44E1C">
              <w:rPr>
                <w:b/>
              </w:rPr>
              <w:t>TOTAL</w:t>
            </w:r>
          </w:p>
        </w:tc>
        <w:tc>
          <w:tcPr>
            <w:tcW w:w="4782" w:type="dxa"/>
          </w:tcPr>
          <w:p w14:paraId="68D8AD48" w14:textId="77777777" w:rsidR="00D36A99" w:rsidRDefault="00D36A99" w:rsidP="00D36A99">
            <w:pPr>
              <w:pStyle w:val="TableTextSmall"/>
            </w:pPr>
            <w:r w:rsidRPr="00F44E1C">
              <w:rPr>
                <w:b/>
              </w:rPr>
              <w:t>$</w:t>
            </w:r>
            <w:r>
              <w:rPr>
                <w:b/>
              </w:rPr>
              <w:t>48</w:t>
            </w:r>
            <w:r w:rsidRPr="00F44E1C">
              <w:rPr>
                <w:b/>
              </w:rPr>
              <w:t>.</w:t>
            </w:r>
            <w:r>
              <w:rPr>
                <w:b/>
              </w:rPr>
              <w:t>06</w:t>
            </w:r>
            <w:r w:rsidRPr="00F44E1C">
              <w:rPr>
                <w:b/>
              </w:rPr>
              <w:t xml:space="preserve"> million (201</w:t>
            </w:r>
            <w:r>
              <w:rPr>
                <w:b/>
              </w:rPr>
              <w:t>8</w:t>
            </w:r>
            <w:r w:rsidRPr="00F44E1C">
              <w:rPr>
                <w:b/>
              </w:rPr>
              <w:t>-202</w:t>
            </w:r>
            <w:r>
              <w:rPr>
                <w:b/>
              </w:rPr>
              <w:t>3</w:t>
            </w:r>
            <w:r w:rsidRPr="00F44E1C">
              <w:rPr>
                <w:b/>
              </w:rPr>
              <w:t>) – Department of Social Services</w:t>
            </w:r>
          </w:p>
        </w:tc>
      </w:tr>
    </w:tbl>
    <w:p w14:paraId="55326D83" w14:textId="77777777" w:rsidR="00D36A99" w:rsidRDefault="00D36A99" w:rsidP="00D36A99">
      <w:pPr>
        <w:pStyle w:val="PwCNormal-Single"/>
      </w:pPr>
    </w:p>
    <w:p w14:paraId="0AA00B4B" w14:textId="77777777" w:rsidR="00D36A99" w:rsidRPr="004C5D6B" w:rsidRDefault="008A78FD" w:rsidP="00443F56">
      <w:pPr>
        <w:pStyle w:val="PwCNormal"/>
        <w:numPr>
          <w:ilvl w:val="0"/>
          <w:numId w:val="0"/>
        </w:numPr>
      </w:pPr>
      <w:r w:rsidRPr="004C5D6B">
        <w:lastRenderedPageBreak/>
        <w:t xml:space="preserve">Considering the investment made and initiatives pursued, the National Framework was constrained in the impact it could have. There are </w:t>
      </w:r>
      <w:r w:rsidRPr="005A670C">
        <w:t>opportunities to explore joint funding or other funding models that leverage investment of jurisdictions to amplify the reach of initiatives delivered through the National Framework</w:t>
      </w:r>
      <w:r w:rsidRPr="004C5D6B">
        <w:t xml:space="preserve">. </w:t>
      </w:r>
    </w:p>
    <w:p w14:paraId="38DDE169" w14:textId="77777777" w:rsidR="008A78FD" w:rsidRPr="004C5D6B" w:rsidRDefault="008A78FD" w:rsidP="00D36A99">
      <w:pPr>
        <w:pStyle w:val="PwCNormal-Single"/>
      </w:pPr>
    </w:p>
    <w:p w14:paraId="331D5695" w14:textId="77777777" w:rsidR="00D36A99" w:rsidRPr="004C5D6B" w:rsidRDefault="00D36A99" w:rsidP="00B95734">
      <w:pPr>
        <w:pStyle w:val="Heading7"/>
        <w:numPr>
          <w:ilvl w:val="3"/>
          <w:numId w:val="43"/>
        </w:numPr>
      </w:pPr>
      <w:r w:rsidRPr="004C5D6B">
        <w:t>Use of data and evidence to inform decision making</w:t>
      </w:r>
    </w:p>
    <w:tbl>
      <w:tblPr>
        <w:tblStyle w:val="PwCColour"/>
        <w:tblW w:w="0" w:type="auto"/>
        <w:tblBorders>
          <w:top w:val="single" w:sz="4" w:space="0" w:color="EB8C00" w:themeColor="accent4"/>
          <w:left w:val="single" w:sz="4" w:space="0" w:color="EB8C00" w:themeColor="accent4"/>
          <w:bottom w:val="single" w:sz="4" w:space="0" w:color="EB8C00" w:themeColor="accent4"/>
          <w:right w:val="single" w:sz="4" w:space="0" w:color="EB8C00" w:themeColor="accent4"/>
          <w:insideH w:val="none" w:sz="0" w:space="0" w:color="auto"/>
          <w:insideV w:val="none" w:sz="0" w:space="0" w:color="auto"/>
        </w:tblBorders>
        <w:shd w:val="clear" w:color="auto" w:fill="FED8C3" w:themeFill="accent1" w:themeFillTint="33"/>
        <w:tblLook w:val="04A0" w:firstRow="1" w:lastRow="0" w:firstColumn="1" w:lastColumn="0" w:noHBand="0" w:noVBand="1"/>
        <w:tblCaption w:val="Key Finding"/>
        <w:tblDescription w:val="The Framework contributed to the evidence base through funding research activities, but decision-making processes were not sufficiently robust to ensure that evidence was embedded which occasionally resulted in key initiatives and trials that were not evidence-based.&#10;Data indicators were focussed on child protection and as the primary mechanism for reporting on outcomes, many do not have sufficient data. The indicators contributed to a focus on the child protection system which failed to engage broader sectors and portfolios and failed to result in accountability for the outcomes being achieved. &#10;"/>
      </w:tblPr>
      <w:tblGrid>
        <w:gridCol w:w="9855"/>
      </w:tblGrid>
      <w:tr w:rsidR="00D36A99" w:rsidRPr="004C5D6B" w14:paraId="6350D424" w14:textId="77777777" w:rsidTr="00D36A9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855" w:type="dxa"/>
            <w:tcBorders>
              <w:top w:val="none" w:sz="0" w:space="0" w:color="auto"/>
              <w:bottom w:val="none" w:sz="0" w:space="0" w:color="auto"/>
            </w:tcBorders>
            <w:shd w:val="clear" w:color="auto" w:fill="FED8C3" w:themeFill="accent1" w:themeFillTint="33"/>
            <w:vAlign w:val="center"/>
          </w:tcPr>
          <w:p w14:paraId="32787A75" w14:textId="32BF221F" w:rsidR="009A709D" w:rsidRPr="004C5D6B" w:rsidRDefault="009A709D" w:rsidP="00D36A99">
            <w:pPr>
              <w:pStyle w:val="PwCNormal"/>
              <w:numPr>
                <w:ilvl w:val="0"/>
                <w:numId w:val="0"/>
              </w:numPr>
              <w:spacing w:before="60" w:after="60" w:line="240" w:lineRule="auto"/>
            </w:pPr>
            <w:r>
              <w:rPr>
                <w:b/>
              </w:rPr>
              <w:t>Key finding</w:t>
            </w:r>
          </w:p>
          <w:p w14:paraId="21569B7D" w14:textId="77777777" w:rsidR="008A78FD" w:rsidRPr="004C5D6B" w:rsidRDefault="008A78FD" w:rsidP="00FA3E74">
            <w:pPr>
              <w:pStyle w:val="ListBullet"/>
              <w:numPr>
                <w:ilvl w:val="0"/>
                <w:numId w:val="0"/>
              </w:numPr>
              <w:ind w:left="284"/>
            </w:pPr>
            <w:r w:rsidRPr="004C5D6B">
              <w:t xml:space="preserve">The Framework contributed to the evidence base through funding research activities, but </w:t>
            </w:r>
            <w:r w:rsidRPr="005A670C">
              <w:t>decision-making processes were not sufficiently robust</w:t>
            </w:r>
            <w:r w:rsidRPr="004C5D6B">
              <w:t xml:space="preserve"> to ensure that evidence was embedded which </w:t>
            </w:r>
            <w:r w:rsidRPr="005A670C">
              <w:t xml:space="preserve">occasionally resulted in key initiatives and trials </w:t>
            </w:r>
            <w:r w:rsidRPr="004C5D6B">
              <w:t>that were not evidence-based.</w:t>
            </w:r>
          </w:p>
          <w:p w14:paraId="1297C442" w14:textId="77777777" w:rsidR="008A78FD" w:rsidRPr="004C5D6B" w:rsidRDefault="008A78FD" w:rsidP="00FA3E74">
            <w:pPr>
              <w:pStyle w:val="ListBullet"/>
              <w:numPr>
                <w:ilvl w:val="0"/>
                <w:numId w:val="0"/>
              </w:numPr>
              <w:ind w:left="284"/>
            </w:pPr>
            <w:r w:rsidRPr="004C5D6B">
              <w:t xml:space="preserve">Data indicators were focussed on child protection and as the primary mechanism for reporting on outcomes, many do not have sufficient data. The indicators contributed to </w:t>
            </w:r>
            <w:r w:rsidRPr="005A670C">
              <w:t>a focus on the child protection system which failed to engage broader sectors and portfolios and failed to result in accountability for the outcomes</w:t>
            </w:r>
            <w:r w:rsidRPr="004C5D6B">
              <w:t xml:space="preserve"> being achieved. </w:t>
            </w:r>
          </w:p>
        </w:tc>
      </w:tr>
    </w:tbl>
    <w:p w14:paraId="2EE763D0" w14:textId="77777777" w:rsidR="00D36A99" w:rsidRPr="004C5D6B" w:rsidRDefault="00D36A99" w:rsidP="00D36A99">
      <w:pPr>
        <w:pStyle w:val="PwCNormal"/>
        <w:numPr>
          <w:ilvl w:val="0"/>
          <w:numId w:val="0"/>
        </w:numPr>
      </w:pPr>
      <w:r w:rsidRPr="004C5D6B">
        <w:t>More than half of organisations indicated that evidence and data could have been better used to inform decision making and prioritisation of effort. Organisations reported that a number of factors impacted on the effective use of evidence in decision making including:</w:t>
      </w:r>
    </w:p>
    <w:p w14:paraId="7DECEA44" w14:textId="77777777" w:rsidR="00D36A99" w:rsidRPr="005A670C" w:rsidRDefault="000A1B37" w:rsidP="00D36A99">
      <w:pPr>
        <w:pStyle w:val="ListBullet"/>
      </w:pPr>
      <w:r w:rsidRPr="004C5D6B">
        <w:t xml:space="preserve">that </w:t>
      </w:r>
      <w:r w:rsidR="00D36A99" w:rsidRPr="004C5D6B">
        <w:t xml:space="preserve">the use of evidence and data to inform priorities and action such as the establishment of the Research Advisory Committee under the Third Action Plan </w:t>
      </w:r>
      <w:r w:rsidRPr="004C5D6B">
        <w:t xml:space="preserve">was positive </w:t>
      </w:r>
      <w:r w:rsidR="00D36A99" w:rsidRPr="004C5D6B">
        <w:t xml:space="preserve">but reported that the </w:t>
      </w:r>
      <w:r w:rsidR="00D36A99" w:rsidRPr="005A670C">
        <w:t>use of evidence was not embedded consistently</w:t>
      </w:r>
      <w:r w:rsidR="00344BE8" w:rsidRPr="005A670C">
        <w:t>.</w:t>
      </w:r>
    </w:p>
    <w:p w14:paraId="04E42C64" w14:textId="698CD042" w:rsidR="00D36A99" w:rsidRPr="004C5D6B" w:rsidRDefault="005E548D" w:rsidP="00D36A99">
      <w:pPr>
        <w:pStyle w:val="ListBullet"/>
      </w:pPr>
      <w:r w:rsidRPr="004C5D6B">
        <w:t xml:space="preserve">processes and </w:t>
      </w:r>
      <w:r w:rsidR="00D36A99" w:rsidRPr="004C5D6B">
        <w:t xml:space="preserve">decisions made regarding the priorities of the action plans and the parameters of projects and initiatives undertaken </w:t>
      </w:r>
      <w:r w:rsidR="00D36A99" w:rsidRPr="005A670C">
        <w:t>were not always based on evidence</w:t>
      </w:r>
      <w:r w:rsidR="00D36A99" w:rsidRPr="004C5D6B">
        <w:t xml:space="preserve">. </w:t>
      </w:r>
      <w:r w:rsidR="000A1B37" w:rsidRPr="004C5D6B">
        <w:t xml:space="preserve">A handful of </w:t>
      </w:r>
      <w:r w:rsidR="00D36A99" w:rsidRPr="004C5D6B">
        <w:t xml:space="preserve">stakeholders and one focus group referred to the establishment of the BCAP trial as an example of where evidence was not used to inform the parameters and design of the trial. Stakeholders reported that at least one jurisdiction chose not to be a part of the trial due to </w:t>
      </w:r>
      <w:r w:rsidR="00D36A99" w:rsidRPr="005A670C">
        <w:t>the lack of evidence</w:t>
      </w:r>
      <w:r w:rsidRPr="005A670C">
        <w:t>-</w:t>
      </w:r>
      <w:r w:rsidR="00D36A99" w:rsidRPr="004C5D6B">
        <w:t>informed design</w:t>
      </w:r>
      <w:r w:rsidRPr="004C5D6B">
        <w:t>.</w:t>
      </w:r>
      <w:r w:rsidR="00D36A99" w:rsidRPr="004C5D6B">
        <w:t xml:space="preserve"> </w:t>
      </w:r>
    </w:p>
    <w:p w14:paraId="4087AB34" w14:textId="77777777" w:rsidR="00D36A99" w:rsidRPr="004C5D6B" w:rsidRDefault="00D36A99" w:rsidP="00D36A99">
      <w:pPr>
        <w:pStyle w:val="ListBullet"/>
        <w:numPr>
          <w:ilvl w:val="0"/>
          <w:numId w:val="0"/>
        </w:numPr>
      </w:pPr>
      <w:r w:rsidRPr="004C5D6B">
        <w:t xml:space="preserve">Several organisations referenced that the </w:t>
      </w:r>
      <w:r w:rsidRPr="00235FA1">
        <w:t>data indicators used to report on the National Framework were largely focussed on children in child protection</w:t>
      </w:r>
      <w:r w:rsidRPr="004C5D6B">
        <w:t xml:space="preserve"> and there were insufficient indicators that reported on risk factors or leading indicators such as repeat hospital admissions. Desktop review of the National Framework indicators revealed that of the 32 indicators, 17 indicators report on children and families who are already known to child protection or other frontline services (homelessness). Of the 18 indicators that have sufficient time series data to report on trend, 10 are related to children and families who are already known to child protection.</w:t>
      </w:r>
      <w:r w:rsidRPr="004C5D6B">
        <w:rPr>
          <w:rStyle w:val="FootnoteReference"/>
        </w:rPr>
        <w:footnoteReference w:id="31"/>
      </w:r>
      <w:r w:rsidRPr="004C5D6B">
        <w:t xml:space="preserve"> </w:t>
      </w:r>
    </w:p>
    <w:p w14:paraId="0DF33378" w14:textId="5AABAA1C" w:rsidR="000A1B37" w:rsidRPr="004C5D6B" w:rsidRDefault="000A1B37" w:rsidP="00D36A99">
      <w:pPr>
        <w:pStyle w:val="ListBullet"/>
        <w:numPr>
          <w:ilvl w:val="0"/>
          <w:numId w:val="0"/>
        </w:numPr>
      </w:pPr>
      <w:r w:rsidRPr="005A670C">
        <w:t xml:space="preserve">While </w:t>
      </w:r>
      <w:r w:rsidRPr="00235FA1">
        <w:t>some of the funded activities under the National Framework built the evidence base through research</w:t>
      </w:r>
      <w:r w:rsidRPr="004C5D6B">
        <w:t xml:space="preserve">, </w:t>
      </w:r>
      <w:r w:rsidR="00235FA1">
        <w:t xml:space="preserve">it was suggested that </w:t>
      </w:r>
      <w:r w:rsidRPr="004C5D6B">
        <w:t xml:space="preserve">decision-making processes were not sufficiently evidence-based. A strong focus on child protection – as reflected in the Framework’s data indicators – focused activities on those that influence these metrics. </w:t>
      </w:r>
    </w:p>
    <w:p w14:paraId="460A2E21" w14:textId="77777777" w:rsidR="00D36A99" w:rsidRPr="005A670C" w:rsidRDefault="00D36A99" w:rsidP="00B95734">
      <w:pPr>
        <w:pStyle w:val="Heading7"/>
        <w:numPr>
          <w:ilvl w:val="3"/>
          <w:numId w:val="43"/>
        </w:numPr>
      </w:pPr>
      <w:r w:rsidRPr="004C5D6B">
        <w:t xml:space="preserve">Coordination </w:t>
      </w:r>
      <w:r w:rsidRPr="005A670C">
        <w:t>across government and prioritisation of effort</w:t>
      </w:r>
    </w:p>
    <w:tbl>
      <w:tblPr>
        <w:tblStyle w:val="PwCColour"/>
        <w:tblW w:w="0" w:type="auto"/>
        <w:tblBorders>
          <w:top w:val="single" w:sz="4" w:space="0" w:color="EB8C00" w:themeColor="accent4"/>
          <w:left w:val="single" w:sz="4" w:space="0" w:color="EB8C00" w:themeColor="accent4"/>
          <w:bottom w:val="single" w:sz="4" w:space="0" w:color="EB8C00" w:themeColor="accent4"/>
          <w:right w:val="single" w:sz="4" w:space="0" w:color="EB8C00" w:themeColor="accent4"/>
          <w:insideH w:val="none" w:sz="0" w:space="0" w:color="auto"/>
          <w:insideV w:val="none" w:sz="0" w:space="0" w:color="auto"/>
        </w:tblBorders>
        <w:shd w:val="clear" w:color="auto" w:fill="FED8C3" w:themeFill="accent1" w:themeFillTint="33"/>
        <w:tblLook w:val="04A0" w:firstRow="1" w:lastRow="0" w:firstColumn="1" w:lastColumn="0" w:noHBand="0" w:noVBand="1"/>
        <w:tblCaption w:val="Key Finding"/>
        <w:tblDescription w:val="While the intent to bridge cross-portfolio issues that underpin child abuse and neglect was evident in discussions throughout the development of the National Framework and the Action Plans, the challenges of doing so were not overcome.  Broad system and cross-jurisdictional changes were not achieved to address the underlying causes of child abuse and neglect."/>
      </w:tblPr>
      <w:tblGrid>
        <w:gridCol w:w="9855"/>
      </w:tblGrid>
      <w:tr w:rsidR="00D36A99" w:rsidRPr="004C5D6B" w14:paraId="39DB2476" w14:textId="77777777" w:rsidTr="00D36A9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855" w:type="dxa"/>
            <w:tcBorders>
              <w:top w:val="none" w:sz="0" w:space="0" w:color="auto"/>
              <w:bottom w:val="none" w:sz="0" w:space="0" w:color="auto"/>
            </w:tcBorders>
            <w:shd w:val="clear" w:color="auto" w:fill="FED8C3" w:themeFill="accent1" w:themeFillTint="33"/>
            <w:vAlign w:val="center"/>
          </w:tcPr>
          <w:p w14:paraId="69A88DB7" w14:textId="31EAC98F" w:rsidR="009A709D" w:rsidRPr="005A670C" w:rsidRDefault="009A709D" w:rsidP="00D36A99">
            <w:pPr>
              <w:pStyle w:val="PwCNormal"/>
              <w:numPr>
                <w:ilvl w:val="0"/>
                <w:numId w:val="0"/>
              </w:numPr>
              <w:spacing w:before="60" w:after="60" w:line="240" w:lineRule="auto"/>
            </w:pPr>
            <w:r>
              <w:rPr>
                <w:b/>
              </w:rPr>
              <w:t>Key finding</w:t>
            </w:r>
          </w:p>
          <w:p w14:paraId="660A7298" w14:textId="17434D9E" w:rsidR="00D36A99" w:rsidRPr="004C5D6B" w:rsidRDefault="00235FA1" w:rsidP="00235FA1">
            <w:pPr>
              <w:pStyle w:val="PwCNormal"/>
              <w:numPr>
                <w:ilvl w:val="0"/>
                <w:numId w:val="0"/>
              </w:numPr>
              <w:spacing w:before="60" w:after="60" w:line="240" w:lineRule="auto"/>
              <w:ind w:left="284"/>
            </w:pPr>
            <w:bookmarkStart w:id="144" w:name="_Hlk31293953"/>
            <w:r w:rsidRPr="00235FA1">
              <w:t xml:space="preserve">While the intent to bridge cross-portfolio issues that underpin child abuse and neglect was evident in discussions </w:t>
            </w:r>
            <w:r>
              <w:t xml:space="preserve">throughout the development </w:t>
            </w:r>
            <w:r w:rsidRPr="00235FA1">
              <w:t>of the National Framework</w:t>
            </w:r>
            <w:r>
              <w:t xml:space="preserve"> and the Action Plans</w:t>
            </w:r>
            <w:r w:rsidRPr="00235FA1">
              <w:t xml:space="preserve">, the challenges of doing so were </w:t>
            </w:r>
            <w:r w:rsidR="00255792">
              <w:t xml:space="preserve">not </w:t>
            </w:r>
            <w:r>
              <w:t xml:space="preserve">overcome.  </w:t>
            </w:r>
            <w:r w:rsidR="007E037B" w:rsidRPr="005A670C">
              <w:t xml:space="preserve">Broad system and cross-jurisdictional changes were not </w:t>
            </w:r>
            <w:r>
              <w:t xml:space="preserve">achieved </w:t>
            </w:r>
            <w:r w:rsidR="007E037B" w:rsidRPr="005A670C">
              <w:t>to address the underlying causes of child ab</w:t>
            </w:r>
            <w:r w:rsidR="007E037B" w:rsidRPr="00235FA1">
              <w:t>use and neglect.</w:t>
            </w:r>
            <w:bookmarkEnd w:id="144"/>
          </w:p>
        </w:tc>
      </w:tr>
    </w:tbl>
    <w:p w14:paraId="27128448" w14:textId="77777777" w:rsidR="00D36A99" w:rsidRPr="004C5D6B" w:rsidRDefault="007E037B" w:rsidP="00D36A99">
      <w:pPr>
        <w:pStyle w:val="PwCNormal"/>
        <w:numPr>
          <w:ilvl w:val="0"/>
          <w:numId w:val="0"/>
        </w:numPr>
      </w:pPr>
      <w:r w:rsidRPr="004C5D6B">
        <w:t xml:space="preserve">A significant number of </w:t>
      </w:r>
      <w:r w:rsidR="00D36A99" w:rsidRPr="004C5D6B">
        <w:t xml:space="preserve">organisations consulted with made statements that indicated that </w:t>
      </w:r>
      <w:r w:rsidR="00D36A99" w:rsidRPr="00235FA1">
        <w:t xml:space="preserve">coordination of national effort under the National Framework and </w:t>
      </w:r>
      <w:r w:rsidR="00A0133F" w:rsidRPr="00235FA1">
        <w:t>a</w:t>
      </w:r>
      <w:r w:rsidR="00D36A99" w:rsidRPr="00235FA1">
        <w:t xml:space="preserve">ction </w:t>
      </w:r>
      <w:r w:rsidR="00A0133F" w:rsidRPr="00235FA1">
        <w:t>p</w:t>
      </w:r>
      <w:r w:rsidR="00D36A99" w:rsidRPr="00235FA1">
        <w:t>lans was weak</w:t>
      </w:r>
      <w:r w:rsidR="00D36A99" w:rsidRPr="004C5D6B">
        <w:t xml:space="preserve"> and this impacted on the achievement of outcomes. </w:t>
      </w:r>
    </w:p>
    <w:p w14:paraId="0C698797" w14:textId="77777777" w:rsidR="00D36A99" w:rsidRDefault="00D36A99" w:rsidP="00D36A99">
      <w:pPr>
        <w:pStyle w:val="PwCNormal"/>
        <w:numPr>
          <w:ilvl w:val="0"/>
          <w:numId w:val="0"/>
        </w:numPr>
      </w:pPr>
      <w:r w:rsidRPr="004C5D6B">
        <w:t xml:space="preserve">The most commonly reported inhibitor was </w:t>
      </w:r>
      <w:r w:rsidRPr="00235FA1">
        <w:t>a lack of coordinated and consistent implementation of initiatives across jurisdictions and over time</w:t>
      </w:r>
      <w:r w:rsidRPr="004C5D6B">
        <w:t xml:space="preserve"> (reported by more than half of organisations who identified this challenge). Organisations who reported this inhibitor indicated that the lack of consistent implementation was a symptom of a </w:t>
      </w:r>
      <w:r w:rsidRPr="00235FA1">
        <w:t>lack of investment and resourcing,</w:t>
      </w:r>
      <w:r w:rsidRPr="004C5D6B">
        <w:t xml:space="preserve"> and an inability of the National Framework to lead broad service system improvements and cross-governmental </w:t>
      </w:r>
      <w:r w:rsidRPr="004C5D6B">
        <w:lastRenderedPageBreak/>
        <w:t>changes to connect services and overcome disjointed referral pathways. Several organisations</w:t>
      </w:r>
      <w:r w:rsidRPr="00605F48">
        <w:t xml:space="preserve"> reported that the </w:t>
      </w:r>
      <w:r>
        <w:t xml:space="preserve">current services system is </w:t>
      </w:r>
      <w:r w:rsidRPr="00605F48">
        <w:t>disconnected</w:t>
      </w:r>
      <w:r>
        <w:t>/</w:t>
      </w:r>
      <w:r w:rsidRPr="00605F48">
        <w:t xml:space="preserve">disjointed </w:t>
      </w:r>
      <w:r>
        <w:t>and</w:t>
      </w:r>
      <w:r w:rsidRPr="00605F48">
        <w:t xml:space="preserve"> results in inefficient allocation of support services such as some clients falling through the cracks an</w:t>
      </w:r>
      <w:r>
        <w:t>d</w:t>
      </w:r>
      <w:r w:rsidRPr="00605F48">
        <w:t xml:space="preserve"> others being over-serviced. </w:t>
      </w:r>
    </w:p>
    <w:p w14:paraId="47835FA1" w14:textId="77777777" w:rsidR="00D36A99" w:rsidRPr="00230EE6" w:rsidRDefault="007E037B" w:rsidP="00D36A99">
      <w:pPr>
        <w:pStyle w:val="PwCNormal"/>
        <w:numPr>
          <w:ilvl w:val="0"/>
          <w:numId w:val="0"/>
        </w:numPr>
      </w:pPr>
      <w:r>
        <w:t xml:space="preserve">A handful of </w:t>
      </w:r>
      <w:r w:rsidRPr="00235FA1">
        <w:t>o</w:t>
      </w:r>
      <w:r w:rsidR="00B45566" w:rsidRPr="00235FA1">
        <w:t>rganisation</w:t>
      </w:r>
      <w:r w:rsidR="00D36A99" w:rsidRPr="00235FA1">
        <w:t>s identified that a strength of both the Third and Fourth Action Plans was that, to overcome the challenges experienced in coordinating effort, the Forum focussed on a smaller number of achievable actions that had greater success in being implemented. However, some</w:t>
      </w:r>
      <w:r w:rsidR="00D36A99" w:rsidRPr="00230EE6">
        <w:t xml:space="preserve"> stakeholders suggested that this focus became possible because the activities </w:t>
      </w:r>
      <w:r w:rsidR="00D36A99">
        <w:t xml:space="preserve">that </w:t>
      </w:r>
      <w:r w:rsidR="00D36A99" w:rsidRPr="00230EE6">
        <w:t xml:space="preserve">were </w:t>
      </w:r>
      <w:r w:rsidR="00D36A99">
        <w:t xml:space="preserve">prioritised were </w:t>
      </w:r>
      <w:r w:rsidR="00D36A99" w:rsidRPr="00230EE6">
        <w:t>within</w:t>
      </w:r>
      <w:r w:rsidR="00D36A99">
        <w:t xml:space="preserve"> the</w:t>
      </w:r>
      <w:r w:rsidR="00D36A99" w:rsidRPr="00230EE6">
        <w:t xml:space="preserve"> child protection</w:t>
      </w:r>
      <w:r w:rsidR="00D36A99">
        <w:t xml:space="preserve"> space where the majority of the members of the National Forum and Working Groups had jurisdiction or influence. Organisations reported that:</w:t>
      </w:r>
    </w:p>
    <w:p w14:paraId="15F89109" w14:textId="77777777" w:rsidR="00D36A99" w:rsidRPr="00872100" w:rsidRDefault="00D36A99" w:rsidP="00D36A99">
      <w:pPr>
        <w:pStyle w:val="ListBullet"/>
      </w:pPr>
      <w:r>
        <w:t xml:space="preserve">it was positive to achieve more of the initiatives included within the Third Action Plan and to see any outstanding initiatives included within the Fourth Action Plan </w:t>
      </w:r>
    </w:p>
    <w:p w14:paraId="7BE0CF2C" w14:textId="77777777" w:rsidR="00D36A99" w:rsidRDefault="00D36A99" w:rsidP="00D36A99">
      <w:pPr>
        <w:pStyle w:val="ListBullet"/>
      </w:pPr>
      <w:r>
        <w:t>however, the focus on achievable actions resulted in the actions being pursued and being selected based on what could be achieved as a first priority</w:t>
      </w:r>
    </w:p>
    <w:p w14:paraId="7A78C111" w14:textId="77777777" w:rsidR="00D36A99" w:rsidRPr="00235FA1" w:rsidRDefault="00D36A99" w:rsidP="00D36A99">
      <w:pPr>
        <w:pStyle w:val="ListBullet"/>
      </w:pPr>
      <w:r>
        <w:t xml:space="preserve">this approach resulted in effort being directed back to the statutory, child protection system and failed to progress a push towards greater early </w:t>
      </w:r>
      <w:r w:rsidRPr="00235FA1">
        <w:t xml:space="preserve">intervention and prevention. </w:t>
      </w:r>
    </w:p>
    <w:p w14:paraId="0593B392" w14:textId="4540FDC7" w:rsidR="007E037B" w:rsidRPr="00235FA1" w:rsidRDefault="007E037B" w:rsidP="008552A8">
      <w:pPr>
        <w:pStyle w:val="ListBullet"/>
        <w:numPr>
          <w:ilvl w:val="0"/>
          <w:numId w:val="0"/>
        </w:numPr>
      </w:pPr>
      <w:r w:rsidRPr="00235FA1">
        <w:t xml:space="preserve">While the intent to bridge cross-portfolio issues that underpin child abuse and neglect was evident in discussions of the National Framework’s governance structure, the challenges of doing so were not surmounted. The </w:t>
      </w:r>
      <w:r w:rsidRPr="007434DF">
        <w:t>broad system and cross-jurisdictional changes envisaged were not implemented over the operation of the National Framework</w:t>
      </w:r>
      <w:r w:rsidRPr="00235FA1">
        <w:t xml:space="preserve">. </w:t>
      </w:r>
      <w:r w:rsidR="00CD6D65" w:rsidRPr="00CD6D65">
        <w:t xml:space="preserve"> </w:t>
      </w:r>
      <w:r w:rsidR="00CD6D65">
        <w:t xml:space="preserve">Further, the lack of data on the prevalence of child abuse and neglect, and other measures of health and wellbeing indicators - which was cited by a number of stakeholders - is a challenge in embedding appropriate measurement and accountability frameworks against which progress could be tracked at a national level. </w:t>
      </w:r>
    </w:p>
    <w:p w14:paraId="0E5CAE66" w14:textId="77777777" w:rsidR="00D36A99" w:rsidRPr="00235FA1" w:rsidRDefault="00D36A99" w:rsidP="00B95734">
      <w:pPr>
        <w:pStyle w:val="Heading6"/>
        <w:numPr>
          <w:ilvl w:val="2"/>
          <w:numId w:val="43"/>
        </w:numPr>
      </w:pPr>
      <w:bookmarkStart w:id="145" w:name="_Ref31296593"/>
      <w:bookmarkStart w:id="146" w:name="_Toc42847843"/>
      <w:r w:rsidRPr="00235FA1">
        <w:t>Effectiveness of informing the agenda for Indigenous priorities and actions</w:t>
      </w:r>
      <w:bookmarkEnd w:id="145"/>
      <w:bookmarkEnd w:id="146"/>
    </w:p>
    <w:tbl>
      <w:tblPr>
        <w:tblStyle w:val="PwCColour"/>
        <w:tblW w:w="0" w:type="auto"/>
        <w:tblBorders>
          <w:top w:val="single" w:sz="4" w:space="0" w:color="EB8C00" w:themeColor="accent4"/>
          <w:left w:val="single" w:sz="4" w:space="0" w:color="EB8C00" w:themeColor="accent4"/>
          <w:bottom w:val="single" w:sz="4" w:space="0" w:color="EB8C00" w:themeColor="accent4"/>
          <w:right w:val="single" w:sz="4" w:space="0" w:color="EB8C00" w:themeColor="accent4"/>
          <w:insideH w:val="none" w:sz="0" w:space="0" w:color="auto"/>
          <w:insideV w:val="none" w:sz="0" w:space="0" w:color="auto"/>
        </w:tblBorders>
        <w:shd w:val="clear" w:color="auto" w:fill="FED8C3" w:themeFill="accent1" w:themeFillTint="33"/>
        <w:tblLook w:val="04A0" w:firstRow="1" w:lastRow="0" w:firstColumn="1" w:lastColumn="0" w:noHBand="0" w:noVBand="1"/>
        <w:tblCaption w:val="Key Finding"/>
        <w:tblDescription w:val="The over-representation of Indigenous children in child protection has deteriorated over the life of the Framework. Organisations identified that positive work had commenced to embed the ATSICPP but cautioned that full implementation (not just as a placement hierarchy) is required to fully pursue Indigenous children’s rights. Indigenous stakeholders identified an opportunity for the Framework to ensure that Indigenous communities are adequately consulted in all stages of development and implementation. Focus would also be better supported if prevalence data enabled the National Framework to monitor its progress."/>
      </w:tblPr>
      <w:tblGrid>
        <w:gridCol w:w="9855"/>
      </w:tblGrid>
      <w:tr w:rsidR="00D36A99" w:rsidRPr="00235FA1" w14:paraId="14665847" w14:textId="77777777" w:rsidTr="00D36A9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855" w:type="dxa"/>
            <w:tcBorders>
              <w:top w:val="none" w:sz="0" w:space="0" w:color="auto"/>
              <w:bottom w:val="none" w:sz="0" w:space="0" w:color="auto"/>
            </w:tcBorders>
            <w:shd w:val="clear" w:color="auto" w:fill="FED8C3" w:themeFill="accent1" w:themeFillTint="33"/>
            <w:vAlign w:val="center"/>
          </w:tcPr>
          <w:p w14:paraId="149B480A" w14:textId="7FD43E20" w:rsidR="00D36A99" w:rsidRPr="00235FA1" w:rsidRDefault="009A709D" w:rsidP="00D36A99">
            <w:pPr>
              <w:pStyle w:val="PwCNormal"/>
              <w:numPr>
                <w:ilvl w:val="0"/>
                <w:numId w:val="0"/>
              </w:numPr>
              <w:spacing w:before="60" w:after="60" w:line="240" w:lineRule="auto"/>
            </w:pPr>
            <w:r>
              <w:rPr>
                <w:b/>
              </w:rPr>
              <w:t>Key finding</w:t>
            </w:r>
            <w:r w:rsidR="00D36A99" w:rsidRPr="00235FA1">
              <w:rPr>
                <w:b/>
              </w:rPr>
              <w:t xml:space="preserve"> </w:t>
            </w:r>
          </w:p>
          <w:p w14:paraId="242757F7" w14:textId="49E7FE25" w:rsidR="00512541" w:rsidRPr="00235FA1" w:rsidRDefault="0033247A" w:rsidP="00255792">
            <w:pPr>
              <w:pStyle w:val="PwCNormal"/>
              <w:numPr>
                <w:ilvl w:val="0"/>
                <w:numId w:val="0"/>
              </w:numPr>
              <w:spacing w:before="60" w:after="60" w:line="240" w:lineRule="auto"/>
              <w:ind w:left="284"/>
            </w:pPr>
            <w:r w:rsidRPr="00235FA1">
              <w:t xml:space="preserve">The over-representation of Indigenous children in child protection has deteriorated over the life of the Framework. Organisations identified that </w:t>
            </w:r>
            <w:r w:rsidRPr="007434DF">
              <w:t>positive work had commenced to embed the ATSICPP</w:t>
            </w:r>
            <w:r w:rsidRPr="00235FA1">
              <w:t xml:space="preserve"> but cautioned that full implementation (not just as a placement hierarchy) is required to fully pursue Indigenous children’s rights. Indigenous stakeholders identified an opportunity for the Framework to </w:t>
            </w:r>
            <w:r w:rsidRPr="007434DF">
              <w:t>ensur</w:t>
            </w:r>
            <w:r w:rsidR="00255792">
              <w:t>e</w:t>
            </w:r>
            <w:r w:rsidRPr="007434DF">
              <w:t xml:space="preserve"> that Indigenous communities are adequately consulted </w:t>
            </w:r>
            <w:r w:rsidR="00255792">
              <w:t>in</w:t>
            </w:r>
            <w:r w:rsidRPr="007434DF">
              <w:t xml:space="preserve"> all stages of development and implementation</w:t>
            </w:r>
            <w:r w:rsidRPr="00235FA1">
              <w:t>. Focus would also be better supported if prevalence data enabled the National Framework to monitor its progress.</w:t>
            </w:r>
          </w:p>
        </w:tc>
      </w:tr>
    </w:tbl>
    <w:p w14:paraId="35556274" w14:textId="0C605F3E" w:rsidR="00D36A99" w:rsidRPr="00235FA1" w:rsidRDefault="00D36A99" w:rsidP="00D36A99">
      <w:pPr>
        <w:pStyle w:val="PwCNormal"/>
        <w:numPr>
          <w:ilvl w:val="0"/>
          <w:numId w:val="0"/>
        </w:numPr>
      </w:pPr>
      <w:r w:rsidRPr="00235FA1">
        <w:t xml:space="preserve">Almost all organisations consulted provided views on the effectiveness of the National Framework and </w:t>
      </w:r>
      <w:r w:rsidR="00A0133F" w:rsidRPr="00235FA1">
        <w:t>a</w:t>
      </w:r>
      <w:r w:rsidRPr="00235FA1">
        <w:t xml:space="preserve">ction </w:t>
      </w:r>
      <w:r w:rsidR="00A0133F" w:rsidRPr="00235FA1">
        <w:t>p</w:t>
      </w:r>
      <w:r w:rsidRPr="00235FA1">
        <w:t xml:space="preserve">lans in informing the agenda for Indigenous priorities. Of those organisations almost half made statements that indicated that the Framework has not resulted in any reduction in the over-representation of Indigenous children in child protection and out of home care. </w:t>
      </w:r>
    </w:p>
    <w:p w14:paraId="10DCD6E4" w14:textId="0A8DF039" w:rsidR="009D5B6B" w:rsidRDefault="009D5B6B" w:rsidP="008552A8">
      <w:pPr>
        <w:pStyle w:val="Minorheading"/>
      </w:pPr>
      <w:r>
        <w:t>Indicators of progress for Indigenous children</w:t>
      </w:r>
    </w:p>
    <w:p w14:paraId="27AEBAA2" w14:textId="764C1A7E" w:rsidR="00D36A99" w:rsidRPr="00235FA1" w:rsidRDefault="00D36A99" w:rsidP="00D36A99">
      <w:pPr>
        <w:pStyle w:val="PwCNormal"/>
        <w:numPr>
          <w:ilvl w:val="0"/>
          <w:numId w:val="0"/>
        </w:numPr>
      </w:pPr>
      <w:r w:rsidRPr="00235FA1">
        <w:t>Desktop analysis of data indicators (outlined in Chapter</w:t>
      </w:r>
      <w:r w:rsidR="009A709D">
        <w:t xml:space="preserve"> 3</w:t>
      </w:r>
      <w:r w:rsidRPr="00235FA1">
        <w:t>) supports this view as over-representation appears to have worsened from 6.8 times more likely to 9.9 times between 2008-09 to 2018-19. In addition, the proportion of all children on a care and protection order who identify as Indigenous has increased from 29% in 2008-09 to 36% in 2017-18. As Indigenous children currently make up a significant cohort within the child protection system, the supporting factors, strengths, weaknesses and inhibitors of achieving the actions and outcomes of the Framework also apply closely to the effectiveness of informing Indigenous priorities and actions. This was supported by more than half of organisations who referenced that the challenges experienced in relation to the high-level factors outlined above, also impacted on the ability of the Framework to</w:t>
      </w:r>
      <w:r w:rsidR="002B75DA" w:rsidRPr="00235FA1">
        <w:t xml:space="preserve"> impact on outcomes for </w:t>
      </w:r>
      <w:r w:rsidRPr="00235FA1">
        <w:t xml:space="preserve">Indigenous children. </w:t>
      </w:r>
    </w:p>
    <w:p w14:paraId="789B5FAE" w14:textId="49A6F7A3" w:rsidR="009D5B6B" w:rsidRDefault="009D5B6B" w:rsidP="008552A8">
      <w:pPr>
        <w:pStyle w:val="Minorheading"/>
      </w:pPr>
      <w:r>
        <w:t>Extent to which the Framework progressed the Indigenous agenda</w:t>
      </w:r>
    </w:p>
    <w:p w14:paraId="753A9F0E" w14:textId="2776189F" w:rsidR="00D36A99" w:rsidRPr="007434DF" w:rsidRDefault="00D36A99" w:rsidP="00D36A99">
      <w:pPr>
        <w:pStyle w:val="PwCNormal"/>
        <w:numPr>
          <w:ilvl w:val="0"/>
          <w:numId w:val="0"/>
        </w:numPr>
      </w:pPr>
      <w:r w:rsidRPr="00235FA1">
        <w:t xml:space="preserve">Three Indigenous organisations were </w:t>
      </w:r>
      <w:r w:rsidRPr="007434DF">
        <w:t xml:space="preserve">consulted with as part of this evaluation and provided their views on the key factors that have inhibited progress for Indigenous children. All Indigenous organisations were aligned on two key factors: </w:t>
      </w:r>
    </w:p>
    <w:p w14:paraId="64F4E3DB" w14:textId="77777777" w:rsidR="00D36A99" w:rsidRPr="007434DF" w:rsidRDefault="00D36A99" w:rsidP="00B95734">
      <w:pPr>
        <w:pStyle w:val="ChapterNumberedList1"/>
        <w:numPr>
          <w:ilvl w:val="7"/>
          <w:numId w:val="43"/>
        </w:numPr>
      </w:pPr>
      <w:r w:rsidRPr="008D2A10">
        <w:lastRenderedPageBreak/>
        <w:t>The National Framework has not embedded the key principles of the United Nations Declaration on the Rights of Indigenous Peoples (UNDRIP) including the right to self-determination and free, prior and informed consent.</w:t>
      </w:r>
      <w:r w:rsidRPr="007434DF">
        <w:rPr>
          <w:rStyle w:val="FootnoteReference"/>
        </w:rPr>
        <w:footnoteReference w:id="32"/>
      </w:r>
      <w:r w:rsidRPr="007434DF">
        <w:t xml:space="preserve"> </w:t>
      </w:r>
    </w:p>
    <w:p w14:paraId="21D6277F" w14:textId="77777777" w:rsidR="00D36A99" w:rsidRPr="008D2A10" w:rsidRDefault="00D36A99" w:rsidP="00D36A99">
      <w:pPr>
        <w:pStyle w:val="ListBullet"/>
        <w:numPr>
          <w:ilvl w:val="0"/>
          <w:numId w:val="0"/>
        </w:numPr>
        <w:ind w:firstLine="567"/>
      </w:pPr>
      <w:r w:rsidRPr="008D2A10">
        <w:t>Indigenous organisations provided the following specific examples:</w:t>
      </w:r>
    </w:p>
    <w:p w14:paraId="2FB5EBEF" w14:textId="77777777" w:rsidR="00D36A99" w:rsidRPr="0043647C" w:rsidRDefault="00821087" w:rsidP="00D36A99">
      <w:pPr>
        <w:pStyle w:val="ListBullet"/>
        <w:tabs>
          <w:tab w:val="clear" w:pos="284"/>
          <w:tab w:val="num" w:pos="851"/>
        </w:tabs>
        <w:ind w:left="851"/>
      </w:pPr>
      <w:r w:rsidRPr="00143567">
        <w:t>T</w:t>
      </w:r>
      <w:r w:rsidR="00D36A99" w:rsidRPr="00143567">
        <w:t>he</w:t>
      </w:r>
      <w:r w:rsidRPr="00143567">
        <w:t xml:space="preserve"> consultation processes to develop the action plans had </w:t>
      </w:r>
      <w:r w:rsidR="00D36A99" w:rsidRPr="00143567">
        <w:t xml:space="preserve">not </w:t>
      </w:r>
      <w:r w:rsidRPr="00143567">
        <w:t xml:space="preserve">adequately </w:t>
      </w:r>
      <w:r w:rsidR="00D36A99" w:rsidRPr="00143567">
        <w:t>consulted with Aboriginal community-controlled organisations and peak bodies in the formative stages of developing actions and initiatives. An example provided was that when consultation was undertaken it was often conducted ‘tokenistically’ once key parameters and priorities</w:t>
      </w:r>
      <w:r w:rsidR="00D36A99" w:rsidRPr="0043647C">
        <w:t xml:space="preserve"> had been settled which did not enable organisations to truly influence the outcome</w:t>
      </w:r>
      <w:r w:rsidR="0033247A" w:rsidRPr="0043647C">
        <w:t xml:space="preserve"> (see also Chapter 6 of this report)</w:t>
      </w:r>
    </w:p>
    <w:p w14:paraId="7128FD86" w14:textId="77777777" w:rsidR="00D36A99" w:rsidRPr="0043647C" w:rsidRDefault="00D36A99" w:rsidP="00D36A99">
      <w:pPr>
        <w:pStyle w:val="ListBullet"/>
        <w:tabs>
          <w:tab w:val="clear" w:pos="284"/>
          <w:tab w:val="num" w:pos="851"/>
        </w:tabs>
        <w:ind w:left="851"/>
      </w:pPr>
      <w:r w:rsidRPr="0043647C">
        <w:t xml:space="preserve">consultation was often limited to members of the National Forum, of which there was only one representative for the majority of the Framework, and so did not enable broad consultation with community and Aboriginal and Torres Strait Islander people </w:t>
      </w:r>
    </w:p>
    <w:p w14:paraId="4C92E561" w14:textId="77777777" w:rsidR="00D36A99" w:rsidRPr="0043647C" w:rsidRDefault="00D36A99" w:rsidP="00D36A99">
      <w:pPr>
        <w:pStyle w:val="ListBullet"/>
        <w:tabs>
          <w:tab w:val="clear" w:pos="284"/>
          <w:tab w:val="num" w:pos="851"/>
        </w:tabs>
        <w:ind w:left="851"/>
      </w:pPr>
      <w:r w:rsidRPr="0043647C">
        <w:t xml:space="preserve">the </w:t>
      </w:r>
      <w:r w:rsidR="00821087" w:rsidRPr="0043647C">
        <w:t xml:space="preserve">action plans and supporting governance structures of the </w:t>
      </w:r>
      <w:r w:rsidRPr="0043647C">
        <w:t xml:space="preserve">Framework </w:t>
      </w:r>
      <w:r w:rsidR="00821087" w:rsidRPr="0043647C">
        <w:t xml:space="preserve">didn’t provide the leadership or prioritise </w:t>
      </w:r>
      <w:r w:rsidRPr="0043647C">
        <w:t xml:space="preserve">work to ensure that Aboriginal and Torres Strait Islander children’s child protection services are delivered by Aboriginal and Torres Strait Islander organisations </w:t>
      </w:r>
    </w:p>
    <w:p w14:paraId="3A76A310" w14:textId="043ED8DC" w:rsidR="00D36A99" w:rsidRPr="0043647C" w:rsidRDefault="00D36A99" w:rsidP="00D36A99">
      <w:pPr>
        <w:pStyle w:val="CommentText"/>
        <w:ind w:left="567"/>
      </w:pPr>
      <w:r w:rsidRPr="0043647C">
        <w:t xml:space="preserve">It is noted that Australia endorsed UNDRIP in April 2009, the same month that the National Framework was released. The timing of this is likely to have contributed to the National Framework not embedding principles of the UNDRIP at its inception. A high-level analysis of the alignment of the Framework’s outcomes with the UNDRIP is outlined in </w:t>
      </w:r>
      <w:r w:rsidRPr="007434DF">
        <w:fldChar w:fldCharType="begin"/>
      </w:r>
      <w:r w:rsidRPr="0043647C">
        <w:instrText xml:space="preserve"> REF _Ref31238991 \n \h </w:instrText>
      </w:r>
      <w:r w:rsidR="007434DF">
        <w:instrText xml:space="preserve"> \* MERGEFORMAT </w:instrText>
      </w:r>
      <w:r w:rsidRPr="007434DF">
        <w:fldChar w:fldCharType="separate"/>
      </w:r>
      <w:r w:rsidR="00D75351">
        <w:t>Appendix C</w:t>
      </w:r>
      <w:r w:rsidRPr="007434DF">
        <w:fldChar w:fldCharType="end"/>
      </w:r>
      <w:r w:rsidRPr="007434DF">
        <w:t xml:space="preserve">. </w:t>
      </w:r>
      <w:r w:rsidRPr="007434DF">
        <w:rPr>
          <w:szCs w:val="18"/>
        </w:rPr>
        <w:t>The analysis showed that, the Framework’s supporting outcome 5 “</w:t>
      </w:r>
      <w:r w:rsidRPr="007434DF">
        <w:rPr>
          <w:rFonts w:ascii="Arial" w:hAnsi="Arial"/>
          <w:i/>
          <w:szCs w:val="18"/>
        </w:rPr>
        <w:t>Indigenous children are supported and safe in their families and communities</w:t>
      </w:r>
      <w:r w:rsidRPr="008D2A10">
        <w:rPr>
          <w:rFonts w:ascii="Arial" w:hAnsi="Arial"/>
          <w:szCs w:val="18"/>
        </w:rPr>
        <w:t xml:space="preserve">” is </w:t>
      </w:r>
      <w:r w:rsidRPr="008D2A10">
        <w:rPr>
          <w:szCs w:val="18"/>
        </w:rPr>
        <w:t xml:space="preserve">consistent with article 22 of the UNDRIP </w:t>
      </w:r>
      <w:r w:rsidRPr="008D2A10">
        <w:rPr>
          <w:rFonts w:ascii="Arial" w:hAnsi="Arial"/>
          <w:szCs w:val="18"/>
        </w:rPr>
        <w:t>“</w:t>
      </w:r>
      <w:r w:rsidRPr="008D2A10">
        <w:rPr>
          <w:rFonts w:ascii="Arial" w:hAnsi="Arial"/>
          <w:i/>
          <w:szCs w:val="18"/>
        </w:rPr>
        <w:t>special attention shall be paid to the need</w:t>
      </w:r>
      <w:r w:rsidRPr="00143567">
        <w:rPr>
          <w:rFonts w:ascii="Arial" w:hAnsi="Arial"/>
          <w:i/>
          <w:szCs w:val="18"/>
        </w:rPr>
        <w:t>s of Aboriginal youth and children</w:t>
      </w:r>
      <w:r w:rsidRPr="00143567">
        <w:rPr>
          <w:rFonts w:ascii="Arial" w:hAnsi="Arial"/>
          <w:szCs w:val="18"/>
        </w:rPr>
        <w:t>” and the majority of articles which reference Indigenous children are at least partly addressed by the Framework. More broadly none of the supporting outcomes of the Framework directly contravene the rights outlined in th</w:t>
      </w:r>
      <w:r w:rsidRPr="0043647C">
        <w:rPr>
          <w:rFonts w:ascii="Arial" w:hAnsi="Arial"/>
          <w:szCs w:val="18"/>
        </w:rPr>
        <w:t xml:space="preserve">e UNDRIP, however as </w:t>
      </w:r>
      <w:r w:rsidRPr="0043647C">
        <w:t xml:space="preserve">the UNDRIP outlines the rights of all Indigenous people, it is not expected that the Framework, which focusses on children, would respond to all rights. </w:t>
      </w:r>
    </w:p>
    <w:p w14:paraId="745A7B12" w14:textId="77777777" w:rsidR="00D36A99" w:rsidRPr="0043647C" w:rsidRDefault="00D36A99" w:rsidP="00D36A99">
      <w:pPr>
        <w:pStyle w:val="CommentText"/>
        <w:ind w:left="567"/>
      </w:pPr>
    </w:p>
    <w:p w14:paraId="4E304EB6" w14:textId="77777777" w:rsidR="00D36A99" w:rsidRPr="0043647C" w:rsidRDefault="00D36A99" w:rsidP="00D36A99">
      <w:pPr>
        <w:pStyle w:val="CommentText"/>
        <w:ind w:left="567"/>
      </w:pPr>
      <w:r w:rsidRPr="0043647C">
        <w:t xml:space="preserve">Regardless of this, comments from Indigenous organisations reveal that the Framework could have more fully incorporated overarching principles of the UNDRIP including self-determination and free, prior and informed consent when programs and policy that effect Indigenous people were developed, implemented, reviewed and evaluated. </w:t>
      </w:r>
    </w:p>
    <w:p w14:paraId="2E48689F" w14:textId="77777777" w:rsidR="00D36A99" w:rsidRPr="0043647C" w:rsidRDefault="00D36A99" w:rsidP="00D36A99">
      <w:pPr>
        <w:pStyle w:val="CommentText"/>
      </w:pPr>
    </w:p>
    <w:p w14:paraId="2AE260B3" w14:textId="7F7C2A0F" w:rsidR="00D36A99" w:rsidRPr="0043647C" w:rsidRDefault="00D36A99" w:rsidP="00B95734">
      <w:pPr>
        <w:pStyle w:val="ChapterNumberedList1"/>
        <w:numPr>
          <w:ilvl w:val="7"/>
          <w:numId w:val="43"/>
        </w:numPr>
      </w:pPr>
      <w:r w:rsidRPr="0043647C">
        <w:t xml:space="preserve">Monitoring of the ATSICPP is required to ensure that Aboriginal and Torres Strait Islander children’s culture is respected and supported. </w:t>
      </w:r>
    </w:p>
    <w:p w14:paraId="49A46AB3" w14:textId="77777777" w:rsidR="00D36A99" w:rsidRPr="008D2A10" w:rsidRDefault="00D36A99" w:rsidP="00D36A99">
      <w:pPr>
        <w:pStyle w:val="PwCNormal"/>
        <w:numPr>
          <w:ilvl w:val="0"/>
          <w:numId w:val="0"/>
        </w:numPr>
        <w:ind w:left="567"/>
      </w:pPr>
      <w:r w:rsidRPr="0043647C">
        <w:t>Several organisations reported that a key achievement of the Framework in informing the agenda for Indigenous children has been the agreement and implementation of the ATSICPP. The ATSICPP is a set of five elements that have been endorsed or legislated in some way in all states/territories and provide guidance to ensure that Indigenous children’s culture and identify are supported and respected, including when they are in the child protection system.</w:t>
      </w:r>
      <w:r w:rsidRPr="007434DF">
        <w:rPr>
          <w:rStyle w:val="FootnoteReference"/>
        </w:rPr>
        <w:footnoteReference w:id="33"/>
      </w:r>
      <w:r w:rsidRPr="007434DF">
        <w:t xml:space="preserve">  The ATSICPP is a key way in which jurisdictions are responding both to the Convention on the Rights of the Child and the UN Declaration on the Rights of Indigenous Peoples. </w:t>
      </w:r>
      <w:r w:rsidRPr="008D2A10">
        <w:t xml:space="preserve">However, there is a need for jurisdictions to ensure the full and consistent implementation of the ATSICPP in order to actively pursue the rights of Indigenous children. </w:t>
      </w:r>
    </w:p>
    <w:p w14:paraId="439E2D4B" w14:textId="77777777" w:rsidR="00D36A99" w:rsidRPr="007434DF" w:rsidRDefault="00D36A99" w:rsidP="00D36A99">
      <w:pPr>
        <w:pStyle w:val="PwCNormal"/>
        <w:numPr>
          <w:ilvl w:val="0"/>
          <w:numId w:val="0"/>
        </w:numPr>
        <w:ind w:left="567"/>
      </w:pPr>
      <w:r w:rsidRPr="00143567">
        <w:t>Despite many organisations reporting that the implementation of the ATSICPP has been a key achievement, there remains debate around the extent to which these principles have been fully implemented in each jurisdiction. For the first time in 2019 SNAICC completed a baseline ana</w:t>
      </w:r>
      <w:r w:rsidRPr="0043647C">
        <w:t xml:space="preserve">lysis of </w:t>
      </w:r>
      <w:r w:rsidR="0033155D" w:rsidRPr="0043647C">
        <w:t xml:space="preserve">the </w:t>
      </w:r>
      <w:r w:rsidRPr="0043647C">
        <w:t xml:space="preserve">Child Placement Principle in all jurisdictions. This </w:t>
      </w:r>
      <w:r w:rsidRPr="0043647C">
        <w:lastRenderedPageBreak/>
        <w:t>analysis found that “significant progress is needed to ensure full and holistic implementation of the principle.”</w:t>
      </w:r>
      <w:r w:rsidRPr="007434DF">
        <w:rPr>
          <w:rStyle w:val="FootnoteReference"/>
        </w:rPr>
        <w:footnoteReference w:id="34"/>
      </w:r>
      <w:r w:rsidRPr="007434DF">
        <w:t xml:space="preserve"> The completion of the baseline analysis is evidence of progress, as a previous study undertaken by the Australian Institute of Family Studies recommended investment into monitoring to ensure that full implementation</w:t>
      </w:r>
      <w:r>
        <w:t xml:space="preserve"> of the ATSICPP was achieved.</w:t>
      </w:r>
      <w:r>
        <w:rPr>
          <w:rStyle w:val="FootnoteReference"/>
        </w:rPr>
        <w:footnoteReference w:id="35"/>
      </w:r>
      <w:r>
        <w:t xml:space="preserve"> The Fourth Action Plan included a specific action to “Develop a nationally consistent approach to measuring the application of the five elements” of the ATSICPP the initial outputs of which have been used to deliver </w:t>
      </w:r>
      <w:r w:rsidRPr="007434DF">
        <w:t xml:space="preserve">the baseline analysis. </w:t>
      </w:r>
    </w:p>
    <w:p w14:paraId="263C6F0A" w14:textId="77777777" w:rsidR="00D36A99" w:rsidRPr="008D2A10" w:rsidRDefault="00D36A99" w:rsidP="00D36A99">
      <w:pPr>
        <w:pStyle w:val="PwCNormal"/>
        <w:numPr>
          <w:ilvl w:val="0"/>
          <w:numId w:val="0"/>
        </w:numPr>
        <w:ind w:left="567"/>
      </w:pPr>
      <w:r w:rsidRPr="008D2A10">
        <w:t xml:space="preserve">During consultation, organisations indicated that whilst a full set of ATSICPP indicators had been agreed, none of the indicators were currently able to be reported on consistently, due to insufficient data. Work to develop and collate data sets is underway however some challenges highlighted included: </w:t>
      </w:r>
    </w:p>
    <w:p w14:paraId="777C8F79" w14:textId="77777777" w:rsidR="00D36A99" w:rsidRPr="00143567" w:rsidRDefault="00D36A99" w:rsidP="00D36A99">
      <w:pPr>
        <w:pStyle w:val="ListBullet"/>
        <w:tabs>
          <w:tab w:val="clear" w:pos="284"/>
          <w:tab w:val="num" w:pos="851"/>
        </w:tabs>
        <w:ind w:left="851"/>
      </w:pPr>
      <w:r w:rsidRPr="00143567">
        <w:t>complexity of compiling data from diverse data bases and client management systems across the states/territories</w:t>
      </w:r>
    </w:p>
    <w:p w14:paraId="009901AF" w14:textId="77777777" w:rsidR="00D36A99" w:rsidRPr="00833F7F" w:rsidRDefault="00D36A99" w:rsidP="00D36A99">
      <w:pPr>
        <w:pStyle w:val="ListBullet"/>
        <w:ind w:left="851"/>
      </w:pPr>
      <w:r w:rsidRPr="00833F7F">
        <w:t>much of the data has not been recorded in a data base and will require case file review</w:t>
      </w:r>
      <w:r>
        <w:t xml:space="preserve"> to compile, no funding to complete a full case file review has been allocated</w:t>
      </w:r>
    </w:p>
    <w:p w14:paraId="08E23945" w14:textId="77777777" w:rsidR="00D36A99" w:rsidRPr="00833F7F" w:rsidRDefault="00D36A99" w:rsidP="00D36A99">
      <w:pPr>
        <w:pStyle w:val="ListBullet"/>
        <w:ind w:left="851"/>
      </w:pPr>
      <w:r w:rsidRPr="00833F7F">
        <w:t>some of the data may never be able to be reported on systematically</w:t>
      </w:r>
      <w:r>
        <w:t xml:space="preserve"> because of the nature of the indicators.</w:t>
      </w:r>
    </w:p>
    <w:p w14:paraId="123D91DD" w14:textId="02106481" w:rsidR="009D5B6B" w:rsidRDefault="009D5B6B" w:rsidP="008552A8">
      <w:pPr>
        <w:pStyle w:val="Minorheading"/>
      </w:pPr>
      <w:r>
        <w:t>Activities of the National Framework</w:t>
      </w:r>
    </w:p>
    <w:p w14:paraId="69BBC35D" w14:textId="27183861" w:rsidR="00D36A99" w:rsidRPr="008D2A10" w:rsidRDefault="00D36A99" w:rsidP="00D36A99">
      <w:pPr>
        <w:pStyle w:val="ListBullet"/>
        <w:numPr>
          <w:ilvl w:val="0"/>
          <w:numId w:val="0"/>
        </w:numPr>
      </w:pPr>
      <w:r w:rsidRPr="00833F7F">
        <w:t xml:space="preserve">The </w:t>
      </w:r>
      <w:r w:rsidR="007434DF" w:rsidRPr="007434DF">
        <w:t xml:space="preserve">Third </w:t>
      </w:r>
      <w:r w:rsidRPr="007434DF">
        <w:t xml:space="preserve">Action Plan is the first action plan under the National Framework to include a specific </w:t>
      </w:r>
      <w:r w:rsidR="007434DF" w:rsidRPr="007434DF">
        <w:t>focus area</w:t>
      </w:r>
      <w:r w:rsidRPr="007434DF">
        <w:t xml:space="preserve"> and </w:t>
      </w:r>
      <w:r w:rsidRPr="008D2A10">
        <w:t>a</w:t>
      </w:r>
      <w:r w:rsidR="00821087" w:rsidRPr="008D2A10">
        <w:t xml:space="preserve"> </w:t>
      </w:r>
      <w:r w:rsidRPr="008D2A10">
        <w:t xml:space="preserve">working group to further work on improving outcomes for Aboriginal and Torres Strait Islander children. Organisations commented </w:t>
      </w:r>
      <w:r w:rsidRPr="007434DF">
        <w:t xml:space="preserve">favourably on the establishment of this working group, with some stakeholders reporting that the Fourth Action Plan seems to have ‘got it right’. </w:t>
      </w:r>
      <w:r w:rsidR="00B45566" w:rsidRPr="007434DF">
        <w:t xml:space="preserve">Section </w:t>
      </w:r>
      <w:r w:rsidR="00B45566" w:rsidRPr="007434DF">
        <w:fldChar w:fldCharType="begin"/>
      </w:r>
      <w:r w:rsidR="00B45566" w:rsidRPr="0043647C">
        <w:instrText xml:space="preserve"> REF _Ref31293324 \n \h </w:instrText>
      </w:r>
      <w:r w:rsidR="007434DF">
        <w:instrText xml:space="preserve"> \* MERGEFORMAT </w:instrText>
      </w:r>
      <w:r w:rsidR="00B45566" w:rsidRPr="007434DF">
        <w:fldChar w:fldCharType="separate"/>
      </w:r>
      <w:r w:rsidR="00D75351">
        <w:t>6.2</w:t>
      </w:r>
      <w:r w:rsidR="00B45566" w:rsidRPr="007434DF">
        <w:fldChar w:fldCharType="end"/>
      </w:r>
      <w:r w:rsidR="00B45566" w:rsidRPr="007434DF">
        <w:t xml:space="preserve"> </w:t>
      </w:r>
      <w:r w:rsidRPr="007434DF">
        <w:t xml:space="preserve">explores the views organisations provided in regard to ‘lessons learned’ in developing priorities for Indigenous children. Organisations reported the following aspects that have influenced the operation of the National Forum in developing this approach: </w:t>
      </w:r>
    </w:p>
    <w:p w14:paraId="6342AE12" w14:textId="77777777" w:rsidR="00D36A99" w:rsidRDefault="00D36A99" w:rsidP="00D36A99">
      <w:pPr>
        <w:pStyle w:val="ListBullet"/>
      </w:pPr>
      <w:r w:rsidRPr="00143567">
        <w:t xml:space="preserve">the involvement of </w:t>
      </w:r>
      <w:r w:rsidRPr="007434DF">
        <w:t xml:space="preserve">SNAICC in the Framework </w:t>
      </w:r>
      <w:r w:rsidR="0033155D" w:rsidRPr="007434DF">
        <w:t xml:space="preserve">governance and implementation processes </w:t>
      </w:r>
      <w:r w:rsidR="0033247A" w:rsidRPr="007434DF">
        <w:t>was viewed favourably</w:t>
      </w:r>
      <w:r w:rsidRPr="007434DF">
        <w:t>. Some stakeholders also reported that SNAICC’s involvement in the Forum has resulted in their jurisdictions being more</w:t>
      </w:r>
      <w:r>
        <w:t xml:space="preserve"> engaged with SNAICC when implementing initiatives and activities outside of the Framework and this has resulted in greater cultural competency in their child protection services </w:t>
      </w:r>
    </w:p>
    <w:p w14:paraId="101CE4A0" w14:textId="77777777" w:rsidR="00D36A99" w:rsidRDefault="00D36A99" w:rsidP="00D36A99">
      <w:pPr>
        <w:pStyle w:val="ListBullet"/>
      </w:pPr>
      <w:r>
        <w:t xml:space="preserve">that as SNAICC has been the only Indigenous organisation on the National Forum for most of the National Framework, that the priorities for Indigenous children championed by SNAICC have occasionally been competed out by other priorities put forward by a greater majority of Forum members </w:t>
      </w:r>
    </w:p>
    <w:p w14:paraId="3F7B79CF" w14:textId="77777777" w:rsidR="00D36A99" w:rsidRDefault="00D36A99" w:rsidP="00D36A99">
      <w:pPr>
        <w:pStyle w:val="ListBullet"/>
      </w:pPr>
      <w:r>
        <w:t xml:space="preserve">the National Forum has struggled to come to consensus about what the best practice is to respond to the needs of Aboriginal and Torres Strait Islander children. This was referenced in relation to the best way to ensure a focus on improving outcomes (including whether establishing a separate priority or embedding the priority throughout all work was the best model) and within that, disagreement in relation to the best initiatives to implement. </w:t>
      </w:r>
    </w:p>
    <w:p w14:paraId="7EFCD010" w14:textId="77777777" w:rsidR="00D36A99" w:rsidRPr="008D2A10" w:rsidRDefault="0033247A" w:rsidP="005E548D">
      <w:pPr>
        <w:pStyle w:val="ListBullet"/>
        <w:numPr>
          <w:ilvl w:val="0"/>
          <w:numId w:val="0"/>
        </w:numPr>
      </w:pPr>
      <w:r w:rsidRPr="005E548D">
        <w:t>Over the operation of the Framework, the over-representation of Indigenous children has deteriorated</w:t>
      </w:r>
      <w:r w:rsidR="0043341B" w:rsidRPr="005E548D">
        <w:t xml:space="preserve">. Some positive progress has been </w:t>
      </w:r>
      <w:r w:rsidR="0043341B" w:rsidRPr="007434DF">
        <w:t xml:space="preserve">made through the introduction of the ATSICPP and representation of Indigenous organisations on the National Forum which has given greater focus to the priorities of Aboriginal and Torres Strait Islander children. </w:t>
      </w:r>
    </w:p>
    <w:p w14:paraId="43C6FC29" w14:textId="77777777" w:rsidR="0043341B" w:rsidRDefault="0043341B" w:rsidP="005E548D">
      <w:pPr>
        <w:pStyle w:val="ListBullet"/>
        <w:numPr>
          <w:ilvl w:val="0"/>
          <w:numId w:val="0"/>
        </w:numPr>
      </w:pPr>
      <w:r w:rsidRPr="00143567">
        <w:t xml:space="preserve">Opportunities exist </w:t>
      </w:r>
      <w:r w:rsidRPr="007434DF">
        <w:t>to enhance the evidence base, through a prevalence study, to enable future policy work to monitor progress. In addition, greater engagement of Indigenous communities would support the delivery of the UNDRIP principles.</w:t>
      </w:r>
      <w:r>
        <w:t xml:space="preserve"> </w:t>
      </w:r>
    </w:p>
    <w:p w14:paraId="43C47E98" w14:textId="77777777" w:rsidR="00AD34A3" w:rsidRDefault="00AD34A3" w:rsidP="00AD34A3">
      <w:pPr>
        <w:pStyle w:val="PwCNormal"/>
        <w:numPr>
          <w:ilvl w:val="0"/>
          <w:numId w:val="0"/>
        </w:numPr>
      </w:pPr>
    </w:p>
    <w:p w14:paraId="643974EB" w14:textId="77777777" w:rsidR="00AD34A3" w:rsidRDefault="00AD34A3" w:rsidP="00AD34A3">
      <w:pPr>
        <w:pStyle w:val="PwCNormal"/>
        <w:numPr>
          <w:ilvl w:val="0"/>
          <w:numId w:val="0"/>
        </w:numPr>
        <w:sectPr w:rsidR="00AD34A3" w:rsidSect="00CF132C">
          <w:headerReference w:type="even" r:id="rId45"/>
          <w:headerReference w:type="default" r:id="rId46"/>
          <w:footerReference w:type="even" r:id="rId47"/>
          <w:footerReference w:type="default" r:id="rId48"/>
          <w:headerReference w:type="first" r:id="rId49"/>
          <w:footerReference w:type="first" r:id="rId50"/>
          <w:pgSz w:w="11907" w:h="16840" w:code="9"/>
          <w:pgMar w:top="1588" w:right="1021" w:bottom="1418" w:left="1021" w:header="567" w:footer="567" w:gutter="0"/>
          <w:cols w:space="227"/>
          <w:titlePg/>
          <w:docGrid w:linePitch="360"/>
        </w:sectPr>
      </w:pPr>
    </w:p>
    <w:p w14:paraId="0B474433" w14:textId="77777777" w:rsidR="004631E7" w:rsidRDefault="00620786" w:rsidP="00B95734">
      <w:pPr>
        <w:pStyle w:val="Heading2"/>
        <w:numPr>
          <w:ilvl w:val="1"/>
          <w:numId w:val="43"/>
        </w:numPr>
      </w:pPr>
      <w:bookmarkStart w:id="147" w:name="_Toc28860327"/>
      <w:bookmarkStart w:id="148" w:name="_Toc30582389"/>
      <w:bookmarkStart w:id="149" w:name="_Ref31231239"/>
      <w:bookmarkStart w:id="150" w:name="_Ref31233103"/>
      <w:bookmarkStart w:id="151" w:name="_Ref31235629"/>
      <w:bookmarkStart w:id="152" w:name="_Ref31235635"/>
      <w:bookmarkStart w:id="153" w:name="_Ref31240218"/>
      <w:bookmarkStart w:id="154" w:name="_Toc42842759"/>
      <w:bookmarkStart w:id="155" w:name="_Toc42847844"/>
      <w:r>
        <w:lastRenderedPageBreak/>
        <w:t xml:space="preserve">Evaluation question 2: </w:t>
      </w:r>
      <w:r w:rsidR="004631E7">
        <w:t>How well did the National Framework support the policy agenda for children and young people?</w:t>
      </w:r>
      <w:bookmarkEnd w:id="147"/>
      <w:bookmarkEnd w:id="148"/>
      <w:bookmarkEnd w:id="149"/>
      <w:bookmarkEnd w:id="150"/>
      <w:bookmarkEnd w:id="151"/>
      <w:bookmarkEnd w:id="152"/>
      <w:bookmarkEnd w:id="153"/>
      <w:bookmarkEnd w:id="154"/>
      <w:bookmarkEnd w:id="155"/>
    </w:p>
    <w:p w14:paraId="4810106C" w14:textId="77777777" w:rsidR="00620786" w:rsidRDefault="00620786" w:rsidP="00620786">
      <w:pPr>
        <w:pStyle w:val="PwCNormal"/>
        <w:spacing w:before="0" w:after="240" w:line="240" w:lineRule="auto"/>
        <w:ind w:left="454"/>
      </w:pPr>
    </w:p>
    <w:p w14:paraId="2B52EC68" w14:textId="77777777" w:rsidR="00620786" w:rsidRDefault="00620786" w:rsidP="00620786">
      <w:pPr>
        <w:pStyle w:val="PwCNormal"/>
        <w:spacing w:before="0" w:after="240" w:line="240" w:lineRule="auto"/>
        <w:ind w:left="454"/>
      </w:pPr>
      <w:r>
        <w:rPr>
          <w:noProof/>
          <w:lang w:eastAsia="en-AU"/>
        </w:rPr>
        <mc:AlternateContent>
          <mc:Choice Requires="wps">
            <w:drawing>
              <wp:anchor distT="45720" distB="45720" distL="114300" distR="114300" simplePos="0" relativeHeight="251665408" behindDoc="0" locked="0" layoutInCell="1" allowOverlap="1" wp14:anchorId="15E78897" wp14:editId="6E6FBC7B">
                <wp:simplePos x="0" y="0"/>
                <wp:positionH relativeFrom="column">
                  <wp:posOffset>1351915</wp:posOffset>
                </wp:positionH>
                <wp:positionV relativeFrom="paragraph">
                  <wp:posOffset>334010</wp:posOffset>
                </wp:positionV>
                <wp:extent cx="4419600" cy="41148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4114800"/>
                        </a:xfrm>
                        <a:prstGeom prst="rect">
                          <a:avLst/>
                        </a:prstGeom>
                        <a:solidFill>
                          <a:schemeClr val="accent1"/>
                        </a:solidFill>
                        <a:ln w="9525">
                          <a:noFill/>
                          <a:miter lim="800000"/>
                          <a:headEnd/>
                          <a:tailEnd/>
                        </a:ln>
                      </wps:spPr>
                      <wps:txbx>
                        <w:txbxContent>
                          <w:p w14:paraId="2812D316" w14:textId="77777777" w:rsidR="0080000B" w:rsidRPr="008552A8" w:rsidRDefault="0080000B" w:rsidP="00620786">
                            <w:pPr>
                              <w:pStyle w:val="Divider1SubHeading"/>
                              <w:shd w:val="clear" w:color="auto" w:fill="D04A02" w:themeFill="accent1"/>
                              <w:rPr>
                                <w:rFonts w:asciiTheme="majorHAnsi" w:hAnsiTheme="majorHAnsi"/>
                                <w:i w:val="0"/>
                                <w:iCs/>
                              </w:rPr>
                            </w:pPr>
                            <w:r w:rsidRPr="008552A8">
                              <w:rPr>
                                <w:rFonts w:asciiTheme="majorHAnsi" w:hAnsiTheme="majorHAnsi"/>
                                <w:i w:val="0"/>
                                <w:iCs/>
                              </w:rPr>
                              <w:t>This chapter covers…</w:t>
                            </w:r>
                          </w:p>
                          <w:p w14:paraId="7538B6F3" w14:textId="77777777" w:rsidR="0080000B" w:rsidRPr="008552A8" w:rsidRDefault="0080000B" w:rsidP="00B95734">
                            <w:pPr>
                              <w:pStyle w:val="Divider1Text"/>
                              <w:numPr>
                                <w:ilvl w:val="0"/>
                                <w:numId w:val="45"/>
                              </w:numPr>
                              <w:shd w:val="clear" w:color="auto" w:fill="D04A02" w:themeFill="accent1"/>
                              <w:spacing w:before="60" w:after="60" w:line="200" w:lineRule="atLeast"/>
                              <w:ind w:left="714" w:hanging="357"/>
                              <w:rPr>
                                <w:rFonts w:cstheme="minorHAnsi"/>
                                <w:iCs/>
                              </w:rPr>
                            </w:pPr>
                            <w:r w:rsidRPr="008552A8">
                              <w:rPr>
                                <w:rFonts w:cstheme="minorHAnsi"/>
                                <w:iCs/>
                              </w:rPr>
                              <w:t>the extent to which the National Framework supports the policy agenda for children and young people. It includes:</w:t>
                            </w:r>
                          </w:p>
                          <w:p w14:paraId="1BCF7ED1" w14:textId="41F04AC7" w:rsidR="0080000B" w:rsidRPr="008552A8" w:rsidRDefault="0080000B" w:rsidP="00B95734">
                            <w:pPr>
                              <w:pStyle w:val="Divider1Text"/>
                              <w:numPr>
                                <w:ilvl w:val="1"/>
                                <w:numId w:val="45"/>
                              </w:numPr>
                              <w:shd w:val="clear" w:color="auto" w:fill="D04A02" w:themeFill="accent1"/>
                              <w:spacing w:before="60" w:after="60" w:line="200" w:lineRule="atLeast"/>
                              <w:rPr>
                                <w:rFonts w:cstheme="minorHAnsi"/>
                                <w:iCs/>
                              </w:rPr>
                            </w:pPr>
                            <w:r w:rsidRPr="008552A8">
                              <w:rPr>
                                <w:rFonts w:cstheme="minorHAnsi"/>
                                <w:iCs/>
                              </w:rPr>
                              <w:t xml:space="preserve">Section </w:t>
                            </w:r>
                            <w:r>
                              <w:rPr>
                                <w:rFonts w:cstheme="minorHAnsi"/>
                                <w:iCs/>
                              </w:rPr>
                              <w:t>5.1.1</w:t>
                            </w:r>
                            <w:r w:rsidRPr="008552A8">
                              <w:rPr>
                                <w:rFonts w:cstheme="minorHAnsi"/>
                                <w:iCs/>
                              </w:rPr>
                              <w:t xml:space="preserve"> considers the connectivity of recent jurisdictional activity in the child protection sector to the National Framework</w:t>
                            </w:r>
                          </w:p>
                          <w:p w14:paraId="0240D931" w14:textId="5DD01F42" w:rsidR="0080000B" w:rsidRPr="008552A8" w:rsidRDefault="0080000B" w:rsidP="00B95734">
                            <w:pPr>
                              <w:pStyle w:val="Divider1Text"/>
                              <w:numPr>
                                <w:ilvl w:val="1"/>
                                <w:numId w:val="45"/>
                              </w:numPr>
                              <w:shd w:val="clear" w:color="auto" w:fill="D04A02" w:themeFill="accent1"/>
                              <w:spacing w:before="60" w:after="60" w:line="200" w:lineRule="atLeast"/>
                              <w:rPr>
                                <w:rFonts w:cstheme="minorHAnsi"/>
                                <w:iCs/>
                              </w:rPr>
                            </w:pPr>
                            <w:r w:rsidRPr="008552A8">
                              <w:rPr>
                                <w:rFonts w:cstheme="minorHAnsi"/>
                                <w:iCs/>
                              </w:rPr>
                              <w:t xml:space="preserve">Section </w:t>
                            </w:r>
                            <w:r w:rsidRPr="008552A8">
                              <w:rPr>
                                <w:rFonts w:cstheme="minorHAnsi"/>
                                <w:iCs/>
                              </w:rPr>
                              <w:fldChar w:fldCharType="begin"/>
                            </w:r>
                            <w:r w:rsidRPr="008552A8">
                              <w:rPr>
                                <w:rFonts w:cstheme="minorHAnsi"/>
                                <w:iCs/>
                              </w:rPr>
                              <w:instrText xml:space="preserve"> REF _Ref30720726 \n \h  \* MERGEFORMAT </w:instrText>
                            </w:r>
                            <w:r w:rsidRPr="008552A8">
                              <w:rPr>
                                <w:rFonts w:cstheme="minorHAnsi"/>
                                <w:iCs/>
                              </w:rPr>
                            </w:r>
                            <w:r w:rsidRPr="008552A8">
                              <w:rPr>
                                <w:rFonts w:cstheme="minorHAnsi"/>
                                <w:iCs/>
                              </w:rPr>
                              <w:fldChar w:fldCharType="separate"/>
                            </w:r>
                            <w:r>
                              <w:rPr>
                                <w:rFonts w:cstheme="minorHAnsi"/>
                                <w:iCs/>
                              </w:rPr>
                              <w:t>5.1.2</w:t>
                            </w:r>
                            <w:r w:rsidRPr="008552A8">
                              <w:rPr>
                                <w:rFonts w:cstheme="minorHAnsi"/>
                                <w:iCs/>
                              </w:rPr>
                              <w:fldChar w:fldCharType="end"/>
                            </w:r>
                            <w:r w:rsidRPr="008552A8">
                              <w:rPr>
                                <w:rFonts w:cstheme="minorHAnsi"/>
                                <w:iCs/>
                              </w:rPr>
                              <w:t xml:space="preserve"> reviews the alignment of government investment (in reported policies and programs) to the National Framework</w:t>
                            </w:r>
                          </w:p>
                          <w:p w14:paraId="0CD8E84C" w14:textId="4326FF54" w:rsidR="0080000B" w:rsidRPr="008552A8" w:rsidRDefault="0080000B" w:rsidP="00B95734">
                            <w:pPr>
                              <w:pStyle w:val="Divider1Text"/>
                              <w:numPr>
                                <w:ilvl w:val="1"/>
                                <w:numId w:val="45"/>
                              </w:numPr>
                              <w:shd w:val="clear" w:color="auto" w:fill="D04A02" w:themeFill="accent1"/>
                              <w:spacing w:before="60" w:after="60" w:line="200" w:lineRule="atLeast"/>
                              <w:rPr>
                                <w:rFonts w:cstheme="minorHAnsi"/>
                                <w:iCs/>
                              </w:rPr>
                            </w:pPr>
                            <w:r w:rsidRPr="008552A8">
                              <w:rPr>
                                <w:rFonts w:cstheme="minorHAnsi"/>
                                <w:iCs/>
                              </w:rPr>
                              <w:t xml:space="preserve">Section </w:t>
                            </w:r>
                            <w:r w:rsidRPr="008552A8">
                              <w:rPr>
                                <w:rFonts w:cstheme="minorHAnsi"/>
                                <w:iCs/>
                              </w:rPr>
                              <w:fldChar w:fldCharType="begin"/>
                            </w:r>
                            <w:r w:rsidRPr="008552A8">
                              <w:rPr>
                                <w:rFonts w:cstheme="minorHAnsi"/>
                                <w:iCs/>
                              </w:rPr>
                              <w:instrText xml:space="preserve"> REF _Ref30720749 \n \h  \* MERGEFORMAT </w:instrText>
                            </w:r>
                            <w:r w:rsidRPr="008552A8">
                              <w:rPr>
                                <w:rFonts w:cstheme="minorHAnsi"/>
                                <w:iCs/>
                              </w:rPr>
                            </w:r>
                            <w:r w:rsidRPr="008552A8">
                              <w:rPr>
                                <w:rFonts w:cstheme="minorHAnsi"/>
                                <w:iCs/>
                              </w:rPr>
                              <w:fldChar w:fldCharType="separate"/>
                            </w:r>
                            <w:r>
                              <w:rPr>
                                <w:rFonts w:cstheme="minorHAnsi"/>
                                <w:iCs/>
                              </w:rPr>
                              <w:t>5.1.3</w:t>
                            </w:r>
                            <w:r w:rsidRPr="008552A8">
                              <w:rPr>
                                <w:rFonts w:cstheme="minorHAnsi"/>
                                <w:iCs/>
                              </w:rPr>
                              <w:fldChar w:fldCharType="end"/>
                            </w:r>
                            <w:r w:rsidRPr="008552A8">
                              <w:rPr>
                                <w:rFonts w:cstheme="minorHAnsi"/>
                                <w:iCs/>
                              </w:rPr>
                              <w:t xml:space="preserve"> explores recent activity within intersecting policy areas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78897" id="_x0000_s1029" type="#_x0000_t202" style="position:absolute;left:0;text-align:left;margin-left:106.45pt;margin-top:26.3pt;width:348pt;height:32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" fillcolor="#d04a02 [3204]" stroked="f">
                <v:textbox>
                  <w:txbxContent>
                    <w:p w14:paraId="2812D316" w14:textId="77777777" w:rsidR="0080000B" w:rsidRPr="008552A8" w:rsidRDefault="0080000B" w:rsidP="00620786">
                      <w:pPr>
                        <w:pStyle w:val="Divider1SubHeading"/>
                        <w:shd w:val="clear" w:color="auto" w:fill="D04A02" w:themeFill="accent1"/>
                        <w:rPr>
                          <w:rFonts w:asciiTheme="majorHAnsi" w:hAnsiTheme="majorHAnsi"/>
                          <w:i w:val="0"/>
                          <w:iCs/>
                        </w:rPr>
                      </w:pPr>
                      <w:r w:rsidRPr="008552A8">
                        <w:rPr>
                          <w:rFonts w:asciiTheme="majorHAnsi" w:hAnsiTheme="majorHAnsi"/>
                          <w:i w:val="0"/>
                          <w:iCs/>
                        </w:rPr>
                        <w:t>This chapter covers…</w:t>
                      </w:r>
                    </w:p>
                    <w:p w14:paraId="7538B6F3" w14:textId="77777777" w:rsidR="0080000B" w:rsidRPr="008552A8" w:rsidRDefault="0080000B" w:rsidP="00B95734">
                      <w:pPr>
                        <w:pStyle w:val="Divider1Text"/>
                        <w:numPr>
                          <w:ilvl w:val="0"/>
                          <w:numId w:val="45"/>
                        </w:numPr>
                        <w:shd w:val="clear" w:color="auto" w:fill="D04A02" w:themeFill="accent1"/>
                        <w:spacing w:before="60" w:after="60" w:line="200" w:lineRule="atLeast"/>
                        <w:ind w:left="714" w:hanging="357"/>
                        <w:rPr>
                          <w:rFonts w:cstheme="minorHAnsi"/>
                          <w:iCs/>
                        </w:rPr>
                      </w:pPr>
                      <w:r w:rsidRPr="008552A8">
                        <w:rPr>
                          <w:rFonts w:cstheme="minorHAnsi"/>
                          <w:iCs/>
                        </w:rPr>
                        <w:t>the extent to which the National Framework supports the policy agenda for children and young people. It includes:</w:t>
                      </w:r>
                    </w:p>
                    <w:p w14:paraId="1BCF7ED1" w14:textId="41F04AC7" w:rsidR="0080000B" w:rsidRPr="008552A8" w:rsidRDefault="0080000B" w:rsidP="00B95734">
                      <w:pPr>
                        <w:pStyle w:val="Divider1Text"/>
                        <w:numPr>
                          <w:ilvl w:val="1"/>
                          <w:numId w:val="45"/>
                        </w:numPr>
                        <w:shd w:val="clear" w:color="auto" w:fill="D04A02" w:themeFill="accent1"/>
                        <w:spacing w:before="60" w:after="60" w:line="200" w:lineRule="atLeast"/>
                        <w:rPr>
                          <w:rFonts w:cstheme="minorHAnsi"/>
                          <w:iCs/>
                        </w:rPr>
                      </w:pPr>
                      <w:r w:rsidRPr="008552A8">
                        <w:rPr>
                          <w:rFonts w:cstheme="minorHAnsi"/>
                          <w:iCs/>
                        </w:rPr>
                        <w:t xml:space="preserve">Section </w:t>
                      </w:r>
                      <w:r>
                        <w:rPr>
                          <w:rFonts w:cstheme="minorHAnsi"/>
                          <w:iCs/>
                        </w:rPr>
                        <w:t>5.1.1</w:t>
                      </w:r>
                      <w:r w:rsidRPr="008552A8">
                        <w:rPr>
                          <w:rFonts w:cstheme="minorHAnsi"/>
                          <w:iCs/>
                        </w:rPr>
                        <w:t xml:space="preserve"> considers the connectivity of recent jurisdictional activity in the child protection sector to the National Framework</w:t>
                      </w:r>
                    </w:p>
                    <w:p w14:paraId="0240D931" w14:textId="5DD01F42" w:rsidR="0080000B" w:rsidRPr="008552A8" w:rsidRDefault="0080000B" w:rsidP="00B95734">
                      <w:pPr>
                        <w:pStyle w:val="Divider1Text"/>
                        <w:numPr>
                          <w:ilvl w:val="1"/>
                          <w:numId w:val="45"/>
                        </w:numPr>
                        <w:shd w:val="clear" w:color="auto" w:fill="D04A02" w:themeFill="accent1"/>
                        <w:spacing w:before="60" w:after="60" w:line="200" w:lineRule="atLeast"/>
                        <w:rPr>
                          <w:rFonts w:cstheme="minorHAnsi"/>
                          <w:iCs/>
                        </w:rPr>
                      </w:pPr>
                      <w:r w:rsidRPr="008552A8">
                        <w:rPr>
                          <w:rFonts w:cstheme="minorHAnsi"/>
                          <w:iCs/>
                        </w:rPr>
                        <w:t xml:space="preserve">Section </w:t>
                      </w:r>
                      <w:r w:rsidRPr="008552A8">
                        <w:rPr>
                          <w:rFonts w:cstheme="minorHAnsi"/>
                          <w:iCs/>
                        </w:rPr>
                        <w:fldChar w:fldCharType="begin"/>
                      </w:r>
                      <w:r w:rsidRPr="008552A8">
                        <w:rPr>
                          <w:rFonts w:cstheme="minorHAnsi"/>
                          <w:iCs/>
                        </w:rPr>
                        <w:instrText xml:space="preserve"> REF _Ref30720726 \n \h  \* MERGEFORMAT </w:instrText>
                      </w:r>
                      <w:r w:rsidRPr="008552A8">
                        <w:rPr>
                          <w:rFonts w:cstheme="minorHAnsi"/>
                          <w:iCs/>
                        </w:rPr>
                      </w:r>
                      <w:r w:rsidRPr="008552A8">
                        <w:rPr>
                          <w:rFonts w:cstheme="minorHAnsi"/>
                          <w:iCs/>
                        </w:rPr>
                        <w:fldChar w:fldCharType="separate"/>
                      </w:r>
                      <w:r>
                        <w:rPr>
                          <w:rFonts w:cstheme="minorHAnsi"/>
                          <w:iCs/>
                        </w:rPr>
                        <w:t>5.1.2</w:t>
                      </w:r>
                      <w:r w:rsidRPr="008552A8">
                        <w:rPr>
                          <w:rFonts w:cstheme="minorHAnsi"/>
                          <w:iCs/>
                        </w:rPr>
                        <w:fldChar w:fldCharType="end"/>
                      </w:r>
                      <w:r w:rsidRPr="008552A8">
                        <w:rPr>
                          <w:rFonts w:cstheme="minorHAnsi"/>
                          <w:iCs/>
                        </w:rPr>
                        <w:t xml:space="preserve"> reviews the alignment of government investment (in reported policies and programs) to the National Framework</w:t>
                      </w:r>
                    </w:p>
                    <w:p w14:paraId="0CD8E84C" w14:textId="4326FF54" w:rsidR="0080000B" w:rsidRPr="008552A8" w:rsidRDefault="0080000B" w:rsidP="00B95734">
                      <w:pPr>
                        <w:pStyle w:val="Divider1Text"/>
                        <w:numPr>
                          <w:ilvl w:val="1"/>
                          <w:numId w:val="45"/>
                        </w:numPr>
                        <w:shd w:val="clear" w:color="auto" w:fill="D04A02" w:themeFill="accent1"/>
                        <w:spacing w:before="60" w:after="60" w:line="200" w:lineRule="atLeast"/>
                        <w:rPr>
                          <w:rFonts w:cstheme="minorHAnsi"/>
                          <w:iCs/>
                        </w:rPr>
                      </w:pPr>
                      <w:r w:rsidRPr="008552A8">
                        <w:rPr>
                          <w:rFonts w:cstheme="minorHAnsi"/>
                          <w:iCs/>
                        </w:rPr>
                        <w:t xml:space="preserve">Section </w:t>
                      </w:r>
                      <w:r w:rsidRPr="008552A8">
                        <w:rPr>
                          <w:rFonts w:cstheme="minorHAnsi"/>
                          <w:iCs/>
                        </w:rPr>
                        <w:fldChar w:fldCharType="begin"/>
                      </w:r>
                      <w:r w:rsidRPr="008552A8">
                        <w:rPr>
                          <w:rFonts w:cstheme="minorHAnsi"/>
                          <w:iCs/>
                        </w:rPr>
                        <w:instrText xml:space="preserve"> REF _Ref30720749 \n \h  \* MERGEFORMAT </w:instrText>
                      </w:r>
                      <w:r w:rsidRPr="008552A8">
                        <w:rPr>
                          <w:rFonts w:cstheme="minorHAnsi"/>
                          <w:iCs/>
                        </w:rPr>
                      </w:r>
                      <w:r w:rsidRPr="008552A8">
                        <w:rPr>
                          <w:rFonts w:cstheme="minorHAnsi"/>
                          <w:iCs/>
                        </w:rPr>
                        <w:fldChar w:fldCharType="separate"/>
                      </w:r>
                      <w:r>
                        <w:rPr>
                          <w:rFonts w:cstheme="minorHAnsi"/>
                          <w:iCs/>
                        </w:rPr>
                        <w:t>5.1.3</w:t>
                      </w:r>
                      <w:r w:rsidRPr="008552A8">
                        <w:rPr>
                          <w:rFonts w:cstheme="minorHAnsi"/>
                          <w:iCs/>
                        </w:rPr>
                        <w:fldChar w:fldCharType="end"/>
                      </w:r>
                      <w:r w:rsidRPr="008552A8">
                        <w:rPr>
                          <w:rFonts w:cstheme="minorHAnsi"/>
                          <w:iCs/>
                        </w:rPr>
                        <w:t xml:space="preserve"> explores recent activity within intersecting policy areas</w:t>
                      </w:r>
                    </w:p>
                  </w:txbxContent>
                </v:textbox>
                <w10:wrap type="square"/>
              </v:shape>
            </w:pict>
          </mc:Fallback>
        </mc:AlternateContent>
      </w:r>
      <w:r>
        <w:br w:type="page"/>
      </w:r>
    </w:p>
    <w:p w14:paraId="27441E36" w14:textId="77777777" w:rsidR="00043881" w:rsidRDefault="00043881" w:rsidP="00B95734">
      <w:pPr>
        <w:pStyle w:val="Heading6"/>
        <w:numPr>
          <w:ilvl w:val="2"/>
          <w:numId w:val="43"/>
        </w:numPr>
      </w:pPr>
      <w:bookmarkStart w:id="156" w:name="_Toc30582390"/>
      <w:bookmarkStart w:id="157" w:name="_Ref30595890"/>
      <w:bookmarkStart w:id="158" w:name="_Toc42847845"/>
      <w:r>
        <w:lastRenderedPageBreak/>
        <w:t>Alignment with broader policy areas</w:t>
      </w:r>
      <w:bookmarkEnd w:id="156"/>
      <w:bookmarkEnd w:id="157"/>
      <w:bookmarkEnd w:id="158"/>
    </w:p>
    <w:p w14:paraId="7B47BB94" w14:textId="77777777" w:rsidR="00043881" w:rsidRDefault="00043881" w:rsidP="00B95734">
      <w:pPr>
        <w:pStyle w:val="Heading7"/>
        <w:numPr>
          <w:ilvl w:val="3"/>
          <w:numId w:val="43"/>
        </w:numPr>
      </w:pPr>
      <w:bookmarkStart w:id="159" w:name="_Toc30582391"/>
      <w:bookmarkStart w:id="160" w:name="_Ref30758119"/>
      <w:bookmarkStart w:id="161" w:name="_Ref36841249"/>
      <w:bookmarkStart w:id="162" w:name="_Ref36842978"/>
      <w:r>
        <w:t>Connectivity of jurisdictional activity in the child protection sector</w:t>
      </w:r>
      <w:bookmarkEnd w:id="159"/>
      <w:bookmarkEnd w:id="160"/>
      <w:bookmarkEnd w:id="161"/>
      <w:bookmarkEnd w:id="162"/>
    </w:p>
    <w:tbl>
      <w:tblPr>
        <w:tblStyle w:val="PwCColour"/>
        <w:tblW w:w="0" w:type="auto"/>
        <w:tblBorders>
          <w:top w:val="single" w:sz="4" w:space="0" w:color="EB8C00" w:themeColor="accent4"/>
          <w:left w:val="single" w:sz="4" w:space="0" w:color="EB8C00" w:themeColor="accent4"/>
          <w:bottom w:val="single" w:sz="4" w:space="0" w:color="EB8C00" w:themeColor="accent4"/>
          <w:right w:val="single" w:sz="4" w:space="0" w:color="EB8C00" w:themeColor="accent4"/>
          <w:insideH w:val="none" w:sz="0" w:space="0" w:color="auto"/>
          <w:insideV w:val="none" w:sz="0" w:space="0" w:color="auto"/>
        </w:tblBorders>
        <w:shd w:val="clear" w:color="auto" w:fill="FED8C3" w:themeFill="accent1" w:themeFillTint="33"/>
        <w:tblLook w:val="04A0" w:firstRow="1" w:lastRow="0" w:firstColumn="1" w:lastColumn="0" w:noHBand="0" w:noVBand="1"/>
        <w:tblCaption w:val="Key Finding"/>
        <w:tblDescription w:val="There is evidence of a significant amount of government investment and reform among policy domains that are connected to the National Framework. These policy domains deliver against various priorities of government (for example, in child sexual abuse and universal service design and provision). While aligned, activities are difficult to directly attribute to the National Framework. "/>
      </w:tblPr>
      <w:tblGrid>
        <w:gridCol w:w="9855"/>
      </w:tblGrid>
      <w:tr w:rsidR="00BD01CA" w14:paraId="25780D33" w14:textId="77777777" w:rsidTr="006F1A6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855" w:type="dxa"/>
            <w:tcBorders>
              <w:top w:val="none" w:sz="0" w:space="0" w:color="auto"/>
              <w:bottom w:val="none" w:sz="0" w:space="0" w:color="auto"/>
            </w:tcBorders>
            <w:shd w:val="clear" w:color="auto" w:fill="FED8C3" w:themeFill="accent1" w:themeFillTint="33"/>
            <w:vAlign w:val="center"/>
          </w:tcPr>
          <w:p w14:paraId="2F5A9C95" w14:textId="6A83098B" w:rsidR="009A709D" w:rsidRDefault="009A709D" w:rsidP="00D36A99">
            <w:pPr>
              <w:pStyle w:val="PwCNormal"/>
              <w:numPr>
                <w:ilvl w:val="0"/>
                <w:numId w:val="0"/>
              </w:numPr>
              <w:spacing w:before="60" w:after="60" w:line="240" w:lineRule="auto"/>
              <w:rPr>
                <w:b/>
              </w:rPr>
            </w:pPr>
            <w:bookmarkStart w:id="163" w:name="_Ref30150966"/>
            <w:r>
              <w:rPr>
                <w:b/>
              </w:rPr>
              <w:t>Key finding</w:t>
            </w:r>
          </w:p>
          <w:p w14:paraId="7647398F" w14:textId="50271DB8" w:rsidR="00EF7F33" w:rsidRPr="00576E19" w:rsidRDefault="00EF7F33" w:rsidP="007434DF">
            <w:pPr>
              <w:pStyle w:val="PwCNormal"/>
              <w:numPr>
                <w:ilvl w:val="0"/>
                <w:numId w:val="0"/>
              </w:numPr>
              <w:spacing w:before="60" w:after="60" w:line="240" w:lineRule="auto"/>
              <w:ind w:left="284"/>
            </w:pPr>
            <w:r>
              <w:t>There is evidence of a significant amount of government investment and reform among policy domains that are connected to the National Framework</w:t>
            </w:r>
            <w:r w:rsidR="00E7401B">
              <w:t xml:space="preserve">. These policy domains </w:t>
            </w:r>
            <w:r>
              <w:t xml:space="preserve">deliver against various priorities of government (for example, in child sexual abuse and universal </w:t>
            </w:r>
            <w:r w:rsidR="00BD01CA">
              <w:t xml:space="preserve">service design and provision). While aligned, activities </w:t>
            </w:r>
            <w:r w:rsidR="000F4E57">
              <w:t>are</w:t>
            </w:r>
            <w:r w:rsidR="006C42A4">
              <w:t xml:space="preserve"> difficult to</w:t>
            </w:r>
            <w:r w:rsidR="00BD01CA">
              <w:t xml:space="preserve"> directly attribute to the National Framework. </w:t>
            </w:r>
          </w:p>
        </w:tc>
      </w:tr>
    </w:tbl>
    <w:p w14:paraId="099F26E3" w14:textId="4DC4C4D9" w:rsidR="00043881" w:rsidRDefault="0037541D" w:rsidP="00043881">
      <w:pPr>
        <w:pStyle w:val="PwCNormal"/>
        <w:numPr>
          <w:ilvl w:val="0"/>
          <w:numId w:val="0"/>
        </w:numPr>
      </w:pPr>
      <w:r>
        <w:t xml:space="preserve">Over </w:t>
      </w:r>
      <w:r w:rsidR="00043881">
        <w:t xml:space="preserve">the operation of the National Framework, a number of interrelated inquiries, Royal Commissions and reforms have </w:t>
      </w:r>
      <w:r>
        <w:t>taken place</w:t>
      </w:r>
      <w:r w:rsidR="00043881">
        <w:t xml:space="preserve">. These have led to a wide range of government responses that </w:t>
      </w:r>
      <w:r w:rsidR="00E7401B">
        <w:t>correspond</w:t>
      </w:r>
      <w:r w:rsidR="00043881">
        <w:t xml:space="preserve"> to the outcomes sought by the National Framework.</w:t>
      </w:r>
      <w:r w:rsidR="002B75DA">
        <w:t xml:space="preserve"> </w:t>
      </w:r>
      <w:r>
        <w:t>W</w:t>
      </w:r>
      <w:r w:rsidR="002B75DA">
        <w:t xml:space="preserve">ith the exception of the Commonwealth Royal Commission into Institutional Responses to Child Sexual Abuse, the National Framework governance does not appear to have had any role in facilitating jurisdictional responses to these inquiries, Commissions or reforms. </w:t>
      </w:r>
    </w:p>
    <w:p w14:paraId="39A37F46" w14:textId="7CCAFE3A" w:rsidR="00043881" w:rsidRDefault="00043881" w:rsidP="00043881">
      <w:pPr>
        <w:pStyle w:val="PwCNormal"/>
        <w:numPr>
          <w:ilvl w:val="0"/>
          <w:numId w:val="0"/>
        </w:numPr>
      </w:pPr>
      <w:r>
        <w:fldChar w:fldCharType="begin"/>
      </w:r>
      <w:r>
        <w:instrText xml:space="preserve"> REF _Ref31130108 \h </w:instrText>
      </w:r>
      <w:r>
        <w:fldChar w:fldCharType="separate"/>
      </w:r>
      <w:r w:rsidR="00D75351">
        <w:t xml:space="preserve">Figure </w:t>
      </w:r>
      <w:r w:rsidR="00D75351">
        <w:rPr>
          <w:noProof/>
        </w:rPr>
        <w:t>10</w:t>
      </w:r>
      <w:r>
        <w:fldChar w:fldCharType="end"/>
      </w:r>
      <w:r>
        <w:t xml:space="preserve"> outlines a number of key reform activities that have taken place </w:t>
      </w:r>
      <w:r w:rsidR="0037541D">
        <w:t xml:space="preserve">over the life </w:t>
      </w:r>
      <w:r>
        <w:t xml:space="preserve">of the National Framework. It </w:t>
      </w:r>
      <w:r w:rsidR="00E7401B">
        <w:t xml:space="preserve">shows </w:t>
      </w:r>
      <w:r>
        <w:t xml:space="preserve">that </w:t>
      </w:r>
      <w:r w:rsidRPr="007434DF">
        <w:t xml:space="preserve">much government focus has been centred on inquiries (including responses to the Royal Commissions and state-based inquiries). Not represented here are the numerous coronial inquiries which have </w:t>
      </w:r>
      <w:r w:rsidR="0037541D">
        <w:t xml:space="preserve">also </w:t>
      </w:r>
      <w:r w:rsidRPr="007434DF">
        <w:t>been delivered across jurisdictions</w:t>
      </w:r>
      <w:r w:rsidR="0037541D">
        <w:t xml:space="preserve"> and stimulated much policy activities in interrelated policy areas</w:t>
      </w:r>
      <w:r w:rsidR="007434DF" w:rsidRPr="007434DF">
        <w:t>.</w:t>
      </w:r>
    </w:p>
    <w:p w14:paraId="02886C37" w14:textId="77777777" w:rsidR="009D5534" w:rsidRDefault="009D5534" w:rsidP="00043881">
      <w:pPr>
        <w:pStyle w:val="PwCNormal"/>
        <w:numPr>
          <w:ilvl w:val="0"/>
          <w:numId w:val="0"/>
        </w:numPr>
        <w:sectPr w:rsidR="009D5534" w:rsidSect="00CF132C">
          <w:headerReference w:type="even" r:id="rId51"/>
          <w:headerReference w:type="default" r:id="rId52"/>
          <w:footerReference w:type="even" r:id="rId53"/>
          <w:footerReference w:type="default" r:id="rId54"/>
          <w:headerReference w:type="first" r:id="rId55"/>
          <w:footerReference w:type="first" r:id="rId56"/>
          <w:pgSz w:w="11907" w:h="16840" w:code="9"/>
          <w:pgMar w:top="1588" w:right="1021" w:bottom="1418" w:left="1021" w:header="567" w:footer="567" w:gutter="0"/>
          <w:cols w:space="227"/>
          <w:titlePg/>
          <w:docGrid w:linePitch="360"/>
        </w:sectPr>
      </w:pPr>
    </w:p>
    <w:p w14:paraId="50566BBB" w14:textId="1C5D7C81" w:rsidR="00043881" w:rsidRDefault="00043881" w:rsidP="00043881">
      <w:pPr>
        <w:pStyle w:val="Caption"/>
        <w:rPr>
          <w:noProof/>
        </w:rPr>
      </w:pPr>
      <w:bookmarkStart w:id="164" w:name="_Ref31130108"/>
      <w:r>
        <w:lastRenderedPageBreak/>
        <w:t xml:space="preserve">Figure </w:t>
      </w:r>
      <w:fldSimple w:instr=" SEQ Figure \* ARABIC ">
        <w:r w:rsidR="00D75351">
          <w:rPr>
            <w:noProof/>
          </w:rPr>
          <w:t>10</w:t>
        </w:r>
      </w:fldSimple>
      <w:bookmarkEnd w:id="163"/>
      <w:bookmarkEnd w:id="164"/>
      <w:r>
        <w:rPr>
          <w:noProof/>
        </w:rPr>
        <w:t xml:space="preserve">: </w:t>
      </w:r>
      <w:r w:rsidRPr="0014485F">
        <w:t>Key inquiries and reforms during the National Framework</w:t>
      </w:r>
      <w:r w:rsidR="00B45566">
        <w:rPr>
          <w:rStyle w:val="FootnoteReference"/>
        </w:rPr>
        <w:footnoteReference w:id="36"/>
      </w:r>
    </w:p>
    <w:p w14:paraId="1E6FD3D4" w14:textId="43B09821" w:rsidR="00043881" w:rsidRDefault="009D5534" w:rsidP="00043881">
      <w:pPr>
        <w:pStyle w:val="PwCNormal"/>
        <w:numPr>
          <w:ilvl w:val="0"/>
          <w:numId w:val="0"/>
        </w:numPr>
      </w:pPr>
      <w:r w:rsidRPr="009D5534">
        <w:rPr>
          <w:noProof/>
          <w:lang w:eastAsia="en-AU"/>
        </w:rPr>
        <w:drawing>
          <wp:inline distT="0" distB="0" distL="0" distR="0" wp14:anchorId="14DCECF4" wp14:editId="0943488E">
            <wp:extent cx="8199043" cy="4655128"/>
            <wp:effectExtent l="0" t="0" r="0" b="0"/>
            <wp:docPr id="22" name="Picture 22" descr="Key Events include: Luke Batty was murdered in 2014.ABC’s four corners ‘Australia’s Shame” (Don Dale Detention) was aired.  The 2017 Uluru Statement from the Heart.&#10;Key Reforms for each action plan include:&#10;Action Plan 1: Commonwealth’s National disability strategy. Commonwealth’s National plan to reduce violence against women and their children 2010-2022.&#10;Action Plan 2. Tasmania’s Safe homes, safe families 2015.&#10;Action plan 3: Queensland’s Supporting families changing futures. Queensland’s Domestic and family violence prevention strategy.  New South Wales’ Safer lives for women, men and children. New South Wales’ Their future matters: A new approach. Victoria’s Strong families, safe children. Tasmania’s Strong Families Safe Kids. Queensland’s Connecting care to recovery.  South Australia’s Child and young people safety Act 2017.  Northern Territory’s Save, Thriving and Connected.  Australian Capital Territory’s Government response to the royal commission into institutional responses to child sexual abuse.  Northern Territory’s Safe, Respected and free from violence.  Western Australia’s Responses to the royal commissions 2018.&#10;Key commissions and inquiries for each action plan include:&#10;Action Plan one: New South Wales’ Special Commission of Inquiry into Child Protection Services.  Queensland’s Child Protection Commission of Inquiry.&#10;Action Plan two: The Commonwealth Royal Commission into the institutional Responses to child sexual abuse.  Western Australia’s Inquiry into Aboriginal Youth Suicides.  Western Australia’s Inquiry into Accommodation and Intensive Family Support Funding for people with disability. South Australia’s Child Protection systems royal commission.&#10;Action Plan 3: Victoria’s royal commission into family violence.  Queensland’s Inquiry into imprisonment and recidivism. Victoria’s royal commission into Victoria’s mental health system. Commonwealth’s royal commission into the detention of children in the Northern Territory.&#10;Action Plan 4:  Commonwealth’s royal commission into violence, abuse, neglect and exploitation of people with disability.  Commonwealth’s productivity inquiry into expenditure on children in the Northern Territory. Australia Capital Territory’s Inquiry into child and youth protection services.&#10;" title="Figure 10: Key inquiries and reforms during the National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07319" cy="4659827"/>
                    </a:xfrm>
                    <a:prstGeom prst="rect">
                      <a:avLst/>
                    </a:prstGeom>
                    <a:noFill/>
                    <a:ln>
                      <a:noFill/>
                    </a:ln>
                  </pic:spPr>
                </pic:pic>
              </a:graphicData>
            </a:graphic>
          </wp:inline>
        </w:drawing>
      </w:r>
    </w:p>
    <w:p w14:paraId="37A37A6C" w14:textId="77777777" w:rsidR="009D5534" w:rsidRDefault="009D5534" w:rsidP="00043881">
      <w:pPr>
        <w:pStyle w:val="PwCNormal"/>
        <w:numPr>
          <w:ilvl w:val="0"/>
          <w:numId w:val="0"/>
        </w:numPr>
        <w:sectPr w:rsidR="009D5534" w:rsidSect="008552A8">
          <w:pgSz w:w="16840" w:h="11907" w:orient="landscape" w:code="9"/>
          <w:pgMar w:top="1021" w:right="1588" w:bottom="1021" w:left="1418" w:header="567" w:footer="567" w:gutter="0"/>
          <w:cols w:space="227"/>
          <w:titlePg/>
          <w:docGrid w:linePitch="360"/>
        </w:sectPr>
      </w:pPr>
    </w:p>
    <w:p w14:paraId="431E3F43" w14:textId="5E3BD93B" w:rsidR="00043881" w:rsidRDefault="00043881" w:rsidP="00043881">
      <w:pPr>
        <w:pStyle w:val="PwCNormal"/>
        <w:numPr>
          <w:ilvl w:val="0"/>
          <w:numId w:val="0"/>
        </w:numPr>
      </w:pPr>
      <w:r>
        <w:lastRenderedPageBreak/>
        <w:fldChar w:fldCharType="begin"/>
      </w:r>
      <w:r>
        <w:instrText xml:space="preserve"> REF _Ref31130108 \h </w:instrText>
      </w:r>
      <w:r>
        <w:fldChar w:fldCharType="separate"/>
      </w:r>
      <w:r w:rsidR="00D75351">
        <w:t xml:space="preserve">Figure </w:t>
      </w:r>
      <w:r w:rsidR="00D75351">
        <w:rPr>
          <w:noProof/>
        </w:rPr>
        <w:t>10</w:t>
      </w:r>
      <w:r>
        <w:fldChar w:fldCharType="end"/>
      </w:r>
      <w:r>
        <w:t xml:space="preserve"> </w:t>
      </w:r>
      <w:r w:rsidR="0037541D">
        <w:t>shows that</w:t>
      </w:r>
      <w:r>
        <w:t xml:space="preserve"> over the past five years, governments have directed significant reform and funding towards child protection, domestic and family violence, and, youth justice policy domains. Among these are:</w:t>
      </w:r>
    </w:p>
    <w:p w14:paraId="7A6DBF9C" w14:textId="77777777" w:rsidR="00043881" w:rsidRDefault="00043881" w:rsidP="00043881">
      <w:pPr>
        <w:pStyle w:val="ListBullet"/>
      </w:pPr>
      <w:r>
        <w:t>a number of substantial child protection reforms, including in Tasmania, South Australia, N</w:t>
      </w:r>
      <w:r w:rsidR="002B75DA">
        <w:t xml:space="preserve">ew </w:t>
      </w:r>
      <w:r>
        <w:t>S</w:t>
      </w:r>
      <w:r w:rsidR="002B75DA">
        <w:t xml:space="preserve">outh </w:t>
      </w:r>
      <w:r>
        <w:t>W</w:t>
      </w:r>
      <w:r w:rsidR="002B75DA">
        <w:t>ales</w:t>
      </w:r>
      <w:r>
        <w:t xml:space="preserve"> and Queensland have also been implemented within the past five years. These reforms have led, in most cases, to service model design changes across</w:t>
      </w:r>
      <w:r w:rsidR="006C42A4">
        <w:t xml:space="preserve"> the</w:t>
      </w:r>
      <w:r>
        <w:t xml:space="preserve"> child protection sector</w:t>
      </w:r>
      <w:r w:rsidR="006C42A4">
        <w:t>.</w:t>
      </w:r>
      <w:r>
        <w:t xml:space="preserve"> </w:t>
      </w:r>
    </w:p>
    <w:p w14:paraId="5F5CAE71" w14:textId="18691CDB" w:rsidR="00043881" w:rsidRDefault="00043881" w:rsidP="00043881">
      <w:pPr>
        <w:pStyle w:val="ListBullet"/>
      </w:pPr>
      <w:r>
        <w:t>government responses to the federal Royal Commission into Institutional Responses to Child Sexual Abuse</w:t>
      </w:r>
      <w:r>
        <w:rPr>
          <w:rStyle w:val="FootnoteReference"/>
        </w:rPr>
        <w:footnoteReference w:id="37"/>
      </w:r>
      <w:r>
        <w:t xml:space="preserve"> and the Victorian Royal Commission into Family Violence </w:t>
      </w:r>
      <w:r w:rsidR="0037541D">
        <w:t xml:space="preserve">which </w:t>
      </w:r>
      <w:r>
        <w:t xml:space="preserve">have led to significant government investment into domestic and family violence plans which were introduced between 2015 and 2018. </w:t>
      </w:r>
    </w:p>
    <w:p w14:paraId="019D1F1D" w14:textId="58DE02BA" w:rsidR="00043881" w:rsidRPr="0043647C" w:rsidRDefault="00043881" w:rsidP="00043881">
      <w:pPr>
        <w:pStyle w:val="ListBullet"/>
      </w:pPr>
      <w:r>
        <w:t xml:space="preserve">the 2017 Royal </w:t>
      </w:r>
      <w:r w:rsidRPr="008D2A10">
        <w:t>Commission into the Protection and Detention of Children in the Northern Territory</w:t>
      </w:r>
      <w:r w:rsidRPr="008D2A10">
        <w:rPr>
          <w:rStyle w:val="FootnoteReference"/>
        </w:rPr>
        <w:footnoteReference w:id="38"/>
      </w:r>
      <w:r w:rsidRPr="008D2A10">
        <w:t xml:space="preserve"> </w:t>
      </w:r>
      <w:r w:rsidR="0037541D">
        <w:t>which</w:t>
      </w:r>
      <w:r w:rsidR="009A709D">
        <w:t xml:space="preserve"> </w:t>
      </w:r>
      <w:r w:rsidRPr="008D2A10">
        <w:t>led to significant reforms in the Northern Territory</w:t>
      </w:r>
      <w:r w:rsidR="0037541D">
        <w:t>. S</w:t>
      </w:r>
      <w:r w:rsidRPr="008D2A10">
        <w:t xml:space="preserve">imilar youth justice policy challenges </w:t>
      </w:r>
      <w:r w:rsidR="008D2A10" w:rsidRPr="008D2A10">
        <w:t>are</w:t>
      </w:r>
      <w:r w:rsidRPr="008D2A10">
        <w:t xml:space="preserve"> reflected in commissions, reviews and inquiries in other states. </w:t>
      </w:r>
      <w:r w:rsidR="008D2A10" w:rsidRPr="008D2A10">
        <w:t xml:space="preserve">For example, </w:t>
      </w:r>
      <w:r w:rsidRPr="008D2A10">
        <w:t>Queensland, Victoria and the A</w:t>
      </w:r>
      <w:r w:rsidR="002B75DA" w:rsidRPr="008D2A10">
        <w:t xml:space="preserve">ustralian </w:t>
      </w:r>
      <w:r w:rsidRPr="008D2A10">
        <w:t>C</w:t>
      </w:r>
      <w:r w:rsidR="002B75DA" w:rsidRPr="008D2A10">
        <w:t xml:space="preserve">apital </w:t>
      </w:r>
      <w:r w:rsidRPr="00143567">
        <w:t>T</w:t>
      </w:r>
      <w:r w:rsidR="002B75DA" w:rsidRPr="00143567">
        <w:t>erritory</w:t>
      </w:r>
      <w:r w:rsidRPr="00143567">
        <w:t xml:space="preserve">, have, or are </w:t>
      </w:r>
      <w:r w:rsidR="008D2A10" w:rsidRPr="00AD6C46">
        <w:t>developing</w:t>
      </w:r>
      <w:r w:rsidRPr="00351218">
        <w:t xml:space="preserve"> responses </w:t>
      </w:r>
      <w:r w:rsidRPr="0043647C">
        <w:t>to address systemic youth justice policy challenges</w:t>
      </w:r>
      <w:r w:rsidR="006C42A4" w:rsidRPr="0043647C">
        <w:t>.</w:t>
      </w:r>
    </w:p>
    <w:p w14:paraId="03BF4AE5" w14:textId="60986CFD" w:rsidR="00043881" w:rsidRPr="0043647C" w:rsidRDefault="00043881" w:rsidP="00043881">
      <w:pPr>
        <w:pStyle w:val="PwCNormal"/>
        <w:numPr>
          <w:ilvl w:val="0"/>
          <w:numId w:val="0"/>
        </w:numPr>
      </w:pPr>
      <w:r w:rsidRPr="0043647C">
        <w:t xml:space="preserve">Many of these reforms have </w:t>
      </w:r>
      <w:r w:rsidR="0033155D" w:rsidRPr="0043647C">
        <w:t xml:space="preserve">influenced and directed </w:t>
      </w:r>
      <w:r w:rsidRPr="0043647C">
        <w:t>jurisdictional priorities and funding since 2015</w:t>
      </w:r>
      <w:r w:rsidR="008D2A10" w:rsidRPr="0043647C">
        <w:t xml:space="preserve">. </w:t>
      </w:r>
    </w:p>
    <w:p w14:paraId="5CA8DEE0" w14:textId="7C033C27" w:rsidR="00043881" w:rsidRPr="0043647C" w:rsidRDefault="00043881" w:rsidP="00043881">
      <w:pPr>
        <w:pStyle w:val="PwCNormal"/>
        <w:numPr>
          <w:ilvl w:val="0"/>
          <w:numId w:val="0"/>
        </w:numPr>
      </w:pPr>
      <w:r w:rsidRPr="0043647C">
        <w:t xml:space="preserve">In many cases, reform activity can be linked to external events which have highlighted systemic sector issues, triggering government response. For example, the ABC’s Four Corners report of the Don Dale Detention Centre has garnered public interest and demand for government response to these issues. </w:t>
      </w:r>
    </w:p>
    <w:p w14:paraId="557B18BD" w14:textId="77777777" w:rsidR="00043881" w:rsidRPr="0043647C" w:rsidRDefault="00043881" w:rsidP="00043881">
      <w:pPr>
        <w:pStyle w:val="PwCNormal"/>
        <w:numPr>
          <w:ilvl w:val="0"/>
          <w:numId w:val="0"/>
        </w:numPr>
      </w:pPr>
      <w:r w:rsidRPr="0043647C">
        <w:t xml:space="preserve">These activities make it difficult to draw direct attribution between policy activity and the National Framework. However, there are clear linkages between the policy objectives </w:t>
      </w:r>
      <w:r w:rsidR="0033155D" w:rsidRPr="0043647C">
        <w:t>arising from these reviews</w:t>
      </w:r>
      <w:r w:rsidRPr="0043647C">
        <w:t xml:space="preserve"> and those in the National Framework. Organisations</w:t>
      </w:r>
      <w:r w:rsidR="00A562EF" w:rsidRPr="0043647C">
        <w:t xml:space="preserve"> who thought that activities were not directly attributable</w:t>
      </w:r>
      <w:r w:rsidR="00E7401B" w:rsidRPr="0043647C">
        <w:t>,</w:t>
      </w:r>
      <w:r w:rsidR="00A562EF" w:rsidRPr="0043647C">
        <w:t xml:space="preserve"> </w:t>
      </w:r>
      <w:r w:rsidRPr="0043647C">
        <w:t>qualified that jurisdictional activity and the extent to which they can be linked to the National Framework</w:t>
      </w:r>
      <w:r w:rsidR="00E7401B" w:rsidRPr="0043647C">
        <w:t>,</w:t>
      </w:r>
      <w:r w:rsidRPr="0043647C">
        <w:t xml:space="preserve"> must take account of:</w:t>
      </w:r>
    </w:p>
    <w:p w14:paraId="6E70F1AF" w14:textId="4D9F8E01" w:rsidR="00043881" w:rsidRPr="0043647C" w:rsidRDefault="00043881" w:rsidP="00043881">
      <w:pPr>
        <w:pStyle w:val="ListBullet"/>
      </w:pPr>
      <w:r w:rsidRPr="0043647C">
        <w:t xml:space="preserve">that many activities were focused on women and families and </w:t>
      </w:r>
      <w:r w:rsidR="0037541D">
        <w:t xml:space="preserve">are </w:t>
      </w:r>
      <w:r w:rsidRPr="0043647C">
        <w:t>not oriented to the child</w:t>
      </w:r>
      <w:r w:rsidR="0037541D">
        <w:t>. Due to this, they don’t</w:t>
      </w:r>
      <w:r w:rsidR="000B58C9">
        <w:t xml:space="preserve"> </w:t>
      </w:r>
      <w:r w:rsidRPr="0043647C">
        <w:t>properly align to National Framework outcomes</w:t>
      </w:r>
    </w:p>
    <w:p w14:paraId="7DF4BD68" w14:textId="1889FFB0" w:rsidR="00043881" w:rsidRDefault="00043881" w:rsidP="00043881">
      <w:pPr>
        <w:pStyle w:val="ListBullet"/>
      </w:pPr>
      <w:r w:rsidRPr="0043647C">
        <w:t xml:space="preserve">jurisdictions were often able to </w:t>
      </w:r>
      <w:r w:rsidR="0037541D">
        <w:t xml:space="preserve">cite </w:t>
      </w:r>
      <w:r w:rsidRPr="0043647C">
        <w:t xml:space="preserve">their activities as </w:t>
      </w:r>
      <w:r w:rsidR="0037541D">
        <w:t xml:space="preserve">being aligned </w:t>
      </w:r>
      <w:r w:rsidRPr="0043647C">
        <w:t xml:space="preserve">given how broad the National Framework’s outcomes were, although </w:t>
      </w:r>
      <w:r w:rsidR="00D16954" w:rsidRPr="0043647C">
        <w:t>organisation</w:t>
      </w:r>
      <w:r w:rsidRPr="0043647C">
        <w:t>s perceived that many of their initiatives were established as a result of other drivers</w:t>
      </w:r>
    </w:p>
    <w:p w14:paraId="0252856E" w14:textId="6351AB8D" w:rsidR="00CD6D65" w:rsidRPr="0043647C" w:rsidRDefault="00FA3C06" w:rsidP="00043881">
      <w:pPr>
        <w:pStyle w:val="ListBullet"/>
      </w:pPr>
      <w:r>
        <w:t>a</w:t>
      </w:r>
      <w:r w:rsidR="00CD6D65">
        <w:t xml:space="preserve"> busy five</w:t>
      </w:r>
      <w:r>
        <w:t>-</w:t>
      </w:r>
      <w:r w:rsidR="00CD6D65">
        <w:t>year window in which</w:t>
      </w:r>
      <w:r>
        <w:t xml:space="preserve"> reforms in child protection (and related policies) have been undertaken in the jurisdictions. These had driven much jurisdictional attention over the National Framework. </w:t>
      </w:r>
    </w:p>
    <w:p w14:paraId="4AE2959A" w14:textId="740F1FED" w:rsidR="00043881" w:rsidRDefault="00043881" w:rsidP="00B95734">
      <w:pPr>
        <w:pStyle w:val="Heading7"/>
        <w:numPr>
          <w:ilvl w:val="3"/>
          <w:numId w:val="43"/>
        </w:numPr>
      </w:pPr>
      <w:bookmarkStart w:id="165" w:name="_Toc30582392"/>
      <w:bookmarkStart w:id="166" w:name="_Ref30720726"/>
      <w:r>
        <w:t xml:space="preserve">Alignment of government </w:t>
      </w:r>
      <w:r w:rsidR="0061064E">
        <w:t xml:space="preserve">effort </w:t>
      </w:r>
      <w:r>
        <w:t>to the National Framework</w:t>
      </w:r>
      <w:bookmarkEnd w:id="165"/>
      <w:bookmarkEnd w:id="166"/>
    </w:p>
    <w:p w14:paraId="71921FCA" w14:textId="1A2D523C" w:rsidR="00043881" w:rsidRDefault="00043881" w:rsidP="00043881">
      <w:pPr>
        <w:pStyle w:val="PwCNormal"/>
        <w:numPr>
          <w:ilvl w:val="0"/>
          <w:numId w:val="0"/>
        </w:numPr>
      </w:pPr>
      <w:r>
        <w:t xml:space="preserve">Across the operation of the National </w:t>
      </w:r>
      <w:r w:rsidRPr="008D2A10">
        <w:t xml:space="preserve">Framework, governments have led significant action addressing issues relating to children’s safety and wellbeing. </w:t>
      </w:r>
    </w:p>
    <w:p w14:paraId="0DDA8956" w14:textId="22475617" w:rsidR="00043881" w:rsidRPr="008D2A10" w:rsidRDefault="00043881" w:rsidP="00043881">
      <w:pPr>
        <w:pStyle w:val="PwCNormal"/>
        <w:numPr>
          <w:ilvl w:val="0"/>
          <w:numId w:val="0"/>
        </w:numPr>
      </w:pPr>
      <w:r>
        <w:t>A set of broader initiatives delivered between 2015 and 2019 that appear to be aligned to the priorities outlined in</w:t>
      </w:r>
      <w:r w:rsidR="00A0133F">
        <w:t xml:space="preserve"> the Third and Fourth</w:t>
      </w:r>
      <w:r>
        <w:t xml:space="preserve"> Action Plan</w:t>
      </w:r>
      <w:r w:rsidR="008D2A10">
        <w:t>s</w:t>
      </w:r>
      <w:r>
        <w:t xml:space="preserve"> are reported on in the Draft Annual Report 2016-17 and 2017-18 and are summarised in </w:t>
      </w:r>
      <w:r>
        <w:fldChar w:fldCharType="begin"/>
      </w:r>
      <w:r>
        <w:instrText xml:space="preserve"> REF _Ref31131082 \h </w:instrText>
      </w:r>
      <w:r>
        <w:fldChar w:fldCharType="separate"/>
      </w:r>
      <w:r w:rsidR="00D75351">
        <w:t xml:space="preserve">Table </w:t>
      </w:r>
      <w:r w:rsidR="00D75351">
        <w:rPr>
          <w:noProof/>
        </w:rPr>
        <w:t>9</w:t>
      </w:r>
      <w:r>
        <w:fldChar w:fldCharType="end"/>
      </w:r>
      <w:r>
        <w:t xml:space="preserve"> below.</w:t>
      </w:r>
      <w:r>
        <w:rPr>
          <w:rStyle w:val="FootnoteReference"/>
        </w:rPr>
        <w:footnoteReference w:id="39"/>
      </w:r>
      <w:r>
        <w:t xml:space="preserve"> </w:t>
      </w:r>
      <w:r w:rsidR="00DD6F1E">
        <w:t xml:space="preserve">Initiatives reported by jurisdictions vary significantly in terms of their ambition and reach. It is difficult to therefore draw conclusions over the impact of these initiatives on the outcomes. Further </w:t>
      </w:r>
      <w:r w:rsidR="00DD6F1E" w:rsidRPr="008D2A10">
        <w:t xml:space="preserve">detail is provided in </w:t>
      </w:r>
      <w:r w:rsidR="00DD6F1E" w:rsidRPr="008D2A10">
        <w:fldChar w:fldCharType="begin"/>
      </w:r>
      <w:r w:rsidR="00DD6F1E" w:rsidRPr="0043647C">
        <w:instrText xml:space="preserve"> REF _Ref31238991 \n \h </w:instrText>
      </w:r>
      <w:r w:rsidR="008D2A10">
        <w:instrText xml:space="preserve"> \* MERGEFORMAT </w:instrText>
      </w:r>
      <w:r w:rsidR="00DD6F1E" w:rsidRPr="008D2A10">
        <w:fldChar w:fldCharType="separate"/>
      </w:r>
      <w:r w:rsidR="00D75351">
        <w:t>Appendix C</w:t>
      </w:r>
      <w:r w:rsidR="00DD6F1E" w:rsidRPr="008D2A10">
        <w:fldChar w:fldCharType="end"/>
      </w:r>
      <w:r w:rsidR="00DD6F1E" w:rsidRPr="008D2A10">
        <w:t>.</w:t>
      </w:r>
    </w:p>
    <w:p w14:paraId="13D372F3" w14:textId="17670D41" w:rsidR="00043881" w:rsidRDefault="0037541D" w:rsidP="00043881">
      <w:pPr>
        <w:pStyle w:val="PwCNormal"/>
        <w:numPr>
          <w:ilvl w:val="0"/>
          <w:numId w:val="0"/>
        </w:numPr>
      </w:pPr>
      <w:r>
        <w:t xml:space="preserve">ATSICPP was reported to be one activity </w:t>
      </w:r>
      <w:r w:rsidR="00043881" w:rsidRPr="0043647C">
        <w:t>that w</w:t>
      </w:r>
      <w:r w:rsidR="0043647C">
        <w:t>as</w:t>
      </w:r>
      <w:r w:rsidR="00043881" w:rsidRPr="0043647C">
        <w:t xml:space="preserve"> specifically coordinated or implemented as a result of the National Framework</w:t>
      </w:r>
      <w:r w:rsidR="0043647C">
        <w:t>. These principles</w:t>
      </w:r>
      <w:r w:rsidR="00043881" w:rsidRPr="0043647C">
        <w:t xml:space="preserve"> have been brought back to jurisdiction</w:t>
      </w:r>
      <w:r w:rsidR="0043647C">
        <w:t>s</w:t>
      </w:r>
      <w:r w:rsidR="00043881" w:rsidRPr="0043647C">
        <w:t xml:space="preserve"> and are now incorporated within broader community services strategies outside of child protection</w:t>
      </w:r>
      <w:r>
        <w:t xml:space="preserve"> and it cited to be a direct result of </w:t>
      </w:r>
      <w:r w:rsidR="00043881" w:rsidRPr="0043647C">
        <w:t>SNAICC</w:t>
      </w:r>
      <w:r>
        <w:t xml:space="preserve">’s role and influence as part of the </w:t>
      </w:r>
      <w:r w:rsidR="00043881" w:rsidRPr="0043647C">
        <w:t>National Forum</w:t>
      </w:r>
      <w:r>
        <w:t>.</w:t>
      </w:r>
      <w:r w:rsidR="00043881" w:rsidRPr="0043647C">
        <w:t xml:space="preserve"> ATSICPP appears to have provided the mechanism for the broader application of priorities outlined in the National Framework and </w:t>
      </w:r>
      <w:r w:rsidR="00A0133F" w:rsidRPr="0043647C">
        <w:t>a</w:t>
      </w:r>
      <w:r w:rsidR="00043881" w:rsidRPr="0043647C">
        <w:t xml:space="preserve">ction </w:t>
      </w:r>
      <w:r w:rsidR="00A0133F" w:rsidRPr="0043647C">
        <w:t>p</w:t>
      </w:r>
      <w:r w:rsidR="00043881" w:rsidRPr="0043647C">
        <w:t xml:space="preserve">lans. In addition, the existence of the National Forum has facilitated enhanced </w:t>
      </w:r>
      <w:r w:rsidR="00043881" w:rsidRPr="0043647C">
        <w:lastRenderedPageBreak/>
        <w:t xml:space="preserve">collaboration and information sharing. Elements of how governments have better collaborated are outlined in </w:t>
      </w:r>
      <w:r w:rsidR="003A7B63" w:rsidRPr="0043647C">
        <w:t xml:space="preserve">Chapter </w:t>
      </w:r>
      <w:r w:rsidR="003A7B63" w:rsidRPr="008D2A10">
        <w:fldChar w:fldCharType="begin"/>
      </w:r>
      <w:r w:rsidR="003A7B63" w:rsidRPr="0043647C">
        <w:instrText xml:space="preserve"> REF _Ref31294445 \n \h </w:instrText>
      </w:r>
      <w:r w:rsidR="008D2A10">
        <w:instrText xml:space="preserve"> \* MERGEFORMAT </w:instrText>
      </w:r>
      <w:r w:rsidR="003A7B63" w:rsidRPr="008D2A10">
        <w:fldChar w:fldCharType="separate"/>
      </w:r>
      <w:r w:rsidR="00D75351">
        <w:t>4</w:t>
      </w:r>
      <w:r w:rsidR="003A7B63" w:rsidRPr="008D2A10">
        <w:fldChar w:fldCharType="end"/>
      </w:r>
      <w:r w:rsidR="003A7B63" w:rsidRPr="008D2A10">
        <w:t xml:space="preserve"> </w:t>
      </w:r>
      <w:r w:rsidR="00043881" w:rsidRPr="008D2A10">
        <w:t>of this report.</w:t>
      </w:r>
    </w:p>
    <w:p w14:paraId="31ED8B6D" w14:textId="7B4653F6" w:rsidR="00043881" w:rsidRDefault="00043881" w:rsidP="00043881">
      <w:pPr>
        <w:pStyle w:val="Caption"/>
      </w:pPr>
      <w:bookmarkStart w:id="167" w:name="_Ref31131082"/>
      <w:r>
        <w:t xml:space="preserve">Table </w:t>
      </w:r>
      <w:fldSimple w:instr=" SEQ Table \* ARABIC ">
        <w:r w:rsidR="00D75351">
          <w:rPr>
            <w:noProof/>
          </w:rPr>
          <w:t>9</w:t>
        </w:r>
      </w:fldSimple>
      <w:bookmarkEnd w:id="167"/>
      <w:r>
        <w:t>: Alignment of reported jurisdictional actions against National Framework outcomes</w:t>
      </w:r>
      <w:r w:rsidR="00B45566">
        <w:rPr>
          <w:rStyle w:val="FootnoteReference"/>
        </w:rPr>
        <w:footnoteReference w:id="40"/>
      </w:r>
    </w:p>
    <w:tbl>
      <w:tblPr>
        <w:tblStyle w:val="PwCColour"/>
        <w:tblW w:w="0" w:type="auto"/>
        <w:tblLook w:val="04A0" w:firstRow="1" w:lastRow="0" w:firstColumn="1" w:lastColumn="0" w:noHBand="0" w:noVBand="1"/>
        <w:tblCaption w:val="Table 9: Alignment of reported jurisdictional actions against National Framework outcomes"/>
        <w:tblDescription w:val="Number of actions by outcome and jurisdiction&#10;Outcome 1: Commonwealth 3, Australian Capital Territory 3, Victoria 0, New South Wales 1, Queensland 2, Northern Territory 3, South Australia 3, Western Australia 2. Tasmania 3 and Australia wide 20. &#10;Outcome 2:Commonwealth 1, Australian Capital Territory 3, Victoria 4, New South Wales 4, Queensland 4, Northern Territory 8, South Australia 5, Western Australia 2. Tasmania 3 and Australia wide 34. &#10;Outcome 3: Commonwealth 3, Australian Capital Territory 2, Victoria 3, New South Wales 3, Queensland 3, Northern Territory 5, South Australia 3, Western Australia 1, Tasmania 4 and Australia wide 27. &#10;Outcome 4: Commonwealth 5, Australian Capital Territory 2, Victoria 4, New South Wales 5, Queensland 4, Northern Territory 2, South Australia 3, Western Australia 4. Tasmania 4 and Australia wide 33.&#10;Outcome 5: Commonwealth 2, Australian Capital Territory 2, Victoria 3, New South Wales 1, Queensland 3, Northern Territory 3, South Australia 3, Western Australia 1. Tasmania 1 and Australia wide 19.&#10;Outcome 6: Commonwealth 1, Australian Capital Territory 1, Victoria 2, New South Wales 3, Queensland 3, Northern Territory 2, South Australia 4, Western Australia 3. Tasmania 0 and Australia wide 19.&#10;"/>
      </w:tblPr>
      <w:tblGrid>
        <w:gridCol w:w="1303"/>
        <w:gridCol w:w="1175"/>
        <w:gridCol w:w="855"/>
        <w:gridCol w:w="801"/>
        <w:gridCol w:w="923"/>
        <w:gridCol w:w="825"/>
        <w:gridCol w:w="779"/>
        <w:gridCol w:w="787"/>
        <w:gridCol w:w="826"/>
        <w:gridCol w:w="823"/>
        <w:gridCol w:w="758"/>
      </w:tblGrid>
      <w:tr w:rsidR="00043881" w14:paraId="26B232AB" w14:textId="77777777" w:rsidTr="0038246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03" w:type="dxa"/>
          </w:tcPr>
          <w:p w14:paraId="010AA274" w14:textId="77777777" w:rsidR="00043881" w:rsidRPr="007F5426" w:rsidRDefault="00043881" w:rsidP="00382461">
            <w:pPr>
              <w:pStyle w:val="PwCNormal"/>
              <w:rPr>
                <w:b/>
              </w:rPr>
            </w:pPr>
            <w:r w:rsidRPr="007F5426">
              <w:rPr>
                <w:b/>
              </w:rPr>
              <w:t>Supporting outcomes</w:t>
            </w:r>
          </w:p>
        </w:tc>
        <w:tc>
          <w:tcPr>
            <w:tcW w:w="1175" w:type="dxa"/>
          </w:tcPr>
          <w:p w14:paraId="1006E50E" w14:textId="77777777" w:rsidR="00043881" w:rsidRPr="007F5426" w:rsidRDefault="00043881" w:rsidP="00382461">
            <w:pPr>
              <w:pStyle w:val="PwCNormal"/>
              <w:cnfStyle w:val="100000000000" w:firstRow="1" w:lastRow="0" w:firstColumn="0" w:lastColumn="0" w:oddVBand="0" w:evenVBand="0" w:oddHBand="0" w:evenHBand="0" w:firstRowFirstColumn="0" w:firstRowLastColumn="0" w:lastRowFirstColumn="0" w:lastRowLastColumn="0"/>
              <w:rPr>
                <w:b/>
              </w:rPr>
            </w:pPr>
            <w:r w:rsidRPr="007F5426">
              <w:rPr>
                <w:b/>
              </w:rPr>
              <w:t>C’wealth</w:t>
            </w:r>
          </w:p>
        </w:tc>
        <w:tc>
          <w:tcPr>
            <w:tcW w:w="855" w:type="dxa"/>
          </w:tcPr>
          <w:p w14:paraId="738E044E" w14:textId="77777777" w:rsidR="00043881" w:rsidRPr="007F5426" w:rsidRDefault="00043881" w:rsidP="00382461">
            <w:pPr>
              <w:pStyle w:val="PwCNormal"/>
              <w:cnfStyle w:val="100000000000" w:firstRow="1" w:lastRow="0" w:firstColumn="0" w:lastColumn="0" w:oddVBand="0" w:evenVBand="0" w:oddHBand="0" w:evenHBand="0" w:firstRowFirstColumn="0" w:firstRowLastColumn="0" w:lastRowFirstColumn="0" w:lastRowLastColumn="0"/>
              <w:rPr>
                <w:b/>
              </w:rPr>
            </w:pPr>
            <w:r w:rsidRPr="007F5426">
              <w:rPr>
                <w:b/>
              </w:rPr>
              <w:t>ACT</w:t>
            </w:r>
          </w:p>
        </w:tc>
        <w:tc>
          <w:tcPr>
            <w:tcW w:w="801" w:type="dxa"/>
          </w:tcPr>
          <w:p w14:paraId="2A480ED9" w14:textId="77777777" w:rsidR="00043881" w:rsidRPr="007F5426" w:rsidRDefault="00043881" w:rsidP="00382461">
            <w:pPr>
              <w:pStyle w:val="PwCNormal"/>
              <w:cnfStyle w:val="100000000000" w:firstRow="1" w:lastRow="0" w:firstColumn="0" w:lastColumn="0" w:oddVBand="0" w:evenVBand="0" w:oddHBand="0" w:evenHBand="0" w:firstRowFirstColumn="0" w:firstRowLastColumn="0" w:lastRowFirstColumn="0" w:lastRowLastColumn="0"/>
              <w:rPr>
                <w:b/>
              </w:rPr>
            </w:pPr>
            <w:r w:rsidRPr="007F5426">
              <w:rPr>
                <w:b/>
              </w:rPr>
              <w:t>Vic</w:t>
            </w:r>
          </w:p>
        </w:tc>
        <w:tc>
          <w:tcPr>
            <w:tcW w:w="923" w:type="dxa"/>
          </w:tcPr>
          <w:p w14:paraId="296E6949" w14:textId="77777777" w:rsidR="00043881" w:rsidRPr="007F5426" w:rsidRDefault="00043881" w:rsidP="00382461">
            <w:pPr>
              <w:pStyle w:val="PwCNormal"/>
              <w:cnfStyle w:val="100000000000" w:firstRow="1" w:lastRow="0" w:firstColumn="0" w:lastColumn="0" w:oddVBand="0" w:evenVBand="0" w:oddHBand="0" w:evenHBand="0" w:firstRowFirstColumn="0" w:firstRowLastColumn="0" w:lastRowFirstColumn="0" w:lastRowLastColumn="0"/>
              <w:rPr>
                <w:b/>
              </w:rPr>
            </w:pPr>
            <w:r w:rsidRPr="007F5426">
              <w:rPr>
                <w:b/>
              </w:rPr>
              <w:t>NSW</w:t>
            </w:r>
          </w:p>
        </w:tc>
        <w:tc>
          <w:tcPr>
            <w:tcW w:w="825" w:type="dxa"/>
          </w:tcPr>
          <w:p w14:paraId="0BC9CFD1" w14:textId="77777777" w:rsidR="00043881" w:rsidRPr="007F5426" w:rsidRDefault="00043881" w:rsidP="00382461">
            <w:pPr>
              <w:pStyle w:val="PwCNormal"/>
              <w:cnfStyle w:val="100000000000" w:firstRow="1" w:lastRow="0" w:firstColumn="0" w:lastColumn="0" w:oddVBand="0" w:evenVBand="0" w:oddHBand="0" w:evenHBand="0" w:firstRowFirstColumn="0" w:firstRowLastColumn="0" w:lastRowFirstColumn="0" w:lastRowLastColumn="0"/>
              <w:rPr>
                <w:b/>
              </w:rPr>
            </w:pPr>
            <w:r w:rsidRPr="007F5426">
              <w:rPr>
                <w:b/>
              </w:rPr>
              <w:t>Qld</w:t>
            </w:r>
          </w:p>
        </w:tc>
        <w:tc>
          <w:tcPr>
            <w:tcW w:w="779" w:type="dxa"/>
          </w:tcPr>
          <w:p w14:paraId="5836448A" w14:textId="77777777" w:rsidR="00043881" w:rsidRPr="007F5426" w:rsidRDefault="00043881" w:rsidP="00382461">
            <w:pPr>
              <w:pStyle w:val="PwCNormal"/>
              <w:cnfStyle w:val="100000000000" w:firstRow="1" w:lastRow="0" w:firstColumn="0" w:lastColumn="0" w:oddVBand="0" w:evenVBand="0" w:oddHBand="0" w:evenHBand="0" w:firstRowFirstColumn="0" w:firstRowLastColumn="0" w:lastRowFirstColumn="0" w:lastRowLastColumn="0"/>
              <w:rPr>
                <w:b/>
              </w:rPr>
            </w:pPr>
            <w:r w:rsidRPr="007F5426">
              <w:rPr>
                <w:b/>
              </w:rPr>
              <w:t>NT</w:t>
            </w:r>
          </w:p>
        </w:tc>
        <w:tc>
          <w:tcPr>
            <w:tcW w:w="787" w:type="dxa"/>
          </w:tcPr>
          <w:p w14:paraId="34F04424" w14:textId="77777777" w:rsidR="00043881" w:rsidRPr="007F5426" w:rsidRDefault="00043881" w:rsidP="00382461">
            <w:pPr>
              <w:pStyle w:val="PwCNormal"/>
              <w:cnfStyle w:val="100000000000" w:firstRow="1" w:lastRow="0" w:firstColumn="0" w:lastColumn="0" w:oddVBand="0" w:evenVBand="0" w:oddHBand="0" w:evenHBand="0" w:firstRowFirstColumn="0" w:firstRowLastColumn="0" w:lastRowFirstColumn="0" w:lastRowLastColumn="0"/>
              <w:rPr>
                <w:b/>
              </w:rPr>
            </w:pPr>
            <w:r w:rsidRPr="007F5426">
              <w:rPr>
                <w:b/>
              </w:rPr>
              <w:t>SA</w:t>
            </w:r>
          </w:p>
        </w:tc>
        <w:tc>
          <w:tcPr>
            <w:tcW w:w="826" w:type="dxa"/>
          </w:tcPr>
          <w:p w14:paraId="0072E309" w14:textId="77777777" w:rsidR="00043881" w:rsidRPr="007F5426" w:rsidRDefault="00043881" w:rsidP="00382461">
            <w:pPr>
              <w:pStyle w:val="PwCNormal"/>
              <w:cnfStyle w:val="100000000000" w:firstRow="1" w:lastRow="0" w:firstColumn="0" w:lastColumn="0" w:oddVBand="0" w:evenVBand="0" w:oddHBand="0" w:evenHBand="0" w:firstRowFirstColumn="0" w:firstRowLastColumn="0" w:lastRowFirstColumn="0" w:lastRowLastColumn="0"/>
              <w:rPr>
                <w:b/>
              </w:rPr>
            </w:pPr>
            <w:r w:rsidRPr="007F5426">
              <w:rPr>
                <w:b/>
              </w:rPr>
              <w:t>WA</w:t>
            </w:r>
          </w:p>
        </w:tc>
        <w:tc>
          <w:tcPr>
            <w:tcW w:w="823" w:type="dxa"/>
          </w:tcPr>
          <w:p w14:paraId="527C8E76" w14:textId="77777777" w:rsidR="00043881" w:rsidRPr="007F5426" w:rsidRDefault="00043881" w:rsidP="00382461">
            <w:pPr>
              <w:pStyle w:val="PwCNormal"/>
              <w:cnfStyle w:val="100000000000" w:firstRow="1" w:lastRow="0" w:firstColumn="0" w:lastColumn="0" w:oddVBand="0" w:evenVBand="0" w:oddHBand="0" w:evenHBand="0" w:firstRowFirstColumn="0" w:firstRowLastColumn="0" w:lastRowFirstColumn="0" w:lastRowLastColumn="0"/>
              <w:rPr>
                <w:b/>
              </w:rPr>
            </w:pPr>
            <w:r w:rsidRPr="007F5426">
              <w:rPr>
                <w:b/>
              </w:rPr>
              <w:t>Tas</w:t>
            </w:r>
          </w:p>
        </w:tc>
        <w:tc>
          <w:tcPr>
            <w:tcW w:w="758" w:type="dxa"/>
          </w:tcPr>
          <w:p w14:paraId="0F721592" w14:textId="77777777" w:rsidR="00043881" w:rsidRPr="007F5426" w:rsidRDefault="00043881" w:rsidP="00382461">
            <w:pPr>
              <w:pStyle w:val="PwCNormal"/>
              <w:cnfStyle w:val="100000000000" w:firstRow="1" w:lastRow="0" w:firstColumn="0" w:lastColumn="0" w:oddVBand="0" w:evenVBand="0" w:oddHBand="0" w:evenHBand="0" w:firstRowFirstColumn="0" w:firstRowLastColumn="0" w:lastRowFirstColumn="0" w:lastRowLastColumn="0"/>
              <w:rPr>
                <w:b/>
              </w:rPr>
            </w:pPr>
            <w:r>
              <w:rPr>
                <w:b/>
              </w:rPr>
              <w:t>Total</w:t>
            </w:r>
          </w:p>
        </w:tc>
      </w:tr>
      <w:tr w:rsidR="00043881" w14:paraId="767C95A6" w14:textId="77777777" w:rsidTr="00093E98">
        <w:trPr>
          <w:trHeight w:val="460"/>
        </w:trPr>
        <w:tc>
          <w:tcPr>
            <w:tcW w:w="1303" w:type="dxa"/>
            <w:vAlign w:val="center"/>
          </w:tcPr>
          <w:p w14:paraId="1D4E9F8B" w14:textId="77777777" w:rsidR="00043881" w:rsidRPr="00E43889" w:rsidRDefault="00043881" w:rsidP="00093E98">
            <w:pPr>
              <w:pStyle w:val="TableTextSmall"/>
              <w:jc w:val="center"/>
            </w:pPr>
            <w:r w:rsidRPr="00E43889">
              <w:t>Outcome 1</w:t>
            </w:r>
          </w:p>
        </w:tc>
        <w:tc>
          <w:tcPr>
            <w:tcW w:w="1175" w:type="dxa"/>
            <w:vAlign w:val="center"/>
          </w:tcPr>
          <w:p w14:paraId="6C4B4DAB" w14:textId="77777777" w:rsidR="00043881" w:rsidRPr="00C00FA9" w:rsidRDefault="00245473" w:rsidP="00093E98">
            <w:pPr>
              <w:pStyle w:val="TableTextSmall"/>
              <w:jc w:val="center"/>
            </w:pPr>
            <w:r>
              <w:t>3</w:t>
            </w:r>
          </w:p>
        </w:tc>
        <w:tc>
          <w:tcPr>
            <w:tcW w:w="855" w:type="dxa"/>
            <w:vAlign w:val="center"/>
          </w:tcPr>
          <w:p w14:paraId="1FEF7F7A" w14:textId="77777777" w:rsidR="00043881" w:rsidRPr="00AF1167" w:rsidRDefault="00043881" w:rsidP="00093E98">
            <w:pPr>
              <w:pStyle w:val="TableTextSmall"/>
              <w:jc w:val="center"/>
            </w:pPr>
            <w:r>
              <w:t>3</w:t>
            </w:r>
          </w:p>
        </w:tc>
        <w:tc>
          <w:tcPr>
            <w:tcW w:w="801" w:type="dxa"/>
            <w:vAlign w:val="center"/>
          </w:tcPr>
          <w:p w14:paraId="41FA2397" w14:textId="77777777" w:rsidR="00043881" w:rsidRPr="00AF1167" w:rsidRDefault="00043881" w:rsidP="00093E98">
            <w:pPr>
              <w:pStyle w:val="TableTextSmall"/>
              <w:jc w:val="center"/>
            </w:pPr>
            <w:r>
              <w:t>0</w:t>
            </w:r>
          </w:p>
        </w:tc>
        <w:tc>
          <w:tcPr>
            <w:tcW w:w="923" w:type="dxa"/>
            <w:vAlign w:val="center"/>
          </w:tcPr>
          <w:p w14:paraId="34344181" w14:textId="77777777" w:rsidR="00043881" w:rsidRPr="00AF1167" w:rsidRDefault="00043881" w:rsidP="00093E98">
            <w:pPr>
              <w:pStyle w:val="TableTextSmall"/>
              <w:jc w:val="center"/>
            </w:pPr>
            <w:r>
              <w:t>1</w:t>
            </w:r>
          </w:p>
        </w:tc>
        <w:tc>
          <w:tcPr>
            <w:tcW w:w="825" w:type="dxa"/>
            <w:vAlign w:val="center"/>
          </w:tcPr>
          <w:p w14:paraId="53C1D00C" w14:textId="77777777" w:rsidR="00043881" w:rsidRPr="00AF1167" w:rsidRDefault="00043881" w:rsidP="00093E98">
            <w:pPr>
              <w:pStyle w:val="TableTextSmall"/>
              <w:jc w:val="center"/>
            </w:pPr>
            <w:r>
              <w:t>2</w:t>
            </w:r>
          </w:p>
        </w:tc>
        <w:tc>
          <w:tcPr>
            <w:tcW w:w="779" w:type="dxa"/>
            <w:vAlign w:val="center"/>
          </w:tcPr>
          <w:p w14:paraId="4D574290" w14:textId="77777777" w:rsidR="00043881" w:rsidRPr="00AF1167" w:rsidRDefault="00043881" w:rsidP="00093E98">
            <w:pPr>
              <w:pStyle w:val="TableTextSmall"/>
              <w:jc w:val="center"/>
            </w:pPr>
            <w:r>
              <w:t>3</w:t>
            </w:r>
          </w:p>
        </w:tc>
        <w:tc>
          <w:tcPr>
            <w:tcW w:w="787" w:type="dxa"/>
            <w:vAlign w:val="center"/>
          </w:tcPr>
          <w:p w14:paraId="27A15EDD" w14:textId="77777777" w:rsidR="00043881" w:rsidRPr="00AF1167" w:rsidRDefault="00043881" w:rsidP="00093E98">
            <w:pPr>
              <w:pStyle w:val="TableTextSmall"/>
              <w:jc w:val="center"/>
            </w:pPr>
            <w:r>
              <w:t>3</w:t>
            </w:r>
          </w:p>
        </w:tc>
        <w:tc>
          <w:tcPr>
            <w:tcW w:w="826" w:type="dxa"/>
            <w:vAlign w:val="center"/>
          </w:tcPr>
          <w:p w14:paraId="74C101E0" w14:textId="77777777" w:rsidR="00043881" w:rsidRPr="00AF1167" w:rsidRDefault="00043881" w:rsidP="00093E98">
            <w:pPr>
              <w:pStyle w:val="TableTextSmall"/>
              <w:jc w:val="center"/>
            </w:pPr>
            <w:r>
              <w:t>2</w:t>
            </w:r>
          </w:p>
        </w:tc>
        <w:tc>
          <w:tcPr>
            <w:tcW w:w="823" w:type="dxa"/>
            <w:vAlign w:val="center"/>
          </w:tcPr>
          <w:p w14:paraId="2B71D40E" w14:textId="77777777" w:rsidR="00043881" w:rsidRPr="00AF1167" w:rsidRDefault="00043881" w:rsidP="00093E98">
            <w:pPr>
              <w:pStyle w:val="TableTextSmall"/>
              <w:jc w:val="center"/>
            </w:pPr>
            <w:r>
              <w:t>3</w:t>
            </w:r>
          </w:p>
        </w:tc>
        <w:tc>
          <w:tcPr>
            <w:tcW w:w="758" w:type="dxa"/>
            <w:vAlign w:val="center"/>
          </w:tcPr>
          <w:p w14:paraId="48E0E34B" w14:textId="77777777" w:rsidR="00043881" w:rsidRPr="00580EB4" w:rsidRDefault="00245473" w:rsidP="00093E98">
            <w:pPr>
              <w:pStyle w:val="TableTextSmall"/>
              <w:jc w:val="center"/>
            </w:pPr>
            <w:r>
              <w:t>20</w:t>
            </w:r>
          </w:p>
        </w:tc>
      </w:tr>
      <w:tr w:rsidR="00043881" w14:paraId="069BD3ED" w14:textId="77777777" w:rsidTr="00093E98">
        <w:trPr>
          <w:trHeight w:val="460"/>
        </w:trPr>
        <w:tc>
          <w:tcPr>
            <w:tcW w:w="1303" w:type="dxa"/>
            <w:vAlign w:val="center"/>
          </w:tcPr>
          <w:p w14:paraId="2486069B" w14:textId="77777777" w:rsidR="00043881" w:rsidRPr="00E43889" w:rsidRDefault="00043881" w:rsidP="00093E98">
            <w:pPr>
              <w:pStyle w:val="TableTextSmall"/>
              <w:jc w:val="center"/>
            </w:pPr>
            <w:r w:rsidRPr="00E43889">
              <w:t>Outcome 2</w:t>
            </w:r>
          </w:p>
        </w:tc>
        <w:tc>
          <w:tcPr>
            <w:tcW w:w="1175" w:type="dxa"/>
            <w:vAlign w:val="center"/>
          </w:tcPr>
          <w:p w14:paraId="44B8212E" w14:textId="77777777" w:rsidR="00043881" w:rsidRPr="00383D90" w:rsidRDefault="00FB6B92" w:rsidP="00093E98">
            <w:pPr>
              <w:pStyle w:val="TableTextSmall"/>
              <w:jc w:val="center"/>
            </w:pPr>
            <w:r>
              <w:t>1</w:t>
            </w:r>
          </w:p>
        </w:tc>
        <w:tc>
          <w:tcPr>
            <w:tcW w:w="855" w:type="dxa"/>
            <w:vAlign w:val="center"/>
          </w:tcPr>
          <w:p w14:paraId="66DDB661" w14:textId="77777777" w:rsidR="00043881" w:rsidRPr="00E43889" w:rsidRDefault="00043881" w:rsidP="00093E98">
            <w:pPr>
              <w:pStyle w:val="TableTextSmall"/>
              <w:jc w:val="center"/>
            </w:pPr>
            <w:r>
              <w:t>3</w:t>
            </w:r>
          </w:p>
        </w:tc>
        <w:tc>
          <w:tcPr>
            <w:tcW w:w="801" w:type="dxa"/>
            <w:vAlign w:val="center"/>
          </w:tcPr>
          <w:p w14:paraId="62AA8AD1" w14:textId="77777777" w:rsidR="00043881" w:rsidRPr="00E43889" w:rsidRDefault="00043881" w:rsidP="00093E98">
            <w:pPr>
              <w:pStyle w:val="TableTextSmall"/>
              <w:jc w:val="center"/>
            </w:pPr>
            <w:r>
              <w:t>4</w:t>
            </w:r>
          </w:p>
        </w:tc>
        <w:tc>
          <w:tcPr>
            <w:tcW w:w="923" w:type="dxa"/>
            <w:vAlign w:val="center"/>
          </w:tcPr>
          <w:p w14:paraId="439C5D20" w14:textId="77777777" w:rsidR="00043881" w:rsidRPr="00E43889" w:rsidRDefault="00043881" w:rsidP="00093E98">
            <w:pPr>
              <w:pStyle w:val="TableTextSmall"/>
              <w:jc w:val="center"/>
            </w:pPr>
            <w:r>
              <w:t>4</w:t>
            </w:r>
          </w:p>
        </w:tc>
        <w:tc>
          <w:tcPr>
            <w:tcW w:w="825" w:type="dxa"/>
            <w:vAlign w:val="center"/>
          </w:tcPr>
          <w:p w14:paraId="60AD6F5D" w14:textId="77777777" w:rsidR="00043881" w:rsidRPr="00E43889" w:rsidRDefault="00FB6B92" w:rsidP="00093E98">
            <w:pPr>
              <w:pStyle w:val="TableTextSmall"/>
              <w:jc w:val="center"/>
            </w:pPr>
            <w:r>
              <w:t>4</w:t>
            </w:r>
          </w:p>
        </w:tc>
        <w:tc>
          <w:tcPr>
            <w:tcW w:w="779" w:type="dxa"/>
            <w:vAlign w:val="center"/>
          </w:tcPr>
          <w:p w14:paraId="78961B59" w14:textId="77777777" w:rsidR="00043881" w:rsidRPr="00E43889" w:rsidRDefault="00FB6B92" w:rsidP="00093E98">
            <w:pPr>
              <w:pStyle w:val="TableTextSmall"/>
              <w:jc w:val="center"/>
            </w:pPr>
            <w:r>
              <w:t>8</w:t>
            </w:r>
          </w:p>
        </w:tc>
        <w:tc>
          <w:tcPr>
            <w:tcW w:w="787" w:type="dxa"/>
            <w:vAlign w:val="center"/>
          </w:tcPr>
          <w:p w14:paraId="31A419FF" w14:textId="77777777" w:rsidR="00043881" w:rsidRPr="00E43889" w:rsidRDefault="00043881" w:rsidP="00093E98">
            <w:pPr>
              <w:pStyle w:val="TableTextSmall"/>
              <w:jc w:val="center"/>
            </w:pPr>
            <w:r>
              <w:t>5</w:t>
            </w:r>
          </w:p>
        </w:tc>
        <w:tc>
          <w:tcPr>
            <w:tcW w:w="826" w:type="dxa"/>
            <w:vAlign w:val="center"/>
          </w:tcPr>
          <w:p w14:paraId="7F861E6E" w14:textId="77777777" w:rsidR="00043881" w:rsidRPr="00E43889" w:rsidRDefault="00043881" w:rsidP="00093E98">
            <w:pPr>
              <w:pStyle w:val="TableTextSmall"/>
              <w:jc w:val="center"/>
            </w:pPr>
            <w:r>
              <w:t>2</w:t>
            </w:r>
          </w:p>
        </w:tc>
        <w:tc>
          <w:tcPr>
            <w:tcW w:w="823" w:type="dxa"/>
            <w:vAlign w:val="center"/>
          </w:tcPr>
          <w:p w14:paraId="574A5726" w14:textId="77777777" w:rsidR="00043881" w:rsidRPr="00E43889" w:rsidRDefault="00FB6B92" w:rsidP="00093E98">
            <w:pPr>
              <w:pStyle w:val="TableTextSmall"/>
              <w:jc w:val="center"/>
            </w:pPr>
            <w:r>
              <w:t>3</w:t>
            </w:r>
          </w:p>
        </w:tc>
        <w:tc>
          <w:tcPr>
            <w:tcW w:w="758" w:type="dxa"/>
            <w:vAlign w:val="center"/>
          </w:tcPr>
          <w:p w14:paraId="59FE29F0" w14:textId="77777777" w:rsidR="00043881" w:rsidRPr="00580EB4" w:rsidRDefault="00043881" w:rsidP="00093E98">
            <w:pPr>
              <w:pStyle w:val="TableTextSmall"/>
              <w:jc w:val="center"/>
            </w:pPr>
            <w:r w:rsidRPr="00580EB4">
              <w:t>3</w:t>
            </w:r>
            <w:r w:rsidR="00FB6B92">
              <w:t>4</w:t>
            </w:r>
          </w:p>
        </w:tc>
      </w:tr>
      <w:tr w:rsidR="00043881" w14:paraId="59B7B0BA" w14:textId="77777777" w:rsidTr="00093E98">
        <w:trPr>
          <w:trHeight w:val="460"/>
        </w:trPr>
        <w:tc>
          <w:tcPr>
            <w:tcW w:w="1303" w:type="dxa"/>
            <w:vAlign w:val="center"/>
          </w:tcPr>
          <w:p w14:paraId="231DE89E" w14:textId="77777777" w:rsidR="00043881" w:rsidRPr="00E43889" w:rsidRDefault="00043881" w:rsidP="00093E98">
            <w:pPr>
              <w:pStyle w:val="TableTextSmall"/>
              <w:jc w:val="center"/>
            </w:pPr>
            <w:r w:rsidRPr="00E43889">
              <w:t>Outcome 3</w:t>
            </w:r>
          </w:p>
        </w:tc>
        <w:tc>
          <w:tcPr>
            <w:tcW w:w="1175" w:type="dxa"/>
            <w:vAlign w:val="center"/>
          </w:tcPr>
          <w:p w14:paraId="4D71ADBE" w14:textId="77777777" w:rsidR="00043881" w:rsidRPr="00383D90" w:rsidRDefault="00043881" w:rsidP="00093E98">
            <w:pPr>
              <w:pStyle w:val="TableTextSmall"/>
              <w:jc w:val="center"/>
            </w:pPr>
            <w:r>
              <w:t>3</w:t>
            </w:r>
          </w:p>
        </w:tc>
        <w:tc>
          <w:tcPr>
            <w:tcW w:w="855" w:type="dxa"/>
            <w:vAlign w:val="center"/>
          </w:tcPr>
          <w:p w14:paraId="1D2342A5" w14:textId="77777777" w:rsidR="00043881" w:rsidRPr="00383D90" w:rsidRDefault="00043881" w:rsidP="00093E98">
            <w:pPr>
              <w:pStyle w:val="TableTextSmall"/>
              <w:jc w:val="center"/>
            </w:pPr>
            <w:r>
              <w:t>2</w:t>
            </w:r>
          </w:p>
        </w:tc>
        <w:tc>
          <w:tcPr>
            <w:tcW w:w="801" w:type="dxa"/>
            <w:vAlign w:val="center"/>
          </w:tcPr>
          <w:p w14:paraId="6CC067A4" w14:textId="77777777" w:rsidR="00043881" w:rsidRPr="00383D90" w:rsidRDefault="00043881" w:rsidP="00093E98">
            <w:pPr>
              <w:pStyle w:val="TableTextSmall"/>
              <w:jc w:val="center"/>
            </w:pPr>
            <w:r>
              <w:t>3</w:t>
            </w:r>
          </w:p>
        </w:tc>
        <w:tc>
          <w:tcPr>
            <w:tcW w:w="923" w:type="dxa"/>
            <w:vAlign w:val="center"/>
          </w:tcPr>
          <w:p w14:paraId="2C54E528" w14:textId="77777777" w:rsidR="00043881" w:rsidRPr="00383D90" w:rsidRDefault="00043881" w:rsidP="00093E98">
            <w:pPr>
              <w:pStyle w:val="TableTextSmall"/>
              <w:jc w:val="center"/>
            </w:pPr>
            <w:r>
              <w:t>3</w:t>
            </w:r>
          </w:p>
        </w:tc>
        <w:tc>
          <w:tcPr>
            <w:tcW w:w="825" w:type="dxa"/>
            <w:vAlign w:val="center"/>
          </w:tcPr>
          <w:p w14:paraId="4FE7FCA2" w14:textId="77777777" w:rsidR="00043881" w:rsidRPr="00383D90" w:rsidRDefault="00043881" w:rsidP="00093E98">
            <w:pPr>
              <w:pStyle w:val="TableTextSmall"/>
              <w:jc w:val="center"/>
            </w:pPr>
            <w:r>
              <w:t>3</w:t>
            </w:r>
          </w:p>
        </w:tc>
        <w:tc>
          <w:tcPr>
            <w:tcW w:w="779" w:type="dxa"/>
            <w:vAlign w:val="center"/>
          </w:tcPr>
          <w:p w14:paraId="11D3A92C" w14:textId="77777777" w:rsidR="00043881" w:rsidRPr="00383D90" w:rsidRDefault="00FB6B92" w:rsidP="00093E98">
            <w:pPr>
              <w:pStyle w:val="TableTextSmall"/>
              <w:jc w:val="center"/>
            </w:pPr>
            <w:r>
              <w:t>5</w:t>
            </w:r>
          </w:p>
        </w:tc>
        <w:tc>
          <w:tcPr>
            <w:tcW w:w="787" w:type="dxa"/>
            <w:vAlign w:val="center"/>
          </w:tcPr>
          <w:p w14:paraId="000DBA0E" w14:textId="77777777" w:rsidR="00043881" w:rsidRPr="00383D90" w:rsidRDefault="00FB6B92" w:rsidP="00093E98">
            <w:pPr>
              <w:pStyle w:val="TableTextSmall"/>
              <w:jc w:val="center"/>
            </w:pPr>
            <w:r>
              <w:t>3</w:t>
            </w:r>
          </w:p>
        </w:tc>
        <w:tc>
          <w:tcPr>
            <w:tcW w:w="826" w:type="dxa"/>
            <w:vAlign w:val="center"/>
          </w:tcPr>
          <w:p w14:paraId="29A75FFD" w14:textId="77777777" w:rsidR="00043881" w:rsidRDefault="00043881" w:rsidP="00093E98">
            <w:pPr>
              <w:pStyle w:val="TableTextSmall"/>
              <w:jc w:val="center"/>
            </w:pPr>
            <w:r>
              <w:t>1</w:t>
            </w:r>
          </w:p>
        </w:tc>
        <w:tc>
          <w:tcPr>
            <w:tcW w:w="823" w:type="dxa"/>
            <w:vAlign w:val="center"/>
          </w:tcPr>
          <w:p w14:paraId="151A2988" w14:textId="77777777" w:rsidR="00043881" w:rsidRDefault="00043881" w:rsidP="00093E98">
            <w:pPr>
              <w:pStyle w:val="TableTextSmall"/>
              <w:jc w:val="center"/>
            </w:pPr>
            <w:r>
              <w:t>4</w:t>
            </w:r>
          </w:p>
        </w:tc>
        <w:tc>
          <w:tcPr>
            <w:tcW w:w="758" w:type="dxa"/>
            <w:vAlign w:val="center"/>
          </w:tcPr>
          <w:p w14:paraId="27B8057F" w14:textId="77777777" w:rsidR="00043881" w:rsidRPr="00580EB4" w:rsidRDefault="00FB6B92" w:rsidP="00093E98">
            <w:pPr>
              <w:pStyle w:val="TableTextSmall"/>
              <w:jc w:val="center"/>
            </w:pPr>
            <w:r>
              <w:t>27</w:t>
            </w:r>
          </w:p>
        </w:tc>
      </w:tr>
      <w:tr w:rsidR="00043881" w14:paraId="615A9BF9" w14:textId="77777777" w:rsidTr="00093E98">
        <w:trPr>
          <w:trHeight w:val="460"/>
        </w:trPr>
        <w:tc>
          <w:tcPr>
            <w:tcW w:w="1303" w:type="dxa"/>
            <w:vAlign w:val="center"/>
          </w:tcPr>
          <w:p w14:paraId="7703B65E" w14:textId="77777777" w:rsidR="00043881" w:rsidRPr="00E43889" w:rsidRDefault="00043881" w:rsidP="00093E98">
            <w:pPr>
              <w:pStyle w:val="TableTextSmall"/>
              <w:jc w:val="center"/>
            </w:pPr>
            <w:r w:rsidRPr="00E43889">
              <w:t>Outcome 4</w:t>
            </w:r>
          </w:p>
        </w:tc>
        <w:tc>
          <w:tcPr>
            <w:tcW w:w="1175" w:type="dxa"/>
            <w:vAlign w:val="center"/>
          </w:tcPr>
          <w:p w14:paraId="64783C71" w14:textId="77777777" w:rsidR="00043881" w:rsidRPr="00383D90" w:rsidRDefault="00FB6B92" w:rsidP="00093E98">
            <w:pPr>
              <w:pStyle w:val="TableTextSmall"/>
              <w:jc w:val="center"/>
            </w:pPr>
            <w:r>
              <w:t>5</w:t>
            </w:r>
          </w:p>
        </w:tc>
        <w:tc>
          <w:tcPr>
            <w:tcW w:w="855" w:type="dxa"/>
            <w:vAlign w:val="center"/>
          </w:tcPr>
          <w:p w14:paraId="73B3A479" w14:textId="77777777" w:rsidR="00043881" w:rsidRPr="00383D90" w:rsidRDefault="00043881" w:rsidP="00093E98">
            <w:pPr>
              <w:pStyle w:val="TableTextSmall"/>
              <w:jc w:val="center"/>
            </w:pPr>
            <w:r>
              <w:t>2</w:t>
            </w:r>
          </w:p>
        </w:tc>
        <w:tc>
          <w:tcPr>
            <w:tcW w:w="801" w:type="dxa"/>
            <w:vAlign w:val="center"/>
          </w:tcPr>
          <w:p w14:paraId="4DB9A59A" w14:textId="77777777" w:rsidR="00043881" w:rsidRPr="00383D90" w:rsidRDefault="00043881" w:rsidP="00093E98">
            <w:pPr>
              <w:pStyle w:val="TableTextSmall"/>
              <w:jc w:val="center"/>
            </w:pPr>
            <w:r>
              <w:t>4</w:t>
            </w:r>
          </w:p>
        </w:tc>
        <w:tc>
          <w:tcPr>
            <w:tcW w:w="923" w:type="dxa"/>
            <w:vAlign w:val="center"/>
          </w:tcPr>
          <w:p w14:paraId="6612D14C" w14:textId="77777777" w:rsidR="00043881" w:rsidRPr="00383D90" w:rsidRDefault="00FB6B92" w:rsidP="00093E98">
            <w:pPr>
              <w:pStyle w:val="TableTextSmall"/>
              <w:jc w:val="center"/>
            </w:pPr>
            <w:r>
              <w:t>5</w:t>
            </w:r>
          </w:p>
        </w:tc>
        <w:tc>
          <w:tcPr>
            <w:tcW w:w="825" w:type="dxa"/>
            <w:vAlign w:val="center"/>
          </w:tcPr>
          <w:p w14:paraId="7AF42DF7" w14:textId="77777777" w:rsidR="00043881" w:rsidRPr="00383D90" w:rsidRDefault="00043881" w:rsidP="00093E98">
            <w:pPr>
              <w:pStyle w:val="TableTextSmall"/>
              <w:jc w:val="center"/>
            </w:pPr>
            <w:r>
              <w:t>4</w:t>
            </w:r>
          </w:p>
        </w:tc>
        <w:tc>
          <w:tcPr>
            <w:tcW w:w="779" w:type="dxa"/>
            <w:vAlign w:val="center"/>
          </w:tcPr>
          <w:p w14:paraId="04946960" w14:textId="77777777" w:rsidR="00043881" w:rsidRPr="00383D90" w:rsidRDefault="00043881" w:rsidP="00093E98">
            <w:pPr>
              <w:pStyle w:val="TableTextSmall"/>
              <w:jc w:val="center"/>
            </w:pPr>
            <w:r>
              <w:t>2</w:t>
            </w:r>
          </w:p>
        </w:tc>
        <w:tc>
          <w:tcPr>
            <w:tcW w:w="787" w:type="dxa"/>
            <w:vAlign w:val="center"/>
          </w:tcPr>
          <w:p w14:paraId="4C9B391A" w14:textId="77777777" w:rsidR="00043881" w:rsidRPr="00383D90" w:rsidRDefault="00043881" w:rsidP="00093E98">
            <w:pPr>
              <w:pStyle w:val="TableTextSmall"/>
              <w:jc w:val="center"/>
            </w:pPr>
            <w:r>
              <w:t>3</w:t>
            </w:r>
          </w:p>
        </w:tc>
        <w:tc>
          <w:tcPr>
            <w:tcW w:w="826" w:type="dxa"/>
            <w:vAlign w:val="center"/>
          </w:tcPr>
          <w:p w14:paraId="79EA813E" w14:textId="77777777" w:rsidR="00043881" w:rsidRDefault="00043881" w:rsidP="00093E98">
            <w:pPr>
              <w:pStyle w:val="TableTextSmall"/>
              <w:jc w:val="center"/>
            </w:pPr>
            <w:r>
              <w:t>4</w:t>
            </w:r>
          </w:p>
        </w:tc>
        <w:tc>
          <w:tcPr>
            <w:tcW w:w="823" w:type="dxa"/>
            <w:vAlign w:val="center"/>
          </w:tcPr>
          <w:p w14:paraId="346D2FD2" w14:textId="77777777" w:rsidR="00043881" w:rsidRDefault="00043881" w:rsidP="00093E98">
            <w:pPr>
              <w:pStyle w:val="TableTextSmall"/>
              <w:jc w:val="center"/>
            </w:pPr>
            <w:r>
              <w:t>4</w:t>
            </w:r>
          </w:p>
        </w:tc>
        <w:tc>
          <w:tcPr>
            <w:tcW w:w="758" w:type="dxa"/>
            <w:vAlign w:val="center"/>
          </w:tcPr>
          <w:p w14:paraId="5BD04E59" w14:textId="77777777" w:rsidR="00043881" w:rsidRPr="00580EB4" w:rsidRDefault="00FB6B92" w:rsidP="00093E98">
            <w:pPr>
              <w:pStyle w:val="TableTextSmall"/>
              <w:jc w:val="center"/>
            </w:pPr>
            <w:r>
              <w:t>33</w:t>
            </w:r>
          </w:p>
        </w:tc>
      </w:tr>
      <w:tr w:rsidR="00043881" w14:paraId="682077D4" w14:textId="77777777" w:rsidTr="00093E98">
        <w:trPr>
          <w:trHeight w:val="460"/>
        </w:trPr>
        <w:tc>
          <w:tcPr>
            <w:tcW w:w="1303" w:type="dxa"/>
            <w:vAlign w:val="center"/>
          </w:tcPr>
          <w:p w14:paraId="6C1E9205" w14:textId="77777777" w:rsidR="00043881" w:rsidRPr="00E43889" w:rsidRDefault="00043881" w:rsidP="00093E98">
            <w:pPr>
              <w:pStyle w:val="TableTextSmall"/>
              <w:jc w:val="center"/>
            </w:pPr>
            <w:r w:rsidRPr="00E43889">
              <w:t>Outcome 5</w:t>
            </w:r>
          </w:p>
        </w:tc>
        <w:tc>
          <w:tcPr>
            <w:tcW w:w="1175" w:type="dxa"/>
            <w:vAlign w:val="center"/>
          </w:tcPr>
          <w:p w14:paraId="6BD4BF9A" w14:textId="77777777" w:rsidR="00043881" w:rsidRDefault="00043881" w:rsidP="00093E98">
            <w:pPr>
              <w:pStyle w:val="TableTextSmall"/>
              <w:jc w:val="center"/>
            </w:pPr>
            <w:r>
              <w:t>2</w:t>
            </w:r>
          </w:p>
        </w:tc>
        <w:tc>
          <w:tcPr>
            <w:tcW w:w="855" w:type="dxa"/>
            <w:vAlign w:val="center"/>
          </w:tcPr>
          <w:p w14:paraId="5BC76577" w14:textId="77777777" w:rsidR="00043881" w:rsidRDefault="00FB6B92" w:rsidP="00093E98">
            <w:pPr>
              <w:pStyle w:val="TableTextSmall"/>
              <w:jc w:val="center"/>
            </w:pPr>
            <w:r>
              <w:t>2</w:t>
            </w:r>
          </w:p>
        </w:tc>
        <w:tc>
          <w:tcPr>
            <w:tcW w:w="801" w:type="dxa"/>
            <w:vAlign w:val="center"/>
          </w:tcPr>
          <w:p w14:paraId="0B8C5D13" w14:textId="77777777" w:rsidR="00043881" w:rsidRDefault="00043881" w:rsidP="00093E98">
            <w:pPr>
              <w:pStyle w:val="TableTextSmall"/>
              <w:jc w:val="center"/>
            </w:pPr>
            <w:r>
              <w:t>3</w:t>
            </w:r>
          </w:p>
        </w:tc>
        <w:tc>
          <w:tcPr>
            <w:tcW w:w="923" w:type="dxa"/>
            <w:vAlign w:val="center"/>
          </w:tcPr>
          <w:p w14:paraId="22DB6963" w14:textId="77777777" w:rsidR="00043881" w:rsidRDefault="00043881" w:rsidP="00093E98">
            <w:pPr>
              <w:pStyle w:val="TableTextSmall"/>
              <w:jc w:val="center"/>
            </w:pPr>
            <w:r>
              <w:t>1</w:t>
            </w:r>
          </w:p>
        </w:tc>
        <w:tc>
          <w:tcPr>
            <w:tcW w:w="825" w:type="dxa"/>
            <w:vAlign w:val="center"/>
          </w:tcPr>
          <w:p w14:paraId="5666B961" w14:textId="77777777" w:rsidR="00043881" w:rsidRDefault="00FB6B92" w:rsidP="00093E98">
            <w:pPr>
              <w:pStyle w:val="TableTextSmall"/>
              <w:jc w:val="center"/>
            </w:pPr>
            <w:r>
              <w:t>3</w:t>
            </w:r>
          </w:p>
        </w:tc>
        <w:tc>
          <w:tcPr>
            <w:tcW w:w="779" w:type="dxa"/>
            <w:vAlign w:val="center"/>
          </w:tcPr>
          <w:p w14:paraId="3DE2A3D7" w14:textId="77777777" w:rsidR="00043881" w:rsidRDefault="00043881" w:rsidP="00093E98">
            <w:pPr>
              <w:pStyle w:val="TableTextSmall"/>
              <w:jc w:val="center"/>
            </w:pPr>
            <w:r>
              <w:t>3</w:t>
            </w:r>
          </w:p>
        </w:tc>
        <w:tc>
          <w:tcPr>
            <w:tcW w:w="787" w:type="dxa"/>
            <w:vAlign w:val="center"/>
          </w:tcPr>
          <w:p w14:paraId="3AB454A2" w14:textId="77777777" w:rsidR="00043881" w:rsidRDefault="00043881" w:rsidP="00093E98">
            <w:pPr>
              <w:pStyle w:val="TableTextSmall"/>
              <w:jc w:val="center"/>
            </w:pPr>
            <w:r>
              <w:t>3</w:t>
            </w:r>
          </w:p>
        </w:tc>
        <w:tc>
          <w:tcPr>
            <w:tcW w:w="826" w:type="dxa"/>
            <w:vAlign w:val="center"/>
          </w:tcPr>
          <w:p w14:paraId="331FA96A" w14:textId="77777777" w:rsidR="00043881" w:rsidRDefault="00FB6B92" w:rsidP="00093E98">
            <w:pPr>
              <w:pStyle w:val="TableTextSmall"/>
              <w:jc w:val="center"/>
            </w:pPr>
            <w:r>
              <w:t>1</w:t>
            </w:r>
          </w:p>
        </w:tc>
        <w:tc>
          <w:tcPr>
            <w:tcW w:w="823" w:type="dxa"/>
            <w:vAlign w:val="center"/>
          </w:tcPr>
          <w:p w14:paraId="60B303D3" w14:textId="77777777" w:rsidR="00043881" w:rsidRDefault="00043881" w:rsidP="00093E98">
            <w:pPr>
              <w:pStyle w:val="TableTextSmall"/>
              <w:jc w:val="center"/>
            </w:pPr>
            <w:r>
              <w:t>1</w:t>
            </w:r>
          </w:p>
        </w:tc>
        <w:tc>
          <w:tcPr>
            <w:tcW w:w="758" w:type="dxa"/>
            <w:vAlign w:val="center"/>
          </w:tcPr>
          <w:p w14:paraId="4EA697F5" w14:textId="77777777" w:rsidR="00043881" w:rsidRPr="00580EB4" w:rsidRDefault="00FB6B92" w:rsidP="00093E98">
            <w:pPr>
              <w:pStyle w:val="TableTextSmall"/>
              <w:jc w:val="center"/>
            </w:pPr>
            <w:r>
              <w:t>19</w:t>
            </w:r>
          </w:p>
        </w:tc>
      </w:tr>
      <w:tr w:rsidR="00043881" w14:paraId="07330988" w14:textId="77777777" w:rsidTr="00093E98">
        <w:trPr>
          <w:trHeight w:val="460"/>
        </w:trPr>
        <w:tc>
          <w:tcPr>
            <w:tcW w:w="1303" w:type="dxa"/>
            <w:vAlign w:val="center"/>
          </w:tcPr>
          <w:p w14:paraId="40A1FA73" w14:textId="77777777" w:rsidR="00043881" w:rsidRPr="00E43889" w:rsidRDefault="00043881" w:rsidP="00093E98">
            <w:pPr>
              <w:pStyle w:val="TableTextSmall"/>
              <w:jc w:val="center"/>
            </w:pPr>
            <w:r w:rsidRPr="00E43889">
              <w:t>Outcome 6</w:t>
            </w:r>
          </w:p>
        </w:tc>
        <w:tc>
          <w:tcPr>
            <w:tcW w:w="1175" w:type="dxa"/>
            <w:vAlign w:val="center"/>
          </w:tcPr>
          <w:p w14:paraId="2111DFFA" w14:textId="77777777" w:rsidR="00043881" w:rsidRDefault="00FB6B92" w:rsidP="00093E98">
            <w:pPr>
              <w:pStyle w:val="TableTextSmall"/>
              <w:jc w:val="center"/>
            </w:pPr>
            <w:r>
              <w:t>1</w:t>
            </w:r>
          </w:p>
        </w:tc>
        <w:tc>
          <w:tcPr>
            <w:tcW w:w="855" w:type="dxa"/>
            <w:vAlign w:val="center"/>
          </w:tcPr>
          <w:p w14:paraId="45CA3743" w14:textId="77777777" w:rsidR="00043881" w:rsidRDefault="00FB6B92" w:rsidP="00093E98">
            <w:pPr>
              <w:pStyle w:val="TableTextSmall"/>
              <w:jc w:val="center"/>
            </w:pPr>
            <w:r>
              <w:t>1</w:t>
            </w:r>
          </w:p>
        </w:tc>
        <w:tc>
          <w:tcPr>
            <w:tcW w:w="801" w:type="dxa"/>
            <w:vAlign w:val="center"/>
          </w:tcPr>
          <w:p w14:paraId="79B6DD14" w14:textId="77777777" w:rsidR="00043881" w:rsidRDefault="00043881" w:rsidP="00093E98">
            <w:pPr>
              <w:pStyle w:val="TableTextSmall"/>
              <w:jc w:val="center"/>
            </w:pPr>
            <w:r>
              <w:t>2</w:t>
            </w:r>
          </w:p>
        </w:tc>
        <w:tc>
          <w:tcPr>
            <w:tcW w:w="923" w:type="dxa"/>
            <w:vAlign w:val="center"/>
          </w:tcPr>
          <w:p w14:paraId="774C3D00" w14:textId="77777777" w:rsidR="00043881" w:rsidRDefault="00043881" w:rsidP="00093E98">
            <w:pPr>
              <w:pStyle w:val="TableTextSmall"/>
              <w:jc w:val="center"/>
            </w:pPr>
            <w:r>
              <w:t>3</w:t>
            </w:r>
          </w:p>
        </w:tc>
        <w:tc>
          <w:tcPr>
            <w:tcW w:w="825" w:type="dxa"/>
            <w:vAlign w:val="center"/>
          </w:tcPr>
          <w:p w14:paraId="42CD2934" w14:textId="77777777" w:rsidR="00043881" w:rsidRDefault="00FB6B92" w:rsidP="00093E98">
            <w:pPr>
              <w:pStyle w:val="TableTextSmall"/>
              <w:jc w:val="center"/>
            </w:pPr>
            <w:r>
              <w:t>3</w:t>
            </w:r>
          </w:p>
        </w:tc>
        <w:tc>
          <w:tcPr>
            <w:tcW w:w="779" w:type="dxa"/>
            <w:vAlign w:val="center"/>
          </w:tcPr>
          <w:p w14:paraId="53B281A3" w14:textId="77777777" w:rsidR="00043881" w:rsidRDefault="00043881" w:rsidP="00093E98">
            <w:pPr>
              <w:pStyle w:val="TableTextSmall"/>
              <w:jc w:val="center"/>
            </w:pPr>
            <w:r>
              <w:t>2</w:t>
            </w:r>
          </w:p>
        </w:tc>
        <w:tc>
          <w:tcPr>
            <w:tcW w:w="787" w:type="dxa"/>
            <w:vAlign w:val="center"/>
          </w:tcPr>
          <w:p w14:paraId="02242A94" w14:textId="77777777" w:rsidR="00043881" w:rsidRDefault="00043881" w:rsidP="00093E98">
            <w:pPr>
              <w:pStyle w:val="TableTextSmall"/>
              <w:jc w:val="center"/>
            </w:pPr>
            <w:r>
              <w:t>4</w:t>
            </w:r>
          </w:p>
        </w:tc>
        <w:tc>
          <w:tcPr>
            <w:tcW w:w="826" w:type="dxa"/>
            <w:vAlign w:val="center"/>
          </w:tcPr>
          <w:p w14:paraId="40821382" w14:textId="77777777" w:rsidR="00043881" w:rsidRDefault="00043881" w:rsidP="00093E98">
            <w:pPr>
              <w:pStyle w:val="TableTextSmall"/>
              <w:jc w:val="center"/>
            </w:pPr>
            <w:r>
              <w:t>3</w:t>
            </w:r>
          </w:p>
        </w:tc>
        <w:tc>
          <w:tcPr>
            <w:tcW w:w="823" w:type="dxa"/>
            <w:vAlign w:val="center"/>
          </w:tcPr>
          <w:p w14:paraId="59332E5B" w14:textId="77777777" w:rsidR="00043881" w:rsidRDefault="00043881" w:rsidP="00093E98">
            <w:pPr>
              <w:pStyle w:val="TableTextSmall"/>
              <w:jc w:val="center"/>
            </w:pPr>
            <w:r>
              <w:t>0</w:t>
            </w:r>
          </w:p>
        </w:tc>
        <w:tc>
          <w:tcPr>
            <w:tcW w:w="758" w:type="dxa"/>
            <w:vAlign w:val="center"/>
          </w:tcPr>
          <w:p w14:paraId="1B863885" w14:textId="77777777" w:rsidR="00043881" w:rsidRPr="00580EB4" w:rsidRDefault="00FB6B92" w:rsidP="00093E98">
            <w:pPr>
              <w:pStyle w:val="TableTextSmall"/>
              <w:jc w:val="center"/>
            </w:pPr>
            <w:r>
              <w:t>19</w:t>
            </w:r>
          </w:p>
        </w:tc>
      </w:tr>
    </w:tbl>
    <w:p w14:paraId="4C015742" w14:textId="34BC0E66" w:rsidR="00043881" w:rsidRDefault="00043881" w:rsidP="00043881">
      <w:pPr>
        <w:pStyle w:val="PwCNormal"/>
        <w:numPr>
          <w:ilvl w:val="0"/>
          <w:numId w:val="0"/>
        </w:numPr>
      </w:pPr>
      <w:r>
        <w:t>Reported actions demonstrate a wide range of activities across both jurisdictions and outcome areas. However, the specific actions reported var</w:t>
      </w:r>
      <w:r w:rsidR="0037541D">
        <w:t>y</w:t>
      </w:r>
      <w:r>
        <w:t xml:space="preserve"> in their scale and type. Key observations include that:</w:t>
      </w:r>
    </w:p>
    <w:p w14:paraId="6A7D694C" w14:textId="77777777" w:rsidR="00043881" w:rsidRDefault="00043881" w:rsidP="00043881">
      <w:pPr>
        <w:pStyle w:val="ListBullet"/>
      </w:pPr>
      <w:r>
        <w:t>Many actions reported relate to other policies and priorities which link to the National Framework outcomes. For example:</w:t>
      </w:r>
    </w:p>
    <w:p w14:paraId="683D7F25" w14:textId="77777777" w:rsidR="00043881" w:rsidRDefault="00043881" w:rsidP="00507278">
      <w:pPr>
        <w:pStyle w:val="ListBullet2"/>
        <w:ind w:left="680" w:hanging="113"/>
      </w:pPr>
      <w:r>
        <w:t xml:space="preserve">A number of activities reported by the Commonwealth against Outcome 5 (indigenous children are supported and safe in their families and communities) were Closing the Gap activities </w:t>
      </w:r>
    </w:p>
    <w:p w14:paraId="1A4395EC" w14:textId="77777777" w:rsidR="00043881" w:rsidRDefault="00043881" w:rsidP="00507278">
      <w:pPr>
        <w:pStyle w:val="ListBullet2"/>
        <w:ind w:left="680" w:hanging="113"/>
      </w:pPr>
      <w:r>
        <w:t xml:space="preserve">Working with Children Checks and its associated activities largely comprise activity reported against Outcome 6 (child sexual abuse and exploitation is prevented and survivors receive adequate support) </w:t>
      </w:r>
    </w:p>
    <w:p w14:paraId="2DDB2C4B" w14:textId="77777777" w:rsidR="00043881" w:rsidRDefault="00043881" w:rsidP="00507278">
      <w:pPr>
        <w:pStyle w:val="ListBullet2"/>
        <w:ind w:left="680" w:hanging="113"/>
      </w:pPr>
      <w:r>
        <w:t xml:space="preserve">Actions reported against Outcome 4 (children who have been abused or neglected receive the support and care they need for this safety and wellbeing) were largely comprised of research items and service delivery frameworks that support children in care. </w:t>
      </w:r>
    </w:p>
    <w:p w14:paraId="279029E9" w14:textId="77777777" w:rsidR="00043881" w:rsidRDefault="00043881" w:rsidP="00043881">
      <w:pPr>
        <w:pStyle w:val="ListBullet"/>
      </w:pPr>
      <w:r>
        <w:t>while there are a large number of actions reported, many are of component parts of overarching jurisdictional strategies or part of a suite of complementary programs</w:t>
      </w:r>
    </w:p>
    <w:p w14:paraId="60A4A6A2" w14:textId="77777777" w:rsidR="00043881" w:rsidRPr="00143567" w:rsidRDefault="00043881" w:rsidP="00043881">
      <w:pPr>
        <w:pStyle w:val="ListBullet"/>
      </w:pPr>
      <w:r w:rsidRPr="00143567">
        <w:t xml:space="preserve">responding to sexual abuse, in government responses to relevant Royal Commissions and inquiries also comprised a large number of actions pursued. </w:t>
      </w:r>
    </w:p>
    <w:p w14:paraId="279990A3" w14:textId="2D812976" w:rsidR="00043881" w:rsidRPr="005E548D" w:rsidRDefault="00043881" w:rsidP="00043881">
      <w:pPr>
        <w:pStyle w:val="PwCNormal"/>
        <w:numPr>
          <w:ilvl w:val="0"/>
          <w:numId w:val="0"/>
        </w:numPr>
      </w:pPr>
      <w:r w:rsidRPr="00AD6C46">
        <w:t xml:space="preserve">While no </w:t>
      </w:r>
      <w:r w:rsidR="00AD6C46">
        <w:t xml:space="preserve">direct </w:t>
      </w:r>
      <w:r w:rsidRPr="00AD6C46">
        <w:t xml:space="preserve">attribution can be drawn between the conception of these actions </w:t>
      </w:r>
      <w:r w:rsidR="00AD6C46">
        <w:t xml:space="preserve">to </w:t>
      </w:r>
      <w:r w:rsidRPr="00AD6C46">
        <w:t>the National Framework, their operation and reported links demonstrate intersection between objectives. The challenge of attribution not only lies in the complexity of long-term policy design and planning (which is typically a confluence of political mandate, currency, funding and public awareness), but also in the underlying policy logic. With the design of the National Fram</w:t>
      </w:r>
      <w:r w:rsidRPr="00143567">
        <w:t>ework being high-level in nature, activities can be easily mapped to the outcomes sought. However</w:t>
      </w:r>
      <w:r w:rsidRPr="005E548D">
        <w:t>, it is difficult to assign the evolution of policies and programs against the National Framework</w:t>
      </w:r>
      <w:r w:rsidR="00B155F1" w:rsidRPr="005E548D">
        <w:t xml:space="preserve">, considering </w:t>
      </w:r>
      <w:r w:rsidR="0061064E" w:rsidRPr="005E548D">
        <w:t>that it</w:t>
      </w:r>
      <w:r w:rsidRPr="005E548D">
        <w:t xml:space="preserve"> does not prescribe the activities to be delivered to meet its own outcomes. </w:t>
      </w:r>
    </w:p>
    <w:p w14:paraId="494E7363" w14:textId="77777777" w:rsidR="00043881" w:rsidRDefault="00043881" w:rsidP="00B95734">
      <w:pPr>
        <w:pStyle w:val="Heading7"/>
        <w:numPr>
          <w:ilvl w:val="3"/>
          <w:numId w:val="43"/>
        </w:numPr>
      </w:pPr>
      <w:bookmarkStart w:id="168" w:name="_Toc30582393"/>
      <w:bookmarkStart w:id="169" w:name="_Ref30720749"/>
      <w:r>
        <w:lastRenderedPageBreak/>
        <w:t>Activity within intersecting policy areas</w:t>
      </w:r>
      <w:bookmarkEnd w:id="168"/>
      <w:bookmarkEnd w:id="169"/>
    </w:p>
    <w:tbl>
      <w:tblPr>
        <w:tblStyle w:val="PwCColour"/>
        <w:tblW w:w="0" w:type="auto"/>
        <w:tblBorders>
          <w:top w:val="single" w:sz="4" w:space="0" w:color="EB8C00" w:themeColor="accent4"/>
          <w:left w:val="single" w:sz="4" w:space="0" w:color="EB8C00" w:themeColor="accent4"/>
          <w:bottom w:val="single" w:sz="4" w:space="0" w:color="EB8C00" w:themeColor="accent4"/>
          <w:right w:val="single" w:sz="4" w:space="0" w:color="EB8C00" w:themeColor="accent4"/>
          <w:insideH w:val="none" w:sz="0" w:space="0" w:color="auto"/>
          <w:insideV w:val="none" w:sz="0" w:space="0" w:color="auto"/>
        </w:tblBorders>
        <w:shd w:val="clear" w:color="auto" w:fill="FED8C3" w:themeFill="accent1" w:themeFillTint="33"/>
        <w:tblLook w:val="04A0" w:firstRow="1" w:lastRow="0" w:firstColumn="1" w:lastColumn="0" w:noHBand="0" w:noVBand="1"/>
        <w:tblCaption w:val="Key Finding"/>
        <w:tblDescription w:val="Over the past five years, governments have implemented a wide array of reforms across connected policy domains. Many of these reforms have been led by inquiries and Royal Commissions which have focused government action. Intersecting activity in jurisdictions appears to be driven mostly by reforms in the areas of family violence, education, child protection and youth justice policy domains. Relatively less effort appears to have been directed through the National Framework to disability and CALD policy priorities."/>
      </w:tblPr>
      <w:tblGrid>
        <w:gridCol w:w="9855"/>
      </w:tblGrid>
      <w:tr w:rsidR="00BD01CA" w14:paraId="315DFE5C" w14:textId="77777777" w:rsidTr="006F1A6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855" w:type="dxa"/>
            <w:tcBorders>
              <w:top w:val="none" w:sz="0" w:space="0" w:color="auto"/>
              <w:bottom w:val="none" w:sz="0" w:space="0" w:color="auto"/>
            </w:tcBorders>
            <w:shd w:val="clear" w:color="auto" w:fill="FED8C3" w:themeFill="accent1" w:themeFillTint="33"/>
            <w:vAlign w:val="center"/>
          </w:tcPr>
          <w:p w14:paraId="5C8BF677" w14:textId="0A9BDCE8" w:rsidR="009A709D" w:rsidRPr="008552A8" w:rsidRDefault="009A709D" w:rsidP="00D36A99">
            <w:pPr>
              <w:pStyle w:val="PwCNormal"/>
              <w:numPr>
                <w:ilvl w:val="0"/>
                <w:numId w:val="0"/>
              </w:numPr>
              <w:spacing w:before="60" w:after="60" w:line="240" w:lineRule="auto"/>
              <w:rPr>
                <w:b/>
              </w:rPr>
            </w:pPr>
            <w:r w:rsidRPr="008552A8">
              <w:rPr>
                <w:b/>
              </w:rPr>
              <w:t>Key finding</w:t>
            </w:r>
          </w:p>
          <w:p w14:paraId="589398E9" w14:textId="7C2FB9F5" w:rsidR="00BD01CA" w:rsidRPr="00576E19" w:rsidRDefault="000715F0" w:rsidP="006F1A61">
            <w:pPr>
              <w:pStyle w:val="PwCNormal"/>
              <w:numPr>
                <w:ilvl w:val="0"/>
                <w:numId w:val="0"/>
              </w:numPr>
              <w:spacing w:before="60" w:after="60" w:line="240" w:lineRule="auto"/>
              <w:ind w:left="360"/>
            </w:pPr>
            <w:r w:rsidRPr="009B2268">
              <w:t>Over the past five years, governments have implemented a wide array of reforms across connected policy domains</w:t>
            </w:r>
            <w:r w:rsidR="000F4E57">
              <w:t xml:space="preserve">. Many of these reforms have been </w:t>
            </w:r>
            <w:r w:rsidRPr="009B2268">
              <w:t xml:space="preserve">led by inquiries and Royal Commissions which have focused government action. </w:t>
            </w:r>
            <w:r w:rsidR="000F4E57">
              <w:t>Intersecting a</w:t>
            </w:r>
            <w:r w:rsidRPr="00143567">
              <w:t xml:space="preserve">ctivity in jurisdictions appears to be </w:t>
            </w:r>
            <w:r w:rsidR="000F4E57">
              <w:t xml:space="preserve">driven mostly by reforms </w:t>
            </w:r>
            <w:r>
              <w:t>in the areas of</w:t>
            </w:r>
            <w:r w:rsidRPr="009B2268">
              <w:t xml:space="preserve"> family violence, education, child protection and youth justice policy domains. Relatively less effort appears to have been directed</w:t>
            </w:r>
            <w:r w:rsidR="00AD6C46">
              <w:t xml:space="preserve"> through the National Framework</w:t>
            </w:r>
            <w:r w:rsidRPr="009B2268">
              <w:t xml:space="preserve"> to disability and CALD policy priorities</w:t>
            </w:r>
            <w:r>
              <w:t>.</w:t>
            </w:r>
          </w:p>
        </w:tc>
      </w:tr>
    </w:tbl>
    <w:p w14:paraId="7DF3CF7B" w14:textId="77777777" w:rsidR="00043881" w:rsidRDefault="00043881" w:rsidP="00043881">
      <w:pPr>
        <w:pStyle w:val="PwCNormal"/>
        <w:numPr>
          <w:ilvl w:val="0"/>
          <w:numId w:val="0"/>
        </w:numPr>
      </w:pPr>
      <w:r>
        <w:t xml:space="preserve">This evaluation seeks to establish how well the Framework connects with and informs the broader policy agenda for children and young people. It specifically seeks to consider areas such as family and domestic violence, education, housing, justice, health, disability, culturally and linguistically diverse families and Closing the Gap. </w:t>
      </w:r>
    </w:p>
    <w:p w14:paraId="0D6BAD81" w14:textId="77777777" w:rsidR="00043881" w:rsidRDefault="00043881" w:rsidP="00043881">
      <w:pPr>
        <w:pStyle w:val="PwCNormal"/>
        <w:numPr>
          <w:ilvl w:val="0"/>
          <w:numId w:val="0"/>
        </w:numPr>
      </w:pPr>
      <w:r>
        <w:t xml:space="preserve">The need for connectivity with these policy domains recognises that a preventative approach to keep children safe and well, </w:t>
      </w:r>
      <w:r w:rsidR="00096CDD">
        <w:t xml:space="preserve">considers </w:t>
      </w:r>
      <w:r>
        <w:t xml:space="preserve">associated services </w:t>
      </w:r>
      <w:r w:rsidR="00096CDD">
        <w:t xml:space="preserve">to </w:t>
      </w:r>
      <w:r>
        <w:t xml:space="preserve">work together to achieve these aims. </w:t>
      </w:r>
      <w:r w:rsidR="00096CDD">
        <w:t xml:space="preserve">While a policy can embed a preventative approach without engaging associated services, its reach can be less impactful. </w:t>
      </w:r>
      <w:r>
        <w:t>The National Framework identifies, among its stakeholders, that key responsibilities and levers include:</w:t>
      </w:r>
      <w:r>
        <w:rPr>
          <w:rStyle w:val="FootnoteReference"/>
        </w:rPr>
        <w:footnoteReference w:id="41"/>
      </w:r>
    </w:p>
    <w:p w14:paraId="76EBDF3D" w14:textId="77777777" w:rsidR="00043881" w:rsidRPr="001610E8" w:rsidRDefault="00043881" w:rsidP="00043881">
      <w:pPr>
        <w:pStyle w:val="PwCNormal"/>
        <w:numPr>
          <w:ilvl w:val="0"/>
          <w:numId w:val="0"/>
        </w:numPr>
        <w:rPr>
          <w:i/>
        </w:rPr>
      </w:pPr>
      <w:r w:rsidRPr="001610E8">
        <w:rPr>
          <w:i/>
        </w:rPr>
        <w:t>State and territory governments in their role delivering:</w:t>
      </w:r>
    </w:p>
    <w:p w14:paraId="51E01BE6" w14:textId="77777777" w:rsidR="00043881" w:rsidRPr="001267D4" w:rsidRDefault="00043881" w:rsidP="00043881">
      <w:pPr>
        <w:pStyle w:val="ListBullet"/>
        <w:rPr>
          <w:i/>
        </w:rPr>
      </w:pPr>
      <w:r w:rsidRPr="001267D4">
        <w:rPr>
          <w:i/>
        </w:rPr>
        <w:t>statutory child protection systems, including the support provided to children and young people in out-of-home care</w:t>
      </w:r>
    </w:p>
    <w:p w14:paraId="1D9B2065" w14:textId="77777777" w:rsidR="00043881" w:rsidRPr="001267D4" w:rsidRDefault="00043881" w:rsidP="00043881">
      <w:pPr>
        <w:pStyle w:val="ListBullet"/>
        <w:rPr>
          <w:i/>
        </w:rPr>
      </w:pPr>
      <w:r w:rsidRPr="001267D4">
        <w:rPr>
          <w:i/>
        </w:rPr>
        <w:t>therapeutic and support services for families, children and young people at-risk of abuse or neglect</w:t>
      </w:r>
    </w:p>
    <w:p w14:paraId="6336945D" w14:textId="77777777" w:rsidR="00043881" w:rsidRPr="001267D4" w:rsidRDefault="00043881" w:rsidP="00043881">
      <w:pPr>
        <w:pStyle w:val="ListBullet"/>
        <w:rPr>
          <w:i/>
        </w:rPr>
      </w:pPr>
      <w:r w:rsidRPr="001267D4">
        <w:rPr>
          <w:i/>
        </w:rPr>
        <w:t>conducting research into child protection</w:t>
      </w:r>
    </w:p>
    <w:p w14:paraId="3FE68D2D" w14:textId="77777777" w:rsidR="00043881" w:rsidRPr="001267D4" w:rsidRDefault="00043881" w:rsidP="00043881">
      <w:pPr>
        <w:pStyle w:val="ListBullet"/>
        <w:rPr>
          <w:i/>
        </w:rPr>
      </w:pPr>
      <w:r w:rsidRPr="001267D4">
        <w:rPr>
          <w:i/>
        </w:rPr>
        <w:t>health and education services, including maternal and child health services, schools, and specialist services for at-risk children and young people and their families</w:t>
      </w:r>
    </w:p>
    <w:p w14:paraId="0AC2C594" w14:textId="77777777" w:rsidR="00043881" w:rsidRPr="001267D4" w:rsidRDefault="00043881" w:rsidP="00043881">
      <w:pPr>
        <w:pStyle w:val="ListBullet"/>
        <w:rPr>
          <w:i/>
        </w:rPr>
      </w:pPr>
      <w:r w:rsidRPr="001267D4">
        <w:rPr>
          <w:i/>
        </w:rPr>
        <w:t>police and justice systems, including court services to hear child/youth care and protection matters.</w:t>
      </w:r>
    </w:p>
    <w:p w14:paraId="6D226427" w14:textId="77777777" w:rsidR="00043881" w:rsidRPr="001610E8" w:rsidRDefault="00043881" w:rsidP="00043881">
      <w:pPr>
        <w:pStyle w:val="PwCNormal"/>
        <w:numPr>
          <w:ilvl w:val="0"/>
          <w:numId w:val="0"/>
        </w:numPr>
        <w:rPr>
          <w:i/>
        </w:rPr>
      </w:pPr>
      <w:r w:rsidRPr="001610E8">
        <w:rPr>
          <w:i/>
        </w:rPr>
        <w:t>Commonwealth Government in their role delivering universal support and services, including:</w:t>
      </w:r>
    </w:p>
    <w:p w14:paraId="5B691E82" w14:textId="77777777" w:rsidR="00043881" w:rsidRPr="001267D4" w:rsidRDefault="00043881" w:rsidP="00043881">
      <w:pPr>
        <w:pStyle w:val="ListBullet"/>
        <w:rPr>
          <w:i/>
        </w:rPr>
      </w:pPr>
      <w:r w:rsidRPr="001267D4">
        <w:rPr>
          <w:i/>
        </w:rPr>
        <w:t>provision of income and family support payments to provide both a broad social safety net and specifically support families in their parenting role (pensions, family payments, childcare benefit and tax rebates)</w:t>
      </w:r>
    </w:p>
    <w:p w14:paraId="6AC44242" w14:textId="77777777" w:rsidR="00043881" w:rsidRPr="001267D4" w:rsidRDefault="00043881" w:rsidP="00043881">
      <w:pPr>
        <w:pStyle w:val="ListBullet"/>
        <w:rPr>
          <w:i/>
        </w:rPr>
      </w:pPr>
      <w:r w:rsidRPr="001267D4">
        <w:rPr>
          <w:i/>
        </w:rPr>
        <w:t>services such as Medicare, employment services, child and parenting support services, family relationship services and the family law system</w:t>
      </w:r>
    </w:p>
    <w:p w14:paraId="062EC070" w14:textId="77777777" w:rsidR="00043881" w:rsidRPr="001267D4" w:rsidRDefault="00043881" w:rsidP="00043881">
      <w:pPr>
        <w:pStyle w:val="ListBullet"/>
        <w:rPr>
          <w:i/>
        </w:rPr>
      </w:pPr>
      <w:r w:rsidRPr="001267D4">
        <w:rPr>
          <w:i/>
        </w:rPr>
        <w:t>support to states and territories for key services such as hospitals, schools, housing and disability services</w:t>
      </w:r>
    </w:p>
    <w:p w14:paraId="4A992FBA" w14:textId="77777777" w:rsidR="00043881" w:rsidRPr="001267D4" w:rsidRDefault="00043881" w:rsidP="00043881">
      <w:pPr>
        <w:pStyle w:val="ListBullet"/>
        <w:rPr>
          <w:i/>
        </w:rPr>
      </w:pPr>
      <w:r w:rsidRPr="001267D4">
        <w:rPr>
          <w:i/>
        </w:rPr>
        <w:t>targeted programs for vulnerable individuals and families, including mental health, substance abuse, intensive parenting services, intensive employment assistance, and allowances for young people leaving care to help with the transition to independent living</w:t>
      </w:r>
    </w:p>
    <w:p w14:paraId="71C8BE65" w14:textId="77777777" w:rsidR="00043881" w:rsidRPr="001267D4" w:rsidRDefault="00043881" w:rsidP="00043881">
      <w:pPr>
        <w:pStyle w:val="ListBullet"/>
        <w:rPr>
          <w:i/>
        </w:rPr>
      </w:pPr>
      <w:r w:rsidRPr="001267D4">
        <w:rPr>
          <w:i/>
        </w:rPr>
        <w:t>services for families at higher risk of disadvantage including those in Indigenous communities.</w:t>
      </w:r>
    </w:p>
    <w:p w14:paraId="3D3D2200" w14:textId="77777777" w:rsidR="005E548D" w:rsidRDefault="005E548D" w:rsidP="00043881">
      <w:pPr>
        <w:pStyle w:val="PwCNormal"/>
        <w:numPr>
          <w:ilvl w:val="0"/>
          <w:numId w:val="0"/>
        </w:numPr>
      </w:pPr>
      <w:r>
        <w:t xml:space="preserve">Box 2 outlines the breadth of intersecting policy areas that influence the health and wellbeing of children and young people. This shows that the reach of policy influence is much broader than those represented here. </w:t>
      </w:r>
    </w:p>
    <w:tbl>
      <w:tblPr>
        <w:tblStyle w:val="PwCColour"/>
        <w:tblW w:w="5000" w:type="pct"/>
        <w:tblBorders>
          <w:top w:val="single" w:sz="4" w:space="0" w:color="EB8C00" w:themeColor="accent4"/>
          <w:left w:val="single" w:sz="4" w:space="0" w:color="EB8C00" w:themeColor="accent4"/>
          <w:bottom w:val="single" w:sz="4" w:space="0" w:color="EB8C00" w:themeColor="accent4"/>
          <w:right w:val="single" w:sz="4" w:space="0" w:color="EB8C00" w:themeColor="accent4"/>
          <w:insideH w:val="none" w:sz="0" w:space="0" w:color="auto"/>
          <w:insideV w:val="none" w:sz="0" w:space="0" w:color="auto"/>
        </w:tblBorders>
        <w:shd w:val="clear" w:color="auto" w:fill="FFE8C8" w:themeFill="accent4" w:themeFillTint="33"/>
        <w:tblLook w:val="04A0" w:firstRow="1" w:lastRow="0" w:firstColumn="1" w:lastColumn="0" w:noHBand="0" w:noVBand="1"/>
        <w:tblCaption w:val="Box 2 Overview of protective factors and intersecting policy areas"/>
        <w:tblDescription w:val="Much research has been directed to the underlying causes of and ongoing sources of disadvantage that increase the risk of interaction with the child protection system. ,  These have explored the dimensions of family life and protective factors which have negative influence on children’s outcomes. They are considered to be domains which require a system-wide policy response that coordinate and support improvement in child abuse and neglect rates. Many of these intersect with the public health approach (and other approaches) which are the basis of preventative intervention models. Among these are:&#10;• welfare (including family benefits and support, Medicare, social safety net, other financial support)&#10;• employment&#10;• early education&#10;• education and schooling&#10;• housing&#10;• health (mental, physical, substance use, social, emotional)&#10;• justice (including access to justice, youth and family justice frameworks)&#10;• disability&#10;• family and domestic violence&#10;• culturally and linguistically diverse communities&#10;• migrant communities&#10;• leisure, recreation, environment and communities&#10;• Indigenous communities (connection to country, culture and identity)&#10;"/>
      </w:tblPr>
      <w:tblGrid>
        <w:gridCol w:w="9855"/>
      </w:tblGrid>
      <w:tr w:rsidR="00043881" w14:paraId="1582091C" w14:textId="77777777" w:rsidTr="00BA62F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tcBorders>
              <w:top w:val="none" w:sz="0" w:space="0" w:color="auto"/>
              <w:bottom w:val="none" w:sz="0" w:space="0" w:color="auto"/>
            </w:tcBorders>
            <w:shd w:val="clear" w:color="auto" w:fill="FFE8C8" w:themeFill="accent4" w:themeFillTint="33"/>
          </w:tcPr>
          <w:p w14:paraId="6D4E36D5" w14:textId="678B3533" w:rsidR="00B45566" w:rsidRDefault="00B45566" w:rsidP="00B45566">
            <w:pPr>
              <w:pStyle w:val="Caption"/>
            </w:pPr>
            <w:r>
              <w:lastRenderedPageBreak/>
              <w:t xml:space="preserve">Box </w:t>
            </w:r>
            <w:fldSimple w:instr=" SEQ Box \* ARABIC ">
              <w:r w:rsidR="00D75351">
                <w:rPr>
                  <w:noProof/>
                </w:rPr>
                <w:t>2</w:t>
              </w:r>
            </w:fldSimple>
            <w:r>
              <w:t xml:space="preserve"> Overview of protective factors and intersecting policy areas</w:t>
            </w:r>
          </w:p>
          <w:p w14:paraId="6C9A8B9A" w14:textId="77777777" w:rsidR="00043881" w:rsidRDefault="00043881" w:rsidP="00382461">
            <w:pPr>
              <w:pStyle w:val="ListBullet"/>
              <w:numPr>
                <w:ilvl w:val="0"/>
                <w:numId w:val="0"/>
              </w:numPr>
            </w:pPr>
            <w:r>
              <w:t xml:space="preserve">Much research has been directed to the underlying causes of and ongoing sources of disadvantage that increase the risk of interaction with the child protection </w:t>
            </w:r>
            <w:r w:rsidRPr="001610E8">
              <w:t>system.</w:t>
            </w:r>
            <w:r w:rsidRPr="001610E8">
              <w:rPr>
                <w:rStyle w:val="FootnoteReference"/>
              </w:rPr>
              <w:footnoteReference w:id="42"/>
            </w:r>
            <w:r w:rsidRPr="001610E8">
              <w:rPr>
                <w:vertAlign w:val="superscript"/>
              </w:rPr>
              <w:t>,</w:t>
            </w:r>
            <w:r w:rsidRPr="001610E8">
              <w:rPr>
                <w:rStyle w:val="FootnoteReference"/>
              </w:rPr>
              <w:footnoteReference w:id="43"/>
            </w:r>
            <w:r w:rsidRPr="001610E8">
              <w:t xml:space="preserve"> These</w:t>
            </w:r>
            <w:r>
              <w:t xml:space="preserve"> have explored the dimensions of family life and protective factors which have negative influence on children’s outcomes. They are considered to be domains which require a system-wide policy response that coordinate and support improvement in child abuse and neglect rates. Many of these intersect with the public health approach (and other approaches) which are the basis of preventative intervention models. Among these are:</w:t>
            </w:r>
          </w:p>
          <w:p w14:paraId="7FEA8775" w14:textId="4DFDF473" w:rsidR="00043881" w:rsidRDefault="00043881" w:rsidP="00382461">
            <w:pPr>
              <w:pStyle w:val="ListBullet"/>
              <w:rPr>
                <w:rFonts w:eastAsia="Arial"/>
              </w:rPr>
            </w:pPr>
            <w:r>
              <w:rPr>
                <w:rFonts w:eastAsia="Arial"/>
              </w:rPr>
              <w:t xml:space="preserve">welfare (including family benefits and support, </w:t>
            </w:r>
            <w:r w:rsidR="00276630">
              <w:rPr>
                <w:rFonts w:eastAsia="Arial"/>
              </w:rPr>
              <w:t>M</w:t>
            </w:r>
            <w:r>
              <w:rPr>
                <w:rFonts w:eastAsia="Arial"/>
              </w:rPr>
              <w:t>edicare, social safety net, other financial support)</w:t>
            </w:r>
          </w:p>
          <w:p w14:paraId="635B7EB9" w14:textId="77777777" w:rsidR="00043881" w:rsidRDefault="00043881" w:rsidP="00382461">
            <w:pPr>
              <w:pStyle w:val="ListBullet"/>
              <w:rPr>
                <w:rFonts w:eastAsia="Arial"/>
              </w:rPr>
            </w:pPr>
            <w:r>
              <w:rPr>
                <w:rFonts w:eastAsia="Arial"/>
              </w:rPr>
              <w:t>employment</w:t>
            </w:r>
          </w:p>
          <w:p w14:paraId="48197CB6" w14:textId="77777777" w:rsidR="00043881" w:rsidRDefault="00043881" w:rsidP="00382461">
            <w:pPr>
              <w:pStyle w:val="ListBullet"/>
              <w:rPr>
                <w:rFonts w:eastAsia="Arial"/>
              </w:rPr>
            </w:pPr>
            <w:r>
              <w:rPr>
                <w:rFonts w:eastAsia="Arial"/>
              </w:rPr>
              <w:t>early education</w:t>
            </w:r>
          </w:p>
          <w:p w14:paraId="14D2357A" w14:textId="77777777" w:rsidR="00043881" w:rsidRDefault="00043881" w:rsidP="00382461">
            <w:pPr>
              <w:pStyle w:val="ListBullet"/>
              <w:rPr>
                <w:rFonts w:eastAsia="Arial"/>
              </w:rPr>
            </w:pPr>
            <w:r>
              <w:rPr>
                <w:rFonts w:eastAsia="Arial"/>
              </w:rPr>
              <w:t>education and schooling</w:t>
            </w:r>
          </w:p>
          <w:p w14:paraId="5F5A3740" w14:textId="77777777" w:rsidR="00043881" w:rsidRDefault="00043881" w:rsidP="00382461">
            <w:pPr>
              <w:pStyle w:val="ListBullet"/>
              <w:rPr>
                <w:rFonts w:eastAsia="Arial"/>
              </w:rPr>
            </w:pPr>
            <w:r>
              <w:rPr>
                <w:rFonts w:eastAsia="Arial"/>
              </w:rPr>
              <w:t>housing</w:t>
            </w:r>
          </w:p>
          <w:p w14:paraId="2306795A" w14:textId="77777777" w:rsidR="00043881" w:rsidRDefault="00043881" w:rsidP="00382461">
            <w:pPr>
              <w:pStyle w:val="ListBullet"/>
              <w:rPr>
                <w:rFonts w:eastAsia="Arial"/>
              </w:rPr>
            </w:pPr>
            <w:r>
              <w:rPr>
                <w:rFonts w:eastAsia="Arial"/>
              </w:rPr>
              <w:t>health (mental, physical, substance use, social, emotional)</w:t>
            </w:r>
          </w:p>
          <w:p w14:paraId="4A6A4923" w14:textId="77777777" w:rsidR="00043881" w:rsidRDefault="00043881" w:rsidP="00382461">
            <w:pPr>
              <w:pStyle w:val="ListBullet"/>
              <w:rPr>
                <w:rFonts w:eastAsia="Arial"/>
              </w:rPr>
            </w:pPr>
            <w:r>
              <w:rPr>
                <w:rFonts w:eastAsia="Arial"/>
              </w:rPr>
              <w:t>justice (including access to justice, youth and family justice frameworks)</w:t>
            </w:r>
          </w:p>
          <w:p w14:paraId="6A849C94" w14:textId="77777777" w:rsidR="00043881" w:rsidRDefault="00043881" w:rsidP="00382461">
            <w:pPr>
              <w:pStyle w:val="ListBullet"/>
              <w:rPr>
                <w:rFonts w:eastAsia="Arial"/>
              </w:rPr>
            </w:pPr>
            <w:r>
              <w:rPr>
                <w:rFonts w:eastAsia="Arial"/>
              </w:rPr>
              <w:t>disability</w:t>
            </w:r>
          </w:p>
          <w:p w14:paraId="7C77C3F0" w14:textId="77777777" w:rsidR="00043881" w:rsidRDefault="00043881" w:rsidP="00382461">
            <w:pPr>
              <w:pStyle w:val="ListBullet"/>
              <w:rPr>
                <w:rFonts w:eastAsia="Arial"/>
              </w:rPr>
            </w:pPr>
            <w:r>
              <w:rPr>
                <w:rFonts w:eastAsia="Arial"/>
              </w:rPr>
              <w:t>family and domestic violence</w:t>
            </w:r>
          </w:p>
          <w:p w14:paraId="19A4B6CA" w14:textId="77777777" w:rsidR="00043881" w:rsidRDefault="00043881" w:rsidP="00382461">
            <w:pPr>
              <w:pStyle w:val="ListBullet"/>
              <w:rPr>
                <w:rFonts w:eastAsia="Arial"/>
              </w:rPr>
            </w:pPr>
            <w:r>
              <w:rPr>
                <w:rFonts w:eastAsia="Arial"/>
              </w:rPr>
              <w:t>culturally and linguistically diverse communities</w:t>
            </w:r>
          </w:p>
          <w:p w14:paraId="5F052CBC" w14:textId="77777777" w:rsidR="00043881" w:rsidRDefault="00043881" w:rsidP="00382461">
            <w:pPr>
              <w:pStyle w:val="ListBullet"/>
              <w:rPr>
                <w:rFonts w:eastAsia="Arial"/>
              </w:rPr>
            </w:pPr>
            <w:r>
              <w:rPr>
                <w:rFonts w:eastAsia="Arial"/>
              </w:rPr>
              <w:t>migrant communities</w:t>
            </w:r>
          </w:p>
          <w:p w14:paraId="649221D4" w14:textId="77777777" w:rsidR="00043881" w:rsidRDefault="00043881" w:rsidP="00382461">
            <w:pPr>
              <w:pStyle w:val="ListBullet"/>
              <w:rPr>
                <w:rFonts w:eastAsia="Arial"/>
              </w:rPr>
            </w:pPr>
            <w:r>
              <w:rPr>
                <w:rFonts w:eastAsia="Arial"/>
              </w:rPr>
              <w:t>leisure, recreation, environment and communities</w:t>
            </w:r>
          </w:p>
          <w:p w14:paraId="5528B3AE" w14:textId="77777777" w:rsidR="00043881" w:rsidRPr="005D409A" w:rsidRDefault="00043881" w:rsidP="00382461">
            <w:pPr>
              <w:pStyle w:val="ListBullet"/>
              <w:rPr>
                <w:rFonts w:eastAsia="Arial"/>
              </w:rPr>
            </w:pPr>
            <w:r>
              <w:rPr>
                <w:rFonts w:eastAsia="Arial"/>
              </w:rPr>
              <w:t>Indigenous communities (connection to country, culture and identity)</w:t>
            </w:r>
          </w:p>
        </w:tc>
      </w:tr>
    </w:tbl>
    <w:p w14:paraId="1C5658FF" w14:textId="551CF472" w:rsidR="00043881" w:rsidRDefault="00043881" w:rsidP="00043881">
      <w:pPr>
        <w:pStyle w:val="PwCNormal"/>
        <w:numPr>
          <w:ilvl w:val="0"/>
          <w:numId w:val="0"/>
        </w:numPr>
      </w:pPr>
      <w:r>
        <w:t xml:space="preserve">Acknowledging that the National Framework outlined a bold and broad scope in approach and reform, the policy interactions are also broad in nature. Given this, it is not possible to comprehensively assess all policies of all jurisdictions to consider the extent to which each contribute/or are based on the National Framework. </w:t>
      </w:r>
    </w:p>
    <w:p w14:paraId="37A0E4BC" w14:textId="7AB52BC6" w:rsidR="00043881" w:rsidRDefault="00043881" w:rsidP="00043881">
      <w:pPr>
        <w:pStyle w:val="PwCNormal"/>
        <w:numPr>
          <w:ilvl w:val="0"/>
          <w:numId w:val="0"/>
        </w:numPr>
      </w:pPr>
      <w:r>
        <w:fldChar w:fldCharType="begin"/>
      </w:r>
      <w:r>
        <w:instrText xml:space="preserve"> REF _Ref30460987 \h </w:instrText>
      </w:r>
      <w:r>
        <w:fldChar w:fldCharType="separate"/>
      </w:r>
      <w:r w:rsidR="00D75351">
        <w:t xml:space="preserve">Table </w:t>
      </w:r>
      <w:r w:rsidR="00D75351">
        <w:rPr>
          <w:noProof/>
        </w:rPr>
        <w:t>10</w:t>
      </w:r>
      <w:r>
        <w:fldChar w:fldCharType="end"/>
      </w:r>
      <w:r>
        <w:t xml:space="preserve"> outlines a snapshot of key reforms that have been undertaken since 2016 which demonstrates the breadth of activity and intersection of government priorities to that of the National Framework. </w:t>
      </w:r>
    </w:p>
    <w:p w14:paraId="3273DFAF" w14:textId="4A7701AC" w:rsidR="00043881" w:rsidRDefault="00043881" w:rsidP="00043881">
      <w:pPr>
        <w:pStyle w:val="Caption"/>
      </w:pPr>
      <w:bookmarkStart w:id="170" w:name="_Ref30460987"/>
      <w:r>
        <w:t xml:space="preserve">Table </w:t>
      </w:r>
      <w:fldSimple w:instr=" SEQ Table \* ARABIC ">
        <w:r w:rsidR="00D75351">
          <w:rPr>
            <w:noProof/>
          </w:rPr>
          <w:t>10</w:t>
        </w:r>
      </w:fldSimple>
      <w:bookmarkEnd w:id="170"/>
      <w:r>
        <w:t>: Examples of key reforms in related policy domains</w:t>
      </w:r>
      <w:r w:rsidR="00B45566">
        <w:rPr>
          <w:rStyle w:val="FootnoteReference"/>
        </w:rPr>
        <w:footnoteReference w:id="44"/>
      </w:r>
      <w:r>
        <w:t xml:space="preserve"> </w:t>
      </w:r>
    </w:p>
    <w:tbl>
      <w:tblPr>
        <w:tblStyle w:val="PwCColour"/>
        <w:tblW w:w="5000" w:type="pct"/>
        <w:tblLook w:val="04A0" w:firstRow="1" w:lastRow="0" w:firstColumn="1" w:lastColumn="0" w:noHBand="0" w:noVBand="1"/>
        <w:tblCaption w:val="Table 10: Examples of key reforms in related policy domains"/>
        <w:tblDescription w:val="Table 10: Examples of key reforms in related policy domains&#10;&#10;Related policy domains (defined by the evaluation framework) are Family and domestic violence, Education, Housing, Justice, Disability, and Culturally and linguistically diverse communities&#10;Major reforms (primary policy target) for Family and domestic violence are The Commonwealth’s National Plan to Reduce Violence against Women and their Children 2010-2022 and Family and domestic violence plans and government responses in every jurisdiction.&#10;Major reforms (primary policy target) for Education are QLD’s 2016-17 Supporting Families Changing Futures which is a continued 10-year reform program to strengthen families and ACT’s 2018 Early support by design program which is a 10-year program joint initiative to reform human services systems.&#10;Major reform (primary policy target) for Housing is the National Partnership Agreements on Remote Housing and Affordable Housing (Commonwealth, QLD, WA, SA, NT)&#10;Major reform (primary policy target) for Justice is embedded within policy frameworks, but no targeted reform activity identified.&#10;Major reform (primary policy target) for Health is WA’s 2018 Early Years Initiative which is a 10-year partnership to deliver placed-based approaches for early years.&#10;Major reform (primary policy target) for Disability is the National Disability Strategy 2010-2020 and National Disability Insurance Scheme for all governments&#10;Major reforms (primary policy target) for Culturally and linguistically diverse communities are embedded within policy frameworks, but no targeted reform activity identified.&#10;"/>
      </w:tblPr>
      <w:tblGrid>
        <w:gridCol w:w="3256"/>
        <w:gridCol w:w="6599"/>
      </w:tblGrid>
      <w:tr w:rsidR="00043881" w14:paraId="37C4054A" w14:textId="77777777" w:rsidTr="0038246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652" w:type="pct"/>
          </w:tcPr>
          <w:p w14:paraId="2258F8D2" w14:textId="77777777" w:rsidR="00043881" w:rsidRDefault="0061064E" w:rsidP="00382461">
            <w:pPr>
              <w:pStyle w:val="TableColumnHeadingNormal"/>
            </w:pPr>
            <w:r>
              <w:t>Related p</w:t>
            </w:r>
            <w:r w:rsidR="00043881">
              <w:t>olicy domains</w:t>
            </w:r>
            <w:r>
              <w:t xml:space="preserve"> (defined by the evaluation framework)</w:t>
            </w:r>
          </w:p>
        </w:tc>
        <w:tc>
          <w:tcPr>
            <w:tcW w:w="3348" w:type="pct"/>
          </w:tcPr>
          <w:p w14:paraId="4A4E4543" w14:textId="77777777" w:rsidR="00043881" w:rsidRDefault="00043881" w:rsidP="00382461">
            <w:pPr>
              <w:pStyle w:val="TableColumnHeadingNormal"/>
              <w:cnfStyle w:val="100000000000" w:firstRow="1" w:lastRow="0" w:firstColumn="0" w:lastColumn="0" w:oddVBand="0" w:evenVBand="0" w:oddHBand="0" w:evenHBand="0" w:firstRowFirstColumn="0" w:firstRowLastColumn="0" w:lastRowFirstColumn="0" w:lastRowLastColumn="0"/>
            </w:pPr>
            <w:r>
              <w:t>Examples of major reforms (primary policy target)</w:t>
            </w:r>
          </w:p>
        </w:tc>
      </w:tr>
      <w:tr w:rsidR="00043881" w14:paraId="1CC9DB97" w14:textId="77777777" w:rsidTr="00382461">
        <w:tc>
          <w:tcPr>
            <w:tcW w:w="1652" w:type="pct"/>
          </w:tcPr>
          <w:p w14:paraId="760BBB93" w14:textId="77777777" w:rsidR="00043881" w:rsidRDefault="00043881" w:rsidP="00382461">
            <w:pPr>
              <w:pStyle w:val="TableTextNormal"/>
            </w:pPr>
            <w:r>
              <w:t>Family and domestic violence</w:t>
            </w:r>
          </w:p>
        </w:tc>
        <w:tc>
          <w:tcPr>
            <w:tcW w:w="3348" w:type="pct"/>
          </w:tcPr>
          <w:p w14:paraId="3B27F27C" w14:textId="77777777" w:rsidR="00043881" w:rsidRDefault="00043881" w:rsidP="00382461">
            <w:pPr>
              <w:pStyle w:val="TableTextNormal"/>
            </w:pPr>
            <w:r>
              <w:t>The National Plan to Reduce Violence against Women and their Children 2010-2022 (Cwth)</w:t>
            </w:r>
          </w:p>
          <w:p w14:paraId="068E5119" w14:textId="77777777" w:rsidR="00043881" w:rsidRDefault="00043881" w:rsidP="00382461">
            <w:pPr>
              <w:pStyle w:val="TableTextNormal"/>
            </w:pPr>
            <w:r>
              <w:t>Family and domestic violence plans and government responses (every jurisdiction)</w:t>
            </w:r>
          </w:p>
        </w:tc>
      </w:tr>
      <w:tr w:rsidR="00043881" w14:paraId="1C29C4E4" w14:textId="77777777" w:rsidTr="00382461">
        <w:tc>
          <w:tcPr>
            <w:tcW w:w="1652" w:type="pct"/>
          </w:tcPr>
          <w:p w14:paraId="06F9E97B" w14:textId="77777777" w:rsidR="00043881" w:rsidRDefault="00043881" w:rsidP="00382461">
            <w:pPr>
              <w:pStyle w:val="TableTextNormal"/>
            </w:pPr>
            <w:r>
              <w:t>Education</w:t>
            </w:r>
          </w:p>
        </w:tc>
        <w:tc>
          <w:tcPr>
            <w:tcW w:w="3348" w:type="pct"/>
          </w:tcPr>
          <w:p w14:paraId="3C7EBAF2" w14:textId="77777777" w:rsidR="00043881" w:rsidRDefault="00043881" w:rsidP="00382461">
            <w:pPr>
              <w:pStyle w:val="TableTextNormal"/>
            </w:pPr>
            <w:r>
              <w:t>2016-17 Supporting Families Changing Futures (continued 10</w:t>
            </w:r>
            <w:r w:rsidR="0061064E">
              <w:t>-</w:t>
            </w:r>
            <w:r>
              <w:t>year reform program to strengthen families) (QLD)</w:t>
            </w:r>
          </w:p>
          <w:p w14:paraId="64D6B6A5" w14:textId="77777777" w:rsidR="00043881" w:rsidRDefault="00043881" w:rsidP="00382461">
            <w:pPr>
              <w:pStyle w:val="TableTextNormal"/>
            </w:pPr>
            <w:r>
              <w:lastRenderedPageBreak/>
              <w:t>2018 Early support by design program (10</w:t>
            </w:r>
            <w:r w:rsidR="0061064E">
              <w:t>-</w:t>
            </w:r>
            <w:r>
              <w:t>year program joint initiative to reform human services systems) (ACT)</w:t>
            </w:r>
          </w:p>
        </w:tc>
      </w:tr>
      <w:tr w:rsidR="00043881" w14:paraId="26BDD837" w14:textId="77777777" w:rsidTr="00382461">
        <w:tc>
          <w:tcPr>
            <w:tcW w:w="1652" w:type="pct"/>
          </w:tcPr>
          <w:p w14:paraId="0973165B" w14:textId="77777777" w:rsidR="00043881" w:rsidRDefault="00043881" w:rsidP="00382461">
            <w:pPr>
              <w:pStyle w:val="TableTextNormal"/>
            </w:pPr>
            <w:r>
              <w:lastRenderedPageBreak/>
              <w:t>Housing</w:t>
            </w:r>
          </w:p>
        </w:tc>
        <w:tc>
          <w:tcPr>
            <w:tcW w:w="3348" w:type="pct"/>
          </w:tcPr>
          <w:p w14:paraId="1F2D4507" w14:textId="77777777" w:rsidR="00043881" w:rsidRDefault="00043881" w:rsidP="00382461">
            <w:pPr>
              <w:pStyle w:val="TableTextNormal"/>
            </w:pPr>
            <w:r w:rsidRPr="00F94854">
              <w:t>National Partnership Agreements on Remote Housing and Affordable Housing</w:t>
            </w:r>
            <w:r>
              <w:t xml:space="preserve"> (Cwth, QLD, WA, SA, NT)</w:t>
            </w:r>
          </w:p>
        </w:tc>
      </w:tr>
      <w:tr w:rsidR="00043881" w14:paraId="22EB4C2A" w14:textId="77777777" w:rsidTr="00382461">
        <w:tc>
          <w:tcPr>
            <w:tcW w:w="1652" w:type="pct"/>
          </w:tcPr>
          <w:p w14:paraId="5C1C7212" w14:textId="77777777" w:rsidR="00043881" w:rsidRDefault="00043881" w:rsidP="00382461">
            <w:pPr>
              <w:pStyle w:val="TableTextNormal"/>
            </w:pPr>
            <w:r>
              <w:t>Justice</w:t>
            </w:r>
          </w:p>
        </w:tc>
        <w:tc>
          <w:tcPr>
            <w:tcW w:w="3348" w:type="pct"/>
          </w:tcPr>
          <w:p w14:paraId="4A51104E" w14:textId="77777777" w:rsidR="00043881" w:rsidRDefault="00043881" w:rsidP="00382461">
            <w:pPr>
              <w:pStyle w:val="TableTextNormal"/>
            </w:pPr>
            <w:r w:rsidRPr="00BF68C5">
              <w:rPr>
                <w:i/>
              </w:rPr>
              <w:t>Embedded within policy frameworks, but no targeted reform activity identified</w:t>
            </w:r>
          </w:p>
        </w:tc>
      </w:tr>
      <w:tr w:rsidR="00043881" w14:paraId="6991908F" w14:textId="77777777" w:rsidTr="00382461">
        <w:tc>
          <w:tcPr>
            <w:tcW w:w="1652" w:type="pct"/>
          </w:tcPr>
          <w:p w14:paraId="37D5BA34" w14:textId="77777777" w:rsidR="00043881" w:rsidRDefault="00043881" w:rsidP="00382461">
            <w:pPr>
              <w:pStyle w:val="TableTextNormal"/>
            </w:pPr>
            <w:r>
              <w:t xml:space="preserve">Health </w:t>
            </w:r>
          </w:p>
        </w:tc>
        <w:tc>
          <w:tcPr>
            <w:tcW w:w="3348" w:type="pct"/>
          </w:tcPr>
          <w:p w14:paraId="1D5539A7" w14:textId="77777777" w:rsidR="00043881" w:rsidRDefault="00043881" w:rsidP="00382461">
            <w:pPr>
              <w:pStyle w:val="TableTextNormal"/>
            </w:pPr>
            <w:r>
              <w:t>2018 Early Years Initiative (10-year partnership to deliver placed-based approaches for early years) (WA)</w:t>
            </w:r>
          </w:p>
        </w:tc>
      </w:tr>
      <w:tr w:rsidR="00043881" w14:paraId="1B4C09C2" w14:textId="77777777" w:rsidTr="00382461">
        <w:tc>
          <w:tcPr>
            <w:tcW w:w="1652" w:type="pct"/>
          </w:tcPr>
          <w:p w14:paraId="1063B670" w14:textId="77777777" w:rsidR="00043881" w:rsidRDefault="00043881" w:rsidP="00382461">
            <w:pPr>
              <w:pStyle w:val="TableTextNormal"/>
            </w:pPr>
            <w:r>
              <w:t>Disability</w:t>
            </w:r>
          </w:p>
        </w:tc>
        <w:tc>
          <w:tcPr>
            <w:tcW w:w="3348" w:type="pct"/>
          </w:tcPr>
          <w:p w14:paraId="5C5A9D29" w14:textId="77777777" w:rsidR="00043881" w:rsidRDefault="00043881" w:rsidP="00382461">
            <w:pPr>
              <w:pStyle w:val="TableTextNormal"/>
            </w:pPr>
            <w:r>
              <w:t>National Disability Strategy 2010-2020 and National Disability Insurance Scheme (all governments)</w:t>
            </w:r>
          </w:p>
        </w:tc>
      </w:tr>
      <w:tr w:rsidR="00043881" w14:paraId="4DB4B7BF" w14:textId="77777777" w:rsidTr="00382461">
        <w:tc>
          <w:tcPr>
            <w:tcW w:w="1652" w:type="pct"/>
          </w:tcPr>
          <w:p w14:paraId="4F1F257A" w14:textId="77777777" w:rsidR="00043881" w:rsidRDefault="00043881" w:rsidP="00382461">
            <w:pPr>
              <w:pStyle w:val="TableTextNormal"/>
            </w:pPr>
            <w:r>
              <w:t>Culturally and linguistically diverse communities</w:t>
            </w:r>
          </w:p>
        </w:tc>
        <w:tc>
          <w:tcPr>
            <w:tcW w:w="3348" w:type="pct"/>
          </w:tcPr>
          <w:p w14:paraId="78ED9687" w14:textId="77777777" w:rsidR="00043881" w:rsidRPr="00BF68C5" w:rsidRDefault="00043881" w:rsidP="00382461">
            <w:pPr>
              <w:pStyle w:val="TableTextNormal"/>
              <w:rPr>
                <w:i/>
              </w:rPr>
            </w:pPr>
            <w:r w:rsidRPr="00BF68C5">
              <w:rPr>
                <w:i/>
              </w:rPr>
              <w:t>Embedded within policy frameworks, but no targeted reform activity identified</w:t>
            </w:r>
          </w:p>
        </w:tc>
      </w:tr>
    </w:tbl>
    <w:p w14:paraId="28F9FA39" w14:textId="61CF0EDF" w:rsidR="00CF5003" w:rsidRDefault="001E03BC" w:rsidP="00093E98">
      <w:pPr>
        <w:pStyle w:val="PwCNormal"/>
      </w:pPr>
      <w:r>
        <w:t>T</w:t>
      </w:r>
      <w:r w:rsidR="00CF5003">
        <w:t>here have been a wide range of child protection reforms implemented by jurisdictions</w:t>
      </w:r>
      <w:r>
        <w:t xml:space="preserve"> over the operation of the Framework</w:t>
      </w:r>
      <w:r w:rsidR="00CF5003">
        <w:t xml:space="preserve">. A number of </w:t>
      </w:r>
      <w:r w:rsidR="00093E98">
        <w:t xml:space="preserve">these </w:t>
      </w:r>
      <w:r w:rsidR="00CF5003">
        <w:t>examples demonstrate whole-of-system approaches to child protection and youth justice which don’t neatly align to one policy domain. For example, NSW’s Their Futures Matter: A new approach (long term reform strategy addressing service design and delivery) (2016) and NT’s Safe, Thriving and Connected (systemic reforms to support children, young people and families) (2018).</w:t>
      </w:r>
    </w:p>
    <w:p w14:paraId="19011C66" w14:textId="6B5A7ABA" w:rsidR="00CF5003" w:rsidRDefault="00CF5003" w:rsidP="00CF5003">
      <w:pPr>
        <w:pStyle w:val="PwCNormal"/>
      </w:pPr>
      <w:r>
        <w:t xml:space="preserve">There are also a number of major policies, such as Closing the Gap, which intersect across multiple policy domains (as do many of the reforms identified below). These have not been outlined but are illustrative of the busy policy landscape in which the National Framework is operating. </w:t>
      </w:r>
    </w:p>
    <w:p w14:paraId="09232916" w14:textId="5FBD8BB5" w:rsidR="001E03BC" w:rsidRDefault="001E03BC" w:rsidP="00CF5003">
      <w:pPr>
        <w:pStyle w:val="PwCNormal"/>
      </w:pPr>
      <w:r>
        <w:t xml:space="preserve">Further, it is widely recognised that the root causes of child abuse and neglect transcend many related policy domains. This implies that a coordinated policy response must take account of the distributed responsibilities for these policies across Commonwealth and state and territory governments. </w:t>
      </w:r>
    </w:p>
    <w:p w14:paraId="758360F4" w14:textId="149E5F9B" w:rsidR="00043881" w:rsidRPr="00007086" w:rsidRDefault="00CF5003" w:rsidP="00766727">
      <w:pPr>
        <w:pStyle w:val="PwCNormal"/>
      </w:pPr>
      <w:r>
        <w:t>For example, how welfare and child care funding, and the delivery of maternal and child health services is distributed between tiers of governments</w:t>
      </w:r>
      <w:r w:rsidR="001E03BC">
        <w:t>. To truly address these root causes would</w:t>
      </w:r>
      <w:r>
        <w:t xml:space="preserve"> require reforms</w:t>
      </w:r>
      <w:r w:rsidR="001E03BC">
        <w:t xml:space="preserve"> that</w:t>
      </w:r>
      <w:r>
        <w:t xml:space="preserve"> take a whole-of-system approach</w:t>
      </w:r>
      <w:r w:rsidR="001E03BC">
        <w:t xml:space="preserve">. While the extent to which these </w:t>
      </w:r>
      <w:r>
        <w:t xml:space="preserve">connections </w:t>
      </w:r>
      <w:r w:rsidR="001E03BC">
        <w:t>have been made or achieved have not been analysed, it is worth noting that these whole-of-system perspectives are required if the National Framework is to design for its ambition of a sustained reduction in child abuse and neglect</w:t>
      </w:r>
      <w:r>
        <w:t xml:space="preserve">. </w:t>
      </w:r>
      <w:r w:rsidR="001E03BC">
        <w:t>It is not evident that this was achieved in practice. O</w:t>
      </w:r>
      <w:r w:rsidR="00D16954">
        <w:t>rganisation</w:t>
      </w:r>
      <w:r w:rsidR="00C72F94" w:rsidRPr="00007086">
        <w:t xml:space="preserve">s </w:t>
      </w:r>
      <w:r w:rsidR="00C81861">
        <w:t>that were consulted as part of this evaluation stated</w:t>
      </w:r>
      <w:r w:rsidR="0061064E">
        <w:t xml:space="preserve"> that</w:t>
      </w:r>
      <w:r w:rsidR="00043881" w:rsidRPr="00007086">
        <w:t>:</w:t>
      </w:r>
    </w:p>
    <w:p w14:paraId="4C2B5592" w14:textId="7B8B7AF1" w:rsidR="00043881" w:rsidRPr="00007086" w:rsidRDefault="00043881" w:rsidP="00043881">
      <w:pPr>
        <w:pStyle w:val="ListBullet"/>
      </w:pPr>
      <w:r w:rsidRPr="00007086">
        <w:t xml:space="preserve">while the </w:t>
      </w:r>
      <w:r>
        <w:t xml:space="preserve">National </w:t>
      </w:r>
      <w:r w:rsidRPr="00351218">
        <w:t>Framework has raised awareness of the public health model across the sector</w:t>
      </w:r>
      <w:r w:rsidRPr="00007086">
        <w:t xml:space="preserve">, activity has fallen short of achieving coordination outside of the child protection sector </w:t>
      </w:r>
      <w:r>
        <w:t>due to</w:t>
      </w:r>
      <w:r w:rsidR="00507278">
        <w:t xml:space="preserve"> competing priorities of </w:t>
      </w:r>
      <w:r w:rsidRPr="00007086">
        <w:t>broader government and departments and a lack of buy in outside of child protection</w:t>
      </w:r>
      <w:r w:rsidR="00093E98">
        <w:t xml:space="preserve"> (Chapter </w:t>
      </w:r>
      <w:r w:rsidR="00093E98">
        <w:fldChar w:fldCharType="begin"/>
      </w:r>
      <w:r w:rsidR="00093E98">
        <w:instrText xml:space="preserve"> REF _Ref36841751 \r \h </w:instrText>
      </w:r>
      <w:r w:rsidR="00093E98">
        <w:fldChar w:fldCharType="separate"/>
      </w:r>
      <w:r w:rsidR="00D75351">
        <w:t>6</w:t>
      </w:r>
      <w:r w:rsidR="00093E98">
        <w:fldChar w:fldCharType="end"/>
      </w:r>
      <w:r w:rsidR="00093E98">
        <w:t xml:space="preserve"> explores this further)</w:t>
      </w:r>
    </w:p>
    <w:p w14:paraId="357E8F4B" w14:textId="77777777" w:rsidR="00043881" w:rsidRDefault="00043881" w:rsidP="00093E98">
      <w:pPr>
        <w:pStyle w:val="ListBullet"/>
      </w:pPr>
      <w:r w:rsidRPr="00351218">
        <w:t>activity was primarily influenced by the ministerial priorities across different portfolios and jurisdictions</w:t>
      </w:r>
      <w:r>
        <w:t xml:space="preserve">. </w:t>
      </w:r>
      <w:r w:rsidR="00093E98">
        <w:t xml:space="preserve">This was due to a lack of influence beyond child protection portfolios and/or representation from those policy areas within the National Framework governance, with the exception of inter-departmental committees and other informal means. </w:t>
      </w:r>
    </w:p>
    <w:p w14:paraId="534BEE23" w14:textId="77777777" w:rsidR="00043881" w:rsidRPr="0081172A" w:rsidRDefault="00043881" w:rsidP="00093E98">
      <w:pPr>
        <w:pStyle w:val="ListBullet"/>
      </w:pPr>
      <w:r>
        <w:t xml:space="preserve">the broad ranging policy mandate of the National Framework </w:t>
      </w:r>
      <w:r w:rsidR="00093E98" w:rsidRPr="00351218">
        <w:t>was challenged by federalism barriers and other structural barriers (</w:t>
      </w:r>
      <w:r w:rsidR="00093E98">
        <w:t xml:space="preserve">for example, </w:t>
      </w:r>
      <w:r w:rsidRPr="0081172A">
        <w:t>the long</w:t>
      </w:r>
      <w:r w:rsidR="00507278">
        <w:t>-</w:t>
      </w:r>
      <w:r w:rsidRPr="0081172A">
        <w:t>term effects of colonisation and intergenerational trauma experienced by Aboriginal people, families and communities experiencing poverty and the standing of/ respect for children within Australian society</w:t>
      </w:r>
      <w:r w:rsidR="00093E98">
        <w:t>)</w:t>
      </w:r>
      <w:r w:rsidRPr="0081172A">
        <w:t xml:space="preserve">. </w:t>
      </w:r>
    </w:p>
    <w:p w14:paraId="22FB8FE8" w14:textId="77777777" w:rsidR="00043881" w:rsidRPr="00007086" w:rsidRDefault="00043881" w:rsidP="00043881">
      <w:pPr>
        <w:pStyle w:val="ListBullet"/>
      </w:pPr>
      <w:r>
        <w:t>that there are some examples of broader connection across other policy domains</w:t>
      </w:r>
      <w:r w:rsidR="00096CDD">
        <w:t>, such as family and domestic violence, and education initiatives (e.g. First 1000 days)</w:t>
      </w:r>
    </w:p>
    <w:p w14:paraId="27CC6CEF" w14:textId="77777777" w:rsidR="00043881" w:rsidRPr="00007086" w:rsidRDefault="00043881" w:rsidP="00043881">
      <w:pPr>
        <w:pStyle w:val="ListBullet"/>
      </w:pPr>
      <w:r w:rsidRPr="00007086">
        <w:t xml:space="preserve">most </w:t>
      </w:r>
      <w:r w:rsidR="000715F0">
        <w:t xml:space="preserve">government stakeholders consulted </w:t>
      </w:r>
      <w:r w:rsidRPr="00007086">
        <w:t xml:space="preserve">reported that they have many frameworks and strategies that contribute to or impact on the wellbeing of children and these have not been generated with the </w:t>
      </w:r>
      <w:r>
        <w:t xml:space="preserve">National </w:t>
      </w:r>
      <w:r w:rsidRPr="00007086">
        <w:t xml:space="preserve">Framework in mind. Sometimes these are conflicting and sometimes they are duplicative </w:t>
      </w:r>
    </w:p>
    <w:p w14:paraId="687BC265" w14:textId="77777777" w:rsidR="00043881" w:rsidRPr="00007086" w:rsidRDefault="00043881" w:rsidP="005137CB">
      <w:pPr>
        <w:pStyle w:val="ListBullet"/>
        <w:numPr>
          <w:ilvl w:val="1"/>
          <w:numId w:val="10"/>
        </w:numPr>
      </w:pPr>
      <w:r w:rsidRPr="00007086">
        <w:lastRenderedPageBreak/>
        <w:t xml:space="preserve">an example of family violence was provided </w:t>
      </w:r>
      <w:r>
        <w:t xml:space="preserve">where there may be an inherent conflict </w:t>
      </w:r>
      <w:r w:rsidRPr="00007086">
        <w:t xml:space="preserve">between the needs of children and families. </w:t>
      </w:r>
    </w:p>
    <w:p w14:paraId="6EDD9805" w14:textId="77777777" w:rsidR="00043881" w:rsidRPr="00007086" w:rsidRDefault="00043881" w:rsidP="005137CB">
      <w:pPr>
        <w:pStyle w:val="ListBullet"/>
        <w:numPr>
          <w:ilvl w:val="1"/>
          <w:numId w:val="10"/>
        </w:numPr>
      </w:pPr>
      <w:r w:rsidRPr="00007086">
        <w:t xml:space="preserve">another example of the Commonwealth developing/maintaining three separate, but interconnected policies (National Framework, Family Violence Policy and the National Child Safe Policy) </w:t>
      </w:r>
    </w:p>
    <w:p w14:paraId="461DF745" w14:textId="1AC6695E" w:rsidR="00043881" w:rsidRDefault="00043881" w:rsidP="00043881">
      <w:pPr>
        <w:pStyle w:val="ListBullet"/>
      </w:pPr>
      <w:r w:rsidRPr="00007086">
        <w:t xml:space="preserve">there is scope for governments to </w:t>
      </w:r>
      <w:r w:rsidR="00093E98">
        <w:t xml:space="preserve">reconsider </w:t>
      </w:r>
      <w:r w:rsidRPr="00007086">
        <w:t xml:space="preserve">policy and service delivery </w:t>
      </w:r>
      <w:r w:rsidR="00093E98">
        <w:t xml:space="preserve">approaches </w:t>
      </w:r>
      <w:r w:rsidRPr="00007086">
        <w:t>to enable achievement of the outcomes. For example,</w:t>
      </w:r>
      <w:r w:rsidR="00C72F94">
        <w:t xml:space="preserve"> </w:t>
      </w:r>
      <w:r w:rsidR="00093E98">
        <w:t>that</w:t>
      </w:r>
      <w:r w:rsidRPr="00007086">
        <w:t xml:space="preserve"> the </w:t>
      </w:r>
      <w:r w:rsidRPr="00351218">
        <w:t>role for the Commonwealth could be expanded in providing leadership, funding and alignment of levers available to it (for example, welfare) to address the underlying causes of disadvantage</w:t>
      </w:r>
    </w:p>
    <w:p w14:paraId="2E0548B1" w14:textId="6BE214EB" w:rsidR="00FA3C06" w:rsidRDefault="00FA3C06" w:rsidP="00043881">
      <w:pPr>
        <w:pStyle w:val="ListBullet"/>
      </w:pPr>
      <w:r>
        <w:t>in parallel to the National Framework, Governments have implemented a wide range of reforms in connected policy areas, but these have been predominantly led by inquiries or Royal Commissions and not necessarily coordinated with the National Framework.</w:t>
      </w:r>
    </w:p>
    <w:p w14:paraId="2E741219" w14:textId="48C50D7F" w:rsidR="000715F0" w:rsidRPr="00093E98" w:rsidRDefault="000715F0" w:rsidP="00FA3E74">
      <w:pPr>
        <w:pStyle w:val="PwCNormal"/>
        <w:numPr>
          <w:ilvl w:val="0"/>
          <w:numId w:val="0"/>
        </w:numPr>
      </w:pPr>
      <w:r w:rsidRPr="00351218">
        <w:t>The vision of an interconnected policy agenda to achieve outcomes for children and young people through the National Framework was not achieved in practice</w:t>
      </w:r>
      <w:r w:rsidRPr="00093E98">
        <w:t xml:space="preserve">. Barriers include the inability to engage with responsible departments (across and within jurisdictions) in a meaningful way given the focus of activities on child protection, as well as the authorising environment that was established by the membership and accountability embedded by the National Framework’s governance structure. Challenges associated with Commonwealth-state/territory roles and responsibilities also hindered the National Framework’s ambit to address the underlying drivers of and levers to address child abuse and neglect reflected in Australia’s service systems. Additionally, the changing priorities of jurisdictions made it difficult for the National Framework to coordinate </w:t>
      </w:r>
      <w:r w:rsidR="001E03BC">
        <w:t>and align activities to deliver upon its objectives.</w:t>
      </w:r>
      <w:r w:rsidRPr="00093E98">
        <w:t xml:space="preserve"> </w:t>
      </w:r>
    </w:p>
    <w:p w14:paraId="7C53AA83" w14:textId="77777777" w:rsidR="000715F0" w:rsidRDefault="000715F0" w:rsidP="00FA3E74">
      <w:pPr>
        <w:pStyle w:val="ListBullet"/>
        <w:numPr>
          <w:ilvl w:val="0"/>
          <w:numId w:val="0"/>
        </w:numPr>
        <w:ind w:left="284" w:hanging="284"/>
      </w:pPr>
    </w:p>
    <w:p w14:paraId="30C1502A" w14:textId="77777777" w:rsidR="00BD01CA" w:rsidRDefault="00BD01CA" w:rsidP="004631E7">
      <w:pPr>
        <w:pStyle w:val="PwCNormal"/>
        <w:numPr>
          <w:ilvl w:val="0"/>
          <w:numId w:val="0"/>
        </w:numPr>
        <w:sectPr w:rsidR="00BD01CA" w:rsidSect="00CF132C">
          <w:pgSz w:w="11907" w:h="16840" w:code="9"/>
          <w:pgMar w:top="1588" w:right="1021" w:bottom="1418" w:left="1021" w:header="567" w:footer="567" w:gutter="0"/>
          <w:cols w:space="227"/>
          <w:titlePg/>
          <w:docGrid w:linePitch="360"/>
        </w:sectPr>
      </w:pPr>
    </w:p>
    <w:p w14:paraId="032D1661" w14:textId="77777777" w:rsidR="00620786" w:rsidRDefault="00620786" w:rsidP="00B95734">
      <w:pPr>
        <w:pStyle w:val="Heading2"/>
        <w:numPr>
          <w:ilvl w:val="1"/>
          <w:numId w:val="43"/>
        </w:numPr>
      </w:pPr>
      <w:bookmarkStart w:id="171" w:name="_Ref36841751"/>
      <w:bookmarkStart w:id="172" w:name="_Toc42842760"/>
      <w:bookmarkStart w:id="173" w:name="_Toc42847846"/>
      <w:bookmarkStart w:id="174" w:name="_Ref31231261"/>
      <w:r>
        <w:lastRenderedPageBreak/>
        <w:t xml:space="preserve">Evaluation question </w:t>
      </w:r>
      <w:r w:rsidR="003C50A5">
        <w:t>3</w:t>
      </w:r>
      <w:r>
        <w:t>: How effective was the development of the National Framework and Action Plans?</w:t>
      </w:r>
      <w:bookmarkEnd w:id="171"/>
      <w:bookmarkEnd w:id="172"/>
      <w:bookmarkEnd w:id="173"/>
    </w:p>
    <w:p w14:paraId="73C046C6" w14:textId="77777777" w:rsidR="00620786" w:rsidRDefault="00620786" w:rsidP="00620786">
      <w:pPr>
        <w:pStyle w:val="PwCNormal"/>
        <w:spacing w:before="0" w:after="240" w:line="240" w:lineRule="auto"/>
        <w:ind w:left="454"/>
      </w:pPr>
    </w:p>
    <w:p w14:paraId="32681B56" w14:textId="77777777" w:rsidR="00620786" w:rsidRDefault="00620786" w:rsidP="00620786">
      <w:pPr>
        <w:pStyle w:val="PwCNormal"/>
        <w:spacing w:before="0" w:after="240" w:line="240" w:lineRule="auto"/>
        <w:ind w:left="454"/>
      </w:pPr>
      <w:r>
        <w:rPr>
          <w:noProof/>
          <w:lang w:eastAsia="en-AU"/>
        </w:rPr>
        <mc:AlternateContent>
          <mc:Choice Requires="wps">
            <w:drawing>
              <wp:anchor distT="45720" distB="45720" distL="114300" distR="114300" simplePos="0" relativeHeight="251668480" behindDoc="0" locked="0" layoutInCell="1" allowOverlap="1" wp14:anchorId="0625F1AB" wp14:editId="78B4F1D4">
                <wp:simplePos x="0" y="0"/>
                <wp:positionH relativeFrom="column">
                  <wp:posOffset>1351915</wp:posOffset>
                </wp:positionH>
                <wp:positionV relativeFrom="paragraph">
                  <wp:posOffset>334010</wp:posOffset>
                </wp:positionV>
                <wp:extent cx="4419600" cy="411480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4114800"/>
                        </a:xfrm>
                        <a:prstGeom prst="rect">
                          <a:avLst/>
                        </a:prstGeom>
                        <a:solidFill>
                          <a:schemeClr val="accent1"/>
                        </a:solidFill>
                        <a:ln w="9525">
                          <a:noFill/>
                          <a:miter lim="800000"/>
                          <a:headEnd/>
                          <a:tailEnd/>
                        </a:ln>
                      </wps:spPr>
                      <wps:txbx>
                        <w:txbxContent>
                          <w:p w14:paraId="591868EA" w14:textId="77777777" w:rsidR="0080000B" w:rsidRPr="008552A8" w:rsidRDefault="0080000B" w:rsidP="00620786">
                            <w:pPr>
                              <w:pStyle w:val="Divider1SubHeading"/>
                              <w:shd w:val="clear" w:color="auto" w:fill="D04A02" w:themeFill="accent1"/>
                              <w:rPr>
                                <w:rFonts w:asciiTheme="majorHAnsi" w:hAnsiTheme="majorHAnsi"/>
                                <w:i w:val="0"/>
                                <w:iCs/>
                              </w:rPr>
                            </w:pPr>
                            <w:r w:rsidRPr="008552A8">
                              <w:rPr>
                                <w:rFonts w:asciiTheme="majorHAnsi" w:hAnsiTheme="majorHAnsi"/>
                                <w:i w:val="0"/>
                                <w:iCs/>
                              </w:rPr>
                              <w:t>This chapter covers…</w:t>
                            </w:r>
                          </w:p>
                          <w:p w14:paraId="187DB70C" w14:textId="77777777" w:rsidR="0080000B" w:rsidRPr="008552A8" w:rsidRDefault="0080000B" w:rsidP="00B95734">
                            <w:pPr>
                              <w:pStyle w:val="Divider1Text"/>
                              <w:numPr>
                                <w:ilvl w:val="0"/>
                                <w:numId w:val="45"/>
                              </w:numPr>
                              <w:shd w:val="clear" w:color="auto" w:fill="D04A02" w:themeFill="accent1"/>
                              <w:spacing w:before="60" w:after="60" w:line="200" w:lineRule="atLeast"/>
                              <w:ind w:left="714" w:hanging="357"/>
                              <w:rPr>
                                <w:rFonts w:cstheme="minorHAnsi"/>
                                <w:iCs/>
                              </w:rPr>
                            </w:pPr>
                            <w:r w:rsidRPr="008552A8">
                              <w:rPr>
                                <w:rFonts w:cstheme="minorHAnsi"/>
                                <w:iCs/>
                              </w:rPr>
                              <w:t>the development of priorities and actions for the Third and Fourth Action Plans, and the alignment of the priorities and actions with the National Framework, international rights-based treaties and the public health model.</w:t>
                            </w:r>
                          </w:p>
                          <w:p w14:paraId="29E3F943" w14:textId="6A7A946A" w:rsidR="0080000B" w:rsidRPr="008552A8" w:rsidRDefault="0080000B" w:rsidP="00B95734">
                            <w:pPr>
                              <w:pStyle w:val="Divider1Text"/>
                              <w:numPr>
                                <w:ilvl w:val="0"/>
                                <w:numId w:val="45"/>
                              </w:numPr>
                              <w:shd w:val="clear" w:color="auto" w:fill="D04A02" w:themeFill="accent1"/>
                              <w:spacing w:before="60" w:after="60" w:line="200" w:lineRule="atLeast"/>
                              <w:ind w:left="714" w:hanging="357"/>
                              <w:rPr>
                                <w:rFonts w:cstheme="minorHAnsi"/>
                                <w:iCs/>
                              </w:rPr>
                            </w:pPr>
                            <w:r w:rsidRPr="008552A8">
                              <w:rPr>
                                <w:rFonts w:cstheme="minorHAnsi"/>
                                <w:iCs/>
                              </w:rPr>
                              <w:t xml:space="preserve">It comprises of </w:t>
                            </w:r>
                            <w:r>
                              <w:rPr>
                                <w:rFonts w:cstheme="minorHAnsi"/>
                                <w:iCs/>
                              </w:rPr>
                              <w:t>six</w:t>
                            </w:r>
                            <w:r w:rsidRPr="008552A8">
                              <w:rPr>
                                <w:rFonts w:cstheme="minorHAnsi"/>
                                <w:iCs/>
                              </w:rPr>
                              <w:t xml:space="preserve"> key sections:</w:t>
                            </w:r>
                          </w:p>
                          <w:p w14:paraId="29DE5822" w14:textId="6C8ED267" w:rsidR="0080000B" w:rsidRPr="008552A8" w:rsidRDefault="0080000B" w:rsidP="00B95734">
                            <w:pPr>
                              <w:pStyle w:val="Divider1Text"/>
                              <w:numPr>
                                <w:ilvl w:val="1"/>
                                <w:numId w:val="45"/>
                              </w:numPr>
                              <w:shd w:val="clear" w:color="auto" w:fill="D04A02" w:themeFill="accent1"/>
                              <w:spacing w:before="60" w:after="60" w:line="200" w:lineRule="atLeast"/>
                              <w:rPr>
                                <w:rFonts w:cstheme="minorHAnsi"/>
                                <w:iCs/>
                              </w:rPr>
                            </w:pPr>
                            <w:r w:rsidRPr="008552A8">
                              <w:rPr>
                                <w:rFonts w:cstheme="minorHAnsi"/>
                                <w:iCs/>
                              </w:rPr>
                              <w:t xml:space="preserve">Section </w:t>
                            </w:r>
                            <w:r w:rsidRPr="008552A8">
                              <w:rPr>
                                <w:rFonts w:cstheme="minorHAnsi"/>
                                <w:iCs/>
                              </w:rPr>
                              <w:fldChar w:fldCharType="begin"/>
                            </w:r>
                            <w:r w:rsidRPr="008552A8">
                              <w:rPr>
                                <w:rFonts w:cstheme="minorHAnsi"/>
                                <w:iCs/>
                              </w:rPr>
                              <w:instrText xml:space="preserve"> REF _Ref31293319 \n \h  \* MERGEFORMAT </w:instrText>
                            </w:r>
                            <w:r w:rsidRPr="008552A8">
                              <w:rPr>
                                <w:rFonts w:cstheme="minorHAnsi"/>
                                <w:iCs/>
                              </w:rPr>
                            </w:r>
                            <w:r w:rsidRPr="008552A8">
                              <w:rPr>
                                <w:rFonts w:cstheme="minorHAnsi"/>
                                <w:iCs/>
                              </w:rPr>
                              <w:fldChar w:fldCharType="separate"/>
                            </w:r>
                            <w:r>
                              <w:rPr>
                                <w:rFonts w:cstheme="minorHAnsi"/>
                                <w:iCs/>
                              </w:rPr>
                              <w:t>6.1</w:t>
                            </w:r>
                            <w:r w:rsidRPr="008552A8">
                              <w:rPr>
                                <w:rFonts w:cstheme="minorHAnsi"/>
                                <w:iCs/>
                              </w:rPr>
                              <w:fldChar w:fldCharType="end"/>
                            </w:r>
                            <w:r w:rsidRPr="008552A8">
                              <w:rPr>
                                <w:rFonts w:cstheme="minorHAnsi"/>
                                <w:iCs/>
                              </w:rPr>
                              <w:t xml:space="preserve"> and </w:t>
                            </w:r>
                            <w:r w:rsidRPr="008552A8">
                              <w:rPr>
                                <w:rFonts w:cstheme="minorHAnsi"/>
                                <w:iCs/>
                              </w:rPr>
                              <w:fldChar w:fldCharType="begin"/>
                            </w:r>
                            <w:r w:rsidRPr="008552A8">
                              <w:rPr>
                                <w:rFonts w:cstheme="minorHAnsi"/>
                                <w:iCs/>
                              </w:rPr>
                              <w:instrText xml:space="preserve"> REF _Ref31293324 \n \h  \* MERGEFORMAT </w:instrText>
                            </w:r>
                            <w:r w:rsidRPr="008552A8">
                              <w:rPr>
                                <w:rFonts w:cstheme="minorHAnsi"/>
                                <w:iCs/>
                              </w:rPr>
                            </w:r>
                            <w:r w:rsidRPr="008552A8">
                              <w:rPr>
                                <w:rFonts w:cstheme="minorHAnsi"/>
                                <w:iCs/>
                              </w:rPr>
                              <w:fldChar w:fldCharType="separate"/>
                            </w:r>
                            <w:r>
                              <w:rPr>
                                <w:rFonts w:cstheme="minorHAnsi"/>
                                <w:iCs/>
                              </w:rPr>
                              <w:t>6.2</w:t>
                            </w:r>
                            <w:r w:rsidRPr="008552A8">
                              <w:rPr>
                                <w:rFonts w:cstheme="minorHAnsi"/>
                                <w:iCs/>
                              </w:rPr>
                              <w:fldChar w:fldCharType="end"/>
                            </w:r>
                            <w:r w:rsidRPr="008552A8">
                              <w:rPr>
                                <w:rFonts w:cstheme="minorHAnsi"/>
                                <w:iCs/>
                              </w:rPr>
                              <w:t xml:space="preserve"> explores the consultation process used to develop priorities and actions, including lessons learnt</w:t>
                            </w:r>
                          </w:p>
                          <w:p w14:paraId="13FB9B84" w14:textId="2F0F36F0" w:rsidR="0080000B" w:rsidRPr="00E87C23" w:rsidRDefault="0080000B" w:rsidP="00B95734">
                            <w:pPr>
                              <w:pStyle w:val="Divider1Text"/>
                              <w:numPr>
                                <w:ilvl w:val="1"/>
                                <w:numId w:val="45"/>
                              </w:numPr>
                              <w:shd w:val="clear" w:color="auto" w:fill="D04A02" w:themeFill="accent1"/>
                              <w:spacing w:before="60" w:after="60" w:line="200" w:lineRule="atLeast"/>
                              <w:rPr>
                                <w:rFonts w:cstheme="minorHAnsi"/>
                                <w:iCs/>
                              </w:rPr>
                            </w:pPr>
                            <w:r w:rsidRPr="008552A8">
                              <w:rPr>
                                <w:rFonts w:cstheme="minorHAnsi"/>
                                <w:iCs/>
                              </w:rPr>
                              <w:t xml:space="preserve">Section </w:t>
                            </w:r>
                            <w:r w:rsidRPr="008552A8">
                              <w:rPr>
                                <w:rFonts w:cstheme="minorHAnsi"/>
                                <w:iCs/>
                              </w:rPr>
                              <w:fldChar w:fldCharType="begin"/>
                            </w:r>
                            <w:r w:rsidRPr="008552A8">
                              <w:rPr>
                                <w:rFonts w:cstheme="minorHAnsi"/>
                                <w:iCs/>
                              </w:rPr>
                              <w:instrText xml:space="preserve"> REF _Ref31293335 \n \h  \* MERGEFORMAT </w:instrText>
                            </w:r>
                            <w:r w:rsidRPr="008552A8">
                              <w:rPr>
                                <w:rFonts w:cstheme="minorHAnsi"/>
                                <w:iCs/>
                              </w:rPr>
                            </w:r>
                            <w:r w:rsidRPr="008552A8">
                              <w:rPr>
                                <w:rFonts w:cstheme="minorHAnsi"/>
                                <w:iCs/>
                              </w:rPr>
                              <w:fldChar w:fldCharType="separate"/>
                            </w:r>
                            <w:r>
                              <w:rPr>
                                <w:rFonts w:cstheme="minorHAnsi"/>
                                <w:iCs/>
                              </w:rPr>
                              <w:t>6.3</w:t>
                            </w:r>
                            <w:r w:rsidRPr="008552A8">
                              <w:rPr>
                                <w:rFonts w:cstheme="minorHAnsi"/>
                                <w:iCs/>
                              </w:rPr>
                              <w:fldChar w:fldCharType="end"/>
                            </w:r>
                            <w:r w:rsidRPr="008552A8">
                              <w:rPr>
                                <w:rFonts w:cstheme="minorHAnsi"/>
                                <w:iCs/>
                              </w:rPr>
                              <w:t xml:space="preserve"> explores the relationship between the and the priorities and actions and the National Framework outcomes</w:t>
                            </w:r>
                          </w:p>
                          <w:p w14:paraId="73901962" w14:textId="4CF21B6F" w:rsidR="0080000B" w:rsidRDefault="0080000B" w:rsidP="00B95734">
                            <w:pPr>
                              <w:pStyle w:val="Divider1Text"/>
                              <w:numPr>
                                <w:ilvl w:val="1"/>
                                <w:numId w:val="45"/>
                              </w:numPr>
                              <w:shd w:val="clear" w:color="auto" w:fill="D04A02" w:themeFill="accent1"/>
                              <w:spacing w:before="60" w:after="60" w:line="200" w:lineRule="atLeast"/>
                              <w:rPr>
                                <w:rFonts w:cstheme="minorHAnsi"/>
                                <w:iCs/>
                              </w:rPr>
                            </w:pPr>
                            <w:r>
                              <w:rPr>
                                <w:rFonts w:cstheme="minorHAnsi"/>
                                <w:iCs/>
                              </w:rPr>
                              <w:t>Section 6.4 explores the appropriateness of the duration and structure of the National Framework and Action Plans</w:t>
                            </w:r>
                          </w:p>
                          <w:p w14:paraId="44B7BD86" w14:textId="1BD272F0" w:rsidR="0080000B" w:rsidRPr="008552A8" w:rsidRDefault="0080000B" w:rsidP="00B95734">
                            <w:pPr>
                              <w:pStyle w:val="Divider1Text"/>
                              <w:numPr>
                                <w:ilvl w:val="1"/>
                                <w:numId w:val="45"/>
                              </w:numPr>
                              <w:shd w:val="clear" w:color="auto" w:fill="D04A02" w:themeFill="accent1"/>
                              <w:spacing w:before="60" w:after="60" w:line="200" w:lineRule="atLeast"/>
                              <w:rPr>
                                <w:rFonts w:cstheme="minorHAnsi"/>
                                <w:iCs/>
                              </w:rPr>
                            </w:pPr>
                            <w:r w:rsidRPr="008552A8">
                              <w:rPr>
                                <w:rFonts w:cstheme="minorHAnsi"/>
                                <w:iCs/>
                              </w:rPr>
                              <w:t xml:space="preserve">Section </w:t>
                            </w:r>
                            <w:r w:rsidRPr="008552A8">
                              <w:rPr>
                                <w:rFonts w:cstheme="minorHAnsi"/>
                                <w:iCs/>
                              </w:rPr>
                              <w:fldChar w:fldCharType="begin"/>
                            </w:r>
                            <w:r w:rsidRPr="008552A8">
                              <w:rPr>
                                <w:rFonts w:cstheme="minorHAnsi"/>
                                <w:iCs/>
                              </w:rPr>
                              <w:instrText xml:space="preserve"> REF _Ref31293362 \n \h  \* MERGEFORMAT </w:instrText>
                            </w:r>
                            <w:r w:rsidRPr="008552A8">
                              <w:rPr>
                                <w:rFonts w:cstheme="minorHAnsi"/>
                                <w:iCs/>
                              </w:rPr>
                            </w:r>
                            <w:r w:rsidRPr="008552A8">
                              <w:rPr>
                                <w:rFonts w:cstheme="minorHAnsi"/>
                                <w:iCs/>
                              </w:rPr>
                              <w:fldChar w:fldCharType="separate"/>
                            </w:r>
                            <w:r>
                              <w:rPr>
                                <w:rFonts w:cstheme="minorHAnsi"/>
                                <w:iCs/>
                              </w:rPr>
                              <w:t>6.5</w:t>
                            </w:r>
                            <w:r w:rsidRPr="008552A8">
                              <w:rPr>
                                <w:rFonts w:cstheme="minorHAnsi"/>
                                <w:iCs/>
                              </w:rPr>
                              <w:fldChar w:fldCharType="end"/>
                            </w:r>
                            <w:r w:rsidRPr="008552A8">
                              <w:rPr>
                                <w:rFonts w:cstheme="minorHAnsi"/>
                                <w:iCs/>
                              </w:rPr>
                              <w:t xml:space="preserve"> explores the relationship between the priorities and actions and relevant international rights treaties</w:t>
                            </w:r>
                          </w:p>
                          <w:p w14:paraId="57EE86A9" w14:textId="6E1CD406" w:rsidR="0080000B" w:rsidRPr="008552A8" w:rsidRDefault="0080000B" w:rsidP="00B95734">
                            <w:pPr>
                              <w:pStyle w:val="Divider1Text"/>
                              <w:numPr>
                                <w:ilvl w:val="1"/>
                                <w:numId w:val="45"/>
                              </w:numPr>
                              <w:shd w:val="clear" w:color="auto" w:fill="D04A02" w:themeFill="accent1"/>
                              <w:spacing w:before="60" w:after="60" w:line="200" w:lineRule="atLeast"/>
                              <w:rPr>
                                <w:rFonts w:cstheme="minorHAnsi"/>
                                <w:iCs/>
                              </w:rPr>
                            </w:pPr>
                            <w:r w:rsidRPr="008552A8">
                              <w:rPr>
                                <w:rFonts w:cstheme="minorHAnsi"/>
                                <w:iCs/>
                              </w:rPr>
                              <w:t xml:space="preserve">Section </w:t>
                            </w:r>
                            <w:r w:rsidRPr="008552A8">
                              <w:rPr>
                                <w:rFonts w:cstheme="minorHAnsi"/>
                                <w:iCs/>
                              </w:rPr>
                              <w:fldChar w:fldCharType="begin"/>
                            </w:r>
                            <w:r w:rsidRPr="008552A8">
                              <w:rPr>
                                <w:rFonts w:cstheme="minorHAnsi"/>
                                <w:iCs/>
                              </w:rPr>
                              <w:instrText xml:space="preserve"> REF _Ref31293372 \n \h  \* MERGEFORMAT </w:instrText>
                            </w:r>
                            <w:r w:rsidRPr="008552A8">
                              <w:rPr>
                                <w:rFonts w:cstheme="minorHAnsi"/>
                                <w:iCs/>
                              </w:rPr>
                            </w:r>
                            <w:r w:rsidRPr="008552A8">
                              <w:rPr>
                                <w:rFonts w:cstheme="minorHAnsi"/>
                                <w:iCs/>
                              </w:rPr>
                              <w:fldChar w:fldCharType="separate"/>
                            </w:r>
                            <w:r>
                              <w:rPr>
                                <w:rFonts w:cstheme="minorHAnsi"/>
                                <w:iCs/>
                              </w:rPr>
                              <w:t>6.6</w:t>
                            </w:r>
                            <w:r w:rsidRPr="008552A8">
                              <w:rPr>
                                <w:rFonts w:cstheme="minorHAnsi"/>
                                <w:iCs/>
                              </w:rPr>
                              <w:fldChar w:fldCharType="end"/>
                            </w:r>
                            <w:r w:rsidRPr="008552A8">
                              <w:rPr>
                                <w:rFonts w:cstheme="minorHAnsi"/>
                                <w:iCs/>
                              </w:rPr>
                              <w:t xml:space="preserve"> explores the relationship between the priorities and actions and the public health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5F1AB" id="_x0000_s1030" type="#_x0000_t202" style="position:absolute;left:0;text-align:left;margin-left:106.45pt;margin-top:26.3pt;width:348pt;height:32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" fillcolor="#d04a02 [3204]" stroked="f">
                <v:textbox>
                  <w:txbxContent>
                    <w:p w14:paraId="591868EA" w14:textId="77777777" w:rsidR="0080000B" w:rsidRPr="008552A8" w:rsidRDefault="0080000B" w:rsidP="00620786">
                      <w:pPr>
                        <w:pStyle w:val="Divider1SubHeading"/>
                        <w:shd w:val="clear" w:color="auto" w:fill="D04A02" w:themeFill="accent1"/>
                        <w:rPr>
                          <w:rFonts w:asciiTheme="majorHAnsi" w:hAnsiTheme="majorHAnsi"/>
                          <w:i w:val="0"/>
                          <w:iCs/>
                        </w:rPr>
                      </w:pPr>
                      <w:r w:rsidRPr="008552A8">
                        <w:rPr>
                          <w:rFonts w:asciiTheme="majorHAnsi" w:hAnsiTheme="majorHAnsi"/>
                          <w:i w:val="0"/>
                          <w:iCs/>
                        </w:rPr>
                        <w:t>This chapter covers…</w:t>
                      </w:r>
                    </w:p>
                    <w:p w14:paraId="187DB70C" w14:textId="77777777" w:rsidR="0080000B" w:rsidRPr="008552A8" w:rsidRDefault="0080000B" w:rsidP="00B95734">
                      <w:pPr>
                        <w:pStyle w:val="Divider1Text"/>
                        <w:numPr>
                          <w:ilvl w:val="0"/>
                          <w:numId w:val="45"/>
                        </w:numPr>
                        <w:shd w:val="clear" w:color="auto" w:fill="D04A02" w:themeFill="accent1"/>
                        <w:spacing w:before="60" w:after="60" w:line="200" w:lineRule="atLeast"/>
                        <w:ind w:left="714" w:hanging="357"/>
                        <w:rPr>
                          <w:rFonts w:cstheme="minorHAnsi"/>
                          <w:iCs/>
                        </w:rPr>
                      </w:pPr>
                      <w:r w:rsidRPr="008552A8">
                        <w:rPr>
                          <w:rFonts w:cstheme="minorHAnsi"/>
                          <w:iCs/>
                        </w:rPr>
                        <w:t>the development of priorities and actions for the Third and Fourth Action Plans, and the alignment of the priorities and actions with the National Framework, international rights-based treaties and the public health model.</w:t>
                      </w:r>
                    </w:p>
                    <w:p w14:paraId="29E3F943" w14:textId="6A7A946A" w:rsidR="0080000B" w:rsidRPr="008552A8" w:rsidRDefault="0080000B" w:rsidP="00B95734">
                      <w:pPr>
                        <w:pStyle w:val="Divider1Text"/>
                        <w:numPr>
                          <w:ilvl w:val="0"/>
                          <w:numId w:val="45"/>
                        </w:numPr>
                        <w:shd w:val="clear" w:color="auto" w:fill="D04A02" w:themeFill="accent1"/>
                        <w:spacing w:before="60" w:after="60" w:line="200" w:lineRule="atLeast"/>
                        <w:ind w:left="714" w:hanging="357"/>
                        <w:rPr>
                          <w:rFonts w:cstheme="minorHAnsi"/>
                          <w:iCs/>
                        </w:rPr>
                      </w:pPr>
                      <w:r w:rsidRPr="008552A8">
                        <w:rPr>
                          <w:rFonts w:cstheme="minorHAnsi"/>
                          <w:iCs/>
                        </w:rPr>
                        <w:t xml:space="preserve">It comprises of </w:t>
                      </w:r>
                      <w:r>
                        <w:rPr>
                          <w:rFonts w:cstheme="minorHAnsi"/>
                          <w:iCs/>
                        </w:rPr>
                        <w:t>six</w:t>
                      </w:r>
                      <w:r w:rsidRPr="008552A8">
                        <w:rPr>
                          <w:rFonts w:cstheme="minorHAnsi"/>
                          <w:iCs/>
                        </w:rPr>
                        <w:t xml:space="preserve"> key sections:</w:t>
                      </w:r>
                    </w:p>
                    <w:p w14:paraId="29DE5822" w14:textId="6C8ED267" w:rsidR="0080000B" w:rsidRPr="008552A8" w:rsidRDefault="0080000B" w:rsidP="00B95734">
                      <w:pPr>
                        <w:pStyle w:val="Divider1Text"/>
                        <w:numPr>
                          <w:ilvl w:val="1"/>
                          <w:numId w:val="45"/>
                        </w:numPr>
                        <w:shd w:val="clear" w:color="auto" w:fill="D04A02" w:themeFill="accent1"/>
                        <w:spacing w:before="60" w:after="60" w:line="200" w:lineRule="atLeast"/>
                        <w:rPr>
                          <w:rFonts w:cstheme="minorHAnsi"/>
                          <w:iCs/>
                        </w:rPr>
                      </w:pPr>
                      <w:r w:rsidRPr="008552A8">
                        <w:rPr>
                          <w:rFonts w:cstheme="minorHAnsi"/>
                          <w:iCs/>
                        </w:rPr>
                        <w:t xml:space="preserve">Section </w:t>
                      </w:r>
                      <w:r w:rsidRPr="008552A8">
                        <w:rPr>
                          <w:rFonts w:cstheme="minorHAnsi"/>
                          <w:iCs/>
                        </w:rPr>
                        <w:fldChar w:fldCharType="begin"/>
                      </w:r>
                      <w:r w:rsidRPr="008552A8">
                        <w:rPr>
                          <w:rFonts w:cstheme="minorHAnsi"/>
                          <w:iCs/>
                        </w:rPr>
                        <w:instrText xml:space="preserve"> REF _Ref31293319 \n \h  \* MERGEFORMAT </w:instrText>
                      </w:r>
                      <w:r w:rsidRPr="008552A8">
                        <w:rPr>
                          <w:rFonts w:cstheme="minorHAnsi"/>
                          <w:iCs/>
                        </w:rPr>
                      </w:r>
                      <w:r w:rsidRPr="008552A8">
                        <w:rPr>
                          <w:rFonts w:cstheme="minorHAnsi"/>
                          <w:iCs/>
                        </w:rPr>
                        <w:fldChar w:fldCharType="separate"/>
                      </w:r>
                      <w:r>
                        <w:rPr>
                          <w:rFonts w:cstheme="minorHAnsi"/>
                          <w:iCs/>
                        </w:rPr>
                        <w:t>6.1</w:t>
                      </w:r>
                      <w:r w:rsidRPr="008552A8">
                        <w:rPr>
                          <w:rFonts w:cstheme="minorHAnsi"/>
                          <w:iCs/>
                        </w:rPr>
                        <w:fldChar w:fldCharType="end"/>
                      </w:r>
                      <w:r w:rsidRPr="008552A8">
                        <w:rPr>
                          <w:rFonts w:cstheme="minorHAnsi"/>
                          <w:iCs/>
                        </w:rPr>
                        <w:t xml:space="preserve"> and </w:t>
                      </w:r>
                      <w:r w:rsidRPr="008552A8">
                        <w:rPr>
                          <w:rFonts w:cstheme="minorHAnsi"/>
                          <w:iCs/>
                        </w:rPr>
                        <w:fldChar w:fldCharType="begin"/>
                      </w:r>
                      <w:r w:rsidRPr="008552A8">
                        <w:rPr>
                          <w:rFonts w:cstheme="minorHAnsi"/>
                          <w:iCs/>
                        </w:rPr>
                        <w:instrText xml:space="preserve"> REF _Ref31293324 \n \h  \* MERGEFORMAT </w:instrText>
                      </w:r>
                      <w:r w:rsidRPr="008552A8">
                        <w:rPr>
                          <w:rFonts w:cstheme="minorHAnsi"/>
                          <w:iCs/>
                        </w:rPr>
                      </w:r>
                      <w:r w:rsidRPr="008552A8">
                        <w:rPr>
                          <w:rFonts w:cstheme="minorHAnsi"/>
                          <w:iCs/>
                        </w:rPr>
                        <w:fldChar w:fldCharType="separate"/>
                      </w:r>
                      <w:r>
                        <w:rPr>
                          <w:rFonts w:cstheme="minorHAnsi"/>
                          <w:iCs/>
                        </w:rPr>
                        <w:t>6.2</w:t>
                      </w:r>
                      <w:r w:rsidRPr="008552A8">
                        <w:rPr>
                          <w:rFonts w:cstheme="minorHAnsi"/>
                          <w:iCs/>
                        </w:rPr>
                        <w:fldChar w:fldCharType="end"/>
                      </w:r>
                      <w:r w:rsidRPr="008552A8">
                        <w:rPr>
                          <w:rFonts w:cstheme="minorHAnsi"/>
                          <w:iCs/>
                        </w:rPr>
                        <w:t xml:space="preserve"> explores the consultation process used to develop priorities and actions, including lessons learnt</w:t>
                      </w:r>
                    </w:p>
                    <w:p w14:paraId="13FB9B84" w14:textId="2F0F36F0" w:rsidR="0080000B" w:rsidRPr="00E87C23" w:rsidRDefault="0080000B" w:rsidP="00B95734">
                      <w:pPr>
                        <w:pStyle w:val="Divider1Text"/>
                        <w:numPr>
                          <w:ilvl w:val="1"/>
                          <w:numId w:val="45"/>
                        </w:numPr>
                        <w:shd w:val="clear" w:color="auto" w:fill="D04A02" w:themeFill="accent1"/>
                        <w:spacing w:before="60" w:after="60" w:line="200" w:lineRule="atLeast"/>
                        <w:rPr>
                          <w:rFonts w:cstheme="minorHAnsi"/>
                          <w:iCs/>
                        </w:rPr>
                      </w:pPr>
                      <w:r w:rsidRPr="008552A8">
                        <w:rPr>
                          <w:rFonts w:cstheme="minorHAnsi"/>
                          <w:iCs/>
                        </w:rPr>
                        <w:t xml:space="preserve">Section </w:t>
                      </w:r>
                      <w:r w:rsidRPr="008552A8">
                        <w:rPr>
                          <w:rFonts w:cstheme="minorHAnsi"/>
                          <w:iCs/>
                        </w:rPr>
                        <w:fldChar w:fldCharType="begin"/>
                      </w:r>
                      <w:r w:rsidRPr="008552A8">
                        <w:rPr>
                          <w:rFonts w:cstheme="minorHAnsi"/>
                          <w:iCs/>
                        </w:rPr>
                        <w:instrText xml:space="preserve"> REF _Ref31293335 \n \h  \* MERGEFORMAT </w:instrText>
                      </w:r>
                      <w:r w:rsidRPr="008552A8">
                        <w:rPr>
                          <w:rFonts w:cstheme="minorHAnsi"/>
                          <w:iCs/>
                        </w:rPr>
                      </w:r>
                      <w:r w:rsidRPr="008552A8">
                        <w:rPr>
                          <w:rFonts w:cstheme="minorHAnsi"/>
                          <w:iCs/>
                        </w:rPr>
                        <w:fldChar w:fldCharType="separate"/>
                      </w:r>
                      <w:r>
                        <w:rPr>
                          <w:rFonts w:cstheme="minorHAnsi"/>
                          <w:iCs/>
                        </w:rPr>
                        <w:t>6.3</w:t>
                      </w:r>
                      <w:r w:rsidRPr="008552A8">
                        <w:rPr>
                          <w:rFonts w:cstheme="minorHAnsi"/>
                          <w:iCs/>
                        </w:rPr>
                        <w:fldChar w:fldCharType="end"/>
                      </w:r>
                      <w:r w:rsidRPr="008552A8">
                        <w:rPr>
                          <w:rFonts w:cstheme="minorHAnsi"/>
                          <w:iCs/>
                        </w:rPr>
                        <w:t xml:space="preserve"> explores the relationship between the and the priorities and actions and the National Framework outcomes</w:t>
                      </w:r>
                    </w:p>
                    <w:p w14:paraId="73901962" w14:textId="4CF21B6F" w:rsidR="0080000B" w:rsidRDefault="0080000B" w:rsidP="00B95734">
                      <w:pPr>
                        <w:pStyle w:val="Divider1Text"/>
                        <w:numPr>
                          <w:ilvl w:val="1"/>
                          <w:numId w:val="45"/>
                        </w:numPr>
                        <w:shd w:val="clear" w:color="auto" w:fill="D04A02" w:themeFill="accent1"/>
                        <w:spacing w:before="60" w:after="60" w:line="200" w:lineRule="atLeast"/>
                        <w:rPr>
                          <w:rFonts w:cstheme="minorHAnsi"/>
                          <w:iCs/>
                        </w:rPr>
                      </w:pPr>
                      <w:r>
                        <w:rPr>
                          <w:rFonts w:cstheme="minorHAnsi"/>
                          <w:iCs/>
                        </w:rPr>
                        <w:t>Section 6.4 explores the appropriateness of the duration and structure of the National Framework and Action Plans</w:t>
                      </w:r>
                    </w:p>
                    <w:p w14:paraId="44B7BD86" w14:textId="1BD272F0" w:rsidR="0080000B" w:rsidRPr="008552A8" w:rsidRDefault="0080000B" w:rsidP="00B95734">
                      <w:pPr>
                        <w:pStyle w:val="Divider1Text"/>
                        <w:numPr>
                          <w:ilvl w:val="1"/>
                          <w:numId w:val="45"/>
                        </w:numPr>
                        <w:shd w:val="clear" w:color="auto" w:fill="D04A02" w:themeFill="accent1"/>
                        <w:spacing w:before="60" w:after="60" w:line="200" w:lineRule="atLeast"/>
                        <w:rPr>
                          <w:rFonts w:cstheme="minorHAnsi"/>
                          <w:iCs/>
                        </w:rPr>
                      </w:pPr>
                      <w:r w:rsidRPr="008552A8">
                        <w:rPr>
                          <w:rFonts w:cstheme="minorHAnsi"/>
                          <w:iCs/>
                        </w:rPr>
                        <w:t xml:space="preserve">Section </w:t>
                      </w:r>
                      <w:r w:rsidRPr="008552A8">
                        <w:rPr>
                          <w:rFonts w:cstheme="minorHAnsi"/>
                          <w:iCs/>
                        </w:rPr>
                        <w:fldChar w:fldCharType="begin"/>
                      </w:r>
                      <w:r w:rsidRPr="008552A8">
                        <w:rPr>
                          <w:rFonts w:cstheme="minorHAnsi"/>
                          <w:iCs/>
                        </w:rPr>
                        <w:instrText xml:space="preserve"> REF _Ref31293362 \n \h  \* MERGEFORMAT </w:instrText>
                      </w:r>
                      <w:r w:rsidRPr="008552A8">
                        <w:rPr>
                          <w:rFonts w:cstheme="minorHAnsi"/>
                          <w:iCs/>
                        </w:rPr>
                      </w:r>
                      <w:r w:rsidRPr="008552A8">
                        <w:rPr>
                          <w:rFonts w:cstheme="minorHAnsi"/>
                          <w:iCs/>
                        </w:rPr>
                        <w:fldChar w:fldCharType="separate"/>
                      </w:r>
                      <w:r>
                        <w:rPr>
                          <w:rFonts w:cstheme="minorHAnsi"/>
                          <w:iCs/>
                        </w:rPr>
                        <w:t>6.5</w:t>
                      </w:r>
                      <w:r w:rsidRPr="008552A8">
                        <w:rPr>
                          <w:rFonts w:cstheme="minorHAnsi"/>
                          <w:iCs/>
                        </w:rPr>
                        <w:fldChar w:fldCharType="end"/>
                      </w:r>
                      <w:r w:rsidRPr="008552A8">
                        <w:rPr>
                          <w:rFonts w:cstheme="minorHAnsi"/>
                          <w:iCs/>
                        </w:rPr>
                        <w:t xml:space="preserve"> explores the relationship between the priorities and actions and relevant international rights treaties</w:t>
                      </w:r>
                    </w:p>
                    <w:p w14:paraId="57EE86A9" w14:textId="6E1CD406" w:rsidR="0080000B" w:rsidRPr="008552A8" w:rsidRDefault="0080000B" w:rsidP="00B95734">
                      <w:pPr>
                        <w:pStyle w:val="Divider1Text"/>
                        <w:numPr>
                          <w:ilvl w:val="1"/>
                          <w:numId w:val="45"/>
                        </w:numPr>
                        <w:shd w:val="clear" w:color="auto" w:fill="D04A02" w:themeFill="accent1"/>
                        <w:spacing w:before="60" w:after="60" w:line="200" w:lineRule="atLeast"/>
                        <w:rPr>
                          <w:rFonts w:cstheme="minorHAnsi"/>
                          <w:iCs/>
                        </w:rPr>
                      </w:pPr>
                      <w:r w:rsidRPr="008552A8">
                        <w:rPr>
                          <w:rFonts w:cstheme="minorHAnsi"/>
                          <w:iCs/>
                        </w:rPr>
                        <w:t xml:space="preserve">Section </w:t>
                      </w:r>
                      <w:r w:rsidRPr="008552A8">
                        <w:rPr>
                          <w:rFonts w:cstheme="minorHAnsi"/>
                          <w:iCs/>
                        </w:rPr>
                        <w:fldChar w:fldCharType="begin"/>
                      </w:r>
                      <w:r w:rsidRPr="008552A8">
                        <w:rPr>
                          <w:rFonts w:cstheme="minorHAnsi"/>
                          <w:iCs/>
                        </w:rPr>
                        <w:instrText xml:space="preserve"> REF _Ref31293372 \n \h  \* MERGEFORMAT </w:instrText>
                      </w:r>
                      <w:r w:rsidRPr="008552A8">
                        <w:rPr>
                          <w:rFonts w:cstheme="minorHAnsi"/>
                          <w:iCs/>
                        </w:rPr>
                      </w:r>
                      <w:r w:rsidRPr="008552A8">
                        <w:rPr>
                          <w:rFonts w:cstheme="minorHAnsi"/>
                          <w:iCs/>
                        </w:rPr>
                        <w:fldChar w:fldCharType="separate"/>
                      </w:r>
                      <w:r>
                        <w:rPr>
                          <w:rFonts w:cstheme="minorHAnsi"/>
                          <w:iCs/>
                        </w:rPr>
                        <w:t>6.6</w:t>
                      </w:r>
                      <w:r w:rsidRPr="008552A8">
                        <w:rPr>
                          <w:rFonts w:cstheme="minorHAnsi"/>
                          <w:iCs/>
                        </w:rPr>
                        <w:fldChar w:fldCharType="end"/>
                      </w:r>
                      <w:r w:rsidRPr="008552A8">
                        <w:rPr>
                          <w:rFonts w:cstheme="minorHAnsi"/>
                          <w:iCs/>
                        </w:rPr>
                        <w:t xml:space="preserve"> explores the relationship between the priorities and actions and the public health model</w:t>
                      </w:r>
                    </w:p>
                  </w:txbxContent>
                </v:textbox>
                <w10:wrap type="square"/>
              </v:shape>
            </w:pict>
          </mc:Fallback>
        </mc:AlternateContent>
      </w:r>
      <w:r>
        <w:br w:type="page"/>
      </w:r>
    </w:p>
    <w:p w14:paraId="5EED70F5" w14:textId="77777777" w:rsidR="005137CB" w:rsidRDefault="005137CB" w:rsidP="00B95734">
      <w:pPr>
        <w:pStyle w:val="Heading6"/>
        <w:numPr>
          <w:ilvl w:val="2"/>
          <w:numId w:val="43"/>
        </w:numPr>
        <w:ind w:left="851"/>
      </w:pPr>
      <w:bookmarkStart w:id="175" w:name="_Ref31293319"/>
      <w:bookmarkStart w:id="176" w:name="_Toc42847847"/>
      <w:bookmarkStart w:id="177" w:name="_Toc28860329"/>
      <w:bookmarkStart w:id="178" w:name="_Toc30582408"/>
      <w:bookmarkEnd w:id="135"/>
      <w:bookmarkEnd w:id="136"/>
      <w:bookmarkEnd w:id="174"/>
      <w:r>
        <w:lastRenderedPageBreak/>
        <w:t>Consultation process used to develop priorities and actions</w:t>
      </w:r>
      <w:bookmarkEnd w:id="175"/>
      <w:bookmarkEnd w:id="176"/>
    </w:p>
    <w:tbl>
      <w:tblPr>
        <w:tblStyle w:val="PwCColour"/>
        <w:tblW w:w="5000" w:type="pct"/>
        <w:tblBorders>
          <w:top w:val="single" w:sz="4" w:space="0" w:color="EB8C00" w:themeColor="accent4"/>
          <w:left w:val="single" w:sz="4" w:space="0" w:color="EB8C00" w:themeColor="accent4"/>
          <w:bottom w:val="single" w:sz="4" w:space="0" w:color="EB8C00" w:themeColor="accent4"/>
          <w:right w:val="single" w:sz="4" w:space="0" w:color="EB8C00" w:themeColor="accent4"/>
          <w:insideH w:val="none" w:sz="0" w:space="0" w:color="auto"/>
          <w:insideV w:val="none" w:sz="0" w:space="0" w:color="auto"/>
        </w:tblBorders>
        <w:shd w:val="clear" w:color="auto" w:fill="FED8C3" w:themeFill="accent1" w:themeFillTint="33"/>
        <w:tblLook w:val="04A0" w:firstRow="1" w:lastRow="0" w:firstColumn="1" w:lastColumn="0" w:noHBand="0" w:noVBand="1"/>
        <w:tblCaption w:val="Key finding"/>
        <w:tblDescription w:val="There were clear consultation processes that supported the development of the Third and Fourth Action Plans, but there were some challenges engaging with portfolios outside of child protection. As a result, the priorities and actions included in the Third and Fourth Action Plan were narrowly focussed on child protection. In addition, some key groups were not adequately consulted with including children and young people, Indigenous and CALD stakeholders."/>
      </w:tblPr>
      <w:tblGrid>
        <w:gridCol w:w="9855"/>
      </w:tblGrid>
      <w:tr w:rsidR="005137CB" w:rsidRPr="00495E6A" w14:paraId="0DA6F69D" w14:textId="77777777" w:rsidTr="00BA62F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5000" w:type="pct"/>
            <w:tcBorders>
              <w:top w:val="none" w:sz="0" w:space="0" w:color="auto"/>
              <w:bottom w:val="none" w:sz="0" w:space="0" w:color="auto"/>
            </w:tcBorders>
            <w:shd w:val="clear" w:color="auto" w:fill="FED8C3" w:themeFill="accent1" w:themeFillTint="33"/>
            <w:vAlign w:val="center"/>
          </w:tcPr>
          <w:p w14:paraId="24E84BBE" w14:textId="284E31C5" w:rsidR="009A709D" w:rsidRPr="00837D42" w:rsidRDefault="009A709D" w:rsidP="00B83549">
            <w:pPr>
              <w:pStyle w:val="PwCNormal"/>
              <w:numPr>
                <w:ilvl w:val="0"/>
                <w:numId w:val="0"/>
              </w:numPr>
              <w:spacing w:before="60" w:after="60" w:line="240" w:lineRule="auto"/>
              <w:rPr>
                <w:b/>
              </w:rPr>
            </w:pPr>
            <w:r>
              <w:rPr>
                <w:b/>
              </w:rPr>
              <w:t>Key finding</w:t>
            </w:r>
          </w:p>
          <w:p w14:paraId="3BDC4DF1" w14:textId="77777777" w:rsidR="005137CB" w:rsidRPr="00495E6A" w:rsidRDefault="00894B3D" w:rsidP="00D36A99">
            <w:pPr>
              <w:pStyle w:val="ListBullet"/>
              <w:numPr>
                <w:ilvl w:val="0"/>
                <w:numId w:val="0"/>
              </w:numPr>
              <w:ind w:left="284"/>
            </w:pPr>
            <w:r w:rsidRPr="008730A8">
              <w:t>There were clear consultation processes that supported the development of the Third and Fourth Action Plans, but there were some challenges engaging with portfolios outside of child protection. As a result</w:t>
            </w:r>
            <w:r w:rsidR="00CD57AA" w:rsidRPr="008730A8">
              <w:t>,</w:t>
            </w:r>
            <w:r w:rsidRPr="00CC3434">
              <w:t xml:space="preserve"> the priorities and actions included in the Third and Fourth Action Plan were narrowly focussed on child protection. In addition</w:t>
            </w:r>
            <w:r w:rsidR="00CD57AA" w:rsidRPr="00CC3434">
              <w:t>,</w:t>
            </w:r>
            <w:r w:rsidRPr="00CC3434">
              <w:t xml:space="preserve"> some key grou</w:t>
            </w:r>
            <w:r w:rsidRPr="00495E6A">
              <w:t>ps were not adequately consulted with including children and young people, Indigenous and CALD stakeholders.</w:t>
            </w:r>
          </w:p>
        </w:tc>
      </w:tr>
    </w:tbl>
    <w:p w14:paraId="594F9344" w14:textId="77777777" w:rsidR="005137CB" w:rsidRPr="00495E6A" w:rsidRDefault="005137CB" w:rsidP="005137CB">
      <w:pPr>
        <w:pStyle w:val="PwCNormal"/>
      </w:pPr>
      <w:r w:rsidRPr="00495E6A">
        <w:t xml:space="preserve">Consultation was a key process feature discussed by organisations in this evaluation. Observations tended to fall into two key themes; how the consultation process affected the development of priorities and actions, and how </w:t>
      </w:r>
      <w:r w:rsidR="00D16954" w:rsidRPr="00495E6A">
        <w:t>organisation</w:t>
      </w:r>
      <w:r w:rsidRPr="00495E6A">
        <w:t xml:space="preserve">s engaged in consultation influenced the development of priorities and actions agreed in action plans. </w:t>
      </w:r>
    </w:p>
    <w:p w14:paraId="5CD17450" w14:textId="77777777" w:rsidR="005137CB" w:rsidRPr="00495E6A" w:rsidRDefault="005137CB" w:rsidP="005137CB">
      <w:pPr>
        <w:pStyle w:val="PwCNormal"/>
        <w:numPr>
          <w:ilvl w:val="0"/>
          <w:numId w:val="0"/>
        </w:numPr>
        <w:rPr>
          <w:b/>
        </w:rPr>
      </w:pPr>
      <w:r w:rsidRPr="00495E6A">
        <w:rPr>
          <w:b/>
        </w:rPr>
        <w:t>Impact of consultations on priorities and actions agreed in action plans</w:t>
      </w:r>
    </w:p>
    <w:p w14:paraId="6A680E61" w14:textId="42E77A7C" w:rsidR="005137CB" w:rsidRPr="00495E6A" w:rsidRDefault="001A69DB" w:rsidP="005137CB">
      <w:pPr>
        <w:pStyle w:val="PwCNormal"/>
        <w:numPr>
          <w:ilvl w:val="0"/>
          <w:numId w:val="0"/>
        </w:numPr>
      </w:pPr>
      <w:r w:rsidRPr="00495E6A">
        <w:t xml:space="preserve">Organisations considered </w:t>
      </w:r>
      <w:r w:rsidR="006706B5" w:rsidRPr="00495E6A">
        <w:t>that the consultation process</w:t>
      </w:r>
      <w:r w:rsidR="009A5A92" w:rsidRPr="00495E6A">
        <w:t>es were</w:t>
      </w:r>
      <w:r w:rsidR="006706B5" w:rsidRPr="00495E6A">
        <w:t xml:space="preserve"> professional and led to meaningful discussions. However, some organisations considered that </w:t>
      </w:r>
      <w:r w:rsidR="005137CB" w:rsidRPr="00495E6A">
        <w:t>there was either no clear relationship between the consultation process and the actions and priorities that arose, or that consultation was not sufficient</w:t>
      </w:r>
      <w:r w:rsidR="006706B5" w:rsidRPr="00495E6A">
        <w:t>, which potentially diminished their impact on priorities and actions agreed in action plans</w:t>
      </w:r>
      <w:r w:rsidR="005137CB" w:rsidRPr="00495E6A">
        <w:t>.</w:t>
      </w:r>
      <w:r w:rsidR="006706B5" w:rsidRPr="00495E6A">
        <w:t xml:space="preserve"> </w:t>
      </w:r>
    </w:p>
    <w:p w14:paraId="34FC9FF7" w14:textId="77777777" w:rsidR="005137CB" w:rsidRDefault="005137CB" w:rsidP="005137CB">
      <w:pPr>
        <w:pStyle w:val="PwCNormal"/>
        <w:numPr>
          <w:ilvl w:val="0"/>
          <w:numId w:val="0"/>
        </w:numPr>
      </w:pPr>
      <w:r w:rsidRPr="00495E6A">
        <w:t>Specifically, many organisations highlighted that there was a marked difference in the use of consultation</w:t>
      </w:r>
      <w:r>
        <w:t xml:space="preserve"> to inform priorities and actions in the Fourth Action Plan relative to the Third Action Plan, where the consultation for the Fourth Action Plan was perceived to be less meaningful and informing of final priorities and actions. </w:t>
      </w:r>
    </w:p>
    <w:p w14:paraId="5A91A2D1" w14:textId="77777777" w:rsidR="005137CB" w:rsidRDefault="005137CB" w:rsidP="005137CB">
      <w:pPr>
        <w:pStyle w:val="PwCNormal"/>
        <w:numPr>
          <w:ilvl w:val="0"/>
          <w:numId w:val="0"/>
        </w:numPr>
      </w:pPr>
      <w:r>
        <w:t>For example, in the Third Action Plan the consultation process appears to have involved specific, cross-jurisdictional, face to face consultation, supplemented by written feedback and supported by a discussion guide. Desktop review identifies that 14 round-table discussions were delivered at a mix of regional and metropolitan locations, supplemented by a written feedback process.</w:t>
      </w:r>
    </w:p>
    <w:p w14:paraId="20200ED5" w14:textId="77777777" w:rsidR="005137CB" w:rsidRDefault="005137CB" w:rsidP="005137CB">
      <w:pPr>
        <w:pStyle w:val="PwCNormal"/>
        <w:numPr>
          <w:ilvl w:val="0"/>
          <w:numId w:val="0"/>
        </w:numPr>
      </w:pPr>
      <w:r>
        <w:t xml:space="preserve">In contrast, there was </w:t>
      </w:r>
      <w:r w:rsidRPr="00837D42">
        <w:t>no face to face consultation</w:t>
      </w:r>
      <w:r>
        <w:t xml:space="preserve"> held specifically for the Fourth Action Plan. Prior to the development of the Fourth Action Plan Families Australia convened 10 forums across Australia to discuss how to progress the child well-being agenda however, there is no evidence to indicate that these were specific to the Fourth Action Plan. Rather, a discussion guide was prepared and provided to select organisations to provide written feedback. Desktop analysis of available material highlights that the action plan</w:t>
      </w:r>
      <w:r w:rsidR="00A0133F">
        <w:t>-</w:t>
      </w:r>
      <w:r>
        <w:t xml:space="preserve">specific consultation was in written format (email submissions). After the priorities of the action plan were finalised by governments, proposed actions were presented to the National Coalition for feedback.  </w:t>
      </w:r>
    </w:p>
    <w:p w14:paraId="08E5D23B" w14:textId="77777777" w:rsidR="005137CB" w:rsidRDefault="005137CB" w:rsidP="005137CB">
      <w:pPr>
        <w:pStyle w:val="PwCNormal"/>
        <w:numPr>
          <w:ilvl w:val="0"/>
          <w:numId w:val="0"/>
        </w:numPr>
      </w:pPr>
      <w:r>
        <w:t>As such many organisations</w:t>
      </w:r>
      <w:r w:rsidR="00894B3D">
        <w:t xml:space="preserve"> consulted as part of this evaluation</w:t>
      </w:r>
      <w:r>
        <w:t xml:space="preserve"> described the Fourth Action Plan consultation process as </w:t>
      </w:r>
      <w:r w:rsidRPr="00837D42">
        <w:t>relatively less effective for developing priorities and actions</w:t>
      </w:r>
      <w:r>
        <w:t xml:space="preserve"> as the format did not support them to be developed collaboratively. Instead the priorities appeared to be ‘pre-formulated’. Focus groups to this evaluation identified that consultation processes reflected the limited amount of time to develop and implement the action plan, given it was the final action plan of the Framework, and was viewed as necessary to meet key milestones.</w:t>
      </w:r>
    </w:p>
    <w:p w14:paraId="73BED488" w14:textId="57759581" w:rsidR="005137CB" w:rsidRPr="00D82F62" w:rsidRDefault="005137CB" w:rsidP="005137CB">
      <w:pPr>
        <w:pStyle w:val="PwCNormal"/>
        <w:rPr>
          <w:b/>
        </w:rPr>
      </w:pPr>
      <w:r w:rsidRPr="00D82F62">
        <w:rPr>
          <w:b/>
        </w:rPr>
        <w:t>I</w:t>
      </w:r>
      <w:r>
        <w:rPr>
          <w:b/>
        </w:rPr>
        <w:t>nfluence</w:t>
      </w:r>
      <w:r w:rsidRPr="00D82F62">
        <w:rPr>
          <w:b/>
        </w:rPr>
        <w:t xml:space="preserve"> of stakeholders consulted on priorities and actions in the action plans</w:t>
      </w:r>
    </w:p>
    <w:p w14:paraId="7AEC60F6" w14:textId="77777777" w:rsidR="005137CB" w:rsidRDefault="005137CB" w:rsidP="005137CB">
      <w:pPr>
        <w:pStyle w:val="PwCNormal"/>
        <w:numPr>
          <w:ilvl w:val="0"/>
          <w:numId w:val="0"/>
        </w:numPr>
      </w:pPr>
      <w:r>
        <w:t xml:space="preserve">Organisations expressed mixed views regarding the appropriateness of stakeholders engaged to develop priorities and actions. While many organisations regarded the </w:t>
      </w:r>
      <w:r w:rsidRPr="00837D42">
        <w:t>volume and diversity of stakeholders engaged as a valued feature</w:t>
      </w:r>
      <w:r>
        <w:t xml:space="preserve"> of the consultation process, some noted that the range of stakeholders consulted was unhelpful to narrowing down priorities due to their broad and often-competing agendas. </w:t>
      </w:r>
      <w:r w:rsidR="00A92FA2">
        <w:t xml:space="preserve">A broader strategic direction would be best served by a consultation process that engages with a wide range of stakeholders. </w:t>
      </w:r>
    </w:p>
    <w:p w14:paraId="5950AB70" w14:textId="77777777" w:rsidR="005137CB" w:rsidRDefault="005137CB" w:rsidP="005137CB">
      <w:pPr>
        <w:pStyle w:val="PwCNormal"/>
      </w:pPr>
      <w:r>
        <w:t xml:space="preserve">Many organisations indicated that the consultation process </w:t>
      </w:r>
      <w:r w:rsidRPr="00837D42">
        <w:t>inadequately engaged key cohorts of the National Framework</w:t>
      </w:r>
      <w:r>
        <w:t>. It was perceived that this undermined the development of priorities and actions as it omitted potentially important sources of feedback. Cohorts identified included:</w:t>
      </w:r>
    </w:p>
    <w:p w14:paraId="06CDBB16" w14:textId="77777777" w:rsidR="005137CB" w:rsidRDefault="005137CB" w:rsidP="005137CB">
      <w:pPr>
        <w:pStyle w:val="ListBullet"/>
      </w:pPr>
      <w:r>
        <w:t>s</w:t>
      </w:r>
      <w:r w:rsidRPr="00FE7751">
        <w:t>tate/territory and Commonwealth government departments not involved in child protection. Organisations highlighted that although there was some cross-portfolio engagement it was generally ad hoc rather than embedded</w:t>
      </w:r>
    </w:p>
    <w:p w14:paraId="1D8EF4D7" w14:textId="77777777" w:rsidR="005137CB" w:rsidRDefault="005137CB" w:rsidP="005137CB">
      <w:pPr>
        <w:pStyle w:val="ListBullet"/>
      </w:pPr>
      <w:r>
        <w:lastRenderedPageBreak/>
        <w:t>Guardians and Commissioners at the state/territory level, noting that many Commissioner roles were established following the development of the National Framework and its governance processes</w:t>
      </w:r>
    </w:p>
    <w:p w14:paraId="10539847" w14:textId="77777777" w:rsidR="005137CB" w:rsidRDefault="005137CB" w:rsidP="005137CB">
      <w:pPr>
        <w:pStyle w:val="ListBullet"/>
      </w:pPr>
      <w:r>
        <w:t>children, noting that some consultation occurred but that it was not systematic or embedded. Feedback also noted that there are inherent difficulties in consulting with children directly impacted by the National Framework</w:t>
      </w:r>
    </w:p>
    <w:p w14:paraId="720589CC" w14:textId="77777777" w:rsidR="005137CB" w:rsidRDefault="005137CB" w:rsidP="005137CB">
      <w:pPr>
        <w:pStyle w:val="ListBullet"/>
      </w:pPr>
      <w:r>
        <w:t>Aboriginal and Torres Strait Island people, noting that some consultation did occur but that it was insufficient, given the disproportionate number of Aboriginal and Torres Strait Island people impacted by the child protection system</w:t>
      </w:r>
    </w:p>
    <w:p w14:paraId="5984452E" w14:textId="77777777" w:rsidR="005137CB" w:rsidRDefault="005137CB" w:rsidP="005137CB">
      <w:pPr>
        <w:pStyle w:val="ListBullet"/>
      </w:pPr>
      <w:r>
        <w:t>CALD communities, who, some organisations suggested, were not sufficiently considered in the development processes</w:t>
      </w:r>
    </w:p>
    <w:p w14:paraId="425EC91B" w14:textId="77777777" w:rsidR="005137CB" w:rsidRDefault="005137CB" w:rsidP="005137CB">
      <w:pPr>
        <w:pStyle w:val="ListBullet"/>
      </w:pPr>
      <w:r>
        <w:t>regional stakeholders, that may experience acute challenges in supporting delivery of the National Framework outcomes. Resource constraints impacted the ability to conduct more regional consultations.</w:t>
      </w:r>
    </w:p>
    <w:p w14:paraId="4955F104" w14:textId="77777777" w:rsidR="005137CB" w:rsidRDefault="005137CB" w:rsidP="005137CB">
      <w:pPr>
        <w:pStyle w:val="ListBullet"/>
        <w:numPr>
          <w:ilvl w:val="0"/>
          <w:numId w:val="0"/>
        </w:numPr>
      </w:pPr>
      <w:r>
        <w:t>Some organisations also commented that</w:t>
      </w:r>
      <w:r w:rsidR="006706B5">
        <w:t xml:space="preserve"> </w:t>
      </w:r>
      <w:r w:rsidR="001F1B69">
        <w:t xml:space="preserve">National Coalition </w:t>
      </w:r>
      <w:r w:rsidR="006706B5">
        <w:t>stakeholders with “the loudest voice”</w:t>
      </w:r>
      <w:r>
        <w:t xml:space="preserve"> may have also impacted the effectiveness of consultations as it meant the same feedback was received during different rounds of consultations, limiting the development of new ideas.</w:t>
      </w:r>
      <w:r w:rsidR="00A92FA2">
        <w:t xml:space="preserve"> It is not clear how impactful this was on the development of action plans. </w:t>
      </w:r>
    </w:p>
    <w:p w14:paraId="6F87F9AE" w14:textId="4DE2573F" w:rsidR="00C7066B" w:rsidRPr="008552A8" w:rsidRDefault="00C7066B" w:rsidP="008552A8">
      <w:pPr>
        <w:pStyle w:val="PwCNormal"/>
        <w:rPr>
          <w:b/>
        </w:rPr>
      </w:pPr>
      <w:r w:rsidRPr="008552A8">
        <w:rPr>
          <w:b/>
        </w:rPr>
        <w:t>Stakeholders consulted in the development of action plans</w:t>
      </w:r>
    </w:p>
    <w:p w14:paraId="010C08FD" w14:textId="5672071E" w:rsidR="005137CB" w:rsidRDefault="005137CB" w:rsidP="005137CB">
      <w:pPr>
        <w:pStyle w:val="ListBullet"/>
        <w:numPr>
          <w:ilvl w:val="0"/>
          <w:numId w:val="0"/>
        </w:numPr>
      </w:pPr>
      <w:r>
        <w:t>A comprehensive list of stakeholders consulted is not available to be compared across action plans. At a high-level the desktop analysis validates that consultations with a broad group of stakeholders did occur and, for the Third Action Plan, some of the cohorts that organisations suggested were not sufficiently engaged were, in some way, consulted. For example:</w:t>
      </w:r>
    </w:p>
    <w:p w14:paraId="45C17FEB" w14:textId="77777777" w:rsidR="005137CB" w:rsidRDefault="005137CB" w:rsidP="005137CB">
      <w:pPr>
        <w:pStyle w:val="ListBullet"/>
      </w:pPr>
      <w:r>
        <w:t>for the Third Action Plan consultations included specific engagement with children, Aboriginal and Torres Strait Island people, and CALD communities, in addition to regional and metropolitan consultation held with government and non-government stakeholders. One focus group specifically identified that the process reached a cross-section of government.</w:t>
      </w:r>
    </w:p>
    <w:p w14:paraId="2B552215" w14:textId="77777777" w:rsidR="005137CB" w:rsidRPr="008730A8" w:rsidRDefault="005137CB" w:rsidP="005137CB">
      <w:pPr>
        <w:pStyle w:val="ListBullet"/>
      </w:pPr>
      <w:r>
        <w:t xml:space="preserve">for the Fourth Action Plan it appears that the targeted consultation process resulted in feedback from a mix of state/territory government, NGOs, Guardians/Commissioners, academics and research organisations. Additionally, the Annual Meeting of the National Coalition where the Fourth Action Plan actions were discussed was attended by over 100 delegates </w:t>
      </w:r>
      <w:r w:rsidRPr="00837D42">
        <w:t>comprising of NGOs, Commonwealth agencies (DSS, DoH and DPMC) and state/territory government officials from NSW, NT and SA</w:t>
      </w:r>
      <w:r w:rsidRPr="008730A8">
        <w:t>.</w:t>
      </w:r>
    </w:p>
    <w:p w14:paraId="7C09380C" w14:textId="77777777" w:rsidR="005137CB" w:rsidRPr="00CC3434" w:rsidRDefault="005137CB" w:rsidP="005137CB">
      <w:pPr>
        <w:pStyle w:val="ListBullet"/>
      </w:pPr>
      <w:r w:rsidRPr="008730A8">
        <w:t>across both action plans there is some indication that consultation did occu</w:t>
      </w:r>
      <w:r w:rsidRPr="00CC3434">
        <w:t xml:space="preserve">r with similar groups of stakeholders. </w:t>
      </w:r>
    </w:p>
    <w:p w14:paraId="08B81BF3" w14:textId="77777777" w:rsidR="00A92FA2" w:rsidRPr="00495E6A" w:rsidRDefault="00A92FA2" w:rsidP="00FA3E74">
      <w:pPr>
        <w:pStyle w:val="ListBullet"/>
        <w:numPr>
          <w:ilvl w:val="0"/>
          <w:numId w:val="0"/>
        </w:numPr>
      </w:pPr>
      <w:r w:rsidRPr="00495E6A">
        <w:t xml:space="preserve">Considering the evidence available, it is apparent that clear consultation processes did exist to support the development of the Third and Fourth Action Plans. However, challenges to engage other portfolios and some stakeholder groups may have impacted how representative the views gathered were. </w:t>
      </w:r>
    </w:p>
    <w:p w14:paraId="1A14E8DC" w14:textId="77777777" w:rsidR="005137CB" w:rsidRPr="00495E6A" w:rsidRDefault="005137CB" w:rsidP="00B95734">
      <w:pPr>
        <w:pStyle w:val="Heading6"/>
        <w:numPr>
          <w:ilvl w:val="2"/>
          <w:numId w:val="43"/>
        </w:numPr>
      </w:pPr>
      <w:bookmarkStart w:id="179" w:name="_Ref31293324"/>
      <w:bookmarkStart w:id="180" w:name="_Toc42847848"/>
      <w:r w:rsidRPr="00495E6A">
        <w:t>The extent to which Action Plans drew on lessons learnt</w:t>
      </w:r>
      <w:bookmarkEnd w:id="179"/>
      <w:bookmarkEnd w:id="180"/>
      <w:r w:rsidRPr="00495E6A">
        <w:t xml:space="preserve"> </w:t>
      </w:r>
    </w:p>
    <w:tbl>
      <w:tblPr>
        <w:tblStyle w:val="PwCColour"/>
        <w:tblW w:w="0" w:type="auto"/>
        <w:tblBorders>
          <w:top w:val="single" w:sz="4" w:space="0" w:color="EB8C00" w:themeColor="accent4"/>
          <w:left w:val="single" w:sz="4" w:space="0" w:color="EB8C00" w:themeColor="accent4"/>
          <w:bottom w:val="single" w:sz="4" w:space="0" w:color="EB8C00" w:themeColor="accent4"/>
          <w:right w:val="single" w:sz="4" w:space="0" w:color="EB8C00" w:themeColor="accent4"/>
          <w:insideH w:val="none" w:sz="0" w:space="0" w:color="auto"/>
          <w:insideV w:val="none" w:sz="0" w:space="0" w:color="auto"/>
        </w:tblBorders>
        <w:shd w:val="clear" w:color="auto" w:fill="FED8C3" w:themeFill="accent1" w:themeFillTint="33"/>
        <w:tblLook w:val="04A0" w:firstRow="1" w:lastRow="0" w:firstColumn="1" w:lastColumn="0" w:noHBand="0" w:noVBand="1"/>
        <w:tblCaption w:val="Key finding"/>
        <w:tblDescription w:val="There is evidence that the action plans incorporated some lessons learned, including to contain fewer priorities and actions, and to give greater focus to Aboriginal and Torres Strait Islander children actions. A formal process for monitoring progress on achieving outcomes through the action plans may have resulted in earlier or more comprehensive identification of lessons learned and more opportunity to embed these in future action plans."/>
      </w:tblPr>
      <w:tblGrid>
        <w:gridCol w:w="9855"/>
      </w:tblGrid>
      <w:tr w:rsidR="005137CB" w:rsidRPr="00495E6A" w14:paraId="351F58D4" w14:textId="77777777" w:rsidTr="009F049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855" w:type="dxa"/>
            <w:tcBorders>
              <w:top w:val="none" w:sz="0" w:space="0" w:color="auto"/>
              <w:bottom w:val="none" w:sz="0" w:space="0" w:color="auto"/>
            </w:tcBorders>
            <w:shd w:val="clear" w:color="auto" w:fill="FED8C3" w:themeFill="accent1" w:themeFillTint="33"/>
            <w:vAlign w:val="center"/>
          </w:tcPr>
          <w:p w14:paraId="57CF0650" w14:textId="16C8E0FF" w:rsidR="009A709D" w:rsidRPr="00495E6A" w:rsidRDefault="009A709D" w:rsidP="008552A8">
            <w:pPr>
              <w:pStyle w:val="PwCNormal"/>
              <w:numPr>
                <w:ilvl w:val="0"/>
                <w:numId w:val="0"/>
              </w:numPr>
              <w:spacing w:before="120"/>
              <w:rPr>
                <w:b/>
              </w:rPr>
            </w:pPr>
            <w:r>
              <w:rPr>
                <w:b/>
              </w:rPr>
              <w:t>Key finding</w:t>
            </w:r>
          </w:p>
          <w:p w14:paraId="45BE6B18" w14:textId="77777777" w:rsidR="005137CB" w:rsidRPr="00495E6A" w:rsidRDefault="00A92FA2" w:rsidP="00D36A99">
            <w:pPr>
              <w:pStyle w:val="ListBullet"/>
              <w:numPr>
                <w:ilvl w:val="0"/>
                <w:numId w:val="0"/>
              </w:numPr>
              <w:ind w:left="284"/>
            </w:pPr>
            <w:r w:rsidRPr="00495E6A">
              <w:t xml:space="preserve">There is evidence that the action plans incorporated some lessons learned, including to contain fewer priorities and actions, and to give greater focus to Aboriginal and Torres </w:t>
            </w:r>
            <w:r w:rsidR="0032675F" w:rsidRPr="00495E6A">
              <w:t>S</w:t>
            </w:r>
            <w:r w:rsidRPr="00495E6A">
              <w:t>trait Islander children actions. A formal process for monitoring progress on achieving outcomes through the action plans may have resulted in earlier or more comprehensive identification of lessons learned and more opportunity to embed these in future action plans.</w:t>
            </w:r>
          </w:p>
        </w:tc>
      </w:tr>
    </w:tbl>
    <w:p w14:paraId="0E9F8014" w14:textId="27960CFC" w:rsidR="005137CB" w:rsidRPr="00CC3434" w:rsidRDefault="005137CB" w:rsidP="005137CB">
      <w:pPr>
        <w:numPr>
          <w:ilvl w:val="0"/>
          <w:numId w:val="16"/>
        </w:numPr>
        <w:spacing w:before="240" w:after="120"/>
        <w:rPr>
          <w:color w:val="000000" w:themeColor="text1"/>
        </w:rPr>
      </w:pPr>
      <w:r w:rsidRPr="00495E6A">
        <w:rPr>
          <w:color w:val="000000" w:themeColor="text1"/>
        </w:rPr>
        <w:t>In addition to the consultation process itself, the evaluation also considers whether the action plan</w:t>
      </w:r>
      <w:r w:rsidR="00837D42">
        <w:rPr>
          <w:color w:val="000000" w:themeColor="text1"/>
        </w:rPr>
        <w:t>s</w:t>
      </w:r>
      <w:r w:rsidRPr="00837D42">
        <w:rPr>
          <w:color w:val="000000" w:themeColor="text1"/>
        </w:rPr>
        <w:t xml:space="preserve"> incorporated lessons learnt over time. </w:t>
      </w:r>
      <w:r w:rsidR="00A92FA2" w:rsidRPr="00837D42">
        <w:rPr>
          <w:color w:val="000000" w:themeColor="text1"/>
        </w:rPr>
        <w:t xml:space="preserve">The feedback gathered in this evaluation was limited on this point </w:t>
      </w:r>
      <w:r w:rsidRPr="00837D42">
        <w:rPr>
          <w:color w:val="000000" w:themeColor="text1"/>
        </w:rPr>
        <w:t xml:space="preserve">as many of the organisations were not sufficiently involved </w:t>
      </w:r>
      <w:r w:rsidR="00BA45D6" w:rsidRPr="008730A8">
        <w:rPr>
          <w:color w:val="000000" w:themeColor="text1"/>
        </w:rPr>
        <w:t xml:space="preserve">across the timeframe of </w:t>
      </w:r>
      <w:r w:rsidRPr="008730A8">
        <w:rPr>
          <w:color w:val="000000" w:themeColor="text1"/>
        </w:rPr>
        <w:t xml:space="preserve">the National Framework to </w:t>
      </w:r>
      <w:r w:rsidR="00C12D1D" w:rsidRPr="008730A8">
        <w:rPr>
          <w:color w:val="000000" w:themeColor="text1"/>
        </w:rPr>
        <w:t xml:space="preserve">make an informed </w:t>
      </w:r>
      <w:r w:rsidRPr="00CC3434">
        <w:rPr>
          <w:color w:val="000000" w:themeColor="text1"/>
        </w:rPr>
        <w:t>comment.</w:t>
      </w:r>
    </w:p>
    <w:p w14:paraId="1801488C" w14:textId="77777777" w:rsidR="005137CB" w:rsidRDefault="005137CB" w:rsidP="005137CB">
      <w:pPr>
        <w:numPr>
          <w:ilvl w:val="0"/>
          <w:numId w:val="16"/>
        </w:numPr>
        <w:spacing w:before="240" w:after="120"/>
        <w:rPr>
          <w:color w:val="000000" w:themeColor="text1"/>
        </w:rPr>
      </w:pPr>
      <w:r w:rsidRPr="00495E6A">
        <w:rPr>
          <w:color w:val="000000" w:themeColor="text1"/>
        </w:rPr>
        <w:t xml:space="preserve">These </w:t>
      </w:r>
      <w:r w:rsidR="00D16954" w:rsidRPr="00495E6A">
        <w:rPr>
          <w:color w:val="000000" w:themeColor="text1"/>
        </w:rPr>
        <w:t>organisation</w:t>
      </w:r>
      <w:r w:rsidRPr="00495E6A">
        <w:rPr>
          <w:color w:val="000000" w:themeColor="text1"/>
        </w:rPr>
        <w:t>s generally provided evidence that the action plans did incorporate lessons learnt to an extent, with two</w:t>
      </w:r>
      <w:r>
        <w:rPr>
          <w:color w:val="000000" w:themeColor="text1"/>
        </w:rPr>
        <w:t xml:space="preserve"> key examples emerging in relation to the refinement of actions and priorities, and an increased focus on Aboriginal and Torres Strait Islander children in later action plans. </w:t>
      </w:r>
    </w:p>
    <w:p w14:paraId="0448EF11" w14:textId="537D3EAC" w:rsidR="009A709D" w:rsidRDefault="009A709D">
      <w:pPr>
        <w:kinsoku/>
        <w:overflowPunct/>
        <w:autoSpaceDE/>
        <w:autoSpaceDN/>
        <w:adjustRightInd/>
        <w:snapToGrid/>
        <w:spacing w:line="240" w:lineRule="auto"/>
        <w:rPr>
          <w:color w:val="000000" w:themeColor="text1"/>
        </w:rPr>
      </w:pPr>
      <w:r>
        <w:br w:type="page"/>
      </w:r>
    </w:p>
    <w:p w14:paraId="7D08083C" w14:textId="77777777" w:rsidR="005137CB" w:rsidRPr="00451BE6" w:rsidRDefault="005137CB" w:rsidP="005137CB">
      <w:pPr>
        <w:pStyle w:val="PwCNormal"/>
        <w:rPr>
          <w:b/>
        </w:rPr>
      </w:pPr>
      <w:r w:rsidRPr="00451BE6">
        <w:rPr>
          <w:b/>
        </w:rPr>
        <w:lastRenderedPageBreak/>
        <w:t>Refinement of the number of priorities and actions in action plans</w:t>
      </w:r>
    </w:p>
    <w:p w14:paraId="3830D451" w14:textId="4C955DDF" w:rsidR="005137CB" w:rsidRDefault="005137CB" w:rsidP="005137CB">
      <w:pPr>
        <w:pStyle w:val="PwCNormal"/>
      </w:pPr>
      <w:r>
        <w:t>Many organisations commented that a key lesson from the initial action plans, particularly the Second Action Plan, was that the number of priorities and actions was impractical and too ambitious given the time and resources available to implement. The number of priorities and areas was reduced in the later action plans, with a view to make them more practical and achievable.</w:t>
      </w:r>
    </w:p>
    <w:p w14:paraId="444DFE45" w14:textId="4473A7FE" w:rsidR="005137CB" w:rsidRDefault="009F2751" w:rsidP="005137CB">
      <w:pPr>
        <w:pStyle w:val="PwCNormal"/>
      </w:pPr>
      <w:r>
        <w:fldChar w:fldCharType="begin"/>
      </w:r>
      <w:r>
        <w:instrText xml:space="preserve"> REF _Ref31294541 \h </w:instrText>
      </w:r>
      <w:r>
        <w:fldChar w:fldCharType="separate"/>
      </w:r>
      <w:r w:rsidR="00D75351">
        <w:t xml:space="preserve">Table </w:t>
      </w:r>
      <w:r w:rsidR="00D75351">
        <w:rPr>
          <w:noProof/>
        </w:rPr>
        <w:t>11</w:t>
      </w:r>
      <w:r>
        <w:fldChar w:fldCharType="end"/>
      </w:r>
      <w:r>
        <w:t xml:space="preserve"> </w:t>
      </w:r>
      <w:r w:rsidR="005137CB">
        <w:t>below shows that relative to the First and Second Action Plan fewer priorities were included in the Third and Fourth Action Plans</w:t>
      </w:r>
      <w:r w:rsidR="00027688">
        <w:t>.</w:t>
      </w:r>
      <w:r w:rsidR="005137CB">
        <w:t xml:space="preserve"> Additionally, the number of actions falls from 70 in the Second Action Plan to 17 and 13 in the Third and Fourth Action Plan</w:t>
      </w:r>
      <w:r w:rsidR="0083192A">
        <w:t>,</w:t>
      </w:r>
      <w:r w:rsidR="005137CB">
        <w:t xml:space="preserve"> respectively. </w:t>
      </w:r>
    </w:p>
    <w:p w14:paraId="7F20648B" w14:textId="008441C4" w:rsidR="005137CB" w:rsidRDefault="005137CB" w:rsidP="005137CB">
      <w:pPr>
        <w:pStyle w:val="Caption"/>
      </w:pPr>
      <w:bookmarkStart w:id="181" w:name="_Ref31294541"/>
      <w:r>
        <w:t xml:space="preserve">Table </w:t>
      </w:r>
      <w:fldSimple w:instr=" SEQ Table \* ARABIC ">
        <w:r w:rsidR="00D75351">
          <w:rPr>
            <w:noProof/>
          </w:rPr>
          <w:t>11</w:t>
        </w:r>
      </w:fldSimple>
      <w:bookmarkEnd w:id="181"/>
      <w:r>
        <w:t>: Comparison of the number of national priorities and actions included in each action plan</w:t>
      </w:r>
    </w:p>
    <w:tbl>
      <w:tblPr>
        <w:tblStyle w:val="PwCColour"/>
        <w:tblW w:w="5000" w:type="pct"/>
        <w:tblLayout w:type="fixed"/>
        <w:tblLook w:val="04A0" w:firstRow="1" w:lastRow="0" w:firstColumn="1" w:lastColumn="0" w:noHBand="0" w:noVBand="1"/>
        <w:tblCaption w:val="Comparison of the number of national priorities and actions included in each action plan"/>
        <w:tblDescription w:val="Number of national priorities in each action plan. 1st Action plan = 12. 2nd Action plan = 20. 3rd Action plan = 5 and the 4th Action plan = 4&#10;Number of national actions in each action plan. 1st Action plan = 13. 2nd Action plan = 70. 3rd Action plan = 17 and the 4th Action plan = 13&#10;"/>
      </w:tblPr>
      <w:tblGrid>
        <w:gridCol w:w="1971"/>
        <w:gridCol w:w="1971"/>
        <w:gridCol w:w="1971"/>
        <w:gridCol w:w="1971"/>
        <w:gridCol w:w="1971"/>
      </w:tblGrid>
      <w:tr w:rsidR="005137CB" w:rsidRPr="002B7285" w14:paraId="58E8166D" w14:textId="77777777" w:rsidTr="009F049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71" w:type="dxa"/>
          </w:tcPr>
          <w:p w14:paraId="18BE33A4" w14:textId="77777777" w:rsidR="005137CB" w:rsidRPr="00A83B94" w:rsidRDefault="005137CB" w:rsidP="009F049E">
            <w:pPr>
              <w:pStyle w:val="TableColumnHeadingSmall"/>
              <w:rPr>
                <w:color w:val="auto"/>
              </w:rPr>
            </w:pPr>
          </w:p>
        </w:tc>
        <w:tc>
          <w:tcPr>
            <w:tcW w:w="1971" w:type="dxa"/>
          </w:tcPr>
          <w:p w14:paraId="53CFD9E4" w14:textId="77777777" w:rsidR="005137CB" w:rsidRPr="00A83B94" w:rsidRDefault="005137CB" w:rsidP="009F049E">
            <w:pPr>
              <w:pStyle w:val="TableColumnHeadingSmall"/>
              <w:cnfStyle w:val="100000000000" w:firstRow="1" w:lastRow="0" w:firstColumn="0" w:lastColumn="0" w:oddVBand="0" w:evenVBand="0" w:oddHBand="0" w:evenHBand="0" w:firstRowFirstColumn="0" w:firstRowLastColumn="0" w:lastRowFirstColumn="0" w:lastRowLastColumn="0"/>
              <w:rPr>
                <w:color w:val="auto"/>
              </w:rPr>
            </w:pPr>
            <w:r w:rsidRPr="00A83B94">
              <w:rPr>
                <w:color w:val="auto"/>
              </w:rPr>
              <w:t>First Action Plan</w:t>
            </w:r>
          </w:p>
        </w:tc>
        <w:tc>
          <w:tcPr>
            <w:tcW w:w="1971" w:type="dxa"/>
          </w:tcPr>
          <w:p w14:paraId="67E6EC52" w14:textId="77777777" w:rsidR="005137CB" w:rsidRPr="00A83B94" w:rsidRDefault="005137CB" w:rsidP="009F049E">
            <w:pPr>
              <w:pStyle w:val="TableColumnHeadingSmall"/>
              <w:cnfStyle w:val="100000000000" w:firstRow="1" w:lastRow="0" w:firstColumn="0" w:lastColumn="0" w:oddVBand="0" w:evenVBand="0" w:oddHBand="0" w:evenHBand="0" w:firstRowFirstColumn="0" w:firstRowLastColumn="0" w:lastRowFirstColumn="0" w:lastRowLastColumn="0"/>
              <w:rPr>
                <w:color w:val="auto"/>
              </w:rPr>
            </w:pPr>
            <w:r w:rsidRPr="00A83B94">
              <w:rPr>
                <w:color w:val="auto"/>
              </w:rPr>
              <w:t>Second Action Plan</w:t>
            </w:r>
          </w:p>
        </w:tc>
        <w:tc>
          <w:tcPr>
            <w:tcW w:w="1971" w:type="dxa"/>
          </w:tcPr>
          <w:p w14:paraId="21050698" w14:textId="77777777" w:rsidR="005137CB" w:rsidRPr="00A83B94" w:rsidRDefault="005137CB" w:rsidP="009F049E">
            <w:pPr>
              <w:pStyle w:val="TableColumnHeadingSmall"/>
              <w:cnfStyle w:val="100000000000" w:firstRow="1" w:lastRow="0" w:firstColumn="0" w:lastColumn="0" w:oddVBand="0" w:evenVBand="0" w:oddHBand="0" w:evenHBand="0" w:firstRowFirstColumn="0" w:firstRowLastColumn="0" w:lastRowFirstColumn="0" w:lastRowLastColumn="0"/>
              <w:rPr>
                <w:color w:val="auto"/>
              </w:rPr>
            </w:pPr>
            <w:r w:rsidRPr="00A83B94">
              <w:rPr>
                <w:color w:val="auto"/>
              </w:rPr>
              <w:t>Third Action Plan</w:t>
            </w:r>
          </w:p>
        </w:tc>
        <w:tc>
          <w:tcPr>
            <w:tcW w:w="1971" w:type="dxa"/>
          </w:tcPr>
          <w:p w14:paraId="58DAB1E9" w14:textId="77777777" w:rsidR="005137CB" w:rsidRPr="00A83B94" w:rsidRDefault="005137CB" w:rsidP="009F049E">
            <w:pPr>
              <w:pStyle w:val="TableColumnHeadingSmall"/>
              <w:cnfStyle w:val="100000000000" w:firstRow="1" w:lastRow="0" w:firstColumn="0" w:lastColumn="0" w:oddVBand="0" w:evenVBand="0" w:oddHBand="0" w:evenHBand="0" w:firstRowFirstColumn="0" w:firstRowLastColumn="0" w:lastRowFirstColumn="0" w:lastRowLastColumn="0"/>
              <w:rPr>
                <w:color w:val="auto"/>
              </w:rPr>
            </w:pPr>
            <w:r w:rsidRPr="00A83B94">
              <w:rPr>
                <w:color w:val="auto"/>
              </w:rPr>
              <w:t>Fourth Action Plan</w:t>
            </w:r>
          </w:p>
        </w:tc>
      </w:tr>
      <w:tr w:rsidR="005137CB" w:rsidRPr="002B7285" w14:paraId="0979E76C" w14:textId="77777777" w:rsidTr="009F049E">
        <w:tc>
          <w:tcPr>
            <w:tcW w:w="1971" w:type="dxa"/>
          </w:tcPr>
          <w:p w14:paraId="5AB14B2F" w14:textId="77777777" w:rsidR="005137CB" w:rsidRPr="002B7285" w:rsidRDefault="005137CB" w:rsidP="009F049E">
            <w:pPr>
              <w:pStyle w:val="TableTextSmall"/>
            </w:pPr>
            <w:r w:rsidRPr="002B7285">
              <w:t>Number of national priorities</w:t>
            </w:r>
          </w:p>
        </w:tc>
        <w:tc>
          <w:tcPr>
            <w:tcW w:w="1971" w:type="dxa"/>
            <w:vAlign w:val="center"/>
          </w:tcPr>
          <w:p w14:paraId="5E9E2004" w14:textId="77777777" w:rsidR="005137CB" w:rsidRPr="002B7285" w:rsidRDefault="005137CB" w:rsidP="009F049E">
            <w:pPr>
              <w:pStyle w:val="TableTextSmall"/>
            </w:pPr>
            <w:r w:rsidRPr="002B7285">
              <w:t>12</w:t>
            </w:r>
          </w:p>
        </w:tc>
        <w:tc>
          <w:tcPr>
            <w:tcW w:w="1971" w:type="dxa"/>
            <w:vAlign w:val="center"/>
          </w:tcPr>
          <w:p w14:paraId="733F2067" w14:textId="77777777" w:rsidR="005137CB" w:rsidRPr="002B7285" w:rsidRDefault="005137CB" w:rsidP="009F049E">
            <w:pPr>
              <w:pStyle w:val="TableTextSmall"/>
            </w:pPr>
            <w:r w:rsidRPr="002B7285">
              <w:t>20</w:t>
            </w:r>
          </w:p>
        </w:tc>
        <w:tc>
          <w:tcPr>
            <w:tcW w:w="1971" w:type="dxa"/>
            <w:vAlign w:val="center"/>
          </w:tcPr>
          <w:p w14:paraId="57CAFF49" w14:textId="77777777" w:rsidR="005137CB" w:rsidRPr="002B7285" w:rsidRDefault="005137CB" w:rsidP="009F049E">
            <w:pPr>
              <w:pStyle w:val="TableTextSmall"/>
            </w:pPr>
            <w:r w:rsidRPr="002B7285">
              <w:t>5</w:t>
            </w:r>
          </w:p>
        </w:tc>
        <w:tc>
          <w:tcPr>
            <w:tcW w:w="1971" w:type="dxa"/>
            <w:vAlign w:val="center"/>
          </w:tcPr>
          <w:p w14:paraId="21B074B4" w14:textId="77777777" w:rsidR="005137CB" w:rsidRPr="002B7285" w:rsidRDefault="005137CB" w:rsidP="009F049E">
            <w:pPr>
              <w:pStyle w:val="TableTextSmall"/>
            </w:pPr>
            <w:r w:rsidRPr="002B7285">
              <w:t>4</w:t>
            </w:r>
          </w:p>
        </w:tc>
      </w:tr>
      <w:tr w:rsidR="005137CB" w:rsidRPr="002B7285" w14:paraId="3528BC6B" w14:textId="77777777" w:rsidTr="009F049E">
        <w:tc>
          <w:tcPr>
            <w:tcW w:w="1971" w:type="dxa"/>
          </w:tcPr>
          <w:p w14:paraId="24AFDF65" w14:textId="77777777" w:rsidR="005137CB" w:rsidRPr="002B7285" w:rsidRDefault="005137CB" w:rsidP="009F049E">
            <w:pPr>
              <w:pStyle w:val="TableTextSmall"/>
            </w:pPr>
            <w:r w:rsidRPr="002B7285">
              <w:t>Number of actions</w:t>
            </w:r>
          </w:p>
        </w:tc>
        <w:tc>
          <w:tcPr>
            <w:tcW w:w="1971" w:type="dxa"/>
            <w:vAlign w:val="center"/>
          </w:tcPr>
          <w:p w14:paraId="0A19F246" w14:textId="77777777" w:rsidR="005137CB" w:rsidRPr="002B7285" w:rsidRDefault="005137CB" w:rsidP="009F049E">
            <w:pPr>
              <w:pStyle w:val="TableTextSmall"/>
            </w:pPr>
            <w:r w:rsidRPr="002B7285">
              <w:t>13</w:t>
            </w:r>
          </w:p>
        </w:tc>
        <w:tc>
          <w:tcPr>
            <w:tcW w:w="1971" w:type="dxa"/>
            <w:vAlign w:val="center"/>
          </w:tcPr>
          <w:p w14:paraId="20700CF9" w14:textId="77777777" w:rsidR="005137CB" w:rsidRPr="002B7285" w:rsidRDefault="005137CB" w:rsidP="009F049E">
            <w:pPr>
              <w:pStyle w:val="TableTextSmall"/>
            </w:pPr>
            <w:r w:rsidRPr="002B7285">
              <w:t>70</w:t>
            </w:r>
          </w:p>
        </w:tc>
        <w:tc>
          <w:tcPr>
            <w:tcW w:w="1971" w:type="dxa"/>
            <w:vAlign w:val="center"/>
          </w:tcPr>
          <w:p w14:paraId="05AE6003" w14:textId="77777777" w:rsidR="005137CB" w:rsidRPr="002B7285" w:rsidRDefault="005137CB" w:rsidP="009F049E">
            <w:pPr>
              <w:pStyle w:val="TableTextSmall"/>
            </w:pPr>
            <w:r w:rsidRPr="002B7285">
              <w:t>1</w:t>
            </w:r>
            <w:r>
              <w:t>7</w:t>
            </w:r>
          </w:p>
        </w:tc>
        <w:tc>
          <w:tcPr>
            <w:tcW w:w="1971" w:type="dxa"/>
            <w:vAlign w:val="center"/>
          </w:tcPr>
          <w:p w14:paraId="0DA6055F" w14:textId="77777777" w:rsidR="005137CB" w:rsidRPr="002B7285" w:rsidRDefault="005137CB" w:rsidP="009F049E">
            <w:pPr>
              <w:pStyle w:val="TableTextSmall"/>
            </w:pPr>
            <w:r w:rsidRPr="002B7285">
              <w:t>13</w:t>
            </w:r>
          </w:p>
        </w:tc>
      </w:tr>
    </w:tbl>
    <w:p w14:paraId="76D12378" w14:textId="77777777" w:rsidR="005137CB" w:rsidRPr="009C7473" w:rsidRDefault="005137CB" w:rsidP="005137CB">
      <w:pPr>
        <w:pStyle w:val="PwCNormal"/>
        <w:rPr>
          <w:b/>
        </w:rPr>
      </w:pPr>
      <w:r w:rsidRPr="009C7473">
        <w:rPr>
          <w:b/>
        </w:rPr>
        <w:t xml:space="preserve">Focus on </w:t>
      </w:r>
      <w:r>
        <w:rPr>
          <w:b/>
        </w:rPr>
        <w:t xml:space="preserve">Indigenous </w:t>
      </w:r>
      <w:r w:rsidRPr="009C7473">
        <w:rPr>
          <w:b/>
        </w:rPr>
        <w:t>children</w:t>
      </w:r>
    </w:p>
    <w:p w14:paraId="504AA130" w14:textId="77777777" w:rsidR="005137CB" w:rsidRPr="008730A8" w:rsidRDefault="005137CB" w:rsidP="005137CB">
      <w:pPr>
        <w:pStyle w:val="PwCNormal"/>
        <w:numPr>
          <w:ilvl w:val="0"/>
          <w:numId w:val="0"/>
        </w:numPr>
      </w:pPr>
      <w:r>
        <w:t xml:space="preserve">Both </w:t>
      </w:r>
      <w:r w:rsidRPr="00837D42">
        <w:t xml:space="preserve">organisations and focus groups consulted through this evaluation identified that a key lesson from the Third Action Plan </w:t>
      </w:r>
      <w:r w:rsidRPr="008730A8">
        <w:t xml:space="preserve">was a need to increase focus on actions related to improving outcomes for Aboriginal and Torres Strait Islander children. </w:t>
      </w:r>
    </w:p>
    <w:p w14:paraId="5A168C2C" w14:textId="2C105620" w:rsidR="005137CB" w:rsidRDefault="005137CB" w:rsidP="005137CB">
      <w:pPr>
        <w:pStyle w:val="PwCNormal"/>
        <w:numPr>
          <w:ilvl w:val="0"/>
          <w:numId w:val="0"/>
        </w:numPr>
      </w:pPr>
      <w:r w:rsidRPr="008730A8">
        <w:t>T</w:t>
      </w:r>
      <w:r w:rsidRPr="00CC3434">
        <w:t xml:space="preserve">here is evidence that this lesson was incorporated in the Fourth Action Plan. </w:t>
      </w:r>
      <w:r w:rsidR="0032675F" w:rsidRPr="00CC3434">
        <w:t>A</w:t>
      </w:r>
      <w:r w:rsidRPr="00CC3434">
        <w:t xml:space="preserve"> high-level comparison of Aboriginal and Torres Strait Islander related priorities and actions in both the Third and Fourth Action Plan </w:t>
      </w:r>
      <w:r w:rsidR="0032675F" w:rsidRPr="00BC7E51">
        <w:t xml:space="preserve">is </w:t>
      </w:r>
      <w:r w:rsidRPr="00BC7E51">
        <w:t>outlined in</w:t>
      </w:r>
      <w:r w:rsidR="009F2751" w:rsidRPr="00371B6C">
        <w:t xml:space="preserve"> </w:t>
      </w:r>
      <w:r w:rsidR="009F2751" w:rsidRPr="00837D42">
        <w:fldChar w:fldCharType="begin"/>
      </w:r>
      <w:r w:rsidR="009F2751" w:rsidRPr="00495E6A">
        <w:instrText xml:space="preserve"> REF _Ref31296760 \h </w:instrText>
      </w:r>
      <w:r w:rsidR="00837D42">
        <w:instrText xml:space="preserve"> \* MERGEFORMAT </w:instrText>
      </w:r>
      <w:r w:rsidR="009F2751" w:rsidRPr="00837D42">
        <w:fldChar w:fldCharType="separate"/>
      </w:r>
      <w:r w:rsidR="00D75351">
        <w:t xml:space="preserve">Table </w:t>
      </w:r>
      <w:r w:rsidR="00D75351">
        <w:rPr>
          <w:noProof/>
        </w:rPr>
        <w:t>12</w:t>
      </w:r>
      <w:r w:rsidR="009F2751" w:rsidRPr="00837D42">
        <w:fldChar w:fldCharType="end"/>
      </w:r>
      <w:r w:rsidRPr="00837D42">
        <w:t>. It shows that, relative to the Third Action Plan, the Fourth Action Plan includes more targeted actions to build on the actions and achievements in the Third Action</w:t>
      </w:r>
      <w:r w:rsidR="0032675F" w:rsidRPr="008730A8">
        <w:t xml:space="preserve"> Plan</w:t>
      </w:r>
      <w:r w:rsidRPr="008730A8">
        <w:t>.</w:t>
      </w:r>
      <w:r>
        <w:t xml:space="preserve"> </w:t>
      </w:r>
    </w:p>
    <w:p w14:paraId="2E0C56BE" w14:textId="36706CBE" w:rsidR="005137CB" w:rsidRDefault="005137CB" w:rsidP="005137CB">
      <w:pPr>
        <w:pStyle w:val="Caption"/>
      </w:pPr>
      <w:bookmarkStart w:id="182" w:name="_Ref31296760"/>
      <w:r>
        <w:t xml:space="preserve">Table </w:t>
      </w:r>
      <w:fldSimple w:instr=" SEQ Table \* ARABIC ">
        <w:r w:rsidR="00D75351">
          <w:rPr>
            <w:noProof/>
          </w:rPr>
          <w:t>12</w:t>
        </w:r>
      </w:fldSimple>
      <w:bookmarkEnd w:id="182"/>
      <w:r>
        <w:t>: Comparison of Aboriginal and Torres Strait Islander related priorities and actions in the Third and Fourth Action Plan</w:t>
      </w:r>
    </w:p>
    <w:tbl>
      <w:tblPr>
        <w:tblStyle w:val="PwCColour"/>
        <w:tblW w:w="5000" w:type="pct"/>
        <w:tblLayout w:type="fixed"/>
        <w:tblLook w:val="04A0" w:firstRow="1" w:lastRow="0" w:firstColumn="1" w:lastColumn="0" w:noHBand="0" w:noVBand="1"/>
        <w:tblCaption w:val="Comparison of Aboriginal and Torres Strait Islander related priorities and actions in the Third and Fourth Action Plan"/>
        <w:tblDescription w:val="National priority in the third action plan - Cross-cutting focus area –Aboriginal and Torres Strait Islander children and families Sustained attention will be given to improving outcomes for Aboriginal and Torres Strait Islander children to reduce the number needing child protection services.&#10;National priority in the fourth action plan - Priority Area 1: Improving outcomes for Aboriginal and Torres Strait Islander children at risk of entering, or in contact with, child protection systems&#10;Actions in the third action plan - Action: All parties agree to ensure the five domains of the ATSICPP (prevention, partnership, placement, participation and connection) are applied to the implementation of strategies and actions identified in the Third Action Plan.&#10;Actions in the fourth action plan - Action: A new Aboriginal and Torres Strait Islander working group will be established to provide advice and expertise on the implementation of actions and strategies, and report to the National Forum for Protecting Australia’s Children on progress and outcomes, to ensure a sustained focus on results. Action: Actively implement legislation, policy and/or practice to ensure compliance with the five elements of the Aboriginal and Torres Strait Islander Child Placement Principle.&#10;Action: Identify and share models that have been shown to improve Aboriginal and Torres Strait Islander participation in decision-making processes for children and families at risk of entering, or in contact with, child protection systems.&#10;Action: Develop a nationally consistent approach to measuring the application of the five elements of the Aboriginal and Torres Strait Islander Child Placement Principle.&#10;Action: Develop a nationally consistent and comparable approach to report on state and territory government support for Aboriginal Community Controlled Organisations and Aboriginal and Torres Strait Islander managed services to deliver family support and child protection services. Comparison of Aboriginal and Torres Strait Islander related priorities and actions in the Third and Fourth Action Plan&#10;"/>
      </w:tblPr>
      <w:tblGrid>
        <w:gridCol w:w="1838"/>
        <w:gridCol w:w="4008"/>
        <w:gridCol w:w="4009"/>
      </w:tblGrid>
      <w:tr w:rsidR="005137CB" w:rsidRPr="002B7285" w14:paraId="2C53D9DF" w14:textId="77777777" w:rsidTr="009F049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838" w:type="dxa"/>
          </w:tcPr>
          <w:p w14:paraId="2A6879F0" w14:textId="77777777" w:rsidR="005137CB" w:rsidRPr="002B7285" w:rsidRDefault="005137CB" w:rsidP="009F049E">
            <w:pPr>
              <w:pStyle w:val="TableColumnHeadingSmall"/>
            </w:pPr>
          </w:p>
        </w:tc>
        <w:tc>
          <w:tcPr>
            <w:tcW w:w="4008" w:type="dxa"/>
          </w:tcPr>
          <w:p w14:paraId="051AA789" w14:textId="77777777" w:rsidR="005137CB" w:rsidRPr="002B7285" w:rsidRDefault="005137CB" w:rsidP="009F049E">
            <w:pPr>
              <w:pStyle w:val="TableColumnHeadingSmall"/>
              <w:cnfStyle w:val="100000000000" w:firstRow="1" w:lastRow="0" w:firstColumn="0" w:lastColumn="0" w:oddVBand="0" w:evenVBand="0" w:oddHBand="0" w:evenHBand="0" w:firstRowFirstColumn="0" w:firstRowLastColumn="0" w:lastRowFirstColumn="0" w:lastRowLastColumn="0"/>
            </w:pPr>
            <w:r w:rsidRPr="002B7285">
              <w:t>Third Action Plan</w:t>
            </w:r>
          </w:p>
        </w:tc>
        <w:tc>
          <w:tcPr>
            <w:tcW w:w="4009" w:type="dxa"/>
          </w:tcPr>
          <w:p w14:paraId="6A99E0D9" w14:textId="77777777" w:rsidR="005137CB" w:rsidRPr="002B7285" w:rsidRDefault="005137CB" w:rsidP="009F049E">
            <w:pPr>
              <w:pStyle w:val="TableColumnHeadingSmall"/>
              <w:cnfStyle w:val="100000000000" w:firstRow="1" w:lastRow="0" w:firstColumn="0" w:lastColumn="0" w:oddVBand="0" w:evenVBand="0" w:oddHBand="0" w:evenHBand="0" w:firstRowFirstColumn="0" w:firstRowLastColumn="0" w:lastRowFirstColumn="0" w:lastRowLastColumn="0"/>
            </w:pPr>
            <w:r w:rsidRPr="002B7285">
              <w:t>Fourth Action Plan</w:t>
            </w:r>
          </w:p>
        </w:tc>
      </w:tr>
      <w:tr w:rsidR="005137CB" w:rsidRPr="002B7285" w14:paraId="33FB9024" w14:textId="77777777" w:rsidTr="009F049E">
        <w:tc>
          <w:tcPr>
            <w:tcW w:w="1838" w:type="dxa"/>
          </w:tcPr>
          <w:p w14:paraId="27DA0F36" w14:textId="77777777" w:rsidR="005137CB" w:rsidRPr="002B7285" w:rsidRDefault="005137CB" w:rsidP="009F049E">
            <w:pPr>
              <w:pStyle w:val="TableTextSmall"/>
            </w:pPr>
            <w:r w:rsidRPr="002B7285">
              <w:t>National priority</w:t>
            </w:r>
          </w:p>
        </w:tc>
        <w:tc>
          <w:tcPr>
            <w:tcW w:w="4008" w:type="dxa"/>
          </w:tcPr>
          <w:p w14:paraId="7386643B" w14:textId="77777777" w:rsidR="005137CB" w:rsidRPr="002B7285" w:rsidRDefault="005137CB" w:rsidP="009F049E">
            <w:pPr>
              <w:pStyle w:val="TableTextSmall"/>
              <w:rPr>
                <w:b/>
              </w:rPr>
            </w:pPr>
            <w:r w:rsidRPr="002B7285">
              <w:rPr>
                <w:b/>
              </w:rPr>
              <w:t>Cross-cutting focus area –</w:t>
            </w:r>
            <w:r w:rsidRPr="002B7285">
              <w:t>Aboriginal and Torres Strait</w:t>
            </w:r>
            <w:r w:rsidRPr="002B7285">
              <w:rPr>
                <w:b/>
              </w:rPr>
              <w:t xml:space="preserve"> </w:t>
            </w:r>
            <w:r w:rsidRPr="002B7285">
              <w:t>Islander children and families</w:t>
            </w:r>
            <w:r w:rsidRPr="002B7285">
              <w:rPr>
                <w:b/>
              </w:rPr>
              <w:t xml:space="preserve"> </w:t>
            </w:r>
            <w:r w:rsidRPr="002B7285">
              <w:t>Sustained attention will be</w:t>
            </w:r>
            <w:r w:rsidRPr="002B7285">
              <w:rPr>
                <w:b/>
              </w:rPr>
              <w:t xml:space="preserve"> </w:t>
            </w:r>
            <w:r w:rsidRPr="002B7285">
              <w:t>given to improving outcomes</w:t>
            </w:r>
            <w:r w:rsidRPr="002B7285">
              <w:rPr>
                <w:b/>
              </w:rPr>
              <w:t xml:space="preserve"> </w:t>
            </w:r>
            <w:r w:rsidRPr="002B7285">
              <w:t>for Aboriginal and Torres Strait</w:t>
            </w:r>
            <w:r w:rsidRPr="002B7285">
              <w:rPr>
                <w:b/>
              </w:rPr>
              <w:t xml:space="preserve"> </w:t>
            </w:r>
            <w:r w:rsidRPr="002B7285">
              <w:t>Islander children to reduce</w:t>
            </w:r>
            <w:r w:rsidRPr="002B7285">
              <w:rPr>
                <w:b/>
              </w:rPr>
              <w:t xml:space="preserve"> </w:t>
            </w:r>
            <w:r w:rsidRPr="002B7285">
              <w:t>the number needing child</w:t>
            </w:r>
            <w:r w:rsidRPr="002B7285">
              <w:rPr>
                <w:b/>
              </w:rPr>
              <w:t xml:space="preserve"> </w:t>
            </w:r>
            <w:r w:rsidRPr="002B7285">
              <w:t>protection services.</w:t>
            </w:r>
          </w:p>
        </w:tc>
        <w:tc>
          <w:tcPr>
            <w:tcW w:w="4009" w:type="dxa"/>
          </w:tcPr>
          <w:p w14:paraId="05C00E91" w14:textId="77777777" w:rsidR="005137CB" w:rsidRPr="002B7285" w:rsidRDefault="005137CB" w:rsidP="009F049E">
            <w:pPr>
              <w:pStyle w:val="TableTextSmall"/>
            </w:pPr>
            <w:r w:rsidRPr="002B7285">
              <w:rPr>
                <w:b/>
              </w:rPr>
              <w:t>Priority Area 1:</w:t>
            </w:r>
            <w:r w:rsidRPr="002B7285">
              <w:t xml:space="preserve"> Improving outcomes </w:t>
            </w:r>
            <w:r>
              <w:t>f</w:t>
            </w:r>
            <w:r w:rsidRPr="002B7285">
              <w:t>or Aboriginal and Torres Strait Islander children at risk of entering, or in contact with, child protection systems</w:t>
            </w:r>
          </w:p>
        </w:tc>
      </w:tr>
      <w:tr w:rsidR="005137CB" w:rsidRPr="002B7285" w14:paraId="3B58689B" w14:textId="77777777" w:rsidTr="009F049E">
        <w:tc>
          <w:tcPr>
            <w:tcW w:w="1838" w:type="dxa"/>
          </w:tcPr>
          <w:p w14:paraId="54D58926" w14:textId="77777777" w:rsidR="005137CB" w:rsidRPr="002B7285" w:rsidRDefault="005137CB" w:rsidP="009F049E">
            <w:pPr>
              <w:pStyle w:val="TableTextSmall"/>
            </w:pPr>
            <w:r w:rsidRPr="002B7285">
              <w:t>Actions</w:t>
            </w:r>
          </w:p>
        </w:tc>
        <w:tc>
          <w:tcPr>
            <w:tcW w:w="4008" w:type="dxa"/>
          </w:tcPr>
          <w:p w14:paraId="1EFB4901" w14:textId="77777777" w:rsidR="005137CB" w:rsidRPr="002B7285" w:rsidRDefault="005137CB" w:rsidP="009F049E">
            <w:pPr>
              <w:pStyle w:val="TableTextSmall"/>
            </w:pPr>
            <w:r w:rsidRPr="002B7285">
              <w:rPr>
                <w:b/>
              </w:rPr>
              <w:t xml:space="preserve">Action: </w:t>
            </w:r>
            <w:r w:rsidRPr="002B7285">
              <w:t>All parties agree to ensure the five domains of the ATSICPP (prevention, partnership, placement, participation and connection) are applied to the implementation of strategies and actions identified in the Third Action Plan.</w:t>
            </w:r>
          </w:p>
          <w:p w14:paraId="292C68CE" w14:textId="77777777" w:rsidR="005137CB" w:rsidRPr="002B7285" w:rsidRDefault="005137CB" w:rsidP="009F049E">
            <w:pPr>
              <w:pStyle w:val="TableTextSmall"/>
            </w:pPr>
            <w:r w:rsidRPr="002B7285">
              <w:rPr>
                <w:b/>
              </w:rPr>
              <w:t xml:space="preserve">Action: </w:t>
            </w:r>
            <w:r w:rsidRPr="002B7285">
              <w:t>A new Aboriginal and Torres Strait Islander working group will be established to provide advice and expertise on the implementation of actions and strategies, and report to the National Forum for Protecting Australia’s Children on progress and outcomes, to ensure a sustained focus on results.</w:t>
            </w:r>
          </w:p>
        </w:tc>
        <w:tc>
          <w:tcPr>
            <w:tcW w:w="4009" w:type="dxa"/>
          </w:tcPr>
          <w:p w14:paraId="27BD7E94" w14:textId="77777777" w:rsidR="005137CB" w:rsidRPr="002B7285" w:rsidRDefault="005137CB" w:rsidP="009F049E">
            <w:pPr>
              <w:pStyle w:val="TableTextSmall"/>
            </w:pPr>
            <w:r w:rsidRPr="002B7285">
              <w:rPr>
                <w:b/>
              </w:rPr>
              <w:t xml:space="preserve">Action: </w:t>
            </w:r>
            <w:r w:rsidRPr="002B7285">
              <w:t>Actively implement legislation, policy and/or practice to ensure compliance with the five elements of the Aboriginal and Torres Strait Islander Child Placement Principle.</w:t>
            </w:r>
          </w:p>
          <w:p w14:paraId="2BADC224" w14:textId="77777777" w:rsidR="005137CB" w:rsidRPr="002B7285" w:rsidRDefault="005137CB" w:rsidP="009F049E">
            <w:pPr>
              <w:pStyle w:val="TableTextSmall"/>
            </w:pPr>
            <w:r w:rsidRPr="002B7285">
              <w:rPr>
                <w:b/>
              </w:rPr>
              <w:t>Action:</w:t>
            </w:r>
            <w:r w:rsidRPr="002B7285">
              <w:t xml:space="preserve"> Identify and share models that have been shown to improve Aboriginal and Torres Strait Islander participation in decision-making processes for children and families at risk of entering, or in contact with, child protection systems.</w:t>
            </w:r>
          </w:p>
          <w:p w14:paraId="43FDB8C4" w14:textId="77777777" w:rsidR="005137CB" w:rsidRPr="002B7285" w:rsidRDefault="005137CB" w:rsidP="009F049E">
            <w:pPr>
              <w:pStyle w:val="TableTextSmall"/>
            </w:pPr>
            <w:r w:rsidRPr="002B7285">
              <w:rPr>
                <w:b/>
              </w:rPr>
              <w:t>Action:</w:t>
            </w:r>
            <w:r w:rsidRPr="002B7285">
              <w:t xml:space="preserve"> Develop a nationally consistent approach to measuring the application of the five elements of the Aboriginal and Torres Strait Islander Child Placement Principle.</w:t>
            </w:r>
          </w:p>
          <w:p w14:paraId="77A6214C" w14:textId="77777777" w:rsidR="005137CB" w:rsidRPr="002B7285" w:rsidRDefault="005137CB" w:rsidP="009F049E">
            <w:pPr>
              <w:pStyle w:val="TableTextSmall"/>
            </w:pPr>
            <w:r w:rsidRPr="002B7285">
              <w:rPr>
                <w:b/>
              </w:rPr>
              <w:t>Action:</w:t>
            </w:r>
            <w:r w:rsidRPr="002B7285">
              <w:t xml:space="preserve"> Develop a nationally consistent and comparable approach to report on state and territory government support for Aboriginal Community Controlled Organisations and Aboriginal and Torres Strait Islander managed services to deliver family support and child protection services.</w:t>
            </w:r>
          </w:p>
        </w:tc>
      </w:tr>
    </w:tbl>
    <w:p w14:paraId="49B1CFDC" w14:textId="193F24B5" w:rsidR="005137CB" w:rsidRPr="009C7473" w:rsidRDefault="005137CB" w:rsidP="005137CB">
      <w:pPr>
        <w:pStyle w:val="PwCNormal"/>
        <w:rPr>
          <w:b/>
        </w:rPr>
      </w:pPr>
      <w:r w:rsidRPr="009C7473">
        <w:rPr>
          <w:b/>
        </w:rPr>
        <w:lastRenderedPageBreak/>
        <w:t>Mechanism for evaluating action plans and incorporating lessons learnt</w:t>
      </w:r>
    </w:p>
    <w:p w14:paraId="458004B0" w14:textId="77777777" w:rsidR="005137CB" w:rsidRPr="008730A8" w:rsidRDefault="001F1B69" w:rsidP="005137CB">
      <w:pPr>
        <w:pStyle w:val="PwCNormal"/>
        <w:numPr>
          <w:ilvl w:val="0"/>
          <w:numId w:val="0"/>
        </w:numPr>
      </w:pPr>
      <w:r>
        <w:t>O</w:t>
      </w:r>
      <w:r w:rsidR="005137CB">
        <w:t xml:space="preserve">ne </w:t>
      </w:r>
      <w:r w:rsidR="00D16954">
        <w:t>organisation</w:t>
      </w:r>
      <w:r w:rsidR="005137CB">
        <w:t xml:space="preserve"> noted that </w:t>
      </w:r>
      <w:r w:rsidR="005137CB" w:rsidRPr="00837D42">
        <w:t>there was no formal process which evaluated the action plans, which meant that lessons learnt have not been captured in a systematic way</w:t>
      </w:r>
      <w:r w:rsidR="005137CB" w:rsidRPr="008730A8">
        <w:t xml:space="preserve">. This makes it difficult to both identify lessons learnt, as well as areas where lessons were learnt but not necessarily incorporated in future action plans. </w:t>
      </w:r>
    </w:p>
    <w:p w14:paraId="5B409EA4" w14:textId="77777777" w:rsidR="005137CB" w:rsidRPr="00BC7E51" w:rsidRDefault="005137CB" w:rsidP="005137CB">
      <w:pPr>
        <w:spacing w:before="120" w:after="120"/>
      </w:pPr>
      <w:r w:rsidRPr="008730A8">
        <w:t>Based on the desktop material available to this evaluation there is evidence that the consultation process for the Third and Fourth Action Plan contained questions that encouraged reflection on t</w:t>
      </w:r>
      <w:r w:rsidRPr="00CC3434">
        <w:t xml:space="preserve">he performance of previous </w:t>
      </w:r>
      <w:r w:rsidR="00A0133F" w:rsidRPr="00CC3434">
        <w:t>a</w:t>
      </w:r>
      <w:r w:rsidRPr="00CC3434">
        <w:t xml:space="preserve">ction </w:t>
      </w:r>
      <w:r w:rsidR="00A0133F" w:rsidRPr="00BC7E51">
        <w:t>p</w:t>
      </w:r>
      <w:r w:rsidRPr="00BC7E51">
        <w:t xml:space="preserve">lans however, no specific evaluation framework was used. </w:t>
      </w:r>
    </w:p>
    <w:p w14:paraId="5912D716" w14:textId="77777777" w:rsidR="005137CB" w:rsidRPr="00495E6A" w:rsidRDefault="005137CB" w:rsidP="005137CB">
      <w:pPr>
        <w:spacing w:before="120" w:after="120"/>
      </w:pPr>
      <w:r w:rsidRPr="00495E6A">
        <w:t xml:space="preserve">For example, the Third Action Plan discussion paper contains the following discussion question </w:t>
      </w:r>
      <w:r w:rsidRPr="00495E6A">
        <w:rPr>
          <w:i/>
        </w:rPr>
        <w:t>‘Are there any particular achievements and/or challenges with working together to deliver the Second Action Plan that you would like to highlight? How do you think we can learn from what worked or what didn’t work?’</w:t>
      </w:r>
      <w:r w:rsidRPr="00495E6A">
        <w:t xml:space="preserve">. Similarly, the Fourth Action Plan discussion paper contains this discussion question </w:t>
      </w:r>
      <w:r w:rsidRPr="00495E6A">
        <w:rPr>
          <w:i/>
        </w:rPr>
        <w:t>‘Are there any particular lessons learnt from the Third Action Plan that you would like to highlight in the Fourth Action Plan? What do we need to do differently?’</w:t>
      </w:r>
      <w:r w:rsidRPr="00495E6A">
        <w:t xml:space="preserve">. </w:t>
      </w:r>
    </w:p>
    <w:p w14:paraId="42D25B35" w14:textId="182065A1" w:rsidR="005137CB" w:rsidRPr="00495E6A" w:rsidRDefault="0046531E" w:rsidP="005137CB">
      <w:pPr>
        <w:pStyle w:val="PwCNormal"/>
      </w:pPr>
      <w:r>
        <w:t xml:space="preserve">While feedback on the National Framework was sought, </w:t>
      </w:r>
      <w:r w:rsidR="005137CB" w:rsidRPr="00495E6A">
        <w:t>no formal framework was used to ensure lessons were learnt from each action plan and systematically reflected in future action plans.</w:t>
      </w:r>
    </w:p>
    <w:p w14:paraId="1B01CF88" w14:textId="2C621AB9" w:rsidR="0032675F" w:rsidRPr="00837D42" w:rsidRDefault="0032675F" w:rsidP="00093E98">
      <w:pPr>
        <w:pStyle w:val="PwCNormal"/>
      </w:pPr>
      <w:r w:rsidRPr="00495E6A">
        <w:t xml:space="preserve">The evidence provided by organisations and through the desktop review suggests that the action plans did learn from previous action plans. This was reflected in fewer priorities and actions, and a greater focus to Aboriginal and Torres Strait Islander children actions in the </w:t>
      </w:r>
      <w:r w:rsidR="00997345" w:rsidRPr="00837D42">
        <w:t>T</w:t>
      </w:r>
      <w:r w:rsidRPr="00837D42">
        <w:t xml:space="preserve">hird and </w:t>
      </w:r>
      <w:r w:rsidR="00997345" w:rsidRPr="00837D42">
        <w:t>F</w:t>
      </w:r>
      <w:r w:rsidRPr="00837D42">
        <w:t xml:space="preserve">ourth </w:t>
      </w:r>
      <w:r w:rsidR="00E45EA0" w:rsidRPr="00837D42">
        <w:t>P</w:t>
      </w:r>
      <w:r w:rsidRPr="00837D42">
        <w:t xml:space="preserve">lans. </w:t>
      </w:r>
      <w:r w:rsidR="00997345" w:rsidRPr="00837D42">
        <w:t>W</w:t>
      </w:r>
      <w:r w:rsidRPr="00837D42">
        <w:t>hile efforts were made to reflect on previous action plans, a formalised process to monitor and evaluate the plans may have resulted in a greater opportunity to learn and adapt future action plans.</w:t>
      </w:r>
    </w:p>
    <w:p w14:paraId="2F834EA0" w14:textId="77777777" w:rsidR="005137CB" w:rsidRPr="002B7285" w:rsidRDefault="005137CB" w:rsidP="00B95734">
      <w:pPr>
        <w:pStyle w:val="Heading6"/>
        <w:numPr>
          <w:ilvl w:val="2"/>
          <w:numId w:val="43"/>
        </w:numPr>
        <w:ind w:left="851"/>
      </w:pPr>
      <w:bookmarkStart w:id="183" w:name="_Ref31293335"/>
      <w:bookmarkStart w:id="184" w:name="_Toc42847849"/>
      <w:r w:rsidRPr="002B7285">
        <w:t>The alignment of actions to the National Framework outcomes</w:t>
      </w:r>
      <w:bookmarkEnd w:id="183"/>
      <w:bookmarkEnd w:id="184"/>
    </w:p>
    <w:tbl>
      <w:tblPr>
        <w:tblStyle w:val="PwCColour"/>
        <w:tblW w:w="0" w:type="auto"/>
        <w:tblBorders>
          <w:top w:val="single" w:sz="4" w:space="0" w:color="EB8C00" w:themeColor="accent4"/>
          <w:left w:val="single" w:sz="4" w:space="0" w:color="EB8C00" w:themeColor="accent4"/>
          <w:bottom w:val="single" w:sz="4" w:space="0" w:color="EB8C00" w:themeColor="accent4"/>
          <w:right w:val="single" w:sz="4" w:space="0" w:color="EB8C00" w:themeColor="accent4"/>
          <w:insideH w:val="none" w:sz="0" w:space="0" w:color="auto"/>
          <w:insideV w:val="none" w:sz="0" w:space="0" w:color="auto"/>
        </w:tblBorders>
        <w:shd w:val="clear" w:color="auto" w:fill="FED8C3" w:themeFill="accent1" w:themeFillTint="33"/>
        <w:tblLook w:val="04A0" w:firstRow="1" w:lastRow="0" w:firstColumn="1" w:lastColumn="0" w:noHBand="0" w:noVBand="1"/>
        <w:tblCaption w:val="Key finding"/>
        <w:tblDescription w:val="The Framework’s high-level outcomes are sufficiently broad to enable alignment of all actions and priorities under the Third and Fourth Action Plans. However, a lack of a defined program logic which links actions, outputs and outcomes meant it was difficult to establish how sufficient actions and priorities were to achieve the intended outcomes. Organisations generally agreed that the actions and priorities, while aligned with the intent of outcomes, were not aligned with the ambition of a substantial and sustained reduction in child abuse and neglect."/>
      </w:tblPr>
      <w:tblGrid>
        <w:gridCol w:w="9855"/>
      </w:tblGrid>
      <w:tr w:rsidR="005137CB" w:rsidRPr="00495E6A" w14:paraId="54006543" w14:textId="77777777" w:rsidTr="009F049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855" w:type="dxa"/>
            <w:tcBorders>
              <w:top w:val="none" w:sz="0" w:space="0" w:color="auto"/>
              <w:bottom w:val="none" w:sz="0" w:space="0" w:color="auto"/>
            </w:tcBorders>
            <w:shd w:val="clear" w:color="auto" w:fill="FED8C3" w:themeFill="accent1" w:themeFillTint="33"/>
            <w:vAlign w:val="center"/>
          </w:tcPr>
          <w:p w14:paraId="2AF2C3EA" w14:textId="5B1D260B" w:rsidR="009A709D" w:rsidRPr="00837D42" w:rsidRDefault="009A709D" w:rsidP="008552A8">
            <w:pPr>
              <w:pStyle w:val="PwCNormal"/>
              <w:numPr>
                <w:ilvl w:val="0"/>
                <w:numId w:val="0"/>
              </w:numPr>
              <w:spacing w:before="120"/>
              <w:rPr>
                <w:b/>
              </w:rPr>
            </w:pPr>
            <w:r>
              <w:rPr>
                <w:b/>
              </w:rPr>
              <w:t>Key finding</w:t>
            </w:r>
          </w:p>
          <w:p w14:paraId="6059117A" w14:textId="77777777" w:rsidR="005137CB" w:rsidRPr="00CC3434" w:rsidRDefault="00562967" w:rsidP="00D36A99">
            <w:pPr>
              <w:pStyle w:val="ListBullet"/>
              <w:numPr>
                <w:ilvl w:val="0"/>
                <w:numId w:val="0"/>
              </w:numPr>
              <w:ind w:left="284"/>
            </w:pPr>
            <w:r w:rsidRPr="008730A8">
              <w:t>The Framework’s high-level outcomes are sufficiently broad to enable alignment of all actions and priorities under the Third and Fourth Action Plans. However, a lack of a defined program logic which links actions, outputs and outcomes meant it was difficult to establish how sufficient actions and priorities were to achieve the intended outcomes. Organisations generally agreed that the actions and priorities, while aligned with the intent of outcomes, were not aligned with the ambition of a substantial and sustained reduction in child abuse and neglect.</w:t>
            </w:r>
          </w:p>
        </w:tc>
      </w:tr>
    </w:tbl>
    <w:p w14:paraId="2E39A36B" w14:textId="77777777" w:rsidR="005137CB" w:rsidRPr="00495E6A" w:rsidRDefault="005137CB" w:rsidP="005137CB">
      <w:pPr>
        <w:numPr>
          <w:ilvl w:val="0"/>
          <w:numId w:val="16"/>
        </w:numPr>
        <w:spacing w:before="240" w:after="120"/>
        <w:rPr>
          <w:color w:val="000000" w:themeColor="text1"/>
        </w:rPr>
      </w:pPr>
      <w:r w:rsidRPr="00495E6A">
        <w:rPr>
          <w:color w:val="000000" w:themeColor="text1"/>
        </w:rPr>
        <w:t>Almost half the organisations consulted through this evaluation commented on the alignment of actions and priorities to the National Framework outcomes. While some indicated that the documents were broadly aligned, many disagreed suggesting that the relationship was not clear, and in some cases not apparent. This was generally related to how the action plans and Framework appeared to be very different documents; the Framework containing wide-reaching, high-level supporting outcomes, relative to the action plans that contain discrete, narrow, targeted actions. This is explored in more detail below.</w:t>
      </w:r>
    </w:p>
    <w:p w14:paraId="743EFECF" w14:textId="77777777" w:rsidR="005137CB" w:rsidRPr="00495E6A" w:rsidRDefault="005137CB" w:rsidP="005137CB">
      <w:pPr>
        <w:pStyle w:val="PwCNormal"/>
        <w:rPr>
          <w:b/>
        </w:rPr>
      </w:pPr>
      <w:r w:rsidRPr="00495E6A">
        <w:rPr>
          <w:b/>
        </w:rPr>
        <w:t>Drawing a connection between the ‘broad’ framework and ‘narrow’ action plans</w:t>
      </w:r>
    </w:p>
    <w:p w14:paraId="2FC23B38" w14:textId="77777777" w:rsidR="005137CB" w:rsidRDefault="005137CB" w:rsidP="005137CB">
      <w:pPr>
        <w:pStyle w:val="PwCNormal"/>
      </w:pPr>
      <w:r w:rsidRPr="005933A5">
        <w:t xml:space="preserve">The broad scope of the </w:t>
      </w:r>
      <w:r w:rsidR="00562967">
        <w:t xml:space="preserve">National </w:t>
      </w:r>
      <w:r w:rsidRPr="005933A5">
        <w:t xml:space="preserve">Framework relative to the narrow </w:t>
      </w:r>
      <w:r>
        <w:t>nature</w:t>
      </w:r>
      <w:r w:rsidRPr="005933A5">
        <w:t xml:space="preserve"> of the actions</w:t>
      </w:r>
      <w:r>
        <w:t xml:space="preserve"> was an area in which organisations disagreed. Some organisations suggested that because the </w:t>
      </w:r>
      <w:r w:rsidR="00562967">
        <w:t xml:space="preserve">National </w:t>
      </w:r>
      <w:r>
        <w:t>Framework is intentionally strategic, long term and broad, it was therefore possible for all actions to be aligned to it in some way. Other organisations suggested that the broad ambitions of the Framework required action plans to be narrower to ensure focus.</w:t>
      </w:r>
    </w:p>
    <w:p w14:paraId="49669C19" w14:textId="77777777" w:rsidR="005137CB" w:rsidRPr="00CC3434" w:rsidRDefault="00562967" w:rsidP="005137CB">
      <w:pPr>
        <w:pStyle w:val="PwCNormal"/>
      </w:pPr>
      <w:r>
        <w:t xml:space="preserve">The explicit link </w:t>
      </w:r>
      <w:r w:rsidR="005137CB">
        <w:t xml:space="preserve">between the actions in the action plans and the National </w:t>
      </w:r>
      <w:r w:rsidR="005137CB" w:rsidRPr="00837D42">
        <w:t>Framework</w:t>
      </w:r>
      <w:r w:rsidRPr="00837D42">
        <w:t xml:space="preserve"> is not always clear</w:t>
      </w:r>
      <w:r w:rsidR="005137CB" w:rsidRPr="00837D42">
        <w:t>. In the Third Action Plan</w:t>
      </w:r>
      <w:r w:rsidRPr="008730A8">
        <w:t>, supporting outcomes are not mapped to each action</w:t>
      </w:r>
      <w:r w:rsidR="005137CB" w:rsidRPr="008730A8">
        <w:t xml:space="preserve">. In the Fourth Action Plan each supporting outcome (or outcomes) has been identified against each action but </w:t>
      </w:r>
      <w:r w:rsidRPr="00CC3434">
        <w:t>the linking rationale is not provided</w:t>
      </w:r>
      <w:r w:rsidR="005137CB" w:rsidRPr="00CC3434">
        <w:t>.</w:t>
      </w:r>
    </w:p>
    <w:p w14:paraId="007F533D" w14:textId="77777777" w:rsidR="005137CB" w:rsidRPr="00495E6A" w:rsidRDefault="005137CB" w:rsidP="005137CB">
      <w:pPr>
        <w:pStyle w:val="PwCNormal"/>
      </w:pPr>
      <w:r w:rsidRPr="00495E6A">
        <w:t>This is consistent with the comments provided by many organisations that no program logic or theory of change was used to connect actions to outcomes. As such, organisations perceived that it was unclear if actions (and therefore priorities) were actually in line with the National Framework.</w:t>
      </w:r>
    </w:p>
    <w:p w14:paraId="2FA8EAB5" w14:textId="3B826619" w:rsidR="005137CB" w:rsidRPr="002B7285" w:rsidRDefault="005137CB" w:rsidP="005137CB">
      <w:pPr>
        <w:pStyle w:val="PwCNormal"/>
      </w:pPr>
      <w:r w:rsidRPr="00495E6A">
        <w:t>A program logic model or theory of change are schematic models that describe how a program or policy is intended to work. There are a variety of tools/resources available to convey a program’s logic model. One example is</w:t>
      </w:r>
      <w:r w:rsidRPr="002B7285">
        <w:t xml:space="preserve"> a ‘results chain’ depicts </w:t>
      </w:r>
      <w:r w:rsidRPr="002B7285">
        <w:lastRenderedPageBreak/>
        <w:t xml:space="preserve">a program theory </w:t>
      </w:r>
      <w:r w:rsidRPr="00893FA9">
        <w:rPr>
          <w:i/>
        </w:rPr>
        <w:t>“as a linear process with inputs and activities at the front and long-term outcomes at the end”</w:t>
      </w:r>
      <w:r w:rsidRPr="002B7285">
        <w:t>. A standard results chain is depicted in</w:t>
      </w:r>
      <w:r w:rsidR="009F049E">
        <w:t xml:space="preserve"> </w:t>
      </w:r>
      <w:r w:rsidR="009F049E">
        <w:fldChar w:fldCharType="begin"/>
      </w:r>
      <w:r w:rsidR="009F049E">
        <w:instrText xml:space="preserve"> REF _Ref31293290 \h </w:instrText>
      </w:r>
      <w:r w:rsidR="009F049E">
        <w:fldChar w:fldCharType="separate"/>
      </w:r>
      <w:r w:rsidR="00D75351">
        <w:t xml:space="preserve">Figure </w:t>
      </w:r>
      <w:r w:rsidR="00D75351">
        <w:rPr>
          <w:noProof/>
        </w:rPr>
        <w:t>11</w:t>
      </w:r>
      <w:r w:rsidR="009F049E">
        <w:fldChar w:fldCharType="end"/>
      </w:r>
      <w:r w:rsidRPr="002B7285">
        <w:t>.</w:t>
      </w:r>
    </w:p>
    <w:p w14:paraId="7E40E749" w14:textId="155BCFDC" w:rsidR="005137CB" w:rsidRDefault="005137CB" w:rsidP="005137CB">
      <w:pPr>
        <w:pStyle w:val="Caption"/>
      </w:pPr>
      <w:bookmarkStart w:id="185" w:name="_Ref31293290"/>
      <w:r>
        <w:t xml:space="preserve">Figure </w:t>
      </w:r>
      <w:fldSimple w:instr=" SEQ Figure \* ARABIC ">
        <w:r w:rsidR="00D75351">
          <w:rPr>
            <w:noProof/>
          </w:rPr>
          <w:t>11</w:t>
        </w:r>
      </w:fldSimple>
      <w:bookmarkEnd w:id="185"/>
      <w:r>
        <w:t>: Example program logic model (results chain)</w:t>
      </w:r>
      <w:r w:rsidR="00B45566">
        <w:rPr>
          <w:rStyle w:val="FootnoteReference"/>
        </w:rPr>
        <w:footnoteReference w:id="45"/>
      </w:r>
    </w:p>
    <w:p w14:paraId="1AF5D671" w14:textId="77777777" w:rsidR="005137CB" w:rsidRDefault="005137CB" w:rsidP="005137CB">
      <w:pPr>
        <w:pStyle w:val="PwCNormal"/>
      </w:pPr>
      <w:r w:rsidRPr="00946761">
        <w:rPr>
          <w:noProof/>
          <w:lang w:eastAsia="en-AU"/>
        </w:rPr>
        <w:drawing>
          <wp:inline distT="0" distB="0" distL="0" distR="0" wp14:anchorId="50AE4182" wp14:editId="7BD37CF6">
            <wp:extent cx="6264275" cy="737235"/>
            <wp:effectExtent l="0" t="0" r="3175" b="5715"/>
            <wp:docPr id="6" name="Picture 6" descr="Program logic.  Inputs are resources required to do activity/action and they feed into activities.  Activities are actiual activity or action to be implemented which feed into outputs.  Outputs arise from from the activity or action taken and feed into outcomes.  Outcomes are what changed arising from the outputs and feeds into the impact.  Impact is the impact of the outcomes." title="Description of fir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64275" cy="737235"/>
                    </a:xfrm>
                    <a:prstGeom prst="rect">
                      <a:avLst/>
                    </a:prstGeom>
                    <a:noFill/>
                    <a:ln>
                      <a:noFill/>
                    </a:ln>
                  </pic:spPr>
                </pic:pic>
              </a:graphicData>
            </a:graphic>
          </wp:inline>
        </w:drawing>
      </w:r>
    </w:p>
    <w:p w14:paraId="6430731B" w14:textId="2B214186" w:rsidR="005137CB" w:rsidRPr="00A83B94" w:rsidRDefault="005137CB" w:rsidP="005137CB">
      <w:pPr>
        <w:pStyle w:val="PwCNormal"/>
      </w:pPr>
      <w:r w:rsidRPr="00A83B94">
        <w:t xml:space="preserve">At a high-level, as the Third and Fourth Action Plan at most draw a link between an action and supporting outcome it appears that, consistent with feedback from </w:t>
      </w:r>
      <w:r w:rsidR="00D16954">
        <w:t>organisation</w:t>
      </w:r>
      <w:r w:rsidRPr="00A83B94">
        <w:t xml:space="preserve">s, there are </w:t>
      </w:r>
      <w:r w:rsidRPr="00837D42">
        <w:t>gaps in the overall program logic.</w:t>
      </w:r>
      <w:r w:rsidRPr="00A83B94">
        <w:t xml:space="preserve"> This is schematically depicted in </w:t>
      </w:r>
      <w:r w:rsidR="009F2751">
        <w:fldChar w:fldCharType="begin"/>
      </w:r>
      <w:r w:rsidR="009F2751">
        <w:instrText xml:space="preserve"> REF _Ref31296774 \h </w:instrText>
      </w:r>
      <w:r w:rsidR="009F2751">
        <w:fldChar w:fldCharType="separate"/>
      </w:r>
      <w:r w:rsidR="00D75351">
        <w:t xml:space="preserve">Figure </w:t>
      </w:r>
      <w:r w:rsidR="00D75351">
        <w:rPr>
          <w:noProof/>
        </w:rPr>
        <w:t>12</w:t>
      </w:r>
      <w:r w:rsidR="009F2751">
        <w:fldChar w:fldCharType="end"/>
      </w:r>
      <w:r w:rsidR="009F2751">
        <w:t xml:space="preserve"> </w:t>
      </w:r>
      <w:r w:rsidRPr="00A83B94">
        <w:t>which shows that although the inputs, activities and impacts are articulated, the middle section of the chain that relates to outputs and outcomes is not articulated.</w:t>
      </w:r>
    </w:p>
    <w:p w14:paraId="31BCCCA5" w14:textId="1D819BD1" w:rsidR="005137CB" w:rsidRDefault="005137CB" w:rsidP="005137CB">
      <w:pPr>
        <w:pStyle w:val="Caption"/>
      </w:pPr>
      <w:bookmarkStart w:id="186" w:name="_Ref31296774"/>
      <w:r>
        <w:t xml:space="preserve">Figure </w:t>
      </w:r>
      <w:fldSimple w:instr=" SEQ Figure \* ARABIC ">
        <w:r w:rsidR="00D75351">
          <w:rPr>
            <w:noProof/>
          </w:rPr>
          <w:t>12</w:t>
        </w:r>
      </w:fldSimple>
      <w:bookmarkEnd w:id="186"/>
      <w:r>
        <w:t>: Apparent gap in program logic between action</w:t>
      </w:r>
      <w:r w:rsidR="00B45566">
        <w:rPr>
          <w:rStyle w:val="FootnoteReference"/>
        </w:rPr>
        <w:footnoteReference w:id="46"/>
      </w:r>
      <w:r>
        <w:t xml:space="preserve"> </w:t>
      </w:r>
    </w:p>
    <w:p w14:paraId="330396C1" w14:textId="77777777" w:rsidR="005137CB" w:rsidRDefault="005137CB" w:rsidP="005137CB">
      <w:r w:rsidRPr="001053EF">
        <w:rPr>
          <w:noProof/>
          <w:lang w:eastAsia="en-AU"/>
        </w:rPr>
        <w:drawing>
          <wp:inline distT="0" distB="0" distL="0" distR="0" wp14:anchorId="41D8353A" wp14:editId="4C258EBB">
            <wp:extent cx="6264275" cy="1231265"/>
            <wp:effectExtent l="0" t="0" r="0" b="0"/>
            <wp:docPr id="8" name="Picture 8" descr="Figure 12: Apparent gap in program logic between action.  Inputs are resources required to do activity/action and they feed into activities.  Activities are actiual activity or action to be implemented which feed into outputs.  Outputs arise from from the activity or action taken and feed into outcomes.  Outcomes are what changed arising from the outputs and feeds into the impact.  Impact is the impact of the outcomes.&#10;&#10;The inputs and activities articulated through the third and fourth action plan and the impacts articulated throught the supporting outcomes of the National Framework. " title="Description of fir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64275" cy="1231265"/>
                    </a:xfrm>
                    <a:prstGeom prst="rect">
                      <a:avLst/>
                    </a:prstGeom>
                    <a:noFill/>
                    <a:ln>
                      <a:noFill/>
                    </a:ln>
                  </pic:spPr>
                </pic:pic>
              </a:graphicData>
            </a:graphic>
          </wp:inline>
        </w:drawing>
      </w:r>
    </w:p>
    <w:p w14:paraId="2BBB4886" w14:textId="427E7F3F" w:rsidR="005137CB" w:rsidRDefault="005137CB" w:rsidP="005137CB">
      <w:pPr>
        <w:pStyle w:val="PwCNormal"/>
        <w:numPr>
          <w:ilvl w:val="0"/>
          <w:numId w:val="0"/>
        </w:numPr>
      </w:pPr>
      <w:r>
        <w:t xml:space="preserve">To further the analysis around the relationship between actions and the National Framework, acknowledging gaps in the articulated program logic, a high-level mapping of the signature actions contained in the Third and Fourth Action Plan against the supporting outcomes of the Framework is outlined in </w:t>
      </w:r>
      <w:r>
        <w:fldChar w:fldCharType="begin"/>
      </w:r>
      <w:r>
        <w:instrText xml:space="preserve"> REF _Ref31238991 \n \h </w:instrText>
      </w:r>
      <w:r>
        <w:fldChar w:fldCharType="separate"/>
      </w:r>
      <w:r w:rsidR="00D75351">
        <w:t>Appendix C</w:t>
      </w:r>
      <w:r>
        <w:fldChar w:fldCharType="end"/>
      </w:r>
      <w:r>
        <w:t>. This mapping is based on a program logic approach; each action is linked (broadly) to a strategy from the Framework. As each strategy is linked to a supporting outcome the mapping attempts to fill in the gap between activities (actions) and impacts (supporting outcomes).</w:t>
      </w:r>
    </w:p>
    <w:p w14:paraId="140689F3" w14:textId="4602069C" w:rsidR="00000A6F" w:rsidRDefault="00000A6F" w:rsidP="005137CB">
      <w:pPr>
        <w:pStyle w:val="PwCNormal"/>
        <w:numPr>
          <w:ilvl w:val="0"/>
          <w:numId w:val="0"/>
        </w:numPr>
      </w:pPr>
      <w:r>
        <w:t xml:space="preserve">An analysis of the actions articulated in the action plans has been undertaken to identify which align to, and which deliver upon the supporting outcomes of the National Framework. </w:t>
      </w:r>
    </w:p>
    <w:p w14:paraId="4ADA116C" w14:textId="77777777" w:rsidR="005137CB" w:rsidRDefault="005137CB" w:rsidP="005137CB">
      <w:pPr>
        <w:pStyle w:val="PwCNormal"/>
      </w:pPr>
      <w:r>
        <w:t>For the Third Action Plan:</w:t>
      </w:r>
    </w:p>
    <w:p w14:paraId="39374BBC" w14:textId="5F3B7F85" w:rsidR="005137CB" w:rsidRDefault="001B5B13" w:rsidP="005137CB">
      <w:pPr>
        <w:pStyle w:val="ListBullet"/>
      </w:pPr>
      <w:r w:rsidRPr="00837D42">
        <w:t>f</w:t>
      </w:r>
      <w:r w:rsidR="00A67E9D" w:rsidRPr="00837D42">
        <w:t xml:space="preserve">ive </w:t>
      </w:r>
      <w:r w:rsidR="005137CB" w:rsidRPr="00837D42">
        <w:t xml:space="preserve">out of 17 actions </w:t>
      </w:r>
      <w:r w:rsidR="00CB46D2">
        <w:t xml:space="preserve">align to </w:t>
      </w:r>
      <w:r w:rsidR="005137CB">
        <w:t>supporting outcome</w:t>
      </w:r>
      <w:r w:rsidR="00586BEE">
        <w:t>s</w:t>
      </w:r>
      <w:r w:rsidR="005137CB">
        <w:t xml:space="preserve"> under the Framework</w:t>
      </w:r>
      <w:r w:rsidR="00CB46D2">
        <w:t xml:space="preserve"> through the creation of research, standardisation and governance arrangements</w:t>
      </w:r>
      <w:r w:rsidR="00586BEE">
        <w:t xml:space="preserve"> to enable the Framework to target activities and measure progress</w:t>
      </w:r>
      <w:r w:rsidR="005137CB">
        <w:t>.</w:t>
      </w:r>
      <w:r w:rsidR="00A67E9D">
        <w:t xml:space="preserve"> </w:t>
      </w:r>
    </w:p>
    <w:p w14:paraId="1961466A" w14:textId="77777777" w:rsidR="005137CB" w:rsidRDefault="001B5B13" w:rsidP="005137CB">
      <w:pPr>
        <w:pStyle w:val="ListBullet"/>
      </w:pPr>
      <w:r>
        <w:t>t</w:t>
      </w:r>
      <w:r w:rsidR="005137CB">
        <w:t>he remaining actions can generally be linked to one or more strategies associated with the supporting outcomes under the Framework, noting that supporting outcome 6 does not appear to be addressed by any action.</w:t>
      </w:r>
    </w:p>
    <w:p w14:paraId="43D6FF30" w14:textId="77777777" w:rsidR="005137CB" w:rsidRDefault="005137CB" w:rsidP="005137CB">
      <w:pPr>
        <w:pStyle w:val="ListBullet"/>
        <w:numPr>
          <w:ilvl w:val="0"/>
          <w:numId w:val="0"/>
        </w:numPr>
      </w:pPr>
      <w:r>
        <w:t>For the Fourth Action Plan:</w:t>
      </w:r>
    </w:p>
    <w:p w14:paraId="491E69C5" w14:textId="77777777" w:rsidR="001E154A" w:rsidRDefault="001B5B13" w:rsidP="005137CB">
      <w:pPr>
        <w:pStyle w:val="ListBullet"/>
      </w:pPr>
      <w:r>
        <w:t>a</w:t>
      </w:r>
      <w:r w:rsidR="005137CB">
        <w:t>ll actions can generally be linked to one or more strategies associated with the supporting outcomes under the Framework</w:t>
      </w:r>
    </w:p>
    <w:p w14:paraId="2A08B47F" w14:textId="6CF5CF8B" w:rsidR="005137CB" w:rsidRDefault="001E154A" w:rsidP="005137CB">
      <w:pPr>
        <w:pStyle w:val="ListBullet"/>
      </w:pPr>
      <w:r>
        <w:t>actions appear to be focused on implementation rather than enabling functions to deliver the supporting outcomes</w:t>
      </w:r>
      <w:r w:rsidR="005137CB">
        <w:t xml:space="preserve">. </w:t>
      </w:r>
    </w:p>
    <w:p w14:paraId="16DAE78E" w14:textId="4DFBADFE" w:rsidR="001E154A" w:rsidRDefault="005137CB" w:rsidP="005137CB">
      <w:pPr>
        <w:pStyle w:val="ListBullet"/>
        <w:numPr>
          <w:ilvl w:val="0"/>
          <w:numId w:val="0"/>
        </w:numPr>
      </w:pPr>
      <w:r>
        <w:lastRenderedPageBreak/>
        <w:t xml:space="preserve">This analysis </w:t>
      </w:r>
      <w:r w:rsidR="001E154A">
        <w:t xml:space="preserve">demonstrates the wide-ranging activities captured by the action plans and their broad alignment with the supporting outcomes articulated by the National Framework. </w:t>
      </w:r>
    </w:p>
    <w:p w14:paraId="7AC31BD0" w14:textId="77777777" w:rsidR="005137CB" w:rsidRPr="00DD0D0A" w:rsidRDefault="005137CB" w:rsidP="005137CB">
      <w:pPr>
        <w:pStyle w:val="PwCNormal"/>
        <w:rPr>
          <w:b/>
        </w:rPr>
      </w:pPr>
      <w:r w:rsidRPr="00DD0D0A">
        <w:rPr>
          <w:b/>
        </w:rPr>
        <w:t>Child protection, child well-being and the public health model</w:t>
      </w:r>
    </w:p>
    <w:p w14:paraId="2A0EFB4A" w14:textId="1C7D3CCB" w:rsidR="004F4B75" w:rsidRDefault="005137CB" w:rsidP="00FA3E74">
      <w:pPr>
        <w:pStyle w:val="PwCNormal"/>
      </w:pPr>
      <w:r>
        <w:t xml:space="preserve">Additionally, some organisations commented that the action plans </w:t>
      </w:r>
      <w:r w:rsidRPr="008730A8">
        <w:t xml:space="preserve">were disproportionately aligned to statutory child protection needs and system issues. </w:t>
      </w:r>
      <w:r w:rsidRPr="00E45EA0">
        <w:t>These organisations reflected</w:t>
      </w:r>
      <w:r>
        <w:t xml:space="preserve"> that the Framework was intended to have a holistic focus on all the factors that might impact a child’s safety and well-being, yet the actions were most often about issues within tertiary child protection and out of home care services. The focus on child protection and out of home care is explored in some detail in Chapter </w:t>
      </w:r>
      <w:r>
        <w:fldChar w:fldCharType="begin"/>
      </w:r>
      <w:r>
        <w:instrText xml:space="preserve"> REF _Ref31239671 \n \h </w:instrText>
      </w:r>
      <w:r>
        <w:fldChar w:fldCharType="separate"/>
      </w:r>
      <w:r w:rsidR="00D75351">
        <w:t>4</w:t>
      </w:r>
      <w:r>
        <w:fldChar w:fldCharType="end"/>
      </w:r>
      <w:r w:rsidR="00E45EA0">
        <w:t>. This</w:t>
      </w:r>
      <w:r>
        <w:t xml:space="preserve"> is related to the focus, perceived by many organisations, that the action plans appear to have on tertiary interventions over primary interventions in the public health model.</w:t>
      </w:r>
    </w:p>
    <w:p w14:paraId="1BCB221F" w14:textId="77777777" w:rsidR="004F4B75" w:rsidRPr="007E2A6D" w:rsidRDefault="004F4B75" w:rsidP="007E2A6D">
      <w:pPr>
        <w:pStyle w:val="PwCNormal"/>
      </w:pPr>
      <w:r w:rsidRPr="007E2A6D">
        <w:t xml:space="preserve">The review of how the structure of the action plans and Framework demonstrates that the Framework’s high-level outcomes are sufficiently broad to enable alignment of all actions and priorities under the Third and Fourth Action Plans, but lack the program logic mapping out how actions, outputs and outcomes work together to achieve the outcomes. This meant that while actions could largely be aligned, the </w:t>
      </w:r>
      <w:r w:rsidRPr="008730A8">
        <w:t>strategic intent to achieve a substantial and sustained reduction in child abuse and neglect could not be described by the sum of the actions</w:t>
      </w:r>
      <w:r w:rsidRPr="007E2A6D">
        <w:t>.</w:t>
      </w:r>
    </w:p>
    <w:p w14:paraId="5AE8C9BD" w14:textId="77777777" w:rsidR="005137CB" w:rsidRDefault="005137CB" w:rsidP="00B95734">
      <w:pPr>
        <w:pStyle w:val="Heading6"/>
        <w:numPr>
          <w:ilvl w:val="2"/>
          <w:numId w:val="43"/>
        </w:numPr>
        <w:ind w:left="851"/>
      </w:pPr>
      <w:bookmarkStart w:id="187" w:name="_Toc42847850"/>
      <w:r w:rsidRPr="002B7285">
        <w:t>Appropriateness of the duration and structure of the National Framework and its Action Plans</w:t>
      </w:r>
      <w:bookmarkEnd w:id="187"/>
    </w:p>
    <w:tbl>
      <w:tblPr>
        <w:tblStyle w:val="PwCColour"/>
        <w:tblW w:w="0" w:type="auto"/>
        <w:tblBorders>
          <w:top w:val="single" w:sz="4" w:space="0" w:color="EB8C00" w:themeColor="accent4"/>
          <w:left w:val="single" w:sz="4" w:space="0" w:color="EB8C00" w:themeColor="accent4"/>
          <w:bottom w:val="single" w:sz="4" w:space="0" w:color="EB8C00" w:themeColor="accent4"/>
          <w:right w:val="single" w:sz="4" w:space="0" w:color="EB8C00" w:themeColor="accent4"/>
          <w:insideH w:val="none" w:sz="0" w:space="0" w:color="auto"/>
          <w:insideV w:val="none" w:sz="0" w:space="0" w:color="auto"/>
        </w:tblBorders>
        <w:shd w:val="clear" w:color="auto" w:fill="FED8C3" w:themeFill="accent1" w:themeFillTint="33"/>
        <w:tblLook w:val="04A0" w:firstRow="1" w:lastRow="0" w:firstColumn="1" w:lastColumn="0" w:noHBand="0" w:noVBand="1"/>
        <w:tblCaption w:val="Key finding"/>
        <w:tblDescription w:val="The 12-year duration of the Framework was considered appropriate and an achievement of the Framework in that it facilitated and enabled a national conversation which elevated the priority of children’s safety and wellbeing in Australia. &#10;The rolling structure of three-year action plans was seen as appropriate as it allowed flexibility for the Framework to respond to changing policies and the political landscape. However, the requirement to renegotiate, develop and agree each new action plan resulted in significant loss of time for the implementation of the plans."/>
      </w:tblPr>
      <w:tblGrid>
        <w:gridCol w:w="9855"/>
      </w:tblGrid>
      <w:tr w:rsidR="005137CB" w14:paraId="593A8C47" w14:textId="77777777" w:rsidTr="009F049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855" w:type="dxa"/>
            <w:tcBorders>
              <w:top w:val="none" w:sz="0" w:space="0" w:color="auto"/>
              <w:bottom w:val="none" w:sz="0" w:space="0" w:color="auto"/>
            </w:tcBorders>
            <w:shd w:val="clear" w:color="auto" w:fill="FED8C3" w:themeFill="accent1" w:themeFillTint="33"/>
            <w:vAlign w:val="center"/>
          </w:tcPr>
          <w:p w14:paraId="2F9046A1" w14:textId="2F5299A0" w:rsidR="005137CB" w:rsidRPr="002233BE" w:rsidRDefault="009A709D" w:rsidP="00FA3E74">
            <w:pPr>
              <w:pStyle w:val="ListBullet"/>
              <w:numPr>
                <w:ilvl w:val="0"/>
                <w:numId w:val="0"/>
              </w:numPr>
              <w:rPr>
                <w:b/>
                <w:bCs/>
              </w:rPr>
            </w:pPr>
            <w:r>
              <w:rPr>
                <w:b/>
                <w:bCs/>
              </w:rPr>
              <w:t>Key finding</w:t>
            </w:r>
          </w:p>
          <w:p w14:paraId="4CF268B4" w14:textId="77777777" w:rsidR="00CB2955" w:rsidRDefault="00CB2955" w:rsidP="00FA3E74">
            <w:pPr>
              <w:pStyle w:val="ListBullet"/>
              <w:numPr>
                <w:ilvl w:val="0"/>
                <w:numId w:val="0"/>
              </w:numPr>
              <w:ind w:left="284"/>
            </w:pPr>
            <w:r>
              <w:t xml:space="preserve">The 12-year duration of the Framework was considered </w:t>
            </w:r>
            <w:r w:rsidRPr="008730A8">
              <w:t>appropriate and an achievement</w:t>
            </w:r>
            <w:r>
              <w:t xml:space="preserve"> of the Framework in that it facilitated and enabled a national conversation </w:t>
            </w:r>
            <w:r w:rsidRPr="006D0E58">
              <w:t>which elevated the priority of children’s safety and wellbeing</w:t>
            </w:r>
            <w:r>
              <w:t xml:space="preserve"> in Australia. </w:t>
            </w:r>
          </w:p>
          <w:p w14:paraId="0AA78F8B" w14:textId="77777777" w:rsidR="005137CB" w:rsidRPr="00DE6391" w:rsidRDefault="00CB2955" w:rsidP="00FA3E74">
            <w:pPr>
              <w:pStyle w:val="ListBullet"/>
              <w:numPr>
                <w:ilvl w:val="0"/>
                <w:numId w:val="0"/>
              </w:numPr>
              <w:ind w:left="284"/>
            </w:pPr>
            <w:r>
              <w:t xml:space="preserve">The rolling structure of three-year action plans </w:t>
            </w:r>
            <w:r w:rsidRPr="008730A8">
              <w:t>was seen as appropriate</w:t>
            </w:r>
            <w:r>
              <w:t xml:space="preserve"> as it allowed flexibility for the Framework to respond to changing policies and the political landscape. However, </w:t>
            </w:r>
            <w:r w:rsidRPr="008730A8">
              <w:t>the requirement to renegotiate, develop and agree each new action plan resulted in significant loss of time for the implementation of the plans</w:t>
            </w:r>
            <w:r>
              <w:t>.</w:t>
            </w:r>
          </w:p>
        </w:tc>
      </w:tr>
    </w:tbl>
    <w:p w14:paraId="36247641" w14:textId="77777777" w:rsidR="005137CB" w:rsidRDefault="005137CB" w:rsidP="005137CB">
      <w:pPr>
        <w:numPr>
          <w:ilvl w:val="0"/>
          <w:numId w:val="16"/>
        </w:numPr>
        <w:spacing w:before="240" w:after="120"/>
        <w:rPr>
          <w:color w:val="000000" w:themeColor="text1"/>
        </w:rPr>
      </w:pPr>
      <w:r>
        <w:rPr>
          <w:color w:val="000000" w:themeColor="text1"/>
        </w:rPr>
        <w:t xml:space="preserve">Only a small number of </w:t>
      </w:r>
      <w:r w:rsidRPr="002B7285">
        <w:rPr>
          <w:color w:val="000000" w:themeColor="text1"/>
        </w:rPr>
        <w:t xml:space="preserve">organisations consulted </w:t>
      </w:r>
      <w:r>
        <w:rPr>
          <w:color w:val="000000" w:themeColor="text1"/>
        </w:rPr>
        <w:t xml:space="preserve">for this evaluation commented on the appropriateness of the </w:t>
      </w:r>
      <w:r w:rsidRPr="002B7285">
        <w:rPr>
          <w:color w:val="000000" w:themeColor="text1"/>
        </w:rPr>
        <w:t xml:space="preserve">duration and structure of the National Framework and its action plans. </w:t>
      </w:r>
      <w:r w:rsidRPr="002D431B">
        <w:rPr>
          <w:color w:val="000000" w:themeColor="text1"/>
        </w:rPr>
        <w:t xml:space="preserve">Many of the remaining organisations were not sufficiently involved over the life of the Framework </w:t>
      </w:r>
      <w:r>
        <w:rPr>
          <w:color w:val="000000" w:themeColor="text1"/>
        </w:rPr>
        <w:t>to provide feedback on the duration and structure</w:t>
      </w:r>
      <w:r w:rsidRPr="002D431B">
        <w:rPr>
          <w:color w:val="000000" w:themeColor="text1"/>
        </w:rPr>
        <w:t>.</w:t>
      </w:r>
      <w:r>
        <w:rPr>
          <w:color w:val="000000" w:themeColor="text1"/>
        </w:rPr>
        <w:t xml:space="preserve"> In general, both advantages and disadvantages of the Framework were identified however, the broad theme was that duration/structure was just one factor among many that </w:t>
      </w:r>
      <w:r w:rsidR="00753947">
        <w:rPr>
          <w:color w:val="000000" w:themeColor="text1"/>
        </w:rPr>
        <w:t xml:space="preserve">influenced </w:t>
      </w:r>
      <w:r>
        <w:rPr>
          <w:color w:val="000000" w:themeColor="text1"/>
        </w:rPr>
        <w:t>the implementation of the Framework and its action plans.</w:t>
      </w:r>
    </w:p>
    <w:p w14:paraId="2FD97C1F" w14:textId="2E2F25A3" w:rsidR="005137CB" w:rsidRPr="00B9525F" w:rsidRDefault="005137CB" w:rsidP="005137CB">
      <w:pPr>
        <w:pStyle w:val="PwCNormal"/>
        <w:rPr>
          <w:b/>
        </w:rPr>
      </w:pPr>
      <w:r w:rsidRPr="00B9525F">
        <w:rPr>
          <w:b/>
        </w:rPr>
        <w:t xml:space="preserve">Identified advantages </w:t>
      </w:r>
      <w:r w:rsidR="00A0449D">
        <w:rPr>
          <w:b/>
        </w:rPr>
        <w:t xml:space="preserve">and limitations </w:t>
      </w:r>
      <w:r w:rsidRPr="00B9525F">
        <w:rPr>
          <w:b/>
        </w:rPr>
        <w:t xml:space="preserve">of current structure and duration </w:t>
      </w:r>
    </w:p>
    <w:p w14:paraId="1731BB58" w14:textId="3574E2C7" w:rsidR="00A0449D" w:rsidRPr="008552A8" w:rsidRDefault="00A0449D" w:rsidP="005137CB">
      <w:pPr>
        <w:numPr>
          <w:ilvl w:val="0"/>
          <w:numId w:val="16"/>
        </w:numPr>
        <w:spacing w:before="240" w:after="120"/>
        <w:rPr>
          <w:color w:val="000000" w:themeColor="text1"/>
        </w:rPr>
      </w:pPr>
      <w:r>
        <w:t xml:space="preserve">Conflicting views were provided by stakeholders on the structure and duration of the Framework and its action plans. Some </w:t>
      </w:r>
      <w:r w:rsidR="005137CB">
        <w:t xml:space="preserve">organisations indicated the duration and structure </w:t>
      </w:r>
      <w:r w:rsidR="005137CB" w:rsidRPr="008730A8">
        <w:t>was conducive to the implementation of</w:t>
      </w:r>
      <w:r w:rsidR="005137CB">
        <w:t xml:space="preserve"> the Framework and its action plans. These organisations identified that </w:t>
      </w:r>
      <w:r w:rsidR="005137CB" w:rsidRPr="008730A8">
        <w:t>three-year action plans supported momentum and allowed priorities</w:t>
      </w:r>
      <w:r w:rsidR="005137CB">
        <w:t xml:space="preserve"> to shift with the times. For example, the action plans were able to align focus with the Royal Commissions and other related reforms. The </w:t>
      </w:r>
      <w:r w:rsidR="005137CB" w:rsidRPr="008730A8">
        <w:t>long timeframe was also considered appropriate</w:t>
      </w:r>
      <w:r w:rsidR="005137CB">
        <w:t xml:space="preserve"> to ensure the Framework could sustain real change. These organisations indicated a shorter length would have been prohibitive to change.</w:t>
      </w:r>
      <w:r>
        <w:t xml:space="preserve"> </w:t>
      </w:r>
    </w:p>
    <w:p w14:paraId="457B894D" w14:textId="5CE0366A" w:rsidR="005137CB" w:rsidRDefault="00A0449D" w:rsidP="005137CB">
      <w:pPr>
        <w:numPr>
          <w:ilvl w:val="0"/>
          <w:numId w:val="16"/>
        </w:numPr>
        <w:spacing w:before="240" w:after="120"/>
      </w:pPr>
      <w:r>
        <w:t>A number of organisations suggested that the longer duration of the Framework limited the adaptability of the Framework and was no longer a contemporary document. Additionally, the three-year time frame for the action plans were insufficient to enable actions to be properly implemented. For example, the Fourth Action Plan it was developed in 2018, launched in 2019 to be implemented in 2020, leaving a limited window for implementation.</w:t>
      </w:r>
    </w:p>
    <w:p w14:paraId="20945F12" w14:textId="5A505605" w:rsidR="00A0449D" w:rsidRPr="00A0449D" w:rsidRDefault="00A0449D" w:rsidP="008552A8">
      <w:pPr>
        <w:pStyle w:val="PwCNormal"/>
      </w:pPr>
      <w:r>
        <w:t xml:space="preserve">It was noted that the three-year plans enabled better alignment to election cycles (and so, could support changing jurisdictional priorities), but was not conducive to a long-term, consistent approach to implementing the Framework. This is because it was perceived that each election cycle resulted in a change of personnel and policies that influenced how the action plans were developed, such that they did not appear closely linked. This was perceived as detrimental to having a consistent approach and agenda. As such some organisations indicated longer action plans (i.e. five-years) may be more effective for achieving outcomes. </w:t>
      </w:r>
    </w:p>
    <w:p w14:paraId="2F4F3939" w14:textId="30EAB5D3" w:rsidR="005137CB" w:rsidRPr="00E674DC" w:rsidRDefault="005137CB" w:rsidP="005137CB">
      <w:pPr>
        <w:pStyle w:val="PwCNormal"/>
        <w:rPr>
          <w:color w:val="auto"/>
        </w:rPr>
      </w:pPr>
      <w:r>
        <w:lastRenderedPageBreak/>
        <w:t xml:space="preserve">Based on desktop analysis of the action plans it appears that the shorter timeframes may have created opportunities for the action plans </w:t>
      </w:r>
      <w:r w:rsidRPr="008730A8">
        <w:t>to align with the broader policy agenda</w:t>
      </w:r>
      <w:r>
        <w:t xml:space="preserve"> around children and families. For example, the Third Action Plan explicitly identifies that the </w:t>
      </w:r>
      <w:r w:rsidRPr="00E674DC">
        <w:t xml:space="preserve">Royal Commission into Institutional Responses to Child Sexual Abuse </w:t>
      </w:r>
      <w:r w:rsidRPr="00E674DC">
        <w:rPr>
          <w:color w:val="auto"/>
        </w:rPr>
        <w:t>and Senate Inquiries</w:t>
      </w:r>
      <w:r>
        <w:rPr>
          <w:color w:val="auto"/>
        </w:rPr>
        <w:t xml:space="preserve"> </w:t>
      </w:r>
      <w:r w:rsidRPr="00E674DC">
        <w:rPr>
          <w:color w:val="auto"/>
        </w:rPr>
        <w:t>into Out-of-Home Care and Grandparents who take Primary Responsibility for Raising their Grandchildren</w:t>
      </w:r>
      <w:r>
        <w:rPr>
          <w:color w:val="auto"/>
        </w:rPr>
        <w:t xml:space="preserve"> informed the development of priorities and actions.</w:t>
      </w:r>
    </w:p>
    <w:p w14:paraId="176FA4A1" w14:textId="77777777" w:rsidR="005137CB" w:rsidRPr="00B9525F" w:rsidRDefault="005137CB" w:rsidP="005137CB">
      <w:pPr>
        <w:pStyle w:val="PwCNormal"/>
        <w:rPr>
          <w:b/>
        </w:rPr>
      </w:pPr>
      <w:r w:rsidRPr="00B9525F">
        <w:rPr>
          <w:b/>
        </w:rPr>
        <w:t xml:space="preserve">Duration and structure </w:t>
      </w:r>
      <w:r>
        <w:rPr>
          <w:b/>
        </w:rPr>
        <w:t xml:space="preserve">are not the only factors that </w:t>
      </w:r>
      <w:r w:rsidRPr="00B9525F">
        <w:rPr>
          <w:b/>
        </w:rPr>
        <w:t>contribut</w:t>
      </w:r>
      <w:r>
        <w:rPr>
          <w:b/>
        </w:rPr>
        <w:t>e</w:t>
      </w:r>
      <w:r w:rsidRPr="00B9525F">
        <w:rPr>
          <w:b/>
        </w:rPr>
        <w:t xml:space="preserve"> to implementation</w:t>
      </w:r>
    </w:p>
    <w:p w14:paraId="310B84F6" w14:textId="7CAB4551" w:rsidR="005137CB" w:rsidRDefault="005137CB" w:rsidP="005137CB">
      <w:pPr>
        <w:spacing w:before="120" w:after="120"/>
      </w:pPr>
      <w:r>
        <w:t xml:space="preserve">Some organisations acknowledged that, although the duration and structure of the Framework and its action plans may have been improved, the implementation of the Framework was impacted by numerous </w:t>
      </w:r>
      <w:r w:rsidRPr="0054034A">
        <w:t xml:space="preserve">factors (i.e. leadership, funding, changing policy priorities, changing stakeholders etc. discussed through this evaluation – refer to </w:t>
      </w:r>
      <w:r>
        <w:t xml:space="preserve">section </w:t>
      </w:r>
      <w:r>
        <w:rPr>
          <w:highlight w:val="yellow"/>
        </w:rPr>
        <w:fldChar w:fldCharType="begin"/>
      </w:r>
      <w:r>
        <w:instrText xml:space="preserve"> REF _Ref31239803 \n \h </w:instrText>
      </w:r>
      <w:r>
        <w:rPr>
          <w:highlight w:val="yellow"/>
        </w:rPr>
      </w:r>
      <w:r>
        <w:rPr>
          <w:highlight w:val="yellow"/>
        </w:rPr>
        <w:fldChar w:fldCharType="separate"/>
      </w:r>
      <w:r w:rsidR="00D75351">
        <w:t>4</w:t>
      </w:r>
      <w:r>
        <w:rPr>
          <w:highlight w:val="yellow"/>
        </w:rPr>
        <w:fldChar w:fldCharType="end"/>
      </w:r>
      <w:r>
        <w:t xml:space="preserve">) that in turn made the duration and structure unworkable. </w:t>
      </w:r>
    </w:p>
    <w:p w14:paraId="21F8AE5B" w14:textId="77777777" w:rsidR="005137CB" w:rsidRDefault="005137CB" w:rsidP="005137CB">
      <w:pPr>
        <w:spacing w:before="120" w:after="120"/>
      </w:pPr>
      <w:r>
        <w:t xml:space="preserve">As an example, one organisation suggested that the </w:t>
      </w:r>
      <w:r w:rsidRPr="003133B8">
        <w:rPr>
          <w:i/>
        </w:rPr>
        <w:t>National Plan to Reduce Violence against Women and their Children 2010-2022</w:t>
      </w:r>
      <w:r>
        <w:t xml:space="preserve">, which has a very similar structure to the National Framework (12-year plan delivered through a series of </w:t>
      </w:r>
      <w:r w:rsidR="00AE070F">
        <w:t>four</w:t>
      </w:r>
      <w:r>
        <w:t xml:space="preserve"> 3-year action plans), has been more effective in creating a long-term reform agenda. </w:t>
      </w:r>
    </w:p>
    <w:p w14:paraId="5C459C7E" w14:textId="77777777" w:rsidR="005137CB" w:rsidRDefault="005137CB" w:rsidP="005137CB">
      <w:pPr>
        <w:spacing w:before="120" w:after="120"/>
      </w:pPr>
      <w:r>
        <w:t xml:space="preserve">Desktop analysis of the National Plan relative to the National Framework identified some marked differences between the two. For example, although both strategies utilise four 3-year action plans to support their implementation, in the National Plan the agenda for each action plan was set at inception. This appears to be a key mechanism to ensuring the action plans adhered to the vision of long-term reform reflected in the Plan. Additionally, each action plan in the National Plan is supported by national and jurisdictional implementation plans that explicitly outline the key initiatives and their </w:t>
      </w:r>
      <w:r w:rsidRPr="00937808">
        <w:t>funding, milestones, intended outcomes and connection</w:t>
      </w:r>
      <w:r>
        <w:t xml:space="preserve"> to priority areas. This approach appears to increase the overall transparency and level of attribution that can be made between the Plan and the initiatives </w:t>
      </w:r>
      <w:r w:rsidRPr="0054034A">
        <w:t>undertaken. Further differences between the characteristics of the National Framework and National Plan are discussed below.</w:t>
      </w:r>
    </w:p>
    <w:tbl>
      <w:tblPr>
        <w:tblStyle w:val="PwCColou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shd w:val="clear" w:color="auto" w:fill="F2F2F2" w:themeFill="background1" w:themeFillShade="F2"/>
        <w:tblLook w:val="04A0" w:firstRow="1" w:lastRow="0" w:firstColumn="1" w:lastColumn="0" w:noHBand="0" w:noVBand="1"/>
        <w:tblCaption w:val="National Plan to Reduce Violence against Women and their Children 2010-22"/>
        <w:tblDescription w:val="The National Plan to Reduce Violence against Women and their Children 2010-22 was mentioned by several organisations as an example of a strategy that has different features to the National Framework, that cumulatively appear to support its overall implementation (see Chapter 4). Some of the key differences raised by organisations throughout this evaluation are outlined below:&#10;• Action Plans: Although both strategies operate over a 12-year time-frame with rolling 3-year action plans, the theme of the action plans to support the National Plan are set out in the overarching strategy, and each is accompanied by both a national implementation plan and jurisdictional implementation plans.&#10;• Tripartite arrangements: Both strategies set out to support collaboration between government and non-government organisations. In the National Framework this is reflected through the tripartite National Framework Advisory Committee (the National Forum) which was intended to advise on the operation of the National Framework. In the Fourth Action Plan they report to the various working groups. In the National Plan this was reflected through the tripartite National Plan Implementation Panel established to advise on the development and implementation of the National Plan. This panel reports directly to Ministers.&#10;• Ministerial involvement: The National Framework was intended to be led by the (former) Community and Disability Services Ministers’ Conference who subsequently reported to COAG. As discussed in section 4, this Conference was dissolved and more recently the Framework has fallen to the purview of the Community Services Ministers meeting. The National Plan is led by Commonwealth and state/territory Women’s Safety Ministers who are responsible for reporting to COAG.&#10;• Commonwealth funding: Estimated Commonwealth funding specifically designated to support the Fourth Action Plan under the National Framework is $48.6m. In comparison estimated Commonwealth funding in support of the Fourth Action Plan under the National Plan is $328m. &#10;The National Plan and its accompanying documents can be viewed in more detail at: https://www.dss.gov.au/women/programs-services/reducing-violence/the-national-plan-to-reduce-violence-against-women-and-their-children-2010-2022.&#10;&#10;"/>
      </w:tblPr>
      <w:tblGrid>
        <w:gridCol w:w="9855"/>
      </w:tblGrid>
      <w:tr w:rsidR="005137CB" w14:paraId="73AD17BD" w14:textId="77777777" w:rsidTr="00BA62F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855" w:type="dxa"/>
            <w:tcBorders>
              <w:top w:val="none" w:sz="0" w:space="0" w:color="auto"/>
              <w:bottom w:val="none" w:sz="0" w:space="0" w:color="auto"/>
            </w:tcBorders>
            <w:shd w:val="clear" w:color="auto" w:fill="F2F2F2" w:themeFill="background1" w:themeFillShade="F2"/>
          </w:tcPr>
          <w:p w14:paraId="759179E4" w14:textId="77777777" w:rsidR="005137CB" w:rsidRDefault="005137CB" w:rsidP="009F049E">
            <w:pPr>
              <w:pStyle w:val="PwCNormal"/>
              <w:rPr>
                <w:b/>
              </w:rPr>
            </w:pPr>
            <w:r w:rsidRPr="00C52C74">
              <w:rPr>
                <w:b/>
              </w:rPr>
              <w:lastRenderedPageBreak/>
              <w:t>National Plan to Reduce Violence against Women</w:t>
            </w:r>
            <w:r>
              <w:rPr>
                <w:b/>
              </w:rPr>
              <w:t xml:space="preserve"> and their Children 2010-22</w:t>
            </w:r>
          </w:p>
          <w:p w14:paraId="68FE2426" w14:textId="7E61508B" w:rsidR="005137CB" w:rsidRPr="00DE076E" w:rsidRDefault="005137CB" w:rsidP="009F049E">
            <w:pPr>
              <w:pStyle w:val="PwCNormal"/>
              <w:rPr>
                <w:b/>
              </w:rPr>
            </w:pPr>
            <w:r>
              <w:t xml:space="preserve">The </w:t>
            </w:r>
            <w:r w:rsidRPr="00717604">
              <w:rPr>
                <w:i/>
              </w:rPr>
              <w:t>National Plan to Reduce Violence against Women and their Children 2010-22</w:t>
            </w:r>
            <w:r>
              <w:t xml:space="preserve"> </w:t>
            </w:r>
            <w:r w:rsidR="00613758">
              <w:t>w</w:t>
            </w:r>
            <w:r>
              <w:t>as mentioned by several organisations as an example of a strategy that has different features to the National Framework, that cumulatively appear to support its overall implementation (</w:t>
            </w:r>
            <w:r w:rsidR="003A7B63">
              <w:t xml:space="preserve">see Chapter </w:t>
            </w:r>
            <w:r w:rsidR="003A7B63">
              <w:fldChar w:fldCharType="begin"/>
            </w:r>
            <w:r w:rsidR="003A7B63">
              <w:instrText xml:space="preserve"> REF _Ref31294472 \n \h </w:instrText>
            </w:r>
            <w:r w:rsidR="003A7B63">
              <w:fldChar w:fldCharType="separate"/>
            </w:r>
            <w:r w:rsidR="00D75351">
              <w:t>4</w:t>
            </w:r>
            <w:r w:rsidR="003A7B63">
              <w:fldChar w:fldCharType="end"/>
            </w:r>
            <w:r w:rsidR="003A7B63">
              <w:t>).</w:t>
            </w:r>
            <w:r>
              <w:t xml:space="preserve"> Some of the key differences raised by organisations throughout this evaluation are outlined below:</w:t>
            </w:r>
          </w:p>
          <w:p w14:paraId="78BDBD9D" w14:textId="025EEAAB" w:rsidR="005137CB" w:rsidRDefault="005137CB" w:rsidP="009F049E">
            <w:pPr>
              <w:pStyle w:val="ListBullet"/>
            </w:pPr>
            <w:r w:rsidRPr="00DE076E">
              <w:rPr>
                <w:b/>
              </w:rPr>
              <w:t>Action Plans:</w:t>
            </w:r>
            <w:r>
              <w:t xml:space="preserve"> Although both strategies operate over a 12-year time-frame with rolling 3-year action plans, the theme of the action plans to support the National Plan are set out in the overarching strategy, and each is accompanied by both a national implementation plan and jurisdictional implementation plans.</w:t>
            </w:r>
          </w:p>
          <w:p w14:paraId="22201AE3" w14:textId="0E5D48CA" w:rsidR="005137CB" w:rsidRDefault="005137CB" w:rsidP="009F049E">
            <w:pPr>
              <w:pStyle w:val="ListBullet"/>
            </w:pPr>
            <w:r w:rsidRPr="00DE076E">
              <w:rPr>
                <w:b/>
              </w:rPr>
              <w:t>Tripartite arrangements:</w:t>
            </w:r>
            <w:r>
              <w:t xml:space="preserve"> Both strategies set out to support collaboration between government and non-government organisations. In the National Framework this is reflected through the </w:t>
            </w:r>
            <w:r w:rsidRPr="00DE076E">
              <w:rPr>
                <w:i/>
              </w:rPr>
              <w:t>tripartite National Framework Advisory Committee</w:t>
            </w:r>
            <w:r>
              <w:rPr>
                <w:i/>
              </w:rPr>
              <w:t xml:space="preserve"> </w:t>
            </w:r>
            <w:r>
              <w:t xml:space="preserve">(the National Forum) </w:t>
            </w:r>
            <w:r w:rsidRPr="00DE076E">
              <w:t xml:space="preserve">which </w:t>
            </w:r>
            <w:r>
              <w:t xml:space="preserve">was intended to advise on the operation of the National Framework. In the Fourth Action Plan they report to the various working groups. In the National Plan this was reflected through the </w:t>
            </w:r>
            <w:r>
              <w:rPr>
                <w:i/>
              </w:rPr>
              <w:t>tripartite National Plan Implementation Panel</w:t>
            </w:r>
            <w:r>
              <w:t xml:space="preserve"> established to advi</w:t>
            </w:r>
            <w:r w:rsidR="008876E7">
              <w:t>s</w:t>
            </w:r>
            <w:r>
              <w:t>e on the development and implementation of the National Plan. This panel reports directly to Ministers.</w:t>
            </w:r>
          </w:p>
          <w:p w14:paraId="44B42AD7" w14:textId="3B2E3DB5" w:rsidR="005137CB" w:rsidRPr="00EF4C51" w:rsidRDefault="005137CB" w:rsidP="009F049E">
            <w:pPr>
              <w:pStyle w:val="ListBullet"/>
            </w:pPr>
            <w:r w:rsidRPr="00EF4C51">
              <w:rPr>
                <w:b/>
              </w:rPr>
              <w:t>Ministerial involvement:</w:t>
            </w:r>
            <w:r w:rsidRPr="00EF4C51">
              <w:t xml:space="preserve"> </w:t>
            </w:r>
            <w:r>
              <w:t xml:space="preserve">The National Framework was intended to be led by the </w:t>
            </w:r>
            <w:r w:rsidRPr="00EF4C51">
              <w:t>(former) Community and Disability Services Ministers’ Conference</w:t>
            </w:r>
            <w:r>
              <w:t xml:space="preserve"> who subsequently reported to COAG. As discussed in section </w:t>
            </w:r>
            <w:r>
              <w:fldChar w:fldCharType="begin"/>
            </w:r>
            <w:r>
              <w:instrText xml:space="preserve"> REF _Ref31239900 \n \h </w:instrText>
            </w:r>
            <w:r>
              <w:fldChar w:fldCharType="separate"/>
            </w:r>
            <w:r w:rsidR="00D75351">
              <w:t>4</w:t>
            </w:r>
            <w:r>
              <w:fldChar w:fldCharType="end"/>
            </w:r>
            <w:r>
              <w:t>, this Conference was dissolved and more recently the Framework has fallen to the purview of the Community Services Ministers meeting. The National Plan is led by Commonwealth and state/territory Women’s Safety Ministers who are responsible for reporting to COAG.</w:t>
            </w:r>
          </w:p>
          <w:p w14:paraId="4EDC52AC" w14:textId="407485B2" w:rsidR="005137CB" w:rsidRDefault="005137CB" w:rsidP="009F049E">
            <w:pPr>
              <w:pStyle w:val="ListBullet"/>
            </w:pPr>
            <w:r>
              <w:rPr>
                <w:b/>
              </w:rPr>
              <w:t xml:space="preserve">Commonwealth funding: </w:t>
            </w:r>
            <w:r>
              <w:t>Estimated Commonwealth funding specifically designated to support the Fourth Action Plan under the National Framework is $48.6m. In comparison estimated Commonwealth funding in support of the Fourth Action Plan under the National Plan is $328m</w:t>
            </w:r>
            <w:r w:rsidR="000635B0">
              <w:t>.</w:t>
            </w:r>
            <w:r>
              <w:rPr>
                <w:rStyle w:val="FootnoteReference"/>
              </w:rPr>
              <w:footnoteReference w:id="47"/>
            </w:r>
          </w:p>
          <w:p w14:paraId="755C5EC8" w14:textId="366D12B4" w:rsidR="005137CB" w:rsidRPr="00EF4C51" w:rsidRDefault="005137CB" w:rsidP="009F049E">
            <w:pPr>
              <w:pStyle w:val="ListBullet"/>
              <w:numPr>
                <w:ilvl w:val="0"/>
                <w:numId w:val="0"/>
              </w:numPr>
            </w:pPr>
            <w:r w:rsidRPr="00EF4C51">
              <w:t xml:space="preserve">The </w:t>
            </w:r>
            <w:r>
              <w:t>National Plan and its accompanying documents can be viewed in more detail</w:t>
            </w:r>
            <w:r w:rsidR="00A0449D">
              <w:t xml:space="preserve"> at: </w:t>
            </w:r>
            <w:hyperlink r:id="rId60" w:history="1">
              <w:r w:rsidR="00A0449D">
                <w:rPr>
                  <w:rStyle w:val="Hyperlink"/>
                </w:rPr>
                <w:t>https://www.dss.gov.au/women/programs-services/reducing-violence/the-national-plan-to-reduce-violence-against-women-and-their-children-2010-2022</w:t>
              </w:r>
            </w:hyperlink>
            <w:r>
              <w:t>.</w:t>
            </w:r>
          </w:p>
        </w:tc>
      </w:tr>
    </w:tbl>
    <w:p w14:paraId="52749BE1" w14:textId="11735537" w:rsidR="00777650" w:rsidRPr="007E2A6D" w:rsidRDefault="00777650" w:rsidP="007E2A6D">
      <w:pPr>
        <w:pStyle w:val="PwCNormal"/>
      </w:pPr>
      <w:r w:rsidRPr="007E2A6D">
        <w:t>Overall, th</w:t>
      </w:r>
      <w:r w:rsidR="00AE070F" w:rsidRPr="007E2A6D">
        <w:t>e ambition of the National Framework was supported as requiring a longer-timeframe for implementation. The structure of three-year rolling action plans was also appropriate in providing agility to shift with changing policy priorities of jurisdictions</w:t>
      </w:r>
      <w:r w:rsidRPr="007E2A6D">
        <w:t>.</w:t>
      </w:r>
      <w:r w:rsidR="008876E7">
        <w:t xml:space="preserve"> However</w:t>
      </w:r>
      <w:r w:rsidR="009A709D">
        <w:t>,</w:t>
      </w:r>
      <w:r w:rsidRPr="007E2A6D">
        <w:t xml:space="preserve"> the structure that support</w:t>
      </w:r>
      <w:r w:rsidR="00000A6F">
        <w:t>s</w:t>
      </w:r>
      <w:r w:rsidRPr="007E2A6D">
        <w:t xml:space="preserve"> the development of the action plans hindered progress by introducing delay to account for renegotiation of priorities. Opportunities were reflected in drawing comparisons to the National Plan to Reduce Violence against Women and their Children 2010-22, which set priorities of each plan upfront, providing greater focus for implementation. </w:t>
      </w:r>
    </w:p>
    <w:p w14:paraId="5E8CE812" w14:textId="77777777" w:rsidR="005137CB" w:rsidRDefault="005137CB" w:rsidP="00B95734">
      <w:pPr>
        <w:pStyle w:val="Heading6"/>
        <w:numPr>
          <w:ilvl w:val="2"/>
          <w:numId w:val="43"/>
        </w:numPr>
        <w:ind w:left="851"/>
      </w:pPr>
      <w:bookmarkStart w:id="188" w:name="_Ref31293362"/>
      <w:bookmarkStart w:id="189" w:name="_Toc42847851"/>
      <w:r w:rsidRPr="002B7285">
        <w:t xml:space="preserve">Alignment of the National Framework with </w:t>
      </w:r>
      <w:r>
        <w:t>the United Nation Convention on the Rights of the Child (UNCRC)</w:t>
      </w:r>
      <w:bookmarkEnd w:id="188"/>
      <w:bookmarkEnd w:id="189"/>
    </w:p>
    <w:tbl>
      <w:tblPr>
        <w:tblStyle w:val="PwCColour"/>
        <w:tblW w:w="0" w:type="auto"/>
        <w:tblBorders>
          <w:top w:val="single" w:sz="4" w:space="0" w:color="EB8C00" w:themeColor="accent4"/>
          <w:left w:val="single" w:sz="4" w:space="0" w:color="EB8C00" w:themeColor="accent4"/>
          <w:bottom w:val="single" w:sz="4" w:space="0" w:color="EB8C00" w:themeColor="accent4"/>
          <w:right w:val="single" w:sz="4" w:space="0" w:color="EB8C00" w:themeColor="accent4"/>
          <w:insideH w:val="none" w:sz="0" w:space="0" w:color="auto"/>
          <w:insideV w:val="none" w:sz="0" w:space="0" w:color="auto"/>
        </w:tblBorders>
        <w:shd w:val="clear" w:color="auto" w:fill="FED8C3" w:themeFill="accent1" w:themeFillTint="33"/>
        <w:tblLook w:val="04A0" w:firstRow="1" w:lastRow="0" w:firstColumn="1" w:lastColumn="0" w:noHBand="0" w:noVBand="1"/>
        <w:tblCaption w:val="Key finding"/>
        <w:tblDescription w:val="Responsibility for delivering on the UNCRC does not rest wholly with the Framework. In the absence of an evaluation framework that defines the commitment of the Framework to delivering on the UNCRC, it is impossible to assess the degree to which the Framework has responded to, or is expected to respond, to the UNCRC. There is evidence that the Framework was guided by the principles of the UNCRC at its inception and in the activities that have been delivered (for example, the establishment of the National Children’s Commissioner). However, delivery of the UNCRC principles in full would require governments to consider how all activities, including the Framework, respond to the UNCRC so that Australia’s commitments can be identified and measured."/>
      </w:tblPr>
      <w:tblGrid>
        <w:gridCol w:w="9855"/>
      </w:tblGrid>
      <w:tr w:rsidR="005137CB" w14:paraId="122C92C5" w14:textId="77777777" w:rsidTr="009F049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855" w:type="dxa"/>
            <w:tcBorders>
              <w:top w:val="none" w:sz="0" w:space="0" w:color="auto"/>
              <w:bottom w:val="none" w:sz="0" w:space="0" w:color="auto"/>
            </w:tcBorders>
            <w:shd w:val="clear" w:color="auto" w:fill="FED8C3" w:themeFill="accent1" w:themeFillTint="33"/>
            <w:vAlign w:val="center"/>
          </w:tcPr>
          <w:p w14:paraId="6D191340" w14:textId="25A93DCB" w:rsidR="009A709D" w:rsidRDefault="009A709D" w:rsidP="008552A8">
            <w:pPr>
              <w:pStyle w:val="PwCNormal"/>
              <w:numPr>
                <w:ilvl w:val="0"/>
                <w:numId w:val="0"/>
              </w:numPr>
              <w:spacing w:before="120"/>
              <w:rPr>
                <w:b/>
              </w:rPr>
            </w:pPr>
            <w:r>
              <w:rPr>
                <w:b/>
              </w:rPr>
              <w:t>Key finding</w:t>
            </w:r>
          </w:p>
          <w:p w14:paraId="1A2B8225" w14:textId="7660066C" w:rsidR="005137CB" w:rsidRPr="00AB767B" w:rsidRDefault="0018512B" w:rsidP="008730A8">
            <w:pPr>
              <w:pStyle w:val="ListBullet"/>
              <w:numPr>
                <w:ilvl w:val="0"/>
                <w:numId w:val="0"/>
              </w:numPr>
              <w:ind w:left="284"/>
            </w:pPr>
            <w:r>
              <w:t>Responsibility for delivering on the UNCRC does not rest wholly with the Framework. In the absence of a</w:t>
            </w:r>
            <w:r w:rsidR="008876E7">
              <w:t>n</w:t>
            </w:r>
            <w:r>
              <w:t xml:space="preserve"> </w:t>
            </w:r>
            <w:r w:rsidR="008876E7">
              <w:t xml:space="preserve">evaluation </w:t>
            </w:r>
            <w:r>
              <w:t>framework that defines the commitment of the Framework to delivering on the UNCRC, it is impossible to assess the degree to which the Framework has responded to</w:t>
            </w:r>
            <w:r w:rsidR="008876E7">
              <w:t>,</w:t>
            </w:r>
            <w:r>
              <w:t xml:space="preserve"> or is expected to respond</w:t>
            </w:r>
            <w:r w:rsidR="008876E7">
              <w:t>,</w:t>
            </w:r>
            <w:r>
              <w:t xml:space="preserve"> to the UNCRC. There is evidence that the Framework was guided by the principles of the UNCRC at its inception and in the activities that have been delivered (for example, the establishment of the National Children’s Commissioner). However, delivery of the UNCRC principles in full would require governments to consider how all activities, including the Framework, respond to the UNCRC so that Australia’s commitments can be </w:t>
            </w:r>
            <w:r w:rsidR="008876E7">
              <w:t>identified</w:t>
            </w:r>
            <w:r>
              <w:t xml:space="preserve"> and measured.</w:t>
            </w:r>
          </w:p>
        </w:tc>
      </w:tr>
    </w:tbl>
    <w:p w14:paraId="5307546D" w14:textId="77777777" w:rsidR="005137CB" w:rsidRDefault="005137CB" w:rsidP="005137CB">
      <w:pPr>
        <w:pStyle w:val="PwCNormal"/>
      </w:pPr>
      <w:bookmarkStart w:id="190" w:name="_Ref31293356"/>
      <w:r w:rsidRPr="007C76FD">
        <w:lastRenderedPageBreak/>
        <w:t>In line with the commitment in the Framework to adhere to the principles set out in the UNCRC, this evaluation considers the extent to which the National Framework responds to the United Nations Convention on the Rights of a Child</w:t>
      </w:r>
      <w:r>
        <w:t xml:space="preserve"> </w:t>
      </w:r>
      <w:r w:rsidRPr="00C259AE">
        <w:t>(UNCRC)</w:t>
      </w:r>
      <w:r>
        <w:rPr>
          <w:rStyle w:val="FootnoteReference"/>
        </w:rPr>
        <w:footnoteReference w:id="48"/>
      </w:r>
      <w:r w:rsidRPr="007C76FD">
        <w:t>.</w:t>
      </w:r>
      <w:bookmarkEnd w:id="190"/>
      <w:r w:rsidRPr="007C76FD">
        <w:t xml:space="preserve"> </w:t>
      </w:r>
    </w:p>
    <w:p w14:paraId="5B3EB0AA" w14:textId="77777777" w:rsidR="005137CB" w:rsidRDefault="005137CB" w:rsidP="005137CB">
      <w:pPr>
        <w:pStyle w:val="PwCNormal"/>
      </w:pPr>
      <w:r>
        <w:t xml:space="preserve">The majority of organisations </w:t>
      </w:r>
      <w:r w:rsidRPr="002B7285">
        <w:t xml:space="preserve">consulted during the evaluation provided feedback on how the </w:t>
      </w:r>
      <w:r>
        <w:t xml:space="preserve">National </w:t>
      </w:r>
      <w:r w:rsidRPr="002B7285">
        <w:t xml:space="preserve">Framework responded to the </w:t>
      </w:r>
      <w:r>
        <w:t>UNCRC</w:t>
      </w:r>
      <w:r w:rsidRPr="002B7285">
        <w:t xml:space="preserve">. </w:t>
      </w:r>
      <w:r>
        <w:t>This feedback tended to fall into two key themes; to what extent the Framework was intended to respond to the UNCRC, and to what extent its implementation progressed the rights set out in the UNCRC. These are explored below.</w:t>
      </w:r>
    </w:p>
    <w:p w14:paraId="0F0C4626" w14:textId="77777777" w:rsidR="005137CB" w:rsidRDefault="005137CB" w:rsidP="005137CB">
      <w:pPr>
        <w:pStyle w:val="PwCNormal"/>
      </w:pPr>
      <w:r>
        <w:rPr>
          <w:b/>
        </w:rPr>
        <w:t>Relationship between the National Framework and the UNCRC</w:t>
      </w:r>
    </w:p>
    <w:p w14:paraId="64EBD1DB" w14:textId="77777777" w:rsidR="005137CB" w:rsidRDefault="0018512B" w:rsidP="005137CB">
      <w:pPr>
        <w:pStyle w:val="PwCNormal"/>
      </w:pPr>
      <w:r>
        <w:t>O</w:t>
      </w:r>
      <w:r w:rsidR="005137CB">
        <w:t>rganisations acknowledged that the National Framework is not the only or the primary mechanism through which Australia responds to the UNCRC. There are separate organisations responsible for responding to the United Nations directly on how Australia is responding to the UNCRC. This includes the Children Commissioner’s and Guardians (at both a national and state/territory level), and members of the Commonwealth and state/territory governments</w:t>
      </w:r>
      <w:r w:rsidR="00F80A6F">
        <w:t xml:space="preserve">. It captures and must consider </w:t>
      </w:r>
      <w:r w:rsidR="005137CB">
        <w:t xml:space="preserve">a broad range of government activity, beyond the remit of the National Framework. This is consistent with the language contained with the Framework itself which notes that it is underpinned by the </w:t>
      </w:r>
      <w:r w:rsidR="005137CB" w:rsidRPr="008B3EEB">
        <w:rPr>
          <w:i/>
        </w:rPr>
        <w:t>principles</w:t>
      </w:r>
      <w:r w:rsidR="005137CB">
        <w:t xml:space="preserve"> of the UNCRC, rather than directly enabling it.</w:t>
      </w:r>
    </w:p>
    <w:p w14:paraId="45DEA549" w14:textId="77777777" w:rsidR="005137CB" w:rsidRDefault="0018512B" w:rsidP="005137CB">
      <w:pPr>
        <w:pStyle w:val="PwCNormal"/>
      </w:pPr>
      <w:r>
        <w:t>O</w:t>
      </w:r>
      <w:r w:rsidR="005137CB">
        <w:t xml:space="preserve">rganisations </w:t>
      </w:r>
      <w:r>
        <w:t xml:space="preserve">most familiar with the UNCRC </w:t>
      </w:r>
      <w:r w:rsidR="005137CB">
        <w:t xml:space="preserve">reflected that the rights of children are not universally enshrined in Commonwealth and state/territory legislation, and where it is, it is not necessarily consistently embedded, meaning that different jurisdictions have responded in different ways. </w:t>
      </w:r>
      <w:r w:rsidR="005137CB" w:rsidRPr="008730A8">
        <w:t>As a result, the National Framework is not the appropriate mechanisms to drive consistency and implementation of the UNCRC Australia-wide</w:t>
      </w:r>
      <w:r w:rsidR="005137CB">
        <w:t>.</w:t>
      </w:r>
    </w:p>
    <w:p w14:paraId="0977BC7C" w14:textId="04C7F4F7" w:rsidR="005137CB" w:rsidRPr="008B3EEB" w:rsidRDefault="005137CB" w:rsidP="005137CB">
      <w:pPr>
        <w:pStyle w:val="PwCNormal"/>
      </w:pPr>
      <w:r w:rsidRPr="008B3EEB">
        <w:t xml:space="preserve">Desktop analysis of the alignment between the supporting outcomes of the Framework and the articles of the UNCRC suggests that the National Framework </w:t>
      </w:r>
      <w:r>
        <w:t>align</w:t>
      </w:r>
      <w:r w:rsidR="008876E7">
        <w:t>s</w:t>
      </w:r>
      <w:r>
        <w:t xml:space="preserve"> to </w:t>
      </w:r>
      <w:r w:rsidRPr="008B3EEB">
        <w:t xml:space="preserve">16 </w:t>
      </w:r>
      <w:r>
        <w:t xml:space="preserve">out of the UNCRC’s 54 </w:t>
      </w:r>
      <w:r w:rsidRPr="008B3EEB">
        <w:t>articles.</w:t>
      </w:r>
      <w:r>
        <w:t xml:space="preserve"> This </w:t>
      </w:r>
      <w:r w:rsidRPr="008730A8">
        <w:t>alignment appears to be comprehensive given there are a large number of articles that do not fall directly within the Framework’s remit</w:t>
      </w:r>
      <w:r w:rsidRPr="008B3EEB">
        <w:t>. For example, the right to a name and nationality (article 7), the right to protection from international abduction (article 11), the right to mass media and free speech (article 13 and 14) and so forth. Additionally, there are a range of articles related to the governance of the Convention that are also limited and a responsibility of government more broadly to deliver.</w:t>
      </w:r>
      <w:r>
        <w:t xml:space="preserve"> As such, at inception it appears that the Framework adhered to the principles of UNCRC as intended. Refer to </w:t>
      </w:r>
      <w:r>
        <w:fldChar w:fldCharType="begin"/>
      </w:r>
      <w:r>
        <w:instrText xml:space="preserve"> REF _Ref31238991 \n \h </w:instrText>
      </w:r>
      <w:r>
        <w:fldChar w:fldCharType="separate"/>
      </w:r>
      <w:r w:rsidR="00D75351">
        <w:t>Appendix C</w:t>
      </w:r>
      <w:r>
        <w:fldChar w:fldCharType="end"/>
      </w:r>
      <w:r>
        <w:t xml:space="preserve"> for detailed mapping of the articles against supporting outcomes.</w:t>
      </w:r>
    </w:p>
    <w:p w14:paraId="5186A827" w14:textId="77777777" w:rsidR="005137CB" w:rsidRPr="008B3EEB" w:rsidRDefault="005137CB" w:rsidP="005137CB">
      <w:pPr>
        <w:pStyle w:val="PwCNormal"/>
        <w:rPr>
          <w:b/>
        </w:rPr>
      </w:pPr>
      <w:r w:rsidRPr="008B3EEB">
        <w:rPr>
          <w:b/>
        </w:rPr>
        <w:t>Impact of the Framework’s implementation on the rights set out in the UNCRC</w:t>
      </w:r>
    </w:p>
    <w:p w14:paraId="35EDC878" w14:textId="77777777" w:rsidR="005137CB" w:rsidRDefault="005137CB" w:rsidP="005137CB">
      <w:pPr>
        <w:pStyle w:val="PwCNormal"/>
      </w:pPr>
      <w:r>
        <w:t xml:space="preserve">There were conflicting views expressed by organisations on whether the National Framework progressed the rights set out in the UNCRC. </w:t>
      </w:r>
    </w:p>
    <w:p w14:paraId="7E30776F" w14:textId="77777777" w:rsidR="005137CB" w:rsidRDefault="005137CB" w:rsidP="005137CB">
      <w:pPr>
        <w:pStyle w:val="PwCNormal"/>
      </w:pPr>
      <w:r>
        <w:t xml:space="preserve">At a high-level several organisations commented that </w:t>
      </w:r>
      <w:r w:rsidRPr="0054257A">
        <w:t xml:space="preserve">the rights-based approach </w:t>
      </w:r>
      <w:r>
        <w:t xml:space="preserve">was </w:t>
      </w:r>
      <w:r w:rsidRPr="0054257A">
        <w:t xml:space="preserve">not central to the development of the National Framework, and the review and development of each action plan </w:t>
      </w:r>
      <w:r>
        <w:t xml:space="preserve">did </w:t>
      </w:r>
      <w:r w:rsidRPr="0054257A">
        <w:t>not consider</w:t>
      </w:r>
      <w:r>
        <w:t xml:space="preserve"> the UNCRC in a practical way. Additionally, an organisation noted that there was no mechanism embedded into the Framework and its action plans to reflect on the UNCRC, even if only in principle. </w:t>
      </w:r>
    </w:p>
    <w:p w14:paraId="2462E758" w14:textId="77777777" w:rsidR="005137CB" w:rsidRDefault="005137CB" w:rsidP="005137CB">
      <w:pPr>
        <w:pStyle w:val="PwCNormal"/>
      </w:pPr>
      <w:r>
        <w:t xml:space="preserve">In terms of actual implementation, organisations noted that there is an inherent difficulty in commenting on progress against the UNCRC, particularly when there is broad interpretation of the articles themselves, and no objective way to assess ‘how well’ they may have progressed. This was particularly evident through </w:t>
      </w:r>
      <w:r w:rsidRPr="008730A8">
        <w:t>conflicting views</w:t>
      </w:r>
      <w:r>
        <w:t xml:space="preserve"> presented on the degree to which specific articles had been progressed.</w:t>
      </w:r>
    </w:p>
    <w:p w14:paraId="0151E4ED" w14:textId="77777777" w:rsidR="005137CB" w:rsidRDefault="005137CB" w:rsidP="005137CB">
      <w:pPr>
        <w:pStyle w:val="PwCNormal"/>
      </w:pPr>
      <w:r>
        <w:t xml:space="preserve">For example: </w:t>
      </w:r>
    </w:p>
    <w:p w14:paraId="3DC8164A" w14:textId="77777777" w:rsidR="005137CB" w:rsidRDefault="005137CB" w:rsidP="005137CB">
      <w:pPr>
        <w:pStyle w:val="ListBullet"/>
      </w:pPr>
      <w:r>
        <w:lastRenderedPageBreak/>
        <w:t xml:space="preserve">Article 12 </w:t>
      </w:r>
      <w:r w:rsidRPr="0054257A">
        <w:t xml:space="preserve">sets out that the right of a child who is capable of forming his or her own views has </w:t>
      </w:r>
      <w:r w:rsidRPr="0054257A">
        <w:rPr>
          <w:i/>
        </w:rPr>
        <w:t>‘to express those views freely in all matters affecting the child’</w:t>
      </w:r>
      <w:r w:rsidRPr="0054257A">
        <w:t>.</w:t>
      </w:r>
      <w:r>
        <w:t xml:space="preserve"> Several organisations suggested that </w:t>
      </w:r>
      <w:r w:rsidRPr="0054257A">
        <w:t xml:space="preserve">because the National Framework and action plans were developed with limited engagement with children and did not actively set out a role for the involvement of children it did not respond fully </w:t>
      </w:r>
      <w:r>
        <w:t xml:space="preserve">to </w:t>
      </w:r>
      <w:r w:rsidRPr="0054257A">
        <w:t>the rights set out in article 12.</w:t>
      </w:r>
      <w:r>
        <w:t xml:space="preserve"> In contrast a few organisations identified examples where the Framework sought to involve or engage children, such as the ChildAware conferences and establishment of the National Children’s Commissioner, as evidence in support of the rights set out in article 12.</w:t>
      </w:r>
    </w:p>
    <w:p w14:paraId="400BE595" w14:textId="77777777" w:rsidR="005137CB" w:rsidRDefault="005137CB" w:rsidP="005137CB">
      <w:pPr>
        <w:pStyle w:val="ListBullet"/>
      </w:pPr>
      <w:r>
        <w:t xml:space="preserve">Article 3 set outs that </w:t>
      </w:r>
      <w:r w:rsidRPr="0010022E">
        <w:t>‘</w:t>
      </w:r>
      <w:r w:rsidRPr="0010022E">
        <w:rPr>
          <w:i/>
        </w:rPr>
        <w:t>in all actions concerning children, whether undertaken by public or private social welfare institutions, courts of law, administrative authorities or legislative bodies, the best interests of the child shall be a primary consideration</w:t>
      </w:r>
      <w:r w:rsidRPr="0010022E">
        <w:t>’</w:t>
      </w:r>
      <w:r w:rsidRPr="00511492">
        <w:t>.</w:t>
      </w:r>
      <w:r>
        <w:t xml:space="preserve"> Although one organisation suggested the best interests of the child were not always reflected in the activity undertaken through the Framework, another organisation noted that </w:t>
      </w:r>
      <w:r w:rsidRPr="0010022E">
        <w:rPr>
          <w:i/>
        </w:rPr>
        <w:t>‘the best interests of the child’</w:t>
      </w:r>
      <w:r w:rsidRPr="002B7285">
        <w:t xml:space="preserve"> </w:t>
      </w:r>
      <w:r>
        <w:t>is</w:t>
      </w:r>
      <w:r w:rsidRPr="002B7285">
        <w:t xml:space="preserve"> interpreted by different jurisdictions in different ways</w:t>
      </w:r>
      <w:r>
        <w:t>, and in some instances involves balancing some rights against others.</w:t>
      </w:r>
      <w:r w:rsidRPr="002B7285">
        <w:t xml:space="preserve"> There are limited instances </w:t>
      </w:r>
      <w:r>
        <w:t>where</w:t>
      </w:r>
      <w:r w:rsidRPr="002B7285">
        <w:t xml:space="preserve"> a set of criteria has been developed to articulate what </w:t>
      </w:r>
      <w:r w:rsidRPr="0010022E">
        <w:t>‘best interests’</w:t>
      </w:r>
      <w:r w:rsidRPr="002B7285">
        <w:t xml:space="preserve"> means (i.e. Northern Territory) that would enable </w:t>
      </w:r>
      <w:r>
        <w:t xml:space="preserve">objective assessment of delivery against </w:t>
      </w:r>
      <w:r w:rsidRPr="002B7285">
        <w:t xml:space="preserve">the </w:t>
      </w:r>
      <w:r>
        <w:t>a</w:t>
      </w:r>
      <w:r w:rsidRPr="002B7285">
        <w:t>rticle.</w:t>
      </w:r>
    </w:p>
    <w:p w14:paraId="23735C1F" w14:textId="77777777" w:rsidR="005137CB" w:rsidRDefault="005137CB" w:rsidP="005137CB">
      <w:pPr>
        <w:pStyle w:val="ListBullet"/>
        <w:numPr>
          <w:ilvl w:val="0"/>
          <w:numId w:val="0"/>
        </w:numPr>
      </w:pPr>
      <w:r>
        <w:t xml:space="preserve">Desktop analysis of the activity taken under the Framework identifies that there is evidence that the </w:t>
      </w:r>
      <w:r w:rsidRPr="008730A8">
        <w:t>rights of the UNCRC have been progressed to some extent.</w:t>
      </w:r>
      <w:r>
        <w:t xml:space="preserve"> For example, in addition to the ChildAware Conferences and the establishment of the National Children’s Commissioner, further initiatives that appear to support/facilitate the voice of the child (article 12) include:</w:t>
      </w:r>
    </w:p>
    <w:p w14:paraId="1BA1E6AF" w14:textId="77777777" w:rsidR="005137CB" w:rsidRPr="002B7285" w:rsidRDefault="005137CB" w:rsidP="005137CB">
      <w:pPr>
        <w:numPr>
          <w:ilvl w:val="0"/>
          <w:numId w:val="10"/>
        </w:numPr>
        <w:spacing w:before="120" w:after="120"/>
      </w:pPr>
      <w:r w:rsidRPr="002B7285">
        <w:t>specific consultations conducted with children in relation to the Third Action Plan</w:t>
      </w:r>
      <w:r>
        <w:t>’s</w:t>
      </w:r>
      <w:r w:rsidRPr="002B7285">
        <w:t xml:space="preserve"> </w:t>
      </w:r>
      <w:r>
        <w:t>development and implementation</w:t>
      </w:r>
    </w:p>
    <w:p w14:paraId="2D1B7DC0" w14:textId="77777777" w:rsidR="005137CB" w:rsidRDefault="005137CB" w:rsidP="005137CB">
      <w:pPr>
        <w:numPr>
          <w:ilvl w:val="0"/>
          <w:numId w:val="10"/>
        </w:numPr>
        <w:spacing w:before="120" w:after="120"/>
      </w:pPr>
      <w:r w:rsidRPr="002B7285">
        <w:t>the allocation of a position at the National Forum to both the National Children’s Commissioner and the Victorian Commissioner for Aboriginal Children and Young People</w:t>
      </w:r>
      <w:r>
        <w:t>.</w:t>
      </w:r>
    </w:p>
    <w:p w14:paraId="12B3EEBE" w14:textId="77777777" w:rsidR="00F80A6F" w:rsidRDefault="005137CB" w:rsidP="005137CB">
      <w:pPr>
        <w:pStyle w:val="ListBullet"/>
        <w:numPr>
          <w:ilvl w:val="0"/>
          <w:numId w:val="0"/>
        </w:numPr>
      </w:pPr>
      <w:r>
        <w:t>As such, acknowledging the complexity of assessing the degree of progress against the Framework, there is evidence of it being consistent with it in principle.</w:t>
      </w:r>
    </w:p>
    <w:p w14:paraId="1BDAA726" w14:textId="36077ADC" w:rsidR="00F80A6F" w:rsidRPr="007E2A6D" w:rsidRDefault="00F80A6F" w:rsidP="005137CB">
      <w:pPr>
        <w:pStyle w:val="ListBullet"/>
        <w:numPr>
          <w:ilvl w:val="0"/>
          <w:numId w:val="0"/>
        </w:numPr>
      </w:pPr>
      <w:r w:rsidRPr="007E2A6D">
        <w:t xml:space="preserve">On balance, it is important to consider that the National Framework is not itself responsible for delivering on Australia’s obligations set out in the UNCRC. It is also difficult to establish the extent to which the National Framework has responded to the UNCRC without a commitment having been set by governments of the expectations that it must deliver upon. </w:t>
      </w:r>
    </w:p>
    <w:p w14:paraId="2E4B1228" w14:textId="3D3ED31A" w:rsidR="00F80A6F" w:rsidRPr="007E2A6D" w:rsidRDefault="00F80A6F" w:rsidP="005137CB">
      <w:pPr>
        <w:pStyle w:val="ListBullet"/>
        <w:numPr>
          <w:ilvl w:val="0"/>
          <w:numId w:val="0"/>
        </w:numPr>
      </w:pPr>
      <w:r w:rsidRPr="007E2A6D">
        <w:t xml:space="preserve">Having said this, there is evidence that the National Framework was guided by UNCRC principles and has delivered initiatives that respond to the UNCRC in part. To make clear what components of the UNCRC the National Framework should deliver upon, governments would need to consider the holistic view of how its activities respond to the UNCRC and which are best delivered through the National Framework to ensure activities align, and that together, they respond the UNCRC in full. </w:t>
      </w:r>
    </w:p>
    <w:p w14:paraId="11044899" w14:textId="77777777" w:rsidR="005137CB" w:rsidRDefault="005137CB" w:rsidP="00B95734">
      <w:pPr>
        <w:pStyle w:val="Heading6"/>
        <w:numPr>
          <w:ilvl w:val="2"/>
          <w:numId w:val="43"/>
        </w:numPr>
        <w:ind w:left="851"/>
      </w:pPr>
      <w:bookmarkStart w:id="191" w:name="_Ref31293372"/>
      <w:bookmarkStart w:id="192" w:name="_Toc42847852"/>
      <w:r w:rsidRPr="002B7285">
        <w:t>Alignment of activities with a public health model</w:t>
      </w:r>
      <w:bookmarkEnd w:id="191"/>
      <w:bookmarkEnd w:id="192"/>
    </w:p>
    <w:tbl>
      <w:tblPr>
        <w:tblStyle w:val="PwCColour"/>
        <w:tblW w:w="0" w:type="auto"/>
        <w:tblBorders>
          <w:top w:val="single" w:sz="4" w:space="0" w:color="EB8C00" w:themeColor="accent4"/>
          <w:left w:val="single" w:sz="4" w:space="0" w:color="EB8C00" w:themeColor="accent4"/>
          <w:bottom w:val="single" w:sz="4" w:space="0" w:color="EB8C00" w:themeColor="accent4"/>
          <w:right w:val="single" w:sz="4" w:space="0" w:color="EB8C00" w:themeColor="accent4"/>
          <w:insideH w:val="none" w:sz="0" w:space="0" w:color="auto"/>
          <w:insideV w:val="none" w:sz="0" w:space="0" w:color="auto"/>
        </w:tblBorders>
        <w:shd w:val="clear" w:color="auto" w:fill="FED8C3" w:themeFill="accent1" w:themeFillTint="33"/>
        <w:tblLook w:val="04A0" w:firstRow="1" w:lastRow="0" w:firstColumn="1" w:lastColumn="0" w:noHBand="0" w:noVBand="1"/>
        <w:tblCaption w:val="Key finding"/>
        <w:tblDescription w:val="The extent to which the National Framework has engaged with the public health model appears limited. Challenges in generating cross-portfolio coordination and in continuing to respond to rising numbers of children in the child protection system has driven a focus on child protection. Both the Third and Fourth Action Plans were primarily focused on targeted and statutory inventions. "/>
      </w:tblPr>
      <w:tblGrid>
        <w:gridCol w:w="9855"/>
      </w:tblGrid>
      <w:tr w:rsidR="005137CB" w14:paraId="31DE99C8" w14:textId="77777777" w:rsidTr="009F049E">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855" w:type="dxa"/>
            <w:tcBorders>
              <w:top w:val="none" w:sz="0" w:space="0" w:color="auto"/>
              <w:bottom w:val="none" w:sz="0" w:space="0" w:color="auto"/>
            </w:tcBorders>
            <w:shd w:val="clear" w:color="auto" w:fill="FED8C3" w:themeFill="accent1" w:themeFillTint="33"/>
            <w:vAlign w:val="center"/>
          </w:tcPr>
          <w:p w14:paraId="101A7EE8" w14:textId="343487B5" w:rsidR="009A709D" w:rsidRDefault="009A709D" w:rsidP="008552A8">
            <w:pPr>
              <w:pStyle w:val="PwCNormal"/>
              <w:numPr>
                <w:ilvl w:val="0"/>
                <w:numId w:val="0"/>
              </w:numPr>
              <w:spacing w:before="120"/>
              <w:rPr>
                <w:b/>
              </w:rPr>
            </w:pPr>
            <w:r>
              <w:rPr>
                <w:b/>
              </w:rPr>
              <w:t>Key finding</w:t>
            </w:r>
          </w:p>
          <w:p w14:paraId="0028A214" w14:textId="364D44A2" w:rsidR="005137CB" w:rsidRPr="00AB767B" w:rsidRDefault="0037402C" w:rsidP="00BC7E51">
            <w:pPr>
              <w:pStyle w:val="ListBullet"/>
              <w:numPr>
                <w:ilvl w:val="0"/>
                <w:numId w:val="0"/>
              </w:numPr>
              <w:ind w:left="284"/>
            </w:pPr>
            <w:r>
              <w:t xml:space="preserve">The extent to which the National Framework has engaged with the public health model </w:t>
            </w:r>
            <w:r w:rsidRPr="00CC3434">
              <w:t>appears limited</w:t>
            </w:r>
            <w:r>
              <w:t>. Challenges in generating cross-portfolio coordination and in continuing to respond to rising numbers of children in the child protection system has driven a focus on child protection. Both the Third and Fourth Action Plans were primarily focused on targeted and statutory inventions</w:t>
            </w:r>
            <w:r w:rsidR="00BC7E51">
              <w:t>.</w:t>
            </w:r>
            <w:r>
              <w:t xml:space="preserve"> </w:t>
            </w:r>
          </w:p>
        </w:tc>
      </w:tr>
    </w:tbl>
    <w:p w14:paraId="43BE5032" w14:textId="47C76511" w:rsidR="005137CB" w:rsidRDefault="005137CB" w:rsidP="005137CB">
      <w:pPr>
        <w:spacing w:before="240" w:after="120"/>
        <w:rPr>
          <w:color w:val="000000" w:themeColor="text1"/>
        </w:rPr>
      </w:pPr>
      <w:r>
        <w:rPr>
          <w:color w:val="000000" w:themeColor="text1"/>
        </w:rPr>
        <w:t xml:space="preserve">The National Framework highlighted a need to shift from ‘protecting children’ to ‘promoting the safety and wellbeing of children’ as per the principles of </w:t>
      </w:r>
      <w:r w:rsidRPr="00CF27FC">
        <w:rPr>
          <w:color w:val="000000" w:themeColor="text1"/>
        </w:rPr>
        <w:t>the public health model (for more detail on the public health model please refer to Chapter</w:t>
      </w:r>
      <w:r w:rsidR="009A709D">
        <w:rPr>
          <w:color w:val="000000" w:themeColor="text1"/>
        </w:rPr>
        <w:t xml:space="preserve"> </w:t>
      </w:r>
      <w:r w:rsidR="009A709D">
        <w:rPr>
          <w:color w:val="000000" w:themeColor="text1"/>
        </w:rPr>
        <w:fldChar w:fldCharType="begin"/>
      </w:r>
      <w:r w:rsidR="009A709D">
        <w:rPr>
          <w:color w:val="000000" w:themeColor="text1"/>
        </w:rPr>
        <w:instrText xml:space="preserve"> REF _Ref42850670 \r \h </w:instrText>
      </w:r>
      <w:r w:rsidR="009A709D">
        <w:rPr>
          <w:color w:val="000000" w:themeColor="text1"/>
        </w:rPr>
      </w:r>
      <w:r w:rsidR="009A709D">
        <w:rPr>
          <w:color w:val="000000" w:themeColor="text1"/>
        </w:rPr>
        <w:fldChar w:fldCharType="separate"/>
      </w:r>
      <w:r w:rsidR="00D75351">
        <w:rPr>
          <w:color w:val="000000" w:themeColor="text1"/>
        </w:rPr>
        <w:t>3</w:t>
      </w:r>
      <w:r w:rsidR="009A709D">
        <w:rPr>
          <w:color w:val="000000" w:themeColor="text1"/>
        </w:rPr>
        <w:fldChar w:fldCharType="end"/>
      </w:r>
      <w:r w:rsidRPr="00CF27FC">
        <w:rPr>
          <w:color w:val="000000" w:themeColor="text1"/>
        </w:rPr>
        <w:t>. This evaluation considers to what</w:t>
      </w:r>
      <w:r>
        <w:rPr>
          <w:color w:val="000000" w:themeColor="text1"/>
        </w:rPr>
        <w:t xml:space="preserve"> extent the National Framework engaged with public health model of child well-being.</w:t>
      </w:r>
    </w:p>
    <w:p w14:paraId="77175B69" w14:textId="77777777" w:rsidR="005137CB" w:rsidRDefault="005137CB" w:rsidP="005137CB">
      <w:pPr>
        <w:pStyle w:val="PwCNormal"/>
      </w:pPr>
      <w:r>
        <w:t xml:space="preserve">Organisations who provided feedback on the public health model indicated that the implementation of the National Framework was not wholly consistent with the principles of the </w:t>
      </w:r>
      <w:r w:rsidR="009F15D4">
        <w:t xml:space="preserve">public health </w:t>
      </w:r>
      <w:r>
        <w:t>model based on the actions pursued. Several organisations pointed out that this was related to a number of factors, including the immense demand for child protection services in Australia already. These themes are explored in detail below.</w:t>
      </w:r>
    </w:p>
    <w:p w14:paraId="561AD5C3" w14:textId="603C9E21" w:rsidR="005137CB" w:rsidRPr="003658B1" w:rsidRDefault="005137CB" w:rsidP="005137CB">
      <w:pPr>
        <w:pStyle w:val="PwCNormal"/>
        <w:rPr>
          <w:b/>
        </w:rPr>
      </w:pPr>
      <w:r w:rsidRPr="003658B1">
        <w:rPr>
          <w:b/>
        </w:rPr>
        <w:t xml:space="preserve">Please note: </w:t>
      </w:r>
      <w:r>
        <w:t>the child protection public health model outlined in the National Framework comprises of four parts; universal, preventative, targeted and statutory interventions. The standard public health model comprises of three parts; primary, secondary and tertiary interventions. The relationship between the models is outlined in</w:t>
      </w:r>
      <w:r w:rsidR="009F2751">
        <w:t xml:space="preserve"> </w:t>
      </w:r>
      <w:r w:rsidR="009F2751">
        <w:fldChar w:fldCharType="begin"/>
      </w:r>
      <w:r w:rsidR="009F2751">
        <w:instrText xml:space="preserve"> REF _Ref31296785 \h </w:instrText>
      </w:r>
      <w:r w:rsidR="009F2751">
        <w:fldChar w:fldCharType="separate"/>
      </w:r>
      <w:r w:rsidR="00D75351">
        <w:t xml:space="preserve">Figure </w:t>
      </w:r>
      <w:r w:rsidR="00D75351">
        <w:rPr>
          <w:noProof/>
        </w:rPr>
        <w:t>13</w:t>
      </w:r>
      <w:r w:rsidR="009F2751">
        <w:fldChar w:fldCharType="end"/>
      </w:r>
      <w:r>
        <w:t>. Throughout this section the terminology for equivalent components is used interchangeably (i.e. statutory and tertiary is used interchangeably).</w:t>
      </w:r>
    </w:p>
    <w:p w14:paraId="5E87752D" w14:textId="5E9BA2EB" w:rsidR="005137CB" w:rsidRDefault="005137CB" w:rsidP="005137CB">
      <w:pPr>
        <w:pStyle w:val="Caption"/>
      </w:pPr>
      <w:bookmarkStart w:id="193" w:name="_Ref31296785"/>
      <w:r>
        <w:lastRenderedPageBreak/>
        <w:t xml:space="preserve">Figure </w:t>
      </w:r>
      <w:fldSimple w:instr=" SEQ Figure \* ARABIC ">
        <w:r w:rsidR="00D75351">
          <w:rPr>
            <w:noProof/>
          </w:rPr>
          <w:t>13</w:t>
        </w:r>
      </w:fldSimple>
      <w:bookmarkEnd w:id="193"/>
      <w:r>
        <w:t>: Relationship between child protection public health model and standard public health model</w:t>
      </w:r>
    </w:p>
    <w:p w14:paraId="0DA7294D" w14:textId="36E64784" w:rsidR="005137CB" w:rsidRPr="003658B1" w:rsidRDefault="004F6F12" w:rsidP="005137CB">
      <w:r w:rsidRPr="004F6F12">
        <w:t xml:space="preserve"> </w:t>
      </w:r>
      <w:r w:rsidRPr="004F6F12">
        <w:rPr>
          <w:noProof/>
          <w:lang w:eastAsia="en-AU"/>
        </w:rPr>
        <w:drawing>
          <wp:inline distT="0" distB="0" distL="0" distR="0" wp14:anchorId="281D7B87" wp14:editId="0BD1DFA9">
            <wp:extent cx="5818909" cy="2657882"/>
            <wp:effectExtent l="0" t="0" r="0" b="9525"/>
            <wp:docPr id="37" name="Picture 37" descr="The child protection public health model outlined in the National Framework comprises of four parts; universal, preventative, targeted and statutory interventions. The standard public health model comprises of three parts; primary, secondary and tertiary interventions. The relationship between the models is mapped as follows”&#10;Statutory system is at the top of the triangle and is mapped to Tertiary interventions.&#10;Targeted services and programs for ‘at-risk’ families and children; and Early intervention services targeted to vulnerable families and children are mapped to Secondary interventions.&#10;Universal preventative initiatives to support all families and children is mapped to Primary interventions." title="Relationship between child protection public health model and standard public health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29174" cy="2662571"/>
                    </a:xfrm>
                    <a:prstGeom prst="rect">
                      <a:avLst/>
                    </a:prstGeom>
                    <a:noFill/>
                    <a:ln>
                      <a:noFill/>
                    </a:ln>
                  </pic:spPr>
                </pic:pic>
              </a:graphicData>
            </a:graphic>
          </wp:inline>
        </w:drawing>
      </w:r>
    </w:p>
    <w:p w14:paraId="60E81C4D" w14:textId="77777777" w:rsidR="005137CB" w:rsidRPr="00F57E24" w:rsidRDefault="005137CB" w:rsidP="005137CB">
      <w:pPr>
        <w:pStyle w:val="PwCNormal"/>
        <w:rPr>
          <w:b/>
        </w:rPr>
      </w:pPr>
      <w:r w:rsidRPr="00F57E24">
        <w:rPr>
          <w:b/>
        </w:rPr>
        <w:t>Alignment between actions/priorities under the National Framework and the public health model</w:t>
      </w:r>
    </w:p>
    <w:p w14:paraId="4392B20E" w14:textId="48AFB06B" w:rsidR="005137CB" w:rsidRDefault="005137CB" w:rsidP="005137CB">
      <w:pPr>
        <w:pStyle w:val="PwCNormal"/>
      </w:pPr>
      <w:r w:rsidRPr="002B7285">
        <w:t xml:space="preserve">The majority of </w:t>
      </w:r>
      <w:r>
        <w:t xml:space="preserve">organisations </w:t>
      </w:r>
      <w:r w:rsidRPr="002B7285">
        <w:t xml:space="preserve">indicated that the </w:t>
      </w:r>
      <w:r>
        <w:t xml:space="preserve">implementation of the </w:t>
      </w:r>
      <w:r w:rsidRPr="002B7285">
        <w:t xml:space="preserve">Framework </w:t>
      </w:r>
      <w:r>
        <w:t xml:space="preserve">was not wholly consistent with the public health model due </w:t>
      </w:r>
      <w:r w:rsidRPr="002B7285">
        <w:t xml:space="preserve">to </w:t>
      </w:r>
      <w:r>
        <w:t xml:space="preserve">the </w:t>
      </w:r>
      <w:r w:rsidRPr="002B7285">
        <w:t xml:space="preserve">focus on </w:t>
      </w:r>
      <w:r>
        <w:t>statutory and targeted</w:t>
      </w:r>
      <w:r w:rsidRPr="002B7285">
        <w:t xml:space="preserve"> initiatives. </w:t>
      </w:r>
      <w:r>
        <w:t xml:space="preserve">This is supported through desktop analysis of the actions pursued through the Third and Fourth Action Plan which shows that the </w:t>
      </w:r>
      <w:r w:rsidRPr="00BC7E51">
        <w:t>majority of actions appear to be targeted or statutory interventions</w:t>
      </w:r>
      <w:r w:rsidRPr="00CF27FC">
        <w:t xml:space="preserve"> (refer to </w:t>
      </w:r>
      <w:r w:rsidRPr="00CF27FC">
        <w:fldChar w:fldCharType="begin"/>
      </w:r>
      <w:r w:rsidRPr="00CF27FC">
        <w:instrText xml:space="preserve"> REF _Ref31238991 \n \h </w:instrText>
      </w:r>
      <w:r>
        <w:instrText xml:space="preserve"> \* MERGEFORMAT </w:instrText>
      </w:r>
      <w:r w:rsidRPr="00CF27FC">
        <w:fldChar w:fldCharType="separate"/>
      </w:r>
      <w:r w:rsidR="00D75351">
        <w:t>Appendix C</w:t>
      </w:r>
      <w:r w:rsidRPr="00CF27FC">
        <w:fldChar w:fldCharType="end"/>
      </w:r>
      <w:r w:rsidRPr="00CF27FC">
        <w:t xml:space="preserve"> for the detailed mapping of actions against the four components).</w:t>
      </w:r>
    </w:p>
    <w:p w14:paraId="6DC59521" w14:textId="77777777" w:rsidR="00C70C88" w:rsidRDefault="00DF4837" w:rsidP="005137CB">
      <w:pPr>
        <w:pStyle w:val="PwCNormal"/>
      </w:pPr>
      <w:r>
        <w:t>Please note, in undertaking desktop analysis of the actions to understand how they adhere to the public health model the following considerations apply:</w:t>
      </w:r>
    </w:p>
    <w:p w14:paraId="4FF70F38" w14:textId="645DF6D4" w:rsidR="00DF4837" w:rsidRDefault="00DF4837" w:rsidP="00FA3E74">
      <w:pPr>
        <w:pStyle w:val="ListBullet"/>
      </w:pPr>
      <w:r>
        <w:t xml:space="preserve">While some initiatives may have a specific target cohort other may be overlapping. In particular the distinction between vulnerable and ‘at-risk’ families is not always clear. Where possible we have selected the alignment to the public health model based on the cohort most targeted by an intervention. For some actions the cohort </w:t>
      </w:r>
      <w:r w:rsidR="009F15D4">
        <w:t>is</w:t>
      </w:r>
      <w:r>
        <w:t xml:space="preserve"> ambiguous and therefore they are categorised as both.</w:t>
      </w:r>
    </w:p>
    <w:p w14:paraId="540FB77A" w14:textId="77777777" w:rsidR="00DF4837" w:rsidRDefault="00DF4837" w:rsidP="00FA3E74">
      <w:pPr>
        <w:pStyle w:val="ListBullet"/>
      </w:pPr>
      <w:r>
        <w:t>Some actions seek to create an enabling environment (i.e. through research, standardisation, governance protocols) while others relate more directly to implementing policy or programs. Actions that are more enabling are categorised as ‘N/A’ as they do not directly address a cohort identified in the public health model.</w:t>
      </w:r>
    </w:p>
    <w:p w14:paraId="79FE9EE1" w14:textId="77777777" w:rsidR="005137CB" w:rsidRDefault="005137CB" w:rsidP="005137CB">
      <w:pPr>
        <w:pStyle w:val="PwCNormal"/>
      </w:pPr>
      <w:r>
        <w:t>For the Third Action Plan:</w:t>
      </w:r>
    </w:p>
    <w:p w14:paraId="38221C98" w14:textId="6CFF4198" w:rsidR="005137CB" w:rsidRDefault="00C70C88" w:rsidP="005137CB">
      <w:pPr>
        <w:pStyle w:val="ListBullet"/>
      </w:pPr>
      <w:r>
        <w:t xml:space="preserve">Six </w:t>
      </w:r>
      <w:r w:rsidR="005137CB">
        <w:t xml:space="preserve">out of 17 actions </w:t>
      </w:r>
      <w:r w:rsidR="00253651">
        <w:t xml:space="preserve">relate to governance, research and target development to enable stakeholders to progress concepts of </w:t>
      </w:r>
      <w:r w:rsidR="005137CB">
        <w:t xml:space="preserve">the public health model. </w:t>
      </w:r>
    </w:p>
    <w:p w14:paraId="0FAFBAA1" w14:textId="49615F32" w:rsidR="005137CB" w:rsidRDefault="00C70C88" w:rsidP="00DD0C3E">
      <w:pPr>
        <w:pStyle w:val="ListBullet"/>
      </w:pPr>
      <w:r>
        <w:t>O</w:t>
      </w:r>
      <w:r w:rsidR="005137CB">
        <w:t>f the remaining 11 actions</w:t>
      </w:r>
      <w:r>
        <w:t>,</w:t>
      </w:r>
      <w:r w:rsidR="005137CB">
        <w:t xml:space="preserve"> </w:t>
      </w:r>
      <w:r>
        <w:t>nine</w:t>
      </w:r>
      <w:r w:rsidR="00DF4837">
        <w:t xml:space="preserve"> </w:t>
      </w:r>
      <w:r>
        <w:t>appear</w:t>
      </w:r>
      <w:r w:rsidR="00000A6F">
        <w:t xml:space="preserve"> most</w:t>
      </w:r>
      <w:r>
        <w:t xml:space="preserve"> consistent with </w:t>
      </w:r>
      <w:r w:rsidR="005137CB">
        <w:t>targeted or statutory</w:t>
      </w:r>
      <w:r>
        <w:t xml:space="preserve"> interventions</w:t>
      </w:r>
      <w:r w:rsidR="005137CB">
        <w:t xml:space="preserve">, and </w:t>
      </w:r>
      <w:r>
        <w:t>five appear</w:t>
      </w:r>
      <w:r w:rsidR="00000A6F">
        <w:t xml:space="preserve"> most aligned to </w:t>
      </w:r>
      <w:r w:rsidR="005137CB">
        <w:t xml:space="preserve">universal or early </w:t>
      </w:r>
      <w:r>
        <w:t>interventions</w:t>
      </w:r>
      <w:r w:rsidR="00DF4837">
        <w:t>.</w:t>
      </w:r>
      <w:r w:rsidR="005137CB">
        <w:t xml:space="preserve"> </w:t>
      </w:r>
    </w:p>
    <w:p w14:paraId="639769EF" w14:textId="77777777" w:rsidR="005137CB" w:rsidRDefault="005137CB" w:rsidP="005137CB">
      <w:pPr>
        <w:pStyle w:val="ListBullet"/>
        <w:numPr>
          <w:ilvl w:val="0"/>
          <w:numId w:val="0"/>
        </w:numPr>
      </w:pPr>
      <w:r>
        <w:t>For the Fourth Action Plan:</w:t>
      </w:r>
    </w:p>
    <w:p w14:paraId="42C7DF8C" w14:textId="0DF3244A" w:rsidR="005137CB" w:rsidRDefault="00C70C88" w:rsidP="005137CB">
      <w:pPr>
        <w:pStyle w:val="ListBullet"/>
      </w:pPr>
      <w:r>
        <w:t xml:space="preserve">Three </w:t>
      </w:r>
      <w:r w:rsidR="005137CB">
        <w:t xml:space="preserve">out of 13 actions </w:t>
      </w:r>
      <w:r w:rsidR="00000A6F">
        <w:t xml:space="preserve">relate to measurement and reporting in support of the </w:t>
      </w:r>
      <w:r w:rsidR="005137CB">
        <w:t>public health model</w:t>
      </w:r>
      <w:r w:rsidR="009C619E">
        <w:t>.</w:t>
      </w:r>
      <w:r w:rsidR="005137CB" w:rsidRPr="007E4292">
        <w:t xml:space="preserve"> </w:t>
      </w:r>
    </w:p>
    <w:p w14:paraId="08D7E304" w14:textId="43C3DC69" w:rsidR="005137CB" w:rsidRDefault="00DF4837" w:rsidP="005137CB">
      <w:pPr>
        <w:pStyle w:val="ListBullet"/>
      </w:pPr>
      <w:r>
        <w:t>S</w:t>
      </w:r>
      <w:r w:rsidR="005137CB">
        <w:t xml:space="preserve">even of the remaining </w:t>
      </w:r>
      <w:r>
        <w:t>ten actions appear</w:t>
      </w:r>
      <w:r w:rsidR="00000A6F">
        <w:t xml:space="preserve"> most </w:t>
      </w:r>
      <w:r>
        <w:t xml:space="preserve">consistent with </w:t>
      </w:r>
      <w:r w:rsidR="005137CB">
        <w:t>statutory</w:t>
      </w:r>
      <w:r>
        <w:t xml:space="preserve"> interventions</w:t>
      </w:r>
      <w:r w:rsidR="005137CB">
        <w:t xml:space="preserve">. </w:t>
      </w:r>
    </w:p>
    <w:p w14:paraId="5D2CCC2B" w14:textId="77777777" w:rsidR="005137CB" w:rsidRDefault="005137CB" w:rsidP="005137CB">
      <w:pPr>
        <w:pStyle w:val="ListBullet"/>
        <w:numPr>
          <w:ilvl w:val="0"/>
          <w:numId w:val="0"/>
        </w:numPr>
      </w:pPr>
      <w:r>
        <w:t>In both cases the weighting towards statutory and targeted intervention is not aligned with the proportions outlined in the public health model</w:t>
      </w:r>
      <w:r w:rsidR="00DF4837">
        <w:t xml:space="preserve"> and is consistent with the feedback provided by stakeholders.</w:t>
      </w:r>
      <w:r>
        <w:t xml:space="preserve"> </w:t>
      </w:r>
    </w:p>
    <w:p w14:paraId="1AA184E9" w14:textId="77777777" w:rsidR="005137CB" w:rsidRDefault="005137CB" w:rsidP="005137CB">
      <w:pPr>
        <w:pStyle w:val="ListBullet"/>
        <w:numPr>
          <w:ilvl w:val="0"/>
          <w:numId w:val="0"/>
        </w:numPr>
        <w:rPr>
          <w:b/>
        </w:rPr>
      </w:pPr>
      <w:r>
        <w:rPr>
          <w:b/>
        </w:rPr>
        <w:t>Primary challenges aligning actions/priorities to the public health model</w:t>
      </w:r>
    </w:p>
    <w:p w14:paraId="417498B7" w14:textId="77777777" w:rsidR="005137CB" w:rsidRDefault="005137CB" w:rsidP="005137CB">
      <w:pPr>
        <w:pStyle w:val="ListBullet"/>
        <w:numPr>
          <w:ilvl w:val="0"/>
          <w:numId w:val="0"/>
        </w:numPr>
      </w:pPr>
      <w:r>
        <w:t>Organisations</w:t>
      </w:r>
      <w:r w:rsidR="007B6B78">
        <w:t xml:space="preserve"> with a strong understanding of the public health model</w:t>
      </w:r>
      <w:r>
        <w:t xml:space="preserve"> identified two primary challenges that led the Framework to focus on targeted and statutory interventions. These were that:</w:t>
      </w:r>
    </w:p>
    <w:p w14:paraId="3113758E" w14:textId="77777777" w:rsidR="005137CB" w:rsidRDefault="005137CB" w:rsidP="005137CB">
      <w:pPr>
        <w:pStyle w:val="ListBullet"/>
      </w:pPr>
      <w:r>
        <w:lastRenderedPageBreak/>
        <w:t>There is an immediate and significant need for child protection services in Australia. This is supported by emerging research which estimates that as many as 25 percent of children in Australia will be the subject of at least one notification to the child protection system.</w:t>
      </w:r>
      <w:r w:rsidR="00613758">
        <w:rPr>
          <w:rStyle w:val="FootnoteReference"/>
        </w:rPr>
        <w:footnoteReference w:id="49"/>
      </w:r>
      <w:r>
        <w:t xml:space="preserve"> As such the resource allocation implied by the public health model is regarded by some organisations as not feasible. </w:t>
      </w:r>
    </w:p>
    <w:p w14:paraId="52919097" w14:textId="54F982F4" w:rsidR="005137CB" w:rsidRPr="0046531E" w:rsidRDefault="005137CB" w:rsidP="005137CB">
      <w:pPr>
        <w:pStyle w:val="ListBullet"/>
      </w:pPr>
      <w:r>
        <w:t xml:space="preserve">The funding re-allocation required to implement the public health model of child protection is significant and impacts whole of government systems and may ultimately require fundamental re-design of service delivery. </w:t>
      </w:r>
      <w:r w:rsidR="007B6B78">
        <w:t xml:space="preserve">A handful of </w:t>
      </w:r>
      <w:r>
        <w:t xml:space="preserve">organisations highlighted that this </w:t>
      </w:r>
      <w:r w:rsidRPr="0046531E">
        <w:t xml:space="preserve">would likely require substantial cross-portfolio coordination within both state/territory governments and the Commonwealth. However, the Framework has typically experienced challenges achieving cross-portfolio coordination (discussed in Chapter </w:t>
      </w:r>
      <w:r w:rsidRPr="0046531E">
        <w:fldChar w:fldCharType="begin"/>
      </w:r>
      <w:r w:rsidRPr="0046531E">
        <w:instrText xml:space="preserve"> REF _Ref31240218 \n \h </w:instrText>
      </w:r>
      <w:r w:rsidR="0046531E">
        <w:instrText xml:space="preserve"> \* MERGEFORMAT </w:instrText>
      </w:r>
      <w:r w:rsidRPr="0046531E">
        <w:fldChar w:fldCharType="separate"/>
      </w:r>
      <w:r w:rsidR="00D75351">
        <w:t>5</w:t>
      </w:r>
      <w:r w:rsidRPr="0046531E">
        <w:fldChar w:fldCharType="end"/>
      </w:r>
      <w:r w:rsidRPr="0046531E">
        <w:t>]) due to:</w:t>
      </w:r>
    </w:p>
    <w:p w14:paraId="3564E00D" w14:textId="77777777" w:rsidR="005137CB" w:rsidRDefault="005137CB" w:rsidP="005137CB">
      <w:pPr>
        <w:pStyle w:val="ListBullet"/>
        <w:numPr>
          <w:ilvl w:val="1"/>
          <w:numId w:val="10"/>
        </w:numPr>
      </w:pPr>
      <w:r>
        <w:t>limited awareness across different portfolios regarding the role and intention of the Framework</w:t>
      </w:r>
    </w:p>
    <w:p w14:paraId="79F41B7A" w14:textId="77777777" w:rsidR="005137CB" w:rsidRDefault="005137CB" w:rsidP="005137CB">
      <w:pPr>
        <w:pStyle w:val="ListBullet"/>
        <w:numPr>
          <w:ilvl w:val="1"/>
          <w:numId w:val="10"/>
        </w:numPr>
      </w:pPr>
      <w:r>
        <w:t>limited time/resources built into the Framework to enable portfolios to be engaged to support a substantial reform agenda around the public health model</w:t>
      </w:r>
    </w:p>
    <w:p w14:paraId="24CEFF79" w14:textId="77777777" w:rsidR="005137CB" w:rsidRDefault="005137CB" w:rsidP="005137CB">
      <w:pPr>
        <w:pStyle w:val="ListBullet"/>
        <w:numPr>
          <w:ilvl w:val="0"/>
          <w:numId w:val="0"/>
        </w:numPr>
        <w:ind w:left="284" w:hanging="284"/>
      </w:pPr>
      <w:r>
        <w:t xml:space="preserve">As such the transition to the public </w:t>
      </w:r>
      <w:r w:rsidR="0085203E">
        <w:t xml:space="preserve">health </w:t>
      </w:r>
      <w:r>
        <w:t xml:space="preserve">model was not able to be substantially progressed. </w:t>
      </w:r>
    </w:p>
    <w:p w14:paraId="342B8B04" w14:textId="77777777" w:rsidR="005137CB" w:rsidRPr="007E4292" w:rsidRDefault="005137CB" w:rsidP="005137CB">
      <w:pPr>
        <w:pStyle w:val="ListBullet"/>
        <w:numPr>
          <w:ilvl w:val="0"/>
          <w:numId w:val="0"/>
        </w:numPr>
        <w:rPr>
          <w:b/>
        </w:rPr>
      </w:pPr>
      <w:r>
        <w:rPr>
          <w:b/>
        </w:rPr>
        <w:t>Other f</w:t>
      </w:r>
      <w:r w:rsidRPr="007E4292">
        <w:rPr>
          <w:b/>
        </w:rPr>
        <w:t>actors considered relevant to the Framework’s alignment to the public health model</w:t>
      </w:r>
    </w:p>
    <w:p w14:paraId="0580EBED" w14:textId="77777777" w:rsidR="005137CB" w:rsidRDefault="005137CB" w:rsidP="005137CB">
      <w:pPr>
        <w:pStyle w:val="PwCNormal"/>
      </w:pPr>
      <w:r>
        <w:t>Other factors identified as relevant to how the actions pursued linked to the public health model included that:</w:t>
      </w:r>
    </w:p>
    <w:p w14:paraId="3DE7A3E9" w14:textId="77777777" w:rsidR="005137CB" w:rsidRDefault="005137CB" w:rsidP="005137CB">
      <w:pPr>
        <w:pStyle w:val="ListBullet"/>
      </w:pPr>
      <w:r>
        <w:t>the stakeholders most engaged with the Framework in the early stages were primarily focused on child protection issues (including, for example, establishing the National Standards for Out of Home Care) and this had an ongoing impact on the nature of actions pursued. For example, t</w:t>
      </w:r>
      <w:r w:rsidRPr="007816A0">
        <w:t xml:space="preserve">he membership of the </w:t>
      </w:r>
      <w:r w:rsidR="0085203E">
        <w:t>National</w:t>
      </w:r>
      <w:r w:rsidR="0085203E" w:rsidRPr="007816A0">
        <w:t xml:space="preserve"> </w:t>
      </w:r>
      <w:r w:rsidRPr="007816A0">
        <w:t>Coalition was predominantly child protection and out of home care focused organisations</w:t>
      </w:r>
    </w:p>
    <w:p w14:paraId="7A88000D" w14:textId="4BEB8475" w:rsidR="00141EA1" w:rsidRDefault="005137CB" w:rsidP="008305B1">
      <w:pPr>
        <w:pStyle w:val="ListBullet"/>
      </w:pPr>
      <w:r>
        <w:t>t</w:t>
      </w:r>
      <w:r w:rsidRPr="005A552F">
        <w:t>he language of the Framework around ‘abuse and neglect’ resulted in a natural focus on child protection services that was subsequently reflected through actions that were targeted or statutory in nature.</w:t>
      </w:r>
      <w:r w:rsidR="007B6B78">
        <w:t xml:space="preserve"> </w:t>
      </w:r>
      <w:bookmarkStart w:id="194" w:name="_Ref31231278"/>
      <w:r w:rsidR="00B82C96">
        <w:t>T</w:t>
      </w:r>
      <w:r w:rsidR="00141EA1" w:rsidRPr="00F66090">
        <w:t xml:space="preserve">he development of </w:t>
      </w:r>
      <w:r w:rsidR="00141EA1">
        <w:t xml:space="preserve">priorities and actions for </w:t>
      </w:r>
      <w:r w:rsidR="00141EA1" w:rsidRPr="00F66090">
        <w:t>the Third and Fourth Action Plans</w:t>
      </w:r>
      <w:r w:rsidR="00141EA1">
        <w:t>, and to explore the alignment of the priorities and actions with the National Framework, international rights-based treaties and the public health model</w:t>
      </w:r>
      <w:r w:rsidR="00141EA1" w:rsidRPr="00F66090">
        <w:t>.</w:t>
      </w:r>
    </w:p>
    <w:p w14:paraId="4E76EDD4" w14:textId="7F46AD43" w:rsidR="00DC49E0" w:rsidRDefault="00DC49E0" w:rsidP="00FA3E74">
      <w:pPr>
        <w:pStyle w:val="PwCNormal"/>
      </w:pPr>
      <w:r>
        <w:t xml:space="preserve">It is also important to consider that the basis of a public health model is not embedded in the supporting outcomes of the National Framework. While the concept is outlined in the National Framework, its outcomes and indicators </w:t>
      </w:r>
      <w:r w:rsidR="00B82C96">
        <w:t>focus on</w:t>
      </w:r>
      <w:r>
        <w:t xml:space="preserve"> statutory measures, which means that the National Framework was geared towards delivery against these objectives from the outset.</w:t>
      </w:r>
    </w:p>
    <w:p w14:paraId="57B40143" w14:textId="55317C53" w:rsidR="00D36A99" w:rsidRPr="00BA3EA8" w:rsidRDefault="007B6B78" w:rsidP="00282E52">
      <w:pPr>
        <w:pStyle w:val="PwCNormal"/>
      </w:pPr>
      <w:r w:rsidRPr="007E2A6D">
        <w:t>While the National Framework highlighted a need to pursue a public health model approach to deliver on its target, this intent was not reflected in its design. The language, supporting outcomes and actions were all oriented towards child protection activities which naturally led activity within the Framework towards a statutory focus, and meant that universal prevention and/or early intervention had lesser focus</w:t>
      </w:r>
      <w:r w:rsidRPr="0046531E">
        <w:t>. If a public health model were pursued, the program logic should design to this. The Framework would also need to focus on how it can engage broadly across portfolios to generate a system-wide response that reflects the intent of a public health model.</w:t>
      </w:r>
      <w:bookmarkStart w:id="195" w:name="_Toc36677375"/>
      <w:bookmarkStart w:id="196" w:name="_Toc36717849"/>
      <w:bookmarkStart w:id="197" w:name="_Toc36677376"/>
      <w:bookmarkStart w:id="198" w:name="_Toc36717850"/>
      <w:bookmarkStart w:id="199" w:name="_Toc36677377"/>
      <w:bookmarkStart w:id="200" w:name="_Toc36717851"/>
      <w:bookmarkStart w:id="201" w:name="_Toc36677378"/>
      <w:bookmarkStart w:id="202" w:name="_Toc36717852"/>
      <w:bookmarkStart w:id="203" w:name="_Toc36677379"/>
      <w:bookmarkStart w:id="204" w:name="_Toc36717853"/>
      <w:bookmarkStart w:id="205" w:name="_Toc36677380"/>
      <w:bookmarkStart w:id="206" w:name="_Toc36717854"/>
      <w:bookmarkEnd w:id="177"/>
      <w:bookmarkEnd w:id="178"/>
      <w:bookmarkEnd w:id="194"/>
      <w:bookmarkEnd w:id="195"/>
      <w:bookmarkEnd w:id="196"/>
      <w:bookmarkEnd w:id="197"/>
      <w:bookmarkEnd w:id="198"/>
      <w:bookmarkEnd w:id="199"/>
      <w:bookmarkEnd w:id="200"/>
      <w:bookmarkEnd w:id="201"/>
      <w:bookmarkEnd w:id="202"/>
      <w:bookmarkEnd w:id="203"/>
      <w:bookmarkEnd w:id="204"/>
      <w:bookmarkEnd w:id="205"/>
      <w:bookmarkEnd w:id="206"/>
    </w:p>
    <w:p w14:paraId="2FA13E55" w14:textId="77777777" w:rsidR="007E2A6D" w:rsidRPr="00663019" w:rsidRDefault="007E2A6D" w:rsidP="007E2A6D">
      <w:pPr>
        <w:pStyle w:val="Heading2"/>
      </w:pPr>
      <w:bookmarkStart w:id="207" w:name="_Toc36717855"/>
      <w:bookmarkStart w:id="208" w:name="_Toc42842761"/>
      <w:bookmarkStart w:id="209" w:name="_Toc42847853"/>
      <w:r>
        <w:lastRenderedPageBreak/>
        <w:t>Findings and opportunities</w:t>
      </w:r>
      <w:bookmarkEnd w:id="207"/>
      <w:bookmarkEnd w:id="208"/>
      <w:bookmarkEnd w:id="209"/>
    </w:p>
    <w:p w14:paraId="57E1184C" w14:textId="77777777" w:rsidR="007E2A6D" w:rsidRDefault="007E2A6D" w:rsidP="007E2A6D">
      <w:pPr>
        <w:pStyle w:val="PwCNormal"/>
        <w:spacing w:before="0" w:after="240" w:line="240" w:lineRule="auto"/>
        <w:ind w:left="454"/>
      </w:pPr>
    </w:p>
    <w:p w14:paraId="716DF825" w14:textId="77777777" w:rsidR="007E2A6D" w:rsidRDefault="007E2A6D" w:rsidP="007E2A6D">
      <w:pPr>
        <w:pStyle w:val="PwCNormal"/>
        <w:spacing w:before="0" w:after="240" w:line="240" w:lineRule="auto"/>
        <w:ind w:left="454"/>
      </w:pPr>
      <w:r>
        <w:rPr>
          <w:noProof/>
          <w:lang w:eastAsia="en-AU"/>
        </w:rPr>
        <mc:AlternateContent>
          <mc:Choice Requires="wps">
            <w:drawing>
              <wp:anchor distT="45720" distB="45720" distL="114300" distR="114300" simplePos="0" relativeHeight="251683840" behindDoc="0" locked="0" layoutInCell="1" allowOverlap="1" wp14:anchorId="4FAB2D58" wp14:editId="74F77204">
                <wp:simplePos x="0" y="0"/>
                <wp:positionH relativeFrom="column">
                  <wp:posOffset>1351915</wp:posOffset>
                </wp:positionH>
                <wp:positionV relativeFrom="paragraph">
                  <wp:posOffset>334010</wp:posOffset>
                </wp:positionV>
                <wp:extent cx="4419600" cy="411480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4114800"/>
                        </a:xfrm>
                        <a:prstGeom prst="rect">
                          <a:avLst/>
                        </a:prstGeom>
                        <a:solidFill>
                          <a:schemeClr val="accent1"/>
                        </a:solidFill>
                        <a:ln w="9525">
                          <a:noFill/>
                          <a:miter lim="800000"/>
                          <a:headEnd/>
                          <a:tailEnd/>
                        </a:ln>
                      </wps:spPr>
                      <wps:txbx>
                        <w:txbxContent>
                          <w:p w14:paraId="3F5EA3E7" w14:textId="77777777" w:rsidR="0080000B" w:rsidRPr="008552A8" w:rsidRDefault="0080000B" w:rsidP="007E2A6D">
                            <w:pPr>
                              <w:pStyle w:val="Divider1SubHeading"/>
                              <w:shd w:val="clear" w:color="auto" w:fill="D04A02" w:themeFill="accent1"/>
                              <w:rPr>
                                <w:rFonts w:asciiTheme="majorHAnsi" w:hAnsiTheme="majorHAnsi"/>
                                <w:i w:val="0"/>
                                <w:iCs/>
                              </w:rPr>
                            </w:pPr>
                            <w:r w:rsidRPr="008552A8">
                              <w:rPr>
                                <w:rFonts w:asciiTheme="majorHAnsi" w:hAnsiTheme="majorHAnsi"/>
                                <w:i w:val="0"/>
                                <w:iCs/>
                              </w:rPr>
                              <w:t>This chapter covers…</w:t>
                            </w:r>
                          </w:p>
                          <w:p w14:paraId="2CC29B94" w14:textId="77777777" w:rsidR="0080000B" w:rsidRPr="008552A8" w:rsidRDefault="0080000B" w:rsidP="00B95734">
                            <w:pPr>
                              <w:pStyle w:val="Divider1Text"/>
                              <w:numPr>
                                <w:ilvl w:val="0"/>
                                <w:numId w:val="45"/>
                              </w:numPr>
                              <w:shd w:val="clear" w:color="auto" w:fill="D04A02" w:themeFill="accent1"/>
                              <w:spacing w:before="60" w:after="60" w:line="200" w:lineRule="atLeast"/>
                              <w:ind w:left="714" w:hanging="357"/>
                              <w:rPr>
                                <w:rFonts w:cstheme="minorHAnsi"/>
                                <w:iCs/>
                              </w:rPr>
                            </w:pPr>
                            <w:r w:rsidRPr="008552A8">
                              <w:rPr>
                                <w:rFonts w:cstheme="minorHAnsi"/>
                                <w:iCs/>
                              </w:rPr>
                              <w:t>the findings and opportunities of this evaluation of the National Framework and its Third and Fourth Action Plans. It comprises two sections:</w:t>
                            </w:r>
                          </w:p>
                          <w:p w14:paraId="40D73B42" w14:textId="0D22B5E6" w:rsidR="0080000B" w:rsidRPr="008552A8" w:rsidRDefault="0080000B" w:rsidP="00B95734">
                            <w:pPr>
                              <w:pStyle w:val="Divider1Text"/>
                              <w:numPr>
                                <w:ilvl w:val="1"/>
                                <w:numId w:val="45"/>
                              </w:numPr>
                              <w:shd w:val="clear" w:color="auto" w:fill="D04A02" w:themeFill="accent1"/>
                              <w:spacing w:before="60" w:after="60" w:line="200" w:lineRule="atLeast"/>
                              <w:rPr>
                                <w:rFonts w:cstheme="minorHAnsi"/>
                                <w:iCs/>
                              </w:rPr>
                            </w:pPr>
                            <w:r w:rsidRPr="008552A8">
                              <w:rPr>
                                <w:rFonts w:cstheme="minorHAnsi"/>
                                <w:iCs/>
                              </w:rPr>
                              <w:t xml:space="preserve">Section 7.1 provides a summary of the findings </w:t>
                            </w:r>
                            <w:r>
                              <w:rPr>
                                <w:rFonts w:cstheme="minorHAnsi"/>
                                <w:iCs/>
                              </w:rPr>
                              <w:t xml:space="preserve">of the evaluation </w:t>
                            </w:r>
                          </w:p>
                          <w:p w14:paraId="1C091930" w14:textId="387C6F66" w:rsidR="0080000B" w:rsidRPr="008552A8" w:rsidRDefault="0080000B" w:rsidP="00B95734">
                            <w:pPr>
                              <w:pStyle w:val="Divider1Text"/>
                              <w:numPr>
                                <w:ilvl w:val="1"/>
                                <w:numId w:val="45"/>
                              </w:numPr>
                              <w:shd w:val="clear" w:color="auto" w:fill="D04A02" w:themeFill="accent1"/>
                              <w:spacing w:before="60" w:after="60" w:line="200" w:lineRule="atLeast"/>
                              <w:rPr>
                                <w:rFonts w:cstheme="minorHAnsi"/>
                                <w:iCs/>
                              </w:rPr>
                            </w:pPr>
                            <w:r w:rsidRPr="008552A8">
                              <w:rPr>
                                <w:rFonts w:cstheme="minorHAnsi"/>
                                <w:iCs/>
                              </w:rPr>
                              <w:t xml:space="preserve">Section 7.2 provides </w:t>
                            </w:r>
                            <w:r>
                              <w:rPr>
                                <w:rFonts w:cstheme="minorHAnsi"/>
                                <w:iCs/>
                              </w:rPr>
                              <w:t xml:space="preserve">an overview of the </w:t>
                            </w:r>
                            <w:r w:rsidRPr="008552A8">
                              <w:rPr>
                                <w:rFonts w:cstheme="minorHAnsi"/>
                                <w:iCs/>
                              </w:rPr>
                              <w:t>key opportunities for consideration in the development of a future National Framework based on the key findings.</w:t>
                            </w:r>
                          </w:p>
                          <w:p w14:paraId="2418017C" w14:textId="77777777" w:rsidR="0080000B" w:rsidRPr="00620786" w:rsidRDefault="0080000B" w:rsidP="007E2A6D">
                            <w:pPr>
                              <w:pStyle w:val="Divider1Text"/>
                              <w:shd w:val="clear" w:color="auto" w:fill="D04A02" w:themeFill="accent1"/>
                              <w:spacing w:before="60" w:after="60" w:line="200" w:lineRule="atLeast"/>
                              <w:rPr>
                                <w:rFonts w:asciiTheme="majorHAnsi" w:hAnsiTheme="majorHAnsi"/>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B2D58" id="_x0000_s1031" type="#_x0000_t202" style="position:absolute;left:0;text-align:left;margin-left:106.45pt;margin-top:26.3pt;width:348pt;height:324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" fillcolor="#d04a02 [3204]" stroked="f">
                <v:textbox>
                  <w:txbxContent>
                    <w:p w14:paraId="3F5EA3E7" w14:textId="77777777" w:rsidR="0080000B" w:rsidRPr="008552A8" w:rsidRDefault="0080000B" w:rsidP="007E2A6D">
                      <w:pPr>
                        <w:pStyle w:val="Divider1SubHeading"/>
                        <w:shd w:val="clear" w:color="auto" w:fill="D04A02" w:themeFill="accent1"/>
                        <w:rPr>
                          <w:rFonts w:asciiTheme="majorHAnsi" w:hAnsiTheme="majorHAnsi"/>
                          <w:i w:val="0"/>
                          <w:iCs/>
                        </w:rPr>
                      </w:pPr>
                      <w:r w:rsidRPr="008552A8">
                        <w:rPr>
                          <w:rFonts w:asciiTheme="majorHAnsi" w:hAnsiTheme="majorHAnsi"/>
                          <w:i w:val="0"/>
                          <w:iCs/>
                        </w:rPr>
                        <w:t>This chapter covers…</w:t>
                      </w:r>
                    </w:p>
                    <w:p w14:paraId="2CC29B94" w14:textId="77777777" w:rsidR="0080000B" w:rsidRPr="008552A8" w:rsidRDefault="0080000B" w:rsidP="00B95734">
                      <w:pPr>
                        <w:pStyle w:val="Divider1Text"/>
                        <w:numPr>
                          <w:ilvl w:val="0"/>
                          <w:numId w:val="45"/>
                        </w:numPr>
                        <w:shd w:val="clear" w:color="auto" w:fill="D04A02" w:themeFill="accent1"/>
                        <w:spacing w:before="60" w:after="60" w:line="200" w:lineRule="atLeast"/>
                        <w:ind w:left="714" w:hanging="357"/>
                        <w:rPr>
                          <w:rFonts w:cstheme="minorHAnsi"/>
                          <w:iCs/>
                        </w:rPr>
                      </w:pPr>
                      <w:r w:rsidRPr="008552A8">
                        <w:rPr>
                          <w:rFonts w:cstheme="minorHAnsi"/>
                          <w:iCs/>
                        </w:rPr>
                        <w:t>the findings and opportunities of this evaluation of the National Framework and its Third and Fourth Action Plans. It comprises two sections:</w:t>
                      </w:r>
                    </w:p>
                    <w:p w14:paraId="40D73B42" w14:textId="0D22B5E6" w:rsidR="0080000B" w:rsidRPr="008552A8" w:rsidRDefault="0080000B" w:rsidP="00B95734">
                      <w:pPr>
                        <w:pStyle w:val="Divider1Text"/>
                        <w:numPr>
                          <w:ilvl w:val="1"/>
                          <w:numId w:val="45"/>
                        </w:numPr>
                        <w:shd w:val="clear" w:color="auto" w:fill="D04A02" w:themeFill="accent1"/>
                        <w:spacing w:before="60" w:after="60" w:line="200" w:lineRule="atLeast"/>
                        <w:rPr>
                          <w:rFonts w:cstheme="minorHAnsi"/>
                          <w:iCs/>
                        </w:rPr>
                      </w:pPr>
                      <w:r w:rsidRPr="008552A8">
                        <w:rPr>
                          <w:rFonts w:cstheme="minorHAnsi"/>
                          <w:iCs/>
                        </w:rPr>
                        <w:t xml:space="preserve">Section 7.1 provides a summary of the findings </w:t>
                      </w:r>
                      <w:r>
                        <w:rPr>
                          <w:rFonts w:cstheme="minorHAnsi"/>
                          <w:iCs/>
                        </w:rPr>
                        <w:t xml:space="preserve">of the evaluation </w:t>
                      </w:r>
                    </w:p>
                    <w:p w14:paraId="1C091930" w14:textId="387C6F66" w:rsidR="0080000B" w:rsidRPr="008552A8" w:rsidRDefault="0080000B" w:rsidP="00B95734">
                      <w:pPr>
                        <w:pStyle w:val="Divider1Text"/>
                        <w:numPr>
                          <w:ilvl w:val="1"/>
                          <w:numId w:val="45"/>
                        </w:numPr>
                        <w:shd w:val="clear" w:color="auto" w:fill="D04A02" w:themeFill="accent1"/>
                        <w:spacing w:before="60" w:after="60" w:line="200" w:lineRule="atLeast"/>
                        <w:rPr>
                          <w:rFonts w:cstheme="minorHAnsi"/>
                          <w:iCs/>
                        </w:rPr>
                      </w:pPr>
                      <w:r w:rsidRPr="008552A8">
                        <w:rPr>
                          <w:rFonts w:cstheme="minorHAnsi"/>
                          <w:iCs/>
                        </w:rPr>
                        <w:t xml:space="preserve">Section 7.2 provides </w:t>
                      </w:r>
                      <w:r>
                        <w:rPr>
                          <w:rFonts w:cstheme="minorHAnsi"/>
                          <w:iCs/>
                        </w:rPr>
                        <w:t xml:space="preserve">an overview of the </w:t>
                      </w:r>
                      <w:r w:rsidRPr="008552A8">
                        <w:rPr>
                          <w:rFonts w:cstheme="minorHAnsi"/>
                          <w:iCs/>
                        </w:rPr>
                        <w:t>key opportunities for consideration in the development of a future National Framework based on the key findings.</w:t>
                      </w:r>
                    </w:p>
                    <w:p w14:paraId="2418017C" w14:textId="77777777" w:rsidR="0080000B" w:rsidRPr="00620786" w:rsidRDefault="0080000B" w:rsidP="007E2A6D">
                      <w:pPr>
                        <w:pStyle w:val="Divider1Text"/>
                        <w:shd w:val="clear" w:color="auto" w:fill="D04A02" w:themeFill="accent1"/>
                        <w:spacing w:before="60" w:after="60" w:line="200" w:lineRule="atLeast"/>
                        <w:rPr>
                          <w:rFonts w:asciiTheme="majorHAnsi" w:hAnsiTheme="majorHAnsi"/>
                          <w:i/>
                        </w:rPr>
                      </w:pPr>
                    </w:p>
                  </w:txbxContent>
                </v:textbox>
                <w10:wrap type="square"/>
              </v:shape>
            </w:pict>
          </mc:Fallback>
        </mc:AlternateContent>
      </w:r>
      <w:r>
        <w:br w:type="page"/>
      </w:r>
    </w:p>
    <w:p w14:paraId="22D589CC" w14:textId="77777777" w:rsidR="007E2A6D" w:rsidRDefault="007E2A6D" w:rsidP="007E2A6D">
      <w:pPr>
        <w:pStyle w:val="Heading6"/>
      </w:pPr>
      <w:bookmarkStart w:id="210" w:name="_Toc30582409"/>
      <w:bookmarkStart w:id="211" w:name="_Toc42847854"/>
      <w:r>
        <w:lastRenderedPageBreak/>
        <w:t>Key findings of this evaluation</w:t>
      </w:r>
      <w:bookmarkEnd w:id="210"/>
      <w:r>
        <w:t xml:space="preserve"> </w:t>
      </w:r>
      <w:bookmarkEnd w:id="211"/>
    </w:p>
    <w:p w14:paraId="75140F61" w14:textId="0794B551" w:rsidR="007E2A6D" w:rsidRDefault="007E2A6D" w:rsidP="007E2A6D">
      <w:pPr>
        <w:pStyle w:val="PwCNormal"/>
        <w:numPr>
          <w:ilvl w:val="0"/>
          <w:numId w:val="0"/>
        </w:numPr>
        <w:rPr>
          <w:color w:val="auto"/>
        </w:rPr>
      </w:pPr>
      <w:r>
        <w:rPr>
          <w:color w:val="auto"/>
        </w:rPr>
        <w:t>Based on the evidence collected through this evaluation, a number of findings that relate to the key evaluation questions</w:t>
      </w:r>
      <w:r w:rsidR="00B82C96">
        <w:rPr>
          <w:color w:val="auto"/>
        </w:rPr>
        <w:t xml:space="preserve"> are identified below</w:t>
      </w:r>
      <w:r>
        <w:rPr>
          <w:color w:val="auto"/>
        </w:rPr>
        <w:t xml:space="preserve">. </w:t>
      </w:r>
    </w:p>
    <w:p w14:paraId="1D9EE5E4" w14:textId="6EFCA0D1" w:rsidR="00A55EEB" w:rsidRPr="0020704F" w:rsidRDefault="007E2A6D" w:rsidP="00A55EEB">
      <w:pPr>
        <w:pStyle w:val="PwCNormal"/>
        <w:numPr>
          <w:ilvl w:val="0"/>
          <w:numId w:val="0"/>
        </w:numPr>
        <w:rPr>
          <w:b/>
          <w:bCs/>
          <w:color w:val="auto"/>
        </w:rPr>
      </w:pPr>
      <w:r w:rsidRPr="000F3EF8">
        <w:rPr>
          <w:b/>
          <w:bCs/>
          <w:color w:val="auto"/>
        </w:rPr>
        <w:t xml:space="preserve">Key finding: </w:t>
      </w:r>
      <w:r w:rsidR="00A55EEB">
        <w:rPr>
          <w:b/>
          <w:bCs/>
          <w:color w:val="auto"/>
        </w:rPr>
        <w:t xml:space="preserve">The National Framework has been an important mechanism for national collaboration on protecting Australia’s children and reducing child abuse and neglect </w:t>
      </w:r>
    </w:p>
    <w:p w14:paraId="73E613CC" w14:textId="77777777" w:rsidR="00A55EEB" w:rsidRPr="00A6651D" w:rsidRDefault="00A55EEB" w:rsidP="00A55EEB">
      <w:pPr>
        <w:pStyle w:val="PwCNormal"/>
      </w:pPr>
      <w:r w:rsidRPr="00A6651D">
        <w:t xml:space="preserve">The National Framework </w:t>
      </w:r>
      <w:r>
        <w:t>was developed in recognition</w:t>
      </w:r>
      <w:r w:rsidRPr="00A6651D">
        <w:t xml:space="preserve"> that significant reform was needed to </w:t>
      </w:r>
      <w:r>
        <w:t xml:space="preserve">reduce </w:t>
      </w:r>
      <w:r w:rsidRPr="00A6651D">
        <w:t xml:space="preserve">the growing rates of child abuse and neglect in Australia. At the time of its conception, there was an almost universal view that the scale of the challenge required a long-term, strategic approach that coordinated the activities of government, non-government and research sectors to achieve this aim. </w:t>
      </w:r>
    </w:p>
    <w:p w14:paraId="5C926D3F" w14:textId="77777777" w:rsidR="00A55EEB" w:rsidRPr="00A6651D" w:rsidRDefault="00A55EEB" w:rsidP="00A55EEB">
      <w:pPr>
        <w:pStyle w:val="PwCNormal"/>
      </w:pPr>
      <w:r w:rsidRPr="00A6651D">
        <w:t xml:space="preserve">Overwhelmingly, stakeholders </w:t>
      </w:r>
      <w:r>
        <w:t xml:space="preserve">consulted as part of this evaluation </w:t>
      </w:r>
      <w:r w:rsidRPr="00A6651D">
        <w:t xml:space="preserve">cited the Framework’s delivery of a national strategy as a core achievement. Their view was that the existence of the Framework enabled a national conversation which has elevated the priority of </w:t>
      </w:r>
      <w:r>
        <w:t>children’s safety and wellbeing</w:t>
      </w:r>
      <w:r w:rsidRPr="00A6651D">
        <w:t xml:space="preserve"> on the agenda of governments. The creation of a National Forum, as the tripartite apparatus which supports the Framework, has also brokered collabo</w:t>
      </w:r>
      <w:r>
        <w:t>r</w:t>
      </w:r>
      <w:r w:rsidRPr="00A6651D">
        <w:t>ation and built trust between jurisdictions</w:t>
      </w:r>
      <w:r>
        <w:t>, peak bodies</w:t>
      </w:r>
      <w:r w:rsidRPr="00A6651D">
        <w:t xml:space="preserve"> and the services sector which has enhanced </w:t>
      </w:r>
      <w:r>
        <w:t>knowledge</w:t>
      </w:r>
      <w:r w:rsidRPr="00A6651D">
        <w:t xml:space="preserve"> sharing and facilitated the </w:t>
      </w:r>
      <w:r>
        <w:t>implementation</w:t>
      </w:r>
      <w:r w:rsidRPr="00A6651D">
        <w:t xml:space="preserve"> of </w:t>
      </w:r>
      <w:r>
        <w:t xml:space="preserve">some </w:t>
      </w:r>
      <w:r w:rsidRPr="00A6651D">
        <w:t xml:space="preserve">important </w:t>
      </w:r>
      <w:r>
        <w:t xml:space="preserve">national </w:t>
      </w:r>
      <w:r w:rsidRPr="00A6651D">
        <w:t xml:space="preserve">initiatives.  </w:t>
      </w:r>
    </w:p>
    <w:p w14:paraId="7875F8B4" w14:textId="67A9D32F" w:rsidR="00A55EEB" w:rsidRDefault="00A55EEB" w:rsidP="00A55EEB">
      <w:pPr>
        <w:pStyle w:val="PwCNormal"/>
      </w:pPr>
      <w:r>
        <w:t xml:space="preserve">While some national initiatives resulted from other reform activity and </w:t>
      </w:r>
      <w:r w:rsidR="00E45BDA">
        <w:t>cannot</w:t>
      </w:r>
      <w:r>
        <w:t xml:space="preserve"> be directly attributed to the National Framework, organisations consulted as part of this evaluation provided examples of initiatives that were able to be coordinated and implemented through the National Framework. Key examples associated with the Third and Fourth Action Plans include: </w:t>
      </w:r>
    </w:p>
    <w:p w14:paraId="60D30407" w14:textId="4FFCA9DD" w:rsidR="00A55EEB" w:rsidRPr="0054082B" w:rsidRDefault="00A55EEB" w:rsidP="00B95734">
      <w:pPr>
        <w:pStyle w:val="ListParagraph"/>
        <w:numPr>
          <w:ilvl w:val="0"/>
          <w:numId w:val="54"/>
        </w:numPr>
        <w:rPr>
          <w:color w:val="000000" w:themeColor="text1"/>
        </w:rPr>
      </w:pPr>
      <w:r w:rsidRPr="0054082B">
        <w:rPr>
          <w:color w:val="000000" w:themeColor="text1"/>
        </w:rPr>
        <w:t xml:space="preserve">the implementation of the National Principles for Child Safe Organisations which were recommended by the Royal Commission into Institutional responses to Child Sexual Abuse and </w:t>
      </w:r>
      <w:r w:rsidR="00B7271A">
        <w:rPr>
          <w:color w:val="000000" w:themeColor="text1"/>
        </w:rPr>
        <w:t>developed</w:t>
      </w:r>
      <w:r w:rsidR="00B7271A" w:rsidRPr="0054082B">
        <w:rPr>
          <w:color w:val="000000" w:themeColor="text1"/>
        </w:rPr>
        <w:t xml:space="preserve"> </w:t>
      </w:r>
      <w:r w:rsidRPr="0054082B">
        <w:rPr>
          <w:color w:val="000000" w:themeColor="text1"/>
        </w:rPr>
        <w:t xml:space="preserve">through the Third Action Plan. </w:t>
      </w:r>
    </w:p>
    <w:p w14:paraId="1A4E7D73" w14:textId="4958FBA9" w:rsidR="00A55EEB" w:rsidRPr="00A9004E" w:rsidRDefault="00A55EEB" w:rsidP="00B95734">
      <w:pPr>
        <w:pStyle w:val="ListParagraph"/>
        <w:numPr>
          <w:ilvl w:val="0"/>
          <w:numId w:val="54"/>
        </w:numPr>
        <w:rPr>
          <w:color w:val="000000" w:themeColor="text1"/>
        </w:rPr>
      </w:pPr>
      <w:r w:rsidRPr="00A9004E">
        <w:rPr>
          <w:color w:val="000000" w:themeColor="text1"/>
        </w:rPr>
        <w:t xml:space="preserve">the support that the National Forum (as a regular convening of government and non-government stakeholders) </w:t>
      </w:r>
      <w:r w:rsidR="0046531E">
        <w:rPr>
          <w:color w:val="000000" w:themeColor="text1"/>
        </w:rPr>
        <w:t xml:space="preserve">and the ATSIWG </w:t>
      </w:r>
      <w:r w:rsidRPr="00A9004E">
        <w:rPr>
          <w:color w:val="000000" w:themeColor="text1"/>
        </w:rPr>
        <w:t>ha</w:t>
      </w:r>
      <w:r w:rsidR="0046531E">
        <w:rPr>
          <w:color w:val="000000" w:themeColor="text1"/>
        </w:rPr>
        <w:t>ve</w:t>
      </w:r>
      <w:r w:rsidRPr="00A9004E">
        <w:rPr>
          <w:color w:val="000000" w:themeColor="text1"/>
        </w:rPr>
        <w:t xml:space="preserve"> provided for more comprehensive implementation of the</w:t>
      </w:r>
      <w:r>
        <w:rPr>
          <w:color w:val="000000" w:themeColor="text1"/>
        </w:rPr>
        <w:t xml:space="preserve"> </w:t>
      </w:r>
      <w:r w:rsidRPr="00A6651D">
        <w:t>ATSICPP</w:t>
      </w:r>
      <w:r>
        <w:t xml:space="preserve"> through the Fourth Action Plan</w:t>
      </w:r>
      <w:r w:rsidRPr="00A9004E">
        <w:rPr>
          <w:color w:val="000000" w:themeColor="text1"/>
        </w:rPr>
        <w:t xml:space="preserve">. </w:t>
      </w:r>
    </w:p>
    <w:p w14:paraId="502F76C0" w14:textId="1BE00DD3" w:rsidR="00A55EEB" w:rsidRPr="00112795" w:rsidRDefault="007E2A6D" w:rsidP="00B95734">
      <w:pPr>
        <w:pStyle w:val="PwCNormal"/>
        <w:numPr>
          <w:ilvl w:val="0"/>
          <w:numId w:val="51"/>
        </w:numPr>
        <w:spacing w:line="280" w:lineRule="auto"/>
        <w:rPr>
          <w:b/>
          <w:bCs/>
          <w:color w:val="auto"/>
        </w:rPr>
      </w:pPr>
      <w:r>
        <w:rPr>
          <w:b/>
          <w:bCs/>
          <w:color w:val="auto"/>
        </w:rPr>
        <w:t xml:space="preserve">Key finding: </w:t>
      </w:r>
      <w:r w:rsidR="00A55EEB">
        <w:rPr>
          <w:b/>
          <w:bCs/>
          <w:color w:val="auto"/>
        </w:rPr>
        <w:t>W</w:t>
      </w:r>
      <w:r w:rsidR="00A55EEB" w:rsidRPr="00112795">
        <w:rPr>
          <w:b/>
          <w:bCs/>
          <w:color w:val="auto"/>
        </w:rPr>
        <w:t xml:space="preserve">hile robust prevalence data </w:t>
      </w:r>
      <w:r w:rsidR="00A55EEB">
        <w:rPr>
          <w:b/>
          <w:bCs/>
          <w:color w:val="auto"/>
        </w:rPr>
        <w:t>are</w:t>
      </w:r>
      <w:r w:rsidR="00A55EEB" w:rsidRPr="00112795">
        <w:rPr>
          <w:b/>
          <w:bCs/>
          <w:color w:val="auto"/>
        </w:rPr>
        <w:t xml:space="preserve"> not available to accurately measure whether the National Framework achieved its intended outcome of a substantial and sustained reduction in child abuse and neglect, available data suggest that this outcome was not achieved </w:t>
      </w:r>
    </w:p>
    <w:p w14:paraId="47EB72A6" w14:textId="77777777" w:rsidR="00A55EEB" w:rsidRDefault="00A55EEB" w:rsidP="00A55EEB">
      <w:pPr>
        <w:pStyle w:val="PwCNormal"/>
        <w:numPr>
          <w:ilvl w:val="0"/>
          <w:numId w:val="0"/>
        </w:numPr>
      </w:pPr>
      <w:r>
        <w:t>The National Framework itself highlighted that ‘measuring a reduction in child abuse and neglect is difficult, as Australia currently does not have robust data on incidence/prevalence’.</w:t>
      </w:r>
      <w:r>
        <w:rPr>
          <w:rStyle w:val="FootnoteReference"/>
          <w:rFonts w:eastAsiaTheme="majorEastAsia"/>
        </w:rPr>
        <w:footnoteReference w:id="50"/>
      </w:r>
      <w:r>
        <w:t xml:space="preserve"> The Framework did not result in the implementation of a robust, national prevalence/incidence study which would be the only way to accurately track progress against this outcome. </w:t>
      </w:r>
    </w:p>
    <w:p w14:paraId="2E9A2E69" w14:textId="7D7F07D4" w:rsidR="00A55EEB" w:rsidRDefault="00A55EEB" w:rsidP="00A55EEB">
      <w:pPr>
        <w:pStyle w:val="PwCNormal"/>
        <w:numPr>
          <w:ilvl w:val="0"/>
          <w:numId w:val="0"/>
        </w:numPr>
      </w:pPr>
      <w:r>
        <w:t>The Framework’s 32 data indicators (reported on periodically by the Australian Institute of Health and Wel</w:t>
      </w:r>
      <w:r w:rsidR="00E45BDA">
        <w:t>fare</w:t>
      </w:r>
      <w:r>
        <w:rPr>
          <w:rStyle w:val="FootnoteReference"/>
          <w:rFonts w:eastAsiaTheme="majorEastAsia"/>
        </w:rPr>
        <w:footnoteReference w:id="51"/>
      </w:r>
      <w:r>
        <w:t xml:space="preserve">) provide a proxy or leading evidence of trends in the underlying prevalence of child abuse and neglect but they do not conclusively track prevalence. </w:t>
      </w:r>
    </w:p>
    <w:p w14:paraId="6BF33F65" w14:textId="0D5C485B" w:rsidR="00A55EEB" w:rsidRDefault="00A55EEB" w:rsidP="00A55EEB">
      <w:pPr>
        <w:pStyle w:val="PwCNormal"/>
        <w:numPr>
          <w:ilvl w:val="0"/>
          <w:numId w:val="0"/>
        </w:numPr>
      </w:pPr>
      <w:r w:rsidRPr="008A32E8">
        <w:t>Eight of the 32 indicators relate to the high</w:t>
      </w:r>
      <w:r>
        <w:t>-</w:t>
      </w:r>
      <w:r w:rsidRPr="008A32E8">
        <w:t xml:space="preserve">level outcome of a substantial and sustained reduction in child abuse and neglect. </w:t>
      </w:r>
      <w:r w:rsidRPr="00DC458A">
        <w:rPr>
          <w:color w:val="auto"/>
        </w:rPr>
        <w:t xml:space="preserve">Of the eight indicators, </w:t>
      </w:r>
      <w:r>
        <w:t xml:space="preserve">three have worsened over the life of the Framework, two have remained steady, two have improved and one does not have sufficient </w:t>
      </w:r>
      <w:r w:rsidR="00E45BDA">
        <w:t>time series</w:t>
      </w:r>
      <w:r>
        <w:t xml:space="preserve"> data to report on. It is reasonable to suggest that given this mix of indicators, the Framework has not resulted in the achievement of its high-level outcome of a substantial and sustained reduction in child abuse and neglect. This finding was supported by organisations consulted as part of this evaluation.</w:t>
      </w:r>
    </w:p>
    <w:p w14:paraId="75C2C440" w14:textId="77777777" w:rsidR="00A55EEB" w:rsidRDefault="00A55EEB" w:rsidP="00A55EEB">
      <w:pPr>
        <w:pStyle w:val="PwCNormal"/>
        <w:numPr>
          <w:ilvl w:val="0"/>
          <w:numId w:val="0"/>
        </w:numPr>
      </w:pPr>
      <w:r w:rsidRPr="003A51E2">
        <w:t xml:space="preserve">Indigenous children </w:t>
      </w:r>
      <w:r>
        <w:t xml:space="preserve">and young people </w:t>
      </w:r>
      <w:r w:rsidRPr="003A51E2">
        <w:t>are a significant cohort within the child protection system representing approximately 3</w:t>
      </w:r>
      <w:r>
        <w:t>6 per cent</w:t>
      </w:r>
      <w:r w:rsidRPr="003A51E2">
        <w:t xml:space="preserve"> of all children</w:t>
      </w:r>
      <w:r>
        <w:t xml:space="preserve"> and young people</w:t>
      </w:r>
      <w:r w:rsidRPr="003A51E2">
        <w:t xml:space="preserve"> on a care and protection order in 2017-18. Supporting outcome 5 of the </w:t>
      </w:r>
      <w:r w:rsidRPr="003A51E2">
        <w:lastRenderedPageBreak/>
        <w:t xml:space="preserve">Framework is to ensure that </w:t>
      </w:r>
      <w:r>
        <w:t>‘</w:t>
      </w:r>
      <w:r w:rsidRPr="003A51E2">
        <w:t>Indigenous children are supported and safe in their families and communities</w:t>
      </w:r>
      <w:r>
        <w:t>’.</w:t>
      </w:r>
      <w:r w:rsidRPr="003A51E2">
        <w:t xml:space="preserve"> No prevalence study has been implemented to understand levels of child abuse and neglect experienced by Indigenous children but it is clear that this outcome has not been achieved with the over-representation of Indigenous children in the child protection system and out of home care worsening over the life of the </w:t>
      </w:r>
      <w:r>
        <w:t>F</w:t>
      </w:r>
      <w:r w:rsidRPr="003A51E2">
        <w:t>ramework.</w:t>
      </w:r>
    </w:p>
    <w:p w14:paraId="4BEFB546" w14:textId="77777777" w:rsidR="00A55EEB" w:rsidRDefault="00A55EEB" w:rsidP="00A55EEB">
      <w:pPr>
        <w:pStyle w:val="PwCNormal"/>
        <w:numPr>
          <w:ilvl w:val="0"/>
          <w:numId w:val="0"/>
        </w:numPr>
      </w:pPr>
      <w:r>
        <w:t xml:space="preserve">Overall, despite efforts to assemble the 32 data indicators to measure progress of achieving the Framework’s outcomes, the lack of a robust prevalence study of child abuse and neglect in Australia coupled with significant gaps in the reporting of data to inform indicators result in an inability to comprehensively track and measure the National Framework’s achievements. </w:t>
      </w:r>
    </w:p>
    <w:p w14:paraId="460A192B" w14:textId="2FFF9D62" w:rsidR="0013767E" w:rsidRPr="00112795" w:rsidRDefault="007E2A6D" w:rsidP="0013767E">
      <w:pPr>
        <w:pStyle w:val="PwCNormal"/>
        <w:rPr>
          <w:b/>
          <w:bCs/>
          <w:color w:val="auto"/>
        </w:rPr>
      </w:pPr>
      <w:r>
        <w:rPr>
          <w:b/>
          <w:bCs/>
          <w:color w:val="auto"/>
        </w:rPr>
        <w:t xml:space="preserve">Key finding: </w:t>
      </w:r>
      <w:r w:rsidR="0013767E" w:rsidRPr="00112795">
        <w:rPr>
          <w:b/>
          <w:bCs/>
          <w:color w:val="auto"/>
        </w:rPr>
        <w:t>The</w:t>
      </w:r>
      <w:r w:rsidR="0013767E">
        <w:rPr>
          <w:b/>
          <w:bCs/>
          <w:color w:val="auto"/>
        </w:rPr>
        <w:t xml:space="preserve"> evolving</w:t>
      </w:r>
      <w:r w:rsidR="0013767E" w:rsidRPr="00112795">
        <w:rPr>
          <w:b/>
          <w:bCs/>
          <w:color w:val="auto"/>
        </w:rPr>
        <w:t xml:space="preserve"> governance arrangements </w:t>
      </w:r>
      <w:r w:rsidR="0013767E">
        <w:rPr>
          <w:b/>
          <w:bCs/>
          <w:color w:val="auto"/>
        </w:rPr>
        <w:t xml:space="preserve">underpinning </w:t>
      </w:r>
      <w:r w:rsidR="0013767E" w:rsidRPr="00112795">
        <w:rPr>
          <w:b/>
          <w:bCs/>
          <w:color w:val="auto"/>
        </w:rPr>
        <w:t>the National Framework and the Third and Fourth Action Plans i</w:t>
      </w:r>
      <w:r w:rsidR="0013767E">
        <w:rPr>
          <w:b/>
          <w:bCs/>
          <w:color w:val="auto"/>
        </w:rPr>
        <w:t>mpacted</w:t>
      </w:r>
      <w:r w:rsidR="0013767E" w:rsidRPr="00112795">
        <w:rPr>
          <w:b/>
          <w:bCs/>
          <w:color w:val="auto"/>
        </w:rPr>
        <w:t xml:space="preserve"> the achievement of the Framework’s intended outcomes  </w:t>
      </w:r>
    </w:p>
    <w:p w14:paraId="0C745F31" w14:textId="77777777" w:rsidR="0013767E" w:rsidRPr="00737280" w:rsidRDefault="0013767E" w:rsidP="0013767E">
      <w:pPr>
        <w:pStyle w:val="PwCNormal"/>
      </w:pPr>
      <w:r w:rsidRPr="00737280">
        <w:t xml:space="preserve">The National Framework </w:t>
      </w:r>
      <w:r>
        <w:t>was</w:t>
      </w:r>
      <w:r w:rsidRPr="00737280">
        <w:t xml:space="preserve"> ambitious in seeking to adopt a shared agenda across Commonwealth, state and territory governments and the non-government and research sectors</w:t>
      </w:r>
      <w:r>
        <w:t xml:space="preserve"> </w:t>
      </w:r>
      <w:r w:rsidRPr="00737280">
        <w:t>aimed at preventing and reducing child abuse and neglect. The National Framework states ‘we need a unified approach that recognises that the protection of children is not simply a matter for the statutory child protection systems’</w:t>
      </w:r>
      <w:r w:rsidRPr="00737280">
        <w:rPr>
          <w:rStyle w:val="FootnoteReference"/>
        </w:rPr>
        <w:footnoteReference w:id="52"/>
      </w:r>
      <w:r w:rsidRPr="00737280">
        <w:t xml:space="preserve"> and that ‘our separate efforts still fail many children and young people’.</w:t>
      </w:r>
      <w:r w:rsidRPr="00737280">
        <w:rPr>
          <w:rStyle w:val="FootnoteReference"/>
        </w:rPr>
        <w:footnoteReference w:id="53"/>
      </w:r>
      <w:r w:rsidRPr="00737280">
        <w:t xml:space="preserve"> </w:t>
      </w:r>
    </w:p>
    <w:p w14:paraId="7BC85F61" w14:textId="77777777" w:rsidR="0013767E" w:rsidRDefault="0013767E" w:rsidP="0013767E">
      <w:pPr>
        <w:pStyle w:val="PwCNormal"/>
        <w:numPr>
          <w:ilvl w:val="0"/>
          <w:numId w:val="0"/>
        </w:numPr>
      </w:pPr>
      <w:r>
        <w:t xml:space="preserve">A key finding of this evaluation is that while the intent of the National Framework was broad reaching, its implementation became more narrowly focused on statutory child protection systems over its twelve-year timeframe. A major reason for this narrow focus was the governance arrangements supporting the National Framework, which evolved over its twelve-year term and were re-set every three years to support the delivery of the action plans. </w:t>
      </w:r>
    </w:p>
    <w:p w14:paraId="50FFFA75" w14:textId="77777777" w:rsidR="0013767E" w:rsidRDefault="0013767E" w:rsidP="0013767E">
      <w:pPr>
        <w:pStyle w:val="PwCNormal"/>
        <w:numPr>
          <w:ilvl w:val="0"/>
          <w:numId w:val="0"/>
        </w:numPr>
      </w:pPr>
      <w:r w:rsidRPr="008342B9">
        <w:t>The National Framework’s governance arrangements were set up from its inception in 2009 to support a whole of government response across jurisdictions, as well as engaging the non-government and research sectors in addressing child abuse and ne</w:t>
      </w:r>
      <w:r>
        <w:t>g</w:t>
      </w:r>
      <w:r w:rsidRPr="008342B9">
        <w:t xml:space="preserve">lect. In order to ensure national leadership and attention, </w:t>
      </w:r>
      <w:r>
        <w:t xml:space="preserve">the National Framework would report and be accountable to </w:t>
      </w:r>
      <w:r w:rsidRPr="008342B9">
        <w:t xml:space="preserve">a standing Coalition of Australian Governments (COAG) committee and the National Forum was also established.  </w:t>
      </w:r>
    </w:p>
    <w:p w14:paraId="07383BD7" w14:textId="657621FD" w:rsidR="0013767E" w:rsidRDefault="0013767E" w:rsidP="0013767E">
      <w:pPr>
        <w:pStyle w:val="PwCNormal"/>
        <w:numPr>
          <w:ilvl w:val="0"/>
          <w:numId w:val="0"/>
        </w:numPr>
      </w:pPr>
      <w:r>
        <w:t xml:space="preserve">However, the governance arrangements </w:t>
      </w:r>
      <w:r w:rsidRPr="002D39CA">
        <w:t xml:space="preserve">changed in </w:t>
      </w:r>
      <w:r>
        <w:t>2014</w:t>
      </w:r>
      <w:r w:rsidRPr="002D39CA">
        <w:t>.</w:t>
      </w:r>
      <w:r>
        <w:t xml:space="preserve"> The </w:t>
      </w:r>
      <w:r w:rsidRPr="002D39CA">
        <w:t>Third and Fourth Action Plans</w:t>
      </w:r>
      <w:r>
        <w:t xml:space="preserve"> instead</w:t>
      </w:r>
      <w:r w:rsidRPr="002D39CA">
        <w:t xml:space="preserve"> involved formally reporting to the Children and Families Secretaries (CAFS) and Community Services Ministers</w:t>
      </w:r>
      <w:r w:rsidR="00E45BDA">
        <w:t xml:space="preserve"> (CSM)</w:t>
      </w:r>
      <w:r w:rsidRPr="002D39CA">
        <w:t xml:space="preserve">. This meant COAG no longer reported </w:t>
      </w:r>
      <w:r>
        <w:t xml:space="preserve">on </w:t>
      </w:r>
      <w:r w:rsidRPr="002D39CA">
        <w:t>nor was accountable for the Framework and its implementation</w:t>
      </w:r>
      <w:r>
        <w:t xml:space="preserve"> throughout the duration of the Third and Fourth Action Plans. </w:t>
      </w:r>
    </w:p>
    <w:p w14:paraId="135C58B6" w14:textId="77777777" w:rsidR="0013767E" w:rsidRDefault="0013767E" w:rsidP="0013767E">
      <w:pPr>
        <w:pStyle w:val="PwCNormal"/>
        <w:numPr>
          <w:ilvl w:val="0"/>
          <w:numId w:val="0"/>
        </w:numPr>
      </w:pPr>
      <w:r w:rsidRPr="00B3525E">
        <w:t>Organisations consulted as part of this evaluation reported that the National Framework bec</w:t>
      </w:r>
      <w:r>
        <w:t>a</w:t>
      </w:r>
      <w:r w:rsidRPr="00B3525E">
        <w:t xml:space="preserve">me less of a priority for governments as a result and that CAFS was not able to influence broader governmental priorities to the same extent as the COAG committee. The membership of </w:t>
      </w:r>
      <w:r>
        <w:t>the</w:t>
      </w:r>
      <w:r w:rsidRPr="00B3525E">
        <w:t xml:space="preserve"> Working Groups under the Third and Fourth Action </w:t>
      </w:r>
      <w:r>
        <w:t>P</w:t>
      </w:r>
      <w:r w:rsidRPr="00B3525E">
        <w:t xml:space="preserve">lans </w:t>
      </w:r>
      <w:r>
        <w:t xml:space="preserve">was mostly constituted of state and territory </w:t>
      </w:r>
      <w:r w:rsidRPr="00B3525E">
        <w:t>child protection</w:t>
      </w:r>
      <w:r>
        <w:t xml:space="preserve"> agency representatives </w:t>
      </w:r>
      <w:r w:rsidRPr="00B3525E">
        <w:t>which limited the Framework’s ability to influence</w:t>
      </w:r>
      <w:r>
        <w:t xml:space="preserve"> actions in other policy areas and commit to system wide reforms.</w:t>
      </w:r>
      <w:r w:rsidRPr="00B3525E">
        <w:t xml:space="preserve"> </w:t>
      </w:r>
    </w:p>
    <w:p w14:paraId="58C3FB08" w14:textId="77777777" w:rsidR="0013767E" w:rsidRDefault="0013767E" w:rsidP="0013767E">
      <w:pPr>
        <w:pStyle w:val="PwCNormal"/>
      </w:pPr>
      <w:r>
        <w:t xml:space="preserve">The result was that the activities delivered under the action plans increasingly became focused on statutory child protection systems and smaller initiatives and trials, and less on comprehensive, system-wide change to address the drivers of child abuse and neglect. While organisations consulted for this evaluation noted that there were some positive and concrete national initiatives committed to under the National Framework, overall the Third and Fourth Action Plans were narrow in their scope. </w:t>
      </w:r>
    </w:p>
    <w:p w14:paraId="71825598" w14:textId="77777777" w:rsidR="0013767E" w:rsidRPr="0040095D" w:rsidRDefault="0013767E" w:rsidP="0013767E">
      <w:pPr>
        <w:pStyle w:val="PwCNormal"/>
      </w:pPr>
      <w:r w:rsidRPr="00F00449">
        <w:t>Analysis of available annual reporting on the National Framework shows that most activity reported as being delivered under action plans were state and territory-based reforms and programs rather than national initiatives that were established as a result of the Framework.</w:t>
      </w:r>
      <w:r w:rsidRPr="00F00449" w:rsidDel="00920ED3">
        <w:t xml:space="preserve"> </w:t>
      </w:r>
    </w:p>
    <w:p w14:paraId="301A9371" w14:textId="6E12B918" w:rsidR="0013767E" w:rsidRPr="00DB1FC1" w:rsidRDefault="007E2A6D" w:rsidP="0013767E">
      <w:pPr>
        <w:pStyle w:val="PwCNormal"/>
        <w:rPr>
          <w:b/>
          <w:bCs/>
        </w:rPr>
      </w:pPr>
      <w:r>
        <w:rPr>
          <w:b/>
          <w:bCs/>
          <w:color w:val="auto"/>
        </w:rPr>
        <w:lastRenderedPageBreak/>
        <w:t xml:space="preserve">Key finding: </w:t>
      </w:r>
      <w:r w:rsidR="0013767E" w:rsidRPr="00DB1FC1">
        <w:rPr>
          <w:b/>
          <w:bCs/>
        </w:rPr>
        <w:t>The National Framework was not able to fully embed a public health approach and coordinate the policy agenda for children and young people</w:t>
      </w:r>
      <w:r w:rsidR="0013767E">
        <w:rPr>
          <w:b/>
          <w:bCs/>
        </w:rPr>
        <w:t xml:space="preserve"> </w:t>
      </w:r>
    </w:p>
    <w:p w14:paraId="06972D32" w14:textId="77777777" w:rsidR="0013767E" w:rsidRDefault="0013767E" w:rsidP="0013767E">
      <w:pPr>
        <w:pStyle w:val="PwCNormal"/>
      </w:pPr>
      <w:r w:rsidRPr="00DB1FC1">
        <w:t>Throughout the duration of the Third and Fourth Action Plans there have been an increasing number of child protection-related inquiries and commissions in all jurisdictions, and reform programs resulting from these inquiries and commissions. A number of organisations consulted for this evaluation expressed that these reform programs have increasingly become the driver of most activity by jurisdictions, rather than the National Framework being the catalyst for action</w:t>
      </w:r>
      <w:r w:rsidRPr="000A11BF">
        <w:t>. S</w:t>
      </w:r>
      <w:r>
        <w:t xml:space="preserve">tate and territory government representatives </w:t>
      </w:r>
      <w:r w:rsidRPr="000A11BF">
        <w:t xml:space="preserve">also noted that the intensive focus on child protection systems </w:t>
      </w:r>
      <w:r w:rsidRPr="00BF4B81">
        <w:t>and steady or growing child protection numbers</w:t>
      </w:r>
      <w:r>
        <w:t xml:space="preserve"> and expenditure on child protection </w:t>
      </w:r>
      <w:r w:rsidRPr="000A11BF">
        <w:t>has also made it difficult to focus funding and policy efforts on primary prevention and early intervention activities</w:t>
      </w:r>
      <w:r>
        <w:t>, while at the same time maintaining efforts on addressing these policy and service challenges</w:t>
      </w:r>
      <w:r w:rsidRPr="000A11BF">
        <w:t>.</w:t>
      </w:r>
      <w:r>
        <w:t xml:space="preserve"> </w:t>
      </w:r>
    </w:p>
    <w:p w14:paraId="70AD9427" w14:textId="77777777" w:rsidR="0013767E" w:rsidRDefault="0013767E" w:rsidP="0013767E">
      <w:pPr>
        <w:pStyle w:val="PwCNormal"/>
      </w:pPr>
      <w:r>
        <w:t xml:space="preserve">At the same time, there has also been a proliferation of other strategies, frameworks and reforms released by governments on policy areas that impact the drivers of child abuse and neglect. </w:t>
      </w:r>
      <w:r w:rsidRPr="005A31DB">
        <w:t xml:space="preserve">This includes policy areas </w:t>
      </w:r>
      <w:r>
        <w:t>such as</w:t>
      </w:r>
      <w:r w:rsidRPr="005A31DB">
        <w:t xml:space="preserve"> mental health, </w:t>
      </w:r>
      <w:r>
        <w:t xml:space="preserve">domestic violence, </w:t>
      </w:r>
      <w:r w:rsidRPr="005A31DB">
        <w:t>housing, disability, health</w:t>
      </w:r>
      <w:r>
        <w:t>,</w:t>
      </w:r>
      <w:r w:rsidRPr="005A31DB">
        <w:t xml:space="preserve"> education</w:t>
      </w:r>
      <w:r>
        <w:t>, early childhood and social security</w:t>
      </w:r>
      <w:r w:rsidRPr="005A31DB">
        <w:t>.</w:t>
      </w:r>
      <w:r>
        <w:t xml:space="preserve"> </w:t>
      </w:r>
    </w:p>
    <w:p w14:paraId="4E1996D3" w14:textId="5F53C959" w:rsidR="0013767E" w:rsidRDefault="0013767E" w:rsidP="0013767E">
      <w:pPr>
        <w:pStyle w:val="PwCNormal"/>
      </w:pPr>
      <w:r>
        <w:t>Organisations consulted for this evaluation noted that in order to fully embed the public health approach, policies and programs in these areas would need to be integrated</w:t>
      </w:r>
      <w:r w:rsidR="00B24D83">
        <w:t xml:space="preserve">. In addition, </w:t>
      </w:r>
      <w:r>
        <w:t xml:space="preserve">specific consideration </w:t>
      </w:r>
      <w:r w:rsidR="00B24D83">
        <w:t xml:space="preserve">needs to be </w:t>
      </w:r>
      <w:r>
        <w:t xml:space="preserve">given to how policies and programs impact on vulnerable children and their families, which has not been the case in all policy areas. </w:t>
      </w:r>
      <w:r w:rsidRPr="000A11BF">
        <w:t>This is supported by a range of different reviews undertaken during the term of the National Framework that have found that funding and services in policy areas impacting on vulnerable families and children are often delivered in siloes.</w:t>
      </w:r>
      <w:r w:rsidRPr="000A11BF">
        <w:rPr>
          <w:rStyle w:val="FootnoteReference"/>
          <w:color w:val="auto"/>
        </w:rPr>
        <w:footnoteReference w:id="54"/>
      </w:r>
    </w:p>
    <w:p w14:paraId="46BC03D4" w14:textId="02187908" w:rsidR="0013767E" w:rsidRDefault="0013767E" w:rsidP="0013767E">
      <w:pPr>
        <w:pStyle w:val="PwCNormal"/>
        <w:numPr>
          <w:ilvl w:val="0"/>
          <w:numId w:val="0"/>
        </w:numPr>
      </w:pPr>
      <w:r w:rsidRPr="000A11BF">
        <w:t>Finally, a number of organisations suggested that the National Framework and Third and Fourth Action Plans could have been better informed through consultation with children and young people and their families and communities.</w:t>
      </w:r>
      <w:r w:rsidRPr="000A11BF">
        <w:rPr>
          <w:rStyle w:val="FootnoteReference"/>
        </w:rPr>
        <w:footnoteReference w:id="55"/>
      </w:r>
      <w:r w:rsidRPr="000A11BF">
        <w:t xml:space="preserve"> This includes taking a “human-centred” approach to developing an understanding of how the service system and policies can be improved</w:t>
      </w:r>
      <w:r w:rsidR="00B24D83">
        <w:t xml:space="preserve">.  This would ensure </w:t>
      </w:r>
      <w:r w:rsidRPr="000A11BF">
        <w:t>they are supporting the child or young person in the context of their whole family and community and developing their strengths and protective factors.</w:t>
      </w:r>
      <w:r>
        <w:t xml:space="preserve"> </w:t>
      </w:r>
    </w:p>
    <w:p w14:paraId="35EBBA6D" w14:textId="05FAFB96" w:rsidR="007E2A6D" w:rsidRPr="008552A8" w:rsidRDefault="000F4E57" w:rsidP="0013767E">
      <w:pPr>
        <w:pStyle w:val="PwCNormal"/>
        <w:numPr>
          <w:ilvl w:val="0"/>
          <w:numId w:val="0"/>
        </w:numPr>
        <w:rPr>
          <w:b/>
          <w:bCs/>
        </w:rPr>
      </w:pPr>
      <w:r>
        <w:rPr>
          <w:b/>
          <w:bCs/>
        </w:rPr>
        <w:t>Evaluation s</w:t>
      </w:r>
      <w:r w:rsidR="007E2A6D" w:rsidRPr="008552A8">
        <w:rPr>
          <w:b/>
          <w:bCs/>
        </w:rPr>
        <w:t>ub-question findings</w:t>
      </w:r>
    </w:p>
    <w:p w14:paraId="2F5BBC58" w14:textId="7B654BF6" w:rsidR="007E2A6D" w:rsidRPr="00DD1B42" w:rsidRDefault="007E2A6D" w:rsidP="007E2A6D">
      <w:pPr>
        <w:pStyle w:val="PwCNormal"/>
      </w:pPr>
      <w:r w:rsidRPr="00DD1B42">
        <w:t xml:space="preserve">Sub-question findings </w:t>
      </w:r>
      <w:r>
        <w:t xml:space="preserve">are detailed throughout the body of the report and </w:t>
      </w:r>
      <w:r w:rsidRPr="00DD1B42">
        <w:t>have informed the development of the key evaluation findings outlined above</w:t>
      </w:r>
      <w:r>
        <w:t xml:space="preserve">. </w:t>
      </w:r>
      <w:r>
        <w:fldChar w:fldCharType="begin"/>
      </w:r>
      <w:r>
        <w:instrText xml:space="preserve"> REF _Ref36552729 \h </w:instrText>
      </w:r>
      <w:r>
        <w:fldChar w:fldCharType="separate"/>
      </w:r>
      <w:r w:rsidR="00D75351">
        <w:t xml:space="preserve">Table </w:t>
      </w:r>
      <w:r w:rsidR="00D75351">
        <w:rPr>
          <w:noProof/>
        </w:rPr>
        <w:t>13</w:t>
      </w:r>
      <w:r>
        <w:fldChar w:fldCharType="end"/>
      </w:r>
      <w:r>
        <w:t xml:space="preserve"> provides a summary of the findings to each evaluation sub-question.</w:t>
      </w:r>
      <w:r>
        <w:rPr>
          <w:rStyle w:val="FootnoteReference"/>
        </w:rPr>
        <w:footnoteReference w:id="56"/>
      </w:r>
      <w:r>
        <w:t xml:space="preserve"> </w:t>
      </w:r>
    </w:p>
    <w:p w14:paraId="6D554027" w14:textId="77777777" w:rsidR="007E2A6D" w:rsidRDefault="007E2A6D" w:rsidP="007E2A6D">
      <w:pPr>
        <w:pStyle w:val="PwCNormal"/>
      </w:pPr>
    </w:p>
    <w:p w14:paraId="7A8AFD3E" w14:textId="77777777" w:rsidR="007E2A6D" w:rsidRDefault="007E2A6D" w:rsidP="007E2A6D">
      <w:pPr>
        <w:pStyle w:val="PwCNormal"/>
        <w:numPr>
          <w:ilvl w:val="0"/>
          <w:numId w:val="0"/>
        </w:numPr>
        <w:sectPr w:rsidR="007E2A6D" w:rsidSect="00CF132C">
          <w:headerReference w:type="even" r:id="rId62"/>
          <w:headerReference w:type="default" r:id="rId63"/>
          <w:footerReference w:type="even" r:id="rId64"/>
          <w:footerReference w:type="default" r:id="rId65"/>
          <w:headerReference w:type="first" r:id="rId66"/>
          <w:footerReference w:type="first" r:id="rId67"/>
          <w:pgSz w:w="11907" w:h="16840" w:code="9"/>
          <w:pgMar w:top="1588" w:right="1021" w:bottom="1418" w:left="1021" w:header="567" w:footer="567" w:gutter="0"/>
          <w:cols w:space="227"/>
          <w:titlePg/>
          <w:docGrid w:linePitch="360"/>
        </w:sectPr>
      </w:pPr>
    </w:p>
    <w:p w14:paraId="41223513" w14:textId="1BFB8AD1" w:rsidR="007E2A6D" w:rsidRDefault="007E2A6D" w:rsidP="007E2A6D">
      <w:pPr>
        <w:pStyle w:val="Caption"/>
      </w:pPr>
      <w:bookmarkStart w:id="212" w:name="_Ref36552729"/>
      <w:r>
        <w:lastRenderedPageBreak/>
        <w:t xml:space="preserve">Table </w:t>
      </w:r>
      <w:fldSimple w:instr=" SEQ Table \* ARABIC ">
        <w:r w:rsidR="00D75351">
          <w:rPr>
            <w:noProof/>
          </w:rPr>
          <w:t>13</w:t>
        </w:r>
      </w:fldSimple>
      <w:bookmarkEnd w:id="212"/>
      <w:r>
        <w:t xml:space="preserve">: Evaluation sub-question findings </w:t>
      </w:r>
    </w:p>
    <w:tbl>
      <w:tblPr>
        <w:tblStyle w:val="PwCColour"/>
        <w:tblW w:w="5000" w:type="pct"/>
        <w:tblLook w:val="04A0" w:firstRow="1" w:lastRow="0" w:firstColumn="1" w:lastColumn="0" w:noHBand="0" w:noVBand="1"/>
        <w:tblCaption w:val="Table 13 provides a summary of the findings to each evaluation sub-question"/>
        <w:tblDescription w:val="Key Evaluation question for Outcomes: achievement of intended outcomes (barriers and enablers) is 1. To what extent did the National Framework achieve its intended outcomes and what factors supported or inhibited outcomes? Sub questions are a. What were the major achievements of the National Framework?&#10;b. What supported and/or inhibited the implementation of the actions listed in the National Framework and Action Plans? What could be improved?&#10;c. What were the strengths and weaknesses of the National Framework, including the effectiveness of its governance structure?&#10;d. What supported and/or inhibited achievement of outcomes listed in the National Framework and Action Plans?&#10;e. How well did the National Framework and the Action Plans work together to achieve outcomes?&#10;f. How effective was the National Framework in informing the agenda for Indigenous priorities, actions and cultural appropriateness? Additional sub-question:&#10;g. How effective were the National Framework and Action Plans in achieving broader outcomes particularly coordinating effort across governments and the non-government sector and reducing the prevalence of child abuse and neglect?&#10;&#10;The following finding is for key question one sub question A, What were the major achievements of the National Framework?&#10;Organisations reported that a major achievement of the Framework has been keeping the welfare of children on the national ‘agenda.’ The implementation of a number of key initiatives, including the National Children’s Commissioner and National Standards for Out-of-Home Care, are major achievements of the Framework.  Although the Framework implemented a number of key initiatives, it appears that the Framework did not achieve the high-level goal of a substantial and sustained reduction in child abuse and neglect.&#10;&#10;The following finding is for key question one sub questions B. What supported and/or inhibited the implementation of the actions listed in the National Framework and Action Plans? What could be improved? c. What were the strengths and weaknesses of the National Framework, including the effectiveness of its governance structure? d. What supported and/or inhibited achievement of outcomes listed in the National Framework and Action Plans? e. How well did the National Framework and the Action Plans work together to achieve outcomes? &#10;A number of key factors were identified as critical to the achievement of outcomes including; &#10;• the Third Action Plan was seen as the most effective through implementation, largely driven by its rationalisation of actions and focus on the child protection system where National Forum members had greater leverage to influence activity.&#10;• the Framework and its governance mechanisms were unable to influence the broad strategic direction of governments and service sectors outside of child protection. This inability was influenced by successive changes to the governance structure which removed it from COAG oversight and the narrow membership of the National Forum which resulted in the Forum having limited networks and influence in broader service sectors.&#10;• the governance structure did not drive consensus in decision-making within the National Forum and was ineffective in holding members accountable for outcomes of the Framework.&#10;• available investment for the Framework limited the scale of initiatives pursued and in turn limited the achievement of outcomes. Joint funding opportunities were not sufficiently explored or implemented. the Framework contributed to the evidence base through funding research activities, but decision-making processes were not sufficiently robust to ensure that evidence was embedded which occasionally resulted in key initiatives and trials that were not evidence-based.&#10;• data indicators were focussed on child protection and as the primary mechanism for reporting on outcomes, many do not have sufficient data. The indicators contributed to a focus on the child protection system which failed to engage broader sectors and portfolios and failed to result in accountability for the outcomes being achieved&#10;• while the intent to bridge cross-portfolio issues that underpin child abuse and neglect was evident in discussions throughout the development of the National Framework and the Action Plans, the challenges of doing so were not overcome.  Broad system and cross-jurisdictional changes were not achieved to address the underlying causes of child abuse and neglect.&#10;&#10;&#10;The following finding is for key question one sub question f. How effective was the National Framework in informing the agenda for Indigenous priorities, actions and cultural appropriateness? &#10;The over-representation of Indigenous children in child protection has deteriorated over the life of the Framework. Organisations identified that positive work had commenced to embed the ATSICPP but cautioned that full implementation (not just as a placement hierarchy) is required to fully pursue Indigenous children’s rights. Indigenous stakeholders identified an opportunity for the Framework to ensure that Indigenous communities are adequately consulted in all stages of development and implementation. Focus would also be better supported if prevalence data enabled the National Framework to monitor its progress.&#10;&#10;The following finding is for key question 1, additional sub-question. G, How effective were the National Framework and Action Plans in achieving broader outcomes particularly coordinating effort across governments and the non-government sector and reducing the prevalence of child abuse and neglect?&#10;The National Framework has not resulted in comprehensive reporting against an outcomes framework or the development of a prevalence study of child abuse and neglect. In the absence of these measures, it is impossible to assess the effectiveness of the National Framework in achieving its broad outcomes. Available data suggests that a substantial and sustained reduction in abuse and neglect has not been achieved. &#10;&#10;The second Key Evaluation question for Effectiveness: supporting the policy agenda for children and young people is 2. How well did the National Framework support the policy agenda for children and young people? Sub questions are A, How well does the National Framework connect other elements of the broader policy agenda for children and young people at both a Commonwealth and state and territory level?  B, Were there any gaps or was there areas of duplication with other key policy areas, including but not limited to: family and domestic violence, education, housing, justice, health, disability, culturally and linguistically diverse families and/or Closing the Gap.&#10;&#10;The following finding is for key question 2 two sub question a, How well does the National Framework connect other elements of the broader policy agenda for children and young people at both a Commonwealth and state and territory level?&#10;There is evidence of a significant amount of government investment and reform among policy domains that are connected to the National Framework that have delivered against various priorities of government (for example, in child sexual abuse and universal service design and provision). While aligned, these activities are difficult to directly attribute to the National Framework. &#10;&#10;The following finding is for key question 2 sub question B, Were there any gaps or was there areas of duplication with other key policy areas, including but not limited to: family and domestic violence, education, housing, justice, health, disability, culturally and linguistically diverse families and/or Closing the Gap?&#10;Over the past five years, governments have implemented a wide array of reforms across connected policy domains. Many of these reforms have been led by inquiries and Royal Commissions which have focused government action. Intersecting activity in jurisdictions appears to be driven mostly by reforms in the areas of family violence, education, child protection and youth justice policy domains. Relatively less effort appears to have been directed through the National Framework to disability and CALD policy priorities.&#10;&#10;The third Key Evaluation question for Effectiveness and appropriateness: development processes is 3. How effective was the development of the National Framework and Action Plan? Sub questions are A. How effective and appropriate were the consultations leading up to, and the resulting priorities and actions in the Third and Fourth Action Plans? A1, Did the development of the priorities and actions in the Third and Fourth Action Plans incorporate lessons learnt from previous action plans? A2, Did the priorities and actions in the Third and Fourth Action Plans clearly align with the high-level outcomes of the National Framework? B, To what extent were the duration and structure of the National Framework and its Action Plans appropriate? C, How well did the National Framework respond to the Convention on the Rights of the Child? D, To what extent did the National Framework engage with the public health model and primary prevention activities?&#10;&#10;The following finding is for key question 3 sub question A  How effective and appropriate were the consultations leading up to, and the resulting priorities and actions in the Third and Fourth Action Plans?. &#10;There were clear consultation processes that supported the development of the Third and Fourth Action Plans, but there were some challenges engaging with portfolios outside of child protection. As a result, the priorities and actions included in the Third and Fourth Action Plan were narrowly focussed on child protection. In addition, some key groups were not adequately consulted with including children and young people, Indigenous and CALD stakeholders.&#10;&#10;The following finding is for key question 3 sub question A1, Did the development of the priorities and actions in the Third and Fourth Action Plans incorporate lessons learnt from previous action plans?&#10;There is evidence that the action plans incorporated some lessons learned, including to contain fewer priorities and actions, and to give greater focus to Aboriginal and Torres Strait Islander children actions. A formal process for monitoring progress on achieving outcomes through the action plans may have resulted in earlier or more comprehensive identification of lessons learned and more opportunity to embed these in future action plans.&#10;&#10;The following finding is for key question 3 sub question A2, Did the priorities and actions in the Third and Fourth Action Plans clearly align with the high-level outcomes of the National Framework?&#10;The Framework’s high-level outcomes are sufficiently broad to enable alignment of all actions and priorities under the Third and Fourth Action Plans. However, a lack of a defined program logic which links actions, outputs and outcomes meant it was difficult to establish how sufficient actions and priorities were to achieve the intended outcomes. Organisations generally agreed that the actions and priorities, while aligned with the intent of outcomes, were not aligned with the ambition of a substantial and sustained reduction in child abuse and neglect.&#10;&#10;The following finding is for key question 3 sub question b. To what extent were the duration and structure of the National Framework and its Action Plans appropriate? The 12-year duration of the Framework was considered appropriate and an achievement of the Framework in that it facilitated and enabled a national conversation which elevated the priority of children’s safety and wellbeing in Australia. &#10;The rolling structure of three-year action plans was seen as appropriate as it allowed flexibility for the Framework to respond to changing policies and the political landscape. However, the requirement to renegotiate, develop and agree each new action plan resulted in significant loss of time for the implementation of the plans.&#10;&#10;The following finding is for key question 3 sub question c, How well did the National Framework respond to the Convention on the Rights of the Child?&#10;Responsibility for delivering on the UNCRC does not rest wholly with the Framework. In the absence of an evaluation framework that defines the commitment of the Framework to delivering on the UNCRC, it is impossible to assess the degree to which the Framework has responded to, or is expected to respond, to the UNCRC. There is evidence that the Framework was guided by the principles of the UNCRC at its inception and in the activities that have been delivered (for example, the establishment of the National Children’s Commissioner). However, delivery of the UNCRC principles in full would require governments to consider how all activities, including the Framework, respond to the UNCRC so that Australia’s commitments can be identified and measured.&#10;&#10;The following finding is for key question 3 sub question d, To what extent did the National Framework engage with the public health model and primary prevention activities?&#10;The extent to which the National Framework has engaged with the public health model appears limited. Challenges in generating cross-portfolio coordination and in continuing to respond to rising numbers of children in the child protection system has driven a focus on child protection. Both the Third and Fourth Action Plans were primarily focused on targeted and statutory inventions.&#10;"/>
      </w:tblPr>
      <w:tblGrid>
        <w:gridCol w:w="2328"/>
        <w:gridCol w:w="3260"/>
        <w:gridCol w:w="9202"/>
      </w:tblGrid>
      <w:tr w:rsidR="000F4E57" w14:paraId="483FFBE2" w14:textId="77777777" w:rsidTr="008552A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87" w:type="pct"/>
            <w:vAlign w:val="center"/>
          </w:tcPr>
          <w:p w14:paraId="585AF5FD" w14:textId="77777777" w:rsidR="000F4E57" w:rsidRDefault="000F4E57" w:rsidP="00C65184">
            <w:pPr>
              <w:pStyle w:val="PwCNormal"/>
            </w:pPr>
            <w:r>
              <w:rPr>
                <w:b/>
              </w:rPr>
              <w:t>Key Evaluation Question</w:t>
            </w:r>
          </w:p>
        </w:tc>
        <w:tc>
          <w:tcPr>
            <w:tcW w:w="1102" w:type="pct"/>
            <w:vAlign w:val="center"/>
          </w:tcPr>
          <w:p w14:paraId="349BCDD1" w14:textId="77777777" w:rsidR="000F4E57" w:rsidRDefault="000F4E57" w:rsidP="00C65184">
            <w:pPr>
              <w:pStyle w:val="PwCNormal"/>
              <w:cnfStyle w:val="100000000000" w:firstRow="1" w:lastRow="0" w:firstColumn="0" w:lastColumn="0" w:oddVBand="0" w:evenVBand="0" w:oddHBand="0" w:evenHBand="0" w:firstRowFirstColumn="0" w:firstRowLastColumn="0" w:lastRowFirstColumn="0" w:lastRowLastColumn="0"/>
            </w:pPr>
            <w:r w:rsidRPr="00D219F5">
              <w:rPr>
                <w:b/>
              </w:rPr>
              <w:t>Sub-questions</w:t>
            </w:r>
          </w:p>
        </w:tc>
        <w:tc>
          <w:tcPr>
            <w:tcW w:w="3111" w:type="pct"/>
            <w:vAlign w:val="center"/>
          </w:tcPr>
          <w:p w14:paraId="58339BC6" w14:textId="77777777" w:rsidR="000F4E57" w:rsidRDefault="000F4E57" w:rsidP="00C65184">
            <w:pPr>
              <w:pStyle w:val="PwCNormal"/>
              <w:cnfStyle w:val="100000000000" w:firstRow="1" w:lastRow="0" w:firstColumn="0" w:lastColumn="0" w:oddVBand="0" w:evenVBand="0" w:oddHBand="0" w:evenHBand="0" w:firstRowFirstColumn="0" w:firstRowLastColumn="0" w:lastRowFirstColumn="0" w:lastRowLastColumn="0"/>
            </w:pPr>
            <w:r>
              <w:rPr>
                <w:b/>
              </w:rPr>
              <w:t>Finding</w:t>
            </w:r>
          </w:p>
        </w:tc>
      </w:tr>
      <w:tr w:rsidR="000F4E57" w:rsidRPr="00FB0F26" w14:paraId="1F86327E" w14:textId="77777777" w:rsidTr="008552A8">
        <w:tc>
          <w:tcPr>
            <w:tcW w:w="787" w:type="pct"/>
            <w:vMerge w:val="restart"/>
          </w:tcPr>
          <w:p w14:paraId="59AEFB18" w14:textId="77777777" w:rsidR="000F4E57" w:rsidRPr="00575351" w:rsidRDefault="000F4E57" w:rsidP="00C65184">
            <w:pPr>
              <w:pStyle w:val="PwCNormal"/>
              <w:spacing w:after="0" w:line="240" w:lineRule="auto"/>
              <w:jc w:val="center"/>
            </w:pPr>
            <w:r>
              <w:rPr>
                <w:noProof/>
                <w:sz w:val="16"/>
                <w:szCs w:val="16"/>
                <w:lang w:eastAsia="en-AU"/>
              </w:rPr>
              <w:drawing>
                <wp:inline distT="0" distB="0" distL="0" distR="0" wp14:anchorId="53DDF69E" wp14:editId="16535226">
                  <wp:extent cx="433070" cy="433070"/>
                  <wp:effectExtent l="0" t="0" r="5080" b="5080"/>
                  <wp:docPr id="11" name="Picture 11" descr="Small bullseye target icon for Outcomes: achievement of intended outcomes (barriers and enablers)." title="Description of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3070" cy="433070"/>
                          </a:xfrm>
                          <a:prstGeom prst="rect">
                            <a:avLst/>
                          </a:prstGeom>
                          <a:noFill/>
                        </pic:spPr>
                      </pic:pic>
                    </a:graphicData>
                  </a:graphic>
                </wp:inline>
              </w:drawing>
            </w:r>
          </w:p>
          <w:p w14:paraId="28E3BA70" w14:textId="77777777" w:rsidR="000F4E57" w:rsidRPr="00280E76" w:rsidRDefault="000F4E57" w:rsidP="00C65184">
            <w:pPr>
              <w:pStyle w:val="PwCNormal"/>
              <w:jc w:val="center"/>
            </w:pPr>
            <w:r w:rsidRPr="008B287D">
              <w:rPr>
                <w:b/>
              </w:rPr>
              <w:t>Outcomes:</w:t>
            </w:r>
            <w:r>
              <w:br/>
              <w:t>achievement of intended outcomes (barriers and enablers)</w:t>
            </w:r>
          </w:p>
          <w:p w14:paraId="437411AF" w14:textId="77777777" w:rsidR="000F4E57" w:rsidRDefault="000F4E57" w:rsidP="00C65184">
            <w:pPr>
              <w:pStyle w:val="PwCNormal"/>
              <w:jc w:val="center"/>
            </w:pPr>
            <w:r>
              <w:rPr>
                <w:b/>
              </w:rPr>
              <w:t>1</w:t>
            </w:r>
            <w:r w:rsidRPr="00D219F5">
              <w:rPr>
                <w:b/>
              </w:rPr>
              <w:t>. To what extent did the National Framework achieve its intended outcomes and what factors supported or inhibited outcomes?</w:t>
            </w:r>
          </w:p>
        </w:tc>
        <w:tc>
          <w:tcPr>
            <w:tcW w:w="1102" w:type="pct"/>
          </w:tcPr>
          <w:p w14:paraId="56D74CDA" w14:textId="77777777" w:rsidR="000F4E57" w:rsidRDefault="000F4E57" w:rsidP="00C65184">
            <w:pPr>
              <w:pStyle w:val="PwCNormal"/>
              <w:spacing w:before="60" w:after="60" w:line="240" w:lineRule="auto"/>
            </w:pPr>
            <w:r>
              <w:t>a. What were the major achievements of the National Framework?</w:t>
            </w:r>
          </w:p>
        </w:tc>
        <w:tc>
          <w:tcPr>
            <w:tcW w:w="3111" w:type="pct"/>
          </w:tcPr>
          <w:p w14:paraId="1CAC1EB7" w14:textId="4E5B627E" w:rsidR="000F4E57" w:rsidRPr="00270C51" w:rsidRDefault="000F4E57" w:rsidP="00934644">
            <w:pPr>
              <w:pStyle w:val="PwCNormal"/>
              <w:numPr>
                <w:ilvl w:val="0"/>
                <w:numId w:val="0"/>
              </w:numPr>
              <w:rPr>
                <w:highlight w:val="yellow"/>
              </w:rPr>
            </w:pPr>
            <w:r>
              <w:t>O</w:t>
            </w:r>
            <w:r w:rsidRPr="00E71593">
              <w:t>rganisations reported that a major achievement of the Framework has been keeping the welfare of children on the national ‘agenda</w:t>
            </w:r>
            <w:r>
              <w:t>.</w:t>
            </w:r>
            <w:r w:rsidRPr="00E71593">
              <w:t>’</w:t>
            </w:r>
            <w:r>
              <w:t xml:space="preserve"> T</w:t>
            </w:r>
            <w:r w:rsidRPr="00270C51">
              <w:t>he implementation of a number of key initiatives</w:t>
            </w:r>
            <w:r>
              <w:t>, including the National Children’s Commissioner and National Standards for Out-of-Home Care,</w:t>
            </w:r>
            <w:r w:rsidRPr="00270C51">
              <w:t xml:space="preserve"> </w:t>
            </w:r>
            <w:r>
              <w:t>are</w:t>
            </w:r>
            <w:r w:rsidRPr="00270C51">
              <w:t xml:space="preserve"> major achievements of the Framework</w:t>
            </w:r>
            <w:r>
              <w:t>.  Although the Framework implemented a number of key initiatives, it</w:t>
            </w:r>
            <w:r w:rsidRPr="00270C51">
              <w:t xml:space="preserve"> appears that the Framework did not achieve</w:t>
            </w:r>
            <w:r>
              <w:t xml:space="preserve"> the high-level goal of</w:t>
            </w:r>
            <w:r w:rsidRPr="00270C51">
              <w:t xml:space="preserve"> </w:t>
            </w:r>
            <w:r>
              <w:t>a substantial and sustained reduction in child abuse and neglect,</w:t>
            </w:r>
          </w:p>
        </w:tc>
      </w:tr>
      <w:tr w:rsidR="000F4E57" w14:paraId="0D5ECBCF" w14:textId="77777777" w:rsidTr="008552A8">
        <w:tc>
          <w:tcPr>
            <w:tcW w:w="787" w:type="pct"/>
            <w:vMerge/>
          </w:tcPr>
          <w:p w14:paraId="7A4BD19A" w14:textId="77777777" w:rsidR="000F4E57" w:rsidRDefault="000F4E57" w:rsidP="00C65184">
            <w:pPr>
              <w:pStyle w:val="PwCNormal"/>
            </w:pPr>
          </w:p>
        </w:tc>
        <w:tc>
          <w:tcPr>
            <w:tcW w:w="1102" w:type="pct"/>
          </w:tcPr>
          <w:p w14:paraId="49B50C3D" w14:textId="77777777" w:rsidR="000F4E57" w:rsidRDefault="000F4E57" w:rsidP="00C65184">
            <w:pPr>
              <w:pStyle w:val="PwCNormal"/>
              <w:spacing w:before="60" w:after="60" w:line="240" w:lineRule="auto"/>
            </w:pPr>
            <w:r>
              <w:t>b. What supported and/or inhibited the implementation of the actions listed in the National Framework and Action Plans? What could be improved?</w:t>
            </w:r>
          </w:p>
        </w:tc>
        <w:tc>
          <w:tcPr>
            <w:tcW w:w="3111" w:type="pct"/>
            <w:vMerge w:val="restart"/>
          </w:tcPr>
          <w:p w14:paraId="41A34D69" w14:textId="7D261BBC" w:rsidR="000F4E57" w:rsidRPr="00270C51" w:rsidRDefault="000F4E57" w:rsidP="000B58C9">
            <w:pPr>
              <w:pStyle w:val="ListBullet"/>
              <w:numPr>
                <w:ilvl w:val="0"/>
                <w:numId w:val="0"/>
              </w:numPr>
              <w:ind w:left="284" w:hanging="284"/>
            </w:pPr>
            <w:r w:rsidRPr="00270C51">
              <w:t>A number of key factors</w:t>
            </w:r>
            <w:r>
              <w:t xml:space="preserve"> were identified </w:t>
            </w:r>
            <w:r w:rsidRPr="00270C51">
              <w:t xml:space="preserve">as critical to the achievement of outcomes including; </w:t>
            </w:r>
          </w:p>
          <w:p w14:paraId="4308BEC9" w14:textId="761E92A3" w:rsidR="000F4E57" w:rsidRPr="003A1173" w:rsidRDefault="000B58C9" w:rsidP="000B58C9">
            <w:pPr>
              <w:pStyle w:val="ListBullet"/>
            </w:pPr>
            <w:r>
              <w:t>t</w:t>
            </w:r>
            <w:r w:rsidR="000F4E57" w:rsidRPr="003A1173">
              <w:t>he Third Action Plan was seen as the most effective through implementation, largely driven by its rationalisation of actions and focus on the child protection system where National Forum members had greater leverage to influence activity.</w:t>
            </w:r>
          </w:p>
          <w:p w14:paraId="418BEB14" w14:textId="1A7B2292" w:rsidR="000F4E57" w:rsidRPr="003A1173" w:rsidRDefault="000B58C9" w:rsidP="000B58C9">
            <w:pPr>
              <w:pStyle w:val="ListBullet"/>
            </w:pPr>
            <w:r>
              <w:t>t</w:t>
            </w:r>
            <w:r w:rsidR="000F4E57" w:rsidRPr="003A1173">
              <w:t>he Framework and its governance mechanisms were unable to influence the broad strategic direction of governments and service sectors outside of child protection. This inability was influenced by successive changes to the governance structure which removed it from COAG oversight and the narrow membership of the National Forum which resulted in the Forum having limited networks and influence in broader service sectors.</w:t>
            </w:r>
          </w:p>
          <w:p w14:paraId="6916FCF9" w14:textId="54CD9684" w:rsidR="000F4E57" w:rsidRDefault="000B58C9" w:rsidP="000B58C9">
            <w:pPr>
              <w:pStyle w:val="ListBullet"/>
            </w:pPr>
            <w:r>
              <w:t>t</w:t>
            </w:r>
            <w:r w:rsidR="000F4E57" w:rsidRPr="003A1173">
              <w:t>he governance structure did not drive consensus in decision-making within the National Forum and was ineffective in holding members accountable for outcomes of the Framework.</w:t>
            </w:r>
          </w:p>
          <w:p w14:paraId="04F9E3D7" w14:textId="7D45F65A" w:rsidR="000F4E57" w:rsidRPr="004C5D6B" w:rsidRDefault="000F4E57" w:rsidP="000B58C9">
            <w:pPr>
              <w:pStyle w:val="ListBullet"/>
            </w:pPr>
            <w:r w:rsidRPr="009C1206">
              <w:t xml:space="preserve">available investment for the Framework limited the scale of initiatives pursued </w:t>
            </w:r>
            <w:r w:rsidRPr="00270C51">
              <w:t>and in turn limited the achievement of o</w:t>
            </w:r>
            <w:r w:rsidRPr="009C1206">
              <w:t xml:space="preserve">utcomes. </w:t>
            </w:r>
            <w:r w:rsidRPr="00270C51">
              <w:t>J</w:t>
            </w:r>
            <w:r w:rsidRPr="009C1206">
              <w:t xml:space="preserve">oint funding opportunities </w:t>
            </w:r>
            <w:r w:rsidRPr="00270C51">
              <w:t xml:space="preserve">were </w:t>
            </w:r>
            <w:r w:rsidRPr="009C1206">
              <w:t xml:space="preserve">not </w:t>
            </w:r>
            <w:r w:rsidRPr="00270C51">
              <w:t xml:space="preserve">sufficiently </w:t>
            </w:r>
            <w:r w:rsidRPr="009C1206">
              <w:t xml:space="preserve">explored or implemented. </w:t>
            </w:r>
            <w:r>
              <w:t>t</w:t>
            </w:r>
            <w:r w:rsidRPr="004C5D6B">
              <w:t xml:space="preserve">he Framework contributed to the evidence base through funding research activities, but </w:t>
            </w:r>
            <w:r w:rsidRPr="005A670C">
              <w:t>decision-making processes were not sufficiently robust</w:t>
            </w:r>
            <w:r w:rsidRPr="004C5D6B">
              <w:t xml:space="preserve"> to ensure that evidence was embedded which </w:t>
            </w:r>
            <w:r w:rsidRPr="005A670C">
              <w:t xml:space="preserve">occasionally resulted in key initiatives and trials </w:t>
            </w:r>
            <w:r w:rsidRPr="004C5D6B">
              <w:t>that were not evidence-based.</w:t>
            </w:r>
          </w:p>
          <w:p w14:paraId="1D88D54E" w14:textId="47C7D3C3" w:rsidR="000F4E57" w:rsidRDefault="000F4E57" w:rsidP="000B58C9">
            <w:pPr>
              <w:pStyle w:val="ListBullet"/>
            </w:pPr>
            <w:r>
              <w:t>d</w:t>
            </w:r>
            <w:r w:rsidRPr="004C5D6B">
              <w:t xml:space="preserve">ata indicators were focussed on child protection and as the primary mechanism for reporting on outcomes, many do not have sufficient data. The indicators contributed to </w:t>
            </w:r>
            <w:r w:rsidRPr="005A670C">
              <w:t>a focus on the child protection system which failed to engage broader sectors and portfolios and failed to result in accountability for the outcomes</w:t>
            </w:r>
            <w:r w:rsidRPr="004C5D6B">
              <w:t xml:space="preserve"> being achieved</w:t>
            </w:r>
          </w:p>
          <w:p w14:paraId="62D31453" w14:textId="641D780E" w:rsidR="000F4E57" w:rsidRPr="00270C51" w:rsidRDefault="000F4E57" w:rsidP="000B58C9">
            <w:pPr>
              <w:pStyle w:val="ListBullet"/>
            </w:pPr>
            <w:r>
              <w:lastRenderedPageBreak/>
              <w:t>w</w:t>
            </w:r>
            <w:r w:rsidRPr="00235FA1">
              <w:t xml:space="preserve">hile the intent to bridge cross-portfolio issues that underpin child abuse and neglect was evident in discussions </w:t>
            </w:r>
            <w:r>
              <w:t xml:space="preserve">throughout the development </w:t>
            </w:r>
            <w:r w:rsidRPr="00235FA1">
              <w:t>of the National Framework</w:t>
            </w:r>
            <w:r>
              <w:t xml:space="preserve"> and the Action Plans</w:t>
            </w:r>
            <w:r w:rsidRPr="00235FA1">
              <w:t xml:space="preserve">, the challenges of doing so were </w:t>
            </w:r>
            <w:r>
              <w:t xml:space="preserve">not overcome.  </w:t>
            </w:r>
            <w:r w:rsidRPr="005A670C">
              <w:t xml:space="preserve">Broad system and cross-jurisdictional changes were not </w:t>
            </w:r>
            <w:r>
              <w:t xml:space="preserve">achieved </w:t>
            </w:r>
            <w:r w:rsidRPr="005A670C">
              <w:t>to address the underlying causes of child ab</w:t>
            </w:r>
            <w:r w:rsidRPr="00235FA1">
              <w:t>use and neglect.</w:t>
            </w:r>
          </w:p>
        </w:tc>
      </w:tr>
      <w:tr w:rsidR="000F4E57" w14:paraId="236DD2C8" w14:textId="77777777" w:rsidTr="008552A8">
        <w:tc>
          <w:tcPr>
            <w:tcW w:w="787" w:type="pct"/>
            <w:vMerge/>
          </w:tcPr>
          <w:p w14:paraId="08BD780E" w14:textId="77777777" w:rsidR="000F4E57" w:rsidRDefault="000F4E57" w:rsidP="00C65184">
            <w:pPr>
              <w:pStyle w:val="PwCNormal"/>
            </w:pPr>
          </w:p>
        </w:tc>
        <w:tc>
          <w:tcPr>
            <w:tcW w:w="1102" w:type="pct"/>
          </w:tcPr>
          <w:p w14:paraId="67B358DF" w14:textId="18597FF4" w:rsidR="000F4E57" w:rsidRDefault="000F4E57" w:rsidP="000870A4">
            <w:pPr>
              <w:pStyle w:val="PwCNormal"/>
              <w:spacing w:before="60" w:after="60" w:line="240" w:lineRule="auto"/>
            </w:pPr>
            <w:r>
              <w:t>c. What were the strengths and weaknesses of the National Framework, including</w:t>
            </w:r>
            <w:r w:rsidRPr="00E71593">
              <w:t xml:space="preserve"> </w:t>
            </w:r>
            <w:r>
              <w:t>the effectiveness of its governance structure?</w:t>
            </w:r>
          </w:p>
        </w:tc>
        <w:tc>
          <w:tcPr>
            <w:tcW w:w="3111" w:type="pct"/>
            <w:vMerge/>
          </w:tcPr>
          <w:p w14:paraId="66654E28" w14:textId="77777777" w:rsidR="000F4E57" w:rsidRPr="00270C51" w:rsidRDefault="000F4E57" w:rsidP="00C65184">
            <w:pPr>
              <w:pStyle w:val="PwCNormal"/>
              <w:rPr>
                <w:highlight w:val="yellow"/>
              </w:rPr>
            </w:pPr>
          </w:p>
        </w:tc>
      </w:tr>
      <w:tr w:rsidR="000F4E57" w14:paraId="102A7A87" w14:textId="77777777" w:rsidTr="008552A8">
        <w:tc>
          <w:tcPr>
            <w:tcW w:w="787" w:type="pct"/>
            <w:vMerge/>
          </w:tcPr>
          <w:p w14:paraId="473C1AB2" w14:textId="77777777" w:rsidR="000F4E57" w:rsidRDefault="000F4E57" w:rsidP="00C65184">
            <w:pPr>
              <w:pStyle w:val="PwCNormal"/>
            </w:pPr>
          </w:p>
        </w:tc>
        <w:tc>
          <w:tcPr>
            <w:tcW w:w="1102" w:type="pct"/>
          </w:tcPr>
          <w:p w14:paraId="67D908E9" w14:textId="77777777" w:rsidR="000F4E57" w:rsidRDefault="000F4E57" w:rsidP="00C65184">
            <w:pPr>
              <w:pStyle w:val="PwCNormal"/>
              <w:spacing w:before="60" w:after="60" w:line="240" w:lineRule="auto"/>
            </w:pPr>
            <w:r>
              <w:t>d. What supported and/or inhibited achievement of outcomes listed in the National Framework and Action Plans?</w:t>
            </w:r>
          </w:p>
        </w:tc>
        <w:tc>
          <w:tcPr>
            <w:tcW w:w="3111" w:type="pct"/>
            <w:vMerge/>
          </w:tcPr>
          <w:p w14:paraId="0C37C237" w14:textId="77777777" w:rsidR="000F4E57" w:rsidRPr="00270C51" w:rsidRDefault="000F4E57" w:rsidP="00C65184">
            <w:pPr>
              <w:pStyle w:val="PwCNormal"/>
              <w:rPr>
                <w:highlight w:val="yellow"/>
              </w:rPr>
            </w:pPr>
          </w:p>
        </w:tc>
      </w:tr>
      <w:tr w:rsidR="000F4E57" w14:paraId="2A7D7B48" w14:textId="77777777" w:rsidTr="008552A8">
        <w:tc>
          <w:tcPr>
            <w:tcW w:w="787" w:type="pct"/>
            <w:vMerge/>
          </w:tcPr>
          <w:p w14:paraId="48AB54D3" w14:textId="77777777" w:rsidR="000F4E57" w:rsidRDefault="000F4E57" w:rsidP="00C65184">
            <w:pPr>
              <w:pStyle w:val="PwCNormal"/>
            </w:pPr>
          </w:p>
        </w:tc>
        <w:tc>
          <w:tcPr>
            <w:tcW w:w="1102" w:type="pct"/>
          </w:tcPr>
          <w:p w14:paraId="6FE1FCF0" w14:textId="77777777" w:rsidR="000F4E57" w:rsidRDefault="000F4E57" w:rsidP="00C65184">
            <w:pPr>
              <w:pStyle w:val="PwCNormal"/>
              <w:spacing w:before="60" w:after="60" w:line="240" w:lineRule="auto"/>
            </w:pPr>
            <w:r>
              <w:t>e. How well did the National Framework and the Action Plans work together to achieve outcomes?</w:t>
            </w:r>
          </w:p>
        </w:tc>
        <w:tc>
          <w:tcPr>
            <w:tcW w:w="3111" w:type="pct"/>
            <w:vMerge/>
          </w:tcPr>
          <w:p w14:paraId="4BB17EAB" w14:textId="77777777" w:rsidR="000F4E57" w:rsidRPr="00270C51" w:rsidRDefault="000F4E57" w:rsidP="00C65184">
            <w:pPr>
              <w:pStyle w:val="PwCNormal"/>
              <w:rPr>
                <w:highlight w:val="yellow"/>
              </w:rPr>
            </w:pPr>
          </w:p>
        </w:tc>
      </w:tr>
      <w:tr w:rsidR="000F4E57" w:rsidRPr="00FB0F26" w14:paraId="2171F132" w14:textId="77777777" w:rsidTr="008552A8">
        <w:tc>
          <w:tcPr>
            <w:tcW w:w="787" w:type="pct"/>
            <w:vMerge/>
          </w:tcPr>
          <w:p w14:paraId="2AEF2FEE" w14:textId="77777777" w:rsidR="000F4E57" w:rsidRDefault="000F4E57" w:rsidP="00C65184">
            <w:pPr>
              <w:pStyle w:val="PwCNormal"/>
            </w:pPr>
          </w:p>
        </w:tc>
        <w:tc>
          <w:tcPr>
            <w:tcW w:w="1102" w:type="pct"/>
          </w:tcPr>
          <w:p w14:paraId="350E8ED6" w14:textId="77777777" w:rsidR="000F4E57" w:rsidRPr="00613FDC" w:rsidRDefault="000F4E57" w:rsidP="00C65184">
            <w:pPr>
              <w:pStyle w:val="PwCNormal"/>
              <w:spacing w:before="60" w:after="60" w:line="240" w:lineRule="auto"/>
            </w:pPr>
            <w:r w:rsidRPr="00613FDC">
              <w:t>f. How effective was the National Framework in informing the agenda for Indigenous priorities, actions and cultural appropriateness?</w:t>
            </w:r>
          </w:p>
        </w:tc>
        <w:tc>
          <w:tcPr>
            <w:tcW w:w="3111" w:type="pct"/>
          </w:tcPr>
          <w:p w14:paraId="0A8A6543" w14:textId="45CAF919" w:rsidR="000F4E57" w:rsidRPr="00613FDC" w:rsidRDefault="000F4E57" w:rsidP="00C65184">
            <w:pPr>
              <w:pStyle w:val="PwCNormal"/>
            </w:pPr>
            <w:r w:rsidRPr="00235FA1">
              <w:t xml:space="preserve">The over-representation of Indigenous children in child protection has deteriorated over the life of the Framework. Organisations identified that </w:t>
            </w:r>
            <w:r w:rsidRPr="007434DF">
              <w:t>positive work had commenced to embed the ATSICPP</w:t>
            </w:r>
            <w:r w:rsidRPr="00235FA1">
              <w:t xml:space="preserve"> but cautioned that full implementation (not just as a placement hierarchy) is required to fully pursue Indigenous children’s rights. Indigenous stakeholders identified an opportunity for the Framework to </w:t>
            </w:r>
            <w:r w:rsidRPr="007434DF">
              <w:t>ensur</w:t>
            </w:r>
            <w:r>
              <w:t>e</w:t>
            </w:r>
            <w:r w:rsidRPr="007434DF">
              <w:t xml:space="preserve"> that Indigenous communities are adequately consulted </w:t>
            </w:r>
            <w:r>
              <w:t>in</w:t>
            </w:r>
            <w:r w:rsidRPr="007434DF">
              <w:t xml:space="preserve"> all stages of development and implementation</w:t>
            </w:r>
            <w:r w:rsidRPr="00235FA1">
              <w:t>. Focus would also be better supported if prevalence data enabled the National Framework to monitor its progress.</w:t>
            </w:r>
          </w:p>
        </w:tc>
      </w:tr>
      <w:tr w:rsidR="000F4E57" w:rsidRPr="00FB0F26" w14:paraId="075FE6E2" w14:textId="77777777" w:rsidTr="008552A8">
        <w:tc>
          <w:tcPr>
            <w:tcW w:w="787" w:type="pct"/>
            <w:vMerge/>
          </w:tcPr>
          <w:p w14:paraId="2B3EBEF1" w14:textId="77777777" w:rsidR="000F4E57" w:rsidRDefault="000F4E57" w:rsidP="00C65184">
            <w:pPr>
              <w:pStyle w:val="PwCNormal"/>
            </w:pPr>
          </w:p>
        </w:tc>
        <w:tc>
          <w:tcPr>
            <w:tcW w:w="1102" w:type="pct"/>
          </w:tcPr>
          <w:p w14:paraId="212FEABC" w14:textId="77777777" w:rsidR="000F4E57" w:rsidRPr="00F55488" w:rsidRDefault="000F4E57" w:rsidP="00C65184">
            <w:pPr>
              <w:pStyle w:val="PwCNormal"/>
              <w:spacing w:before="60" w:after="60" w:line="240" w:lineRule="auto"/>
              <w:rPr>
                <w:i/>
                <w:iCs/>
              </w:rPr>
            </w:pPr>
            <w:r w:rsidRPr="00F55488">
              <w:rPr>
                <w:i/>
                <w:iCs/>
              </w:rPr>
              <w:t>Additional sub-question:</w:t>
            </w:r>
          </w:p>
          <w:p w14:paraId="464CF734" w14:textId="77777777" w:rsidR="000F4E57" w:rsidRDefault="000F4E57" w:rsidP="00C65184">
            <w:pPr>
              <w:pStyle w:val="PwCNormal"/>
              <w:spacing w:before="60" w:after="60" w:line="240" w:lineRule="auto"/>
            </w:pPr>
            <w:r>
              <w:t>g. How effective were</w:t>
            </w:r>
            <w:r w:rsidRPr="00690AF4">
              <w:t xml:space="preserve"> the </w:t>
            </w:r>
            <w:r>
              <w:t xml:space="preserve">National </w:t>
            </w:r>
            <w:r w:rsidRPr="00690AF4">
              <w:t>Framework and Action Plans in achieving broader outcomes particularly coordinating effort across governments and the non-government sector and reducing the prevalence of child abuse and neglect</w:t>
            </w:r>
            <w:r>
              <w:t>?</w:t>
            </w:r>
          </w:p>
        </w:tc>
        <w:tc>
          <w:tcPr>
            <w:tcW w:w="3111" w:type="pct"/>
          </w:tcPr>
          <w:p w14:paraId="11B4559E" w14:textId="6BA1A10E" w:rsidR="000F4E57" w:rsidRPr="002D1A0C" w:rsidRDefault="000F4E57" w:rsidP="00E87C23">
            <w:pPr>
              <w:pStyle w:val="PwCNormal"/>
            </w:pPr>
            <w:r w:rsidRPr="00270C51">
              <w:t xml:space="preserve">The National Framework has not resulted in </w:t>
            </w:r>
            <w:r>
              <w:t xml:space="preserve">comprehensive reporting </w:t>
            </w:r>
            <w:r w:rsidRPr="00270C51">
              <w:t xml:space="preserve">against an outcomes </w:t>
            </w:r>
            <w:r>
              <w:t>f</w:t>
            </w:r>
            <w:r w:rsidRPr="00270C51">
              <w:t xml:space="preserve">ramework or the development of a prevalence study of child abuse and neglect. </w:t>
            </w:r>
            <w:r>
              <w:t xml:space="preserve">In the absence of these measures, it is impossible to assess the effectiveness of the National Framework in achieving its broad outcomes. Available data suggests that a substantial and sustained reduction in abuse and neglect has not been achieved. </w:t>
            </w:r>
          </w:p>
        </w:tc>
      </w:tr>
      <w:tr w:rsidR="000F4E57" w14:paraId="44DA388C" w14:textId="77777777" w:rsidTr="008552A8">
        <w:tc>
          <w:tcPr>
            <w:tcW w:w="787" w:type="pct"/>
            <w:vMerge w:val="restart"/>
          </w:tcPr>
          <w:p w14:paraId="0529208E" w14:textId="77777777" w:rsidR="000F4E57" w:rsidRPr="00280E76" w:rsidRDefault="000F4E57" w:rsidP="007E2A6D">
            <w:pPr>
              <w:pStyle w:val="PwCNormal"/>
              <w:jc w:val="center"/>
            </w:pPr>
            <w:r>
              <w:rPr>
                <w:noProof/>
                <w:sz w:val="16"/>
                <w:szCs w:val="16"/>
                <w:lang w:eastAsia="en-AU"/>
              </w:rPr>
              <w:drawing>
                <wp:inline distT="0" distB="0" distL="0" distR="0" wp14:anchorId="26575AAD" wp14:editId="75C4A04B">
                  <wp:extent cx="433070" cy="433070"/>
                  <wp:effectExtent l="0" t="0" r="5080" b="5080"/>
                  <wp:docPr id="12" name="Picture 12" descr="Small arrow icon for Effectiveness: supporting policy agenda for children and young people. " title="Icon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3070" cy="433070"/>
                          </a:xfrm>
                          <a:prstGeom prst="rect">
                            <a:avLst/>
                          </a:prstGeom>
                          <a:noFill/>
                        </pic:spPr>
                      </pic:pic>
                    </a:graphicData>
                  </a:graphic>
                </wp:inline>
              </w:drawing>
            </w:r>
          </w:p>
          <w:p w14:paraId="15D2A0C2" w14:textId="77777777" w:rsidR="000F4E57" w:rsidRPr="00280E76" w:rsidRDefault="000F4E57" w:rsidP="007E2A6D">
            <w:pPr>
              <w:pStyle w:val="PwCNormal"/>
              <w:jc w:val="center"/>
            </w:pPr>
            <w:r w:rsidRPr="008B287D">
              <w:rPr>
                <w:b/>
              </w:rPr>
              <w:t>Effectiveness</w:t>
            </w:r>
            <w:r>
              <w:t>:</w:t>
            </w:r>
            <w:r>
              <w:br/>
              <w:t xml:space="preserve"> supporting the policy agenda for children and young people</w:t>
            </w:r>
          </w:p>
          <w:p w14:paraId="4C6DFCA8" w14:textId="77777777" w:rsidR="000F4E57" w:rsidRDefault="000F4E57" w:rsidP="007E2A6D">
            <w:pPr>
              <w:pStyle w:val="PwCNormal"/>
              <w:jc w:val="center"/>
              <w:rPr>
                <w:noProof/>
                <w:sz w:val="16"/>
                <w:szCs w:val="16"/>
                <w:lang w:eastAsia="en-AU"/>
              </w:rPr>
            </w:pPr>
            <w:r w:rsidRPr="00D219F5">
              <w:rPr>
                <w:b/>
              </w:rPr>
              <w:t xml:space="preserve">2. How well did the National Framework </w:t>
            </w:r>
            <w:r w:rsidRPr="00D219F5">
              <w:rPr>
                <w:b/>
              </w:rPr>
              <w:lastRenderedPageBreak/>
              <w:t>support the policy agenda for children and young people?</w:t>
            </w:r>
          </w:p>
        </w:tc>
        <w:tc>
          <w:tcPr>
            <w:tcW w:w="1102" w:type="pct"/>
          </w:tcPr>
          <w:p w14:paraId="32828C21" w14:textId="77777777" w:rsidR="000F4E57" w:rsidRDefault="000F4E57" w:rsidP="007E2A6D">
            <w:pPr>
              <w:pStyle w:val="PwCNormal"/>
            </w:pPr>
            <w:r>
              <w:lastRenderedPageBreak/>
              <w:t>a. How well does the National Framework connect other elements of the broader policy agenda for children and young people at both a Commonwealth and state and territory level?</w:t>
            </w:r>
          </w:p>
        </w:tc>
        <w:tc>
          <w:tcPr>
            <w:tcW w:w="3111" w:type="pct"/>
          </w:tcPr>
          <w:p w14:paraId="55469252" w14:textId="75E22604" w:rsidR="000F4E57" w:rsidRDefault="000F4E57" w:rsidP="009953FD">
            <w:pPr>
              <w:pStyle w:val="PwCNormal"/>
            </w:pPr>
            <w:r>
              <w:t xml:space="preserve">There is evidence of a significant amount of government investment and reform among policy domains that are connected to the National Framework that have delivered against various priorities of government (for example, in child sexual abuse and universal service design and provision). While aligned, these activities are difficult to directly attribute to the National Framework. </w:t>
            </w:r>
          </w:p>
        </w:tc>
      </w:tr>
      <w:tr w:rsidR="000F4E57" w14:paraId="0AE6BA7A" w14:textId="77777777" w:rsidTr="008552A8">
        <w:tc>
          <w:tcPr>
            <w:tcW w:w="787" w:type="pct"/>
            <w:vMerge/>
          </w:tcPr>
          <w:p w14:paraId="02B82BE1" w14:textId="77777777" w:rsidR="000F4E57" w:rsidRDefault="000F4E57" w:rsidP="007E2A6D">
            <w:pPr>
              <w:pStyle w:val="PwCNormal"/>
              <w:jc w:val="center"/>
              <w:rPr>
                <w:noProof/>
                <w:sz w:val="16"/>
                <w:szCs w:val="16"/>
                <w:lang w:eastAsia="en-AU"/>
              </w:rPr>
            </w:pPr>
          </w:p>
        </w:tc>
        <w:tc>
          <w:tcPr>
            <w:tcW w:w="1102" w:type="pct"/>
          </w:tcPr>
          <w:p w14:paraId="6E78021F" w14:textId="77777777" w:rsidR="000F4E57" w:rsidRDefault="000F4E57" w:rsidP="007E2A6D">
            <w:pPr>
              <w:pStyle w:val="PwCNormal"/>
              <w:spacing w:before="60" w:after="60" w:line="240" w:lineRule="auto"/>
            </w:pPr>
            <w:r>
              <w:t>b. Were there any gaps or was there areas of duplication with other key policy areas, including but not limited to:</w:t>
            </w:r>
          </w:p>
          <w:p w14:paraId="0CF63FA0" w14:textId="77777777" w:rsidR="000F4E57" w:rsidRDefault="000F4E57" w:rsidP="00B95734">
            <w:pPr>
              <w:pStyle w:val="PwCNormal"/>
              <w:numPr>
                <w:ilvl w:val="0"/>
                <w:numId w:val="42"/>
              </w:numPr>
              <w:spacing w:before="60" w:after="60" w:line="240" w:lineRule="auto"/>
            </w:pPr>
            <w:r>
              <w:lastRenderedPageBreak/>
              <w:t>family and domestic violence</w:t>
            </w:r>
          </w:p>
          <w:p w14:paraId="5DF397F1" w14:textId="77777777" w:rsidR="000F4E57" w:rsidRDefault="000F4E57" w:rsidP="00B95734">
            <w:pPr>
              <w:pStyle w:val="PwCNormal"/>
              <w:numPr>
                <w:ilvl w:val="0"/>
                <w:numId w:val="42"/>
              </w:numPr>
              <w:spacing w:before="60" w:after="60" w:line="240" w:lineRule="auto"/>
            </w:pPr>
            <w:r>
              <w:t>education</w:t>
            </w:r>
          </w:p>
          <w:p w14:paraId="6518E8F1" w14:textId="77777777" w:rsidR="000F4E57" w:rsidRDefault="000F4E57" w:rsidP="00B95734">
            <w:pPr>
              <w:pStyle w:val="PwCNormal"/>
              <w:numPr>
                <w:ilvl w:val="0"/>
                <w:numId w:val="42"/>
              </w:numPr>
              <w:spacing w:before="60" w:after="60" w:line="240" w:lineRule="auto"/>
            </w:pPr>
            <w:r>
              <w:t>housing</w:t>
            </w:r>
          </w:p>
          <w:p w14:paraId="07AD5114" w14:textId="77777777" w:rsidR="000F4E57" w:rsidRDefault="000F4E57" w:rsidP="00B95734">
            <w:pPr>
              <w:pStyle w:val="PwCNormal"/>
              <w:numPr>
                <w:ilvl w:val="0"/>
                <w:numId w:val="42"/>
              </w:numPr>
              <w:spacing w:before="60" w:after="60" w:line="240" w:lineRule="auto"/>
            </w:pPr>
            <w:r>
              <w:t>justice</w:t>
            </w:r>
          </w:p>
          <w:p w14:paraId="1F0C127B" w14:textId="77777777" w:rsidR="000F4E57" w:rsidRDefault="000F4E57" w:rsidP="00B95734">
            <w:pPr>
              <w:pStyle w:val="PwCNormal"/>
              <w:numPr>
                <w:ilvl w:val="0"/>
                <w:numId w:val="42"/>
              </w:numPr>
              <w:spacing w:before="60" w:after="60" w:line="240" w:lineRule="auto"/>
            </w:pPr>
            <w:r>
              <w:t xml:space="preserve">health </w:t>
            </w:r>
          </w:p>
          <w:p w14:paraId="2D2DC496" w14:textId="77777777" w:rsidR="000F4E57" w:rsidRDefault="000F4E57" w:rsidP="00B95734">
            <w:pPr>
              <w:pStyle w:val="PwCNormal"/>
              <w:numPr>
                <w:ilvl w:val="0"/>
                <w:numId w:val="42"/>
              </w:numPr>
              <w:spacing w:before="60" w:after="60" w:line="240" w:lineRule="auto"/>
            </w:pPr>
            <w:r>
              <w:t>disability</w:t>
            </w:r>
          </w:p>
          <w:p w14:paraId="4FDB8868" w14:textId="77777777" w:rsidR="000F4E57" w:rsidRDefault="000F4E57" w:rsidP="00B95734">
            <w:pPr>
              <w:pStyle w:val="PwCNormal"/>
              <w:numPr>
                <w:ilvl w:val="0"/>
                <w:numId w:val="42"/>
              </w:numPr>
              <w:spacing w:before="60" w:after="60" w:line="240" w:lineRule="auto"/>
            </w:pPr>
            <w:r>
              <w:t>culturally and linguistically diverse families and/or</w:t>
            </w:r>
          </w:p>
          <w:p w14:paraId="340CD66C" w14:textId="77777777" w:rsidR="000F4E57" w:rsidRDefault="000F4E57" w:rsidP="00B95734">
            <w:pPr>
              <w:pStyle w:val="PwCNormal"/>
              <w:numPr>
                <w:ilvl w:val="0"/>
                <w:numId w:val="42"/>
              </w:numPr>
              <w:spacing w:before="60" w:after="60" w:line="240" w:lineRule="auto"/>
            </w:pPr>
            <w:r>
              <w:t>Closing the Gap</w:t>
            </w:r>
          </w:p>
        </w:tc>
        <w:tc>
          <w:tcPr>
            <w:tcW w:w="3111" w:type="pct"/>
          </w:tcPr>
          <w:p w14:paraId="6B8AC280" w14:textId="7D5DD0C0" w:rsidR="000F4E57" w:rsidRDefault="000F4E57" w:rsidP="007E2A6D">
            <w:pPr>
              <w:pStyle w:val="PwCNormal"/>
            </w:pPr>
            <w:r w:rsidRPr="009B2268">
              <w:lastRenderedPageBreak/>
              <w:t>Over the past five years, governments have implemented a wide array of reforms across connected policy domains</w:t>
            </w:r>
            <w:r>
              <w:t xml:space="preserve">. Many of these reforms have been </w:t>
            </w:r>
            <w:r w:rsidRPr="009B2268">
              <w:t xml:space="preserve">led by inquiries and Royal Commissions which have focused government action. </w:t>
            </w:r>
            <w:r>
              <w:t>Intersecting a</w:t>
            </w:r>
            <w:r w:rsidRPr="00143567">
              <w:t xml:space="preserve">ctivity in jurisdictions appears to be </w:t>
            </w:r>
            <w:r>
              <w:t>driven mostly by reforms in the areas of</w:t>
            </w:r>
            <w:r w:rsidRPr="009B2268">
              <w:t xml:space="preserve"> </w:t>
            </w:r>
            <w:r w:rsidRPr="009B2268">
              <w:lastRenderedPageBreak/>
              <w:t>family violence, education, child protection and youth justice policy domains. Relatively less effort appears to have been directed</w:t>
            </w:r>
            <w:r>
              <w:t xml:space="preserve"> through the National Framework</w:t>
            </w:r>
            <w:r w:rsidRPr="009B2268">
              <w:t xml:space="preserve"> to disability and CALD policy priorities</w:t>
            </w:r>
            <w:r>
              <w:t>.</w:t>
            </w:r>
          </w:p>
        </w:tc>
      </w:tr>
      <w:tr w:rsidR="000F4E57" w14:paraId="196B6843" w14:textId="77777777" w:rsidTr="008552A8">
        <w:tc>
          <w:tcPr>
            <w:tcW w:w="787" w:type="pct"/>
            <w:vMerge w:val="restart"/>
          </w:tcPr>
          <w:p w14:paraId="508C9297" w14:textId="77777777" w:rsidR="000F4E57" w:rsidRPr="00280E76" w:rsidRDefault="000F4E57" w:rsidP="007E2A6D">
            <w:pPr>
              <w:pStyle w:val="PwCNormal"/>
              <w:jc w:val="center"/>
            </w:pPr>
            <w:r>
              <w:rPr>
                <w:noProof/>
                <w:sz w:val="16"/>
                <w:szCs w:val="16"/>
                <w:lang w:eastAsia="en-AU"/>
              </w:rPr>
              <w:lastRenderedPageBreak/>
              <w:drawing>
                <wp:inline distT="0" distB="0" distL="0" distR="0" wp14:anchorId="7707D0D9" wp14:editId="7EAB23C3">
                  <wp:extent cx="433070" cy="433070"/>
                  <wp:effectExtent l="0" t="0" r="5080" b="5080"/>
                  <wp:docPr id="42" name="Picture 42" descr="Small circular icon for Effectiveness and appropriateness: development process." title="Icon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3070" cy="433070"/>
                          </a:xfrm>
                          <a:prstGeom prst="rect">
                            <a:avLst/>
                          </a:prstGeom>
                          <a:noFill/>
                        </pic:spPr>
                      </pic:pic>
                    </a:graphicData>
                  </a:graphic>
                </wp:inline>
              </w:drawing>
            </w:r>
          </w:p>
          <w:p w14:paraId="3BE09481" w14:textId="77777777" w:rsidR="000F4E57" w:rsidRPr="00280E76" w:rsidRDefault="000F4E57" w:rsidP="007E2A6D">
            <w:pPr>
              <w:pStyle w:val="PwCNormal"/>
              <w:jc w:val="center"/>
            </w:pPr>
            <w:r w:rsidRPr="008B287D">
              <w:rPr>
                <w:b/>
              </w:rPr>
              <w:t>Effectiveness and appropriateness</w:t>
            </w:r>
            <w:r>
              <w:t xml:space="preserve">: </w:t>
            </w:r>
            <w:r w:rsidRPr="00E009EC">
              <w:t>development processes</w:t>
            </w:r>
          </w:p>
          <w:p w14:paraId="31ADF70D" w14:textId="77777777" w:rsidR="000F4E57" w:rsidRDefault="000F4E57" w:rsidP="007E2A6D">
            <w:pPr>
              <w:pStyle w:val="PwCNormal"/>
              <w:jc w:val="center"/>
            </w:pPr>
            <w:r>
              <w:rPr>
                <w:b/>
              </w:rPr>
              <w:t>3</w:t>
            </w:r>
            <w:r w:rsidRPr="00D219F5">
              <w:rPr>
                <w:b/>
              </w:rPr>
              <w:t>. How effective was the development of the National Framework and Action Plan?</w:t>
            </w:r>
          </w:p>
        </w:tc>
        <w:tc>
          <w:tcPr>
            <w:tcW w:w="1102" w:type="pct"/>
          </w:tcPr>
          <w:p w14:paraId="79EB6D8F" w14:textId="77777777" w:rsidR="000F4E57" w:rsidRDefault="000F4E57" w:rsidP="007E2A6D">
            <w:pPr>
              <w:pStyle w:val="PwCNormal"/>
            </w:pPr>
            <w:r>
              <w:t>a. How effective and appropriate were the consultations leading up to, and the resulting priorities and actions in the Third and Fourth Action Plans?</w:t>
            </w:r>
          </w:p>
        </w:tc>
        <w:tc>
          <w:tcPr>
            <w:tcW w:w="3111" w:type="pct"/>
          </w:tcPr>
          <w:p w14:paraId="57D6FDDC" w14:textId="20E8B1D0" w:rsidR="000F4E57" w:rsidRDefault="000F4E57" w:rsidP="007E2A6D">
            <w:pPr>
              <w:pStyle w:val="PwCNormal"/>
            </w:pPr>
            <w:r w:rsidRPr="008730A8">
              <w:t>There were clear consultation processes that supported the development of the Third and Fourth Action Plans, but there were some challenges engaging with portfolios outside of child protection. As a result,</w:t>
            </w:r>
            <w:r w:rsidRPr="00CC3434">
              <w:t xml:space="preserve"> the priorities and actions included in the Third and Fourth Action Plan were narrowly focussed on child protection. In addition, some key grou</w:t>
            </w:r>
            <w:r w:rsidRPr="00495E6A">
              <w:t>ps were not adequately consulted with including children and young people, Indigenous and CALD stakeholders.</w:t>
            </w:r>
          </w:p>
        </w:tc>
      </w:tr>
      <w:tr w:rsidR="000F4E57" w14:paraId="5EBB0FD5" w14:textId="77777777" w:rsidTr="008552A8">
        <w:tc>
          <w:tcPr>
            <w:tcW w:w="787" w:type="pct"/>
            <w:vMerge/>
          </w:tcPr>
          <w:p w14:paraId="488B94BA" w14:textId="77777777" w:rsidR="000F4E57" w:rsidRPr="00D219F5" w:rsidRDefault="000F4E57" w:rsidP="007E2A6D">
            <w:pPr>
              <w:pStyle w:val="PwCNormal"/>
              <w:rPr>
                <w:b/>
              </w:rPr>
            </w:pPr>
          </w:p>
        </w:tc>
        <w:tc>
          <w:tcPr>
            <w:tcW w:w="1102" w:type="pct"/>
          </w:tcPr>
          <w:p w14:paraId="2DD57ADD" w14:textId="77777777" w:rsidR="000F4E57" w:rsidRDefault="000F4E57" w:rsidP="007E2A6D">
            <w:pPr>
              <w:pStyle w:val="PwCNormal"/>
            </w:pPr>
            <w:r>
              <w:t xml:space="preserve">a </w:t>
            </w:r>
            <w:r w:rsidRPr="004F200B">
              <w:t>i. Did the development of the priorities and actions in the Third and Fourth Action Plans incorporate lessons learnt from previous action plans?</w:t>
            </w:r>
          </w:p>
        </w:tc>
        <w:tc>
          <w:tcPr>
            <w:tcW w:w="3111" w:type="pct"/>
          </w:tcPr>
          <w:p w14:paraId="71D73B36" w14:textId="3C2DF4C2" w:rsidR="000F4E57" w:rsidRDefault="000F4E57" w:rsidP="007E2A6D">
            <w:pPr>
              <w:pStyle w:val="ListBullet"/>
              <w:numPr>
                <w:ilvl w:val="0"/>
                <w:numId w:val="0"/>
              </w:numPr>
            </w:pPr>
            <w:r w:rsidRPr="00495E6A">
              <w:t>There is evidence that the action plans incorporated some lessons learned, including to contain fewer priorities and actions, and to give greater focus to Aboriginal and Torres Strait Islander children actions. A formal process for monitoring progress on achieving outcomes through the action plans may have resulted in earlier or more comprehensive identification of lessons learned and more opportunity to embed these in future action plans.</w:t>
            </w:r>
          </w:p>
        </w:tc>
      </w:tr>
      <w:tr w:rsidR="000F4E57" w14:paraId="3FAFF93D" w14:textId="77777777" w:rsidTr="008552A8">
        <w:tc>
          <w:tcPr>
            <w:tcW w:w="787" w:type="pct"/>
            <w:vMerge/>
          </w:tcPr>
          <w:p w14:paraId="495B35BF" w14:textId="77777777" w:rsidR="000F4E57" w:rsidRPr="00D219F5" w:rsidRDefault="000F4E57" w:rsidP="007E2A6D">
            <w:pPr>
              <w:pStyle w:val="PwCNormal"/>
              <w:rPr>
                <w:b/>
              </w:rPr>
            </w:pPr>
          </w:p>
        </w:tc>
        <w:tc>
          <w:tcPr>
            <w:tcW w:w="1102" w:type="pct"/>
          </w:tcPr>
          <w:p w14:paraId="4B29B248" w14:textId="77777777" w:rsidR="000F4E57" w:rsidRDefault="000F4E57" w:rsidP="007E2A6D">
            <w:pPr>
              <w:pStyle w:val="PwCNormal"/>
            </w:pPr>
            <w:r>
              <w:t xml:space="preserve">a ii. </w:t>
            </w:r>
            <w:r w:rsidRPr="004F200B">
              <w:t xml:space="preserve">Did the priorities and actions in the Third and Fourth Action Plans clearly align with the high-level outcomes of the National Framework? </w:t>
            </w:r>
          </w:p>
        </w:tc>
        <w:tc>
          <w:tcPr>
            <w:tcW w:w="3111" w:type="pct"/>
          </w:tcPr>
          <w:p w14:paraId="19A96274" w14:textId="324AC694" w:rsidR="000F4E57" w:rsidRDefault="000F4E57" w:rsidP="007E2A6D">
            <w:pPr>
              <w:pStyle w:val="ListBullet"/>
              <w:numPr>
                <w:ilvl w:val="0"/>
                <w:numId w:val="0"/>
              </w:numPr>
            </w:pPr>
            <w:r w:rsidRPr="008730A8">
              <w:t>The Framework’s high-level outcomes are sufficiently broad to enable alignment of all actions and priorities under the Third and Fourth Action Plans. However, a lack of a defined program logic which links actions, outputs and outcomes meant it was difficult to establish how sufficient actions and priorities were to achieve the intended outcomes. Organisations generally agreed that the actions and priorities, while aligned with the intent of outcomes, were not aligned with the ambition of a substantial and sustained reduction in child abuse and neglect.</w:t>
            </w:r>
          </w:p>
        </w:tc>
      </w:tr>
      <w:tr w:rsidR="000F4E57" w14:paraId="0B459A12" w14:textId="77777777" w:rsidTr="008552A8">
        <w:tc>
          <w:tcPr>
            <w:tcW w:w="787" w:type="pct"/>
            <w:vMerge/>
          </w:tcPr>
          <w:p w14:paraId="5CF980EF" w14:textId="77777777" w:rsidR="000F4E57" w:rsidRPr="00D219F5" w:rsidRDefault="000F4E57" w:rsidP="007E2A6D">
            <w:pPr>
              <w:pStyle w:val="PwCNormal"/>
              <w:rPr>
                <w:b/>
              </w:rPr>
            </w:pPr>
          </w:p>
        </w:tc>
        <w:tc>
          <w:tcPr>
            <w:tcW w:w="1102" w:type="pct"/>
          </w:tcPr>
          <w:p w14:paraId="6AD4409D" w14:textId="77777777" w:rsidR="000F4E57" w:rsidRDefault="000F4E57" w:rsidP="007E2A6D">
            <w:pPr>
              <w:pStyle w:val="PwCNormal"/>
            </w:pPr>
            <w:r>
              <w:t>b. To what extent were the duration and structure of the National Framework and its Action Plans appropriate?</w:t>
            </w:r>
          </w:p>
        </w:tc>
        <w:tc>
          <w:tcPr>
            <w:tcW w:w="3111" w:type="pct"/>
          </w:tcPr>
          <w:p w14:paraId="5D340FAC" w14:textId="77777777" w:rsidR="000F4E57" w:rsidRDefault="000F4E57">
            <w:pPr>
              <w:pStyle w:val="ListBullet"/>
              <w:numPr>
                <w:ilvl w:val="0"/>
                <w:numId w:val="0"/>
              </w:numPr>
            </w:pPr>
            <w:r>
              <w:t xml:space="preserve">The 12-year duration of the Framework was considered </w:t>
            </w:r>
            <w:r w:rsidRPr="008730A8">
              <w:t>appropriate and an achievement</w:t>
            </w:r>
            <w:r>
              <w:t xml:space="preserve"> of the Framework in that it facilitated and enabled a national conversation </w:t>
            </w:r>
            <w:r w:rsidRPr="006D0E58">
              <w:t>which elevated the priority of children’s safety and wellbeing</w:t>
            </w:r>
            <w:r>
              <w:t xml:space="preserve"> in Australia. </w:t>
            </w:r>
          </w:p>
          <w:p w14:paraId="3756C064" w14:textId="6309A810" w:rsidR="000F4E57" w:rsidRDefault="000F4E57" w:rsidP="007E2A6D">
            <w:pPr>
              <w:pStyle w:val="ListBullet"/>
              <w:numPr>
                <w:ilvl w:val="0"/>
                <w:numId w:val="0"/>
              </w:numPr>
            </w:pPr>
            <w:r>
              <w:t xml:space="preserve">The rolling structure of three-year action plans </w:t>
            </w:r>
            <w:r w:rsidRPr="008730A8">
              <w:t>was seen as appropriate</w:t>
            </w:r>
            <w:r>
              <w:t xml:space="preserve"> as it allowed flexibility for the Framework to respond to changing policies and the political landscape. However, </w:t>
            </w:r>
            <w:r w:rsidRPr="008730A8">
              <w:t>the requirement to renegotiate, develop and agree each new action plan resulted in significant loss of time for the implementation of the plans</w:t>
            </w:r>
            <w:r>
              <w:t>.</w:t>
            </w:r>
          </w:p>
        </w:tc>
      </w:tr>
      <w:tr w:rsidR="000F4E57" w14:paraId="2E499A16" w14:textId="77777777" w:rsidTr="008552A8">
        <w:tc>
          <w:tcPr>
            <w:tcW w:w="787" w:type="pct"/>
            <w:vMerge/>
          </w:tcPr>
          <w:p w14:paraId="083467AE" w14:textId="77777777" w:rsidR="000F4E57" w:rsidRPr="00D219F5" w:rsidRDefault="000F4E57" w:rsidP="007E2A6D">
            <w:pPr>
              <w:pStyle w:val="PwCNormal"/>
              <w:rPr>
                <w:b/>
              </w:rPr>
            </w:pPr>
          </w:p>
        </w:tc>
        <w:tc>
          <w:tcPr>
            <w:tcW w:w="1102" w:type="pct"/>
          </w:tcPr>
          <w:p w14:paraId="5D7A2818" w14:textId="77777777" w:rsidR="000F4E57" w:rsidRDefault="000F4E57" w:rsidP="007E2A6D">
            <w:pPr>
              <w:pStyle w:val="PwCNormal"/>
            </w:pPr>
            <w:r>
              <w:t>c. How well did the National Framework respond to the Convention on the Rights of the Child?</w:t>
            </w:r>
          </w:p>
        </w:tc>
        <w:tc>
          <w:tcPr>
            <w:tcW w:w="3111" w:type="pct"/>
          </w:tcPr>
          <w:p w14:paraId="32610F2A" w14:textId="77871433" w:rsidR="000F4E57" w:rsidRDefault="000F4E57" w:rsidP="007E2A6D">
            <w:pPr>
              <w:pStyle w:val="ListBullet"/>
              <w:numPr>
                <w:ilvl w:val="0"/>
                <w:numId w:val="0"/>
              </w:numPr>
            </w:pPr>
            <w:r>
              <w:t>Responsibility for delivering on the UNCRC does not rest wholly with the Framework. In the absence of an evaluation framework that defines the commitment of the Framework to delivering on the UNCRC, it is impossible to assess the degree to which the Framework has responded to, or is expected to respond, to the UNCRC. There is evidence that the Framework was guided by the principles of the UNCRC at its inception and in the activities that have been delivered (for example, the establishment of the National Children’s Commissioner). However, delivery of the UNCRC principles in full would require governments to consider how all activities, including the Framework, respond to the UNCRC so that Australia’s commitments can be identified and measured.</w:t>
            </w:r>
          </w:p>
        </w:tc>
      </w:tr>
      <w:tr w:rsidR="000F4E57" w14:paraId="398D9DFE" w14:textId="77777777" w:rsidTr="008552A8">
        <w:tc>
          <w:tcPr>
            <w:tcW w:w="787" w:type="pct"/>
            <w:vMerge/>
          </w:tcPr>
          <w:p w14:paraId="58A90027" w14:textId="77777777" w:rsidR="000F4E57" w:rsidRPr="00D219F5" w:rsidRDefault="000F4E57" w:rsidP="007E2A6D">
            <w:pPr>
              <w:pStyle w:val="PwCNormal"/>
              <w:rPr>
                <w:b/>
              </w:rPr>
            </w:pPr>
          </w:p>
        </w:tc>
        <w:tc>
          <w:tcPr>
            <w:tcW w:w="1102" w:type="pct"/>
          </w:tcPr>
          <w:p w14:paraId="6677C0EA" w14:textId="77777777" w:rsidR="000F4E57" w:rsidRDefault="000F4E57" w:rsidP="007E2A6D">
            <w:pPr>
              <w:pStyle w:val="PwCNormal"/>
            </w:pPr>
            <w:r>
              <w:t>d. To what extent did the National Framework engage with the public health model and primary prevention activities?</w:t>
            </w:r>
          </w:p>
        </w:tc>
        <w:tc>
          <w:tcPr>
            <w:tcW w:w="3111" w:type="pct"/>
          </w:tcPr>
          <w:p w14:paraId="1B30CEAA" w14:textId="7D055798" w:rsidR="000F4E57" w:rsidRDefault="000F4E57" w:rsidP="007E2A6D">
            <w:pPr>
              <w:pStyle w:val="ListBullet"/>
              <w:numPr>
                <w:ilvl w:val="0"/>
                <w:numId w:val="0"/>
              </w:numPr>
            </w:pPr>
            <w:r>
              <w:t xml:space="preserve">The extent to which the National Framework has engaged with the public health model </w:t>
            </w:r>
            <w:r w:rsidRPr="00CC3434">
              <w:t>appears limited</w:t>
            </w:r>
            <w:r>
              <w:t>. Challenges in generating cross-portfolio coordination and in continuing to respond to rising numbers of children in the child protection system has driven a focus on child protection. Both the Third and Fourth Action Plans were primarily focused on targeted and statutory inventions.</w:t>
            </w:r>
          </w:p>
        </w:tc>
      </w:tr>
    </w:tbl>
    <w:p w14:paraId="08F2DAC4" w14:textId="77777777" w:rsidR="007E2A6D" w:rsidRDefault="007E2A6D" w:rsidP="007E2A6D">
      <w:pPr>
        <w:pStyle w:val="PwCNormal"/>
        <w:numPr>
          <w:ilvl w:val="0"/>
          <w:numId w:val="0"/>
        </w:numPr>
      </w:pPr>
    </w:p>
    <w:p w14:paraId="67BF3B3C" w14:textId="77777777" w:rsidR="007E2A6D" w:rsidRDefault="007E2A6D" w:rsidP="007E2A6D">
      <w:pPr>
        <w:pStyle w:val="PwCNormal"/>
        <w:numPr>
          <w:ilvl w:val="0"/>
          <w:numId w:val="0"/>
        </w:numPr>
        <w:sectPr w:rsidR="007E2A6D" w:rsidSect="00894B3D">
          <w:headerReference w:type="even" r:id="rId68"/>
          <w:headerReference w:type="default" r:id="rId69"/>
          <w:footerReference w:type="even" r:id="rId70"/>
          <w:footerReference w:type="default" r:id="rId71"/>
          <w:headerReference w:type="first" r:id="rId72"/>
          <w:footerReference w:type="first" r:id="rId73"/>
          <w:pgSz w:w="16840" w:h="11907" w:orient="landscape" w:code="9"/>
          <w:pgMar w:top="1644" w:right="1020" w:bottom="1417" w:left="1020" w:header="567" w:footer="567" w:gutter="0"/>
          <w:cols w:space="227"/>
          <w:docGrid w:linePitch="360"/>
        </w:sectPr>
      </w:pPr>
    </w:p>
    <w:p w14:paraId="2E50692E" w14:textId="77777777" w:rsidR="007E2A6D" w:rsidRDefault="007E2A6D" w:rsidP="007E2A6D">
      <w:pPr>
        <w:pStyle w:val="Heading6"/>
      </w:pPr>
      <w:bookmarkStart w:id="213" w:name="_Ref36548104"/>
      <w:bookmarkStart w:id="214" w:name="_Toc42847855"/>
      <w:r>
        <w:lastRenderedPageBreak/>
        <w:t>Opportunities</w:t>
      </w:r>
      <w:bookmarkEnd w:id="213"/>
      <w:bookmarkEnd w:id="214"/>
    </w:p>
    <w:p w14:paraId="6119C2C7" w14:textId="2B0D728E" w:rsidR="000C6DF8" w:rsidRDefault="000C6DF8" w:rsidP="007E2A6D">
      <w:pPr>
        <w:pStyle w:val="PwCNormal"/>
        <w:numPr>
          <w:ilvl w:val="0"/>
          <w:numId w:val="0"/>
        </w:numPr>
        <w:rPr>
          <w:color w:val="auto"/>
        </w:rPr>
      </w:pPr>
      <w:r>
        <w:rPr>
          <w:color w:val="auto"/>
        </w:rPr>
        <w:t xml:space="preserve">Based on the findings of this evaluation, there are a number of opportunities to enhance the National Framework (or </w:t>
      </w:r>
      <w:r w:rsidR="00076984">
        <w:rPr>
          <w:color w:val="auto"/>
        </w:rPr>
        <w:t>the successor plan to the National Framework</w:t>
      </w:r>
      <w:r>
        <w:rPr>
          <w:color w:val="auto"/>
        </w:rPr>
        <w:t>) building on lessons learnt through implementation.</w:t>
      </w:r>
    </w:p>
    <w:p w14:paraId="0758FB9C" w14:textId="3A6BDCE5" w:rsidR="0054515C" w:rsidRPr="00105FE6" w:rsidRDefault="000C6DF8" w:rsidP="00A47B98">
      <w:pPr>
        <w:pStyle w:val="PwCNormal"/>
        <w:rPr>
          <w:color w:val="auto"/>
        </w:rPr>
      </w:pPr>
      <w:r w:rsidRPr="000C6DF8">
        <w:rPr>
          <w:color w:val="auto"/>
        </w:rPr>
        <w:t xml:space="preserve">The first opportunity exists to </w:t>
      </w:r>
      <w:r w:rsidR="0054515C" w:rsidRPr="000C6DF8">
        <w:rPr>
          <w:color w:val="auto"/>
        </w:rPr>
        <w:t xml:space="preserve">more narrowly define the cohort of children and families that are the focus of </w:t>
      </w:r>
      <w:r w:rsidR="00076984">
        <w:rPr>
          <w:color w:val="auto"/>
        </w:rPr>
        <w:t>the successor plan to the National Framework</w:t>
      </w:r>
      <w:r>
        <w:rPr>
          <w:color w:val="auto"/>
        </w:rPr>
        <w:t xml:space="preserve">. This would support the Department and its stakeholders to focus on </w:t>
      </w:r>
      <w:r w:rsidR="0054515C" w:rsidRPr="000C6DF8">
        <w:rPr>
          <w:color w:val="auto"/>
        </w:rPr>
        <w:t>children and families</w:t>
      </w:r>
      <w:r>
        <w:rPr>
          <w:color w:val="auto"/>
        </w:rPr>
        <w:t>, and give broader consideration to their touch points with the service system, which includes government and non-government services that focus on the drivers of child abuse and neglect (early intervention, ta</w:t>
      </w:r>
      <w:r w:rsidR="00BA3EA8">
        <w:rPr>
          <w:color w:val="auto"/>
        </w:rPr>
        <w:t>rgeted and statutory services).</w:t>
      </w:r>
    </w:p>
    <w:p w14:paraId="4D38AF11" w14:textId="4265D15B" w:rsidR="000C6DF8" w:rsidRDefault="000C6DF8" w:rsidP="0054515C">
      <w:pPr>
        <w:pStyle w:val="PwCNormal"/>
        <w:rPr>
          <w:color w:val="auto"/>
        </w:rPr>
      </w:pPr>
      <w:r>
        <w:rPr>
          <w:color w:val="auto"/>
        </w:rPr>
        <w:t xml:space="preserve">A second opportunity exists to enhance the governance structure of the </w:t>
      </w:r>
      <w:r w:rsidR="00076984">
        <w:rPr>
          <w:color w:val="auto"/>
        </w:rPr>
        <w:t>successor plan to the National Framework</w:t>
      </w:r>
      <w:r>
        <w:rPr>
          <w:color w:val="auto"/>
        </w:rPr>
        <w:t xml:space="preserve">) to better connect it with other relevant portfolio areas. In particular, this should support collaboration across the whole service system so as to address the </w:t>
      </w:r>
      <w:r w:rsidR="00A47B98">
        <w:rPr>
          <w:color w:val="auto"/>
        </w:rPr>
        <w:t xml:space="preserve">broader needs and ambition to reduce child abuse and neglect. </w:t>
      </w:r>
    </w:p>
    <w:p w14:paraId="3108E729" w14:textId="0D48E10B" w:rsidR="0054515C" w:rsidRPr="00F86600" w:rsidRDefault="00A47B98" w:rsidP="0054515C">
      <w:pPr>
        <w:pStyle w:val="PwCNormal"/>
        <w:rPr>
          <w:color w:val="auto"/>
        </w:rPr>
      </w:pPr>
      <w:r>
        <w:rPr>
          <w:color w:val="auto"/>
        </w:rPr>
        <w:t xml:space="preserve">Adoption of an outcomes framework, would enable a </w:t>
      </w:r>
      <w:r w:rsidR="0054515C" w:rsidRPr="00105FE6">
        <w:rPr>
          <w:color w:val="auto"/>
        </w:rPr>
        <w:t>sustained focus on and alignment to the high</w:t>
      </w:r>
      <w:r w:rsidR="0054515C">
        <w:rPr>
          <w:color w:val="auto"/>
        </w:rPr>
        <w:t>-</w:t>
      </w:r>
      <w:r w:rsidR="0054515C" w:rsidRPr="00105FE6">
        <w:rPr>
          <w:color w:val="auto"/>
        </w:rPr>
        <w:t xml:space="preserve">level objectives of the </w:t>
      </w:r>
      <w:r w:rsidR="0040394D">
        <w:rPr>
          <w:color w:val="auto"/>
        </w:rPr>
        <w:t xml:space="preserve">successor plan to </w:t>
      </w:r>
      <w:r w:rsidR="0054515C" w:rsidRPr="00105FE6">
        <w:rPr>
          <w:color w:val="auto"/>
        </w:rPr>
        <w:t xml:space="preserve">the National Framework, over </w:t>
      </w:r>
      <w:r>
        <w:rPr>
          <w:color w:val="auto"/>
        </w:rPr>
        <w:t>its life, given its longer-term design. It should be complemented by an implementation roadmap that details the activities of each party to meet short, medium and longer-term outcomes to drive accountability, but also allow for review. A</w:t>
      </w:r>
      <w:r w:rsidR="0054515C" w:rsidRPr="00F86600">
        <w:rPr>
          <w:color w:val="auto"/>
        </w:rPr>
        <w:t xml:space="preserve"> national prevalence study on child abuse and neglect </w:t>
      </w:r>
      <w:r>
        <w:rPr>
          <w:color w:val="auto"/>
        </w:rPr>
        <w:t xml:space="preserve">would </w:t>
      </w:r>
      <w:r w:rsidR="0054515C" w:rsidRPr="00F86600">
        <w:rPr>
          <w:color w:val="auto"/>
        </w:rPr>
        <w:t xml:space="preserve">set an accurate baseline </w:t>
      </w:r>
      <w:r>
        <w:rPr>
          <w:color w:val="auto"/>
        </w:rPr>
        <w:t xml:space="preserve">against which progress can be measured over delivery of the </w:t>
      </w:r>
      <w:r w:rsidR="00076984">
        <w:rPr>
          <w:color w:val="auto"/>
        </w:rPr>
        <w:t>successor plan to the National Framework</w:t>
      </w:r>
      <w:r>
        <w:rPr>
          <w:color w:val="auto"/>
        </w:rPr>
        <w:t xml:space="preserve">. </w:t>
      </w:r>
    </w:p>
    <w:p w14:paraId="4C11EDC4" w14:textId="29F4EA0E" w:rsidR="0054515C" w:rsidRPr="00105FE6" w:rsidRDefault="00A47B98" w:rsidP="008C5B5D">
      <w:pPr>
        <w:pStyle w:val="PwCNormal"/>
        <w:rPr>
          <w:color w:val="auto"/>
        </w:rPr>
      </w:pPr>
      <w:r>
        <w:rPr>
          <w:color w:val="auto"/>
        </w:rPr>
        <w:t xml:space="preserve">A fourth opportunity exists to implement an independent monitoring and reporting mechanism to drive accountability and measurement of implementation and outcomes. </w:t>
      </w:r>
    </w:p>
    <w:p w14:paraId="051820DC" w14:textId="15549954" w:rsidR="0054515C" w:rsidRPr="00105FE6" w:rsidRDefault="00A47B98" w:rsidP="008C5B5D">
      <w:pPr>
        <w:pStyle w:val="PwCNormal"/>
        <w:rPr>
          <w:color w:val="auto"/>
        </w:rPr>
      </w:pPr>
      <w:r>
        <w:rPr>
          <w:color w:val="auto"/>
        </w:rPr>
        <w:t xml:space="preserve">And finally, </w:t>
      </w:r>
      <w:r w:rsidR="0054515C" w:rsidRPr="00105FE6">
        <w:rPr>
          <w:color w:val="auto"/>
        </w:rPr>
        <w:t xml:space="preserve">children, families and communities </w:t>
      </w:r>
      <w:r>
        <w:rPr>
          <w:color w:val="auto"/>
        </w:rPr>
        <w:t xml:space="preserve">should be engaged to inform </w:t>
      </w:r>
      <w:r w:rsidR="0054515C" w:rsidRPr="00105FE6">
        <w:rPr>
          <w:color w:val="auto"/>
        </w:rPr>
        <w:t xml:space="preserve">the priorities of the </w:t>
      </w:r>
      <w:r w:rsidR="00694ED3">
        <w:rPr>
          <w:color w:val="auto"/>
        </w:rPr>
        <w:t xml:space="preserve">successor plan to </w:t>
      </w:r>
      <w:r w:rsidR="0054515C" w:rsidRPr="00105FE6">
        <w:rPr>
          <w:color w:val="auto"/>
        </w:rPr>
        <w:t>the National Framework,</w:t>
      </w:r>
      <w:r>
        <w:rPr>
          <w:color w:val="auto"/>
        </w:rPr>
        <w:t xml:space="preserve"> to provide their lived experiences and understanding of </w:t>
      </w:r>
      <w:r w:rsidR="0054515C" w:rsidRPr="00105FE6">
        <w:rPr>
          <w:color w:val="auto"/>
        </w:rPr>
        <w:t xml:space="preserve">the service system </w:t>
      </w:r>
      <w:r>
        <w:rPr>
          <w:color w:val="auto"/>
        </w:rPr>
        <w:t xml:space="preserve">so that the </w:t>
      </w:r>
      <w:r w:rsidR="00076984">
        <w:rPr>
          <w:color w:val="auto"/>
        </w:rPr>
        <w:t>successor plan to the National Framework</w:t>
      </w:r>
      <w:r>
        <w:rPr>
          <w:color w:val="auto"/>
        </w:rPr>
        <w:t>) can be better tailored to their needs. Their voice is critical to ensuring a fit-for-purpose service system that delivers real, meaningful change to reduce the rates of child abuse and neglect in Australia.</w:t>
      </w:r>
    </w:p>
    <w:p w14:paraId="03D53DA4" w14:textId="77777777" w:rsidR="0054515C" w:rsidRDefault="0054515C" w:rsidP="007E2A6D">
      <w:pPr>
        <w:pStyle w:val="PwCNormal"/>
        <w:rPr>
          <w:b/>
          <w:bCs/>
          <w:color w:val="auto"/>
        </w:rPr>
      </w:pPr>
    </w:p>
    <w:p w14:paraId="26AA6F28" w14:textId="77777777" w:rsidR="007A6E98" w:rsidRDefault="007A6E98" w:rsidP="00881B15">
      <w:pPr>
        <w:pStyle w:val="PwCNormal"/>
        <w:numPr>
          <w:ilvl w:val="0"/>
          <w:numId w:val="0"/>
        </w:numPr>
      </w:pPr>
    </w:p>
    <w:p w14:paraId="73771C4F" w14:textId="77777777" w:rsidR="00FC236E" w:rsidRPr="006842FF" w:rsidRDefault="00FC236E" w:rsidP="00881B15">
      <w:pPr>
        <w:pStyle w:val="PwCNormal"/>
        <w:numPr>
          <w:ilvl w:val="0"/>
          <w:numId w:val="0"/>
        </w:numPr>
        <w:sectPr w:rsidR="00FC236E" w:rsidRPr="006842FF" w:rsidSect="00CF132C">
          <w:headerReference w:type="even" r:id="rId74"/>
          <w:headerReference w:type="default" r:id="rId75"/>
          <w:footerReference w:type="even" r:id="rId76"/>
          <w:footerReference w:type="default" r:id="rId77"/>
          <w:headerReference w:type="first" r:id="rId78"/>
          <w:footerReference w:type="first" r:id="rId79"/>
          <w:pgSz w:w="11907" w:h="16840" w:code="9"/>
          <w:pgMar w:top="1588" w:right="1021" w:bottom="1418" w:left="1021" w:header="567" w:footer="567" w:gutter="0"/>
          <w:cols w:space="227"/>
          <w:titlePg/>
          <w:docGrid w:linePitch="360"/>
        </w:sectPr>
      </w:pPr>
    </w:p>
    <w:p w14:paraId="3B85E72E" w14:textId="77777777" w:rsidR="00C00A66" w:rsidRPr="006842FF" w:rsidRDefault="004F0878" w:rsidP="008E75A3">
      <w:pPr>
        <w:pStyle w:val="Appendicestitle"/>
      </w:pPr>
      <w:bookmarkStart w:id="215" w:name="_Toc150158830"/>
      <w:bookmarkStart w:id="216" w:name="_Toc152054531"/>
      <w:bookmarkStart w:id="217" w:name="_Toc175455170"/>
      <w:bookmarkStart w:id="218" w:name="_Toc188929763"/>
      <w:bookmarkStart w:id="219" w:name="_Toc190831168"/>
      <w:bookmarkStart w:id="220" w:name="_Toc190831919"/>
      <w:bookmarkStart w:id="221" w:name="_Toc222740491"/>
      <w:bookmarkStart w:id="222" w:name="_Toc222797936"/>
      <w:bookmarkStart w:id="223" w:name="_Toc222812200"/>
      <w:bookmarkStart w:id="224" w:name="_Toc222812227"/>
      <w:bookmarkStart w:id="225" w:name="_Toc222812328"/>
      <w:bookmarkStart w:id="226" w:name="_Toc222812365"/>
      <w:bookmarkStart w:id="227" w:name="_Toc225761846"/>
      <w:bookmarkStart w:id="228" w:name="_Toc225761870"/>
      <w:bookmarkStart w:id="229" w:name="_Toc225761910"/>
      <w:bookmarkStart w:id="230" w:name="_Toc225761938"/>
      <w:bookmarkStart w:id="231" w:name="_Toc225761943"/>
      <w:bookmarkStart w:id="232" w:name="_Toc225761966"/>
      <w:bookmarkStart w:id="233" w:name="_Toc225761994"/>
      <w:bookmarkStart w:id="234" w:name="_Toc225762001"/>
      <w:bookmarkStart w:id="235" w:name="_Toc225762006"/>
      <w:bookmarkStart w:id="236" w:name="_Toc225762012"/>
      <w:bookmarkStart w:id="237" w:name="_Toc225762175"/>
      <w:bookmarkStart w:id="238" w:name="_Toc225762181"/>
      <w:bookmarkStart w:id="239" w:name="_Toc225762203"/>
      <w:bookmarkStart w:id="240" w:name="_Toc225763053"/>
      <w:bookmarkStart w:id="241" w:name="_Toc225910585"/>
      <w:bookmarkStart w:id="242" w:name="_Toc225910639"/>
      <w:bookmarkStart w:id="243" w:name="_Toc225910665"/>
      <w:bookmarkStart w:id="244" w:name="_Toc225910695"/>
      <w:bookmarkStart w:id="245" w:name="_Toc225911504"/>
      <w:bookmarkStart w:id="246" w:name="_Toc225911520"/>
      <w:bookmarkStart w:id="247" w:name="_Toc225912405"/>
      <w:bookmarkStart w:id="248" w:name="_Toc225912871"/>
      <w:bookmarkStart w:id="249" w:name="_Toc225913057"/>
      <w:bookmarkStart w:id="250" w:name="_Toc225913091"/>
      <w:bookmarkStart w:id="251" w:name="_Toc225913280"/>
      <w:bookmarkStart w:id="252" w:name="_Toc42842762"/>
      <w:bookmarkStart w:id="253" w:name="_Toc42847856"/>
      <w:r w:rsidRPr="006842FF">
        <w:lastRenderedPageBreak/>
        <w:t>Appendices</w:t>
      </w:r>
      <w:bookmarkStart w:id="254" w:name="TOCAppendix"/>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1B029985" w14:textId="75198BF4" w:rsidR="00993DB1" w:rsidRPr="00993DB1" w:rsidRDefault="005E3C65">
      <w:pPr>
        <w:pStyle w:val="TOC4"/>
        <w:rPr>
          <w:noProof/>
        </w:rPr>
      </w:pPr>
      <w:r w:rsidRPr="006842FF">
        <w:rPr>
          <w:color w:val="FFFFFF" w:themeColor="background1"/>
        </w:rPr>
        <w:fldChar w:fldCharType="begin"/>
      </w:r>
      <w:r w:rsidR="004F0878" w:rsidRPr="006842FF">
        <w:instrText xml:space="preserve"> TOC \t " Heading 3,3,Heading 4,4" \*Charformat </w:instrText>
      </w:r>
      <w:r w:rsidRPr="006842FF">
        <w:rPr>
          <w:color w:val="FFFFFF" w:themeColor="background1"/>
        </w:rPr>
        <w:fldChar w:fldCharType="separate"/>
      </w:r>
      <w:r w:rsidR="00993DB1">
        <w:rPr>
          <w:noProof/>
        </w:rPr>
        <w:t>Appendix A</w:t>
      </w:r>
      <w:r w:rsidR="00993DB1" w:rsidRPr="00993DB1">
        <w:rPr>
          <w:noProof/>
        </w:rPr>
        <w:tab/>
      </w:r>
      <w:r w:rsidR="00993DB1">
        <w:rPr>
          <w:noProof/>
        </w:rPr>
        <w:t>Evaluation Approach</w:t>
      </w:r>
      <w:r w:rsidR="00993DB1">
        <w:rPr>
          <w:noProof/>
        </w:rPr>
        <w:tab/>
      </w:r>
      <w:r w:rsidR="00993DB1">
        <w:rPr>
          <w:noProof/>
        </w:rPr>
        <w:fldChar w:fldCharType="begin"/>
      </w:r>
      <w:r w:rsidR="00993DB1">
        <w:rPr>
          <w:noProof/>
        </w:rPr>
        <w:instrText xml:space="preserve"> PAGEREF _Toc36845763 \h </w:instrText>
      </w:r>
      <w:r w:rsidR="00993DB1">
        <w:rPr>
          <w:noProof/>
        </w:rPr>
      </w:r>
      <w:r w:rsidR="00993DB1">
        <w:rPr>
          <w:noProof/>
        </w:rPr>
        <w:fldChar w:fldCharType="separate"/>
      </w:r>
      <w:r w:rsidR="00D75351">
        <w:rPr>
          <w:noProof/>
        </w:rPr>
        <w:t>64</w:t>
      </w:r>
      <w:r w:rsidR="00993DB1">
        <w:rPr>
          <w:noProof/>
        </w:rPr>
        <w:fldChar w:fldCharType="end"/>
      </w:r>
    </w:p>
    <w:p w14:paraId="4DC83392" w14:textId="56FCBD14" w:rsidR="00993DB1" w:rsidRPr="00993DB1" w:rsidRDefault="00993DB1">
      <w:pPr>
        <w:pStyle w:val="TOC4"/>
        <w:rPr>
          <w:noProof/>
        </w:rPr>
      </w:pPr>
      <w:r>
        <w:rPr>
          <w:noProof/>
        </w:rPr>
        <w:t>Appendix B</w:t>
      </w:r>
      <w:r w:rsidRPr="00993DB1">
        <w:rPr>
          <w:noProof/>
        </w:rPr>
        <w:tab/>
      </w:r>
      <w:r>
        <w:rPr>
          <w:noProof/>
        </w:rPr>
        <w:t>Summary of governance: terms of reference</w:t>
      </w:r>
      <w:r>
        <w:rPr>
          <w:noProof/>
        </w:rPr>
        <w:tab/>
      </w:r>
      <w:r>
        <w:rPr>
          <w:noProof/>
        </w:rPr>
        <w:fldChar w:fldCharType="begin"/>
      </w:r>
      <w:r>
        <w:rPr>
          <w:noProof/>
        </w:rPr>
        <w:instrText xml:space="preserve"> PAGEREF _Toc36845764 \h </w:instrText>
      </w:r>
      <w:r>
        <w:rPr>
          <w:noProof/>
        </w:rPr>
      </w:r>
      <w:r>
        <w:rPr>
          <w:noProof/>
        </w:rPr>
        <w:fldChar w:fldCharType="separate"/>
      </w:r>
      <w:r w:rsidR="00D75351">
        <w:rPr>
          <w:noProof/>
        </w:rPr>
        <w:t>73</w:t>
      </w:r>
      <w:r>
        <w:rPr>
          <w:noProof/>
        </w:rPr>
        <w:fldChar w:fldCharType="end"/>
      </w:r>
    </w:p>
    <w:p w14:paraId="146F40FB" w14:textId="34C7EC07" w:rsidR="00993DB1" w:rsidRPr="00993DB1" w:rsidRDefault="00993DB1">
      <w:pPr>
        <w:pStyle w:val="TOC4"/>
        <w:rPr>
          <w:noProof/>
        </w:rPr>
      </w:pPr>
      <w:r>
        <w:rPr>
          <w:noProof/>
        </w:rPr>
        <w:t>Appendix C</w:t>
      </w:r>
      <w:r w:rsidRPr="00993DB1">
        <w:rPr>
          <w:noProof/>
        </w:rPr>
        <w:tab/>
      </w:r>
      <w:r>
        <w:rPr>
          <w:noProof/>
        </w:rPr>
        <w:t>Background analysis</w:t>
      </w:r>
      <w:r>
        <w:rPr>
          <w:noProof/>
        </w:rPr>
        <w:tab/>
      </w:r>
      <w:r>
        <w:rPr>
          <w:noProof/>
        </w:rPr>
        <w:fldChar w:fldCharType="begin"/>
      </w:r>
      <w:r>
        <w:rPr>
          <w:noProof/>
        </w:rPr>
        <w:instrText xml:space="preserve"> PAGEREF _Toc36845765 \h </w:instrText>
      </w:r>
      <w:r>
        <w:rPr>
          <w:noProof/>
        </w:rPr>
      </w:r>
      <w:r>
        <w:rPr>
          <w:noProof/>
        </w:rPr>
        <w:fldChar w:fldCharType="separate"/>
      </w:r>
      <w:r w:rsidR="00D75351">
        <w:rPr>
          <w:noProof/>
        </w:rPr>
        <w:t>77</w:t>
      </w:r>
      <w:r>
        <w:rPr>
          <w:noProof/>
        </w:rPr>
        <w:fldChar w:fldCharType="end"/>
      </w:r>
    </w:p>
    <w:p w14:paraId="0B1CA7F7" w14:textId="1CE52242" w:rsidR="00993DB1" w:rsidRPr="00993DB1" w:rsidRDefault="00993DB1">
      <w:pPr>
        <w:pStyle w:val="TOC4"/>
        <w:rPr>
          <w:noProof/>
        </w:rPr>
      </w:pPr>
      <w:r>
        <w:rPr>
          <w:noProof/>
        </w:rPr>
        <w:t>Appendix D</w:t>
      </w:r>
      <w:r w:rsidRPr="00993DB1">
        <w:rPr>
          <w:noProof/>
        </w:rPr>
        <w:tab/>
      </w:r>
      <w:r>
        <w:rPr>
          <w:noProof/>
        </w:rPr>
        <w:t>Consulted stakeholders</w:t>
      </w:r>
      <w:r>
        <w:rPr>
          <w:noProof/>
        </w:rPr>
        <w:tab/>
      </w:r>
      <w:r>
        <w:rPr>
          <w:noProof/>
        </w:rPr>
        <w:fldChar w:fldCharType="begin"/>
      </w:r>
      <w:r>
        <w:rPr>
          <w:noProof/>
        </w:rPr>
        <w:instrText xml:space="preserve"> PAGEREF _Toc36845766 \h </w:instrText>
      </w:r>
      <w:r>
        <w:rPr>
          <w:noProof/>
        </w:rPr>
      </w:r>
      <w:r>
        <w:rPr>
          <w:noProof/>
        </w:rPr>
        <w:fldChar w:fldCharType="separate"/>
      </w:r>
      <w:r w:rsidR="00D75351">
        <w:rPr>
          <w:noProof/>
        </w:rPr>
        <w:t>93</w:t>
      </w:r>
      <w:r>
        <w:rPr>
          <w:noProof/>
        </w:rPr>
        <w:fldChar w:fldCharType="end"/>
      </w:r>
    </w:p>
    <w:p w14:paraId="65646CD8" w14:textId="77777777" w:rsidR="001A0166" w:rsidRPr="006842FF" w:rsidRDefault="005E3C65" w:rsidP="00A925C6">
      <w:pPr>
        <w:pStyle w:val="PwCNormal"/>
      </w:pPr>
      <w:r w:rsidRPr="006842FF">
        <w:fldChar w:fldCharType="end"/>
      </w:r>
    </w:p>
    <w:p w14:paraId="58B08A8F" w14:textId="77777777" w:rsidR="00A925C6" w:rsidRPr="006842FF" w:rsidRDefault="00A925C6" w:rsidP="00A925C6">
      <w:pPr>
        <w:pStyle w:val="PwCNormal"/>
      </w:pPr>
    </w:p>
    <w:p w14:paraId="07C085F7" w14:textId="77777777" w:rsidR="004F0878" w:rsidRPr="006842FF" w:rsidRDefault="004F0878" w:rsidP="00C72DA8">
      <w:pPr>
        <w:pStyle w:val="PwCNormal"/>
        <w:sectPr w:rsidR="004F0878" w:rsidRPr="006842FF" w:rsidSect="008E1742">
          <w:headerReference w:type="even" r:id="rId80"/>
          <w:headerReference w:type="default" r:id="rId81"/>
          <w:footerReference w:type="even" r:id="rId82"/>
          <w:footerReference w:type="default" r:id="rId83"/>
          <w:headerReference w:type="first" r:id="rId84"/>
          <w:footerReference w:type="first" r:id="rId85"/>
          <w:pgSz w:w="11907" w:h="16840" w:code="9"/>
          <w:pgMar w:top="1588" w:right="1021" w:bottom="1418" w:left="2155" w:header="567" w:footer="567" w:gutter="0"/>
          <w:cols w:space="227"/>
          <w:titlePg/>
          <w:docGrid w:linePitch="360"/>
        </w:sectPr>
      </w:pPr>
    </w:p>
    <w:p w14:paraId="7FE00B6D" w14:textId="22BF05D6" w:rsidR="004F0878" w:rsidRPr="00A2266F" w:rsidRDefault="007A6E98" w:rsidP="00B95734">
      <w:pPr>
        <w:pStyle w:val="Heading4"/>
        <w:numPr>
          <w:ilvl w:val="4"/>
          <w:numId w:val="44"/>
        </w:numPr>
      </w:pPr>
      <w:bookmarkStart w:id="255" w:name="_Toc28860330"/>
      <w:bookmarkStart w:id="256" w:name="_Toc30582410"/>
      <w:bookmarkStart w:id="257" w:name="_Ref31230036"/>
      <w:bookmarkStart w:id="258" w:name="_Ref36631028"/>
      <w:bookmarkStart w:id="259" w:name="_Toc36845763"/>
      <w:bookmarkStart w:id="260" w:name="_Toc42842763"/>
      <w:bookmarkStart w:id="261" w:name="_Toc42847857"/>
      <w:r w:rsidRPr="00A2266F">
        <w:lastRenderedPageBreak/>
        <w:t xml:space="preserve">Evaluation </w:t>
      </w:r>
      <w:bookmarkEnd w:id="255"/>
      <w:r w:rsidR="006C5146" w:rsidRPr="00A2266F">
        <w:t>Approach</w:t>
      </w:r>
      <w:bookmarkEnd w:id="256"/>
      <w:bookmarkEnd w:id="257"/>
      <w:bookmarkEnd w:id="258"/>
      <w:bookmarkEnd w:id="259"/>
      <w:bookmarkEnd w:id="260"/>
      <w:bookmarkEnd w:id="261"/>
    </w:p>
    <w:p w14:paraId="5123455D" w14:textId="77777777" w:rsidR="008B29D9" w:rsidRPr="006842FF" w:rsidRDefault="008B29D9" w:rsidP="00B95734">
      <w:pPr>
        <w:pStyle w:val="Heading8"/>
        <w:numPr>
          <w:ilvl w:val="6"/>
          <w:numId w:val="43"/>
        </w:numPr>
      </w:pPr>
      <w:r>
        <w:t>Evaluation purpose</w:t>
      </w:r>
    </w:p>
    <w:p w14:paraId="5128E8DC" w14:textId="77777777" w:rsidR="008B29D9" w:rsidRDefault="008B29D9" w:rsidP="008B29D9">
      <w:pPr>
        <w:pStyle w:val="PwCNormal"/>
        <w:numPr>
          <w:ilvl w:val="0"/>
          <w:numId w:val="0"/>
        </w:numPr>
      </w:pPr>
      <w:r>
        <w:t>T</w:t>
      </w:r>
      <w:r w:rsidRPr="008E5270">
        <w:t>he National Framework is to conclude at the end of 2020</w:t>
      </w:r>
      <w:r>
        <w:t xml:space="preserve">. It is timely to undertake this </w:t>
      </w:r>
      <w:r w:rsidRPr="008E5270">
        <w:t>evaluati</w:t>
      </w:r>
      <w:r>
        <w:t>on of the National Framework.</w:t>
      </w:r>
      <w:r w:rsidRPr="00942B6D">
        <w:t xml:space="preserve"> Consistent with a continuous improvement approach the evaluation will be used to gather data and qualitative insights to shape the development of the strategy beyond 2020.</w:t>
      </w:r>
      <w:r>
        <w:t xml:space="preserve"> In this context the purpose of the evaluation is to:</w:t>
      </w:r>
    </w:p>
    <w:p w14:paraId="297A253A" w14:textId="4E387630" w:rsidR="008B29D9" w:rsidRDefault="008B29D9" w:rsidP="00B95734">
      <w:pPr>
        <w:pStyle w:val="PwCNormal"/>
        <w:numPr>
          <w:ilvl w:val="0"/>
          <w:numId w:val="32"/>
        </w:numPr>
      </w:pPr>
      <w:r>
        <w:t>assess the appropriateness and effectiveness of the National Framework and its associated action plans including:</w:t>
      </w:r>
    </w:p>
    <w:p w14:paraId="4DF2EBB9" w14:textId="77777777" w:rsidR="008B29D9" w:rsidRPr="003F4DA6" w:rsidRDefault="008B29D9" w:rsidP="00B95734">
      <w:pPr>
        <w:pStyle w:val="PwCNormal"/>
        <w:numPr>
          <w:ilvl w:val="1"/>
          <w:numId w:val="32"/>
        </w:numPr>
      </w:pPr>
      <w:r w:rsidRPr="003F4DA6">
        <w:t>governance arrangements</w:t>
      </w:r>
    </w:p>
    <w:p w14:paraId="7B4A073F" w14:textId="77777777" w:rsidR="008B29D9" w:rsidRPr="003F4DA6" w:rsidRDefault="008B29D9" w:rsidP="00B95734">
      <w:pPr>
        <w:pStyle w:val="PwCNormal"/>
        <w:numPr>
          <w:ilvl w:val="1"/>
          <w:numId w:val="32"/>
        </w:numPr>
      </w:pPr>
      <w:r w:rsidRPr="003F4DA6">
        <w:t>broad implementation of the Third and Fourth Action Plans</w:t>
      </w:r>
    </w:p>
    <w:p w14:paraId="6205036E" w14:textId="77777777" w:rsidR="008B29D9" w:rsidRPr="003F4DA6" w:rsidRDefault="008B29D9" w:rsidP="00B95734">
      <w:pPr>
        <w:pStyle w:val="PwCNormal"/>
        <w:numPr>
          <w:ilvl w:val="1"/>
          <w:numId w:val="32"/>
        </w:numPr>
      </w:pPr>
      <w:r w:rsidRPr="003F4DA6">
        <w:t>effectiveness in achieving broader outcomes including:</w:t>
      </w:r>
    </w:p>
    <w:p w14:paraId="7561836D" w14:textId="77777777" w:rsidR="008B29D9" w:rsidRPr="003F4DA6" w:rsidRDefault="008B29D9" w:rsidP="00B95734">
      <w:pPr>
        <w:pStyle w:val="PwCNormal"/>
        <w:numPr>
          <w:ilvl w:val="2"/>
          <w:numId w:val="32"/>
        </w:numPr>
      </w:pPr>
      <w:r w:rsidRPr="003F4DA6">
        <w:t>coordinating effort across governments and the non-government sector</w:t>
      </w:r>
    </w:p>
    <w:p w14:paraId="38FBDF17" w14:textId="77777777" w:rsidR="008B29D9" w:rsidRDefault="008B29D9" w:rsidP="00B95734">
      <w:pPr>
        <w:pStyle w:val="PwCNormal"/>
        <w:numPr>
          <w:ilvl w:val="2"/>
          <w:numId w:val="32"/>
        </w:numPr>
      </w:pPr>
      <w:r w:rsidRPr="003F4DA6">
        <w:t>reducing the prevalence of child abuse and neglect.</w:t>
      </w:r>
    </w:p>
    <w:p w14:paraId="31AA3DD0" w14:textId="77777777" w:rsidR="008B29D9" w:rsidRDefault="008B29D9" w:rsidP="00B95734">
      <w:pPr>
        <w:pStyle w:val="PwCNormal"/>
        <w:numPr>
          <w:ilvl w:val="0"/>
          <w:numId w:val="32"/>
        </w:numPr>
      </w:pPr>
      <w:r>
        <w:t>inform future policy and planning work.</w:t>
      </w:r>
    </w:p>
    <w:p w14:paraId="6B1220D6" w14:textId="77777777" w:rsidR="008B29D9" w:rsidRDefault="008B29D9" w:rsidP="00B95734">
      <w:pPr>
        <w:pStyle w:val="Heading8"/>
        <w:numPr>
          <w:ilvl w:val="6"/>
          <w:numId w:val="43"/>
        </w:numPr>
      </w:pPr>
      <w:r>
        <w:t>Evaluation audience</w:t>
      </w:r>
    </w:p>
    <w:p w14:paraId="3182AE80" w14:textId="77777777" w:rsidR="008B29D9" w:rsidRDefault="008B29D9" w:rsidP="008B29D9">
      <w:pPr>
        <w:pStyle w:val="PwCNormal"/>
        <w:numPr>
          <w:ilvl w:val="0"/>
          <w:numId w:val="0"/>
        </w:numPr>
      </w:pPr>
      <w:r>
        <w:t>The primary audiences for the evaluation are:</w:t>
      </w:r>
    </w:p>
    <w:p w14:paraId="7D6D289B" w14:textId="77777777" w:rsidR="008B29D9" w:rsidRDefault="008B29D9" w:rsidP="00B95734">
      <w:pPr>
        <w:pStyle w:val="PwCNormal"/>
        <w:numPr>
          <w:ilvl w:val="0"/>
          <w:numId w:val="36"/>
        </w:numPr>
      </w:pPr>
      <w:r>
        <w:t>the Department of Social Services (the policy owner and commissioner of this evaluation)</w:t>
      </w:r>
    </w:p>
    <w:p w14:paraId="5FBBC6C8" w14:textId="77777777" w:rsidR="008B29D9" w:rsidRDefault="008B29D9" w:rsidP="00B95734">
      <w:pPr>
        <w:pStyle w:val="PwCNormal"/>
        <w:numPr>
          <w:ilvl w:val="0"/>
          <w:numId w:val="36"/>
        </w:numPr>
      </w:pPr>
      <w:r>
        <w:t>all states and territories’ children and families agencies noting the National Framework is a COAG initiative</w:t>
      </w:r>
    </w:p>
    <w:p w14:paraId="41C5C5E4" w14:textId="77777777" w:rsidR="008B29D9" w:rsidRDefault="008B29D9" w:rsidP="00B95734">
      <w:pPr>
        <w:pStyle w:val="PwCNormal"/>
        <w:numPr>
          <w:ilvl w:val="0"/>
          <w:numId w:val="36"/>
        </w:numPr>
      </w:pPr>
      <w:r>
        <w:t>non-government organisations and representatives including members of the National Coalition on Child Safety and Wellbeing</w:t>
      </w:r>
    </w:p>
    <w:p w14:paraId="5B45907F" w14:textId="77777777" w:rsidR="008B29D9" w:rsidRDefault="008B29D9" w:rsidP="008B29D9">
      <w:pPr>
        <w:pStyle w:val="PwCNormal"/>
        <w:numPr>
          <w:ilvl w:val="0"/>
          <w:numId w:val="0"/>
        </w:numPr>
      </w:pPr>
      <w:r>
        <w:t>One of the stated aspirations of the National Framework is to, over time, rebalance effort and investment from a focus on preventing abuse and harm to promoting child safety and wellbeing. Secondary audiences for the evaluation include:</w:t>
      </w:r>
    </w:p>
    <w:p w14:paraId="16C53BB8" w14:textId="204901B7" w:rsidR="008B29D9" w:rsidRDefault="008B29D9" w:rsidP="00B95734">
      <w:pPr>
        <w:pStyle w:val="PwCNormal"/>
        <w:numPr>
          <w:ilvl w:val="0"/>
          <w:numId w:val="37"/>
        </w:numPr>
      </w:pPr>
      <w:r>
        <w:t xml:space="preserve">Australian Government agencies who administer or fund relevant programs or grants including the National Indigenous Australians Agency, Department of Education and Training, </w:t>
      </w:r>
      <w:r w:rsidR="000848B5">
        <w:t>Services Australia</w:t>
      </w:r>
      <w:r>
        <w:t>, National Office f</w:t>
      </w:r>
      <w:r w:rsidR="007B3848">
        <w:t>or</w:t>
      </w:r>
      <w:r>
        <w:t xml:space="preserve"> Child Safety</w:t>
      </w:r>
    </w:p>
    <w:p w14:paraId="2790C4AE" w14:textId="77777777" w:rsidR="008B29D9" w:rsidRDefault="008B29D9" w:rsidP="00B95734">
      <w:pPr>
        <w:pStyle w:val="PwCNormal"/>
        <w:numPr>
          <w:ilvl w:val="0"/>
          <w:numId w:val="37"/>
        </w:numPr>
      </w:pPr>
      <w:r>
        <w:t>state and territory agencies with responsibilities for early childhood, education, justice, Aboriginal and Torres Strait Islander affairs and programs and justice</w:t>
      </w:r>
    </w:p>
    <w:p w14:paraId="77D621F2" w14:textId="77777777" w:rsidR="008B29D9" w:rsidRDefault="008B29D9" w:rsidP="00B95734">
      <w:pPr>
        <w:pStyle w:val="PwCNormal"/>
        <w:numPr>
          <w:ilvl w:val="0"/>
          <w:numId w:val="37"/>
        </w:numPr>
      </w:pPr>
      <w:r>
        <w:t>the general public, to whom key findings (and potentially the whole report) will made available to through publication on DSS’ website.</w:t>
      </w:r>
    </w:p>
    <w:p w14:paraId="6CE13FD7" w14:textId="77777777" w:rsidR="008B29D9" w:rsidRDefault="008B29D9" w:rsidP="00B95734">
      <w:pPr>
        <w:pStyle w:val="Heading8"/>
        <w:numPr>
          <w:ilvl w:val="6"/>
          <w:numId w:val="43"/>
        </w:numPr>
      </w:pPr>
      <w:r>
        <w:t>Scope of evaluation</w:t>
      </w:r>
    </w:p>
    <w:p w14:paraId="185B0FEC" w14:textId="2796F87C" w:rsidR="008B29D9" w:rsidRDefault="008B29D9" w:rsidP="008B29D9">
      <w:pPr>
        <w:pStyle w:val="PwCNormal"/>
      </w:pPr>
      <w:r>
        <w:t xml:space="preserve">A high-level concept map for the National Framework is provided at </w:t>
      </w:r>
      <w:r>
        <w:fldChar w:fldCharType="begin"/>
      </w:r>
      <w:r>
        <w:instrText xml:space="preserve"> REF _Ref22207755 \h </w:instrText>
      </w:r>
      <w:r>
        <w:fldChar w:fldCharType="separate"/>
      </w:r>
      <w:r w:rsidR="00D75351">
        <w:t xml:space="preserve">Figure </w:t>
      </w:r>
      <w:r w:rsidR="00D75351">
        <w:rPr>
          <w:noProof/>
        </w:rPr>
        <w:t>14</w:t>
      </w:r>
      <w:r>
        <w:fldChar w:fldCharType="end"/>
      </w:r>
      <w:r>
        <w:t xml:space="preserve">. While drawn directly from the National Framework, this concept map has been presented in a program logic format for the purposes of this evaluation framework. Program and policy logic models are schematic representations that describe how a program or policy is intended to work. </w:t>
      </w:r>
      <w:r>
        <w:lastRenderedPageBreak/>
        <w:t xml:space="preserve">They are useful in helping frame monitoring and evaluation activities primarily concerned with supporting decision making around program and policy resources, activities, outputs, and outcomes and answering questions such as: </w:t>
      </w:r>
    </w:p>
    <w:p w14:paraId="787E8B1A" w14:textId="77777777" w:rsidR="008B29D9" w:rsidRDefault="008B29D9" w:rsidP="00B95734">
      <w:pPr>
        <w:pStyle w:val="PwCNormal"/>
        <w:numPr>
          <w:ilvl w:val="0"/>
          <w:numId w:val="33"/>
        </w:numPr>
      </w:pPr>
      <w:r>
        <w:t xml:space="preserve">Were allocated resources sufficient to implement the policy effectively? </w:t>
      </w:r>
    </w:p>
    <w:p w14:paraId="29AB5165" w14:textId="77777777" w:rsidR="008B29D9" w:rsidRDefault="008B29D9" w:rsidP="00B95734">
      <w:pPr>
        <w:pStyle w:val="PwCNormal"/>
        <w:numPr>
          <w:ilvl w:val="0"/>
          <w:numId w:val="33"/>
        </w:numPr>
      </w:pPr>
      <w:r>
        <w:t xml:space="preserve">Were the activities conducted as intended? </w:t>
      </w:r>
    </w:p>
    <w:p w14:paraId="2C5E475D" w14:textId="77777777" w:rsidR="008B29D9" w:rsidRDefault="008B29D9" w:rsidP="00B95734">
      <w:pPr>
        <w:pStyle w:val="PwCNormal"/>
        <w:numPr>
          <w:ilvl w:val="0"/>
          <w:numId w:val="33"/>
        </w:numPr>
      </w:pPr>
      <w:r>
        <w:t>Were expected outputs achieved?</w:t>
      </w:r>
    </w:p>
    <w:p w14:paraId="37E4930D" w14:textId="77777777" w:rsidR="008B29D9" w:rsidRDefault="008B29D9" w:rsidP="00B95734">
      <w:pPr>
        <w:pStyle w:val="PwCNormal"/>
        <w:numPr>
          <w:ilvl w:val="0"/>
          <w:numId w:val="33"/>
        </w:numPr>
      </w:pPr>
      <w:r>
        <w:t>To what extent did the policy achieve its short-, mid-, and long-term outcomes?</w:t>
      </w:r>
    </w:p>
    <w:p w14:paraId="56EA3283" w14:textId="77777777" w:rsidR="008B29D9" w:rsidRDefault="008B29D9" w:rsidP="008B29D9">
      <w:pPr>
        <w:pStyle w:val="PwCNormal"/>
      </w:pPr>
      <w:r>
        <w:t>In particular program and policy logic models:</w:t>
      </w:r>
    </w:p>
    <w:p w14:paraId="71A0AECB" w14:textId="77777777" w:rsidR="008B29D9" w:rsidRDefault="008B29D9" w:rsidP="00B95734">
      <w:pPr>
        <w:pStyle w:val="PwCNormal"/>
        <w:numPr>
          <w:ilvl w:val="0"/>
          <w:numId w:val="34"/>
        </w:numPr>
      </w:pPr>
      <w:r>
        <w:t xml:space="preserve">provide a readily accessible summary of the policy or the activity: developing a policy logic supports the development of a deeper understanding for the activities and intended outcomes and brings a systematic approach, imposing structure, rigour and discipline which makes clear the relationships among its components at various stages. Importantly program logic models link the activities to the aims and intended outcomes. </w:t>
      </w:r>
    </w:p>
    <w:p w14:paraId="3C5E8E78" w14:textId="77777777" w:rsidR="008B29D9" w:rsidRDefault="008B29D9" w:rsidP="00B95734">
      <w:pPr>
        <w:pStyle w:val="PwCNormal"/>
        <w:numPr>
          <w:ilvl w:val="0"/>
          <w:numId w:val="34"/>
        </w:numPr>
      </w:pPr>
      <w:r>
        <w:t>identification of evaluation questions: presentation in a policy logic model format helps identify key evaluation questions and support decision making to target evaluation efforts to the most critical areas. The policy logic can help make clear the audiences for evaluation material and the potential sources and holders of data. In addition program logic models help fine tune general evaluation questions into “clear, specific, and actionable evaluation questions”.</w:t>
      </w:r>
      <w:r>
        <w:rPr>
          <w:rStyle w:val="FootnoteReference"/>
        </w:rPr>
        <w:footnoteReference w:id="57"/>
      </w:r>
      <w:r>
        <w:t xml:space="preserve"> </w:t>
      </w:r>
    </w:p>
    <w:p w14:paraId="128C5AA7" w14:textId="77777777" w:rsidR="008B29D9" w:rsidRDefault="008B29D9" w:rsidP="008B29D9">
      <w:pPr>
        <w:pStyle w:val="PwCNormal"/>
      </w:pPr>
      <w:r>
        <w:t>A clear statement of needs and objectives is important to ensure there is a clear statement of the problem that is being addressed. This statement of need is well articulated in the National Framework.</w:t>
      </w:r>
    </w:p>
    <w:p w14:paraId="2D7E6FF7" w14:textId="77777777" w:rsidR="008B29D9" w:rsidRDefault="008B29D9" w:rsidP="008B29D9">
      <w:pPr>
        <w:pStyle w:val="PwCNormal"/>
      </w:pPr>
      <w:r>
        <w:t>The components of the policy and program logic model developed for this evaluation framework are:</w:t>
      </w:r>
    </w:p>
    <w:p w14:paraId="669A3284" w14:textId="77777777" w:rsidR="008B29D9" w:rsidRDefault="008B29D9" w:rsidP="00B95734">
      <w:pPr>
        <w:pStyle w:val="PwCNormal"/>
        <w:numPr>
          <w:ilvl w:val="0"/>
          <w:numId w:val="35"/>
        </w:numPr>
      </w:pPr>
      <w:r>
        <w:t>Action and Strategies: what is required to make the National Framework implementation successful? What outputs are delivered?</w:t>
      </w:r>
    </w:p>
    <w:p w14:paraId="4490DF59" w14:textId="77777777" w:rsidR="008B29D9" w:rsidRDefault="008B29D9" w:rsidP="00B95734">
      <w:pPr>
        <w:pStyle w:val="PwCNormal"/>
        <w:numPr>
          <w:ilvl w:val="0"/>
          <w:numId w:val="35"/>
        </w:numPr>
      </w:pPr>
      <w:r>
        <w:t>Indicators: what are markers of progress towards achievement of supporting outcomes?</w:t>
      </w:r>
    </w:p>
    <w:p w14:paraId="04D53AAB" w14:textId="77777777" w:rsidR="008B29D9" w:rsidRDefault="008B29D9" w:rsidP="00B95734">
      <w:pPr>
        <w:pStyle w:val="PwCNormal"/>
        <w:numPr>
          <w:ilvl w:val="0"/>
          <w:numId w:val="35"/>
        </w:numPr>
      </w:pPr>
      <w:r>
        <w:t>Supporting outcomes: what are the intermediary or supporting outcomes that will contribute to the overall outcome?</w:t>
      </w:r>
    </w:p>
    <w:p w14:paraId="033863BA" w14:textId="77777777" w:rsidR="008B29D9" w:rsidRDefault="008B29D9" w:rsidP="00B95734">
      <w:pPr>
        <w:pStyle w:val="PwCNormal"/>
        <w:numPr>
          <w:ilvl w:val="0"/>
          <w:numId w:val="35"/>
        </w:numPr>
      </w:pPr>
      <w:r>
        <w:t>Measures: what are the key trends that will be monitored to determine progress towards achievement of the target and the overall outcome?</w:t>
      </w:r>
    </w:p>
    <w:p w14:paraId="2556937D" w14:textId="77777777" w:rsidR="008B29D9" w:rsidRDefault="008B29D9" w:rsidP="00B95734">
      <w:pPr>
        <w:pStyle w:val="PwCNormal"/>
        <w:numPr>
          <w:ilvl w:val="0"/>
          <w:numId w:val="35"/>
        </w:numPr>
      </w:pPr>
      <w:r>
        <w:t>Target: what are the outcomes sought within the timeframe of the National Framework?</w:t>
      </w:r>
    </w:p>
    <w:p w14:paraId="0564EFBE" w14:textId="77777777" w:rsidR="008B29D9" w:rsidRDefault="008B29D9" w:rsidP="00B95734">
      <w:pPr>
        <w:pStyle w:val="PwCNormal"/>
        <w:numPr>
          <w:ilvl w:val="0"/>
          <w:numId w:val="35"/>
        </w:numPr>
      </w:pPr>
      <w:r>
        <w:t>High level outcome: what is the overall outcome or vision of success (note this high</w:t>
      </w:r>
      <w:r w:rsidR="0083192A">
        <w:t>-</w:t>
      </w:r>
      <w:r>
        <w:t>level outcome may extend beyond the life of National Framework)?</w:t>
      </w:r>
    </w:p>
    <w:p w14:paraId="0C4E0187" w14:textId="77777777" w:rsidR="00E82B2F" w:rsidRPr="006842FF" w:rsidRDefault="00E82B2F" w:rsidP="00425FC5">
      <w:pPr>
        <w:pStyle w:val="PwCNormal"/>
        <w:numPr>
          <w:ilvl w:val="0"/>
          <w:numId w:val="0"/>
        </w:numPr>
      </w:pPr>
    </w:p>
    <w:p w14:paraId="279D3FAF" w14:textId="77777777" w:rsidR="00CE4910" w:rsidRDefault="00CE4910" w:rsidP="00CE4910">
      <w:pPr>
        <w:pStyle w:val="PwCNormal"/>
      </w:pPr>
    </w:p>
    <w:p w14:paraId="56A0D36C" w14:textId="77777777" w:rsidR="006C5146" w:rsidRDefault="006C5146" w:rsidP="006C5146">
      <w:pPr>
        <w:pStyle w:val="PwCNormal"/>
        <w:sectPr w:rsidR="006C5146" w:rsidSect="008E1742">
          <w:headerReference w:type="even" r:id="rId86"/>
          <w:headerReference w:type="default" r:id="rId87"/>
          <w:footerReference w:type="even" r:id="rId88"/>
          <w:footerReference w:type="default" r:id="rId89"/>
          <w:headerReference w:type="first" r:id="rId90"/>
          <w:footerReference w:type="first" r:id="rId91"/>
          <w:pgSz w:w="11907" w:h="16840" w:code="9"/>
          <w:pgMar w:top="1588" w:right="1021" w:bottom="1418" w:left="1021" w:header="567" w:footer="567" w:gutter="0"/>
          <w:cols w:space="227"/>
          <w:titlePg/>
          <w:docGrid w:linePitch="360"/>
        </w:sectPr>
      </w:pPr>
    </w:p>
    <w:p w14:paraId="72DBAE92" w14:textId="04BA24CA" w:rsidR="006C5146" w:rsidRDefault="006C5146" w:rsidP="008552A8">
      <w:pPr>
        <w:pStyle w:val="Caption"/>
      </w:pPr>
      <w:bookmarkStart w:id="262" w:name="_Ref22207755"/>
      <w:r>
        <w:lastRenderedPageBreak/>
        <w:t xml:space="preserve">Figure </w:t>
      </w:r>
      <w:fldSimple w:instr=" SEQ Figure \* ARABIC ">
        <w:r w:rsidR="00D75351">
          <w:rPr>
            <w:noProof/>
          </w:rPr>
          <w:t>14</w:t>
        </w:r>
      </w:fldSimple>
      <w:bookmarkEnd w:id="262"/>
      <w:r>
        <w:tab/>
        <w:t>National Framework high-level concept map (program logic)</w:t>
      </w:r>
    </w:p>
    <w:p w14:paraId="70C51D28" w14:textId="77777777" w:rsidR="006C5146" w:rsidRDefault="006C5146" w:rsidP="003B0E84">
      <w:pPr>
        <w:pStyle w:val="PwCNormal"/>
        <w:numPr>
          <w:ilvl w:val="0"/>
          <w:numId w:val="0"/>
        </w:numPr>
        <w:sectPr w:rsidR="006C5146" w:rsidSect="006C5146">
          <w:headerReference w:type="even" r:id="rId92"/>
          <w:headerReference w:type="default" r:id="rId93"/>
          <w:footerReference w:type="even" r:id="rId94"/>
          <w:footerReference w:type="default" r:id="rId95"/>
          <w:headerReference w:type="first" r:id="rId96"/>
          <w:footerReference w:type="first" r:id="rId97"/>
          <w:pgSz w:w="16840" w:h="11907" w:orient="landscape" w:code="9"/>
          <w:pgMar w:top="1644" w:right="1020" w:bottom="1417" w:left="1020" w:header="567" w:footer="567" w:gutter="0"/>
          <w:cols w:space="227"/>
          <w:docGrid w:linePitch="360"/>
        </w:sectPr>
      </w:pPr>
      <w:r w:rsidRPr="005E529B">
        <w:rPr>
          <w:noProof/>
          <w:lang w:eastAsia="en-AU"/>
        </w:rPr>
        <w:drawing>
          <wp:inline distT="0" distB="0" distL="0" distR="0" wp14:anchorId="7C2A3914" wp14:editId="6B25F355">
            <wp:extent cx="9166781" cy="4870228"/>
            <wp:effectExtent l="0" t="0" r="0" b="6985"/>
            <wp:docPr id="229" name="Picture 229" descr="NATIONAL FRAMEWORK HIGH-LEVEL CONCEPT MAP (PROGRAM LOGIC)&#10;&#10;The high level outcome is Australia’s children and young people are safe and well.&#10;&#10;The target is to achieve a substantial and sustained reduction in child abuse and neglect in Australia over time.&#10;&#10;There are four Measures:&#10;1. Trends in key national indicators of children’s health, development and wellbeing.&#10;2. Trends in substantiated child protection cases. &#10;3. Trends in the number of children in out-of-home care. &#10;4. Trend in hospital admissions and emergency department visits for neglect and injuries to children under three years.&#10;&#10;There are six supporting outcomes:&#10;1. Children live in safe and supportive families and communities.&#10;2. Children and families access adequate support to promote safety and intervene early.&#10;3. Risk factors for child abuse and neglect are addressed.&#10;4. Children who have been abused or neglected receive the support and care they need for their safety and wellbeing.&#10;5. Indigenous children are supported and safe in their families and communities.&#10;6. Child sexual abuse and exploitation is prevented and survivors receive adequate support.&#10;&#10;The indicators for supporting outcome one Children live in safe and supportive families and communities are:&#10;• Community attitudes towards and value of children&#10;• Children’s perception of their value within the community&#10;• Measure of children’s and young people’s participation in administrative and judicial proceedings that affect them.&#10;&#10;The indicators for supporting outcome two Children and families access adequate support to promote safety and intervene early are:&#10;• Proportion of pregnant women who receive perinatal care&#10;• Number of at risk children and families accessing support services&#10;• Rate per 100,000 babies born with low birth weight&#10;• Proportion of communities with improved measures against the Australian Early Development Index.&#10;• Proportion of disadvantage three year olds in early childhood education.&#10;• Proportion of children aged four years to 14 years with mental health problems.&#10;• Rate of child protection notifications.&#10;&#10;The indicators for supporting outcome three Risk factors for child abuse and neglect are addressed are:&#10;• Rate per 1,000 children living in households where there is adult abuse of alcohol and/or other drugs&#10;• Rate per 1,000 children accessing assistance through homelessness services (accompanied or unaccompanied).&#10;• Number of children living in jobless families.&#10;• Rate per 1,000 children living in households where family violence occurs.&#10;• Proportion of parents with a mental illness who are accessing mental health services.&#10;&#10;The indicators for supporting outcome four Children who have been abused or neglected receive the support and care they need for their safety and wellbeing are&#10;• Proportion of investigation finalised by the time taken to complete investigation.&#10;• Proportion of children on guardianship and custody orders achieving national reading and numeracy benchmarks.&#10;• School retention rates (years 10 and 12) if young people in out-of-home care or under guardianship (TBD).&#10;• Retention rate of foster carers and child protection workers (TBD).&#10;• Number of out-of-home carers by type and order.&#10;&#10;The indicators for supporting outcome five Indigenous children are supported and safe in their families and communities are:&#10;• Rate per 1,000 Indigenous children with substantiated cases compared to other children.&#10;• Rate per 1,000 Indigenous children in out-of-home care compared to other children.&#10;• Proportion of Indigenous children places in accordance with the Indigenous Child Placement Principle.&#10;• Proportion of Indigenous children 3 to 4 years olds participating in quality early childhood education, development and child care services.&#10;• Rate of hospitalisations for injury and poisoning for Indigenous children aged 0 to 4 years.&#10;• Ratio of Indigenous out-of-home care placement through mainstream or Indigenous services.&#10;&#10;The indicators for supporting outcome six Child sexual abuse and exploitation is prevented and survivors receive adequate support are&#10;• Rate per 100,000 children aged zero to four, five to nine, 10 to 14 and 15 to 19 reported with sexually transmitted diseases.&#10;• Number of individuals and organisations prosecuted for sexually exploiting children.&#10;• Number and rate of children with substantiations related to sexual abuse.&#10;&#10;Strategies and actions feed into these supporting outcomes and indicators.&#10;" title="Figure 14 National Framework high-level concept map (program 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173140" cy="4873606"/>
                    </a:xfrm>
                    <a:prstGeom prst="rect">
                      <a:avLst/>
                    </a:prstGeom>
                    <a:noFill/>
                    <a:ln>
                      <a:noFill/>
                    </a:ln>
                  </pic:spPr>
                </pic:pic>
              </a:graphicData>
            </a:graphic>
          </wp:inline>
        </w:drawing>
      </w:r>
      <w:r w:rsidRPr="005E529B">
        <w:t xml:space="preserve"> </w:t>
      </w:r>
    </w:p>
    <w:p w14:paraId="54FC8D21" w14:textId="61DBD84F" w:rsidR="006C5146" w:rsidRDefault="006C5146" w:rsidP="006C5146">
      <w:pPr>
        <w:pStyle w:val="PwCNormal"/>
        <w:numPr>
          <w:ilvl w:val="0"/>
          <w:numId w:val="0"/>
        </w:numPr>
      </w:pPr>
      <w:r>
        <w:lastRenderedPageBreak/>
        <w:fldChar w:fldCharType="begin"/>
      </w:r>
      <w:r>
        <w:instrText xml:space="preserve"> REF _Ref22207755 \h </w:instrText>
      </w:r>
      <w:r>
        <w:fldChar w:fldCharType="separate"/>
      </w:r>
      <w:r w:rsidR="00D75351">
        <w:t xml:space="preserve">Figure </w:t>
      </w:r>
      <w:r w:rsidR="00D75351">
        <w:rPr>
          <w:noProof/>
        </w:rPr>
        <w:t>14</w:t>
      </w:r>
      <w:r>
        <w:fldChar w:fldCharType="end"/>
      </w:r>
      <w:r>
        <w:t xml:space="preserve"> has been used as a tool to unpack the Key Evaluation Questions and sub-questions to confirm that lines of inquiry are comprehensive.</w:t>
      </w:r>
    </w:p>
    <w:p w14:paraId="77BEFFBB" w14:textId="77777777" w:rsidR="006C5146" w:rsidRDefault="006C5146" w:rsidP="00B95734">
      <w:pPr>
        <w:pStyle w:val="Heading8"/>
        <w:numPr>
          <w:ilvl w:val="6"/>
          <w:numId w:val="43"/>
        </w:numPr>
      </w:pPr>
      <w:r>
        <w:t>Evaluation type</w:t>
      </w:r>
    </w:p>
    <w:p w14:paraId="7565937B" w14:textId="77777777" w:rsidR="006C5146" w:rsidRPr="003F4DA6" w:rsidRDefault="006C5146" w:rsidP="006C5146">
      <w:pPr>
        <w:pStyle w:val="PwCNormal"/>
      </w:pPr>
      <w:r>
        <w:t xml:space="preserve">A range of approaches may be appropriate to </w:t>
      </w:r>
      <w:r w:rsidRPr="003F4DA6">
        <w:t>evaluat</w:t>
      </w:r>
      <w:r>
        <w:t>e</w:t>
      </w:r>
      <w:r w:rsidRPr="003F4DA6">
        <w:t xml:space="preserve"> strategies and action plans </w:t>
      </w:r>
      <w:r>
        <w:t>including</w:t>
      </w:r>
      <w:r w:rsidRPr="003F4DA6">
        <w:t xml:space="preserve">: </w:t>
      </w:r>
    </w:p>
    <w:p w14:paraId="54D7BAE9" w14:textId="77777777" w:rsidR="006C5146" w:rsidRPr="003F4DA6" w:rsidRDefault="006C5146" w:rsidP="00B95734">
      <w:pPr>
        <w:pStyle w:val="PwCNormal"/>
        <w:numPr>
          <w:ilvl w:val="0"/>
          <w:numId w:val="38"/>
        </w:numPr>
      </w:pPr>
      <w:r w:rsidRPr="003F4DA6">
        <w:t>formative: an adaptive approach which enables refinement as the program or strategy is being implemented</w:t>
      </w:r>
    </w:p>
    <w:p w14:paraId="732A65C4" w14:textId="77777777" w:rsidR="006C5146" w:rsidRPr="003F4DA6" w:rsidRDefault="006C5146" w:rsidP="00B95734">
      <w:pPr>
        <w:pStyle w:val="PwCNormal"/>
        <w:numPr>
          <w:ilvl w:val="0"/>
          <w:numId w:val="38"/>
        </w:numPr>
      </w:pPr>
      <w:r w:rsidRPr="003F4DA6">
        <w:t>process: determines whether the strategy was implemented as intended</w:t>
      </w:r>
    </w:p>
    <w:p w14:paraId="3C8F0A56" w14:textId="77777777" w:rsidR="006C5146" w:rsidRPr="003F4DA6" w:rsidRDefault="006C5146" w:rsidP="00B95734">
      <w:pPr>
        <w:pStyle w:val="PwCNormal"/>
        <w:numPr>
          <w:ilvl w:val="0"/>
          <w:numId w:val="38"/>
        </w:numPr>
      </w:pPr>
      <w:r w:rsidRPr="003F4DA6">
        <w:t xml:space="preserve">outcomes: measures the progress of the strategy in terms of outcomes </w:t>
      </w:r>
    </w:p>
    <w:p w14:paraId="568C6214" w14:textId="77777777" w:rsidR="006C5146" w:rsidRPr="003F4DA6" w:rsidRDefault="006C5146" w:rsidP="00B95734">
      <w:pPr>
        <w:pStyle w:val="PwCNormal"/>
        <w:numPr>
          <w:ilvl w:val="0"/>
          <w:numId w:val="38"/>
        </w:numPr>
      </w:pPr>
      <w:r w:rsidRPr="003F4DA6">
        <w:t>impact: assesses the overall effectiveness of the strategy often compared to valid counterfactual.</w:t>
      </w:r>
    </w:p>
    <w:p w14:paraId="629B7520" w14:textId="77777777" w:rsidR="006C5146" w:rsidRPr="003F4DA6" w:rsidRDefault="006C5146" w:rsidP="006C5146">
      <w:pPr>
        <w:pStyle w:val="PwCNormal"/>
      </w:pPr>
      <w:r>
        <w:t>A</w:t>
      </w:r>
      <w:r w:rsidRPr="003F4DA6">
        <w:t xml:space="preserve"> mixed method approach </w:t>
      </w:r>
      <w:r>
        <w:t xml:space="preserve">will be adopted for this evaluation </w:t>
      </w:r>
      <w:r w:rsidRPr="003F4DA6">
        <w:t>compris</w:t>
      </w:r>
      <w:r>
        <w:t>ing</w:t>
      </w:r>
      <w:r w:rsidRPr="003F4DA6">
        <w:t xml:space="preserve"> components of formative, process and outcomes evaluation methodology noting that an impact evaluation is beyond the scope envisaged by </w:t>
      </w:r>
      <w:r>
        <w:t>DSS’</w:t>
      </w:r>
      <w:r w:rsidRPr="003F4DA6">
        <w:t xml:space="preserve"> evaluation questions. </w:t>
      </w:r>
    </w:p>
    <w:p w14:paraId="00E940FE" w14:textId="77777777" w:rsidR="006C5146" w:rsidRDefault="006C5146" w:rsidP="006C5146">
      <w:pPr>
        <w:pStyle w:val="PwCNormal"/>
      </w:pPr>
      <w:r>
        <w:t>A</w:t>
      </w:r>
      <w:r w:rsidRPr="003F4DA6">
        <w:t xml:space="preserve"> combination of quantitative and qualitative methodologies </w:t>
      </w:r>
      <w:r>
        <w:t xml:space="preserve">will be deployed </w:t>
      </w:r>
      <w:r w:rsidRPr="003F4DA6">
        <w:t xml:space="preserve">to assess effectiveness of the development of the framework, the influence that the Framework and Third and Fourth Action Plans have had on the policy agenda for children and young people and the extent to which the National Framework achieved its intended outcomes (with consideration to barriers and enablers). </w:t>
      </w:r>
      <w:r>
        <w:t>In particular it will comprise:</w:t>
      </w:r>
    </w:p>
    <w:p w14:paraId="0F6F0720" w14:textId="77777777" w:rsidR="006C5146" w:rsidRDefault="006C5146" w:rsidP="00B95734">
      <w:pPr>
        <w:pStyle w:val="PwCNormal"/>
        <w:numPr>
          <w:ilvl w:val="0"/>
          <w:numId w:val="39"/>
        </w:numPr>
      </w:pPr>
      <w:r>
        <w:t>a strong focus on qualitative analysis: understanding the experiences, insights, observations and perspectives of the diverse range of individuals and organisations with an interest in, or responsibility for, implementation of the National Framework will be a key foundation to the evaluation.</w:t>
      </w:r>
      <w:r w:rsidRPr="00942B6D">
        <w:t xml:space="preserve"> </w:t>
      </w:r>
      <w:r>
        <w:t xml:space="preserve">This will include developing a contemporary picture of the </w:t>
      </w:r>
      <w:r w:rsidRPr="008B3589">
        <w:t>current policy, legislative and program management arrangements in place in each jurisdiction</w:t>
      </w:r>
      <w:r>
        <w:t xml:space="preserve">. </w:t>
      </w:r>
    </w:p>
    <w:p w14:paraId="3171089B" w14:textId="77777777" w:rsidR="006C5146" w:rsidRDefault="006C5146" w:rsidP="00B95734">
      <w:pPr>
        <w:pStyle w:val="PwCNormal"/>
        <w:numPr>
          <w:ilvl w:val="0"/>
          <w:numId w:val="39"/>
        </w:numPr>
      </w:pPr>
      <w:r>
        <w:t>quantitative analysis: w</w:t>
      </w:r>
      <w:r w:rsidRPr="008B3589">
        <w:t xml:space="preserve">e </w:t>
      </w:r>
      <w:r>
        <w:t xml:space="preserve">confirm our understanding that </w:t>
      </w:r>
      <w:r w:rsidRPr="008B3589">
        <w:t xml:space="preserve">this evaluation is not anticipated to include a comprehensive audit of actions implemented under the Action Plans, or assess the effectiveness of each individual action or plan. </w:t>
      </w:r>
      <w:r>
        <w:t>A summative assessment is to be made of the National Framework leveraging existing reports and published data.</w:t>
      </w:r>
    </w:p>
    <w:p w14:paraId="5863E734" w14:textId="77777777" w:rsidR="006C5146" w:rsidRDefault="006C5146" w:rsidP="006C5146">
      <w:pPr>
        <w:pStyle w:val="PwCNormal"/>
        <w:numPr>
          <w:ilvl w:val="0"/>
          <w:numId w:val="0"/>
        </w:numPr>
      </w:pPr>
      <w:r>
        <w:t>An additional sub-question has been proposed to ensure that the evaluation appropriately considers:</w:t>
      </w:r>
    </w:p>
    <w:p w14:paraId="0BA9A3A0" w14:textId="77777777" w:rsidR="006C5146" w:rsidRDefault="006C5146" w:rsidP="00B95734">
      <w:pPr>
        <w:pStyle w:val="PwCNormal"/>
        <w:numPr>
          <w:ilvl w:val="0"/>
          <w:numId w:val="41"/>
        </w:numPr>
      </w:pPr>
      <w:r>
        <w:t>the effectiveness of the Framework and Action Plans in achieving broader outcomes particularly coordinating effort across governments and the non-government sector and reducing the prevalence of child abuse and neglect</w:t>
      </w:r>
    </w:p>
    <w:p w14:paraId="05F6F850" w14:textId="77777777" w:rsidR="00BA5316" w:rsidRDefault="006C5146" w:rsidP="003B0E84">
      <w:pPr>
        <w:pStyle w:val="PwCNormal"/>
        <w:numPr>
          <w:ilvl w:val="0"/>
          <w:numId w:val="0"/>
        </w:numPr>
      </w:pPr>
      <w:r>
        <w:t xml:space="preserve">the </w:t>
      </w:r>
      <w:r w:rsidRPr="00BF5088">
        <w:t>extent to which the headline outcome, target, measures, supporting outcomes and indicators have been met</w:t>
      </w:r>
      <w:r>
        <w:t>.</w:t>
      </w:r>
      <w:bookmarkStart w:id="263" w:name="_Ref22218290"/>
      <w:bookmarkStart w:id="264" w:name="_Toc23772141"/>
      <w:bookmarkStart w:id="265" w:name="_Toc30582411"/>
    </w:p>
    <w:p w14:paraId="6EA0B79A" w14:textId="77777777" w:rsidR="006C5146" w:rsidRPr="00BA5316" w:rsidRDefault="006C5146" w:rsidP="003B0E84">
      <w:pPr>
        <w:pStyle w:val="PwCNormal"/>
        <w:numPr>
          <w:ilvl w:val="0"/>
          <w:numId w:val="0"/>
        </w:numPr>
        <w:rPr>
          <w:b/>
        </w:rPr>
      </w:pPr>
      <w:r w:rsidRPr="00BA5316">
        <w:rPr>
          <w:b/>
        </w:rPr>
        <w:t>Key evaluation questions</w:t>
      </w:r>
      <w:bookmarkEnd w:id="263"/>
      <w:bookmarkEnd w:id="264"/>
      <w:bookmarkEnd w:id="265"/>
    </w:p>
    <w:p w14:paraId="26B08509" w14:textId="77777777" w:rsidR="006C5146" w:rsidRDefault="006C5146" w:rsidP="006C5146">
      <w:pPr>
        <w:pStyle w:val="PwCNormal"/>
      </w:pPr>
      <w:r>
        <w:t xml:space="preserve">Three key evaluation domains are specified: </w:t>
      </w:r>
    </w:p>
    <w:p w14:paraId="5CEC67EF" w14:textId="77777777" w:rsidR="00443F56" w:rsidRDefault="00443F56" w:rsidP="00B95734">
      <w:pPr>
        <w:pStyle w:val="PwCNormal"/>
        <w:numPr>
          <w:ilvl w:val="0"/>
          <w:numId w:val="40"/>
        </w:numPr>
      </w:pPr>
      <w:r w:rsidRPr="00F40F8E">
        <w:rPr>
          <w:b/>
        </w:rPr>
        <w:t xml:space="preserve">Domain </w:t>
      </w:r>
      <w:r>
        <w:rPr>
          <w:b/>
        </w:rPr>
        <w:t>1</w:t>
      </w:r>
      <w:r w:rsidRPr="00F40F8E">
        <w:rPr>
          <w:b/>
        </w:rPr>
        <w:t>: Outcomes:</w:t>
      </w:r>
      <w:r>
        <w:t xml:space="preserve"> achievement of intended outcomes (barriers and enablers)</w:t>
      </w:r>
    </w:p>
    <w:p w14:paraId="745C2878" w14:textId="77777777" w:rsidR="00443F56" w:rsidRDefault="00443F56" w:rsidP="00B95734">
      <w:pPr>
        <w:pStyle w:val="PwCNormal"/>
        <w:numPr>
          <w:ilvl w:val="0"/>
          <w:numId w:val="40"/>
        </w:numPr>
      </w:pPr>
      <w:r w:rsidRPr="00F40F8E">
        <w:rPr>
          <w:b/>
        </w:rPr>
        <w:t>Domain 2: Effectiveness:</w:t>
      </w:r>
      <w:r>
        <w:t xml:space="preserve"> supporting the policy agenda for children and young people</w:t>
      </w:r>
    </w:p>
    <w:p w14:paraId="0E896BF9" w14:textId="77777777" w:rsidR="006C5146" w:rsidRPr="00942B6D" w:rsidRDefault="006C5146" w:rsidP="00B95734">
      <w:pPr>
        <w:pStyle w:val="PwCNormal"/>
        <w:numPr>
          <w:ilvl w:val="0"/>
          <w:numId w:val="40"/>
        </w:numPr>
      </w:pPr>
      <w:r w:rsidRPr="00F40F8E">
        <w:rPr>
          <w:b/>
        </w:rPr>
        <w:t xml:space="preserve">Domain </w:t>
      </w:r>
      <w:r w:rsidR="00443F56">
        <w:rPr>
          <w:b/>
        </w:rPr>
        <w:t>3</w:t>
      </w:r>
      <w:r w:rsidRPr="00F40F8E">
        <w:rPr>
          <w:b/>
        </w:rPr>
        <w:t>: Effectiveness and appropriateness</w:t>
      </w:r>
      <w:r w:rsidRPr="00942B6D">
        <w:t>: development processes</w:t>
      </w:r>
    </w:p>
    <w:p w14:paraId="48FFE3FB" w14:textId="04D5D8D1" w:rsidR="006C5146" w:rsidRDefault="006C5146" w:rsidP="006C5146">
      <w:pPr>
        <w:pStyle w:val="PwCNormal"/>
      </w:pPr>
      <w:r>
        <w:t>The Key Evaluation Questions and sub-questions aligned to these three evaluation domains is set out in</w:t>
      </w:r>
      <w:r w:rsidR="00E179AB">
        <w:t xml:space="preserve"> </w:t>
      </w:r>
      <w:r w:rsidR="00E179AB">
        <w:fldChar w:fldCharType="begin"/>
      </w:r>
      <w:r w:rsidR="00E179AB">
        <w:instrText xml:space="preserve"> REF _Ref36578587 \h </w:instrText>
      </w:r>
      <w:r w:rsidR="00233EB0">
        <w:instrText xml:space="preserve"> \* MERGEFORMAT </w:instrText>
      </w:r>
      <w:r w:rsidR="00E179AB">
        <w:fldChar w:fldCharType="separate"/>
      </w:r>
      <w:r w:rsidR="00D75351" w:rsidRPr="00D75351">
        <w:t>Table 14</w:t>
      </w:r>
      <w:r w:rsidR="00E179AB">
        <w:fldChar w:fldCharType="end"/>
      </w:r>
      <w:r w:rsidR="00E179AB">
        <w:t xml:space="preserve"> at the end of this section.</w:t>
      </w:r>
    </w:p>
    <w:p w14:paraId="1BD9FAB0" w14:textId="77777777" w:rsidR="00E179AB" w:rsidRDefault="00E179AB" w:rsidP="00B95734">
      <w:pPr>
        <w:pStyle w:val="Heading8"/>
        <w:numPr>
          <w:ilvl w:val="6"/>
          <w:numId w:val="43"/>
        </w:numPr>
      </w:pPr>
      <w:r>
        <w:lastRenderedPageBreak/>
        <w:t>Data</w:t>
      </w:r>
      <w:r w:rsidR="00A85824">
        <w:t xml:space="preserve"> collection and capture</w:t>
      </w:r>
    </w:p>
    <w:p w14:paraId="1472F800" w14:textId="77777777" w:rsidR="00A85824" w:rsidRDefault="00A85824" w:rsidP="00A85824">
      <w:pPr>
        <w:pStyle w:val="PwCNormal"/>
        <w:numPr>
          <w:ilvl w:val="0"/>
          <w:numId w:val="0"/>
        </w:numPr>
      </w:pPr>
      <w:r>
        <w:t xml:space="preserve">This evaluation relies on both the analysis of available information as well as stakeholder consultation to provide insights. A brief summary of these data collection approaches is described in the following sections.  </w:t>
      </w:r>
    </w:p>
    <w:p w14:paraId="19A0C51C" w14:textId="77777777" w:rsidR="00A85824" w:rsidRPr="00FA3E74" w:rsidRDefault="00A85824" w:rsidP="00FA3E74">
      <w:pPr>
        <w:pStyle w:val="ChapterNumberedList1"/>
        <w:numPr>
          <w:ilvl w:val="0"/>
          <w:numId w:val="0"/>
        </w:numPr>
        <w:ind w:left="567" w:hanging="567"/>
        <w:rPr>
          <w:b/>
          <w:bCs/>
        </w:rPr>
      </w:pPr>
      <w:r w:rsidRPr="00FA3E74">
        <w:rPr>
          <w:b/>
          <w:bCs/>
        </w:rPr>
        <w:t>Stakeholder consultation</w:t>
      </w:r>
    </w:p>
    <w:p w14:paraId="47B683FC" w14:textId="672A5940" w:rsidR="00A85824" w:rsidRPr="00A85824" w:rsidRDefault="00A85824" w:rsidP="00A85824">
      <w:pPr>
        <w:pStyle w:val="PwCNormal"/>
      </w:pPr>
      <w:r w:rsidRPr="00FA3E74">
        <w:rPr>
          <w:lang w:val="en-US"/>
        </w:rPr>
        <w:t>Consultations were undertaken with stakeholders across Australia representing jurisdictional, sectoral and academic perspectives. Stakeholders were identified by DSS and consulted between October 2019</w:t>
      </w:r>
      <w:r w:rsidR="00E11E27">
        <w:rPr>
          <w:lang w:val="en-US"/>
        </w:rPr>
        <w:t xml:space="preserve"> </w:t>
      </w:r>
      <w:r w:rsidRPr="00FA3E74">
        <w:rPr>
          <w:lang w:val="en-US"/>
        </w:rPr>
        <w:t>– January 2020</w:t>
      </w:r>
      <w:r w:rsidRPr="00A85824">
        <w:rPr>
          <w:lang w:val="en-US"/>
        </w:rPr>
        <w:t xml:space="preserve">. </w:t>
      </w:r>
      <w:r w:rsidRPr="00A85824">
        <w:t>Engagement</w:t>
      </w:r>
      <w:r>
        <w:t xml:space="preserve"> was undertaken through:</w:t>
      </w:r>
    </w:p>
    <w:p w14:paraId="3FF238F5" w14:textId="0DA243E9" w:rsidR="00A85824" w:rsidRPr="00A85824" w:rsidRDefault="00A85824" w:rsidP="00B95734">
      <w:pPr>
        <w:pStyle w:val="PwCNormal"/>
        <w:numPr>
          <w:ilvl w:val="0"/>
          <w:numId w:val="49"/>
        </w:numPr>
      </w:pPr>
      <w:r w:rsidRPr="00A85824">
        <w:rPr>
          <w:b/>
          <w:bCs/>
        </w:rPr>
        <w:t xml:space="preserve">Early notification </w:t>
      </w:r>
      <w:r w:rsidRPr="00A85824">
        <w:t xml:space="preserve">by DSS to stakeholders of the evaluation </w:t>
      </w:r>
    </w:p>
    <w:p w14:paraId="4A7FE3BF" w14:textId="66CA59CD" w:rsidR="00A85824" w:rsidRPr="00A85824" w:rsidRDefault="00A85824" w:rsidP="00B95734">
      <w:pPr>
        <w:pStyle w:val="PwCNormal"/>
        <w:numPr>
          <w:ilvl w:val="0"/>
          <w:numId w:val="49"/>
        </w:numPr>
      </w:pPr>
      <w:r w:rsidRPr="00A85824">
        <w:rPr>
          <w:b/>
          <w:bCs/>
        </w:rPr>
        <w:t xml:space="preserve">Phone contact </w:t>
      </w:r>
      <w:r w:rsidRPr="00A85824">
        <w:t>by PwC/PIC, supported by a guiding script, to schedule engagement</w:t>
      </w:r>
    </w:p>
    <w:p w14:paraId="275100F0" w14:textId="77777777" w:rsidR="00A85824" w:rsidRPr="00A85824" w:rsidRDefault="00A85824" w:rsidP="00B95734">
      <w:pPr>
        <w:pStyle w:val="PwCNormal"/>
        <w:numPr>
          <w:ilvl w:val="0"/>
          <w:numId w:val="49"/>
        </w:numPr>
      </w:pPr>
      <w:r w:rsidRPr="00A85824">
        <w:rPr>
          <w:b/>
          <w:bCs/>
        </w:rPr>
        <w:t xml:space="preserve">Circulation of a calendar invitation </w:t>
      </w:r>
      <w:r w:rsidRPr="00A85824">
        <w:t xml:space="preserve">with teleconference/location details and including a standardised invitation script </w:t>
      </w:r>
    </w:p>
    <w:p w14:paraId="699DB5E6" w14:textId="77777777" w:rsidR="00A85824" w:rsidRPr="00A85824" w:rsidRDefault="00A85824" w:rsidP="00B95734">
      <w:pPr>
        <w:pStyle w:val="PwCNormal"/>
        <w:numPr>
          <w:ilvl w:val="0"/>
          <w:numId w:val="49"/>
        </w:numPr>
      </w:pPr>
      <w:r w:rsidRPr="00A85824">
        <w:rPr>
          <w:b/>
          <w:bCs/>
        </w:rPr>
        <w:t>Provision of a</w:t>
      </w:r>
      <w:r w:rsidR="00C90CD4">
        <w:rPr>
          <w:b/>
          <w:bCs/>
        </w:rPr>
        <w:t xml:space="preserve">n information sheet </w:t>
      </w:r>
      <w:r w:rsidRPr="00A85824">
        <w:t>that provides context to the objectives of the evaluation</w:t>
      </w:r>
    </w:p>
    <w:p w14:paraId="62583A07" w14:textId="77777777" w:rsidR="00A85824" w:rsidRPr="00A85824" w:rsidRDefault="00A85824" w:rsidP="00B95734">
      <w:pPr>
        <w:pStyle w:val="PwCNormal"/>
        <w:numPr>
          <w:ilvl w:val="0"/>
          <w:numId w:val="49"/>
        </w:numPr>
      </w:pPr>
      <w:r w:rsidRPr="00A85824">
        <w:t>During consultation, upfront acknowledgement of how</w:t>
      </w:r>
      <w:r w:rsidRPr="00A85824">
        <w:rPr>
          <w:b/>
          <w:bCs/>
        </w:rPr>
        <w:t xml:space="preserve"> information collected </w:t>
      </w:r>
      <w:r w:rsidRPr="00A85824">
        <w:t xml:space="preserve">through consultation will be documented and used through the evaluation </w:t>
      </w:r>
    </w:p>
    <w:p w14:paraId="6DB719F3" w14:textId="77777777" w:rsidR="00A85824" w:rsidRPr="00A85824" w:rsidRDefault="00A85824" w:rsidP="00B95734">
      <w:pPr>
        <w:pStyle w:val="PwCNormal"/>
        <w:numPr>
          <w:ilvl w:val="0"/>
          <w:numId w:val="49"/>
        </w:numPr>
      </w:pPr>
      <w:r w:rsidRPr="00A85824">
        <w:rPr>
          <w:b/>
          <w:bCs/>
        </w:rPr>
        <w:t xml:space="preserve">Documentation of consultation </w:t>
      </w:r>
      <w:r w:rsidRPr="00A85824">
        <w:t xml:space="preserve">dialogue in the form of a standardised data collection template </w:t>
      </w:r>
    </w:p>
    <w:p w14:paraId="246B5F56" w14:textId="77777777" w:rsidR="00A85824" w:rsidRPr="00FA3E74" w:rsidRDefault="00C90CD4" w:rsidP="00A85824">
      <w:pPr>
        <w:pStyle w:val="PwCNormal"/>
        <w:numPr>
          <w:ilvl w:val="0"/>
          <w:numId w:val="0"/>
        </w:numPr>
        <w:rPr>
          <w:b/>
          <w:bCs/>
        </w:rPr>
      </w:pPr>
      <w:r>
        <w:rPr>
          <w:b/>
          <w:bCs/>
        </w:rPr>
        <w:t>Information sheet</w:t>
      </w:r>
    </w:p>
    <w:p w14:paraId="46353AFC" w14:textId="1C133BFC" w:rsidR="00A85824" w:rsidRDefault="00A85824" w:rsidP="00A85824">
      <w:pPr>
        <w:pStyle w:val="PwCNormal"/>
        <w:numPr>
          <w:ilvl w:val="0"/>
          <w:numId w:val="0"/>
        </w:numPr>
      </w:pPr>
      <w:r>
        <w:t>A</w:t>
      </w:r>
      <w:r w:rsidR="00C90CD4">
        <w:t>n information sheet</w:t>
      </w:r>
      <w:r>
        <w:t xml:space="preserve"> was shared with stakeholders ahead of our meeting with them to outline the scope of our evaluation, its context, as well as the high-level questions to be asked through the consultations. </w:t>
      </w:r>
      <w:r w:rsidR="00FD525E">
        <w:t>A snapshot of the information sheet is shown in</w:t>
      </w:r>
      <w:r>
        <w:t xml:space="preserve"> </w:t>
      </w:r>
      <w:r w:rsidR="00FD525E">
        <w:fldChar w:fldCharType="begin"/>
      </w:r>
      <w:r w:rsidR="00FD525E">
        <w:instrText xml:space="preserve"> REF _Ref36587228 \h </w:instrText>
      </w:r>
      <w:r w:rsidR="00FD525E">
        <w:fldChar w:fldCharType="separate"/>
      </w:r>
      <w:r w:rsidR="00D75351">
        <w:t xml:space="preserve">Figure </w:t>
      </w:r>
      <w:r w:rsidR="00D75351">
        <w:rPr>
          <w:noProof/>
        </w:rPr>
        <w:t>15</w:t>
      </w:r>
      <w:r w:rsidR="00FD525E">
        <w:fldChar w:fldCharType="end"/>
      </w:r>
      <w:r w:rsidR="00FD525E">
        <w:t>.</w:t>
      </w:r>
    </w:p>
    <w:p w14:paraId="0324C019" w14:textId="16ACB862" w:rsidR="00FD525E" w:rsidRDefault="00FD525E" w:rsidP="00FD525E">
      <w:pPr>
        <w:pStyle w:val="Caption"/>
      </w:pPr>
      <w:bookmarkStart w:id="266" w:name="_Ref36587228"/>
      <w:r>
        <w:lastRenderedPageBreak/>
        <w:t xml:space="preserve">Figure </w:t>
      </w:r>
      <w:fldSimple w:instr=" SEQ Figure \* ARABIC ">
        <w:r w:rsidR="00D75351">
          <w:rPr>
            <w:noProof/>
          </w:rPr>
          <w:t>15</w:t>
        </w:r>
      </w:fldSimple>
      <w:bookmarkEnd w:id="266"/>
      <w:r>
        <w:t>: Information sheet provided to stakeholders</w:t>
      </w:r>
    </w:p>
    <w:p w14:paraId="33EA3DCC" w14:textId="77777777" w:rsidR="00A85824" w:rsidRDefault="00C90CD4" w:rsidP="00A85824">
      <w:pPr>
        <w:pStyle w:val="PwCNormal"/>
        <w:numPr>
          <w:ilvl w:val="0"/>
          <w:numId w:val="0"/>
        </w:numPr>
      </w:pPr>
      <w:r w:rsidRPr="00C90CD4">
        <w:rPr>
          <w:noProof/>
          <w:lang w:eastAsia="en-AU"/>
        </w:rPr>
        <w:drawing>
          <wp:inline distT="0" distB="0" distL="0" distR="0" wp14:anchorId="123322F5" wp14:editId="499BC986">
            <wp:extent cx="5809633" cy="6410325"/>
            <wp:effectExtent l="0" t="0" r="635" b="0"/>
            <wp:docPr id="38" name="Picture 38" descr="This is a picture of the 6 page information sheet.  It is a visual representation only and not designed to be read." title="A snapshot of the information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10046" cy="6410781"/>
                    </a:xfrm>
                    <a:prstGeom prst="rect">
                      <a:avLst/>
                    </a:prstGeom>
                    <a:noFill/>
                    <a:ln>
                      <a:noFill/>
                    </a:ln>
                  </pic:spPr>
                </pic:pic>
              </a:graphicData>
            </a:graphic>
          </wp:inline>
        </w:drawing>
      </w:r>
    </w:p>
    <w:p w14:paraId="3C51963A" w14:textId="77777777" w:rsidR="00A85824" w:rsidRPr="00FA3E74" w:rsidRDefault="00FD525E" w:rsidP="00A85824">
      <w:pPr>
        <w:pStyle w:val="PwCNormal"/>
        <w:numPr>
          <w:ilvl w:val="0"/>
          <w:numId w:val="0"/>
        </w:numPr>
        <w:rPr>
          <w:b/>
          <w:bCs/>
        </w:rPr>
      </w:pPr>
      <w:r w:rsidRPr="00FA3E74">
        <w:rPr>
          <w:b/>
          <w:bCs/>
        </w:rPr>
        <w:t>Consultation guide</w:t>
      </w:r>
    </w:p>
    <w:p w14:paraId="20FCF4C1" w14:textId="6C8DC4D1" w:rsidR="00FD525E" w:rsidRDefault="00FD525E" w:rsidP="00A85824">
      <w:pPr>
        <w:pStyle w:val="PwCNormal"/>
        <w:numPr>
          <w:ilvl w:val="0"/>
          <w:numId w:val="0"/>
        </w:numPr>
      </w:pPr>
      <w:r>
        <w:t xml:space="preserve">To support our team to undertake consultations, a consultation guide was prepared to guide our questioning of stakeholders. This assisted us to ask questions in a consistent way and to cover all elements of the evaluation framework with stakeholders. All stakeholders were provided with upfront context and an opportunity to introduce their experience with the National Framework. Stakeholders were also asked to acknowledge that our team was taking notes for the purposes of informing this evaluation. A high-level overview of the consultation guide is shown in </w:t>
      </w:r>
      <w:r>
        <w:fldChar w:fldCharType="begin"/>
      </w:r>
      <w:r>
        <w:instrText xml:space="preserve"> REF _Ref36587690 \h </w:instrText>
      </w:r>
      <w:r>
        <w:fldChar w:fldCharType="separate"/>
      </w:r>
      <w:r w:rsidR="00D75351">
        <w:t xml:space="preserve">Figure </w:t>
      </w:r>
      <w:r w:rsidR="00D75351">
        <w:rPr>
          <w:noProof/>
        </w:rPr>
        <w:t>16</w:t>
      </w:r>
      <w:r>
        <w:fldChar w:fldCharType="end"/>
      </w:r>
      <w:r>
        <w:t>.</w:t>
      </w:r>
    </w:p>
    <w:p w14:paraId="2346671B" w14:textId="1F127035" w:rsidR="00FD525E" w:rsidRDefault="00FD525E" w:rsidP="00FD525E">
      <w:pPr>
        <w:pStyle w:val="Caption"/>
      </w:pPr>
      <w:bookmarkStart w:id="267" w:name="_Ref36587690"/>
      <w:r>
        <w:lastRenderedPageBreak/>
        <w:t xml:space="preserve">Figure </w:t>
      </w:r>
      <w:fldSimple w:instr=" SEQ Figure \* ARABIC ">
        <w:r w:rsidR="00D75351">
          <w:rPr>
            <w:noProof/>
          </w:rPr>
          <w:t>16</w:t>
        </w:r>
      </w:fldSimple>
      <w:bookmarkEnd w:id="267"/>
      <w:r>
        <w:t>: PwC/PIC consultation guide</w:t>
      </w:r>
    </w:p>
    <w:p w14:paraId="5EEE4C3A" w14:textId="77777777" w:rsidR="00FD525E" w:rsidRDefault="00FD525E" w:rsidP="00A85824">
      <w:pPr>
        <w:pStyle w:val="PwCNormal"/>
        <w:numPr>
          <w:ilvl w:val="0"/>
          <w:numId w:val="0"/>
        </w:numPr>
      </w:pPr>
      <w:r w:rsidRPr="00FD525E">
        <w:rPr>
          <w:noProof/>
          <w:lang w:eastAsia="en-AU"/>
        </w:rPr>
        <w:drawing>
          <wp:inline distT="0" distB="0" distL="0" distR="0" wp14:anchorId="3AA83D70" wp14:editId="46C32C55">
            <wp:extent cx="5829300" cy="2817446"/>
            <wp:effectExtent l="0" t="0" r="0" b="2540"/>
            <wp:docPr id="40" name="Picture 40" descr="This is a picture of the full consultation guide.  It is a visual representation only and not designed to be read." title="Picture of PwC/PIC consultat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34300" cy="2819863"/>
                    </a:xfrm>
                    <a:prstGeom prst="rect">
                      <a:avLst/>
                    </a:prstGeom>
                    <a:noFill/>
                    <a:ln>
                      <a:noFill/>
                    </a:ln>
                  </pic:spPr>
                </pic:pic>
              </a:graphicData>
            </a:graphic>
          </wp:inline>
        </w:drawing>
      </w:r>
    </w:p>
    <w:p w14:paraId="76EF299B" w14:textId="77777777" w:rsidR="00FD525E" w:rsidRPr="00FA3E74" w:rsidRDefault="00FD525E" w:rsidP="00A85824">
      <w:pPr>
        <w:pStyle w:val="PwCNormal"/>
        <w:numPr>
          <w:ilvl w:val="0"/>
          <w:numId w:val="0"/>
        </w:numPr>
        <w:rPr>
          <w:b/>
          <w:bCs/>
        </w:rPr>
      </w:pPr>
      <w:r w:rsidRPr="00FA3E74">
        <w:rPr>
          <w:b/>
          <w:bCs/>
        </w:rPr>
        <w:t>Data tool</w:t>
      </w:r>
    </w:p>
    <w:p w14:paraId="501C05A9" w14:textId="77777777" w:rsidR="00FD525E" w:rsidRDefault="00FD525E" w:rsidP="00A85824">
      <w:pPr>
        <w:pStyle w:val="PwCNormal"/>
        <w:numPr>
          <w:ilvl w:val="0"/>
          <w:numId w:val="0"/>
        </w:numPr>
      </w:pPr>
      <w:r>
        <w:t xml:space="preserve">Responses from stakeholders were collated in a common data tool, based in excel, that provided </w:t>
      </w:r>
      <w:r w:rsidR="00712666">
        <w:t>the database for this evaluation. The tool was developed to:</w:t>
      </w:r>
    </w:p>
    <w:p w14:paraId="5E120307" w14:textId="77777777" w:rsidR="00712666" w:rsidRDefault="00712666" w:rsidP="00B95734">
      <w:pPr>
        <w:pStyle w:val="PwCNormal"/>
        <w:numPr>
          <w:ilvl w:val="0"/>
          <w:numId w:val="50"/>
        </w:numPr>
      </w:pPr>
      <w:r>
        <w:t>Input notes, based on each evaluation sub-question, for each stakeholder</w:t>
      </w:r>
    </w:p>
    <w:p w14:paraId="740B0D30" w14:textId="77777777" w:rsidR="00712666" w:rsidRDefault="00712666" w:rsidP="00B95734">
      <w:pPr>
        <w:pStyle w:val="PwCNormal"/>
        <w:numPr>
          <w:ilvl w:val="0"/>
          <w:numId w:val="50"/>
        </w:numPr>
      </w:pPr>
      <w:r>
        <w:t>Identify each question response by stakeholder type, date, the relative strength of evidence provided (opinion or with reference to a data point or example)</w:t>
      </w:r>
    </w:p>
    <w:p w14:paraId="6705EEFC" w14:textId="77777777" w:rsidR="00712666" w:rsidRDefault="00712666" w:rsidP="00B95734">
      <w:pPr>
        <w:pStyle w:val="PwCNormal"/>
        <w:numPr>
          <w:ilvl w:val="0"/>
          <w:numId w:val="50"/>
        </w:numPr>
      </w:pPr>
      <w:r>
        <w:t>Identify key themes arising and categorise stakeholder responses</w:t>
      </w:r>
    </w:p>
    <w:p w14:paraId="69AE1FD2" w14:textId="77777777" w:rsidR="00712666" w:rsidRDefault="00712666" w:rsidP="00B95734">
      <w:pPr>
        <w:pStyle w:val="PwCNormal"/>
        <w:numPr>
          <w:ilvl w:val="0"/>
          <w:numId w:val="50"/>
        </w:numPr>
      </w:pPr>
      <w:r>
        <w:t>Undertake a secondary review of theming to ensure that categories assigned were correct, were expanded upon, or a further category assigned to each response</w:t>
      </w:r>
    </w:p>
    <w:p w14:paraId="5807B92B" w14:textId="77777777" w:rsidR="00DE00BA" w:rsidRDefault="00712666" w:rsidP="00B95734">
      <w:pPr>
        <w:pStyle w:val="PwCNormal"/>
        <w:numPr>
          <w:ilvl w:val="0"/>
          <w:numId w:val="50"/>
        </w:numPr>
      </w:pPr>
      <w:r>
        <w:t>Analyse categories to establish weightings of responses and strength of evidence to inform findings</w:t>
      </w:r>
    </w:p>
    <w:p w14:paraId="3B578674" w14:textId="40E5B940" w:rsidR="00DE00BA" w:rsidRDefault="00DE00BA" w:rsidP="00443F56">
      <w:pPr>
        <w:pStyle w:val="PwCNormal"/>
        <w:numPr>
          <w:ilvl w:val="0"/>
          <w:numId w:val="0"/>
        </w:numPr>
      </w:pPr>
      <w:r>
        <w:t xml:space="preserve">A visual view of the documented inputs to the data tool is shown in </w:t>
      </w:r>
      <w:r>
        <w:fldChar w:fldCharType="begin"/>
      </w:r>
      <w:r>
        <w:instrText xml:space="preserve"> REF _Ref36589602 \h </w:instrText>
      </w:r>
      <w:r w:rsidR="00443F56">
        <w:instrText xml:space="preserve"> \* MERGEFORMAT </w:instrText>
      </w:r>
      <w:r>
        <w:fldChar w:fldCharType="separate"/>
      </w:r>
      <w:r w:rsidR="00D75351">
        <w:t>Figure 17</w:t>
      </w:r>
      <w:r>
        <w:fldChar w:fldCharType="end"/>
      </w:r>
      <w:r>
        <w:t xml:space="preserve">. </w:t>
      </w:r>
    </w:p>
    <w:p w14:paraId="27CDF632" w14:textId="77197F1E" w:rsidR="00DE00BA" w:rsidRDefault="00DE00BA" w:rsidP="00DE00BA">
      <w:pPr>
        <w:pStyle w:val="Caption"/>
      </w:pPr>
      <w:bookmarkStart w:id="268" w:name="_Ref36589602"/>
      <w:r>
        <w:t xml:space="preserve">Figure </w:t>
      </w:r>
      <w:fldSimple w:instr=" SEQ Figure \* ARABIC ">
        <w:r w:rsidR="00D75351">
          <w:rPr>
            <w:noProof/>
          </w:rPr>
          <w:t>17</w:t>
        </w:r>
      </w:fldSimple>
      <w:bookmarkEnd w:id="268"/>
      <w:r>
        <w:t>: High-level overview of data tool</w:t>
      </w:r>
    </w:p>
    <w:p w14:paraId="236A9EC7" w14:textId="77777777" w:rsidR="00DE00BA" w:rsidRDefault="00DE00BA" w:rsidP="00712666">
      <w:pPr>
        <w:pStyle w:val="PwCNormal"/>
        <w:numPr>
          <w:ilvl w:val="0"/>
          <w:numId w:val="0"/>
        </w:numPr>
      </w:pPr>
      <w:r w:rsidRPr="00DE00BA">
        <w:rPr>
          <w:noProof/>
          <w:lang w:eastAsia="en-AU"/>
        </w:rPr>
        <w:drawing>
          <wp:inline distT="0" distB="0" distL="0" distR="0" wp14:anchorId="1F937CEB" wp14:editId="7081BC65">
            <wp:extent cx="6264275" cy="1684020"/>
            <wp:effectExtent l="0" t="0" r="0" b="0"/>
            <wp:docPr id="48" name="Picture 48" descr="This is a picture of the full high-level overview of data tool.  It is a visual representation only and not designed to be read." title="Picture of High-level overview of data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64275" cy="1684020"/>
                    </a:xfrm>
                    <a:prstGeom prst="rect">
                      <a:avLst/>
                    </a:prstGeom>
                    <a:noFill/>
                    <a:ln>
                      <a:noFill/>
                    </a:ln>
                  </pic:spPr>
                </pic:pic>
              </a:graphicData>
            </a:graphic>
          </wp:inline>
        </w:drawing>
      </w:r>
    </w:p>
    <w:p w14:paraId="4C59FE20" w14:textId="77777777" w:rsidR="00712666" w:rsidRDefault="00712666" w:rsidP="00712666">
      <w:pPr>
        <w:pStyle w:val="PwCNormal"/>
        <w:numPr>
          <w:ilvl w:val="0"/>
          <w:numId w:val="0"/>
        </w:numPr>
      </w:pPr>
      <w:r>
        <w:t xml:space="preserve">The data tool enabled the evaluation team to analyse the broad dataset captured through consultations. This supported segmentation of data to review common themes and emerging findings by stakeholder type, by evidence source and by </w:t>
      </w:r>
      <w:r>
        <w:lastRenderedPageBreak/>
        <w:t xml:space="preserve">themes. From the over 700 data points collected, the evaluation team considered the themes arising from consultation to balance these against desktop review findings to assess the validity of perspectives shared and to as great an extent as possible, provide rigour to the analysis provided in this report. </w:t>
      </w:r>
    </w:p>
    <w:p w14:paraId="3376F68E" w14:textId="77777777" w:rsidR="00712666" w:rsidRDefault="00712666" w:rsidP="00A85824">
      <w:pPr>
        <w:pStyle w:val="PwCNormal"/>
        <w:numPr>
          <w:ilvl w:val="0"/>
          <w:numId w:val="0"/>
        </w:numPr>
      </w:pPr>
      <w:r>
        <w:t xml:space="preserve">This approach </w:t>
      </w:r>
      <w:r w:rsidR="00DE00BA">
        <w:t xml:space="preserve">lent to objectivity in review of responses provided. </w:t>
      </w:r>
      <w:r>
        <w:t xml:space="preserve">However, the limitations of the stakeholder approach </w:t>
      </w:r>
      <w:r w:rsidR="00DE00BA">
        <w:t xml:space="preserve">– in which stakeholders had varying levels of familiarity and experience with the National Framework – meant that a strict interpretation of results was not deemed appropriate. Instead, some judgment has been applied to derive findings as weightings (multiple stakeholders supporting a point) did not necessarily equate to a given conclusion due to their offering of opinion rather than defensive evidence. Where possible, desktop analysis has been used to balance perspectives provided. </w:t>
      </w:r>
    </w:p>
    <w:p w14:paraId="75DD72C2" w14:textId="77777777" w:rsidR="006C5146" w:rsidRDefault="006C5146" w:rsidP="006C5146">
      <w:pPr>
        <w:pStyle w:val="PwCNormal"/>
      </w:pPr>
    </w:p>
    <w:p w14:paraId="4B888020" w14:textId="77777777" w:rsidR="006C5146" w:rsidRDefault="006C5146" w:rsidP="006C5146">
      <w:pPr>
        <w:pStyle w:val="PwCNormal"/>
        <w:sectPr w:rsidR="006C5146" w:rsidSect="006C5146">
          <w:headerReference w:type="even" r:id="rId102"/>
          <w:headerReference w:type="default" r:id="rId103"/>
          <w:footerReference w:type="even" r:id="rId104"/>
          <w:footerReference w:type="default" r:id="rId105"/>
          <w:headerReference w:type="first" r:id="rId106"/>
          <w:footerReference w:type="first" r:id="rId107"/>
          <w:pgSz w:w="11907" w:h="16840" w:code="9"/>
          <w:pgMar w:top="1588" w:right="1021" w:bottom="1418" w:left="1021" w:header="567" w:footer="567" w:gutter="0"/>
          <w:cols w:space="227"/>
          <w:docGrid w:linePitch="360"/>
        </w:sectPr>
      </w:pPr>
    </w:p>
    <w:p w14:paraId="4EA82B02" w14:textId="0E94EEBE" w:rsidR="003C29CB" w:rsidRPr="003C29CB" w:rsidRDefault="00E179AB" w:rsidP="003C29CB">
      <w:pPr>
        <w:keepNext/>
        <w:keepLines/>
        <w:numPr>
          <w:ilvl w:val="0"/>
          <w:numId w:val="16"/>
        </w:numPr>
        <w:tabs>
          <w:tab w:val="num" w:pos="360"/>
          <w:tab w:val="left" w:pos="992"/>
        </w:tabs>
        <w:spacing w:before="240" w:after="120"/>
        <w:ind w:left="992" w:hanging="992"/>
        <w:rPr>
          <w:bCs/>
          <w:color w:val="D04A02" w:themeColor="accent1"/>
          <w:szCs w:val="18"/>
        </w:rPr>
      </w:pPr>
      <w:bookmarkStart w:id="269" w:name="_Ref36578587"/>
      <w:bookmarkStart w:id="270" w:name="_Ref22211558"/>
      <w:r>
        <w:rPr>
          <w:bCs/>
          <w:color w:val="D04A02" w:themeColor="accent1"/>
          <w:szCs w:val="18"/>
        </w:rPr>
        <w:lastRenderedPageBreak/>
        <w:t>T</w:t>
      </w:r>
      <w:r w:rsidR="003C29CB" w:rsidRPr="003C29CB">
        <w:rPr>
          <w:bCs/>
          <w:color w:val="D04A02" w:themeColor="accent1"/>
          <w:szCs w:val="18"/>
        </w:rPr>
        <w:t xml:space="preserve">able </w:t>
      </w:r>
      <w:r w:rsidR="003C29CB" w:rsidRPr="003C29CB">
        <w:rPr>
          <w:bCs/>
          <w:color w:val="D04A02" w:themeColor="accent1"/>
          <w:szCs w:val="18"/>
        </w:rPr>
        <w:fldChar w:fldCharType="begin"/>
      </w:r>
      <w:r w:rsidR="003C29CB" w:rsidRPr="003C29CB">
        <w:rPr>
          <w:bCs/>
          <w:color w:val="D04A02" w:themeColor="accent1"/>
          <w:szCs w:val="18"/>
        </w:rPr>
        <w:instrText xml:space="preserve"> SEQ Table \* ARABIC </w:instrText>
      </w:r>
      <w:r w:rsidR="003C29CB" w:rsidRPr="003C29CB">
        <w:rPr>
          <w:bCs/>
          <w:color w:val="D04A02" w:themeColor="accent1"/>
          <w:szCs w:val="18"/>
        </w:rPr>
        <w:fldChar w:fldCharType="separate"/>
      </w:r>
      <w:r w:rsidR="00D75351">
        <w:rPr>
          <w:bCs/>
          <w:noProof/>
          <w:color w:val="D04A02" w:themeColor="accent1"/>
          <w:szCs w:val="18"/>
        </w:rPr>
        <w:t>14</w:t>
      </w:r>
      <w:r w:rsidR="003C29CB" w:rsidRPr="003C29CB">
        <w:rPr>
          <w:bCs/>
          <w:noProof/>
          <w:color w:val="D04A02" w:themeColor="accent1"/>
          <w:szCs w:val="18"/>
        </w:rPr>
        <w:fldChar w:fldCharType="end"/>
      </w:r>
      <w:bookmarkEnd w:id="269"/>
      <w:r>
        <w:rPr>
          <w:bCs/>
          <w:color w:val="D04A02" w:themeColor="accent1"/>
          <w:szCs w:val="18"/>
        </w:rPr>
        <w:t xml:space="preserve">: </w:t>
      </w:r>
      <w:r w:rsidR="003C29CB" w:rsidRPr="003C29CB">
        <w:rPr>
          <w:bCs/>
          <w:color w:val="D04A02" w:themeColor="accent1"/>
          <w:szCs w:val="18"/>
        </w:rPr>
        <w:t>Evaluation domains mapped to key evaluation questions and sub-questions</w:t>
      </w:r>
    </w:p>
    <w:tbl>
      <w:tblPr>
        <w:tblStyle w:val="PwCColour"/>
        <w:tblW w:w="5000" w:type="pct"/>
        <w:tblLook w:val="01E0" w:firstRow="1" w:lastRow="1" w:firstColumn="1" w:lastColumn="1" w:noHBand="0" w:noVBand="0"/>
        <w:tblCaption w:val="Table 14 Evaluation domains mapped to key evaluation questions and sub-questions"/>
        <w:tblDescription w:val="Table 14 is a visual representations of evaluation domains mapped to key evaluation questions and sub-questions.&#10;The table consists of three columns, Question domain, Key Evaluation Questions and Evaluation sub-questions.&#10;Question domain one: Outcomes: achievement of intended outcomes (barriers and enablers).  Domain one key evaluation question one. To what extent did the National Framework achieve its intended outcomes and what factors supported or inhibited outcomes?&#10;a. What were the major achievements of the National Framework?&#10;b. What supported and/or inhibited the implementation of the actions listed in the National Framework and Action Plans? What could be improved?&#10;c. What were the strengths and weaknesses of the National Framework, including the effectiveness of its governance structure?&#10;d. What supported and/or inhibited achievement of outcomes listed in the National Framework and Action Plans?&#10;e. How well did the National Framework and the Action Plans work together to achieve outcomes?&#10;f. How effective was the National Framework in informing the agenda for Indigenous priorities, actions and cultural appropriateness?&#10;g. How effective were the National Framework and Action Plans in achieving broader outcomes particularly coordinating effort across governments and the non-government sector and reducing the prevalence of child abuse and neglect?&#10;Question domain two: Effectiveness: supporting the policy agenda for children and young people.  Domain two key evaluation question two: How well did the National Framework support the policy agenda for children and young people?&#10;Evaluation sub questions for evaluation question two are:&#10;a. How well does the National Framework connect other elements of the broader policy agenda for children and young people at both a Commonwealth and state and territory level?&#10;b. Were there any gaps or was there areas of duplication with other key policy areas, including but not limited to: family and domestic violence, education, housing, justice, health, disability, culturally and linguistically diverse families, and Closing the Gap.&#10;Question domain three: Effectiveness and appropriateness: development processes. Domain three key evaluation question three: How effective was the development of the National Framework and Action Plan?&#10;Evaluation sub questions for evaluation question three are:&#10;a. How effective and appropriate were the consultations leading up to, and the resulting priorities and actions in the Third and Fourth Action Plans?&#10;ai. Did the development of the priorities and actions in the Third and Fourth Action Plans incorporate lessons learnt from previous action plans?&#10;aii. Did the priorities and actions in the Third and Fourth Action Plans clearly align with the high-level outcomes of the National Framework? &#10;b. To what extent were the duration and structure of the National Framework and its Action Plans appropriate?&#10;c. How well did the National Framework respond to the Convention on the Rights of the Child?&#10;d. To what extent did the National Framework engage with the public health model and primary prevention activities?&#10;"/>
      </w:tblPr>
      <w:tblGrid>
        <w:gridCol w:w="2689"/>
        <w:gridCol w:w="2834"/>
        <w:gridCol w:w="9267"/>
      </w:tblGrid>
      <w:tr w:rsidR="003C29CB" w:rsidRPr="003C29CB" w14:paraId="7B8C0727" w14:textId="77777777" w:rsidTr="00443F5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09" w:type="pct"/>
            <w:vAlign w:val="center"/>
          </w:tcPr>
          <w:p w14:paraId="2486CE56" w14:textId="77777777" w:rsidR="003C29CB" w:rsidRPr="003C29CB" w:rsidRDefault="003C29CB" w:rsidP="00FA3E74">
            <w:pPr>
              <w:pStyle w:val="TableColumnHeadingSmall"/>
            </w:pPr>
            <w:r w:rsidRPr="003C29CB">
              <w:t>Question domain</w:t>
            </w:r>
          </w:p>
        </w:tc>
        <w:tc>
          <w:tcPr>
            <w:tcW w:w="958" w:type="pct"/>
            <w:vAlign w:val="center"/>
          </w:tcPr>
          <w:p w14:paraId="62A66E37" w14:textId="77777777" w:rsidR="003C29CB" w:rsidRPr="003C29CB" w:rsidRDefault="003C29CB" w:rsidP="00FA3E74">
            <w:pPr>
              <w:pStyle w:val="TableColumnHeadingSmall"/>
              <w:cnfStyle w:val="100000000000" w:firstRow="1" w:lastRow="0" w:firstColumn="0" w:lastColumn="0" w:oddVBand="0" w:evenVBand="0" w:oddHBand="0" w:evenHBand="0" w:firstRowFirstColumn="0" w:firstRowLastColumn="0" w:lastRowFirstColumn="0" w:lastRowLastColumn="0"/>
            </w:pPr>
            <w:r w:rsidRPr="003C29CB">
              <w:t xml:space="preserve">Key </w:t>
            </w:r>
            <w:r>
              <w:t>e</w:t>
            </w:r>
            <w:r w:rsidRPr="003C29CB">
              <w:t xml:space="preserve">valuation </w:t>
            </w:r>
            <w:r>
              <w:t>q</w:t>
            </w:r>
            <w:r w:rsidRPr="003C29CB">
              <w:t>uestion</w:t>
            </w:r>
          </w:p>
        </w:tc>
        <w:tc>
          <w:tcPr>
            <w:tcW w:w="3133" w:type="pct"/>
            <w:vAlign w:val="center"/>
          </w:tcPr>
          <w:p w14:paraId="25DF1DEE" w14:textId="77777777" w:rsidR="003C29CB" w:rsidRPr="003C29CB" w:rsidRDefault="003C29CB" w:rsidP="00FA3E74">
            <w:pPr>
              <w:pStyle w:val="TableColumnHeadingSmall"/>
              <w:cnfStyle w:val="100000000000" w:firstRow="1" w:lastRow="0" w:firstColumn="0" w:lastColumn="0" w:oddVBand="0" w:evenVBand="0" w:oddHBand="0" w:evenHBand="0" w:firstRowFirstColumn="0" w:firstRowLastColumn="0" w:lastRowFirstColumn="0" w:lastRowLastColumn="0"/>
            </w:pPr>
            <w:r w:rsidRPr="003C29CB">
              <w:t>Sub-questions</w:t>
            </w:r>
          </w:p>
        </w:tc>
      </w:tr>
      <w:tr w:rsidR="00443F56" w:rsidRPr="003C29CB" w14:paraId="517B6709" w14:textId="77777777" w:rsidTr="00443F56">
        <w:tc>
          <w:tcPr>
            <w:tcW w:w="909" w:type="pct"/>
          </w:tcPr>
          <w:p w14:paraId="45FB5F40" w14:textId="77777777" w:rsidR="00443F56" w:rsidRPr="003C29CB" w:rsidRDefault="00443F56" w:rsidP="00443F56">
            <w:pPr>
              <w:spacing w:before="240" w:line="240" w:lineRule="auto"/>
              <w:jc w:val="center"/>
              <w:rPr>
                <w:color w:val="000000" w:themeColor="text1"/>
              </w:rPr>
            </w:pPr>
            <w:r w:rsidRPr="003C29CB">
              <w:rPr>
                <w:noProof/>
                <w:color w:val="000000" w:themeColor="text1"/>
                <w:sz w:val="16"/>
                <w:szCs w:val="16"/>
                <w:lang w:eastAsia="en-AU"/>
              </w:rPr>
              <w:drawing>
                <wp:inline distT="0" distB="0" distL="0" distR="0" wp14:anchorId="4B3F0245" wp14:editId="12EBB13F">
                  <wp:extent cx="400050" cy="400050"/>
                  <wp:effectExtent l="0" t="0" r="0" b="0"/>
                  <wp:docPr id="13" name="Picture 13" descr="Small bullseye target icon for domain 1 Outcomes: achievement of intended outcomes (barriers and enablers)." title="Icon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pic:spPr>
                      </pic:pic>
                    </a:graphicData>
                  </a:graphic>
                </wp:inline>
              </w:drawing>
            </w:r>
          </w:p>
          <w:p w14:paraId="5781EC4C" w14:textId="77777777" w:rsidR="00443F56" w:rsidRPr="003C29CB" w:rsidRDefault="00443F56" w:rsidP="00443F56">
            <w:pPr>
              <w:spacing w:before="240" w:after="120"/>
              <w:jc w:val="center"/>
              <w:rPr>
                <w:color w:val="000000" w:themeColor="text1"/>
              </w:rPr>
            </w:pPr>
            <w:r w:rsidRPr="003C29CB">
              <w:rPr>
                <w:b/>
                <w:color w:val="000000" w:themeColor="text1"/>
              </w:rPr>
              <w:t>Outcomes:</w:t>
            </w:r>
            <w:r w:rsidRPr="003C29CB">
              <w:rPr>
                <w:color w:val="000000" w:themeColor="text1"/>
              </w:rPr>
              <w:br/>
              <w:t>achievement of intended outcomes (barriers and enablers)</w:t>
            </w:r>
          </w:p>
          <w:p w14:paraId="2E52F57B" w14:textId="77777777" w:rsidR="00443F56" w:rsidRPr="003C29CB" w:rsidRDefault="00443F56" w:rsidP="00443F56">
            <w:pPr>
              <w:spacing w:before="240" w:after="120"/>
              <w:jc w:val="center"/>
              <w:rPr>
                <w:noProof/>
                <w:color w:val="000000" w:themeColor="text1"/>
                <w:sz w:val="16"/>
                <w:szCs w:val="16"/>
                <w:lang w:eastAsia="en-AU"/>
              </w:rPr>
            </w:pPr>
          </w:p>
        </w:tc>
        <w:tc>
          <w:tcPr>
            <w:tcW w:w="958" w:type="pct"/>
          </w:tcPr>
          <w:p w14:paraId="3FA0294E" w14:textId="77777777" w:rsidR="00443F56" w:rsidRPr="00FA3E74" w:rsidRDefault="00443F56" w:rsidP="00443F56">
            <w:pPr>
              <w:pStyle w:val="TableTextSmall"/>
              <w:rPr>
                <w:b/>
                <w:bCs/>
              </w:rPr>
            </w:pPr>
            <w:r>
              <w:rPr>
                <w:b/>
                <w:bCs/>
              </w:rPr>
              <w:t>1</w:t>
            </w:r>
            <w:r w:rsidRPr="00FA3E74">
              <w:rPr>
                <w:b/>
                <w:bCs/>
              </w:rPr>
              <w:t>. To what extent did the National Framework achieve its intended outcomes and what factors supported or inhibited outcomes?</w:t>
            </w:r>
          </w:p>
        </w:tc>
        <w:tc>
          <w:tcPr>
            <w:tcW w:w="3133" w:type="pct"/>
          </w:tcPr>
          <w:p w14:paraId="7E5D62F5" w14:textId="77777777" w:rsidR="00443F56" w:rsidRPr="003C29CB" w:rsidRDefault="00443F56" w:rsidP="00443F56">
            <w:pPr>
              <w:pStyle w:val="TableTextSmall"/>
            </w:pPr>
            <w:r w:rsidRPr="003C29CB">
              <w:t>a. What were the major achievements of the National Framework?</w:t>
            </w:r>
          </w:p>
          <w:p w14:paraId="5FAA5819" w14:textId="77777777" w:rsidR="00443F56" w:rsidRPr="003C29CB" w:rsidRDefault="00443F56" w:rsidP="00443F56">
            <w:pPr>
              <w:pStyle w:val="TableTextSmall"/>
            </w:pPr>
            <w:r w:rsidRPr="003C29CB">
              <w:t>b. What supported and/or inhibited the implementation of the actions listed in the National Framework and Action Plans? What could be improved?</w:t>
            </w:r>
          </w:p>
          <w:p w14:paraId="2502A41B" w14:textId="77777777" w:rsidR="00443F56" w:rsidRPr="003C29CB" w:rsidRDefault="00443F56" w:rsidP="00443F56">
            <w:pPr>
              <w:pStyle w:val="TableTextSmall"/>
            </w:pPr>
            <w:r w:rsidRPr="003C29CB">
              <w:t>c. What were the strengths and weaknesses of the National Framework, including the effectiveness of its governance structure?</w:t>
            </w:r>
          </w:p>
          <w:p w14:paraId="715E5E4C" w14:textId="77777777" w:rsidR="00443F56" w:rsidRPr="003C29CB" w:rsidRDefault="00443F56" w:rsidP="00443F56">
            <w:pPr>
              <w:pStyle w:val="TableTextSmall"/>
            </w:pPr>
            <w:r w:rsidRPr="003C29CB">
              <w:t>d. What supported and/or inhibited achievement of outcomes listed in the National Framework and Action Plans?</w:t>
            </w:r>
          </w:p>
          <w:p w14:paraId="4C54762E" w14:textId="77777777" w:rsidR="00443F56" w:rsidRPr="003C29CB" w:rsidRDefault="00443F56" w:rsidP="00443F56">
            <w:pPr>
              <w:pStyle w:val="TableTextSmall"/>
            </w:pPr>
            <w:r w:rsidRPr="003C29CB">
              <w:t>e. How well did the National Framework and the Action Plans work together to achieve outcomes?</w:t>
            </w:r>
          </w:p>
          <w:p w14:paraId="5F46A431" w14:textId="77777777" w:rsidR="00443F56" w:rsidRPr="003C29CB" w:rsidRDefault="00443F56" w:rsidP="00443F56">
            <w:pPr>
              <w:pStyle w:val="TableTextSmall"/>
            </w:pPr>
            <w:r w:rsidRPr="003C29CB">
              <w:t>f. How effective was the National Framework in informing the agenda for Indigenous priorities, actions and cultural appropriateness?</w:t>
            </w:r>
          </w:p>
          <w:p w14:paraId="3415D1B4" w14:textId="77777777" w:rsidR="00443F56" w:rsidRPr="003C29CB" w:rsidRDefault="00443F56" w:rsidP="00443F56">
            <w:pPr>
              <w:pStyle w:val="TableTextSmall"/>
              <w:rPr>
                <w:i/>
                <w:iCs/>
              </w:rPr>
            </w:pPr>
            <w:r w:rsidRPr="003C29CB">
              <w:rPr>
                <w:i/>
                <w:iCs/>
              </w:rPr>
              <w:t>Additional sub-question:</w:t>
            </w:r>
          </w:p>
          <w:p w14:paraId="441AC16E" w14:textId="77777777" w:rsidR="00443F56" w:rsidRPr="003C29CB" w:rsidRDefault="00443F56" w:rsidP="00443F56">
            <w:pPr>
              <w:pStyle w:val="TableTextSmall"/>
            </w:pPr>
            <w:r w:rsidRPr="003C29CB">
              <w:t>g. How effective were the National Framework and Action Plans in achieving broader outcomes particularly coordinating effort across governments and the non-government sector and reducing the prevalence of child abuse and neglect?</w:t>
            </w:r>
          </w:p>
        </w:tc>
      </w:tr>
      <w:tr w:rsidR="00443F56" w:rsidRPr="003C29CB" w14:paraId="15F25613" w14:textId="77777777" w:rsidTr="00443F56">
        <w:tc>
          <w:tcPr>
            <w:tcW w:w="909" w:type="pct"/>
          </w:tcPr>
          <w:p w14:paraId="062CA874" w14:textId="77777777" w:rsidR="00443F56" w:rsidRDefault="00443F56" w:rsidP="00443F56">
            <w:pPr>
              <w:spacing w:before="240" w:after="120"/>
              <w:jc w:val="center"/>
              <w:rPr>
                <w:b/>
                <w:color w:val="000000" w:themeColor="text1"/>
              </w:rPr>
            </w:pPr>
            <w:r w:rsidRPr="003C29CB">
              <w:rPr>
                <w:noProof/>
                <w:color w:val="000000" w:themeColor="text1"/>
                <w:sz w:val="16"/>
                <w:szCs w:val="16"/>
                <w:lang w:eastAsia="en-AU"/>
              </w:rPr>
              <w:drawing>
                <wp:inline distT="0" distB="0" distL="0" distR="0" wp14:anchorId="79C8A24C" wp14:editId="52482576">
                  <wp:extent cx="371475" cy="371475"/>
                  <wp:effectExtent l="0" t="0" r="9525" b="9525"/>
                  <wp:docPr id="18" name="Picture 18" descr="Small arrow icon for domain 2 Effectiveness: supporting policy agenda for children and young people. " title="Icon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pic:spPr>
                      </pic:pic>
                    </a:graphicData>
                  </a:graphic>
                </wp:inline>
              </w:drawing>
            </w:r>
          </w:p>
          <w:p w14:paraId="7A4717FE" w14:textId="77777777" w:rsidR="00443F56" w:rsidRPr="003C29CB" w:rsidRDefault="00443F56" w:rsidP="00443F56">
            <w:pPr>
              <w:spacing w:before="240" w:after="120"/>
              <w:jc w:val="center"/>
              <w:rPr>
                <w:color w:val="000000" w:themeColor="text1"/>
              </w:rPr>
            </w:pPr>
            <w:r w:rsidRPr="003C29CB">
              <w:rPr>
                <w:b/>
                <w:color w:val="000000" w:themeColor="text1"/>
              </w:rPr>
              <w:t>Effectiveness</w:t>
            </w:r>
            <w:r w:rsidRPr="003C29CB">
              <w:rPr>
                <w:color w:val="000000" w:themeColor="text1"/>
              </w:rPr>
              <w:t>:</w:t>
            </w:r>
            <w:r w:rsidRPr="003C29CB">
              <w:rPr>
                <w:color w:val="000000" w:themeColor="text1"/>
              </w:rPr>
              <w:br/>
              <w:t xml:space="preserve"> supporting the policy agenda for children and young people</w:t>
            </w:r>
          </w:p>
          <w:p w14:paraId="147071C6" w14:textId="77777777" w:rsidR="00443F56" w:rsidRPr="003C29CB" w:rsidRDefault="00443F56" w:rsidP="00443F56">
            <w:pPr>
              <w:spacing w:before="240" w:after="120"/>
              <w:jc w:val="center"/>
              <w:rPr>
                <w:noProof/>
                <w:color w:val="000000" w:themeColor="text1"/>
                <w:sz w:val="16"/>
                <w:szCs w:val="16"/>
                <w:lang w:eastAsia="en-AU"/>
              </w:rPr>
            </w:pPr>
          </w:p>
        </w:tc>
        <w:tc>
          <w:tcPr>
            <w:tcW w:w="958" w:type="pct"/>
          </w:tcPr>
          <w:p w14:paraId="38C96E34" w14:textId="77777777" w:rsidR="00443F56" w:rsidRPr="00FA3E74" w:rsidRDefault="00443F56" w:rsidP="00443F56">
            <w:pPr>
              <w:pStyle w:val="TableTextSmall"/>
              <w:rPr>
                <w:b/>
                <w:bCs/>
              </w:rPr>
            </w:pPr>
            <w:r w:rsidRPr="00FA3E74">
              <w:rPr>
                <w:b/>
                <w:bCs/>
              </w:rPr>
              <w:t>2. How well did the National Framework support the policy agenda for children and young people?</w:t>
            </w:r>
          </w:p>
        </w:tc>
        <w:tc>
          <w:tcPr>
            <w:tcW w:w="3133" w:type="pct"/>
          </w:tcPr>
          <w:p w14:paraId="2295A05A" w14:textId="77777777" w:rsidR="00443F56" w:rsidRPr="003C29CB" w:rsidRDefault="00443F56" w:rsidP="00443F56">
            <w:pPr>
              <w:pStyle w:val="TableTextSmall"/>
            </w:pPr>
            <w:r w:rsidRPr="003C29CB">
              <w:t>a. How well does the National Framework connect other elements of the broader policy agenda for children and young people at both a Commonwealth and state and territory level?</w:t>
            </w:r>
          </w:p>
          <w:p w14:paraId="61355FE7" w14:textId="77777777" w:rsidR="00443F56" w:rsidRPr="003C29CB" w:rsidRDefault="00443F56" w:rsidP="00443F56">
            <w:pPr>
              <w:pStyle w:val="TableTextSmall"/>
            </w:pPr>
            <w:r w:rsidRPr="003C29CB">
              <w:t>b. Were there any gaps or was there areas of duplication with other key policy areas, including but not limited to:</w:t>
            </w:r>
          </w:p>
          <w:p w14:paraId="57AD1E7F" w14:textId="77777777" w:rsidR="00443F56" w:rsidRPr="003C29CB" w:rsidRDefault="00443F56" w:rsidP="00B95734">
            <w:pPr>
              <w:pStyle w:val="TableTextSmall"/>
              <w:numPr>
                <w:ilvl w:val="0"/>
                <w:numId w:val="58"/>
              </w:numPr>
            </w:pPr>
            <w:r w:rsidRPr="003C29CB">
              <w:t>family and domestic violence</w:t>
            </w:r>
          </w:p>
          <w:p w14:paraId="2777D876" w14:textId="77777777" w:rsidR="00443F56" w:rsidRPr="003C29CB" w:rsidRDefault="00443F56" w:rsidP="00B95734">
            <w:pPr>
              <w:pStyle w:val="TableTextSmall"/>
              <w:numPr>
                <w:ilvl w:val="0"/>
                <w:numId w:val="58"/>
              </w:numPr>
            </w:pPr>
            <w:r w:rsidRPr="003C29CB">
              <w:t>education</w:t>
            </w:r>
          </w:p>
          <w:p w14:paraId="3BB7F70B" w14:textId="77777777" w:rsidR="00443F56" w:rsidRPr="003C29CB" w:rsidRDefault="00443F56" w:rsidP="00B95734">
            <w:pPr>
              <w:pStyle w:val="TableTextSmall"/>
              <w:numPr>
                <w:ilvl w:val="0"/>
                <w:numId w:val="58"/>
              </w:numPr>
            </w:pPr>
            <w:r w:rsidRPr="003C29CB">
              <w:t>housing</w:t>
            </w:r>
          </w:p>
          <w:p w14:paraId="1B8D221D" w14:textId="77777777" w:rsidR="00443F56" w:rsidRPr="003C29CB" w:rsidRDefault="00443F56" w:rsidP="00B95734">
            <w:pPr>
              <w:pStyle w:val="TableTextSmall"/>
              <w:numPr>
                <w:ilvl w:val="0"/>
                <w:numId w:val="58"/>
              </w:numPr>
            </w:pPr>
            <w:r w:rsidRPr="003C29CB">
              <w:t>justice</w:t>
            </w:r>
          </w:p>
          <w:p w14:paraId="10626018" w14:textId="77777777" w:rsidR="00443F56" w:rsidRPr="003C29CB" w:rsidRDefault="00443F56" w:rsidP="00B95734">
            <w:pPr>
              <w:pStyle w:val="TableTextSmall"/>
              <w:numPr>
                <w:ilvl w:val="0"/>
                <w:numId w:val="58"/>
              </w:numPr>
            </w:pPr>
            <w:r w:rsidRPr="003C29CB">
              <w:t xml:space="preserve">health </w:t>
            </w:r>
          </w:p>
          <w:p w14:paraId="290D3CFB" w14:textId="77777777" w:rsidR="00443F56" w:rsidRPr="003C29CB" w:rsidRDefault="00443F56" w:rsidP="00B95734">
            <w:pPr>
              <w:pStyle w:val="TableTextSmall"/>
              <w:numPr>
                <w:ilvl w:val="0"/>
                <w:numId w:val="58"/>
              </w:numPr>
            </w:pPr>
            <w:r w:rsidRPr="003C29CB">
              <w:t>disability</w:t>
            </w:r>
          </w:p>
          <w:p w14:paraId="7BE92EDD" w14:textId="77777777" w:rsidR="00443F56" w:rsidRPr="003C29CB" w:rsidRDefault="00443F56" w:rsidP="00B95734">
            <w:pPr>
              <w:pStyle w:val="TableTextSmall"/>
              <w:numPr>
                <w:ilvl w:val="0"/>
                <w:numId w:val="58"/>
              </w:numPr>
            </w:pPr>
            <w:r w:rsidRPr="003C29CB">
              <w:t>culturally and linguistically diverse families and/or</w:t>
            </w:r>
          </w:p>
          <w:p w14:paraId="3BB7D1A4" w14:textId="77777777" w:rsidR="00443F56" w:rsidRPr="003C29CB" w:rsidRDefault="00443F56" w:rsidP="00B95734">
            <w:pPr>
              <w:pStyle w:val="TableTextSmall"/>
              <w:numPr>
                <w:ilvl w:val="0"/>
                <w:numId w:val="58"/>
              </w:numPr>
            </w:pPr>
            <w:r w:rsidRPr="003C29CB">
              <w:t>Closing the Gap</w:t>
            </w:r>
          </w:p>
        </w:tc>
      </w:tr>
      <w:tr w:rsidR="00443F56" w:rsidRPr="003C29CB" w14:paraId="78C43969" w14:textId="77777777" w:rsidTr="00443F56">
        <w:trPr>
          <w:cnfStyle w:val="010000000000" w:firstRow="0" w:lastRow="1" w:firstColumn="0" w:lastColumn="0" w:oddVBand="0" w:evenVBand="0" w:oddHBand="0" w:evenHBand="0" w:firstRowFirstColumn="0" w:firstRowLastColumn="0" w:lastRowFirstColumn="0" w:lastRowLastColumn="0"/>
        </w:trPr>
        <w:tc>
          <w:tcPr>
            <w:tcW w:w="909" w:type="pct"/>
          </w:tcPr>
          <w:p w14:paraId="0CDCD40C" w14:textId="77777777" w:rsidR="00443F56" w:rsidRDefault="00443F56" w:rsidP="00443F56">
            <w:pPr>
              <w:spacing w:before="240" w:after="120"/>
              <w:jc w:val="center"/>
              <w:rPr>
                <w:b/>
                <w:color w:val="000000" w:themeColor="text1"/>
              </w:rPr>
            </w:pPr>
            <w:r w:rsidRPr="003C29CB">
              <w:rPr>
                <w:noProof/>
                <w:color w:val="000000" w:themeColor="text1"/>
                <w:sz w:val="16"/>
                <w:szCs w:val="16"/>
                <w:lang w:eastAsia="en-AU"/>
              </w:rPr>
              <w:drawing>
                <wp:inline distT="0" distB="0" distL="0" distR="0" wp14:anchorId="2B7401FD" wp14:editId="6AFE6DF2">
                  <wp:extent cx="361950" cy="361950"/>
                  <wp:effectExtent l="0" t="0" r="0" b="0"/>
                  <wp:docPr id="44" name="Picture 44" descr="Small circular icon for domain 3 Effectiveness and appropriateness: development process." title="Icon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pic:spPr>
                      </pic:pic>
                    </a:graphicData>
                  </a:graphic>
                </wp:inline>
              </w:drawing>
            </w:r>
          </w:p>
          <w:p w14:paraId="0EBF8C3B" w14:textId="77777777" w:rsidR="00443F56" w:rsidRPr="003C29CB" w:rsidRDefault="00443F56" w:rsidP="00443F56">
            <w:pPr>
              <w:spacing w:before="240" w:after="120"/>
              <w:jc w:val="center"/>
              <w:rPr>
                <w:color w:val="000000" w:themeColor="text1"/>
              </w:rPr>
            </w:pPr>
            <w:r w:rsidRPr="003C29CB">
              <w:rPr>
                <w:b/>
                <w:color w:val="000000" w:themeColor="text1"/>
              </w:rPr>
              <w:t>Effectiveness and appropriateness</w:t>
            </w:r>
            <w:r w:rsidRPr="003C29CB">
              <w:rPr>
                <w:color w:val="000000" w:themeColor="text1"/>
              </w:rPr>
              <w:t>: development processes</w:t>
            </w:r>
          </w:p>
          <w:p w14:paraId="65736BED" w14:textId="77777777" w:rsidR="00443F56" w:rsidRPr="003C29CB" w:rsidRDefault="00443F56" w:rsidP="00443F56">
            <w:pPr>
              <w:spacing w:before="40" w:after="40"/>
              <w:rPr>
                <w:sz w:val="16"/>
                <w:szCs w:val="16"/>
              </w:rPr>
            </w:pPr>
          </w:p>
        </w:tc>
        <w:tc>
          <w:tcPr>
            <w:tcW w:w="958" w:type="pct"/>
          </w:tcPr>
          <w:p w14:paraId="180061A8" w14:textId="77777777" w:rsidR="00443F56" w:rsidRPr="00FA3E74" w:rsidRDefault="00443F56" w:rsidP="00443F56">
            <w:pPr>
              <w:pStyle w:val="TableTextSmall"/>
              <w:rPr>
                <w:b/>
                <w:bCs/>
              </w:rPr>
            </w:pPr>
            <w:r>
              <w:rPr>
                <w:b/>
                <w:bCs/>
              </w:rPr>
              <w:t>3</w:t>
            </w:r>
            <w:r w:rsidRPr="00FA3E74">
              <w:rPr>
                <w:b/>
                <w:bCs/>
              </w:rPr>
              <w:t xml:space="preserve">. How effective was the development of the National Framework and Action Plan?  </w:t>
            </w:r>
          </w:p>
        </w:tc>
        <w:tc>
          <w:tcPr>
            <w:tcW w:w="3133" w:type="pct"/>
          </w:tcPr>
          <w:p w14:paraId="61AF157D" w14:textId="77777777" w:rsidR="00443F56" w:rsidRPr="003C29CB" w:rsidRDefault="00443F56" w:rsidP="00443F56">
            <w:pPr>
              <w:pStyle w:val="TableTextSmall"/>
            </w:pPr>
            <w:r w:rsidRPr="003C29CB">
              <w:t>a. How effective and appropriate were the consultations leading up to, and the resulting priorities and actions in the Third and Fourth Action Plans?</w:t>
            </w:r>
          </w:p>
          <w:p w14:paraId="14D843BD" w14:textId="77777777" w:rsidR="00443F56" w:rsidRPr="003C29CB" w:rsidRDefault="00443F56" w:rsidP="00443F56">
            <w:pPr>
              <w:pStyle w:val="TableTextSmall"/>
              <w:rPr>
                <w:rFonts w:cs="Times New Roman"/>
              </w:rPr>
            </w:pPr>
            <w:r w:rsidRPr="003C29CB">
              <w:rPr>
                <w:rFonts w:cs="Times New Roman"/>
              </w:rPr>
              <w:t>i. Did the development of the priorities and actions in the Third and Fourth Action Plans incorporate lessons learnt from previous action plans?</w:t>
            </w:r>
          </w:p>
          <w:p w14:paraId="47AB6FA5" w14:textId="77777777" w:rsidR="00443F56" w:rsidRPr="003C29CB" w:rsidRDefault="00443F56" w:rsidP="00443F56">
            <w:pPr>
              <w:pStyle w:val="TableTextSmall"/>
              <w:rPr>
                <w:rFonts w:cs="Times New Roman"/>
              </w:rPr>
            </w:pPr>
            <w:r w:rsidRPr="003C29CB">
              <w:rPr>
                <w:rFonts w:cs="Times New Roman"/>
              </w:rPr>
              <w:t xml:space="preserve">ii. Did the priorities and actions in the Third and Fourth Action Plans clearly align with the high-level outcomes of the National Framework? </w:t>
            </w:r>
          </w:p>
          <w:p w14:paraId="16E6D972" w14:textId="77777777" w:rsidR="00443F56" w:rsidRPr="003C29CB" w:rsidRDefault="00443F56" w:rsidP="00443F56">
            <w:pPr>
              <w:pStyle w:val="TableTextSmall"/>
            </w:pPr>
            <w:r w:rsidRPr="003C29CB">
              <w:t>b. To what extent were the duration and structure of the National Framework and its Action Plans appropriate?</w:t>
            </w:r>
          </w:p>
          <w:p w14:paraId="3130AF59" w14:textId="77777777" w:rsidR="00443F56" w:rsidRPr="003C29CB" w:rsidRDefault="00443F56" w:rsidP="00443F56">
            <w:pPr>
              <w:pStyle w:val="TableTextSmall"/>
            </w:pPr>
            <w:r w:rsidRPr="003C29CB">
              <w:t>c. How well did the National Framework respond to the Convention on the Rights of the Child?</w:t>
            </w:r>
          </w:p>
          <w:p w14:paraId="33C3C75E" w14:textId="77777777" w:rsidR="00443F56" w:rsidRPr="003C29CB" w:rsidRDefault="00443F56" w:rsidP="00443F56">
            <w:pPr>
              <w:pStyle w:val="TableTextSmall"/>
            </w:pPr>
            <w:r w:rsidRPr="003C29CB">
              <w:t>d. To what extent did the National Framework engage with the public health model and primary prevention activities?</w:t>
            </w:r>
          </w:p>
        </w:tc>
      </w:tr>
    </w:tbl>
    <w:p w14:paraId="1ADB704D" w14:textId="77777777" w:rsidR="00DD0C3E" w:rsidRDefault="00DD0C3E">
      <w:pPr>
        <w:pStyle w:val="PwCNormal"/>
        <w:sectPr w:rsidR="00DD0C3E" w:rsidSect="00FA3E74">
          <w:headerReference w:type="even" r:id="rId108"/>
          <w:headerReference w:type="default" r:id="rId109"/>
          <w:footerReference w:type="even" r:id="rId110"/>
          <w:footerReference w:type="default" r:id="rId111"/>
          <w:headerReference w:type="first" r:id="rId112"/>
          <w:footerReference w:type="first" r:id="rId113"/>
          <w:pgSz w:w="16840" w:h="11907" w:orient="landscape" w:code="9"/>
          <w:pgMar w:top="1644" w:right="1020" w:bottom="1417" w:left="1020" w:header="567" w:footer="567" w:gutter="0"/>
          <w:cols w:space="227"/>
          <w:docGrid w:linePitch="360"/>
        </w:sectPr>
      </w:pPr>
    </w:p>
    <w:p w14:paraId="6F6FF6E3" w14:textId="77777777" w:rsidR="00CB555B" w:rsidRDefault="00CB555B" w:rsidP="00B95734">
      <w:pPr>
        <w:pStyle w:val="Heading4"/>
        <w:numPr>
          <w:ilvl w:val="4"/>
          <w:numId w:val="43"/>
        </w:numPr>
      </w:pPr>
      <w:bookmarkStart w:id="271" w:name="_Toc36677384"/>
      <w:bookmarkStart w:id="272" w:name="_Toc36677426"/>
      <w:bookmarkStart w:id="273" w:name="_Toc36677427"/>
      <w:bookmarkStart w:id="274" w:name="_Toc36677428"/>
      <w:bookmarkStart w:id="275" w:name="_Toc36677429"/>
      <w:bookmarkStart w:id="276" w:name="_Toc36677442"/>
      <w:bookmarkStart w:id="277" w:name="_Toc36677447"/>
      <w:bookmarkStart w:id="278" w:name="_Toc36677452"/>
      <w:bookmarkStart w:id="279" w:name="_Toc36677458"/>
      <w:bookmarkStart w:id="280" w:name="_Toc36677464"/>
      <w:bookmarkStart w:id="281" w:name="_Toc36677476"/>
      <w:bookmarkStart w:id="282" w:name="_Toc36677497"/>
      <w:bookmarkStart w:id="283" w:name="_Toc36677505"/>
      <w:bookmarkStart w:id="284" w:name="_Toc36677509"/>
      <w:bookmarkStart w:id="285" w:name="_Toc36677513"/>
      <w:bookmarkStart w:id="286" w:name="_Toc36677517"/>
      <w:bookmarkStart w:id="287" w:name="_Toc36677521"/>
      <w:bookmarkStart w:id="288" w:name="_Toc36677526"/>
      <w:bookmarkStart w:id="289" w:name="_Toc36677527"/>
      <w:bookmarkStart w:id="290" w:name="_Toc36677528"/>
      <w:bookmarkStart w:id="291" w:name="_Ref31236058"/>
      <w:bookmarkStart w:id="292" w:name="_Toc36845764"/>
      <w:bookmarkStart w:id="293" w:name="_Toc42842764"/>
      <w:bookmarkStart w:id="294" w:name="_Toc42847858"/>
      <w:bookmarkStart w:id="295" w:name="CVs"/>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lastRenderedPageBreak/>
        <w:t>Summary of governance: terms of reference</w:t>
      </w:r>
      <w:bookmarkEnd w:id="291"/>
      <w:bookmarkEnd w:id="292"/>
      <w:bookmarkEnd w:id="293"/>
      <w:bookmarkEnd w:id="294"/>
    </w:p>
    <w:p w14:paraId="355F5628" w14:textId="030D37A8" w:rsidR="00CB555B" w:rsidRDefault="00CB555B" w:rsidP="00CB555B">
      <w:pPr>
        <w:pStyle w:val="Caption"/>
      </w:pPr>
      <w:r>
        <w:t xml:space="preserve">Table </w:t>
      </w:r>
      <w:fldSimple w:instr=" SEQ Table \* ARABIC ">
        <w:r w:rsidR="00D75351">
          <w:rPr>
            <w:noProof/>
          </w:rPr>
          <w:t>15</w:t>
        </w:r>
      </w:fldSimple>
      <w:r>
        <w:t xml:space="preserve">: Third Action Plan Terms of Reference and operating arrangements </w:t>
      </w:r>
    </w:p>
    <w:tbl>
      <w:tblPr>
        <w:tblStyle w:val="PwCColour"/>
        <w:tblW w:w="0" w:type="auto"/>
        <w:tblLook w:val="04A0" w:firstRow="1" w:lastRow="0" w:firstColumn="1" w:lastColumn="0" w:noHBand="0" w:noVBand="1"/>
        <w:tblCaption w:val="Table 15: Third Action Plan Terms of Reference and operating arrangements "/>
        <w:tblDescription w:val="The following provides a description of the Third Action Plan Terms of Reference and operating arrangements.  In this description / table the following headings are used: Group, Missing membership/ representation?, Summary of Terms of Reference, Reports to, and Meeting frequency.  The information contained in the table 15: Third Action Plan Terms of Reference and operating arrangements is as follows&#10;&#10;Group: CAFS  &#10;Missing membership/ representation?: As a government structure this group does not include National Coalition membership. Summary of Terms of Reference: Broad oversight of Child Protection Royal Commissions, the Framework, Children and Families Data Network, broader inter-jurisdictional collaboration, juvenile justice.  &#10;Reports to: CSM  &#10;Meeting frequency: Annual and ad hoc as necessary. &#10;&#10;Group: National Forum for Protecting Australia’s Children &#10;Missing membership/ representation?: None&#10;Summary of Terms of Reference: Provide advice to governments on priority areas requiring tripartite collaboration. Provide advice to CAFS, CAFS SIG and the working groups.&#10;Reports to: CAFS, CAFS SIG and Priority Working Groups&#10;Meeting frequency: At least twice per year&#10;&#10;Group: Commonwealth, State and Territory Officials Working Group&#10;Missing membership/ representation?: As a government structure this group does not include National Coalition membership&#10;Summary of Terms of Reference: No Terms of Reference provided. Third Action Plan provides: “responsible for monitoring and reporting progress to CAFS on the implementation of the Third Action Plan”&#10;Reports to: CAFS&#10;Meeting frequency: Not reported&#10;&#10;Group: Aboriginal and Torres Strait Islander Working Group&#10;Missing membership/ representation?: Membership does not include State/Territory or Commonwealth government representatives. Membership includes a wide range of NGOs and Peaks&#10;Summary of Terms of Reference: Provide guidance, advice and expertise to the National Forum and Strategy Working Groups. Provide annual reports to the National Forum on implementation of actions under each of the 3 Strategies. Support the ATSICPP’s full implementation.&#10;Reports to: National Forum. Reporting in line with National Forum meetings&#10;Meeting frequency: As necessary&#10;&#10;&#10;&#10;&#10;&#10;&#10;&#10;Group: Strategy Working Groups&#10;Missing membership/ representation?: None&#10;Summary of Terms of Reference: Draft governance arrangements were proposed at the National Forum on 1 Sept 2015 no final Terms of Reference were provided. &#10;Draft arrangements include; driving and monitoring implementation of actions under each Strategy of the Third Action Plan, proposing additional actions as necessary, ensuring the ATSICPP is embedded throughout actions.&#10;Reports to: National Forum. Biannual reports (draft)&#10;Meeting frequency: Three times per annum (draft)&#10;&#10;Group: Research Advisory Committee&#10;Missing membership/ representation?: Membership does not include States/Territory Government, Australian Centre for Child Protection or Australian Institute of Health and Welfare despite their membership fo the National Forum.&#10;Summary of Terms of Reference: No formal Terms of Reference have been provided, arrangements were agreed at National Forum. Explore the development of targets and progress markers, revitalise a new research agenda, examine how to continue the full implementation of the National Standards for OOHC to respond to the Senate Inquiry into OOHC.&#10;Reports to: National Forum&#10;Meeting frequency: None documented&#10;"/>
      </w:tblPr>
      <w:tblGrid>
        <w:gridCol w:w="1923"/>
        <w:gridCol w:w="2121"/>
        <w:gridCol w:w="3136"/>
        <w:gridCol w:w="1219"/>
        <w:gridCol w:w="1456"/>
      </w:tblGrid>
      <w:tr w:rsidR="00CB555B" w14:paraId="1E9C413A" w14:textId="77777777" w:rsidTr="00CB555B">
        <w:trPr>
          <w:cnfStyle w:val="100000000000" w:firstRow="1" w:lastRow="0" w:firstColumn="0" w:lastColumn="0" w:oddVBand="0" w:evenVBand="0" w:oddHBand="0" w:evenHBand="0" w:firstRowFirstColumn="0" w:firstRowLastColumn="0" w:lastRowFirstColumn="0" w:lastRowLastColumn="0"/>
          <w:trHeight w:val="499"/>
        </w:trPr>
        <w:tc>
          <w:tcPr>
            <w:cnfStyle w:val="000000000100" w:firstRow="0" w:lastRow="0" w:firstColumn="0" w:lastColumn="0" w:oddVBand="0" w:evenVBand="0" w:oddHBand="0" w:evenHBand="0" w:firstRowFirstColumn="1" w:firstRowLastColumn="0" w:lastRowFirstColumn="0" w:lastRowLastColumn="0"/>
            <w:tcW w:w="1923" w:type="dxa"/>
            <w:vAlign w:val="center"/>
          </w:tcPr>
          <w:p w14:paraId="25790164" w14:textId="77777777" w:rsidR="00CB555B" w:rsidRPr="0021484F" w:rsidRDefault="00CB555B" w:rsidP="00805D4C">
            <w:pPr>
              <w:pStyle w:val="PwCNormal"/>
              <w:rPr>
                <w:b/>
              </w:rPr>
            </w:pPr>
            <w:r w:rsidRPr="0021484F">
              <w:rPr>
                <w:b/>
              </w:rPr>
              <w:t>Group</w:t>
            </w:r>
          </w:p>
        </w:tc>
        <w:tc>
          <w:tcPr>
            <w:tcW w:w="2121" w:type="dxa"/>
            <w:vAlign w:val="center"/>
          </w:tcPr>
          <w:p w14:paraId="2E373065" w14:textId="77777777" w:rsidR="00CB555B" w:rsidRPr="0021484F" w:rsidRDefault="00CB555B" w:rsidP="00805D4C">
            <w:pPr>
              <w:pStyle w:val="PwCNormal"/>
              <w:cnfStyle w:val="100000000000" w:firstRow="1" w:lastRow="0" w:firstColumn="0" w:lastColumn="0" w:oddVBand="0" w:evenVBand="0" w:oddHBand="0" w:evenHBand="0" w:firstRowFirstColumn="0" w:firstRowLastColumn="0" w:lastRowFirstColumn="0" w:lastRowLastColumn="0"/>
              <w:rPr>
                <w:b/>
              </w:rPr>
            </w:pPr>
            <w:r w:rsidRPr="0021484F">
              <w:rPr>
                <w:b/>
              </w:rPr>
              <w:t>Missing membership/ representation?</w:t>
            </w:r>
            <w:r w:rsidRPr="0021484F">
              <w:rPr>
                <w:rStyle w:val="FootnoteReference"/>
                <w:b/>
              </w:rPr>
              <w:footnoteReference w:id="58"/>
            </w:r>
            <w:r w:rsidRPr="0021484F">
              <w:rPr>
                <w:b/>
              </w:rPr>
              <w:t xml:space="preserve"> </w:t>
            </w:r>
          </w:p>
        </w:tc>
        <w:tc>
          <w:tcPr>
            <w:tcW w:w="3136" w:type="dxa"/>
            <w:vAlign w:val="center"/>
          </w:tcPr>
          <w:p w14:paraId="16486F15" w14:textId="77777777" w:rsidR="00CB555B" w:rsidRPr="0021484F" w:rsidRDefault="00CB555B" w:rsidP="00805D4C">
            <w:pPr>
              <w:pStyle w:val="PwCNormal"/>
              <w:cnfStyle w:val="100000000000" w:firstRow="1" w:lastRow="0" w:firstColumn="0" w:lastColumn="0" w:oddVBand="0" w:evenVBand="0" w:oddHBand="0" w:evenHBand="0" w:firstRowFirstColumn="0" w:firstRowLastColumn="0" w:lastRowFirstColumn="0" w:lastRowLastColumn="0"/>
              <w:rPr>
                <w:b/>
              </w:rPr>
            </w:pPr>
            <w:r>
              <w:rPr>
                <w:b/>
              </w:rPr>
              <w:t xml:space="preserve">Summary of </w:t>
            </w:r>
            <w:r w:rsidRPr="0021484F">
              <w:rPr>
                <w:b/>
              </w:rPr>
              <w:t xml:space="preserve">Terms of </w:t>
            </w:r>
            <w:r>
              <w:rPr>
                <w:b/>
              </w:rPr>
              <w:t>R</w:t>
            </w:r>
            <w:r w:rsidRPr="0021484F">
              <w:rPr>
                <w:b/>
              </w:rPr>
              <w:t>eference</w:t>
            </w:r>
          </w:p>
        </w:tc>
        <w:tc>
          <w:tcPr>
            <w:tcW w:w="1219" w:type="dxa"/>
            <w:vAlign w:val="center"/>
          </w:tcPr>
          <w:p w14:paraId="73DA2AAE" w14:textId="77777777" w:rsidR="00CB555B" w:rsidRPr="0021484F" w:rsidRDefault="00CB555B" w:rsidP="00805D4C">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rPr>
            </w:pPr>
            <w:r w:rsidRPr="0021484F">
              <w:rPr>
                <w:b/>
              </w:rPr>
              <w:t>Reports to</w:t>
            </w:r>
          </w:p>
        </w:tc>
        <w:tc>
          <w:tcPr>
            <w:tcW w:w="1456" w:type="dxa"/>
            <w:vAlign w:val="center"/>
          </w:tcPr>
          <w:p w14:paraId="13A43BF1" w14:textId="77777777" w:rsidR="00CB555B" w:rsidRPr="0021484F" w:rsidRDefault="00CB555B" w:rsidP="00805D4C">
            <w:pPr>
              <w:pStyle w:val="PwCNormal"/>
              <w:cnfStyle w:val="100000000000" w:firstRow="1" w:lastRow="0" w:firstColumn="0" w:lastColumn="0" w:oddVBand="0" w:evenVBand="0" w:oddHBand="0" w:evenHBand="0" w:firstRowFirstColumn="0" w:firstRowLastColumn="0" w:lastRowFirstColumn="0" w:lastRowLastColumn="0"/>
              <w:rPr>
                <w:b/>
              </w:rPr>
            </w:pPr>
            <w:r w:rsidRPr="0021484F">
              <w:rPr>
                <w:b/>
              </w:rPr>
              <w:t>Meeting frequency</w:t>
            </w:r>
          </w:p>
        </w:tc>
      </w:tr>
      <w:tr w:rsidR="00CB555B" w14:paraId="29564B9B" w14:textId="77777777" w:rsidTr="00CB555B">
        <w:trPr>
          <w:trHeight w:val="587"/>
        </w:trPr>
        <w:tc>
          <w:tcPr>
            <w:tcW w:w="1923" w:type="dxa"/>
          </w:tcPr>
          <w:p w14:paraId="6B7F1C25" w14:textId="77777777" w:rsidR="00CB555B" w:rsidRDefault="00CB555B" w:rsidP="00805D4C">
            <w:pPr>
              <w:pStyle w:val="PwCNormal"/>
            </w:pPr>
            <w:r>
              <w:t>CAFS</w:t>
            </w:r>
            <w:r>
              <w:rPr>
                <w:rStyle w:val="FootnoteReference"/>
              </w:rPr>
              <w:footnoteReference w:id="59"/>
            </w:r>
          </w:p>
        </w:tc>
        <w:tc>
          <w:tcPr>
            <w:tcW w:w="2121" w:type="dxa"/>
          </w:tcPr>
          <w:p w14:paraId="06679BA0" w14:textId="77777777" w:rsidR="00CB555B" w:rsidRDefault="00CB555B" w:rsidP="00805D4C">
            <w:pPr>
              <w:pStyle w:val="PwCNormal"/>
            </w:pPr>
            <w:r>
              <w:t xml:space="preserve">As a government structure this group does not include National Coalition membership. </w:t>
            </w:r>
          </w:p>
        </w:tc>
        <w:tc>
          <w:tcPr>
            <w:tcW w:w="3136" w:type="dxa"/>
          </w:tcPr>
          <w:p w14:paraId="4FC9F70E" w14:textId="77777777" w:rsidR="00CB555B" w:rsidRDefault="00CB555B" w:rsidP="00805D4C">
            <w:pPr>
              <w:pStyle w:val="PwCNormal"/>
            </w:pPr>
            <w:r>
              <w:t xml:space="preserve">Broad oversight of Child Protection Royal Commissions, the Framework, Children and Families Data Network, broader inter-jurisdictional collaboration, juvenile justice. </w:t>
            </w:r>
          </w:p>
        </w:tc>
        <w:tc>
          <w:tcPr>
            <w:tcW w:w="1219" w:type="dxa"/>
          </w:tcPr>
          <w:p w14:paraId="1217BB31" w14:textId="1A696FBF" w:rsidR="00CB555B" w:rsidRDefault="00CB555B" w:rsidP="00AB3977">
            <w:pPr>
              <w:pStyle w:val="PwCNormal"/>
            </w:pPr>
            <w:r>
              <w:t xml:space="preserve">CSM </w:t>
            </w:r>
          </w:p>
        </w:tc>
        <w:tc>
          <w:tcPr>
            <w:tcW w:w="1456" w:type="dxa"/>
          </w:tcPr>
          <w:p w14:paraId="3374F7E1" w14:textId="77777777" w:rsidR="00CB555B" w:rsidRDefault="00CB555B" w:rsidP="00805D4C">
            <w:pPr>
              <w:pStyle w:val="PwCNormal"/>
            </w:pPr>
            <w:r>
              <w:t xml:space="preserve">Annual and ad hoc as necessary. </w:t>
            </w:r>
          </w:p>
        </w:tc>
      </w:tr>
      <w:tr w:rsidR="00CB555B" w14:paraId="3A984A87" w14:textId="77777777" w:rsidTr="00CB555B">
        <w:trPr>
          <w:trHeight w:val="602"/>
        </w:trPr>
        <w:tc>
          <w:tcPr>
            <w:tcW w:w="1923" w:type="dxa"/>
          </w:tcPr>
          <w:p w14:paraId="6E9F3D1E" w14:textId="77777777" w:rsidR="00CB555B" w:rsidRDefault="00CB555B" w:rsidP="00805D4C">
            <w:pPr>
              <w:pStyle w:val="PwCNormal"/>
            </w:pPr>
            <w:r>
              <w:t>National Forum for Protecting Australia’s Children</w:t>
            </w:r>
            <w:r>
              <w:rPr>
                <w:rStyle w:val="FootnoteReference"/>
              </w:rPr>
              <w:footnoteReference w:id="60"/>
            </w:r>
          </w:p>
        </w:tc>
        <w:tc>
          <w:tcPr>
            <w:tcW w:w="2121" w:type="dxa"/>
          </w:tcPr>
          <w:p w14:paraId="6DF8907F" w14:textId="77777777" w:rsidR="00CB555B" w:rsidRDefault="00CB555B" w:rsidP="00805D4C">
            <w:pPr>
              <w:pStyle w:val="PwCNormal"/>
            </w:pPr>
            <w:r>
              <w:t>None</w:t>
            </w:r>
          </w:p>
        </w:tc>
        <w:tc>
          <w:tcPr>
            <w:tcW w:w="3136" w:type="dxa"/>
          </w:tcPr>
          <w:p w14:paraId="73CC47DA" w14:textId="77777777" w:rsidR="00CB555B" w:rsidRDefault="00CB555B" w:rsidP="00805D4C">
            <w:pPr>
              <w:pStyle w:val="PwCNormal"/>
            </w:pPr>
            <w:r>
              <w:t xml:space="preserve">Provide advice to governments on priority areas requiring tripartite collaboration. Provide advice to CAFS, CAFS SIG and the working groups. </w:t>
            </w:r>
          </w:p>
        </w:tc>
        <w:tc>
          <w:tcPr>
            <w:tcW w:w="1219" w:type="dxa"/>
          </w:tcPr>
          <w:p w14:paraId="7EED6FCD" w14:textId="77777777" w:rsidR="00CB555B" w:rsidRDefault="00CB555B" w:rsidP="00805D4C">
            <w:pPr>
              <w:pStyle w:val="PwCNormal"/>
            </w:pPr>
            <w:r>
              <w:t>CAFS, CAFS SIG and Priority Working Groups</w:t>
            </w:r>
          </w:p>
        </w:tc>
        <w:tc>
          <w:tcPr>
            <w:tcW w:w="1456" w:type="dxa"/>
          </w:tcPr>
          <w:p w14:paraId="75E7042E" w14:textId="77777777" w:rsidR="00CB555B" w:rsidRDefault="00CB555B" w:rsidP="00805D4C">
            <w:pPr>
              <w:pStyle w:val="PwCNormal"/>
            </w:pPr>
            <w:r>
              <w:t>At least twice per year</w:t>
            </w:r>
          </w:p>
        </w:tc>
      </w:tr>
      <w:tr w:rsidR="00CB555B" w14:paraId="57746C42" w14:textId="77777777" w:rsidTr="00CB555B">
        <w:trPr>
          <w:trHeight w:val="738"/>
        </w:trPr>
        <w:tc>
          <w:tcPr>
            <w:tcW w:w="1923" w:type="dxa"/>
          </w:tcPr>
          <w:p w14:paraId="7F6FF395" w14:textId="77777777" w:rsidR="00CB555B" w:rsidRPr="00311920" w:rsidRDefault="00CB555B" w:rsidP="00805D4C">
            <w:pPr>
              <w:pStyle w:val="PwCNormal"/>
              <w:rPr>
                <w:szCs w:val="18"/>
              </w:rPr>
            </w:pPr>
            <w:r w:rsidRPr="00311920">
              <w:rPr>
                <w:rFonts w:ascii="Arial" w:hAnsi="Arial"/>
                <w:snapToGrid/>
                <w:szCs w:val="18"/>
                <w:lang w:eastAsia="en-AU"/>
              </w:rPr>
              <w:t>Commonwealth, State and Territory Officials Working Group</w:t>
            </w:r>
            <w:r>
              <w:rPr>
                <w:rStyle w:val="FootnoteReference"/>
                <w:rFonts w:ascii="Arial" w:hAnsi="Arial"/>
                <w:snapToGrid/>
                <w:szCs w:val="18"/>
                <w:lang w:eastAsia="en-AU"/>
              </w:rPr>
              <w:footnoteReference w:id="61"/>
            </w:r>
          </w:p>
        </w:tc>
        <w:tc>
          <w:tcPr>
            <w:tcW w:w="2121" w:type="dxa"/>
          </w:tcPr>
          <w:p w14:paraId="04E09378" w14:textId="77777777" w:rsidR="00CB555B" w:rsidRDefault="00CB555B" w:rsidP="00805D4C">
            <w:pPr>
              <w:pStyle w:val="PwCNormal"/>
            </w:pPr>
            <w:r>
              <w:t>As a government structure this group does not include National Coalition membership.</w:t>
            </w:r>
          </w:p>
        </w:tc>
        <w:tc>
          <w:tcPr>
            <w:tcW w:w="3136" w:type="dxa"/>
          </w:tcPr>
          <w:p w14:paraId="36860B48" w14:textId="77777777" w:rsidR="00CB555B" w:rsidRDefault="00CB555B" w:rsidP="00805D4C">
            <w:pPr>
              <w:pStyle w:val="PwCNormal"/>
            </w:pPr>
            <w:r>
              <w:t>No Terms of Reference provided</w:t>
            </w:r>
          </w:p>
          <w:p w14:paraId="4F6B94D5" w14:textId="77777777" w:rsidR="00CB555B" w:rsidRDefault="00CB555B" w:rsidP="00805D4C">
            <w:pPr>
              <w:pStyle w:val="PwCNormal"/>
            </w:pPr>
            <w:r>
              <w:t xml:space="preserve">Third Action Plan provides: “responsible for monitoring and reporting progress to CAFS on the implementation of the Third Action Plan” </w:t>
            </w:r>
          </w:p>
        </w:tc>
        <w:tc>
          <w:tcPr>
            <w:tcW w:w="1219" w:type="dxa"/>
          </w:tcPr>
          <w:p w14:paraId="6D399AC0" w14:textId="77777777" w:rsidR="00CB555B" w:rsidRDefault="00CB555B" w:rsidP="00805D4C">
            <w:pPr>
              <w:pStyle w:val="PwCNormal"/>
            </w:pPr>
            <w:r>
              <w:t>CAFS</w:t>
            </w:r>
          </w:p>
        </w:tc>
        <w:tc>
          <w:tcPr>
            <w:tcW w:w="1456" w:type="dxa"/>
          </w:tcPr>
          <w:p w14:paraId="55F29CC1" w14:textId="77777777" w:rsidR="00CB555B" w:rsidRDefault="00CB555B" w:rsidP="00805D4C">
            <w:pPr>
              <w:pStyle w:val="PwCNormal"/>
            </w:pPr>
            <w:r>
              <w:t>Not reported</w:t>
            </w:r>
          </w:p>
        </w:tc>
      </w:tr>
      <w:tr w:rsidR="00CB555B" w14:paraId="3B0087BB" w14:textId="77777777" w:rsidTr="00CB555B">
        <w:trPr>
          <w:trHeight w:val="556"/>
        </w:trPr>
        <w:tc>
          <w:tcPr>
            <w:tcW w:w="1923" w:type="dxa"/>
          </w:tcPr>
          <w:p w14:paraId="2869F925" w14:textId="77777777" w:rsidR="00CB555B" w:rsidRDefault="00CB555B" w:rsidP="00805D4C">
            <w:pPr>
              <w:pStyle w:val="PwCNormal"/>
            </w:pPr>
            <w:r w:rsidRPr="00311920">
              <w:t>Aboriginal and Torres Strait Islander Working Group</w:t>
            </w:r>
            <w:r>
              <w:rPr>
                <w:rStyle w:val="FootnoteReference"/>
              </w:rPr>
              <w:footnoteReference w:id="62"/>
            </w:r>
          </w:p>
        </w:tc>
        <w:tc>
          <w:tcPr>
            <w:tcW w:w="2121" w:type="dxa"/>
          </w:tcPr>
          <w:p w14:paraId="0487B9C4" w14:textId="77777777" w:rsidR="00CB555B" w:rsidRDefault="00CB555B" w:rsidP="00805D4C">
            <w:pPr>
              <w:pStyle w:val="PwCNormal"/>
            </w:pPr>
            <w:r>
              <w:t xml:space="preserve">Membership does not include State/Territory or Commonwealth government representatives. Membership includes a wide range of NGOs and Peaks. </w:t>
            </w:r>
          </w:p>
        </w:tc>
        <w:tc>
          <w:tcPr>
            <w:tcW w:w="3136" w:type="dxa"/>
          </w:tcPr>
          <w:p w14:paraId="65EE45F4" w14:textId="77777777" w:rsidR="00CB555B" w:rsidRDefault="00CB555B" w:rsidP="00805D4C">
            <w:pPr>
              <w:pStyle w:val="PwCNormal"/>
            </w:pPr>
            <w:r>
              <w:t xml:space="preserve">Provide guidance, advice and expertise to the National Forum and Strategy Working Groups. Provide annual reports to the National Forum on implementation of actions under each of the 3 Strategies. Support the ATSICPP’s full implementation. </w:t>
            </w:r>
          </w:p>
        </w:tc>
        <w:tc>
          <w:tcPr>
            <w:tcW w:w="1219" w:type="dxa"/>
          </w:tcPr>
          <w:p w14:paraId="00FE92DD" w14:textId="77777777" w:rsidR="00CB555B" w:rsidRDefault="00CB555B" w:rsidP="00805D4C">
            <w:pPr>
              <w:pStyle w:val="PwCNormal"/>
            </w:pPr>
            <w:r>
              <w:t>National Forum</w:t>
            </w:r>
          </w:p>
          <w:p w14:paraId="4154C702" w14:textId="77777777" w:rsidR="00CB555B" w:rsidRDefault="00CB555B" w:rsidP="00805D4C">
            <w:pPr>
              <w:pStyle w:val="PwCNormal"/>
            </w:pPr>
            <w:r>
              <w:t>Reporting in line with National Forum meetings</w:t>
            </w:r>
          </w:p>
        </w:tc>
        <w:tc>
          <w:tcPr>
            <w:tcW w:w="1456" w:type="dxa"/>
          </w:tcPr>
          <w:p w14:paraId="6C635D55" w14:textId="77777777" w:rsidR="00CB555B" w:rsidRDefault="00CB555B" w:rsidP="00805D4C">
            <w:pPr>
              <w:pStyle w:val="PwCNormal"/>
            </w:pPr>
            <w:r>
              <w:t>As necessary</w:t>
            </w:r>
          </w:p>
        </w:tc>
      </w:tr>
      <w:tr w:rsidR="00CB555B" w14:paraId="0C7A137B" w14:textId="77777777" w:rsidTr="00CB555B">
        <w:trPr>
          <w:trHeight w:val="855"/>
        </w:trPr>
        <w:tc>
          <w:tcPr>
            <w:tcW w:w="1923" w:type="dxa"/>
          </w:tcPr>
          <w:p w14:paraId="1E63E288" w14:textId="77777777" w:rsidR="00CB555B" w:rsidRPr="00311920" w:rsidRDefault="00CB555B" w:rsidP="00805D4C">
            <w:pPr>
              <w:pStyle w:val="PwCNormal"/>
            </w:pPr>
            <w:r>
              <w:lastRenderedPageBreak/>
              <w:t>Strategy Working Groups</w:t>
            </w:r>
          </w:p>
        </w:tc>
        <w:tc>
          <w:tcPr>
            <w:tcW w:w="2121" w:type="dxa"/>
          </w:tcPr>
          <w:p w14:paraId="78F64DD3" w14:textId="77777777" w:rsidR="00CB555B" w:rsidRDefault="00CB555B" w:rsidP="00805D4C">
            <w:pPr>
              <w:pStyle w:val="PwCNormal"/>
            </w:pPr>
            <w:r>
              <w:t>None</w:t>
            </w:r>
          </w:p>
        </w:tc>
        <w:tc>
          <w:tcPr>
            <w:tcW w:w="3136" w:type="dxa"/>
          </w:tcPr>
          <w:p w14:paraId="1C14905D" w14:textId="77777777" w:rsidR="00CB555B" w:rsidRDefault="00CB555B" w:rsidP="00805D4C">
            <w:pPr>
              <w:pStyle w:val="PwCNormal"/>
            </w:pPr>
            <w:r>
              <w:t xml:space="preserve">Draft governance arrangements were proposed at the National Forum on 1 Sept 2015 no final Terms of Reference were provided. </w:t>
            </w:r>
          </w:p>
          <w:p w14:paraId="5BF30B3D" w14:textId="77777777" w:rsidR="00CB555B" w:rsidRDefault="00CB555B" w:rsidP="00805D4C">
            <w:pPr>
              <w:pStyle w:val="PwCNormal"/>
            </w:pPr>
            <w:r>
              <w:t xml:space="preserve">Draft arrangements include; driving and monitoring implementation of actions under each Strategy of the Third Action Plan, proposing additional actions as necessary, ensuring the ATSICPP is embedded throughout actions. </w:t>
            </w:r>
          </w:p>
        </w:tc>
        <w:tc>
          <w:tcPr>
            <w:tcW w:w="1219" w:type="dxa"/>
          </w:tcPr>
          <w:p w14:paraId="1602F9A1" w14:textId="77777777" w:rsidR="00CB555B" w:rsidRDefault="00CB555B" w:rsidP="00805D4C">
            <w:pPr>
              <w:pStyle w:val="PwCNormal"/>
            </w:pPr>
            <w:r w:rsidRPr="00952B5A">
              <w:t xml:space="preserve">National Forum </w:t>
            </w:r>
          </w:p>
          <w:p w14:paraId="0B2F607F" w14:textId="77777777" w:rsidR="00CB555B" w:rsidRDefault="00CB555B" w:rsidP="00805D4C">
            <w:pPr>
              <w:pStyle w:val="PwCNormal"/>
            </w:pPr>
            <w:r>
              <w:t>Biannual reports (draft)</w:t>
            </w:r>
          </w:p>
        </w:tc>
        <w:tc>
          <w:tcPr>
            <w:tcW w:w="1456" w:type="dxa"/>
          </w:tcPr>
          <w:p w14:paraId="339594CC" w14:textId="77777777" w:rsidR="00CB555B" w:rsidRDefault="00CB555B" w:rsidP="00805D4C">
            <w:pPr>
              <w:pStyle w:val="PwCNormal"/>
            </w:pPr>
            <w:r>
              <w:t>Three times per annum (draft)</w:t>
            </w:r>
          </w:p>
        </w:tc>
      </w:tr>
      <w:tr w:rsidR="00CB555B" w14:paraId="0DFD6AA3" w14:textId="77777777" w:rsidTr="00CB555B">
        <w:trPr>
          <w:trHeight w:val="1084"/>
        </w:trPr>
        <w:tc>
          <w:tcPr>
            <w:tcW w:w="1923" w:type="dxa"/>
          </w:tcPr>
          <w:p w14:paraId="424A0018" w14:textId="77777777" w:rsidR="00CB555B" w:rsidRPr="00311920" w:rsidRDefault="00CB555B" w:rsidP="00805D4C">
            <w:pPr>
              <w:pStyle w:val="PwCNormal"/>
            </w:pPr>
            <w:r>
              <w:t>Research Advisory Committee</w:t>
            </w:r>
          </w:p>
        </w:tc>
        <w:tc>
          <w:tcPr>
            <w:tcW w:w="2121" w:type="dxa"/>
          </w:tcPr>
          <w:p w14:paraId="2BF26B37" w14:textId="77777777" w:rsidR="00CB555B" w:rsidRDefault="00CB555B" w:rsidP="00805D4C">
            <w:pPr>
              <w:pStyle w:val="PwCNormal"/>
            </w:pPr>
            <w:r>
              <w:t xml:space="preserve">Membership does not include States/Territory Government, Australian Centre for Child Protection or Australian Institute of Health and Welfare despite their membership fo the National Forum. </w:t>
            </w:r>
          </w:p>
        </w:tc>
        <w:tc>
          <w:tcPr>
            <w:tcW w:w="3136" w:type="dxa"/>
          </w:tcPr>
          <w:p w14:paraId="0E07F64C" w14:textId="77777777" w:rsidR="00CB555B" w:rsidRDefault="00CB555B" w:rsidP="00805D4C">
            <w:pPr>
              <w:pStyle w:val="PwCNormal"/>
            </w:pPr>
            <w:r>
              <w:t xml:space="preserve">No formal Terms of Reference have been provided, arrangements were agreed at National Forum. </w:t>
            </w:r>
          </w:p>
          <w:p w14:paraId="628088DD" w14:textId="77777777" w:rsidR="00CB555B" w:rsidRDefault="00CB555B" w:rsidP="00805D4C">
            <w:pPr>
              <w:pStyle w:val="PwCNormal"/>
            </w:pPr>
            <w:r>
              <w:t xml:space="preserve">Explore the development of targets and progress markers, revitalise a new research agenda, examine how to continue the full implementation of the National Standards for OOHC to respond to the Senate Inquiry into OOHC. </w:t>
            </w:r>
          </w:p>
        </w:tc>
        <w:tc>
          <w:tcPr>
            <w:tcW w:w="1219" w:type="dxa"/>
          </w:tcPr>
          <w:p w14:paraId="780F7C85" w14:textId="77777777" w:rsidR="00CB555B" w:rsidRDefault="00CB555B" w:rsidP="00805D4C">
            <w:pPr>
              <w:pStyle w:val="PwCNormal"/>
            </w:pPr>
            <w:r w:rsidRPr="00952B5A">
              <w:t xml:space="preserve">National Forum </w:t>
            </w:r>
          </w:p>
        </w:tc>
        <w:tc>
          <w:tcPr>
            <w:tcW w:w="1456" w:type="dxa"/>
          </w:tcPr>
          <w:p w14:paraId="0528EC49" w14:textId="77777777" w:rsidR="00CB555B" w:rsidRDefault="00CB555B" w:rsidP="00805D4C">
            <w:pPr>
              <w:pStyle w:val="PwCNormal"/>
            </w:pPr>
            <w:r>
              <w:t>None documented</w:t>
            </w:r>
          </w:p>
        </w:tc>
      </w:tr>
    </w:tbl>
    <w:bookmarkEnd w:id="295"/>
    <w:p w14:paraId="4DF0B8F2" w14:textId="0F08F8F3" w:rsidR="00CB555B" w:rsidRDefault="00CB555B" w:rsidP="00CB555B">
      <w:pPr>
        <w:pStyle w:val="Caption"/>
      </w:pPr>
      <w:r>
        <w:t xml:space="preserve">Table </w:t>
      </w:r>
      <w:fldSimple w:instr=" SEQ Table \* ARABIC ">
        <w:r w:rsidR="00D75351">
          <w:rPr>
            <w:noProof/>
          </w:rPr>
          <w:t>16</w:t>
        </w:r>
      </w:fldSimple>
      <w:r>
        <w:t>: Fourth Action Plan Terms of Reference and operating arrangements</w:t>
      </w:r>
    </w:p>
    <w:tbl>
      <w:tblPr>
        <w:tblStyle w:val="PwCColour"/>
        <w:tblW w:w="0" w:type="auto"/>
        <w:tblLook w:val="04A0" w:firstRow="1" w:lastRow="0" w:firstColumn="1" w:lastColumn="0" w:noHBand="0" w:noVBand="1"/>
        <w:tblCaption w:val="Table 16: Fourth Action Plan Terms of Reference and operating arrangements"/>
        <w:tblDescription w:val="The following provides a description of the Fourth Action Plan Terms of Reference and operating arrangements.  In this description / table the following headings are used: Group, Missing membership/ representation, Summary of Terms of Reference, Reports to, and Meeting frequency.  The information contained in the table 16: Fourth Action Plan Terms of Reference and operating arrangements is as follows&#10;&#10;Group: CAFS.&#10;Missing membership/ representation: As a government structure this group does not include National Coalition membership.&#10;Summary of Terms of Reference: Broad oversight of Child Protection Royal Commissions, the Framework, Children and Families Data Network, broader inter-jurisdictional collaboration, juvenile justice.&#10;Reports to: CSM meeting (informal).&#10;Meeting frequency: Annual and ad hoc as necessary.&#10;&#10;Group: National Forum for Protecting Australia’s Children.&#10;Missing membership/ representation: None.&#10;Summary of Terms of Reference: Progress implementation of initiatives, lead engagement with broader community inc. communication strategy, provide opportunity for discussion and fill gaps regarding the evidence base.&#10;Reports to: CAFS.&#10;Meeting frequency: As necessary, up to 3 times per annum.&#10;&#10;Group: CAFS Strategic Information Group (SIG).&#10;Missing membership/ representation: As a government structure this group does not include National Coalition membership. &#10;Summary of Terms of Reference: Oversee and provide strategic advice on the development and implementation of a data improvement plan for national child safety and welfare data under the CAFS remit. Develop, maintain and oversee the implementation of a national data improvement plan on behalf of CAFS, including prioritisation of information developments and enhancements by jurisdictions.&#10;Reports to: CAFS.&#10;Meeting frequency: As necessary, but usually 3–4 times annually.&#10;&#10;Group: Children and Families Data Network (CAFDaN).&#10;Missing membership/ representation: National Coalition not represented.&#10;Summary of Terms of Reference: Provide technical support to CAFS SIG.&#10;Reports to: CAFS SIG.&#10;Meeting frequency: As necessary, but usually 3–4 times a year.&#10;&#10;Group: Aboriginal and Torres Strait Islander Children Working Group (Priority One).&#10;Missing membership/ representation: National Coalition not represented on working group.&#10;Summary of Terms of Reference: Provide advice and progress work on actions agreed at CAFS and CSM meetings. Deliver/implement the Fourth Action Plan’s Priority Area one.&#10;Reports to: CAFS.&#10;Meeting frequency: Quarterly.&#10;&#10;Group: Early Intervention and Prevention Initiative (Priority Two).&#10;Missing membership/ representation: Working group limited to membership of the Co-Chairs and Commonwealth Department of Social Services.&#10;Summary of Terms of Reference: To oversee and provide advice on actions 2.2 and 2.3 under Priority Two of the Fourth Action Plan and as agreed at CAFS and CSM meetings. Deliver actions 2.2. and 2.3.&#10;Reports to: CAFS.&#10;Meeting frequency: As required.&#10;&#10;Group: Permanency Working Group (Priority Three) .&#10;Missing membership/ representation: National Coalition not represented on working group.&#10;Summary of Terms of Reference: Provide advice and progress work on actions agreed at CAFS and CSM meetings. Develop a work plan and/or implement the Fourth Action Plan priority area three.&#10;Reports to: CAFS.&#10;Meeting frequency: Quarterly.&#10;&#10;Group: Child Safety Working Group (Priority Four).&#10;Missing membership/ representation: National Coalition not represented on working group.&#10;Summary of Terms of Reference: Provide advice and progress work on actions agreed at CAFS and CSM meetings. Develop a work plan and/or implement the Fourth Action Plan priority area four.&#10;Reports to: CAFS.&#10;Meeting frequency: Quarterly.&#10;&#10;Group: Aboriginal and Torres Strait Islander Working Group.&#10;Missing membership/ representation: Membership of this group has not been provided.  &#10;Summary of Terms of Reference: No formal terms of reference have been provided. The Fourth Action Plan requires the working group to; provide guidance, advice and expertise to the National Forum and working groups and to ensure that the action plan remains focussed on delivering programs for Aboriginal and Torres Strait Islander children.&#10;Reports to: SIG, the four Priority Working Groups and the National Forum.&#10;Meeting frequency: Not provided."/>
      </w:tblPr>
      <w:tblGrid>
        <w:gridCol w:w="1774"/>
        <w:gridCol w:w="2141"/>
        <w:gridCol w:w="3322"/>
        <w:gridCol w:w="1219"/>
        <w:gridCol w:w="1399"/>
      </w:tblGrid>
      <w:tr w:rsidR="00CB555B" w14:paraId="17D1134C" w14:textId="77777777" w:rsidTr="00805D4C">
        <w:trPr>
          <w:cnfStyle w:val="100000000000" w:firstRow="1" w:lastRow="0" w:firstColumn="0" w:lastColumn="0" w:oddVBand="0" w:evenVBand="0" w:oddHBand="0" w:evenHBand="0" w:firstRowFirstColumn="0" w:firstRowLastColumn="0" w:lastRowFirstColumn="0" w:lastRowLastColumn="0"/>
          <w:trHeight w:val="499"/>
        </w:trPr>
        <w:tc>
          <w:tcPr>
            <w:cnfStyle w:val="000000000100" w:firstRow="0" w:lastRow="0" w:firstColumn="0" w:lastColumn="0" w:oddVBand="0" w:evenVBand="0" w:oddHBand="0" w:evenHBand="0" w:firstRowFirstColumn="1" w:firstRowLastColumn="0" w:lastRowFirstColumn="0" w:lastRowLastColumn="0"/>
            <w:tcW w:w="2547" w:type="dxa"/>
            <w:vAlign w:val="center"/>
          </w:tcPr>
          <w:p w14:paraId="26F3EB91" w14:textId="77777777" w:rsidR="00CB555B" w:rsidRPr="0021484F" w:rsidRDefault="00CB555B" w:rsidP="00805D4C">
            <w:pPr>
              <w:pStyle w:val="PwCNormal"/>
              <w:rPr>
                <w:b/>
              </w:rPr>
            </w:pPr>
            <w:r w:rsidRPr="0021484F">
              <w:rPr>
                <w:b/>
              </w:rPr>
              <w:t>Group</w:t>
            </w:r>
          </w:p>
        </w:tc>
        <w:tc>
          <w:tcPr>
            <w:tcW w:w="2718" w:type="dxa"/>
            <w:vAlign w:val="center"/>
          </w:tcPr>
          <w:p w14:paraId="76A0D05F" w14:textId="77777777" w:rsidR="00CB555B" w:rsidRPr="0021484F" w:rsidRDefault="00CB555B" w:rsidP="00805D4C">
            <w:pPr>
              <w:pStyle w:val="PwCNormal"/>
              <w:cnfStyle w:val="100000000000" w:firstRow="1" w:lastRow="0" w:firstColumn="0" w:lastColumn="0" w:oddVBand="0" w:evenVBand="0" w:oddHBand="0" w:evenHBand="0" w:firstRowFirstColumn="0" w:firstRowLastColumn="0" w:lastRowFirstColumn="0" w:lastRowLastColumn="0"/>
              <w:rPr>
                <w:b/>
              </w:rPr>
            </w:pPr>
            <w:r w:rsidRPr="0021484F">
              <w:rPr>
                <w:b/>
              </w:rPr>
              <w:t>Missing membership/ representation?</w:t>
            </w:r>
            <w:r w:rsidRPr="0021484F">
              <w:rPr>
                <w:rStyle w:val="FootnoteReference"/>
                <w:b/>
              </w:rPr>
              <w:footnoteReference w:id="63"/>
            </w:r>
            <w:r w:rsidRPr="0021484F">
              <w:rPr>
                <w:b/>
              </w:rPr>
              <w:t xml:space="preserve"> </w:t>
            </w:r>
          </w:p>
        </w:tc>
        <w:tc>
          <w:tcPr>
            <w:tcW w:w="5670" w:type="dxa"/>
            <w:vAlign w:val="center"/>
          </w:tcPr>
          <w:p w14:paraId="1266BD48" w14:textId="77777777" w:rsidR="00CB555B" w:rsidRPr="0021484F" w:rsidRDefault="00CB555B" w:rsidP="00805D4C">
            <w:pPr>
              <w:pStyle w:val="PwCNormal"/>
              <w:cnfStyle w:val="100000000000" w:firstRow="1" w:lastRow="0" w:firstColumn="0" w:lastColumn="0" w:oddVBand="0" w:evenVBand="0" w:oddHBand="0" w:evenHBand="0" w:firstRowFirstColumn="0" w:firstRowLastColumn="0" w:lastRowFirstColumn="0" w:lastRowLastColumn="0"/>
              <w:rPr>
                <w:b/>
              </w:rPr>
            </w:pPr>
            <w:r>
              <w:rPr>
                <w:b/>
              </w:rPr>
              <w:t xml:space="preserve">Summary of </w:t>
            </w:r>
            <w:r w:rsidRPr="0021484F">
              <w:rPr>
                <w:b/>
              </w:rPr>
              <w:t xml:space="preserve">Terms of </w:t>
            </w:r>
            <w:r>
              <w:rPr>
                <w:b/>
              </w:rPr>
              <w:t>R</w:t>
            </w:r>
            <w:r w:rsidRPr="0021484F">
              <w:rPr>
                <w:b/>
              </w:rPr>
              <w:t>eference</w:t>
            </w:r>
          </w:p>
        </w:tc>
        <w:tc>
          <w:tcPr>
            <w:tcW w:w="1560" w:type="dxa"/>
            <w:vAlign w:val="center"/>
          </w:tcPr>
          <w:p w14:paraId="0A7834DF" w14:textId="77777777" w:rsidR="00CB555B" w:rsidRPr="0021484F" w:rsidRDefault="00CB555B" w:rsidP="00805D4C">
            <w:pPr>
              <w:pStyle w:val="PwCNormal"/>
              <w:numPr>
                <w:ilvl w:val="0"/>
                <w:numId w:val="0"/>
              </w:numPr>
              <w:cnfStyle w:val="100000000000" w:firstRow="1" w:lastRow="0" w:firstColumn="0" w:lastColumn="0" w:oddVBand="0" w:evenVBand="0" w:oddHBand="0" w:evenHBand="0" w:firstRowFirstColumn="0" w:firstRowLastColumn="0" w:lastRowFirstColumn="0" w:lastRowLastColumn="0"/>
              <w:rPr>
                <w:b/>
              </w:rPr>
            </w:pPr>
            <w:r w:rsidRPr="0021484F">
              <w:rPr>
                <w:b/>
              </w:rPr>
              <w:t>Reports to</w:t>
            </w:r>
          </w:p>
        </w:tc>
        <w:tc>
          <w:tcPr>
            <w:tcW w:w="1838" w:type="dxa"/>
            <w:vAlign w:val="center"/>
          </w:tcPr>
          <w:p w14:paraId="40910DF4" w14:textId="77777777" w:rsidR="00CB555B" w:rsidRPr="0021484F" w:rsidRDefault="00CB555B" w:rsidP="00805D4C">
            <w:pPr>
              <w:pStyle w:val="PwCNormal"/>
              <w:cnfStyle w:val="100000000000" w:firstRow="1" w:lastRow="0" w:firstColumn="0" w:lastColumn="0" w:oddVBand="0" w:evenVBand="0" w:oddHBand="0" w:evenHBand="0" w:firstRowFirstColumn="0" w:firstRowLastColumn="0" w:lastRowFirstColumn="0" w:lastRowLastColumn="0"/>
              <w:rPr>
                <w:b/>
              </w:rPr>
            </w:pPr>
            <w:r w:rsidRPr="0021484F">
              <w:rPr>
                <w:b/>
              </w:rPr>
              <w:t>Meeting frequency</w:t>
            </w:r>
          </w:p>
        </w:tc>
      </w:tr>
      <w:tr w:rsidR="00CB555B" w14:paraId="057B2DC5" w14:textId="77777777" w:rsidTr="00805D4C">
        <w:trPr>
          <w:trHeight w:val="587"/>
        </w:trPr>
        <w:tc>
          <w:tcPr>
            <w:tcW w:w="2547" w:type="dxa"/>
          </w:tcPr>
          <w:p w14:paraId="4ADE134A" w14:textId="77777777" w:rsidR="00CB555B" w:rsidRDefault="00CB555B" w:rsidP="00805D4C">
            <w:pPr>
              <w:pStyle w:val="PwCNormal"/>
            </w:pPr>
            <w:r>
              <w:t>CAFS</w:t>
            </w:r>
            <w:r>
              <w:rPr>
                <w:rStyle w:val="FootnoteReference"/>
              </w:rPr>
              <w:footnoteReference w:id="64"/>
            </w:r>
          </w:p>
        </w:tc>
        <w:tc>
          <w:tcPr>
            <w:tcW w:w="2718" w:type="dxa"/>
          </w:tcPr>
          <w:p w14:paraId="4496DF11" w14:textId="77777777" w:rsidR="00CB555B" w:rsidRDefault="00CB555B" w:rsidP="00805D4C">
            <w:pPr>
              <w:pStyle w:val="PwCNormal"/>
            </w:pPr>
            <w:r>
              <w:t xml:space="preserve">As a government structure this group does not include National Coalition membership. </w:t>
            </w:r>
          </w:p>
        </w:tc>
        <w:tc>
          <w:tcPr>
            <w:tcW w:w="5670" w:type="dxa"/>
          </w:tcPr>
          <w:p w14:paraId="6AF85934" w14:textId="77777777" w:rsidR="00CB555B" w:rsidRDefault="00CB555B" w:rsidP="00805D4C">
            <w:pPr>
              <w:pStyle w:val="PwCNormal"/>
            </w:pPr>
            <w:r>
              <w:t xml:space="preserve">Broad oversight of Child Protection Royal Commissions, the Framework, Children and Families Data Network, broader inter-jurisdictional collaboration, juvenile justice. </w:t>
            </w:r>
          </w:p>
        </w:tc>
        <w:tc>
          <w:tcPr>
            <w:tcW w:w="1560" w:type="dxa"/>
          </w:tcPr>
          <w:p w14:paraId="54830B69" w14:textId="77777777" w:rsidR="00CB555B" w:rsidRDefault="00CB555B" w:rsidP="00805D4C">
            <w:pPr>
              <w:pStyle w:val="PwCNormal"/>
            </w:pPr>
            <w:r>
              <w:t>CSM meeting (informal)</w:t>
            </w:r>
          </w:p>
        </w:tc>
        <w:tc>
          <w:tcPr>
            <w:tcW w:w="1838" w:type="dxa"/>
          </w:tcPr>
          <w:p w14:paraId="4259AE29" w14:textId="77777777" w:rsidR="00CB555B" w:rsidRDefault="00CB555B" w:rsidP="00805D4C">
            <w:pPr>
              <w:pStyle w:val="PwCNormal"/>
            </w:pPr>
            <w:r>
              <w:t xml:space="preserve">Annual and ad hoc as necessary. </w:t>
            </w:r>
          </w:p>
        </w:tc>
      </w:tr>
      <w:tr w:rsidR="00CB555B" w14:paraId="4ED6203D" w14:textId="77777777" w:rsidTr="00805D4C">
        <w:trPr>
          <w:trHeight w:val="602"/>
        </w:trPr>
        <w:tc>
          <w:tcPr>
            <w:tcW w:w="2547" w:type="dxa"/>
          </w:tcPr>
          <w:p w14:paraId="61978DFF" w14:textId="77777777" w:rsidR="00CB555B" w:rsidRDefault="00CB555B" w:rsidP="00805D4C">
            <w:pPr>
              <w:pStyle w:val="PwCNormal"/>
            </w:pPr>
            <w:r>
              <w:t>National Forum for Protecting Australia’s Children</w:t>
            </w:r>
            <w:r>
              <w:rPr>
                <w:rStyle w:val="FootnoteReference"/>
              </w:rPr>
              <w:footnoteReference w:id="65"/>
            </w:r>
          </w:p>
        </w:tc>
        <w:tc>
          <w:tcPr>
            <w:tcW w:w="2718" w:type="dxa"/>
          </w:tcPr>
          <w:p w14:paraId="0E2F48A8" w14:textId="77777777" w:rsidR="00CB555B" w:rsidRDefault="00CB555B" w:rsidP="00805D4C">
            <w:pPr>
              <w:pStyle w:val="PwCNormal"/>
            </w:pPr>
            <w:r>
              <w:t>None</w:t>
            </w:r>
          </w:p>
        </w:tc>
        <w:tc>
          <w:tcPr>
            <w:tcW w:w="5670" w:type="dxa"/>
          </w:tcPr>
          <w:p w14:paraId="4703006A" w14:textId="77777777" w:rsidR="00CB555B" w:rsidRDefault="00CB555B" w:rsidP="00805D4C">
            <w:pPr>
              <w:pStyle w:val="PwCNormal"/>
            </w:pPr>
            <w:r>
              <w:t xml:space="preserve">Progress implementation of initiatives, lead engagement with broader community inc. communication strategy, provide opportunity for </w:t>
            </w:r>
            <w:r>
              <w:lastRenderedPageBreak/>
              <w:t xml:space="preserve">discussion and fill gaps regarding the evidence base. </w:t>
            </w:r>
          </w:p>
        </w:tc>
        <w:tc>
          <w:tcPr>
            <w:tcW w:w="1560" w:type="dxa"/>
          </w:tcPr>
          <w:p w14:paraId="5933C2DD" w14:textId="77777777" w:rsidR="00CB555B" w:rsidRDefault="00CB555B" w:rsidP="00805D4C">
            <w:pPr>
              <w:pStyle w:val="PwCNormal"/>
            </w:pPr>
            <w:r>
              <w:lastRenderedPageBreak/>
              <w:t>CAFS</w:t>
            </w:r>
          </w:p>
        </w:tc>
        <w:tc>
          <w:tcPr>
            <w:tcW w:w="1838" w:type="dxa"/>
          </w:tcPr>
          <w:p w14:paraId="31C788C1" w14:textId="77777777" w:rsidR="00CB555B" w:rsidRDefault="00CB555B" w:rsidP="00805D4C">
            <w:pPr>
              <w:pStyle w:val="PwCNormal"/>
            </w:pPr>
            <w:r>
              <w:t>As necessary, up to 3 times per annum</w:t>
            </w:r>
          </w:p>
        </w:tc>
      </w:tr>
      <w:tr w:rsidR="00CB555B" w14:paraId="4F7BA17E" w14:textId="77777777" w:rsidTr="00805D4C">
        <w:trPr>
          <w:trHeight w:val="602"/>
        </w:trPr>
        <w:tc>
          <w:tcPr>
            <w:tcW w:w="2547" w:type="dxa"/>
          </w:tcPr>
          <w:p w14:paraId="079FB2FC" w14:textId="77777777" w:rsidR="00CB555B" w:rsidRDefault="00CB555B" w:rsidP="00805D4C">
            <w:pPr>
              <w:pStyle w:val="PwCNormal"/>
            </w:pPr>
            <w:r>
              <w:rPr>
                <w:lang w:eastAsia="en-AU"/>
              </w:rPr>
              <w:t xml:space="preserve">CAFS Strategic Information Group (SIG) </w:t>
            </w:r>
          </w:p>
        </w:tc>
        <w:tc>
          <w:tcPr>
            <w:tcW w:w="2718" w:type="dxa"/>
          </w:tcPr>
          <w:p w14:paraId="14A21377" w14:textId="77777777" w:rsidR="00CB555B" w:rsidRDefault="00CB555B" w:rsidP="00805D4C">
            <w:pPr>
              <w:pStyle w:val="PwCNormal"/>
            </w:pPr>
            <w:r>
              <w:t>As a government structure this group does not include National Coalition membership</w:t>
            </w:r>
          </w:p>
        </w:tc>
        <w:tc>
          <w:tcPr>
            <w:tcW w:w="5670" w:type="dxa"/>
          </w:tcPr>
          <w:p w14:paraId="28D16C43" w14:textId="77777777" w:rsidR="00CB555B" w:rsidRDefault="00CB555B" w:rsidP="00805D4C">
            <w:pPr>
              <w:pStyle w:val="PwCNormal"/>
            </w:pPr>
            <w:r w:rsidRPr="00EC6405">
              <w:t>Oversee and provide strategic advice on the development and implementation of a data improvement plan for national child safety and welfare data under the CAFS remit</w:t>
            </w:r>
            <w:r>
              <w:t xml:space="preserve">. </w:t>
            </w:r>
          </w:p>
          <w:p w14:paraId="05330A61" w14:textId="77777777" w:rsidR="00CB555B" w:rsidRDefault="00CB555B" w:rsidP="00805D4C">
            <w:pPr>
              <w:pStyle w:val="PwCNormal"/>
            </w:pPr>
            <w:r w:rsidRPr="00EC6405">
              <w:t xml:space="preserve">Develop, maintain and oversee the implementation of a national data improvement plan on behalf of CAFS, including prioritisation of information developments and enhancements by jurisdictions. </w:t>
            </w:r>
          </w:p>
        </w:tc>
        <w:tc>
          <w:tcPr>
            <w:tcW w:w="1560" w:type="dxa"/>
          </w:tcPr>
          <w:p w14:paraId="1221DC05" w14:textId="77777777" w:rsidR="00CB555B" w:rsidRDefault="00CB555B" w:rsidP="00805D4C">
            <w:pPr>
              <w:pStyle w:val="PwCNormal"/>
            </w:pPr>
            <w:r>
              <w:t>CAFS</w:t>
            </w:r>
          </w:p>
        </w:tc>
        <w:tc>
          <w:tcPr>
            <w:tcW w:w="1838" w:type="dxa"/>
          </w:tcPr>
          <w:p w14:paraId="380268CF" w14:textId="77777777" w:rsidR="00CB555B" w:rsidRDefault="00CB555B" w:rsidP="00805D4C">
            <w:pPr>
              <w:pStyle w:val="PwCNormal"/>
            </w:pPr>
            <w:r w:rsidRPr="00EC6405">
              <w:t>As necessary, but usually 3–4 times annually</w:t>
            </w:r>
          </w:p>
        </w:tc>
      </w:tr>
      <w:tr w:rsidR="00CB555B" w14:paraId="6F5DC092" w14:textId="77777777" w:rsidTr="00805D4C">
        <w:trPr>
          <w:trHeight w:val="602"/>
        </w:trPr>
        <w:tc>
          <w:tcPr>
            <w:tcW w:w="2547" w:type="dxa"/>
          </w:tcPr>
          <w:p w14:paraId="54EF45E0" w14:textId="77777777" w:rsidR="00CB555B" w:rsidRPr="00D3118B" w:rsidRDefault="00CB555B" w:rsidP="00805D4C">
            <w:pPr>
              <w:pStyle w:val="PwCNormal"/>
              <w:rPr>
                <w:szCs w:val="18"/>
                <w:lang w:eastAsia="en-AU"/>
              </w:rPr>
            </w:pPr>
            <w:r w:rsidRPr="00D3118B">
              <w:rPr>
                <w:szCs w:val="18"/>
                <w:lang w:eastAsia="en-AU"/>
              </w:rPr>
              <w:t>Children and Families Data Network (CAFDaN)</w:t>
            </w:r>
            <w:r>
              <w:rPr>
                <w:rStyle w:val="FootnoteReference"/>
                <w:szCs w:val="18"/>
                <w:lang w:eastAsia="en-AU"/>
              </w:rPr>
              <w:footnoteReference w:id="66"/>
            </w:r>
          </w:p>
        </w:tc>
        <w:tc>
          <w:tcPr>
            <w:tcW w:w="2718" w:type="dxa"/>
          </w:tcPr>
          <w:p w14:paraId="7A5879D0" w14:textId="77777777" w:rsidR="00CB555B" w:rsidRDefault="00CB555B" w:rsidP="00805D4C">
            <w:pPr>
              <w:pStyle w:val="PwCNormal"/>
            </w:pPr>
            <w:r w:rsidRPr="00BC387D">
              <w:t xml:space="preserve">National Coalition not represented </w:t>
            </w:r>
          </w:p>
        </w:tc>
        <w:tc>
          <w:tcPr>
            <w:tcW w:w="5670" w:type="dxa"/>
          </w:tcPr>
          <w:p w14:paraId="2F461FCB" w14:textId="77777777" w:rsidR="00CB555B" w:rsidRDefault="00CB555B" w:rsidP="00805D4C">
            <w:pPr>
              <w:pStyle w:val="PwCNormal"/>
            </w:pPr>
            <w:r>
              <w:t>Provide technical support to CAFS SIG</w:t>
            </w:r>
          </w:p>
        </w:tc>
        <w:tc>
          <w:tcPr>
            <w:tcW w:w="1560" w:type="dxa"/>
          </w:tcPr>
          <w:p w14:paraId="303E72B5" w14:textId="77777777" w:rsidR="00CB555B" w:rsidRDefault="00CB555B" w:rsidP="00805D4C">
            <w:pPr>
              <w:pStyle w:val="PwCNormal"/>
            </w:pPr>
            <w:r>
              <w:t>CAFS SIG</w:t>
            </w:r>
          </w:p>
        </w:tc>
        <w:tc>
          <w:tcPr>
            <w:tcW w:w="1838" w:type="dxa"/>
          </w:tcPr>
          <w:p w14:paraId="66C359ED" w14:textId="77777777" w:rsidR="00CB555B" w:rsidRDefault="00CB555B" w:rsidP="00805D4C">
            <w:pPr>
              <w:pStyle w:val="PwCNormal"/>
            </w:pPr>
            <w:r w:rsidRPr="00BC387D">
              <w:t>As necessary, but usually 3–4 times a year</w:t>
            </w:r>
          </w:p>
        </w:tc>
      </w:tr>
      <w:tr w:rsidR="00CB555B" w14:paraId="329DB278" w14:textId="77777777" w:rsidTr="00805D4C">
        <w:trPr>
          <w:trHeight w:val="602"/>
        </w:trPr>
        <w:tc>
          <w:tcPr>
            <w:tcW w:w="2547" w:type="dxa"/>
          </w:tcPr>
          <w:p w14:paraId="7AB19B52" w14:textId="77777777" w:rsidR="00CB555B" w:rsidRPr="00D3118B" w:rsidRDefault="00CB555B" w:rsidP="00805D4C">
            <w:pPr>
              <w:pStyle w:val="PwCNormal"/>
              <w:rPr>
                <w:szCs w:val="18"/>
                <w:lang w:eastAsia="en-AU"/>
              </w:rPr>
            </w:pPr>
            <w:r w:rsidRPr="00D3118B">
              <w:rPr>
                <w:rFonts w:ascii="Arial" w:hAnsi="Arial"/>
                <w:bCs/>
                <w:szCs w:val="18"/>
              </w:rPr>
              <w:t>Aboriginal and Torres Strait Islander Children Working Group (Priority One)</w:t>
            </w:r>
            <w:r>
              <w:rPr>
                <w:rStyle w:val="FootnoteReference"/>
                <w:rFonts w:ascii="Arial" w:hAnsi="Arial"/>
                <w:bCs/>
                <w:szCs w:val="18"/>
              </w:rPr>
              <w:footnoteReference w:id="67"/>
            </w:r>
          </w:p>
        </w:tc>
        <w:tc>
          <w:tcPr>
            <w:tcW w:w="2718" w:type="dxa"/>
          </w:tcPr>
          <w:p w14:paraId="0AA0836A" w14:textId="77777777" w:rsidR="00CB555B" w:rsidRDefault="00CB555B" w:rsidP="00805D4C">
            <w:pPr>
              <w:pStyle w:val="PwCNormal"/>
            </w:pPr>
            <w:r>
              <w:t xml:space="preserve">National Coalition not represented on working group. </w:t>
            </w:r>
          </w:p>
        </w:tc>
        <w:tc>
          <w:tcPr>
            <w:tcW w:w="5670" w:type="dxa"/>
          </w:tcPr>
          <w:p w14:paraId="4ADE3F44" w14:textId="77777777" w:rsidR="00CB555B" w:rsidRDefault="00CB555B" w:rsidP="00805D4C">
            <w:pPr>
              <w:pStyle w:val="PwCNormal"/>
            </w:pPr>
            <w:r>
              <w:t xml:space="preserve">Provide advice and progress work on actions agreed at CAFS and CSM meetings. </w:t>
            </w:r>
          </w:p>
          <w:p w14:paraId="4B2DF1AA" w14:textId="77777777" w:rsidR="00CB555B" w:rsidRDefault="00CB555B" w:rsidP="00805D4C">
            <w:pPr>
              <w:pStyle w:val="PwCNormal"/>
            </w:pPr>
            <w:r>
              <w:t xml:space="preserve">Deliver/implement the Fourth Action Plan’s Priority Area one. </w:t>
            </w:r>
          </w:p>
        </w:tc>
        <w:tc>
          <w:tcPr>
            <w:tcW w:w="1560" w:type="dxa"/>
          </w:tcPr>
          <w:p w14:paraId="3C9CD80E" w14:textId="77777777" w:rsidR="00CB555B" w:rsidRDefault="00CB555B" w:rsidP="00805D4C">
            <w:pPr>
              <w:pStyle w:val="PwCNormal"/>
            </w:pPr>
            <w:r>
              <w:t>CAFS</w:t>
            </w:r>
          </w:p>
        </w:tc>
        <w:tc>
          <w:tcPr>
            <w:tcW w:w="1838" w:type="dxa"/>
          </w:tcPr>
          <w:p w14:paraId="68196DFF" w14:textId="77777777" w:rsidR="00CB555B" w:rsidRDefault="00CB555B" w:rsidP="00805D4C">
            <w:pPr>
              <w:pStyle w:val="PwCNormal"/>
            </w:pPr>
            <w:r>
              <w:t xml:space="preserve">Quarterly </w:t>
            </w:r>
          </w:p>
        </w:tc>
      </w:tr>
      <w:tr w:rsidR="00CB555B" w14:paraId="0CCB3315" w14:textId="77777777" w:rsidTr="00805D4C">
        <w:trPr>
          <w:trHeight w:val="602"/>
        </w:trPr>
        <w:tc>
          <w:tcPr>
            <w:tcW w:w="2547" w:type="dxa"/>
          </w:tcPr>
          <w:p w14:paraId="66D46F79" w14:textId="77777777" w:rsidR="00CB555B" w:rsidRPr="00D3118B" w:rsidRDefault="00CB555B" w:rsidP="00805D4C">
            <w:pPr>
              <w:pStyle w:val="PwCNormal"/>
              <w:numPr>
                <w:ilvl w:val="0"/>
                <w:numId w:val="0"/>
              </w:numPr>
              <w:rPr>
                <w:rFonts w:ascii="Arial" w:hAnsi="Arial"/>
                <w:bCs/>
                <w:szCs w:val="18"/>
              </w:rPr>
            </w:pPr>
            <w:r w:rsidRPr="00D3118B">
              <w:rPr>
                <w:rFonts w:ascii="Arial" w:hAnsi="Arial"/>
                <w:bCs/>
                <w:szCs w:val="18"/>
              </w:rPr>
              <w:t>Early Intervention and Prevention Initiative (Priority Two)</w:t>
            </w:r>
            <w:r>
              <w:rPr>
                <w:rStyle w:val="FootnoteReference"/>
                <w:rFonts w:ascii="Arial" w:hAnsi="Arial"/>
                <w:bCs/>
                <w:szCs w:val="18"/>
              </w:rPr>
              <w:footnoteReference w:id="68"/>
            </w:r>
          </w:p>
        </w:tc>
        <w:tc>
          <w:tcPr>
            <w:tcW w:w="2718" w:type="dxa"/>
          </w:tcPr>
          <w:p w14:paraId="7EC5528A" w14:textId="77777777" w:rsidR="00CB555B" w:rsidRDefault="00CB555B" w:rsidP="00805D4C">
            <w:pPr>
              <w:pStyle w:val="PwCNormal"/>
            </w:pPr>
            <w:r>
              <w:t>Working group limited to membership of the Co-Chairs and Commonwealth Department of Social Services</w:t>
            </w:r>
          </w:p>
        </w:tc>
        <w:tc>
          <w:tcPr>
            <w:tcW w:w="5670" w:type="dxa"/>
          </w:tcPr>
          <w:p w14:paraId="72FC7350" w14:textId="77777777" w:rsidR="00CB555B" w:rsidRDefault="00CB555B" w:rsidP="00805D4C">
            <w:pPr>
              <w:pStyle w:val="PwCNormal"/>
            </w:pPr>
            <w:r w:rsidRPr="00D13FF3">
              <w:t>To oversee and provide advice on actions 2.2 and 2.3 under Priority Two of the Fourth Action Plan and as agreed at CAFS and CSM meetings.</w:t>
            </w:r>
          </w:p>
          <w:p w14:paraId="59E0B594" w14:textId="77777777" w:rsidR="00CB555B" w:rsidRDefault="00CB555B" w:rsidP="00805D4C">
            <w:pPr>
              <w:pStyle w:val="PwCNormal"/>
            </w:pPr>
            <w:r>
              <w:t xml:space="preserve">Deliver actions 2.2. and 2.3 </w:t>
            </w:r>
          </w:p>
        </w:tc>
        <w:tc>
          <w:tcPr>
            <w:tcW w:w="1560" w:type="dxa"/>
          </w:tcPr>
          <w:p w14:paraId="1CA2CFCD" w14:textId="77777777" w:rsidR="00CB555B" w:rsidRDefault="00CB555B" w:rsidP="00805D4C">
            <w:pPr>
              <w:pStyle w:val="PwCNormal"/>
            </w:pPr>
            <w:r>
              <w:t>CAFS</w:t>
            </w:r>
          </w:p>
        </w:tc>
        <w:tc>
          <w:tcPr>
            <w:tcW w:w="1838" w:type="dxa"/>
          </w:tcPr>
          <w:p w14:paraId="2D0AA791" w14:textId="77777777" w:rsidR="00CB555B" w:rsidRDefault="00CB555B" w:rsidP="00805D4C">
            <w:pPr>
              <w:pStyle w:val="PwCNormal"/>
            </w:pPr>
            <w:r>
              <w:t>As required</w:t>
            </w:r>
          </w:p>
        </w:tc>
      </w:tr>
      <w:tr w:rsidR="00CB555B" w14:paraId="590BFDFF" w14:textId="77777777" w:rsidTr="00805D4C">
        <w:trPr>
          <w:trHeight w:val="602"/>
        </w:trPr>
        <w:tc>
          <w:tcPr>
            <w:tcW w:w="2547" w:type="dxa"/>
          </w:tcPr>
          <w:p w14:paraId="6A735217" w14:textId="77777777" w:rsidR="00CB555B" w:rsidRPr="00D3118B" w:rsidRDefault="00CB555B" w:rsidP="00805D4C">
            <w:pPr>
              <w:pStyle w:val="PwCNormal"/>
              <w:numPr>
                <w:ilvl w:val="0"/>
                <w:numId w:val="0"/>
              </w:numPr>
              <w:rPr>
                <w:rFonts w:ascii="Arial" w:hAnsi="Arial"/>
                <w:bCs/>
                <w:szCs w:val="18"/>
              </w:rPr>
            </w:pPr>
            <w:r w:rsidRPr="00D3118B">
              <w:rPr>
                <w:rFonts w:ascii="Arial" w:hAnsi="Arial"/>
                <w:bCs/>
                <w:szCs w:val="18"/>
              </w:rPr>
              <w:t>Permanency Working Group (Priority Three)</w:t>
            </w:r>
          </w:p>
        </w:tc>
        <w:tc>
          <w:tcPr>
            <w:tcW w:w="2718" w:type="dxa"/>
          </w:tcPr>
          <w:p w14:paraId="652135AA" w14:textId="77777777" w:rsidR="00CB555B" w:rsidRDefault="00CB555B" w:rsidP="00805D4C">
            <w:pPr>
              <w:pStyle w:val="PwCNormal"/>
            </w:pPr>
            <w:r>
              <w:t>National Coalition not represented on working group.</w:t>
            </w:r>
          </w:p>
        </w:tc>
        <w:tc>
          <w:tcPr>
            <w:tcW w:w="5670" w:type="dxa"/>
          </w:tcPr>
          <w:p w14:paraId="46149785" w14:textId="77777777" w:rsidR="00CB555B" w:rsidRDefault="00CB555B" w:rsidP="00805D4C">
            <w:pPr>
              <w:pStyle w:val="PwCNormal"/>
            </w:pPr>
            <w:r>
              <w:t xml:space="preserve">Provide advice and progress work on actions agreed at CAFS and CSM meetings. </w:t>
            </w:r>
          </w:p>
          <w:p w14:paraId="1F059E36" w14:textId="77777777" w:rsidR="00CB555B" w:rsidRDefault="00CB555B" w:rsidP="00805D4C">
            <w:pPr>
              <w:pStyle w:val="PwCNormal"/>
            </w:pPr>
            <w:r>
              <w:lastRenderedPageBreak/>
              <w:t>Develop a work plan and/or implement the Fourth Action Plan priority area three.</w:t>
            </w:r>
          </w:p>
        </w:tc>
        <w:tc>
          <w:tcPr>
            <w:tcW w:w="1560" w:type="dxa"/>
          </w:tcPr>
          <w:p w14:paraId="35934FBD" w14:textId="77777777" w:rsidR="00CB555B" w:rsidRDefault="00CB555B" w:rsidP="00805D4C">
            <w:pPr>
              <w:pStyle w:val="PwCNormal"/>
            </w:pPr>
            <w:r>
              <w:lastRenderedPageBreak/>
              <w:t>CAFS</w:t>
            </w:r>
          </w:p>
        </w:tc>
        <w:tc>
          <w:tcPr>
            <w:tcW w:w="1838" w:type="dxa"/>
          </w:tcPr>
          <w:p w14:paraId="6F66E27E" w14:textId="77777777" w:rsidR="00CB555B" w:rsidRDefault="00CB555B" w:rsidP="00805D4C">
            <w:pPr>
              <w:pStyle w:val="PwCNormal"/>
            </w:pPr>
            <w:r>
              <w:t>Quarterly</w:t>
            </w:r>
          </w:p>
        </w:tc>
      </w:tr>
      <w:tr w:rsidR="00CB555B" w14:paraId="427EBC26" w14:textId="77777777" w:rsidTr="00805D4C">
        <w:trPr>
          <w:trHeight w:val="602"/>
        </w:trPr>
        <w:tc>
          <w:tcPr>
            <w:tcW w:w="2547" w:type="dxa"/>
          </w:tcPr>
          <w:p w14:paraId="3C1C1427" w14:textId="77777777" w:rsidR="00CB555B" w:rsidRPr="00D3118B" w:rsidRDefault="00CB555B" w:rsidP="00805D4C">
            <w:pPr>
              <w:pStyle w:val="PwCNormal"/>
              <w:rPr>
                <w:rFonts w:ascii="Arial" w:hAnsi="Arial"/>
                <w:bCs/>
                <w:szCs w:val="18"/>
              </w:rPr>
            </w:pPr>
            <w:r w:rsidRPr="00D3118B">
              <w:rPr>
                <w:rFonts w:ascii="Arial" w:hAnsi="Arial"/>
                <w:bCs/>
                <w:szCs w:val="18"/>
              </w:rPr>
              <w:t>Child Safety Working Group (Priority Four)</w:t>
            </w:r>
            <w:r>
              <w:rPr>
                <w:rStyle w:val="FootnoteReference"/>
                <w:rFonts w:ascii="Arial" w:hAnsi="Arial"/>
                <w:bCs/>
                <w:szCs w:val="18"/>
              </w:rPr>
              <w:footnoteReference w:id="69"/>
            </w:r>
          </w:p>
        </w:tc>
        <w:tc>
          <w:tcPr>
            <w:tcW w:w="2718" w:type="dxa"/>
          </w:tcPr>
          <w:p w14:paraId="1C3DE0F4" w14:textId="77777777" w:rsidR="00CB555B" w:rsidRDefault="00CB555B" w:rsidP="00805D4C">
            <w:pPr>
              <w:pStyle w:val="PwCNormal"/>
            </w:pPr>
            <w:r>
              <w:t>National Coalition not represented on working group.</w:t>
            </w:r>
          </w:p>
        </w:tc>
        <w:tc>
          <w:tcPr>
            <w:tcW w:w="5670" w:type="dxa"/>
          </w:tcPr>
          <w:p w14:paraId="0CEBC0BE" w14:textId="77777777" w:rsidR="00CB555B" w:rsidRDefault="00CB555B" w:rsidP="00805D4C">
            <w:pPr>
              <w:pStyle w:val="PwCNormal"/>
            </w:pPr>
            <w:r>
              <w:t xml:space="preserve">Provide advice and progress work on actions agreed at CAFS and CSM meetings. </w:t>
            </w:r>
          </w:p>
          <w:p w14:paraId="4B4DF32B" w14:textId="77777777" w:rsidR="00CB555B" w:rsidRDefault="00CB555B" w:rsidP="00805D4C">
            <w:pPr>
              <w:pStyle w:val="PwCNormal"/>
            </w:pPr>
            <w:r>
              <w:t xml:space="preserve">Develop a work plan and/or implement the Fourth Action Plan priority area four. </w:t>
            </w:r>
          </w:p>
        </w:tc>
        <w:tc>
          <w:tcPr>
            <w:tcW w:w="1560" w:type="dxa"/>
          </w:tcPr>
          <w:p w14:paraId="087690AA" w14:textId="77777777" w:rsidR="00CB555B" w:rsidRDefault="00CB555B" w:rsidP="00805D4C">
            <w:pPr>
              <w:pStyle w:val="PwCNormal"/>
            </w:pPr>
            <w:r>
              <w:t>CAFS</w:t>
            </w:r>
          </w:p>
        </w:tc>
        <w:tc>
          <w:tcPr>
            <w:tcW w:w="1838" w:type="dxa"/>
          </w:tcPr>
          <w:p w14:paraId="47988DA5" w14:textId="77777777" w:rsidR="00CB555B" w:rsidRDefault="00CB555B" w:rsidP="00805D4C">
            <w:pPr>
              <w:pStyle w:val="PwCNormal"/>
            </w:pPr>
            <w:r>
              <w:t>Quarterly</w:t>
            </w:r>
          </w:p>
        </w:tc>
      </w:tr>
      <w:tr w:rsidR="00CB555B" w14:paraId="3883C56F" w14:textId="77777777" w:rsidTr="00805D4C">
        <w:trPr>
          <w:trHeight w:val="556"/>
        </w:trPr>
        <w:tc>
          <w:tcPr>
            <w:tcW w:w="2547" w:type="dxa"/>
          </w:tcPr>
          <w:p w14:paraId="1304C30B" w14:textId="77777777" w:rsidR="00CB555B" w:rsidRDefault="00CB555B" w:rsidP="00805D4C">
            <w:pPr>
              <w:pStyle w:val="PwCNormal"/>
            </w:pPr>
            <w:r w:rsidRPr="00311920">
              <w:t>Aboriginal and Torres Strait Islander Working Group</w:t>
            </w:r>
            <w:r>
              <w:rPr>
                <w:rStyle w:val="FootnoteReference"/>
              </w:rPr>
              <w:footnoteReference w:id="70"/>
            </w:r>
          </w:p>
        </w:tc>
        <w:tc>
          <w:tcPr>
            <w:tcW w:w="2718" w:type="dxa"/>
          </w:tcPr>
          <w:p w14:paraId="38BB2A2E" w14:textId="77777777" w:rsidR="00CB555B" w:rsidRDefault="00CB555B" w:rsidP="00805D4C">
            <w:pPr>
              <w:pStyle w:val="PwCNormal"/>
            </w:pPr>
            <w:r>
              <w:t xml:space="preserve">Membership of this group has not been provided.  </w:t>
            </w:r>
          </w:p>
        </w:tc>
        <w:tc>
          <w:tcPr>
            <w:tcW w:w="5670" w:type="dxa"/>
          </w:tcPr>
          <w:p w14:paraId="7F4DEE7D" w14:textId="77777777" w:rsidR="00CB555B" w:rsidRDefault="00CB555B" w:rsidP="00805D4C">
            <w:pPr>
              <w:pStyle w:val="PwCNormal"/>
            </w:pPr>
            <w:r>
              <w:t xml:space="preserve">No formal terms of reference have been provided. The Fourth Action Plan requires the working group to; provide guidance, advice and expertise to the National Forum and working groups and to ensure that the action plan remains focussed on delivering programs for Aboriginal and Torres Strait Islander children. </w:t>
            </w:r>
          </w:p>
        </w:tc>
        <w:tc>
          <w:tcPr>
            <w:tcW w:w="1560" w:type="dxa"/>
          </w:tcPr>
          <w:p w14:paraId="6BC3320F" w14:textId="77777777" w:rsidR="00CB555B" w:rsidRDefault="00CB555B" w:rsidP="00805D4C">
            <w:pPr>
              <w:pStyle w:val="PwCNormal"/>
            </w:pPr>
            <w:r>
              <w:t>SIG, the four Priority Working Groups and the National Forum</w:t>
            </w:r>
          </w:p>
        </w:tc>
        <w:tc>
          <w:tcPr>
            <w:tcW w:w="1838" w:type="dxa"/>
          </w:tcPr>
          <w:p w14:paraId="3A646502" w14:textId="77777777" w:rsidR="00CB555B" w:rsidRDefault="00CB555B" w:rsidP="00805D4C">
            <w:pPr>
              <w:pStyle w:val="PwCNormal"/>
            </w:pPr>
            <w:r>
              <w:t>Not provided</w:t>
            </w:r>
          </w:p>
        </w:tc>
      </w:tr>
    </w:tbl>
    <w:p w14:paraId="323A06A5" w14:textId="77777777" w:rsidR="007A6E98" w:rsidRDefault="007A6E98" w:rsidP="00CB555B">
      <w:pPr>
        <w:pStyle w:val="PwCNormal"/>
        <w:numPr>
          <w:ilvl w:val="0"/>
          <w:numId w:val="0"/>
        </w:numPr>
      </w:pPr>
    </w:p>
    <w:p w14:paraId="771DC12E" w14:textId="77777777" w:rsidR="00CB555B" w:rsidRDefault="00CB555B" w:rsidP="00CB555B">
      <w:pPr>
        <w:pStyle w:val="PwCNormal"/>
        <w:numPr>
          <w:ilvl w:val="0"/>
          <w:numId w:val="0"/>
        </w:numPr>
      </w:pPr>
    </w:p>
    <w:p w14:paraId="4B88E85D" w14:textId="77777777" w:rsidR="00CB555B" w:rsidRDefault="00CB555B" w:rsidP="00CB555B">
      <w:pPr>
        <w:pStyle w:val="PwCNormal"/>
        <w:numPr>
          <w:ilvl w:val="0"/>
          <w:numId w:val="0"/>
        </w:numPr>
      </w:pPr>
    </w:p>
    <w:p w14:paraId="5E470BEE" w14:textId="77777777" w:rsidR="00E007A4" w:rsidRDefault="00E007A4" w:rsidP="00E007A4">
      <w:pPr>
        <w:pStyle w:val="PwCNormal"/>
        <w:sectPr w:rsidR="00E007A4" w:rsidSect="00CB555B">
          <w:headerReference w:type="first" r:id="rId114"/>
          <w:pgSz w:w="11907" w:h="16840" w:code="9"/>
          <w:pgMar w:top="1588" w:right="1021" w:bottom="1418" w:left="1021" w:header="567" w:footer="567" w:gutter="0"/>
          <w:cols w:space="227"/>
          <w:titlePg/>
          <w:docGrid w:linePitch="360"/>
        </w:sectPr>
      </w:pPr>
    </w:p>
    <w:p w14:paraId="66A182A0" w14:textId="5CDF613F" w:rsidR="00E007A4" w:rsidRDefault="005066D3" w:rsidP="00B95734">
      <w:pPr>
        <w:pStyle w:val="Heading4"/>
        <w:numPr>
          <w:ilvl w:val="4"/>
          <w:numId w:val="43"/>
        </w:numPr>
      </w:pPr>
      <w:bookmarkStart w:id="296" w:name="_Ref31238991"/>
      <w:bookmarkStart w:id="297" w:name="_Toc36845765"/>
      <w:bookmarkStart w:id="298" w:name="_Toc42842765"/>
      <w:bookmarkStart w:id="299" w:name="_Toc42847859"/>
      <w:r>
        <w:lastRenderedPageBreak/>
        <w:t>Background analysis</w:t>
      </w:r>
      <w:bookmarkEnd w:id="296"/>
      <w:bookmarkEnd w:id="297"/>
      <w:bookmarkEnd w:id="298"/>
      <w:bookmarkEnd w:id="299"/>
    </w:p>
    <w:p w14:paraId="5D1D13CF" w14:textId="06DB48EF" w:rsidR="007460CB" w:rsidRDefault="007460CB" w:rsidP="007460CB">
      <w:pPr>
        <w:pStyle w:val="ListBullet"/>
        <w:numPr>
          <w:ilvl w:val="0"/>
          <w:numId w:val="0"/>
        </w:numPr>
      </w:pPr>
      <w:r>
        <w:t xml:space="preserve">In relation to evaluation domain </w:t>
      </w:r>
      <w:r w:rsidR="00443F56">
        <w:t>3</w:t>
      </w:r>
      <w:r>
        <w:t>, sub-question aii (</w:t>
      </w:r>
      <w:r w:rsidRPr="008A422B">
        <w:rPr>
          <w:i/>
          <w:iCs/>
        </w:rPr>
        <w:t>did the priorities and actions in the Third and Fourth Action Plans clearly align with the high-level outcomes of the National Framework</w:t>
      </w:r>
      <w:r>
        <w:t xml:space="preserve">) PwC </w:t>
      </w:r>
      <w:r w:rsidR="00B32D8E">
        <w:t xml:space="preserve">and PIC </w:t>
      </w:r>
      <w:r>
        <w:t xml:space="preserve">sought to understand the mapping of actions to supporting outcomes in the action plans. This mapping is presented </w:t>
      </w:r>
      <w:r w:rsidRPr="00FB5851">
        <w:t xml:space="preserve">in </w:t>
      </w:r>
      <w:r w:rsidRPr="008A422B">
        <w:fldChar w:fldCharType="begin"/>
      </w:r>
      <w:r w:rsidRPr="00143B1D">
        <w:instrText xml:space="preserve"> REF _Ref31294526 \h </w:instrText>
      </w:r>
      <w:r>
        <w:instrText xml:space="preserve"> \* MERGEFORMAT </w:instrText>
      </w:r>
      <w:r w:rsidRPr="008A422B">
        <w:fldChar w:fldCharType="separate"/>
      </w:r>
      <w:r w:rsidR="00D75351">
        <w:t xml:space="preserve">Table </w:t>
      </w:r>
      <w:r w:rsidR="00D75351">
        <w:rPr>
          <w:noProof/>
        </w:rPr>
        <w:t>17</w:t>
      </w:r>
      <w:r w:rsidRPr="008A422B">
        <w:fldChar w:fldCharType="end"/>
      </w:r>
      <w:r w:rsidRPr="00FB5851">
        <w:t xml:space="preserve"> and </w:t>
      </w:r>
      <w:r w:rsidR="00D83447">
        <w:fldChar w:fldCharType="begin"/>
      </w:r>
      <w:r w:rsidR="00D83447">
        <w:instrText xml:space="preserve"> REF _Ref36562764 \h </w:instrText>
      </w:r>
      <w:r w:rsidR="00D83447">
        <w:fldChar w:fldCharType="separate"/>
      </w:r>
      <w:r w:rsidR="00D75351">
        <w:t xml:space="preserve">Table </w:t>
      </w:r>
      <w:r w:rsidR="00D75351">
        <w:rPr>
          <w:noProof/>
        </w:rPr>
        <w:t>18</w:t>
      </w:r>
      <w:r w:rsidR="00D83447">
        <w:fldChar w:fldCharType="end"/>
      </w:r>
      <w:r w:rsidR="00D83447">
        <w:t xml:space="preserve"> </w:t>
      </w:r>
      <w:r>
        <w:t>below.</w:t>
      </w:r>
    </w:p>
    <w:p w14:paraId="3F8DC451" w14:textId="77777777" w:rsidR="007460CB" w:rsidRDefault="007460CB" w:rsidP="007460CB">
      <w:pPr>
        <w:pStyle w:val="ListBullet"/>
        <w:numPr>
          <w:ilvl w:val="0"/>
          <w:numId w:val="0"/>
        </w:numPr>
      </w:pPr>
      <w:r>
        <w:t>In undertaking this mapping, we note that in the Third Action Plan the signature actions are not explicitly linked to any supporting outcomes. In the Fourth Action Plan the actions are linked to specific supporting outcomes but no rationale is provided.</w:t>
      </w:r>
    </w:p>
    <w:p w14:paraId="3CB12248" w14:textId="77777777" w:rsidR="007460CB" w:rsidRDefault="007460CB" w:rsidP="007460CB">
      <w:pPr>
        <w:pStyle w:val="ListBullet"/>
        <w:numPr>
          <w:ilvl w:val="0"/>
          <w:numId w:val="0"/>
        </w:numPr>
      </w:pPr>
      <w:r>
        <w:t xml:space="preserve">Therefore, to analyse whether there is clear alignment between actions and supporting outcomes PwC </w:t>
      </w:r>
      <w:r w:rsidR="00B32D8E">
        <w:t xml:space="preserve">and PIC </w:t>
      </w:r>
      <w:r>
        <w:t xml:space="preserve">sought to link each action to a supporting outcome based on whether it could be reasonably linked to a supporting outcome strategy. We understand that the supporting outcome strategies, which are documented in the National Framework, were intended to help focus efforts and actions under the Framework and refer to specific areas. This makes them more readily linked to actions. By linking actions to supporting strategies, we sought to provide a clear rationale as to how the link between action and supporting outcome was established. </w:t>
      </w:r>
    </w:p>
    <w:p w14:paraId="727CE93D" w14:textId="77777777" w:rsidR="007460CB" w:rsidRDefault="007460CB" w:rsidP="007460CB">
      <w:pPr>
        <w:pStyle w:val="ListBullet"/>
        <w:numPr>
          <w:ilvl w:val="0"/>
          <w:numId w:val="0"/>
        </w:numPr>
      </w:pPr>
      <w:r>
        <w:t>In undertaking this mapping, we note the following:</w:t>
      </w:r>
    </w:p>
    <w:p w14:paraId="3D0CB522" w14:textId="77777777" w:rsidR="007460CB" w:rsidRDefault="007460CB" w:rsidP="007460CB">
      <w:pPr>
        <w:pStyle w:val="ListBullet"/>
      </w:pPr>
      <w:r>
        <w:t>Actions are not all of the same kind; some actions seek to create an enabling environment (i.e. through research, standardisation, governance protocols) while others relate more directly to implementing policy or programs. While the former may support the latter, we note that they do not have a stand-alone direct impact on the supporting outcomes. Therefore, in the analysis presented below, unless the actions that are in enabling in nature are clearly supporting a specific program/policy outcome they are categorised as ‘Not applicable’.</w:t>
      </w:r>
    </w:p>
    <w:p w14:paraId="2B8DA974" w14:textId="77777777" w:rsidR="007460CB" w:rsidRDefault="007460CB" w:rsidP="007460CB">
      <w:pPr>
        <w:pStyle w:val="ListBullet"/>
      </w:pPr>
      <w:r>
        <w:t>Supporting outcomes are not strictly mutually exclusive. For example, actions related to supporting outcome 2 (</w:t>
      </w:r>
      <w:r w:rsidRPr="008A422B">
        <w:rPr>
          <w:i/>
          <w:iCs/>
        </w:rPr>
        <w:t>Children and families access adequate support to promote safety and intervene early</w:t>
      </w:r>
      <w:r w:rsidRPr="008A422B">
        <w:t>)</w:t>
      </w:r>
      <w:r>
        <w:t xml:space="preserve"> may indirectly deliver supporting outcome 1 (</w:t>
      </w:r>
      <w:r w:rsidRPr="008A422B">
        <w:rPr>
          <w:i/>
          <w:iCs/>
        </w:rPr>
        <w:t>Children live in safe and supportive families and communities</w:t>
      </w:r>
      <w:r>
        <w:t>). That is, delivering the necessary support to families will support a safe and supportive family and community. Although this overlap exists, we note that the supporting outcomes were intended to help focus efforts and actions. To this end, we have focused on listing the strategy and supporting outcome that is most clearly aligned to the action under consideration, putting aside potential flow-on effects to other strategies/supporting outcomes (including second generation effects).</w:t>
      </w:r>
    </w:p>
    <w:p w14:paraId="74AA8148" w14:textId="77777777" w:rsidR="00D17983" w:rsidRDefault="00D17983" w:rsidP="007460CB">
      <w:pPr>
        <w:pStyle w:val="ListBullet"/>
      </w:pPr>
      <w:r>
        <w:t>Where an action is not clearly linked to any supporting outcome it is categorised as ‘Not aligned’.</w:t>
      </w:r>
    </w:p>
    <w:p w14:paraId="4C2EA58F" w14:textId="3DBBB2B6" w:rsidR="005066D3" w:rsidRDefault="003A7B63" w:rsidP="005066D3">
      <w:pPr>
        <w:pStyle w:val="ListBullet"/>
        <w:numPr>
          <w:ilvl w:val="0"/>
          <w:numId w:val="0"/>
        </w:numPr>
      </w:pPr>
      <w:r>
        <w:fldChar w:fldCharType="begin"/>
      </w:r>
      <w:r>
        <w:instrText xml:space="preserve"> REF _Ref31294526 \h </w:instrText>
      </w:r>
      <w:r>
        <w:fldChar w:fldCharType="separate"/>
      </w:r>
      <w:r w:rsidR="00D75351">
        <w:t xml:space="preserve">Table </w:t>
      </w:r>
      <w:r w:rsidR="00D75351">
        <w:rPr>
          <w:noProof/>
        </w:rPr>
        <w:t>17</w:t>
      </w:r>
      <w:r>
        <w:fldChar w:fldCharType="end"/>
      </w:r>
      <w:r>
        <w:t xml:space="preserve"> </w:t>
      </w:r>
      <w:r w:rsidR="005066D3">
        <w:t>maps the Third Action Plan signature actions against the supporting outcomes strategies and outcomes of the National Framework.</w:t>
      </w:r>
    </w:p>
    <w:p w14:paraId="34924946" w14:textId="511E89EB" w:rsidR="005066D3" w:rsidRDefault="005066D3" w:rsidP="005066D3">
      <w:pPr>
        <w:pStyle w:val="Caption"/>
      </w:pPr>
      <w:bookmarkStart w:id="300" w:name="_Ref31294526"/>
      <w:r>
        <w:t xml:space="preserve">Table </w:t>
      </w:r>
      <w:fldSimple w:instr=" SEQ Table \* ARABIC ">
        <w:r w:rsidR="00D75351">
          <w:rPr>
            <w:noProof/>
          </w:rPr>
          <w:t>17</w:t>
        </w:r>
      </w:fldSimple>
      <w:bookmarkEnd w:id="300"/>
      <w:r>
        <w:t>: Third Action Plan signature actions mapped against the National Framework</w:t>
      </w:r>
    </w:p>
    <w:tbl>
      <w:tblPr>
        <w:tblStyle w:val="PwCColour"/>
        <w:tblW w:w="5000" w:type="pct"/>
        <w:tblLayout w:type="fixed"/>
        <w:tblLook w:val="04A0" w:firstRow="1" w:lastRow="0" w:firstColumn="1" w:lastColumn="0" w:noHBand="0" w:noVBand="1"/>
        <w:tblCaption w:val="Table 17: Third Action Plan signature actions mapped against the National Framework"/>
        <w:tblDescription w:val="Cross-cutting focus area – Aboriginal and Torres Strait Islander children and families&#10;1. Signature Action: All parties agree to ensure the five domains of the ATSICPP are applied to the implementation of strategies and actions identified in the Third Action Plan.&#10;Supporting outcome strategy: Ensure that Indigenous children receive culturally appropriate protection services and care.&#10;Mapped to supporting outcome: 5&#10;&#10;2. Signature Action: A new Aboriginal and Torres Strait Islander working group will be established to provide advice and expertise on the implementation of actions and strategies, and report to the National Forum for Protecting Australia’s Children on progress and outcomes, to ensure a sustained focus on results.&#10;Supporting outcome strategy: Underpinning. This action may support further actions in relation to supporting outcome 5.&#10;Aligned to supporting outcome 5.&#10;&#10;Strategy 1: Early intervention with a focus on the early years, particularly the first 1000 days for a child&#10;3. Signature Action: Commonwealth to initiate community awareness raising activities focused on effective parenting practices and strategies to enhance safe and supportive environments in the early years, at both national and local levels. &#10;Supporting outcome strategy: Educate and engage the community about child abuse and neglect and strategies for protecting children.&#10;Mapped to supporting outcome: 1.&#10;&#10;4. Signature Action: Identify locations with high incidences of domestic and family violence and improve resource co-ordination of services and activities to better meet the needs of vulnerable expectant parents and parents of young children.&#10;Supporting outcome strategy: Enhance services and supports for children and families to target the most vulnerable and protect children ‘at-risk’.&#10;Mapped to supporting outcome: 2.&#10;&#10;5. Signature Action: Commonwealth to develop and trial an effective model of services and support focused on the first 1000 days to better support Aboriginal and Torres Strait Islander families and communities.&#10;Supporting outcome strategy: Expand access to Indigenous and mainstream services for families and children. Enhance services and supports for children and families to target the most vulnerable and protect children ‘at-risk. &#10;Mapped to supporting outcome: 5 and 2.&#10;&#10;6. Signature Action: Examine place-based models to identify critical success factors to inform future work.&#10;Supporting outcome strategy: Underpinning. This action may support further actions in relation to the National Framework.&#10;Not mapped to a supporting outcome&#10;&#10;7. Signature Action: Commonwealth to support integration of child care, maternal and child health, and family support services in a number of disadvantaged Aboriginal and Torres Strait Islander communities, through the Community Child Care Fund.&#10;Supporting outcome strategy: Implement an integrated approach to service design, planning and delivery for children and families across the lifecycle and spectrum of need. And Expand access to Indigenous and mainstream services for families and children.&#10;Mapped to supporting outcome: 2 and 5.&#10;&#10;Strategy 2:  Helping young people in out-of-home care to thrive into adulthood&#10;8. Signature Action: Commonwealth to continue to support eligible young people to access services through the Youth Employment Strategy, Growing Jobs and Small Business Package.&#10;Supporting outcome strategy: Underpinning. This action supports young people and the determinants of intergenerational poverty/future risk factors.&#10;Aligned to supporting outcome 3.&#10;&#10;9. Signature Action: Commonwealth to trial ways of improving support to young people by better utilising available data and delivering intensive case management including wrap around services linking to education, health and housing, working with jurisdictions. All parties to use findings to guide future interventions for young people.&#10;Supporting outcome strategy: Enhance services and supports for children and families to target the most vulnerable and protect children ‘at-risk.&#10;Mapped to supporting outcome 2.&#10;10. Signature Action: Examine 2014 reforms to the Transition to Independent Living Allowance to ensure it continues to target those who need it most and improve efficiency.&#10;Supporting outcome strategy: Improve support for young people leaving care.&#10;Mapped to supporting outcome 4.&#10;&#10;11. Signature Action: Evaluate impact of jurisdictions’ policy changes to extend statutory responsibility and access to services to young people who exit out-of-home care over the age of 18 years.&#10;Supporting outcome strategy: Improve support for young people leaving care.&#10;Mapped to supporting outcome 4.&#10;&#10;Strategy 3:  Organisations responding better to children and young people to keep them safe&#10;12. Signature Action: Review and implement the National Framework: Creating Safe Environments for Children — Organisations, Employees and Volunteers (2005).&#10;Supporting outcome strategy: Increase capacity and capability of:&#10;- adult focused services to identify and respond to the needs of children at-risk&#10;- child-focused services to identify and respond to the needs of vulnerable families&#10;- the broader system to identify children at-risk&#10;Educate and engage the community about child abuse and neglect and strategies for protecting children&#10;Mapped to supporting outcome 3 and 1.&#10;&#10;13. Signature Action: Strategy working group to produce a work plan to identify resources to support best practice on child-safe standards.&#10;Supporting outcome strategy: Underpinning. This action may support further actions in relation to supporting outcome 1.&#10;Aligned to supporting outcome 1.&#10;&#10;14. Signature Action: Share jurisdictional approaches to develop a best practice model of information exchange.&#10;Supporting outcome strategy: Develop new information sharing provisions between Commonwealth agencies, State and Territory agencies and NGOs dealing with vulnerable families.&#10;Mapped to supporting outcome 2.&#10;&#10;Cross- cutting focus area – Research and reporting under the Third Action Plan.&#10;&#10;15. Signature Action: Explore capacity to develop targets and progress markers for Third Action Plan to measure progress, and if viable, identify appropriate targets and markers, to assist with reporting by June 2016.&#10;Supporting outcome strategy: Underpinning. This action may support further actions in relation to the National Framework&#10;Not mapped to a supporting outcome&#10;&#10;16. Signature Action: Examine how to continue full implementation of, and give best effect to, the National Standards for out-of-home care in light of the Senate Inquiry Into Out-of-Home Care recommendations.&#10;Supporting outcome strategy: Improve support for young people leaving care.&#10;Develop and implement effective mechanisms for involving children and young people in decisions affecting their lives.&#10;Mapped to supporting outcome 1 and 4.&#10;&#10;17. Signature Action: Revitalise the Research Advisory Committee of the National Forum to develop a new research agenda.&#10;Supporting outcome strategy: Underpinning. This action may support further actions in relation to the National Framework.&#10;Not mapped to a supporting outcome.&#10;"/>
      </w:tblPr>
      <w:tblGrid>
        <w:gridCol w:w="568"/>
        <w:gridCol w:w="3098"/>
        <w:gridCol w:w="3098"/>
        <w:gridCol w:w="3091"/>
      </w:tblGrid>
      <w:tr w:rsidR="005066D3" w:rsidRPr="002B7285" w14:paraId="73E2C951" w14:textId="77777777" w:rsidTr="001D3D1F">
        <w:trPr>
          <w:cnfStyle w:val="100000000000" w:firstRow="1" w:lastRow="0" w:firstColumn="0" w:lastColumn="0" w:oddVBand="0" w:evenVBand="0" w:oddHBand="0" w:evenHBand="0" w:firstRowFirstColumn="0" w:firstRowLastColumn="0" w:lastRowFirstColumn="0" w:lastRowLastColumn="0"/>
          <w:trHeight w:val="121"/>
        </w:trPr>
        <w:tc>
          <w:tcPr>
            <w:cnfStyle w:val="000000000100" w:firstRow="0" w:lastRow="0" w:firstColumn="0" w:lastColumn="0" w:oddVBand="0" w:evenVBand="0" w:oddHBand="0" w:evenHBand="0" w:firstRowFirstColumn="1" w:firstRowLastColumn="0" w:lastRowFirstColumn="0" w:lastRowLastColumn="0"/>
            <w:tcW w:w="288" w:type="pct"/>
            <w:vAlign w:val="center"/>
          </w:tcPr>
          <w:p w14:paraId="6B11D29A" w14:textId="77777777" w:rsidR="005066D3" w:rsidRDefault="005066D3" w:rsidP="001D3D1F">
            <w:pPr>
              <w:pStyle w:val="TableColumnHeadingSmall"/>
            </w:pPr>
            <w:r>
              <w:t>No.</w:t>
            </w:r>
          </w:p>
        </w:tc>
        <w:tc>
          <w:tcPr>
            <w:tcW w:w="1572" w:type="pct"/>
            <w:vAlign w:val="center"/>
          </w:tcPr>
          <w:p w14:paraId="25C9456C" w14:textId="77777777" w:rsidR="005066D3" w:rsidRPr="002B7285" w:rsidRDefault="005066D3" w:rsidP="001D3D1F">
            <w:pPr>
              <w:pStyle w:val="TableColumnHeadingSmall"/>
              <w:cnfStyle w:val="100000000000" w:firstRow="1" w:lastRow="0" w:firstColumn="0" w:lastColumn="0" w:oddVBand="0" w:evenVBand="0" w:oddHBand="0" w:evenHBand="0" w:firstRowFirstColumn="0" w:firstRowLastColumn="0" w:lastRowFirstColumn="0" w:lastRowLastColumn="0"/>
            </w:pPr>
            <w:r>
              <w:t>Signature action</w:t>
            </w:r>
          </w:p>
        </w:tc>
        <w:tc>
          <w:tcPr>
            <w:tcW w:w="1572" w:type="pct"/>
            <w:vAlign w:val="center"/>
          </w:tcPr>
          <w:p w14:paraId="3579143B" w14:textId="77777777" w:rsidR="005066D3" w:rsidRPr="002B7285" w:rsidRDefault="005066D3" w:rsidP="001D3D1F">
            <w:pPr>
              <w:pStyle w:val="TableColumnHeadingSmall"/>
              <w:cnfStyle w:val="100000000000" w:firstRow="1" w:lastRow="0" w:firstColumn="0" w:lastColumn="0" w:oddVBand="0" w:evenVBand="0" w:oddHBand="0" w:evenHBand="0" w:firstRowFirstColumn="0" w:firstRowLastColumn="0" w:lastRowFirstColumn="0" w:lastRowLastColumn="0"/>
            </w:pPr>
            <w:r>
              <w:t>Supporting outcome strategy</w:t>
            </w:r>
          </w:p>
        </w:tc>
        <w:tc>
          <w:tcPr>
            <w:tcW w:w="1568" w:type="pct"/>
            <w:vAlign w:val="center"/>
          </w:tcPr>
          <w:p w14:paraId="0109E6AA" w14:textId="77777777" w:rsidR="005066D3" w:rsidRDefault="005066D3" w:rsidP="001D3D1F">
            <w:pPr>
              <w:pStyle w:val="TableColumnHeadingSmall"/>
              <w:cnfStyle w:val="100000000000" w:firstRow="1" w:lastRow="0" w:firstColumn="0" w:lastColumn="0" w:oddVBand="0" w:evenVBand="0" w:oddHBand="0" w:evenHBand="0" w:firstRowFirstColumn="0" w:firstRowLastColumn="0" w:lastRowFirstColumn="0" w:lastRowLastColumn="0"/>
            </w:pPr>
            <w:r>
              <w:t xml:space="preserve">Supporting outcome </w:t>
            </w:r>
          </w:p>
        </w:tc>
      </w:tr>
      <w:tr w:rsidR="005066D3" w:rsidRPr="002B7285" w14:paraId="108EA9F8" w14:textId="77777777" w:rsidTr="001D3D1F">
        <w:tc>
          <w:tcPr>
            <w:tcW w:w="5000" w:type="pct"/>
            <w:gridSpan w:val="4"/>
            <w:tcBorders>
              <w:top w:val="single" w:sz="4" w:space="0" w:color="EB8C00" w:themeColor="accent4"/>
              <w:bottom w:val="dotted" w:sz="8" w:space="0" w:color="7D7D7D" w:themeColor="text2"/>
            </w:tcBorders>
            <w:shd w:val="clear" w:color="auto" w:fill="E5E5E5" w:themeFill="text2" w:themeFillTint="33"/>
          </w:tcPr>
          <w:p w14:paraId="5E522628" w14:textId="77777777" w:rsidR="005066D3" w:rsidRPr="002B7285" w:rsidRDefault="005066D3" w:rsidP="001D3D1F">
            <w:pPr>
              <w:spacing w:before="40" w:after="40"/>
              <w:rPr>
                <w:rFonts w:ascii="Arial" w:hAnsi="Arial"/>
                <w:b/>
                <w:i/>
                <w:sz w:val="16"/>
                <w:szCs w:val="18"/>
              </w:rPr>
            </w:pPr>
            <w:r w:rsidRPr="002B7285">
              <w:rPr>
                <w:rFonts w:ascii="Arial" w:hAnsi="Arial"/>
                <w:b/>
                <w:i/>
                <w:sz w:val="16"/>
                <w:szCs w:val="18"/>
              </w:rPr>
              <w:t>Cross-cutting focus area</w:t>
            </w:r>
            <w:r w:rsidRPr="002B7285">
              <w:rPr>
                <w:rFonts w:ascii="Arial" w:hAnsi="Arial"/>
                <w:i/>
                <w:sz w:val="16"/>
                <w:szCs w:val="18"/>
              </w:rPr>
              <w:t xml:space="preserve"> – Aboriginal and Torres Strait Islander children and families</w:t>
            </w:r>
          </w:p>
        </w:tc>
      </w:tr>
      <w:tr w:rsidR="005066D3" w:rsidRPr="002B7285" w14:paraId="3A584A77" w14:textId="77777777" w:rsidTr="001D3D1F">
        <w:tc>
          <w:tcPr>
            <w:tcW w:w="288" w:type="pct"/>
            <w:tcBorders>
              <w:top w:val="dotted" w:sz="8" w:space="0" w:color="7D7D7D" w:themeColor="text2"/>
              <w:left w:val="nil"/>
              <w:bottom w:val="dotted" w:sz="8" w:space="0" w:color="7D7D7D" w:themeColor="text2"/>
              <w:right w:val="nil"/>
            </w:tcBorders>
          </w:tcPr>
          <w:p w14:paraId="4C1B55FA" w14:textId="77777777" w:rsidR="005066D3" w:rsidRPr="002B7285" w:rsidRDefault="005066D3" w:rsidP="001D3D1F">
            <w:pPr>
              <w:spacing w:before="40" w:after="40"/>
              <w:rPr>
                <w:rFonts w:ascii="Arial" w:hAnsi="Arial"/>
                <w:b/>
                <w:sz w:val="16"/>
                <w:szCs w:val="18"/>
              </w:rPr>
            </w:pPr>
            <w:r>
              <w:rPr>
                <w:rFonts w:ascii="Arial" w:hAnsi="Arial"/>
                <w:b/>
                <w:sz w:val="16"/>
                <w:szCs w:val="18"/>
              </w:rPr>
              <w:t>1</w:t>
            </w:r>
          </w:p>
        </w:tc>
        <w:tc>
          <w:tcPr>
            <w:tcW w:w="1572" w:type="pct"/>
            <w:tcBorders>
              <w:top w:val="dotted" w:sz="8" w:space="0" w:color="7D7D7D" w:themeColor="text2"/>
              <w:left w:val="nil"/>
              <w:bottom w:val="dotted" w:sz="8" w:space="0" w:color="7D7D7D" w:themeColor="text2"/>
              <w:right w:val="nil"/>
            </w:tcBorders>
          </w:tcPr>
          <w:p w14:paraId="4FBE2B37" w14:textId="77777777" w:rsidR="005066D3" w:rsidRPr="002B7285" w:rsidRDefault="005066D3" w:rsidP="001D3D1F">
            <w:pPr>
              <w:spacing w:before="40" w:after="40"/>
              <w:rPr>
                <w:rFonts w:ascii="Arial" w:hAnsi="Arial"/>
                <w:sz w:val="16"/>
                <w:szCs w:val="18"/>
              </w:rPr>
            </w:pPr>
            <w:r w:rsidRPr="002B7285">
              <w:rPr>
                <w:rFonts w:ascii="Arial" w:hAnsi="Arial"/>
                <w:b/>
                <w:sz w:val="16"/>
                <w:szCs w:val="18"/>
              </w:rPr>
              <w:t>Action:</w:t>
            </w:r>
            <w:r w:rsidRPr="002B7285">
              <w:rPr>
                <w:rFonts w:ascii="Arial" w:hAnsi="Arial"/>
                <w:sz w:val="16"/>
                <w:szCs w:val="18"/>
              </w:rPr>
              <w:t xml:space="preserve"> All parties agree to ensure the five domains of the ATSICPP are applied to the implementation of strategies and actions identified in the Third Action Plan.</w:t>
            </w:r>
          </w:p>
        </w:tc>
        <w:tc>
          <w:tcPr>
            <w:tcW w:w="1572" w:type="pct"/>
            <w:tcBorders>
              <w:top w:val="dotted" w:sz="8" w:space="0" w:color="7D7D7D" w:themeColor="text2"/>
              <w:left w:val="nil"/>
              <w:bottom w:val="dotted" w:sz="8" w:space="0" w:color="7D7D7D" w:themeColor="text2"/>
              <w:right w:val="nil"/>
            </w:tcBorders>
          </w:tcPr>
          <w:p w14:paraId="4D8CBD30" w14:textId="77777777" w:rsidR="005066D3" w:rsidRPr="00893FA9" w:rsidRDefault="005066D3" w:rsidP="001D3D1F">
            <w:pPr>
              <w:pStyle w:val="TableBullet1Small"/>
              <w:numPr>
                <w:ilvl w:val="0"/>
                <w:numId w:val="0"/>
              </w:numPr>
            </w:pPr>
            <w:r w:rsidRPr="00C74A72">
              <w:t>Ensure that Indigenous children receive culturally appropriate protection services and care</w:t>
            </w:r>
            <w:r>
              <w:t>.</w:t>
            </w:r>
          </w:p>
        </w:tc>
        <w:tc>
          <w:tcPr>
            <w:tcW w:w="1568" w:type="pct"/>
            <w:tcBorders>
              <w:top w:val="dotted" w:sz="8" w:space="0" w:color="7D7D7D" w:themeColor="text2"/>
              <w:left w:val="nil"/>
              <w:bottom w:val="dotted" w:sz="8" w:space="0" w:color="7D7D7D" w:themeColor="text2"/>
              <w:right w:val="nil"/>
            </w:tcBorders>
          </w:tcPr>
          <w:p w14:paraId="2B42BCF8" w14:textId="77777777" w:rsidR="005066D3" w:rsidRPr="002B7285" w:rsidRDefault="005066D3" w:rsidP="001D3D1F">
            <w:pPr>
              <w:pStyle w:val="TableTextSmall"/>
            </w:pPr>
            <w:r>
              <w:t>Supporting outcome 5</w:t>
            </w:r>
          </w:p>
        </w:tc>
      </w:tr>
      <w:tr w:rsidR="005066D3" w:rsidRPr="002B7285" w14:paraId="01A53B50" w14:textId="77777777" w:rsidTr="001D3D1F">
        <w:tc>
          <w:tcPr>
            <w:tcW w:w="288" w:type="pct"/>
            <w:tcBorders>
              <w:top w:val="dotted" w:sz="8" w:space="0" w:color="7D7D7D" w:themeColor="text2"/>
              <w:left w:val="nil"/>
              <w:bottom w:val="dotted" w:sz="8" w:space="0" w:color="7D7D7D" w:themeColor="text2"/>
              <w:right w:val="nil"/>
            </w:tcBorders>
          </w:tcPr>
          <w:p w14:paraId="682D7EEF" w14:textId="77777777" w:rsidR="005066D3" w:rsidRPr="002B7285" w:rsidRDefault="005066D3" w:rsidP="001D3D1F">
            <w:pPr>
              <w:spacing w:before="40" w:after="40"/>
              <w:rPr>
                <w:rFonts w:ascii="Arial" w:hAnsi="Arial"/>
                <w:b/>
                <w:sz w:val="16"/>
                <w:szCs w:val="18"/>
              </w:rPr>
            </w:pPr>
            <w:r>
              <w:rPr>
                <w:rFonts w:ascii="Arial" w:hAnsi="Arial"/>
                <w:b/>
                <w:sz w:val="16"/>
                <w:szCs w:val="18"/>
              </w:rPr>
              <w:t>2</w:t>
            </w:r>
          </w:p>
        </w:tc>
        <w:tc>
          <w:tcPr>
            <w:tcW w:w="1572" w:type="pct"/>
            <w:tcBorders>
              <w:top w:val="dotted" w:sz="8" w:space="0" w:color="7D7D7D" w:themeColor="text2"/>
              <w:left w:val="nil"/>
              <w:bottom w:val="dotted" w:sz="8" w:space="0" w:color="7D7D7D" w:themeColor="text2"/>
              <w:right w:val="nil"/>
            </w:tcBorders>
          </w:tcPr>
          <w:p w14:paraId="346B9082"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 xml:space="preserve">Action: </w:t>
            </w:r>
            <w:r w:rsidRPr="002B7285">
              <w:rPr>
                <w:rFonts w:ascii="Arial" w:hAnsi="Arial"/>
                <w:sz w:val="16"/>
                <w:szCs w:val="18"/>
              </w:rPr>
              <w:t>A new Aboriginal and Torres Strait Islander working group will be established to provide advice and expertise on the implementation of actions and strategies, and report to the National Forum for Protecting Australia’s Children on progress and outcomes, to ensure a sustained focus on results.</w:t>
            </w:r>
          </w:p>
        </w:tc>
        <w:tc>
          <w:tcPr>
            <w:tcW w:w="1572" w:type="pct"/>
            <w:tcBorders>
              <w:top w:val="dotted" w:sz="8" w:space="0" w:color="7D7D7D" w:themeColor="text2"/>
              <w:left w:val="nil"/>
              <w:bottom w:val="dotted" w:sz="8" w:space="0" w:color="7D7D7D" w:themeColor="text2"/>
              <w:right w:val="nil"/>
            </w:tcBorders>
          </w:tcPr>
          <w:p w14:paraId="1D93A478" w14:textId="6A944436" w:rsidR="005066D3" w:rsidRDefault="00CB46D2" w:rsidP="001D3D1F">
            <w:pPr>
              <w:pStyle w:val="TableBullet1Small"/>
              <w:numPr>
                <w:ilvl w:val="0"/>
                <w:numId w:val="0"/>
              </w:numPr>
              <w:rPr>
                <w:b/>
              </w:rPr>
            </w:pPr>
            <w:r>
              <w:rPr>
                <w:b/>
              </w:rPr>
              <w:t>Underpinning</w:t>
            </w:r>
            <w:r w:rsidR="007460CB">
              <w:rPr>
                <w:b/>
              </w:rPr>
              <w:t>.</w:t>
            </w:r>
          </w:p>
          <w:p w14:paraId="44194FE2" w14:textId="74026747" w:rsidR="007460CB" w:rsidRPr="00C74A72" w:rsidRDefault="00CB46D2" w:rsidP="001D3D1F">
            <w:pPr>
              <w:pStyle w:val="TableBullet1Small"/>
              <w:numPr>
                <w:ilvl w:val="0"/>
                <w:numId w:val="0"/>
              </w:numPr>
            </w:pPr>
            <w:r>
              <w:t>This</w:t>
            </w:r>
            <w:r w:rsidR="007460CB" w:rsidRPr="007460CB">
              <w:t xml:space="preserve"> action may support further actions in relation to supporting outcome 5</w:t>
            </w:r>
            <w:r>
              <w:t>.</w:t>
            </w:r>
            <w:r w:rsidR="007460CB" w:rsidRPr="007460CB">
              <w:t>.</w:t>
            </w:r>
          </w:p>
        </w:tc>
        <w:tc>
          <w:tcPr>
            <w:tcW w:w="1568" w:type="pct"/>
            <w:tcBorders>
              <w:top w:val="dotted" w:sz="8" w:space="0" w:color="7D7D7D" w:themeColor="text2"/>
              <w:left w:val="nil"/>
              <w:bottom w:val="dotted" w:sz="8" w:space="0" w:color="7D7D7D" w:themeColor="text2"/>
              <w:right w:val="nil"/>
            </w:tcBorders>
          </w:tcPr>
          <w:p w14:paraId="1A1A6519" w14:textId="242E0460" w:rsidR="005066D3" w:rsidRDefault="00CB46D2" w:rsidP="001D3D1F">
            <w:pPr>
              <w:pStyle w:val="TableTextSmall"/>
            </w:pPr>
            <w:r>
              <w:t>Aligned to supporting outcome 5</w:t>
            </w:r>
          </w:p>
        </w:tc>
      </w:tr>
      <w:tr w:rsidR="005066D3" w:rsidRPr="002B7285" w14:paraId="6BA02A7D" w14:textId="77777777" w:rsidTr="001D3D1F">
        <w:tc>
          <w:tcPr>
            <w:tcW w:w="5000" w:type="pct"/>
            <w:gridSpan w:val="4"/>
            <w:tcBorders>
              <w:top w:val="dotted" w:sz="8" w:space="0" w:color="7D7D7D" w:themeColor="text2"/>
              <w:left w:val="nil"/>
              <w:bottom w:val="dotted" w:sz="8" w:space="0" w:color="7D7D7D" w:themeColor="text2"/>
              <w:right w:val="nil"/>
            </w:tcBorders>
            <w:shd w:val="clear" w:color="auto" w:fill="E5E5E5" w:themeFill="text2" w:themeFillTint="33"/>
          </w:tcPr>
          <w:p w14:paraId="3AE12DA0" w14:textId="77777777" w:rsidR="005066D3" w:rsidRPr="002B7285" w:rsidRDefault="005066D3" w:rsidP="001D3D1F">
            <w:pPr>
              <w:spacing w:before="40" w:after="40"/>
              <w:rPr>
                <w:rFonts w:ascii="Arial" w:hAnsi="Arial"/>
                <w:b/>
                <w:i/>
                <w:sz w:val="16"/>
                <w:szCs w:val="18"/>
              </w:rPr>
            </w:pPr>
            <w:r w:rsidRPr="002B7285">
              <w:rPr>
                <w:rFonts w:ascii="Arial" w:hAnsi="Arial"/>
                <w:b/>
                <w:i/>
                <w:sz w:val="16"/>
                <w:szCs w:val="18"/>
              </w:rPr>
              <w:t xml:space="preserve">Strategy 1: </w:t>
            </w:r>
            <w:r w:rsidRPr="002B7285">
              <w:rPr>
                <w:rFonts w:ascii="Arial" w:hAnsi="Arial"/>
                <w:i/>
                <w:sz w:val="16"/>
                <w:szCs w:val="18"/>
              </w:rPr>
              <w:t>Early intervention with a focus on the early years, particularly the first 1000 days for a child</w:t>
            </w:r>
          </w:p>
        </w:tc>
      </w:tr>
      <w:tr w:rsidR="005066D3" w:rsidRPr="002B7285" w14:paraId="7B5252E4" w14:textId="77777777" w:rsidTr="001D3D1F">
        <w:tc>
          <w:tcPr>
            <w:tcW w:w="288" w:type="pct"/>
            <w:tcBorders>
              <w:top w:val="dotted" w:sz="8" w:space="0" w:color="7D7D7D" w:themeColor="text2"/>
              <w:left w:val="nil"/>
              <w:bottom w:val="dotted" w:sz="8" w:space="0" w:color="7D7D7D" w:themeColor="text2"/>
              <w:right w:val="nil"/>
            </w:tcBorders>
          </w:tcPr>
          <w:p w14:paraId="7A8B0121" w14:textId="77777777" w:rsidR="005066D3" w:rsidRPr="002B7285" w:rsidRDefault="005066D3" w:rsidP="001D3D1F">
            <w:pPr>
              <w:spacing w:before="40" w:after="40"/>
              <w:rPr>
                <w:rFonts w:ascii="Arial" w:hAnsi="Arial"/>
                <w:b/>
                <w:sz w:val="16"/>
                <w:szCs w:val="18"/>
              </w:rPr>
            </w:pPr>
            <w:r>
              <w:rPr>
                <w:rFonts w:ascii="Arial" w:hAnsi="Arial"/>
                <w:b/>
                <w:sz w:val="16"/>
                <w:szCs w:val="18"/>
              </w:rPr>
              <w:t>3</w:t>
            </w:r>
          </w:p>
        </w:tc>
        <w:tc>
          <w:tcPr>
            <w:tcW w:w="1572" w:type="pct"/>
            <w:tcBorders>
              <w:top w:val="dotted" w:sz="8" w:space="0" w:color="7D7D7D" w:themeColor="text2"/>
              <w:left w:val="nil"/>
              <w:bottom w:val="dotted" w:sz="8" w:space="0" w:color="7D7D7D" w:themeColor="text2"/>
              <w:right w:val="nil"/>
            </w:tcBorders>
          </w:tcPr>
          <w:p w14:paraId="41B75BC7"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Action:</w:t>
            </w:r>
            <w:r w:rsidRPr="002B7285">
              <w:rPr>
                <w:rFonts w:ascii="Arial" w:hAnsi="Arial"/>
                <w:sz w:val="16"/>
                <w:szCs w:val="18"/>
              </w:rPr>
              <w:t xml:space="preserve"> Commonwealth to initiate community awareness raising activities focused on effective parenting practices </w:t>
            </w:r>
            <w:r w:rsidRPr="002B7285">
              <w:rPr>
                <w:rFonts w:ascii="Arial" w:hAnsi="Arial"/>
                <w:sz w:val="16"/>
                <w:szCs w:val="18"/>
              </w:rPr>
              <w:lastRenderedPageBreak/>
              <w:t>and strategies to enhance safe and supportive environments in the early years, at both national and local levels.</w:t>
            </w:r>
          </w:p>
        </w:tc>
        <w:tc>
          <w:tcPr>
            <w:tcW w:w="1572" w:type="pct"/>
            <w:tcBorders>
              <w:top w:val="dotted" w:sz="8" w:space="0" w:color="7D7D7D" w:themeColor="text2"/>
              <w:left w:val="nil"/>
              <w:bottom w:val="dotted" w:sz="8" w:space="0" w:color="7D7D7D" w:themeColor="text2"/>
              <w:right w:val="nil"/>
            </w:tcBorders>
          </w:tcPr>
          <w:p w14:paraId="3248C6D2" w14:textId="77777777" w:rsidR="005066D3" w:rsidRDefault="005066D3" w:rsidP="001D3D1F">
            <w:pPr>
              <w:pStyle w:val="TableBullet1Small"/>
              <w:numPr>
                <w:ilvl w:val="0"/>
                <w:numId w:val="0"/>
              </w:numPr>
            </w:pPr>
            <w:r w:rsidRPr="001D2227">
              <w:lastRenderedPageBreak/>
              <w:t>Educate and engage the community about child abuse and neglect and strategies for protecting children</w:t>
            </w:r>
            <w:r>
              <w:t>.</w:t>
            </w:r>
          </w:p>
          <w:p w14:paraId="2D0044DA" w14:textId="77777777" w:rsidR="005066D3" w:rsidRPr="00C74A72" w:rsidRDefault="005066D3" w:rsidP="001D3D1F">
            <w:pPr>
              <w:pStyle w:val="TableBullet1Small"/>
              <w:numPr>
                <w:ilvl w:val="0"/>
                <w:numId w:val="0"/>
              </w:numPr>
            </w:pPr>
          </w:p>
        </w:tc>
        <w:tc>
          <w:tcPr>
            <w:tcW w:w="1568" w:type="pct"/>
            <w:tcBorders>
              <w:top w:val="dotted" w:sz="8" w:space="0" w:color="7D7D7D" w:themeColor="text2"/>
              <w:left w:val="nil"/>
              <w:bottom w:val="dotted" w:sz="8" w:space="0" w:color="7D7D7D" w:themeColor="text2"/>
              <w:right w:val="nil"/>
            </w:tcBorders>
          </w:tcPr>
          <w:p w14:paraId="7E5E1B82" w14:textId="77777777" w:rsidR="005066D3" w:rsidRPr="002B7285" w:rsidRDefault="005066D3" w:rsidP="001D3D1F">
            <w:pPr>
              <w:pStyle w:val="TableTextSmall"/>
              <w:rPr>
                <w:sz w:val="28"/>
                <w:szCs w:val="28"/>
              </w:rPr>
            </w:pPr>
            <w:r w:rsidRPr="00893FA9">
              <w:lastRenderedPageBreak/>
              <w:t>Supporting outcome 1</w:t>
            </w:r>
          </w:p>
        </w:tc>
      </w:tr>
      <w:tr w:rsidR="005066D3" w:rsidRPr="002B7285" w14:paraId="414835AE" w14:textId="77777777" w:rsidTr="001D3D1F">
        <w:tc>
          <w:tcPr>
            <w:tcW w:w="288" w:type="pct"/>
            <w:tcBorders>
              <w:top w:val="dotted" w:sz="8" w:space="0" w:color="7D7D7D" w:themeColor="text2"/>
              <w:left w:val="nil"/>
              <w:bottom w:val="dotted" w:sz="8" w:space="0" w:color="7D7D7D" w:themeColor="text2"/>
              <w:right w:val="nil"/>
            </w:tcBorders>
          </w:tcPr>
          <w:p w14:paraId="20430105" w14:textId="77777777" w:rsidR="005066D3" w:rsidRPr="002B7285" w:rsidRDefault="005066D3" w:rsidP="001D3D1F">
            <w:pPr>
              <w:spacing w:before="40" w:after="40"/>
              <w:rPr>
                <w:rFonts w:ascii="Arial" w:hAnsi="Arial"/>
                <w:b/>
                <w:sz w:val="16"/>
                <w:szCs w:val="18"/>
              </w:rPr>
            </w:pPr>
            <w:r>
              <w:rPr>
                <w:rFonts w:ascii="Arial" w:hAnsi="Arial"/>
                <w:b/>
                <w:sz w:val="16"/>
                <w:szCs w:val="18"/>
              </w:rPr>
              <w:t>4</w:t>
            </w:r>
          </w:p>
        </w:tc>
        <w:tc>
          <w:tcPr>
            <w:tcW w:w="1572" w:type="pct"/>
            <w:tcBorders>
              <w:top w:val="dotted" w:sz="8" w:space="0" w:color="7D7D7D" w:themeColor="text2"/>
              <w:left w:val="nil"/>
              <w:bottom w:val="dotted" w:sz="8" w:space="0" w:color="7D7D7D" w:themeColor="text2"/>
              <w:right w:val="nil"/>
            </w:tcBorders>
          </w:tcPr>
          <w:p w14:paraId="458AF0F6"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Action:</w:t>
            </w:r>
            <w:r w:rsidRPr="002B7285">
              <w:rPr>
                <w:rFonts w:ascii="Arial" w:hAnsi="Arial"/>
                <w:sz w:val="16"/>
                <w:szCs w:val="18"/>
              </w:rPr>
              <w:t xml:space="preserve"> Identify locations with high incidences of domestic and family violence and improve resource co-ordination of services and activities to better meet the needs of vulnerable expectant parents and parents of young children.</w:t>
            </w:r>
          </w:p>
        </w:tc>
        <w:tc>
          <w:tcPr>
            <w:tcW w:w="1572" w:type="pct"/>
            <w:tcBorders>
              <w:top w:val="dotted" w:sz="8" w:space="0" w:color="7D7D7D" w:themeColor="text2"/>
              <w:left w:val="nil"/>
              <w:bottom w:val="dotted" w:sz="8" w:space="0" w:color="7D7D7D" w:themeColor="text2"/>
              <w:right w:val="nil"/>
            </w:tcBorders>
          </w:tcPr>
          <w:p w14:paraId="7E4AE687" w14:textId="77777777" w:rsidR="005066D3" w:rsidRDefault="005066D3" w:rsidP="001D3D1F">
            <w:pPr>
              <w:pStyle w:val="TableTextSmall"/>
            </w:pPr>
            <w:r w:rsidRPr="00C74A72">
              <w:t>Enhance services and supports for children and families to target the most vulnerable and protect children ‘at-risk’</w:t>
            </w:r>
            <w:r>
              <w:t>.</w:t>
            </w:r>
          </w:p>
          <w:p w14:paraId="1A7ACF18" w14:textId="77777777" w:rsidR="005066D3" w:rsidRPr="001D2227" w:rsidRDefault="005066D3" w:rsidP="001D3D1F">
            <w:pPr>
              <w:pStyle w:val="TableBullet1Small"/>
              <w:numPr>
                <w:ilvl w:val="0"/>
                <w:numId w:val="0"/>
              </w:numPr>
            </w:pPr>
          </w:p>
        </w:tc>
        <w:tc>
          <w:tcPr>
            <w:tcW w:w="1568" w:type="pct"/>
            <w:tcBorders>
              <w:top w:val="dotted" w:sz="8" w:space="0" w:color="7D7D7D" w:themeColor="text2"/>
              <w:left w:val="nil"/>
              <w:bottom w:val="dotted" w:sz="8" w:space="0" w:color="7D7D7D" w:themeColor="text2"/>
              <w:right w:val="nil"/>
            </w:tcBorders>
          </w:tcPr>
          <w:p w14:paraId="74677D8B" w14:textId="77777777" w:rsidR="005066D3" w:rsidRPr="002C3275" w:rsidRDefault="005066D3" w:rsidP="001D3D1F">
            <w:pPr>
              <w:pStyle w:val="TableTextSmall"/>
            </w:pPr>
            <w:r>
              <w:t>Supporting outcome 2</w:t>
            </w:r>
          </w:p>
        </w:tc>
      </w:tr>
      <w:tr w:rsidR="00983B56" w:rsidRPr="002B7285" w14:paraId="400D1937" w14:textId="77777777" w:rsidTr="001D3D1F">
        <w:tc>
          <w:tcPr>
            <w:tcW w:w="288" w:type="pct"/>
            <w:tcBorders>
              <w:top w:val="dotted" w:sz="8" w:space="0" w:color="7D7D7D" w:themeColor="text2"/>
              <w:left w:val="nil"/>
              <w:bottom w:val="dotted" w:sz="8" w:space="0" w:color="7D7D7D" w:themeColor="text2"/>
              <w:right w:val="nil"/>
            </w:tcBorders>
          </w:tcPr>
          <w:p w14:paraId="0A403B8A" w14:textId="77777777" w:rsidR="00983B56" w:rsidRPr="002B7285" w:rsidRDefault="00983B56" w:rsidP="00983B56">
            <w:pPr>
              <w:spacing w:before="40" w:after="40"/>
              <w:rPr>
                <w:rFonts w:ascii="Arial" w:hAnsi="Arial"/>
                <w:b/>
                <w:sz w:val="16"/>
                <w:szCs w:val="18"/>
              </w:rPr>
            </w:pPr>
            <w:r>
              <w:rPr>
                <w:rFonts w:ascii="Arial" w:hAnsi="Arial"/>
                <w:b/>
                <w:sz w:val="16"/>
                <w:szCs w:val="18"/>
              </w:rPr>
              <w:t>5</w:t>
            </w:r>
          </w:p>
        </w:tc>
        <w:tc>
          <w:tcPr>
            <w:tcW w:w="1572" w:type="pct"/>
            <w:tcBorders>
              <w:top w:val="dotted" w:sz="8" w:space="0" w:color="7D7D7D" w:themeColor="text2"/>
              <w:left w:val="nil"/>
              <w:bottom w:val="dotted" w:sz="8" w:space="0" w:color="7D7D7D" w:themeColor="text2"/>
              <w:right w:val="nil"/>
            </w:tcBorders>
          </w:tcPr>
          <w:p w14:paraId="5D38E31D" w14:textId="77777777" w:rsidR="00983B56" w:rsidRPr="00983B56" w:rsidRDefault="00983B56" w:rsidP="00983B56">
            <w:pPr>
              <w:spacing w:before="40" w:after="40"/>
              <w:rPr>
                <w:rFonts w:ascii="Arial" w:hAnsi="Arial"/>
                <w:b/>
                <w:sz w:val="16"/>
                <w:szCs w:val="18"/>
              </w:rPr>
            </w:pPr>
            <w:r w:rsidRPr="00FA3E74">
              <w:rPr>
                <w:rFonts w:ascii="Arial" w:hAnsi="Arial"/>
                <w:b/>
                <w:sz w:val="16"/>
                <w:szCs w:val="18"/>
              </w:rPr>
              <w:t>Action:</w:t>
            </w:r>
            <w:r w:rsidRPr="00FA3E74">
              <w:rPr>
                <w:rFonts w:ascii="Arial" w:hAnsi="Arial"/>
                <w:sz w:val="16"/>
                <w:szCs w:val="18"/>
              </w:rPr>
              <w:t xml:space="preserve"> Commonwealth to develop and trial an effective model of services and support focused on the first 1000 days to better support Aboriginal and Torres Strait Islander families and communities.</w:t>
            </w:r>
          </w:p>
        </w:tc>
        <w:tc>
          <w:tcPr>
            <w:tcW w:w="1572" w:type="pct"/>
            <w:tcBorders>
              <w:top w:val="dotted" w:sz="8" w:space="0" w:color="7D7D7D" w:themeColor="text2"/>
              <w:left w:val="nil"/>
              <w:bottom w:val="dotted" w:sz="8" w:space="0" w:color="7D7D7D" w:themeColor="text2"/>
              <w:right w:val="nil"/>
            </w:tcBorders>
          </w:tcPr>
          <w:p w14:paraId="6A6DC266" w14:textId="77777777" w:rsidR="00983B56" w:rsidRPr="00FA3E74" w:rsidRDefault="00983B56" w:rsidP="00983B56">
            <w:pPr>
              <w:pStyle w:val="TableTextSmall"/>
            </w:pPr>
            <w:r w:rsidRPr="00FA3E74">
              <w:t>Expand access to Indigenous and mainstream services for families and children.</w:t>
            </w:r>
          </w:p>
          <w:p w14:paraId="0FC7AE5B" w14:textId="77777777" w:rsidR="00983B56" w:rsidRPr="00983B56" w:rsidRDefault="00983B56" w:rsidP="00983B56">
            <w:pPr>
              <w:pStyle w:val="TableBullet1Small"/>
              <w:numPr>
                <w:ilvl w:val="0"/>
                <w:numId w:val="0"/>
              </w:numPr>
            </w:pPr>
            <w:r w:rsidRPr="00FA3E74">
              <w:t>Enhance services and supports for children and families to target the most vulnerable and protect children ‘at-risk.</w:t>
            </w:r>
          </w:p>
        </w:tc>
        <w:tc>
          <w:tcPr>
            <w:tcW w:w="1568" w:type="pct"/>
            <w:tcBorders>
              <w:top w:val="dotted" w:sz="8" w:space="0" w:color="7D7D7D" w:themeColor="text2"/>
              <w:left w:val="nil"/>
              <w:bottom w:val="dotted" w:sz="8" w:space="0" w:color="7D7D7D" w:themeColor="text2"/>
              <w:right w:val="nil"/>
            </w:tcBorders>
          </w:tcPr>
          <w:p w14:paraId="7A7890BA" w14:textId="77777777" w:rsidR="00983B56" w:rsidRPr="00FA3E74" w:rsidRDefault="00983B56" w:rsidP="00983B56">
            <w:pPr>
              <w:pStyle w:val="TableTextSmall"/>
            </w:pPr>
            <w:r w:rsidRPr="00FA3E74">
              <w:t>Supporting outcome 5</w:t>
            </w:r>
          </w:p>
          <w:p w14:paraId="7E552E32" w14:textId="77777777" w:rsidR="00983B56" w:rsidRPr="00FA3E74" w:rsidRDefault="00983B56" w:rsidP="00983B56">
            <w:pPr>
              <w:pStyle w:val="TableTextSmall"/>
            </w:pPr>
          </w:p>
          <w:p w14:paraId="24DA3378" w14:textId="77777777" w:rsidR="00983B56" w:rsidRPr="00FA3E74" w:rsidRDefault="00983B56" w:rsidP="00983B56">
            <w:pPr>
              <w:pStyle w:val="TableTextSmall"/>
            </w:pPr>
          </w:p>
          <w:p w14:paraId="61F54D72" w14:textId="77777777" w:rsidR="00983B56" w:rsidRPr="00FA3E74" w:rsidRDefault="00983B56" w:rsidP="00983B56">
            <w:pPr>
              <w:pStyle w:val="TableTextSmall"/>
            </w:pPr>
            <w:r w:rsidRPr="00FA3E74">
              <w:t>Supporting outcome 2</w:t>
            </w:r>
          </w:p>
          <w:p w14:paraId="1AA8F9DD" w14:textId="77777777" w:rsidR="00983B56" w:rsidRPr="00FA3E74" w:rsidRDefault="00983B56" w:rsidP="00983B56">
            <w:pPr>
              <w:pStyle w:val="TableTextSmall"/>
            </w:pPr>
          </w:p>
          <w:p w14:paraId="5F8658E4" w14:textId="77777777" w:rsidR="00983B56" w:rsidRPr="00983B56" w:rsidRDefault="00983B56" w:rsidP="00983B56">
            <w:pPr>
              <w:pStyle w:val="TableTextSmall"/>
            </w:pPr>
          </w:p>
        </w:tc>
      </w:tr>
      <w:tr w:rsidR="005066D3" w:rsidRPr="002B7285" w14:paraId="311B9FDE" w14:textId="77777777" w:rsidTr="001D3D1F">
        <w:tc>
          <w:tcPr>
            <w:tcW w:w="288" w:type="pct"/>
            <w:tcBorders>
              <w:top w:val="dotted" w:sz="8" w:space="0" w:color="7D7D7D" w:themeColor="text2"/>
              <w:left w:val="nil"/>
              <w:bottom w:val="dotted" w:sz="8" w:space="0" w:color="7D7D7D" w:themeColor="text2"/>
              <w:right w:val="nil"/>
            </w:tcBorders>
          </w:tcPr>
          <w:p w14:paraId="518D2C85" w14:textId="77777777" w:rsidR="005066D3" w:rsidRPr="002B7285" w:rsidRDefault="005066D3" w:rsidP="001D3D1F">
            <w:pPr>
              <w:spacing w:before="40" w:after="40"/>
              <w:rPr>
                <w:rFonts w:ascii="Arial" w:hAnsi="Arial"/>
                <w:b/>
                <w:sz w:val="16"/>
                <w:szCs w:val="18"/>
              </w:rPr>
            </w:pPr>
            <w:r>
              <w:rPr>
                <w:rFonts w:ascii="Arial" w:hAnsi="Arial"/>
                <w:b/>
                <w:sz w:val="16"/>
                <w:szCs w:val="18"/>
              </w:rPr>
              <w:t>6</w:t>
            </w:r>
          </w:p>
        </w:tc>
        <w:tc>
          <w:tcPr>
            <w:tcW w:w="1572" w:type="pct"/>
            <w:tcBorders>
              <w:top w:val="dotted" w:sz="8" w:space="0" w:color="7D7D7D" w:themeColor="text2"/>
              <w:left w:val="nil"/>
              <w:bottom w:val="dotted" w:sz="8" w:space="0" w:color="7D7D7D" w:themeColor="text2"/>
              <w:right w:val="nil"/>
            </w:tcBorders>
          </w:tcPr>
          <w:p w14:paraId="2FF1C67B"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Action:</w:t>
            </w:r>
            <w:r w:rsidRPr="002B7285">
              <w:rPr>
                <w:rFonts w:ascii="Arial" w:hAnsi="Arial"/>
                <w:sz w:val="16"/>
                <w:szCs w:val="18"/>
              </w:rPr>
              <w:t xml:space="preserve"> Examine place-based models to identify critical success factors to inform future work.</w:t>
            </w:r>
          </w:p>
        </w:tc>
        <w:tc>
          <w:tcPr>
            <w:tcW w:w="1572" w:type="pct"/>
            <w:tcBorders>
              <w:top w:val="dotted" w:sz="8" w:space="0" w:color="7D7D7D" w:themeColor="text2"/>
              <w:left w:val="nil"/>
              <w:bottom w:val="dotted" w:sz="8" w:space="0" w:color="7D7D7D" w:themeColor="text2"/>
              <w:right w:val="nil"/>
            </w:tcBorders>
          </w:tcPr>
          <w:p w14:paraId="69582031" w14:textId="2790597D" w:rsidR="005066D3" w:rsidRDefault="00586BEE" w:rsidP="001D3D1F">
            <w:pPr>
              <w:pStyle w:val="TableBullet1Small"/>
              <w:numPr>
                <w:ilvl w:val="0"/>
                <w:numId w:val="0"/>
              </w:numPr>
              <w:rPr>
                <w:b/>
              </w:rPr>
            </w:pPr>
            <w:r>
              <w:rPr>
                <w:b/>
              </w:rPr>
              <w:t>Underpinning</w:t>
            </w:r>
            <w:r w:rsidR="00983B56">
              <w:rPr>
                <w:b/>
              </w:rPr>
              <w:t>.</w:t>
            </w:r>
          </w:p>
          <w:p w14:paraId="74D7EAE3" w14:textId="2D9617FC" w:rsidR="00983B56" w:rsidRPr="008A7976" w:rsidRDefault="00586BEE" w:rsidP="001D3D1F">
            <w:pPr>
              <w:pStyle w:val="TableBullet1Small"/>
              <w:numPr>
                <w:ilvl w:val="0"/>
                <w:numId w:val="0"/>
              </w:numPr>
            </w:pPr>
            <w:r>
              <w:t>This</w:t>
            </w:r>
            <w:r w:rsidR="00983B56" w:rsidRPr="00983B56">
              <w:t xml:space="preserve"> action may support further actions in relation to the National Framework</w:t>
            </w:r>
            <w:r>
              <w:t>.</w:t>
            </w:r>
          </w:p>
        </w:tc>
        <w:tc>
          <w:tcPr>
            <w:tcW w:w="1568" w:type="pct"/>
            <w:tcBorders>
              <w:top w:val="dotted" w:sz="8" w:space="0" w:color="7D7D7D" w:themeColor="text2"/>
              <w:left w:val="nil"/>
              <w:bottom w:val="dotted" w:sz="8" w:space="0" w:color="7D7D7D" w:themeColor="text2"/>
              <w:right w:val="nil"/>
            </w:tcBorders>
          </w:tcPr>
          <w:p w14:paraId="1A5B06AB" w14:textId="77777777" w:rsidR="005066D3" w:rsidRPr="002C3275" w:rsidRDefault="005066D3" w:rsidP="001D3D1F">
            <w:pPr>
              <w:pStyle w:val="TableTextSmall"/>
            </w:pPr>
          </w:p>
        </w:tc>
      </w:tr>
      <w:tr w:rsidR="00983B56" w:rsidRPr="002B7285" w14:paraId="10C8542D" w14:textId="77777777" w:rsidTr="001D3D1F">
        <w:tc>
          <w:tcPr>
            <w:tcW w:w="288" w:type="pct"/>
            <w:tcBorders>
              <w:top w:val="dotted" w:sz="8" w:space="0" w:color="7D7D7D" w:themeColor="text2"/>
              <w:left w:val="nil"/>
              <w:bottom w:val="dotted" w:sz="8" w:space="0" w:color="7D7D7D" w:themeColor="text2"/>
              <w:right w:val="nil"/>
            </w:tcBorders>
          </w:tcPr>
          <w:p w14:paraId="0BD0E802" w14:textId="77777777" w:rsidR="00983B56" w:rsidRPr="002B7285" w:rsidRDefault="00983B56" w:rsidP="00983B56">
            <w:pPr>
              <w:spacing w:before="40" w:after="40"/>
              <w:rPr>
                <w:rFonts w:ascii="Arial" w:hAnsi="Arial"/>
                <w:b/>
                <w:sz w:val="16"/>
                <w:szCs w:val="18"/>
              </w:rPr>
            </w:pPr>
            <w:r>
              <w:rPr>
                <w:rFonts w:ascii="Arial" w:hAnsi="Arial"/>
                <w:b/>
                <w:sz w:val="16"/>
                <w:szCs w:val="18"/>
              </w:rPr>
              <w:t>7</w:t>
            </w:r>
          </w:p>
        </w:tc>
        <w:tc>
          <w:tcPr>
            <w:tcW w:w="1572" w:type="pct"/>
            <w:tcBorders>
              <w:top w:val="dotted" w:sz="8" w:space="0" w:color="7D7D7D" w:themeColor="text2"/>
              <w:left w:val="nil"/>
              <w:bottom w:val="dotted" w:sz="8" w:space="0" w:color="7D7D7D" w:themeColor="text2"/>
              <w:right w:val="nil"/>
            </w:tcBorders>
          </w:tcPr>
          <w:p w14:paraId="68615ED4" w14:textId="77777777" w:rsidR="00983B56" w:rsidRPr="002B7285" w:rsidRDefault="00983B56" w:rsidP="00983B56">
            <w:pPr>
              <w:spacing w:before="40" w:after="40"/>
              <w:rPr>
                <w:rFonts w:ascii="Arial" w:hAnsi="Arial"/>
                <w:b/>
                <w:sz w:val="16"/>
                <w:szCs w:val="18"/>
              </w:rPr>
            </w:pPr>
            <w:r w:rsidRPr="002B7285">
              <w:rPr>
                <w:rFonts w:ascii="Arial" w:hAnsi="Arial"/>
                <w:b/>
                <w:sz w:val="16"/>
                <w:szCs w:val="18"/>
              </w:rPr>
              <w:t>Action:</w:t>
            </w:r>
            <w:r w:rsidRPr="002B7285">
              <w:rPr>
                <w:rFonts w:ascii="Arial" w:hAnsi="Arial"/>
                <w:sz w:val="16"/>
                <w:szCs w:val="18"/>
              </w:rPr>
              <w:t xml:space="preserve"> Commonwealth to support integration of child care, maternal and child health, and family support services in a number of disadvantaged Aboriginal and Torres Strait Islander communities, through the Community Child Care Fund.</w:t>
            </w:r>
          </w:p>
        </w:tc>
        <w:tc>
          <w:tcPr>
            <w:tcW w:w="1572" w:type="pct"/>
            <w:tcBorders>
              <w:top w:val="dotted" w:sz="8" w:space="0" w:color="7D7D7D" w:themeColor="text2"/>
              <w:left w:val="nil"/>
              <w:bottom w:val="dotted" w:sz="8" w:space="0" w:color="7D7D7D" w:themeColor="text2"/>
              <w:right w:val="nil"/>
            </w:tcBorders>
          </w:tcPr>
          <w:p w14:paraId="7A7FDD81" w14:textId="77777777" w:rsidR="00983B56" w:rsidRDefault="00983B56" w:rsidP="00983B56">
            <w:pPr>
              <w:pStyle w:val="TableTextSmall"/>
            </w:pPr>
            <w:r w:rsidRPr="00D17AF2">
              <w:t>Implement an integrated approach to service design, planning and delivery for children and families across the lifecycle and spectrum of need</w:t>
            </w:r>
            <w:r>
              <w:t>.</w:t>
            </w:r>
          </w:p>
          <w:p w14:paraId="16618CAF" w14:textId="77777777" w:rsidR="00983B56" w:rsidRPr="001D2227" w:rsidRDefault="00983B56" w:rsidP="00983B56">
            <w:pPr>
              <w:pStyle w:val="TableBullet1Small"/>
              <w:numPr>
                <w:ilvl w:val="0"/>
                <w:numId w:val="0"/>
              </w:numPr>
            </w:pPr>
            <w:r w:rsidRPr="00D17AF2">
              <w:t>Expand access to Indigenous and mainstream services for families and children</w:t>
            </w:r>
            <w:r>
              <w:t>.</w:t>
            </w:r>
          </w:p>
        </w:tc>
        <w:tc>
          <w:tcPr>
            <w:tcW w:w="1568" w:type="pct"/>
            <w:tcBorders>
              <w:top w:val="dotted" w:sz="8" w:space="0" w:color="7D7D7D" w:themeColor="text2"/>
              <w:left w:val="nil"/>
              <w:bottom w:val="dotted" w:sz="8" w:space="0" w:color="7D7D7D" w:themeColor="text2"/>
              <w:right w:val="nil"/>
            </w:tcBorders>
          </w:tcPr>
          <w:p w14:paraId="375EE1ED" w14:textId="77777777" w:rsidR="00983B56" w:rsidRDefault="00983B56" w:rsidP="00983B56">
            <w:pPr>
              <w:pStyle w:val="TableTextSmall"/>
            </w:pPr>
            <w:r>
              <w:t>Supporting outcome 2</w:t>
            </w:r>
          </w:p>
          <w:p w14:paraId="4E0E1E75" w14:textId="77777777" w:rsidR="00983B56" w:rsidRDefault="00983B56" w:rsidP="00983B56">
            <w:pPr>
              <w:pStyle w:val="TableTextSmall"/>
            </w:pPr>
          </w:p>
          <w:p w14:paraId="0EB354C9" w14:textId="77777777" w:rsidR="00983B56" w:rsidRPr="002C3275" w:rsidRDefault="00983B56" w:rsidP="00983B56">
            <w:pPr>
              <w:pStyle w:val="TableTextSmall"/>
            </w:pPr>
            <w:r>
              <w:t>Supporting outcome 5</w:t>
            </w:r>
          </w:p>
        </w:tc>
      </w:tr>
      <w:tr w:rsidR="005066D3" w:rsidRPr="002B7285" w14:paraId="143666FB" w14:textId="77777777" w:rsidTr="001D3D1F">
        <w:tc>
          <w:tcPr>
            <w:tcW w:w="5000" w:type="pct"/>
            <w:gridSpan w:val="4"/>
            <w:tcBorders>
              <w:top w:val="dotted" w:sz="8" w:space="0" w:color="7D7D7D" w:themeColor="text2"/>
              <w:left w:val="nil"/>
              <w:bottom w:val="dotted" w:sz="8" w:space="0" w:color="7D7D7D" w:themeColor="text2"/>
              <w:right w:val="nil"/>
            </w:tcBorders>
            <w:shd w:val="clear" w:color="auto" w:fill="E5E5E5" w:themeFill="text2" w:themeFillTint="33"/>
          </w:tcPr>
          <w:p w14:paraId="7051FBD1" w14:textId="77777777" w:rsidR="005066D3" w:rsidRPr="002B7285" w:rsidRDefault="005066D3" w:rsidP="001D3D1F">
            <w:pPr>
              <w:spacing w:before="40" w:after="40"/>
              <w:rPr>
                <w:rFonts w:ascii="Arial" w:hAnsi="Arial"/>
                <w:b/>
                <w:i/>
                <w:sz w:val="16"/>
                <w:szCs w:val="18"/>
              </w:rPr>
            </w:pPr>
            <w:r w:rsidRPr="002B7285">
              <w:rPr>
                <w:rFonts w:ascii="Arial" w:hAnsi="Arial"/>
                <w:b/>
                <w:i/>
                <w:sz w:val="16"/>
                <w:szCs w:val="18"/>
              </w:rPr>
              <w:t>Strategy 2:</w:t>
            </w:r>
            <w:r w:rsidRPr="002B7285">
              <w:rPr>
                <w:rFonts w:ascii="Arial" w:hAnsi="Arial"/>
                <w:i/>
                <w:sz w:val="16"/>
                <w:szCs w:val="18"/>
              </w:rPr>
              <w:t xml:space="preserve">  Helping young people in out-of-home care to thrive into adulthood</w:t>
            </w:r>
          </w:p>
        </w:tc>
      </w:tr>
      <w:tr w:rsidR="005066D3" w:rsidRPr="002B7285" w14:paraId="15B80461" w14:textId="77777777" w:rsidTr="001D3D1F">
        <w:tc>
          <w:tcPr>
            <w:tcW w:w="288" w:type="pct"/>
            <w:tcBorders>
              <w:top w:val="dotted" w:sz="8" w:space="0" w:color="7D7D7D" w:themeColor="text2"/>
              <w:left w:val="nil"/>
              <w:bottom w:val="dotted" w:sz="8" w:space="0" w:color="7D7D7D" w:themeColor="text2"/>
              <w:right w:val="nil"/>
            </w:tcBorders>
          </w:tcPr>
          <w:p w14:paraId="06196DF3" w14:textId="77777777" w:rsidR="005066D3" w:rsidRPr="002B7285" w:rsidRDefault="005066D3" w:rsidP="001D3D1F">
            <w:pPr>
              <w:spacing w:before="40" w:after="40"/>
              <w:rPr>
                <w:rFonts w:ascii="Arial" w:hAnsi="Arial"/>
                <w:b/>
                <w:sz w:val="16"/>
                <w:szCs w:val="18"/>
              </w:rPr>
            </w:pPr>
            <w:r>
              <w:rPr>
                <w:rFonts w:ascii="Arial" w:hAnsi="Arial"/>
                <w:b/>
                <w:sz w:val="16"/>
                <w:szCs w:val="18"/>
              </w:rPr>
              <w:t>8</w:t>
            </w:r>
          </w:p>
        </w:tc>
        <w:tc>
          <w:tcPr>
            <w:tcW w:w="1572" w:type="pct"/>
            <w:tcBorders>
              <w:top w:val="dotted" w:sz="8" w:space="0" w:color="7D7D7D" w:themeColor="text2"/>
              <w:left w:val="nil"/>
              <w:bottom w:val="dotted" w:sz="8" w:space="0" w:color="7D7D7D" w:themeColor="text2"/>
              <w:right w:val="nil"/>
            </w:tcBorders>
          </w:tcPr>
          <w:p w14:paraId="189BB0B0"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Action:</w:t>
            </w:r>
            <w:r w:rsidRPr="002B7285">
              <w:rPr>
                <w:rFonts w:ascii="Arial" w:hAnsi="Arial"/>
                <w:sz w:val="16"/>
                <w:szCs w:val="18"/>
              </w:rPr>
              <w:t xml:space="preserve"> Commonwealth to continue to support eligible young people to access services through the Youth Employment Strategy, Growing Jobs and Small Business Package.</w:t>
            </w:r>
          </w:p>
        </w:tc>
        <w:tc>
          <w:tcPr>
            <w:tcW w:w="1572" w:type="pct"/>
            <w:tcBorders>
              <w:top w:val="dotted" w:sz="8" w:space="0" w:color="7D7D7D" w:themeColor="text2"/>
              <w:left w:val="nil"/>
              <w:bottom w:val="dotted" w:sz="8" w:space="0" w:color="7D7D7D" w:themeColor="text2"/>
              <w:right w:val="nil"/>
            </w:tcBorders>
          </w:tcPr>
          <w:p w14:paraId="27D60643" w14:textId="41B12A5F" w:rsidR="00F832FE" w:rsidRPr="00FA3E74" w:rsidRDefault="00586BEE">
            <w:pPr>
              <w:pStyle w:val="TableTextSmall"/>
              <w:rPr>
                <w:bCs/>
              </w:rPr>
            </w:pPr>
            <w:r>
              <w:rPr>
                <w:b/>
              </w:rPr>
              <w:t>Underpinning</w:t>
            </w:r>
            <w:r w:rsidR="00983B56">
              <w:rPr>
                <w:b/>
              </w:rPr>
              <w:t>.</w:t>
            </w:r>
          </w:p>
          <w:p w14:paraId="58BB0644" w14:textId="44B354C1" w:rsidR="005066D3" w:rsidRPr="00FA3E74" w:rsidRDefault="00F832FE">
            <w:pPr>
              <w:pStyle w:val="TableTextSmall"/>
              <w:rPr>
                <w:bCs/>
              </w:rPr>
            </w:pPr>
            <w:r w:rsidRPr="00FA3E74">
              <w:rPr>
                <w:bCs/>
              </w:rPr>
              <w:t>This action</w:t>
            </w:r>
            <w:r w:rsidR="00586BEE">
              <w:rPr>
                <w:bCs/>
              </w:rPr>
              <w:t xml:space="preserve"> supports</w:t>
            </w:r>
            <w:r w:rsidRPr="00FA3E74">
              <w:rPr>
                <w:bCs/>
              </w:rPr>
              <w:t xml:space="preserve"> </w:t>
            </w:r>
            <w:r w:rsidR="00586BEE">
              <w:rPr>
                <w:bCs/>
              </w:rPr>
              <w:t xml:space="preserve">young people and the determinants of intergenerational poverty/future risk factors. </w:t>
            </w:r>
          </w:p>
        </w:tc>
        <w:tc>
          <w:tcPr>
            <w:tcW w:w="1568" w:type="pct"/>
            <w:tcBorders>
              <w:top w:val="dotted" w:sz="8" w:space="0" w:color="7D7D7D" w:themeColor="text2"/>
              <w:left w:val="nil"/>
              <w:bottom w:val="dotted" w:sz="8" w:space="0" w:color="7D7D7D" w:themeColor="text2"/>
              <w:right w:val="nil"/>
            </w:tcBorders>
            <w:vAlign w:val="center"/>
          </w:tcPr>
          <w:p w14:paraId="19EC34F3" w14:textId="273988F4" w:rsidR="005066D3" w:rsidRPr="002B7285" w:rsidRDefault="00586BEE" w:rsidP="008552A8">
            <w:pPr>
              <w:pStyle w:val="TableTextSmall"/>
              <w:rPr>
                <w:sz w:val="28"/>
                <w:szCs w:val="28"/>
              </w:rPr>
            </w:pPr>
            <w:r w:rsidRPr="008552A8">
              <w:t>Aligned to supporting outcome 3</w:t>
            </w:r>
          </w:p>
        </w:tc>
      </w:tr>
      <w:tr w:rsidR="00983B56" w:rsidRPr="002B7285" w14:paraId="3228768F" w14:textId="77777777" w:rsidTr="001D3D1F">
        <w:tc>
          <w:tcPr>
            <w:tcW w:w="288" w:type="pct"/>
            <w:tcBorders>
              <w:top w:val="dotted" w:sz="8" w:space="0" w:color="7D7D7D" w:themeColor="text2"/>
              <w:left w:val="nil"/>
              <w:bottom w:val="dotted" w:sz="8" w:space="0" w:color="7D7D7D" w:themeColor="text2"/>
              <w:right w:val="nil"/>
            </w:tcBorders>
          </w:tcPr>
          <w:p w14:paraId="4F8CB642" w14:textId="77777777" w:rsidR="00983B56" w:rsidRPr="002B7285" w:rsidRDefault="00983B56" w:rsidP="00983B56">
            <w:pPr>
              <w:spacing w:before="40" w:after="40"/>
              <w:rPr>
                <w:rFonts w:ascii="Arial" w:hAnsi="Arial"/>
                <w:b/>
                <w:sz w:val="16"/>
                <w:szCs w:val="18"/>
              </w:rPr>
            </w:pPr>
            <w:r>
              <w:rPr>
                <w:rFonts w:ascii="Arial" w:hAnsi="Arial"/>
                <w:b/>
                <w:sz w:val="16"/>
                <w:szCs w:val="18"/>
              </w:rPr>
              <w:t>9</w:t>
            </w:r>
          </w:p>
        </w:tc>
        <w:tc>
          <w:tcPr>
            <w:tcW w:w="1572" w:type="pct"/>
            <w:tcBorders>
              <w:top w:val="dotted" w:sz="8" w:space="0" w:color="7D7D7D" w:themeColor="text2"/>
              <w:left w:val="nil"/>
              <w:bottom w:val="dotted" w:sz="8" w:space="0" w:color="7D7D7D" w:themeColor="text2"/>
              <w:right w:val="nil"/>
            </w:tcBorders>
          </w:tcPr>
          <w:p w14:paraId="6438E495" w14:textId="77777777" w:rsidR="00983B56" w:rsidRPr="00983B56" w:rsidRDefault="00983B56" w:rsidP="00983B56">
            <w:pPr>
              <w:spacing w:before="40" w:after="40"/>
              <w:rPr>
                <w:rFonts w:ascii="Arial" w:hAnsi="Arial"/>
                <w:b/>
                <w:sz w:val="16"/>
                <w:szCs w:val="18"/>
              </w:rPr>
            </w:pPr>
            <w:r w:rsidRPr="00FA3E74">
              <w:rPr>
                <w:rFonts w:ascii="Arial" w:hAnsi="Arial"/>
                <w:b/>
                <w:sz w:val="16"/>
                <w:szCs w:val="18"/>
              </w:rPr>
              <w:t>Action:</w:t>
            </w:r>
            <w:r w:rsidRPr="00FA3E74">
              <w:rPr>
                <w:rFonts w:ascii="Arial" w:hAnsi="Arial"/>
                <w:sz w:val="16"/>
                <w:szCs w:val="18"/>
              </w:rPr>
              <w:t xml:space="preserve"> Commonwealth to trial ways of improving support to young people by better utilising available data and delivering intensive case management including wrap around services linking to education, health and housing, working with jurisdictions. All parties to use findings to guide future interventions for young people.</w:t>
            </w:r>
          </w:p>
        </w:tc>
        <w:tc>
          <w:tcPr>
            <w:tcW w:w="1572" w:type="pct"/>
            <w:tcBorders>
              <w:top w:val="dotted" w:sz="8" w:space="0" w:color="7D7D7D" w:themeColor="text2"/>
              <w:left w:val="nil"/>
              <w:bottom w:val="dotted" w:sz="8" w:space="0" w:color="7D7D7D" w:themeColor="text2"/>
              <w:right w:val="nil"/>
            </w:tcBorders>
          </w:tcPr>
          <w:p w14:paraId="75A60377" w14:textId="77777777" w:rsidR="00983B56" w:rsidRPr="00983B56" w:rsidRDefault="00983B56" w:rsidP="00983B56">
            <w:pPr>
              <w:pStyle w:val="TableTextSmall"/>
              <w:rPr>
                <w:b/>
              </w:rPr>
            </w:pPr>
            <w:r w:rsidRPr="00FA3E74">
              <w:rPr>
                <w:bCs/>
              </w:rPr>
              <w:t>Enhance services and supports for children and families to target the most vulnerable and protect children ‘at-risk.</w:t>
            </w:r>
          </w:p>
        </w:tc>
        <w:tc>
          <w:tcPr>
            <w:tcW w:w="1568" w:type="pct"/>
            <w:tcBorders>
              <w:top w:val="dotted" w:sz="8" w:space="0" w:color="7D7D7D" w:themeColor="text2"/>
              <w:left w:val="nil"/>
              <w:bottom w:val="dotted" w:sz="8" w:space="0" w:color="7D7D7D" w:themeColor="text2"/>
              <w:right w:val="nil"/>
            </w:tcBorders>
          </w:tcPr>
          <w:p w14:paraId="7CDFD62D" w14:textId="77777777" w:rsidR="00983B56" w:rsidRPr="00983B56" w:rsidRDefault="00983B56" w:rsidP="00983B56">
            <w:pPr>
              <w:pStyle w:val="TableTextSmall"/>
            </w:pPr>
            <w:r w:rsidRPr="00FA3E74">
              <w:t>Supporting outcome 2</w:t>
            </w:r>
          </w:p>
        </w:tc>
      </w:tr>
      <w:tr w:rsidR="005066D3" w:rsidRPr="002B7285" w14:paraId="5A24F890" w14:textId="77777777" w:rsidTr="001D3D1F">
        <w:tc>
          <w:tcPr>
            <w:tcW w:w="288" w:type="pct"/>
            <w:tcBorders>
              <w:top w:val="dotted" w:sz="8" w:space="0" w:color="7D7D7D" w:themeColor="text2"/>
              <w:left w:val="nil"/>
              <w:bottom w:val="dotted" w:sz="8" w:space="0" w:color="7D7D7D" w:themeColor="text2"/>
              <w:right w:val="nil"/>
            </w:tcBorders>
          </w:tcPr>
          <w:p w14:paraId="55590951" w14:textId="77777777" w:rsidR="005066D3" w:rsidRPr="002B7285" w:rsidRDefault="005066D3" w:rsidP="001D3D1F">
            <w:pPr>
              <w:spacing w:before="40" w:after="40"/>
              <w:rPr>
                <w:rFonts w:ascii="Arial" w:hAnsi="Arial"/>
                <w:b/>
                <w:sz w:val="16"/>
                <w:szCs w:val="18"/>
              </w:rPr>
            </w:pPr>
            <w:r>
              <w:rPr>
                <w:rFonts w:ascii="Arial" w:hAnsi="Arial"/>
                <w:b/>
                <w:sz w:val="16"/>
                <w:szCs w:val="18"/>
              </w:rPr>
              <w:t>10</w:t>
            </w:r>
          </w:p>
        </w:tc>
        <w:tc>
          <w:tcPr>
            <w:tcW w:w="1572" w:type="pct"/>
            <w:tcBorders>
              <w:top w:val="dotted" w:sz="8" w:space="0" w:color="7D7D7D" w:themeColor="text2"/>
              <w:left w:val="nil"/>
              <w:bottom w:val="dotted" w:sz="8" w:space="0" w:color="7D7D7D" w:themeColor="text2"/>
              <w:right w:val="nil"/>
            </w:tcBorders>
          </w:tcPr>
          <w:p w14:paraId="53C73933"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Action:</w:t>
            </w:r>
            <w:r w:rsidRPr="002B7285">
              <w:rPr>
                <w:rFonts w:ascii="Arial" w:hAnsi="Arial"/>
                <w:sz w:val="16"/>
                <w:szCs w:val="18"/>
              </w:rPr>
              <w:t xml:space="preserve"> Examine 2014 reforms to the Transition to Independent Living Allowance to ensure it continues to target those who need it most and improve efficiency.</w:t>
            </w:r>
          </w:p>
        </w:tc>
        <w:tc>
          <w:tcPr>
            <w:tcW w:w="1572" w:type="pct"/>
            <w:tcBorders>
              <w:top w:val="dotted" w:sz="8" w:space="0" w:color="7D7D7D" w:themeColor="text2"/>
              <w:left w:val="nil"/>
              <w:bottom w:val="dotted" w:sz="8" w:space="0" w:color="7D7D7D" w:themeColor="text2"/>
              <w:right w:val="nil"/>
            </w:tcBorders>
          </w:tcPr>
          <w:p w14:paraId="1CEA2C07" w14:textId="77777777" w:rsidR="005066D3" w:rsidRDefault="005066D3" w:rsidP="001D3D1F">
            <w:pPr>
              <w:pStyle w:val="TableTextSmall"/>
            </w:pPr>
            <w:r w:rsidRPr="009402CA">
              <w:t>Improve support for young people leaving care</w:t>
            </w:r>
            <w:r>
              <w:t>.</w:t>
            </w:r>
          </w:p>
          <w:p w14:paraId="5EA7BB7E" w14:textId="77777777" w:rsidR="005066D3" w:rsidRPr="001D2227" w:rsidRDefault="005066D3">
            <w:pPr>
              <w:pStyle w:val="TableTextSmall"/>
              <w:rPr>
                <w:b/>
              </w:rPr>
            </w:pPr>
          </w:p>
        </w:tc>
        <w:tc>
          <w:tcPr>
            <w:tcW w:w="1568" w:type="pct"/>
            <w:tcBorders>
              <w:top w:val="dotted" w:sz="8" w:space="0" w:color="7D7D7D" w:themeColor="text2"/>
              <w:left w:val="nil"/>
              <w:bottom w:val="dotted" w:sz="8" w:space="0" w:color="7D7D7D" w:themeColor="text2"/>
              <w:right w:val="nil"/>
            </w:tcBorders>
          </w:tcPr>
          <w:p w14:paraId="63D0BE64" w14:textId="77777777" w:rsidR="005066D3" w:rsidRPr="00893FA9" w:rsidRDefault="005066D3" w:rsidP="001D3D1F">
            <w:pPr>
              <w:pStyle w:val="TableTextSmall"/>
            </w:pPr>
            <w:r w:rsidRPr="00893FA9">
              <w:t>Supporting outcome 4</w:t>
            </w:r>
          </w:p>
        </w:tc>
      </w:tr>
      <w:tr w:rsidR="005066D3" w:rsidRPr="002B7285" w14:paraId="22CA6A5B" w14:textId="77777777" w:rsidTr="001D3D1F">
        <w:tc>
          <w:tcPr>
            <w:tcW w:w="288" w:type="pct"/>
            <w:tcBorders>
              <w:top w:val="dotted" w:sz="8" w:space="0" w:color="7D7D7D" w:themeColor="text2"/>
              <w:left w:val="nil"/>
              <w:bottom w:val="dotted" w:sz="8" w:space="0" w:color="7D7D7D" w:themeColor="text2"/>
              <w:right w:val="nil"/>
            </w:tcBorders>
          </w:tcPr>
          <w:p w14:paraId="57609E47" w14:textId="77777777" w:rsidR="005066D3" w:rsidRPr="002B7285" w:rsidRDefault="005066D3" w:rsidP="001D3D1F">
            <w:pPr>
              <w:spacing w:before="40" w:after="40"/>
              <w:rPr>
                <w:rFonts w:ascii="Arial" w:hAnsi="Arial"/>
                <w:b/>
                <w:sz w:val="16"/>
                <w:szCs w:val="18"/>
              </w:rPr>
            </w:pPr>
            <w:r>
              <w:rPr>
                <w:rFonts w:ascii="Arial" w:hAnsi="Arial"/>
                <w:b/>
                <w:sz w:val="16"/>
                <w:szCs w:val="18"/>
              </w:rPr>
              <w:t>11</w:t>
            </w:r>
          </w:p>
        </w:tc>
        <w:tc>
          <w:tcPr>
            <w:tcW w:w="1572" w:type="pct"/>
            <w:tcBorders>
              <w:top w:val="dotted" w:sz="8" w:space="0" w:color="7D7D7D" w:themeColor="text2"/>
              <w:left w:val="nil"/>
              <w:bottom w:val="dotted" w:sz="8" w:space="0" w:color="7D7D7D" w:themeColor="text2"/>
              <w:right w:val="nil"/>
            </w:tcBorders>
          </w:tcPr>
          <w:p w14:paraId="30A4EE33"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Action:</w:t>
            </w:r>
            <w:r w:rsidRPr="002B7285">
              <w:rPr>
                <w:rFonts w:ascii="Arial" w:hAnsi="Arial"/>
                <w:sz w:val="16"/>
                <w:szCs w:val="18"/>
              </w:rPr>
              <w:t xml:space="preserve"> Evaluate impact of jurisdictions’ policy changes to extend statutory responsibility and access to services to young people who exit out-of-home care over the age of 18 years.</w:t>
            </w:r>
          </w:p>
        </w:tc>
        <w:tc>
          <w:tcPr>
            <w:tcW w:w="1572" w:type="pct"/>
            <w:tcBorders>
              <w:top w:val="dotted" w:sz="8" w:space="0" w:color="7D7D7D" w:themeColor="text2"/>
              <w:left w:val="nil"/>
              <w:bottom w:val="dotted" w:sz="8" w:space="0" w:color="7D7D7D" w:themeColor="text2"/>
              <w:right w:val="nil"/>
            </w:tcBorders>
          </w:tcPr>
          <w:p w14:paraId="4252DD4A" w14:textId="77777777" w:rsidR="005066D3" w:rsidRPr="00893FA9" w:rsidRDefault="005066D3" w:rsidP="001D3D1F">
            <w:pPr>
              <w:pStyle w:val="TableTextSmall"/>
            </w:pPr>
            <w:r w:rsidRPr="001D2227">
              <w:t>Improve support for young people leaving care.</w:t>
            </w:r>
          </w:p>
        </w:tc>
        <w:tc>
          <w:tcPr>
            <w:tcW w:w="1568" w:type="pct"/>
            <w:tcBorders>
              <w:top w:val="dotted" w:sz="8" w:space="0" w:color="7D7D7D" w:themeColor="text2"/>
              <w:left w:val="nil"/>
              <w:bottom w:val="dotted" w:sz="8" w:space="0" w:color="7D7D7D" w:themeColor="text2"/>
              <w:right w:val="nil"/>
            </w:tcBorders>
          </w:tcPr>
          <w:p w14:paraId="000033A8" w14:textId="77777777" w:rsidR="005066D3" w:rsidRPr="00893FA9" w:rsidRDefault="005066D3" w:rsidP="001D3D1F">
            <w:pPr>
              <w:pStyle w:val="TableTextSmall"/>
            </w:pPr>
            <w:r w:rsidRPr="00893FA9">
              <w:t>Supporting outcome 4</w:t>
            </w:r>
          </w:p>
        </w:tc>
      </w:tr>
      <w:tr w:rsidR="005066D3" w:rsidRPr="002B7285" w14:paraId="379C9194" w14:textId="77777777" w:rsidTr="001D3D1F">
        <w:tc>
          <w:tcPr>
            <w:tcW w:w="5000" w:type="pct"/>
            <w:gridSpan w:val="4"/>
            <w:tcBorders>
              <w:top w:val="dotted" w:sz="8" w:space="0" w:color="7D7D7D" w:themeColor="text2"/>
              <w:left w:val="nil"/>
              <w:bottom w:val="dotted" w:sz="8" w:space="0" w:color="7D7D7D" w:themeColor="text2"/>
              <w:right w:val="nil"/>
            </w:tcBorders>
            <w:shd w:val="clear" w:color="auto" w:fill="E5E5E5" w:themeFill="text2" w:themeFillTint="33"/>
          </w:tcPr>
          <w:p w14:paraId="4A5EF2FC" w14:textId="77777777" w:rsidR="005066D3" w:rsidRPr="002B7285" w:rsidRDefault="005066D3" w:rsidP="001D3D1F">
            <w:pPr>
              <w:spacing w:before="40" w:after="40"/>
              <w:rPr>
                <w:rFonts w:ascii="Arial" w:hAnsi="Arial"/>
                <w:b/>
                <w:i/>
                <w:sz w:val="16"/>
                <w:szCs w:val="18"/>
              </w:rPr>
            </w:pPr>
            <w:r w:rsidRPr="002B7285">
              <w:rPr>
                <w:rFonts w:ascii="Arial" w:hAnsi="Arial"/>
                <w:b/>
                <w:i/>
                <w:sz w:val="16"/>
                <w:szCs w:val="18"/>
              </w:rPr>
              <w:t>Strategy 3:</w:t>
            </w:r>
            <w:r w:rsidRPr="002B7285">
              <w:rPr>
                <w:rFonts w:ascii="Arial" w:hAnsi="Arial"/>
                <w:i/>
                <w:sz w:val="16"/>
                <w:szCs w:val="18"/>
              </w:rPr>
              <w:t xml:space="preserve">  Organisations responding better to children and young people to keep them safe</w:t>
            </w:r>
          </w:p>
        </w:tc>
      </w:tr>
      <w:tr w:rsidR="000054FD" w:rsidRPr="002B7285" w14:paraId="2833AAE1" w14:textId="77777777" w:rsidTr="001D3D1F">
        <w:tc>
          <w:tcPr>
            <w:tcW w:w="288" w:type="pct"/>
            <w:tcBorders>
              <w:top w:val="dotted" w:sz="8" w:space="0" w:color="7D7D7D" w:themeColor="text2"/>
              <w:left w:val="nil"/>
              <w:bottom w:val="dotted" w:sz="8" w:space="0" w:color="7D7D7D" w:themeColor="text2"/>
              <w:right w:val="nil"/>
            </w:tcBorders>
          </w:tcPr>
          <w:p w14:paraId="0C89A10D" w14:textId="77777777" w:rsidR="000054FD" w:rsidRPr="002B7285" w:rsidRDefault="000054FD" w:rsidP="000054FD">
            <w:pPr>
              <w:spacing w:before="40" w:after="40"/>
              <w:rPr>
                <w:rFonts w:ascii="Arial" w:hAnsi="Arial"/>
                <w:b/>
                <w:sz w:val="16"/>
                <w:szCs w:val="18"/>
              </w:rPr>
            </w:pPr>
            <w:r>
              <w:rPr>
                <w:rFonts w:ascii="Arial" w:hAnsi="Arial"/>
                <w:b/>
                <w:sz w:val="16"/>
                <w:szCs w:val="18"/>
              </w:rPr>
              <w:t>12</w:t>
            </w:r>
          </w:p>
        </w:tc>
        <w:tc>
          <w:tcPr>
            <w:tcW w:w="1572" w:type="pct"/>
            <w:tcBorders>
              <w:top w:val="dotted" w:sz="8" w:space="0" w:color="7D7D7D" w:themeColor="text2"/>
              <w:left w:val="nil"/>
              <w:bottom w:val="dotted" w:sz="8" w:space="0" w:color="7D7D7D" w:themeColor="text2"/>
              <w:right w:val="nil"/>
            </w:tcBorders>
          </w:tcPr>
          <w:p w14:paraId="16F431BD" w14:textId="77777777" w:rsidR="000054FD" w:rsidRPr="002B7285" w:rsidRDefault="000054FD" w:rsidP="000054FD">
            <w:pPr>
              <w:spacing w:before="40" w:after="40"/>
              <w:rPr>
                <w:rFonts w:ascii="Arial" w:hAnsi="Arial"/>
                <w:sz w:val="16"/>
                <w:szCs w:val="18"/>
              </w:rPr>
            </w:pPr>
            <w:r w:rsidRPr="002B7285">
              <w:rPr>
                <w:rFonts w:ascii="Arial" w:hAnsi="Arial"/>
                <w:b/>
                <w:sz w:val="16"/>
                <w:szCs w:val="18"/>
              </w:rPr>
              <w:t>Action:</w:t>
            </w:r>
            <w:r w:rsidRPr="002B7285">
              <w:rPr>
                <w:rFonts w:ascii="Arial" w:hAnsi="Arial"/>
                <w:sz w:val="16"/>
                <w:szCs w:val="18"/>
              </w:rPr>
              <w:t xml:space="preserve"> Review and implement the National Framework: Creating Safe Environments for Children — </w:t>
            </w:r>
            <w:r w:rsidRPr="002B7285">
              <w:rPr>
                <w:rFonts w:ascii="Arial" w:hAnsi="Arial"/>
                <w:sz w:val="16"/>
                <w:szCs w:val="18"/>
              </w:rPr>
              <w:lastRenderedPageBreak/>
              <w:t>Organisations, Employees and Volunteers (2005).</w:t>
            </w:r>
          </w:p>
        </w:tc>
        <w:tc>
          <w:tcPr>
            <w:tcW w:w="1572" w:type="pct"/>
            <w:tcBorders>
              <w:top w:val="dotted" w:sz="8" w:space="0" w:color="7D7D7D" w:themeColor="text2"/>
              <w:left w:val="nil"/>
              <w:bottom w:val="dotted" w:sz="8" w:space="0" w:color="7D7D7D" w:themeColor="text2"/>
              <w:right w:val="nil"/>
            </w:tcBorders>
          </w:tcPr>
          <w:p w14:paraId="3124D41C" w14:textId="77777777" w:rsidR="000054FD" w:rsidRDefault="000054FD" w:rsidP="000054FD">
            <w:pPr>
              <w:pStyle w:val="TableTextSmall"/>
            </w:pPr>
            <w:r>
              <w:lastRenderedPageBreak/>
              <w:t>Increase capacity and capability of:</w:t>
            </w:r>
          </w:p>
          <w:p w14:paraId="6CEA15B4" w14:textId="77777777" w:rsidR="000054FD" w:rsidRDefault="000054FD" w:rsidP="000054FD">
            <w:pPr>
              <w:pStyle w:val="TableTextSmall"/>
            </w:pPr>
            <w:r>
              <w:t>- adult focused services to identify and respond to the needs of children at-risk</w:t>
            </w:r>
          </w:p>
          <w:p w14:paraId="6B4F8AEE" w14:textId="77777777" w:rsidR="000054FD" w:rsidRDefault="000054FD" w:rsidP="000054FD">
            <w:pPr>
              <w:pStyle w:val="TableTextSmall"/>
            </w:pPr>
            <w:r>
              <w:lastRenderedPageBreak/>
              <w:t>- child-focused services to identify and respond to the needs of vulnerable families</w:t>
            </w:r>
          </w:p>
          <w:p w14:paraId="6591C611" w14:textId="77777777" w:rsidR="000054FD" w:rsidRDefault="000054FD" w:rsidP="000054FD">
            <w:pPr>
              <w:pStyle w:val="TableTextSmall"/>
            </w:pPr>
            <w:r>
              <w:t>- the broader system to identify children at-risk</w:t>
            </w:r>
          </w:p>
          <w:p w14:paraId="246872E3" w14:textId="77777777" w:rsidR="000054FD" w:rsidRPr="002B7285" w:rsidRDefault="000054FD" w:rsidP="000054FD">
            <w:pPr>
              <w:pStyle w:val="TableTextSmall"/>
            </w:pPr>
            <w:r w:rsidRPr="00876ED1">
              <w:t>Educate and engage the community about child abuse and neglect and strategies for protecting children</w:t>
            </w:r>
          </w:p>
        </w:tc>
        <w:tc>
          <w:tcPr>
            <w:tcW w:w="1568" w:type="pct"/>
            <w:tcBorders>
              <w:top w:val="dotted" w:sz="8" w:space="0" w:color="7D7D7D" w:themeColor="text2"/>
              <w:left w:val="nil"/>
              <w:bottom w:val="dotted" w:sz="8" w:space="0" w:color="7D7D7D" w:themeColor="text2"/>
              <w:right w:val="nil"/>
            </w:tcBorders>
          </w:tcPr>
          <w:p w14:paraId="560C39D7" w14:textId="77777777" w:rsidR="000054FD" w:rsidRDefault="000054FD" w:rsidP="000054FD">
            <w:pPr>
              <w:pStyle w:val="TableTextSmall"/>
            </w:pPr>
            <w:r>
              <w:lastRenderedPageBreak/>
              <w:t>Supporting outcome 3</w:t>
            </w:r>
          </w:p>
          <w:p w14:paraId="2E13E2F8" w14:textId="77777777" w:rsidR="000054FD" w:rsidRDefault="000054FD" w:rsidP="000054FD">
            <w:pPr>
              <w:pStyle w:val="TableTextSmall"/>
            </w:pPr>
          </w:p>
          <w:p w14:paraId="4BF71338" w14:textId="77777777" w:rsidR="000054FD" w:rsidRDefault="000054FD" w:rsidP="000054FD">
            <w:pPr>
              <w:pStyle w:val="TableTextSmall"/>
            </w:pPr>
          </w:p>
          <w:p w14:paraId="60A91DFD" w14:textId="77777777" w:rsidR="000054FD" w:rsidRDefault="000054FD" w:rsidP="000054FD">
            <w:pPr>
              <w:pStyle w:val="TableTextSmall"/>
            </w:pPr>
          </w:p>
          <w:p w14:paraId="52F05A29" w14:textId="77777777" w:rsidR="000054FD" w:rsidRDefault="000054FD" w:rsidP="000054FD">
            <w:pPr>
              <w:pStyle w:val="TableTextSmall"/>
            </w:pPr>
          </w:p>
          <w:p w14:paraId="69BFBC45" w14:textId="77777777" w:rsidR="000054FD" w:rsidRDefault="000054FD" w:rsidP="000054FD">
            <w:pPr>
              <w:pStyle w:val="TableTextSmall"/>
            </w:pPr>
          </w:p>
          <w:p w14:paraId="7BA69A0D" w14:textId="77777777" w:rsidR="000054FD" w:rsidRDefault="000054FD" w:rsidP="000054FD">
            <w:pPr>
              <w:pStyle w:val="TableTextSmall"/>
            </w:pPr>
          </w:p>
          <w:p w14:paraId="4170CFA5" w14:textId="77777777" w:rsidR="000054FD" w:rsidRDefault="000054FD" w:rsidP="000054FD">
            <w:pPr>
              <w:pStyle w:val="TableTextSmall"/>
            </w:pPr>
          </w:p>
          <w:p w14:paraId="1FDACE93" w14:textId="77777777" w:rsidR="000054FD" w:rsidRPr="002B7285" w:rsidRDefault="000054FD" w:rsidP="000054FD">
            <w:pPr>
              <w:pStyle w:val="TableTextSmall"/>
            </w:pPr>
            <w:r>
              <w:t>Supporting outcome 1</w:t>
            </w:r>
          </w:p>
        </w:tc>
      </w:tr>
      <w:tr w:rsidR="000054FD" w:rsidRPr="002B7285" w14:paraId="52DEDDB4" w14:textId="77777777" w:rsidTr="001D3D1F">
        <w:tc>
          <w:tcPr>
            <w:tcW w:w="288" w:type="pct"/>
            <w:tcBorders>
              <w:top w:val="dotted" w:sz="8" w:space="0" w:color="7D7D7D" w:themeColor="text2"/>
              <w:left w:val="nil"/>
              <w:bottom w:val="dotted" w:sz="8" w:space="0" w:color="7D7D7D" w:themeColor="text2"/>
              <w:right w:val="nil"/>
            </w:tcBorders>
          </w:tcPr>
          <w:p w14:paraId="612F4C88" w14:textId="77777777" w:rsidR="000054FD" w:rsidRPr="002B7285" w:rsidRDefault="000054FD" w:rsidP="000054FD">
            <w:pPr>
              <w:spacing w:before="40" w:after="40"/>
              <w:rPr>
                <w:rFonts w:ascii="Arial" w:hAnsi="Arial"/>
                <w:b/>
                <w:sz w:val="16"/>
                <w:szCs w:val="18"/>
              </w:rPr>
            </w:pPr>
            <w:r>
              <w:rPr>
                <w:rFonts w:ascii="Arial" w:hAnsi="Arial"/>
                <w:b/>
                <w:sz w:val="16"/>
                <w:szCs w:val="18"/>
              </w:rPr>
              <w:lastRenderedPageBreak/>
              <w:t>13</w:t>
            </w:r>
          </w:p>
        </w:tc>
        <w:tc>
          <w:tcPr>
            <w:tcW w:w="1572" w:type="pct"/>
            <w:tcBorders>
              <w:top w:val="dotted" w:sz="8" w:space="0" w:color="7D7D7D" w:themeColor="text2"/>
              <w:left w:val="nil"/>
              <w:bottom w:val="dotted" w:sz="8" w:space="0" w:color="7D7D7D" w:themeColor="text2"/>
              <w:right w:val="nil"/>
            </w:tcBorders>
          </w:tcPr>
          <w:p w14:paraId="6E97F297" w14:textId="77777777" w:rsidR="000054FD" w:rsidRPr="002B7285" w:rsidRDefault="000054FD" w:rsidP="000054FD">
            <w:pPr>
              <w:spacing w:before="40" w:after="40"/>
              <w:rPr>
                <w:rFonts w:ascii="Arial" w:hAnsi="Arial"/>
                <w:b/>
                <w:sz w:val="16"/>
                <w:szCs w:val="18"/>
              </w:rPr>
            </w:pPr>
            <w:r w:rsidRPr="002B7285">
              <w:rPr>
                <w:rFonts w:ascii="Arial" w:hAnsi="Arial"/>
                <w:b/>
                <w:sz w:val="16"/>
                <w:szCs w:val="18"/>
              </w:rPr>
              <w:t>Action:</w:t>
            </w:r>
            <w:r w:rsidRPr="002B7285">
              <w:rPr>
                <w:rFonts w:ascii="Arial" w:hAnsi="Arial"/>
                <w:sz w:val="16"/>
                <w:szCs w:val="18"/>
              </w:rPr>
              <w:t xml:space="preserve"> Strategy working group to produce a work plan to identify resources to support best practice on child-safe standards.</w:t>
            </w:r>
          </w:p>
        </w:tc>
        <w:tc>
          <w:tcPr>
            <w:tcW w:w="1572" w:type="pct"/>
            <w:tcBorders>
              <w:top w:val="dotted" w:sz="8" w:space="0" w:color="7D7D7D" w:themeColor="text2"/>
              <w:left w:val="nil"/>
              <w:bottom w:val="dotted" w:sz="8" w:space="0" w:color="7D7D7D" w:themeColor="text2"/>
              <w:right w:val="nil"/>
            </w:tcBorders>
          </w:tcPr>
          <w:p w14:paraId="56428E5B" w14:textId="2EC74C93" w:rsidR="00D17983" w:rsidRPr="00FA3E74" w:rsidRDefault="00586BEE" w:rsidP="00D17983">
            <w:pPr>
              <w:spacing w:before="40" w:after="40"/>
              <w:rPr>
                <w:rFonts w:ascii="Arial" w:hAnsi="Arial"/>
                <w:b/>
                <w:bCs/>
                <w:sz w:val="16"/>
                <w:szCs w:val="18"/>
              </w:rPr>
            </w:pPr>
            <w:r>
              <w:rPr>
                <w:rFonts w:ascii="Arial" w:hAnsi="Arial"/>
                <w:b/>
                <w:bCs/>
                <w:sz w:val="16"/>
                <w:szCs w:val="18"/>
              </w:rPr>
              <w:t>Underpinning</w:t>
            </w:r>
            <w:r w:rsidR="00D17983" w:rsidRPr="00FA3E74">
              <w:rPr>
                <w:rFonts w:ascii="Arial" w:hAnsi="Arial"/>
                <w:b/>
                <w:bCs/>
                <w:sz w:val="16"/>
                <w:szCs w:val="18"/>
              </w:rPr>
              <w:t>.</w:t>
            </w:r>
          </w:p>
          <w:p w14:paraId="525C0A81" w14:textId="00464CD2" w:rsidR="000054FD" w:rsidRDefault="00586BEE" w:rsidP="000054FD">
            <w:pPr>
              <w:pStyle w:val="TableTextSmall"/>
            </w:pPr>
            <w:r>
              <w:t>T</w:t>
            </w:r>
            <w:r w:rsidR="00D17983" w:rsidRPr="00D17983">
              <w:t xml:space="preserve">his action may support further actions in relation to supporting outcome </w:t>
            </w:r>
            <w:r w:rsidR="00D17983">
              <w:t>1</w:t>
            </w:r>
            <w:r w:rsidR="00D17983" w:rsidRPr="00D17983">
              <w:t>.</w:t>
            </w:r>
          </w:p>
        </w:tc>
        <w:tc>
          <w:tcPr>
            <w:tcW w:w="1568" w:type="pct"/>
            <w:tcBorders>
              <w:top w:val="dotted" w:sz="8" w:space="0" w:color="7D7D7D" w:themeColor="text2"/>
              <w:left w:val="nil"/>
              <w:bottom w:val="dotted" w:sz="8" w:space="0" w:color="7D7D7D" w:themeColor="text2"/>
              <w:right w:val="nil"/>
            </w:tcBorders>
          </w:tcPr>
          <w:p w14:paraId="300BE1B6" w14:textId="3F394724" w:rsidR="000054FD" w:rsidRDefault="00586BEE" w:rsidP="000054FD">
            <w:pPr>
              <w:pStyle w:val="TableTextSmall"/>
            </w:pPr>
            <w:r>
              <w:t>Aligned to supporting outcome 1</w:t>
            </w:r>
          </w:p>
        </w:tc>
      </w:tr>
      <w:tr w:rsidR="005066D3" w:rsidRPr="002B7285" w14:paraId="77770CE2" w14:textId="77777777" w:rsidTr="001D3D1F">
        <w:tc>
          <w:tcPr>
            <w:tcW w:w="288" w:type="pct"/>
            <w:tcBorders>
              <w:top w:val="dotted" w:sz="8" w:space="0" w:color="7D7D7D" w:themeColor="text2"/>
              <w:left w:val="nil"/>
              <w:bottom w:val="dotted" w:sz="8" w:space="0" w:color="7D7D7D" w:themeColor="text2"/>
              <w:right w:val="nil"/>
            </w:tcBorders>
          </w:tcPr>
          <w:p w14:paraId="4AEC3362" w14:textId="77777777" w:rsidR="005066D3" w:rsidRPr="002B7285" w:rsidRDefault="005066D3" w:rsidP="001D3D1F">
            <w:pPr>
              <w:spacing w:before="40" w:after="40"/>
              <w:rPr>
                <w:rFonts w:ascii="Arial" w:hAnsi="Arial"/>
                <w:b/>
                <w:sz w:val="16"/>
                <w:szCs w:val="18"/>
              </w:rPr>
            </w:pPr>
            <w:r>
              <w:rPr>
                <w:rFonts w:ascii="Arial" w:hAnsi="Arial"/>
                <w:b/>
                <w:sz w:val="16"/>
                <w:szCs w:val="18"/>
              </w:rPr>
              <w:t>14</w:t>
            </w:r>
          </w:p>
        </w:tc>
        <w:tc>
          <w:tcPr>
            <w:tcW w:w="1572" w:type="pct"/>
            <w:tcBorders>
              <w:top w:val="dotted" w:sz="8" w:space="0" w:color="7D7D7D" w:themeColor="text2"/>
              <w:left w:val="nil"/>
              <w:bottom w:val="dotted" w:sz="8" w:space="0" w:color="7D7D7D" w:themeColor="text2"/>
              <w:right w:val="nil"/>
            </w:tcBorders>
          </w:tcPr>
          <w:p w14:paraId="627C0D24"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Action:</w:t>
            </w:r>
            <w:r w:rsidRPr="002B7285">
              <w:rPr>
                <w:rFonts w:ascii="Arial" w:hAnsi="Arial"/>
                <w:sz w:val="16"/>
                <w:szCs w:val="18"/>
              </w:rPr>
              <w:t xml:space="preserve"> Share jurisdictional approaches to develop a best practice model of information exchange.</w:t>
            </w:r>
          </w:p>
        </w:tc>
        <w:tc>
          <w:tcPr>
            <w:tcW w:w="1572" w:type="pct"/>
            <w:tcBorders>
              <w:top w:val="dotted" w:sz="8" w:space="0" w:color="7D7D7D" w:themeColor="text2"/>
              <w:left w:val="nil"/>
              <w:bottom w:val="dotted" w:sz="8" w:space="0" w:color="7D7D7D" w:themeColor="text2"/>
              <w:right w:val="nil"/>
            </w:tcBorders>
          </w:tcPr>
          <w:p w14:paraId="4C11166A" w14:textId="77777777" w:rsidR="005066D3" w:rsidRDefault="005066D3" w:rsidP="001D3D1F">
            <w:pPr>
              <w:pStyle w:val="TableTextSmall"/>
            </w:pPr>
            <w:r w:rsidRPr="00D17AF2">
              <w:t>Develop new information sharing provisions between Commonwealth agencies, State and Territory agencies and NGOs dealing with vulnerable families</w:t>
            </w:r>
            <w:r>
              <w:t>.</w:t>
            </w:r>
          </w:p>
        </w:tc>
        <w:tc>
          <w:tcPr>
            <w:tcW w:w="1568" w:type="pct"/>
            <w:tcBorders>
              <w:top w:val="dotted" w:sz="8" w:space="0" w:color="7D7D7D" w:themeColor="text2"/>
              <w:left w:val="nil"/>
              <w:bottom w:val="dotted" w:sz="8" w:space="0" w:color="7D7D7D" w:themeColor="text2"/>
              <w:right w:val="nil"/>
            </w:tcBorders>
          </w:tcPr>
          <w:p w14:paraId="4695AF68" w14:textId="77777777" w:rsidR="005066D3" w:rsidRDefault="005066D3" w:rsidP="001D3D1F">
            <w:pPr>
              <w:pStyle w:val="TableTextSmall"/>
            </w:pPr>
            <w:r w:rsidRPr="00B10067">
              <w:t xml:space="preserve">Supporting outcome </w:t>
            </w:r>
            <w:r w:rsidR="000054FD">
              <w:t>2</w:t>
            </w:r>
          </w:p>
        </w:tc>
      </w:tr>
      <w:tr w:rsidR="005066D3" w:rsidRPr="002B7285" w14:paraId="1284A9D0" w14:textId="77777777" w:rsidTr="001D3D1F">
        <w:tc>
          <w:tcPr>
            <w:tcW w:w="5000" w:type="pct"/>
            <w:gridSpan w:val="4"/>
            <w:tcBorders>
              <w:top w:val="dotted" w:sz="8" w:space="0" w:color="7D7D7D" w:themeColor="text2"/>
              <w:left w:val="nil"/>
              <w:bottom w:val="dotted" w:sz="8" w:space="0" w:color="7D7D7D" w:themeColor="text2"/>
              <w:right w:val="nil"/>
            </w:tcBorders>
            <w:shd w:val="clear" w:color="auto" w:fill="E5E5E5" w:themeFill="text2" w:themeFillTint="33"/>
          </w:tcPr>
          <w:p w14:paraId="2D362DB8" w14:textId="77777777" w:rsidR="005066D3" w:rsidRPr="002B7285" w:rsidRDefault="005066D3" w:rsidP="001D3D1F">
            <w:pPr>
              <w:spacing w:before="40" w:after="40"/>
              <w:rPr>
                <w:rFonts w:ascii="Arial" w:hAnsi="Arial"/>
                <w:b/>
                <w:i/>
                <w:sz w:val="16"/>
                <w:szCs w:val="18"/>
              </w:rPr>
            </w:pPr>
            <w:r w:rsidRPr="002B7285">
              <w:rPr>
                <w:rFonts w:ascii="Arial" w:hAnsi="Arial"/>
                <w:b/>
                <w:i/>
                <w:sz w:val="16"/>
                <w:szCs w:val="18"/>
              </w:rPr>
              <w:t xml:space="preserve">Cross- cutting focus area – </w:t>
            </w:r>
            <w:r w:rsidRPr="002B7285">
              <w:rPr>
                <w:rFonts w:ascii="Arial" w:hAnsi="Arial"/>
                <w:i/>
                <w:sz w:val="16"/>
                <w:szCs w:val="18"/>
              </w:rPr>
              <w:t>Research and reporting under the Third Action Plan</w:t>
            </w:r>
          </w:p>
        </w:tc>
      </w:tr>
      <w:tr w:rsidR="005066D3" w:rsidRPr="002B7285" w14:paraId="292C4D07" w14:textId="77777777" w:rsidTr="001D3D1F">
        <w:tc>
          <w:tcPr>
            <w:tcW w:w="288" w:type="pct"/>
            <w:tcBorders>
              <w:top w:val="dotted" w:sz="8" w:space="0" w:color="7D7D7D" w:themeColor="text2"/>
              <w:left w:val="nil"/>
              <w:bottom w:val="dotted" w:sz="8" w:space="0" w:color="7D7D7D" w:themeColor="text2"/>
              <w:right w:val="nil"/>
            </w:tcBorders>
          </w:tcPr>
          <w:p w14:paraId="06734C5C" w14:textId="77777777" w:rsidR="005066D3" w:rsidRPr="002B7285" w:rsidRDefault="005066D3" w:rsidP="001D3D1F">
            <w:pPr>
              <w:spacing w:before="40" w:after="40"/>
              <w:rPr>
                <w:rFonts w:ascii="Arial" w:hAnsi="Arial"/>
                <w:b/>
                <w:sz w:val="16"/>
                <w:szCs w:val="18"/>
              </w:rPr>
            </w:pPr>
            <w:r>
              <w:rPr>
                <w:rFonts w:ascii="Arial" w:hAnsi="Arial"/>
                <w:b/>
                <w:sz w:val="16"/>
                <w:szCs w:val="18"/>
              </w:rPr>
              <w:t>15</w:t>
            </w:r>
          </w:p>
        </w:tc>
        <w:tc>
          <w:tcPr>
            <w:tcW w:w="1572" w:type="pct"/>
            <w:tcBorders>
              <w:top w:val="dotted" w:sz="8" w:space="0" w:color="7D7D7D" w:themeColor="text2"/>
              <w:left w:val="nil"/>
              <w:bottom w:val="dotted" w:sz="8" w:space="0" w:color="7D7D7D" w:themeColor="text2"/>
              <w:right w:val="nil"/>
            </w:tcBorders>
          </w:tcPr>
          <w:p w14:paraId="104516F4"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 xml:space="preserve">Action: </w:t>
            </w:r>
            <w:r w:rsidRPr="002B7285">
              <w:rPr>
                <w:rFonts w:ascii="Arial" w:hAnsi="Arial"/>
                <w:sz w:val="16"/>
                <w:szCs w:val="18"/>
              </w:rPr>
              <w:t>Explore capacity to develop targets and progress markers for Third Action Plan to measure progress, and if viable, identify appropriate targets and markers, to assist with reporting by June 2016.</w:t>
            </w:r>
          </w:p>
        </w:tc>
        <w:tc>
          <w:tcPr>
            <w:tcW w:w="1572" w:type="pct"/>
            <w:tcBorders>
              <w:top w:val="dotted" w:sz="8" w:space="0" w:color="7D7D7D" w:themeColor="text2"/>
              <w:left w:val="nil"/>
              <w:bottom w:val="dotted" w:sz="8" w:space="0" w:color="7D7D7D" w:themeColor="text2"/>
              <w:right w:val="nil"/>
            </w:tcBorders>
          </w:tcPr>
          <w:p w14:paraId="458E4497" w14:textId="58F9C67B" w:rsidR="005066D3" w:rsidRDefault="00586BEE" w:rsidP="001D3D1F">
            <w:pPr>
              <w:pStyle w:val="TableTextSmall"/>
              <w:rPr>
                <w:b/>
              </w:rPr>
            </w:pPr>
            <w:r>
              <w:rPr>
                <w:b/>
              </w:rPr>
              <w:t>Underpinning</w:t>
            </w:r>
            <w:r w:rsidR="000054FD">
              <w:rPr>
                <w:b/>
              </w:rPr>
              <w:t>.</w:t>
            </w:r>
          </w:p>
          <w:p w14:paraId="7DEA264D" w14:textId="6DAEB076" w:rsidR="000054FD" w:rsidRPr="00FA3E74" w:rsidRDefault="00586BEE" w:rsidP="001D3D1F">
            <w:pPr>
              <w:pStyle w:val="TableTextSmall"/>
              <w:rPr>
                <w:bCs/>
              </w:rPr>
            </w:pPr>
            <w:r>
              <w:rPr>
                <w:bCs/>
              </w:rPr>
              <w:t>This</w:t>
            </w:r>
            <w:r w:rsidR="000054FD" w:rsidRPr="000054FD">
              <w:rPr>
                <w:bCs/>
              </w:rPr>
              <w:t xml:space="preserve"> action may support further actions in relation to the National Framework</w:t>
            </w:r>
            <w:r>
              <w:rPr>
                <w:bCs/>
              </w:rPr>
              <w:t>.</w:t>
            </w:r>
            <w:r w:rsidR="000054FD" w:rsidRPr="000054FD">
              <w:rPr>
                <w:bCs/>
              </w:rPr>
              <w:t>.</w:t>
            </w:r>
          </w:p>
        </w:tc>
        <w:tc>
          <w:tcPr>
            <w:tcW w:w="1568" w:type="pct"/>
            <w:tcBorders>
              <w:top w:val="dotted" w:sz="8" w:space="0" w:color="7D7D7D" w:themeColor="text2"/>
              <w:left w:val="nil"/>
              <w:bottom w:val="dotted" w:sz="8" w:space="0" w:color="7D7D7D" w:themeColor="text2"/>
              <w:right w:val="nil"/>
            </w:tcBorders>
          </w:tcPr>
          <w:p w14:paraId="1ACC42D3" w14:textId="77777777" w:rsidR="005066D3" w:rsidRPr="002B7285" w:rsidRDefault="005066D3" w:rsidP="001D3D1F">
            <w:pPr>
              <w:pStyle w:val="TableTextSmall"/>
            </w:pPr>
          </w:p>
        </w:tc>
      </w:tr>
      <w:tr w:rsidR="000054FD" w:rsidRPr="002B7285" w14:paraId="4DF642C0" w14:textId="77777777" w:rsidTr="001D3D1F">
        <w:tc>
          <w:tcPr>
            <w:tcW w:w="288" w:type="pct"/>
            <w:tcBorders>
              <w:top w:val="dotted" w:sz="8" w:space="0" w:color="7D7D7D" w:themeColor="text2"/>
              <w:left w:val="nil"/>
              <w:bottom w:val="dotted" w:sz="4" w:space="0" w:color="7D7D7D" w:themeColor="text2"/>
              <w:right w:val="nil"/>
            </w:tcBorders>
          </w:tcPr>
          <w:p w14:paraId="2393DE1C" w14:textId="77777777" w:rsidR="000054FD" w:rsidRPr="002B7285" w:rsidRDefault="000054FD" w:rsidP="000054FD">
            <w:pPr>
              <w:spacing w:before="40" w:after="40"/>
              <w:rPr>
                <w:rFonts w:ascii="Arial" w:hAnsi="Arial"/>
                <w:b/>
                <w:sz w:val="16"/>
                <w:szCs w:val="18"/>
              </w:rPr>
            </w:pPr>
            <w:r>
              <w:rPr>
                <w:rFonts w:ascii="Arial" w:hAnsi="Arial"/>
                <w:b/>
                <w:sz w:val="16"/>
                <w:szCs w:val="18"/>
              </w:rPr>
              <w:t>16</w:t>
            </w:r>
          </w:p>
        </w:tc>
        <w:tc>
          <w:tcPr>
            <w:tcW w:w="1572" w:type="pct"/>
            <w:tcBorders>
              <w:top w:val="dotted" w:sz="8" w:space="0" w:color="7D7D7D" w:themeColor="text2"/>
              <w:left w:val="nil"/>
              <w:bottom w:val="dotted" w:sz="4" w:space="0" w:color="7D7D7D" w:themeColor="text2"/>
              <w:right w:val="nil"/>
            </w:tcBorders>
          </w:tcPr>
          <w:p w14:paraId="7ABCA678" w14:textId="77777777" w:rsidR="000054FD" w:rsidRPr="002B7285" w:rsidRDefault="000054FD" w:rsidP="000054FD">
            <w:pPr>
              <w:spacing w:before="40" w:after="40"/>
              <w:rPr>
                <w:rFonts w:ascii="Arial" w:hAnsi="Arial"/>
                <w:b/>
                <w:sz w:val="16"/>
                <w:szCs w:val="18"/>
              </w:rPr>
            </w:pPr>
            <w:r w:rsidRPr="002B7285">
              <w:rPr>
                <w:rFonts w:ascii="Arial" w:hAnsi="Arial"/>
                <w:b/>
                <w:sz w:val="16"/>
                <w:szCs w:val="18"/>
              </w:rPr>
              <w:t xml:space="preserve">Action: </w:t>
            </w:r>
            <w:r w:rsidRPr="002B7285">
              <w:rPr>
                <w:rFonts w:ascii="Arial" w:hAnsi="Arial"/>
                <w:sz w:val="16"/>
                <w:szCs w:val="18"/>
              </w:rPr>
              <w:t>Examine how to continue full implementation of, and give best effect to, the National Standards for out-of-home care in light of the Senate Inquiry Into Out-of-Home Care recommendations.</w:t>
            </w:r>
          </w:p>
        </w:tc>
        <w:tc>
          <w:tcPr>
            <w:tcW w:w="1572" w:type="pct"/>
            <w:tcBorders>
              <w:top w:val="dotted" w:sz="8" w:space="0" w:color="7D7D7D" w:themeColor="text2"/>
              <w:left w:val="nil"/>
              <w:bottom w:val="dotted" w:sz="4" w:space="0" w:color="7D7D7D" w:themeColor="text2"/>
              <w:right w:val="nil"/>
            </w:tcBorders>
          </w:tcPr>
          <w:p w14:paraId="324B42AE" w14:textId="77777777" w:rsidR="000054FD" w:rsidRDefault="000054FD" w:rsidP="000054FD">
            <w:pPr>
              <w:pStyle w:val="TableTextSmall"/>
            </w:pPr>
            <w:r w:rsidRPr="00957100">
              <w:t>Improve support for young people leaving care</w:t>
            </w:r>
            <w:r>
              <w:t>.</w:t>
            </w:r>
          </w:p>
          <w:p w14:paraId="0C49D512" w14:textId="77777777" w:rsidR="000054FD" w:rsidRDefault="000054FD" w:rsidP="000054FD">
            <w:pPr>
              <w:pStyle w:val="TableTextSmall"/>
              <w:rPr>
                <w:b/>
              </w:rPr>
            </w:pPr>
            <w:r w:rsidRPr="008A422B">
              <w:rPr>
                <w:bCs/>
              </w:rPr>
              <w:t>Develop and implement effective mechanisms for involving children and young people in decisions affecting their lives</w:t>
            </w:r>
            <w:r>
              <w:rPr>
                <w:bCs/>
              </w:rPr>
              <w:t>.</w:t>
            </w:r>
          </w:p>
        </w:tc>
        <w:tc>
          <w:tcPr>
            <w:tcW w:w="1568" w:type="pct"/>
            <w:tcBorders>
              <w:top w:val="dotted" w:sz="8" w:space="0" w:color="7D7D7D" w:themeColor="text2"/>
              <w:left w:val="nil"/>
              <w:bottom w:val="dotted" w:sz="4" w:space="0" w:color="7D7D7D" w:themeColor="text2"/>
              <w:right w:val="nil"/>
            </w:tcBorders>
          </w:tcPr>
          <w:p w14:paraId="077FCE70" w14:textId="77777777" w:rsidR="000054FD" w:rsidRDefault="000054FD" w:rsidP="000054FD">
            <w:pPr>
              <w:pStyle w:val="TableTextSmall"/>
            </w:pPr>
            <w:r>
              <w:t>Supporting outcome 4</w:t>
            </w:r>
          </w:p>
          <w:p w14:paraId="4D1F4952" w14:textId="77777777" w:rsidR="000054FD" w:rsidRDefault="000054FD" w:rsidP="000054FD">
            <w:pPr>
              <w:pStyle w:val="TableTextSmall"/>
            </w:pPr>
          </w:p>
          <w:p w14:paraId="444CB631" w14:textId="77777777" w:rsidR="000054FD" w:rsidRPr="002B7285" w:rsidRDefault="000054FD" w:rsidP="000054FD">
            <w:pPr>
              <w:pStyle w:val="TableTextSmall"/>
            </w:pPr>
            <w:r>
              <w:t>Supporting outcome 1</w:t>
            </w:r>
          </w:p>
        </w:tc>
      </w:tr>
      <w:tr w:rsidR="005066D3" w:rsidRPr="002B7285" w14:paraId="396BAECA" w14:textId="77777777" w:rsidTr="001D3D1F">
        <w:tc>
          <w:tcPr>
            <w:tcW w:w="288" w:type="pct"/>
            <w:tcBorders>
              <w:top w:val="dotted" w:sz="4" w:space="0" w:color="7D7D7D" w:themeColor="text2"/>
              <w:left w:val="nil"/>
              <w:bottom w:val="single" w:sz="4" w:space="0" w:color="7D7D7D" w:themeColor="text2"/>
              <w:right w:val="nil"/>
            </w:tcBorders>
          </w:tcPr>
          <w:p w14:paraId="7B6BAE7E" w14:textId="77777777" w:rsidR="005066D3" w:rsidRPr="002B7285" w:rsidRDefault="005066D3" w:rsidP="001D3D1F">
            <w:pPr>
              <w:spacing w:before="40" w:after="40"/>
              <w:rPr>
                <w:rFonts w:ascii="Arial" w:hAnsi="Arial"/>
                <w:b/>
                <w:sz w:val="16"/>
                <w:szCs w:val="18"/>
              </w:rPr>
            </w:pPr>
            <w:r>
              <w:rPr>
                <w:rFonts w:ascii="Arial" w:hAnsi="Arial"/>
                <w:b/>
                <w:sz w:val="16"/>
                <w:szCs w:val="18"/>
              </w:rPr>
              <w:t>17</w:t>
            </w:r>
          </w:p>
        </w:tc>
        <w:tc>
          <w:tcPr>
            <w:tcW w:w="1572" w:type="pct"/>
            <w:tcBorders>
              <w:top w:val="dotted" w:sz="4" w:space="0" w:color="7D7D7D" w:themeColor="text2"/>
              <w:left w:val="nil"/>
              <w:bottom w:val="single" w:sz="4" w:space="0" w:color="7D7D7D" w:themeColor="text2"/>
              <w:right w:val="nil"/>
            </w:tcBorders>
          </w:tcPr>
          <w:p w14:paraId="6D120371"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 xml:space="preserve">Action: </w:t>
            </w:r>
            <w:r w:rsidRPr="002B7285">
              <w:rPr>
                <w:rFonts w:ascii="Arial" w:hAnsi="Arial"/>
                <w:sz w:val="16"/>
                <w:szCs w:val="18"/>
              </w:rPr>
              <w:t>Revitalise the Research Advisory Committee of the National Forum to develop a new research agenda.</w:t>
            </w:r>
          </w:p>
        </w:tc>
        <w:tc>
          <w:tcPr>
            <w:tcW w:w="1572" w:type="pct"/>
            <w:tcBorders>
              <w:top w:val="dotted" w:sz="4" w:space="0" w:color="7D7D7D" w:themeColor="text2"/>
              <w:left w:val="nil"/>
              <w:bottom w:val="single" w:sz="4" w:space="0" w:color="7D7D7D" w:themeColor="text2"/>
              <w:right w:val="nil"/>
            </w:tcBorders>
          </w:tcPr>
          <w:p w14:paraId="291B4016" w14:textId="77777777" w:rsidR="00586BEE" w:rsidRDefault="00586BEE" w:rsidP="00586BEE">
            <w:pPr>
              <w:pStyle w:val="TableTextSmall"/>
              <w:rPr>
                <w:b/>
              </w:rPr>
            </w:pPr>
            <w:r>
              <w:rPr>
                <w:b/>
              </w:rPr>
              <w:t>Underpinning.</w:t>
            </w:r>
          </w:p>
          <w:p w14:paraId="12E87C12" w14:textId="6094A6BA" w:rsidR="000054FD" w:rsidRPr="00FA3E74" w:rsidRDefault="00586BEE" w:rsidP="001D3D1F">
            <w:pPr>
              <w:pStyle w:val="TableTextSmall"/>
              <w:rPr>
                <w:bCs/>
              </w:rPr>
            </w:pPr>
            <w:r>
              <w:rPr>
                <w:bCs/>
              </w:rPr>
              <w:t>This</w:t>
            </w:r>
            <w:r w:rsidRPr="000054FD">
              <w:rPr>
                <w:bCs/>
              </w:rPr>
              <w:t xml:space="preserve"> action may support further actions in relation to the National Framework</w:t>
            </w:r>
            <w:r>
              <w:rPr>
                <w:bCs/>
              </w:rPr>
              <w:t>.</w:t>
            </w:r>
            <w:r w:rsidRPr="000054FD">
              <w:rPr>
                <w:bCs/>
              </w:rPr>
              <w:t>.</w:t>
            </w:r>
          </w:p>
        </w:tc>
        <w:tc>
          <w:tcPr>
            <w:tcW w:w="1568" w:type="pct"/>
            <w:tcBorders>
              <w:top w:val="dotted" w:sz="4" w:space="0" w:color="7D7D7D" w:themeColor="text2"/>
              <w:left w:val="nil"/>
              <w:bottom w:val="single" w:sz="4" w:space="0" w:color="7D7D7D" w:themeColor="text2"/>
              <w:right w:val="nil"/>
            </w:tcBorders>
          </w:tcPr>
          <w:p w14:paraId="7BEC75AF" w14:textId="77777777" w:rsidR="005066D3" w:rsidRPr="002B7285" w:rsidRDefault="005066D3" w:rsidP="001D3D1F">
            <w:pPr>
              <w:pStyle w:val="TableTextSmall"/>
            </w:pPr>
          </w:p>
        </w:tc>
      </w:tr>
    </w:tbl>
    <w:p w14:paraId="731D4ABB" w14:textId="77C89976" w:rsidR="005066D3" w:rsidRDefault="00D17983" w:rsidP="005066D3">
      <w:pPr>
        <w:pStyle w:val="PwCNormal"/>
        <w:rPr>
          <w:bCs/>
        </w:rPr>
      </w:pPr>
      <w:r>
        <w:fldChar w:fldCharType="begin"/>
      </w:r>
      <w:r>
        <w:instrText xml:space="preserve"> REF _Ref36562764 \h </w:instrText>
      </w:r>
      <w:r>
        <w:fldChar w:fldCharType="separate"/>
      </w:r>
      <w:r w:rsidR="00D75351">
        <w:t xml:space="preserve">Table </w:t>
      </w:r>
      <w:r w:rsidR="00D75351">
        <w:rPr>
          <w:noProof/>
        </w:rPr>
        <w:t>18</w:t>
      </w:r>
      <w:r>
        <w:fldChar w:fldCharType="end"/>
      </w:r>
      <w:r>
        <w:t xml:space="preserve"> </w:t>
      </w:r>
      <w:r w:rsidR="005066D3" w:rsidRPr="001575E6">
        <w:t xml:space="preserve">maps the </w:t>
      </w:r>
      <w:r w:rsidR="005066D3">
        <w:t>Fourth Action Plan</w:t>
      </w:r>
      <w:r w:rsidR="005066D3" w:rsidRPr="001575E6">
        <w:t xml:space="preserve"> actions against the supporting outcomes strategies and outcomes of the National Framework.</w:t>
      </w:r>
    </w:p>
    <w:p w14:paraId="45C8CF7C" w14:textId="1A550041" w:rsidR="005066D3" w:rsidRDefault="005066D3" w:rsidP="005066D3">
      <w:pPr>
        <w:pStyle w:val="Caption"/>
      </w:pPr>
      <w:bookmarkStart w:id="301" w:name="_Ref36562764"/>
      <w:r>
        <w:t xml:space="preserve">Table </w:t>
      </w:r>
      <w:fldSimple w:instr=" SEQ Table \* ARABIC ">
        <w:r w:rsidR="00D75351">
          <w:rPr>
            <w:noProof/>
          </w:rPr>
          <w:t>18</w:t>
        </w:r>
      </w:fldSimple>
      <w:bookmarkEnd w:id="301"/>
      <w:r>
        <w:t xml:space="preserve">: Fourth </w:t>
      </w:r>
      <w:r w:rsidRPr="00D367F2">
        <w:t>Action Plan actions mapped against the National Framework</w:t>
      </w:r>
    </w:p>
    <w:tbl>
      <w:tblPr>
        <w:tblStyle w:val="PwCColour"/>
        <w:tblW w:w="5000" w:type="pct"/>
        <w:tblLayout w:type="fixed"/>
        <w:tblLook w:val="04A0" w:firstRow="1" w:lastRow="0" w:firstColumn="1" w:lastColumn="0" w:noHBand="0" w:noVBand="1"/>
        <w:tblCaption w:val="Table 18: Fourth Action Plan actions mapped against the National Framework"/>
        <w:tblDescription w:val="Priority area 1: Improving outcomes for Aboriginal and Torres Strait Islander children at risk of entering, or in contact with, child protection systems&#10;1. Action: Actively implement legislation, policy and/or practice to ensure compliance with the five elements of the Aboriginal and Torres Strait Islander Child Placement Principle.&#10;Supporting outcome strategy: Ensure that Indigenous children receive culturally appropriate protection services and care&#10;Mapped to Supporting outcome: 5.&#10;&#10;2. Action: Identify and share models that have been shown to improve Aboriginal and Torres Strait Islander participation in decision-making processes for children and families at risk of entering, or in contact with, child protection systems.&#10;Supporting outcome strategy: Ensure that Indigenous children receive culturally appropriate protection services and care. Enhance access to appropriate support services for recovery where abuse or neglect has occurred. Enhance services and supports for children and families to target the most vulnerable and protect children ‘at-risk’.&#10;Mapped to Supporting outcomes: 5, 4 and 2. &#10;&#10;3. Action: Develop a nationally consistent approach to measuring the application of the five elements of the Aboriginal and Torres Strait Islander Child Placement Principle.&#10;Supporting outcome strategy: Ensure that Indigenous children receive culturally appropriate protection services and care&#10;Mapped to Supporting outcome: 5.&#10;&#10;4. Action: Develop national principles to support the investment, expansion and development of Aboriginal Community Controlled Organisations and Aboriginal and Torres Strait Islander managed services to deliver family support and child protection services.&#10;Supporting outcome strategy: Ensure that Indigenous children receive culturally appropriate protection services and care&#10;Mapped to Supporting outcome: 5.&#10;&#10;5. Action: Develop a nationally consistent and comparable approach to report on state and territory government support for Aboriginal Community Controlled Organisations and Aboriginal and Torres Strait Islander managed services to deliver family support and child protection services. &#10;Supporting outcome strategy: Support enhanced national consistency and continuous improvement in child protection services. Ensure that Indigenous children receive culturally appropriate protection services and care.&#10;Mapped to Supporting outcomes: 4 and 5.&#10;Priority Area 2: Improving prevention and early intervention through joint service planning and investment&#10;6. Action: Jointly invest in 10 disadvantaged communities across Australia to implement a place-based, collective impact initiative that focuses on interrupting the cycle of childhood vulnerability and poverty.&#10;Supporting outcome strategy Enhance services and supports for children and families to target the most vulnerable and protect children ‘at-risk’.&#10;Mapped to Supporting outcomes: 2 and 3.&#10;&#10;7. Action: Continue efforts to develop and strengthen support for young people transitioning from out-of-home care into adulthood and improve priority access to support services.&#10;Supporting outcome strategy: Provide priority access to services for children who are at serious risk of abuse and neglect. Improve support for young people leaving care&#10;Mapped to Supporting outcome: 2 and 4.&#10;&#10;8. Action: Undertake research into what works to address key drivers of entry into child protection systems&#10;Supporting outcome strategy: Support enhanced national consistency and continuous improvement in child protection services.&#10;Mapped to Supporting outcome: 4.&#10;Priority Area 3: Improving outcomes for children in out of home care by enhancing placement stability through reunification and other permanent care options&#10;9. Action: Develop a national data reporting and evaluation framework to measure permanency outcomes.&#10;Supporting outcome strategy Support enhanced national consistency and continuous improvement in child protection services.&#10;Mapped to Supporting outcome: 4.&#10;&#10;10. Action: Further promote: &#10;a) timely and consistent decision-making for permanency&#10;b) better permanency options, including consistent processes for family reunification to be explored and resolved as part of permanency planning.&#10;Supporting outcome strategy: Enhance access to appropriate support services for recovery where abuse or neglect has occurred&#10;Mapped to Supporting outcome: 4.&#10;&#10;11. Action: Develop an approach to recruitment, training and support of more permanent carers, including improving workforce capability to support carers, by state and territory and Commonwealth governments. &#10;Supporting outcome strategy: Support grandparent, foster and kinship carers to provide safe and stable care.&#10;Mapped to Supporting outcome: 4.&#10;Priority Area 4: Improving organisations’ and governments’ ability to keep children and young people safe from abuse.&#10;&#10;12. Action: Support the promotion of the National Principles for Child Safe Organisations, subject to agreement by the COAG.&#10;Supporting outcome strategy: Increase capacity and capability of:&#10;- adult focused services to identify and respond to the needs of children at-risk&#10;- child-focused services to identify and respond to the needs of vulnerable families&#10;- the broader system to identify children at-risk&#10;Educate and engage the community about child abuse and neglect and strategies for protecting children. Enhance prevention strategies for child sexual abuse.&#10;Mapped to Supporting outcomes: 3, 1 and 6.&#10;&#10;13. Action: Building on the work of the Child Protection Information Sharing Project, the states and territories will improve protocols and procedures to share child protection related information between jurisdictions, including information on the support needs of children and families in child protection systems.&#10;Supporting outcome strategy: Develop new information sharing provisions between Commonwealth agencies, State and Territory agencies and NGOs dealing with vulnerable families. Support enhanced national consistency and continuous improvement in child protection services. Enhance prevention strategies for child sexual abuse. &#10;Mapped to Supporting outcomes: 2, 4 and 6&#10;"/>
      </w:tblPr>
      <w:tblGrid>
        <w:gridCol w:w="568"/>
        <w:gridCol w:w="3098"/>
        <w:gridCol w:w="3098"/>
        <w:gridCol w:w="3091"/>
      </w:tblGrid>
      <w:tr w:rsidR="005066D3" w:rsidRPr="002B7285" w14:paraId="2F7443ED" w14:textId="77777777" w:rsidTr="001D3D1F">
        <w:trPr>
          <w:cnfStyle w:val="100000000000" w:firstRow="1" w:lastRow="0" w:firstColumn="0" w:lastColumn="0" w:oddVBand="0" w:evenVBand="0" w:oddHBand="0" w:evenHBand="0" w:firstRowFirstColumn="0" w:firstRowLastColumn="0" w:lastRowFirstColumn="0" w:lastRowLastColumn="0"/>
          <w:trHeight w:val="121"/>
        </w:trPr>
        <w:tc>
          <w:tcPr>
            <w:cnfStyle w:val="000000000100" w:firstRow="0" w:lastRow="0" w:firstColumn="0" w:lastColumn="0" w:oddVBand="0" w:evenVBand="0" w:oddHBand="0" w:evenHBand="0" w:firstRowFirstColumn="1" w:firstRowLastColumn="0" w:lastRowFirstColumn="0" w:lastRowLastColumn="0"/>
            <w:tcW w:w="288" w:type="pct"/>
            <w:vAlign w:val="center"/>
          </w:tcPr>
          <w:p w14:paraId="43CCA316" w14:textId="77777777" w:rsidR="005066D3" w:rsidRDefault="005066D3" w:rsidP="001D3D1F">
            <w:pPr>
              <w:pStyle w:val="TableColumnHeadingSmall"/>
            </w:pPr>
            <w:r>
              <w:t>No.</w:t>
            </w:r>
          </w:p>
        </w:tc>
        <w:tc>
          <w:tcPr>
            <w:tcW w:w="1572" w:type="pct"/>
            <w:vAlign w:val="center"/>
          </w:tcPr>
          <w:p w14:paraId="1C995112" w14:textId="77777777" w:rsidR="005066D3" w:rsidRPr="002B7285" w:rsidRDefault="005066D3" w:rsidP="001D3D1F">
            <w:pPr>
              <w:pStyle w:val="TableColumnHeadingSmall"/>
              <w:cnfStyle w:val="100000000000" w:firstRow="1" w:lastRow="0" w:firstColumn="0" w:lastColumn="0" w:oddVBand="0" w:evenVBand="0" w:oddHBand="0" w:evenHBand="0" w:firstRowFirstColumn="0" w:firstRowLastColumn="0" w:lastRowFirstColumn="0" w:lastRowLastColumn="0"/>
            </w:pPr>
            <w:r>
              <w:t>Action</w:t>
            </w:r>
          </w:p>
        </w:tc>
        <w:tc>
          <w:tcPr>
            <w:tcW w:w="1572" w:type="pct"/>
            <w:vAlign w:val="center"/>
          </w:tcPr>
          <w:p w14:paraId="40C7DD5B" w14:textId="77777777" w:rsidR="005066D3" w:rsidRPr="002B7285" w:rsidRDefault="005066D3" w:rsidP="001D3D1F">
            <w:pPr>
              <w:pStyle w:val="TableColumnHeadingSmall"/>
              <w:cnfStyle w:val="100000000000" w:firstRow="1" w:lastRow="0" w:firstColumn="0" w:lastColumn="0" w:oddVBand="0" w:evenVBand="0" w:oddHBand="0" w:evenHBand="0" w:firstRowFirstColumn="0" w:firstRowLastColumn="0" w:lastRowFirstColumn="0" w:lastRowLastColumn="0"/>
            </w:pPr>
            <w:r>
              <w:t>Supporting outcome strategy</w:t>
            </w:r>
          </w:p>
        </w:tc>
        <w:tc>
          <w:tcPr>
            <w:tcW w:w="1568" w:type="pct"/>
            <w:vAlign w:val="center"/>
          </w:tcPr>
          <w:p w14:paraId="4E83C047" w14:textId="77777777" w:rsidR="005066D3" w:rsidRDefault="005066D3" w:rsidP="001D3D1F">
            <w:pPr>
              <w:pStyle w:val="TableColumnHeadingSmall"/>
              <w:cnfStyle w:val="100000000000" w:firstRow="1" w:lastRow="0" w:firstColumn="0" w:lastColumn="0" w:oddVBand="0" w:evenVBand="0" w:oddHBand="0" w:evenHBand="0" w:firstRowFirstColumn="0" w:firstRowLastColumn="0" w:lastRowFirstColumn="0" w:lastRowLastColumn="0"/>
            </w:pPr>
            <w:r>
              <w:t xml:space="preserve">Supporting outcome </w:t>
            </w:r>
          </w:p>
        </w:tc>
      </w:tr>
      <w:tr w:rsidR="005066D3" w:rsidRPr="002B7285" w14:paraId="3E9249E3" w14:textId="77777777" w:rsidTr="001D3D1F">
        <w:tc>
          <w:tcPr>
            <w:tcW w:w="5000" w:type="pct"/>
            <w:gridSpan w:val="4"/>
            <w:tcBorders>
              <w:top w:val="single" w:sz="4" w:space="0" w:color="EB8C00" w:themeColor="accent4"/>
              <w:bottom w:val="dotted" w:sz="8" w:space="0" w:color="7D7D7D" w:themeColor="text2"/>
            </w:tcBorders>
            <w:shd w:val="clear" w:color="auto" w:fill="E5E5E5" w:themeFill="text2" w:themeFillTint="33"/>
          </w:tcPr>
          <w:p w14:paraId="1A5EB6AA" w14:textId="77777777" w:rsidR="005066D3" w:rsidRPr="002B7285" w:rsidRDefault="005066D3" w:rsidP="001D3D1F">
            <w:pPr>
              <w:spacing w:before="40" w:after="40"/>
              <w:rPr>
                <w:rFonts w:ascii="Arial" w:hAnsi="Arial"/>
                <w:b/>
                <w:i/>
                <w:sz w:val="16"/>
                <w:szCs w:val="18"/>
              </w:rPr>
            </w:pPr>
            <w:r w:rsidRPr="00D367F2">
              <w:rPr>
                <w:rFonts w:ascii="Arial" w:hAnsi="Arial"/>
                <w:b/>
                <w:i/>
                <w:sz w:val="16"/>
                <w:szCs w:val="18"/>
              </w:rPr>
              <w:t xml:space="preserve">Priority area 1: </w:t>
            </w:r>
            <w:r w:rsidRPr="00893FA9">
              <w:rPr>
                <w:rFonts w:ascii="Arial" w:hAnsi="Arial"/>
                <w:i/>
                <w:sz w:val="16"/>
                <w:szCs w:val="18"/>
              </w:rPr>
              <w:t>Improving outcomes for Aboriginal and Torres Strait Islander children at risk of entering, or in contact with, child protection systems</w:t>
            </w:r>
          </w:p>
        </w:tc>
      </w:tr>
      <w:tr w:rsidR="005066D3" w:rsidRPr="002B7285" w14:paraId="01A2F751" w14:textId="77777777" w:rsidTr="001D3D1F">
        <w:tc>
          <w:tcPr>
            <w:tcW w:w="288" w:type="pct"/>
            <w:tcBorders>
              <w:top w:val="dotted" w:sz="8" w:space="0" w:color="7D7D7D" w:themeColor="text2"/>
              <w:left w:val="nil"/>
              <w:bottom w:val="dotted" w:sz="8" w:space="0" w:color="7D7D7D" w:themeColor="text2"/>
              <w:right w:val="nil"/>
            </w:tcBorders>
          </w:tcPr>
          <w:p w14:paraId="0D2950CD" w14:textId="77777777" w:rsidR="005066D3" w:rsidRPr="002B7285" w:rsidRDefault="005066D3" w:rsidP="001D3D1F">
            <w:pPr>
              <w:spacing w:before="40" w:after="40"/>
              <w:rPr>
                <w:rFonts w:ascii="Arial" w:hAnsi="Arial"/>
                <w:b/>
                <w:sz w:val="16"/>
                <w:szCs w:val="18"/>
              </w:rPr>
            </w:pPr>
            <w:r>
              <w:rPr>
                <w:rFonts w:ascii="Arial" w:hAnsi="Arial"/>
                <w:b/>
                <w:sz w:val="16"/>
                <w:szCs w:val="18"/>
              </w:rPr>
              <w:t>1</w:t>
            </w:r>
          </w:p>
        </w:tc>
        <w:tc>
          <w:tcPr>
            <w:tcW w:w="1572" w:type="pct"/>
            <w:tcBorders>
              <w:top w:val="dotted" w:sz="8" w:space="0" w:color="7D7D7D" w:themeColor="text2"/>
              <w:left w:val="nil"/>
              <w:bottom w:val="dotted" w:sz="8" w:space="0" w:color="7D7D7D" w:themeColor="text2"/>
              <w:right w:val="nil"/>
            </w:tcBorders>
          </w:tcPr>
          <w:p w14:paraId="050D78F5" w14:textId="77777777" w:rsidR="005066D3" w:rsidRPr="002B7285" w:rsidRDefault="005066D3" w:rsidP="001D3D1F">
            <w:pPr>
              <w:spacing w:before="40" w:after="40"/>
              <w:rPr>
                <w:rFonts w:ascii="Arial" w:hAnsi="Arial"/>
                <w:sz w:val="16"/>
                <w:szCs w:val="18"/>
              </w:rPr>
            </w:pPr>
            <w:r w:rsidRPr="002B7285">
              <w:rPr>
                <w:rFonts w:ascii="Arial" w:hAnsi="Arial"/>
                <w:b/>
                <w:sz w:val="16"/>
                <w:szCs w:val="18"/>
              </w:rPr>
              <w:t xml:space="preserve">Action: </w:t>
            </w:r>
            <w:r w:rsidRPr="002B7285">
              <w:rPr>
                <w:rFonts w:ascii="Arial" w:hAnsi="Arial"/>
                <w:sz w:val="16"/>
                <w:szCs w:val="18"/>
              </w:rPr>
              <w:t>Actively implement legislation, policy and/or practice to ensure compliance with the five elements of the Aboriginal and Torres Strait Islander Child Placement Principle.</w:t>
            </w:r>
          </w:p>
        </w:tc>
        <w:tc>
          <w:tcPr>
            <w:tcW w:w="1572" w:type="pct"/>
            <w:tcBorders>
              <w:top w:val="dotted" w:sz="8" w:space="0" w:color="7D7D7D" w:themeColor="text2"/>
              <w:left w:val="nil"/>
              <w:bottom w:val="dotted" w:sz="8" w:space="0" w:color="7D7D7D" w:themeColor="text2"/>
              <w:right w:val="nil"/>
            </w:tcBorders>
          </w:tcPr>
          <w:p w14:paraId="70E5F01F" w14:textId="77777777" w:rsidR="005066D3" w:rsidRPr="001D2227" w:rsidRDefault="005066D3" w:rsidP="001D3D1F">
            <w:pPr>
              <w:pStyle w:val="TableBullet1Small"/>
              <w:numPr>
                <w:ilvl w:val="0"/>
                <w:numId w:val="0"/>
              </w:numPr>
            </w:pPr>
            <w:r w:rsidRPr="00D367F2">
              <w:t>Ensure that Indigenous children receive culturally appropriate protection services and care</w:t>
            </w:r>
          </w:p>
        </w:tc>
        <w:tc>
          <w:tcPr>
            <w:tcW w:w="1568" w:type="pct"/>
            <w:tcBorders>
              <w:top w:val="dotted" w:sz="8" w:space="0" w:color="7D7D7D" w:themeColor="text2"/>
              <w:left w:val="nil"/>
              <w:bottom w:val="dotted" w:sz="8" w:space="0" w:color="7D7D7D" w:themeColor="text2"/>
              <w:right w:val="nil"/>
            </w:tcBorders>
          </w:tcPr>
          <w:p w14:paraId="16886EC5" w14:textId="77777777" w:rsidR="005066D3" w:rsidRDefault="005066D3" w:rsidP="001D3D1F">
            <w:pPr>
              <w:pStyle w:val="TableTextSmall"/>
            </w:pPr>
            <w:r>
              <w:t>Supporting outcome 5</w:t>
            </w:r>
          </w:p>
          <w:p w14:paraId="4039BA0A" w14:textId="2366CA88" w:rsidR="001E154A" w:rsidRPr="002B7285" w:rsidRDefault="001E154A" w:rsidP="001D3D1F">
            <w:pPr>
              <w:pStyle w:val="TableTextSmall"/>
            </w:pPr>
          </w:p>
        </w:tc>
      </w:tr>
      <w:tr w:rsidR="005066D3" w:rsidRPr="002B7285" w14:paraId="44A77865" w14:textId="77777777" w:rsidTr="001D3D1F">
        <w:tc>
          <w:tcPr>
            <w:tcW w:w="288" w:type="pct"/>
            <w:tcBorders>
              <w:top w:val="dotted" w:sz="8" w:space="0" w:color="7D7D7D" w:themeColor="text2"/>
              <w:left w:val="nil"/>
              <w:bottom w:val="dotted" w:sz="8" w:space="0" w:color="7D7D7D" w:themeColor="text2"/>
              <w:right w:val="nil"/>
            </w:tcBorders>
          </w:tcPr>
          <w:p w14:paraId="63F67E32" w14:textId="77777777" w:rsidR="005066D3" w:rsidRPr="002B7285" w:rsidRDefault="005066D3" w:rsidP="001D3D1F">
            <w:pPr>
              <w:spacing w:before="40" w:after="40"/>
              <w:rPr>
                <w:rFonts w:ascii="Arial" w:hAnsi="Arial"/>
                <w:b/>
                <w:sz w:val="16"/>
                <w:szCs w:val="18"/>
              </w:rPr>
            </w:pPr>
            <w:r>
              <w:rPr>
                <w:rFonts w:ascii="Arial" w:hAnsi="Arial"/>
                <w:b/>
                <w:sz w:val="16"/>
                <w:szCs w:val="18"/>
              </w:rPr>
              <w:t>2</w:t>
            </w:r>
          </w:p>
        </w:tc>
        <w:tc>
          <w:tcPr>
            <w:tcW w:w="1572" w:type="pct"/>
            <w:tcBorders>
              <w:top w:val="dotted" w:sz="8" w:space="0" w:color="7D7D7D" w:themeColor="text2"/>
              <w:left w:val="nil"/>
              <w:bottom w:val="dotted" w:sz="8" w:space="0" w:color="7D7D7D" w:themeColor="text2"/>
              <w:right w:val="nil"/>
            </w:tcBorders>
          </w:tcPr>
          <w:p w14:paraId="02541E9C"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 xml:space="preserve">Action: </w:t>
            </w:r>
            <w:r w:rsidRPr="002B7285">
              <w:rPr>
                <w:rFonts w:ascii="Arial" w:hAnsi="Arial"/>
                <w:sz w:val="16"/>
                <w:szCs w:val="18"/>
              </w:rPr>
              <w:t xml:space="preserve">Identify and share models that have been shown to improve Aboriginal and Torres Strait Islander participation in decision-making processes for children and families at risk of entering, or in contact with, child protection systems. </w:t>
            </w:r>
          </w:p>
        </w:tc>
        <w:tc>
          <w:tcPr>
            <w:tcW w:w="1572" w:type="pct"/>
            <w:tcBorders>
              <w:top w:val="dotted" w:sz="8" w:space="0" w:color="7D7D7D" w:themeColor="text2"/>
              <w:left w:val="nil"/>
              <w:bottom w:val="dotted" w:sz="8" w:space="0" w:color="7D7D7D" w:themeColor="text2"/>
              <w:right w:val="nil"/>
            </w:tcBorders>
          </w:tcPr>
          <w:p w14:paraId="7026E876" w14:textId="77777777" w:rsidR="005066D3" w:rsidRDefault="005066D3" w:rsidP="001D3D1F">
            <w:pPr>
              <w:pStyle w:val="TableBullet1Small"/>
              <w:numPr>
                <w:ilvl w:val="0"/>
                <w:numId w:val="0"/>
              </w:numPr>
            </w:pPr>
            <w:r w:rsidRPr="00D367F2">
              <w:t>Ensure that Indigenous children receive culturally appropriate protection services and care</w:t>
            </w:r>
          </w:p>
          <w:p w14:paraId="1FB0F401" w14:textId="77777777" w:rsidR="00CF348B" w:rsidRDefault="00CF348B" w:rsidP="001D3D1F">
            <w:pPr>
              <w:pStyle w:val="TableBullet1Small"/>
              <w:numPr>
                <w:ilvl w:val="0"/>
                <w:numId w:val="0"/>
              </w:numPr>
            </w:pPr>
            <w:r w:rsidRPr="00CF348B">
              <w:t>Enhance access to appropriate support services for recovery where abuse or neglect has occurred</w:t>
            </w:r>
          </w:p>
          <w:p w14:paraId="628D7B97" w14:textId="77777777" w:rsidR="00CF348B" w:rsidRPr="00C74A72" w:rsidRDefault="00CF348B" w:rsidP="001D3D1F">
            <w:pPr>
              <w:pStyle w:val="TableBullet1Small"/>
              <w:numPr>
                <w:ilvl w:val="0"/>
                <w:numId w:val="0"/>
              </w:numPr>
            </w:pPr>
            <w:r w:rsidRPr="00CF348B">
              <w:t>Enhance services and supports for children and families to target the most vulnerable and protect children ‘at-risk’</w:t>
            </w:r>
          </w:p>
        </w:tc>
        <w:tc>
          <w:tcPr>
            <w:tcW w:w="1568" w:type="pct"/>
            <w:tcBorders>
              <w:top w:val="dotted" w:sz="8" w:space="0" w:color="7D7D7D" w:themeColor="text2"/>
              <w:left w:val="nil"/>
              <w:bottom w:val="dotted" w:sz="8" w:space="0" w:color="7D7D7D" w:themeColor="text2"/>
              <w:right w:val="nil"/>
            </w:tcBorders>
          </w:tcPr>
          <w:p w14:paraId="68CB36A8" w14:textId="77777777" w:rsidR="00CF348B" w:rsidRDefault="005066D3" w:rsidP="001D3D1F">
            <w:pPr>
              <w:pStyle w:val="TableTextSmall"/>
            </w:pPr>
            <w:r>
              <w:t>Supporting outcome 5</w:t>
            </w:r>
          </w:p>
          <w:p w14:paraId="56FCACF6" w14:textId="77777777" w:rsidR="00CF348B" w:rsidRDefault="00CF348B" w:rsidP="001D3D1F">
            <w:pPr>
              <w:pStyle w:val="TableTextSmall"/>
            </w:pPr>
          </w:p>
          <w:p w14:paraId="368442B8" w14:textId="77777777" w:rsidR="00CF348B" w:rsidRDefault="00CF348B" w:rsidP="001D3D1F">
            <w:pPr>
              <w:pStyle w:val="TableTextSmall"/>
            </w:pPr>
          </w:p>
          <w:p w14:paraId="0B004F29" w14:textId="77777777" w:rsidR="00CF348B" w:rsidRDefault="00CF348B" w:rsidP="001D3D1F">
            <w:pPr>
              <w:pStyle w:val="TableTextSmall"/>
            </w:pPr>
            <w:r>
              <w:t>Supporting outcome 4</w:t>
            </w:r>
          </w:p>
          <w:p w14:paraId="25E981DB" w14:textId="77777777" w:rsidR="00CF348B" w:rsidRDefault="00CF348B" w:rsidP="001D3D1F">
            <w:pPr>
              <w:pStyle w:val="TableTextSmall"/>
            </w:pPr>
          </w:p>
          <w:p w14:paraId="0A277D9D" w14:textId="77777777" w:rsidR="00CF348B" w:rsidRDefault="00CF348B" w:rsidP="001D3D1F">
            <w:pPr>
              <w:pStyle w:val="TableTextSmall"/>
            </w:pPr>
          </w:p>
          <w:p w14:paraId="280A955A" w14:textId="77777777" w:rsidR="00CF348B" w:rsidRDefault="00CF348B" w:rsidP="001D3D1F">
            <w:pPr>
              <w:pStyle w:val="TableTextSmall"/>
            </w:pPr>
            <w:r>
              <w:t xml:space="preserve">Supporting outcome 2 </w:t>
            </w:r>
          </w:p>
          <w:p w14:paraId="391062B4" w14:textId="77777777" w:rsidR="005066D3" w:rsidRDefault="005066D3" w:rsidP="001D3D1F">
            <w:pPr>
              <w:pStyle w:val="TableTextSmall"/>
            </w:pPr>
          </w:p>
        </w:tc>
      </w:tr>
      <w:tr w:rsidR="005066D3" w:rsidRPr="002B7285" w14:paraId="3D3259B0" w14:textId="77777777" w:rsidTr="001D3D1F">
        <w:tc>
          <w:tcPr>
            <w:tcW w:w="288" w:type="pct"/>
            <w:tcBorders>
              <w:top w:val="dotted" w:sz="8" w:space="0" w:color="7D7D7D" w:themeColor="text2"/>
              <w:left w:val="nil"/>
              <w:bottom w:val="dotted" w:sz="8" w:space="0" w:color="7D7D7D" w:themeColor="text2"/>
              <w:right w:val="nil"/>
            </w:tcBorders>
          </w:tcPr>
          <w:p w14:paraId="67C28ED5" w14:textId="77777777" w:rsidR="005066D3" w:rsidRDefault="005066D3" w:rsidP="001D3D1F">
            <w:pPr>
              <w:spacing w:before="40" w:after="40"/>
              <w:rPr>
                <w:rFonts w:ascii="Arial" w:hAnsi="Arial"/>
                <w:b/>
                <w:sz w:val="16"/>
                <w:szCs w:val="18"/>
              </w:rPr>
            </w:pPr>
            <w:r>
              <w:rPr>
                <w:rFonts w:ascii="Arial" w:hAnsi="Arial"/>
                <w:b/>
                <w:sz w:val="16"/>
                <w:szCs w:val="18"/>
              </w:rPr>
              <w:lastRenderedPageBreak/>
              <w:t>3</w:t>
            </w:r>
          </w:p>
        </w:tc>
        <w:tc>
          <w:tcPr>
            <w:tcW w:w="1572" w:type="pct"/>
            <w:tcBorders>
              <w:top w:val="dotted" w:sz="8" w:space="0" w:color="7D7D7D" w:themeColor="text2"/>
              <w:left w:val="nil"/>
              <w:bottom w:val="dotted" w:sz="8" w:space="0" w:color="7D7D7D" w:themeColor="text2"/>
              <w:right w:val="nil"/>
            </w:tcBorders>
          </w:tcPr>
          <w:p w14:paraId="2DEE80E9"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Action:</w:t>
            </w:r>
            <w:r w:rsidRPr="002B7285">
              <w:rPr>
                <w:rFonts w:ascii="Arial" w:hAnsi="Arial"/>
                <w:sz w:val="16"/>
                <w:szCs w:val="18"/>
              </w:rPr>
              <w:t xml:space="preserve"> Develop a nationally consistent approach to measuring the application of the five elements of the Aboriginal and Torres Strait Islander Child Placement Principle.</w:t>
            </w:r>
          </w:p>
        </w:tc>
        <w:tc>
          <w:tcPr>
            <w:tcW w:w="1572" w:type="pct"/>
            <w:tcBorders>
              <w:top w:val="dotted" w:sz="8" w:space="0" w:color="7D7D7D" w:themeColor="text2"/>
              <w:left w:val="nil"/>
              <w:bottom w:val="dotted" w:sz="8" w:space="0" w:color="7D7D7D" w:themeColor="text2"/>
              <w:right w:val="nil"/>
            </w:tcBorders>
          </w:tcPr>
          <w:p w14:paraId="31D423F7" w14:textId="77777777" w:rsidR="005066D3" w:rsidRDefault="005066D3" w:rsidP="001D3D1F">
            <w:pPr>
              <w:pStyle w:val="TableBullet1Small"/>
              <w:numPr>
                <w:ilvl w:val="0"/>
                <w:numId w:val="0"/>
              </w:numPr>
              <w:rPr>
                <w:b/>
              </w:rPr>
            </w:pPr>
            <w:r w:rsidRPr="00D367F2">
              <w:t>Ensure that Indigenous children receive culturally appropriate protection services and care</w:t>
            </w:r>
          </w:p>
        </w:tc>
        <w:tc>
          <w:tcPr>
            <w:tcW w:w="1568" w:type="pct"/>
            <w:tcBorders>
              <w:top w:val="dotted" w:sz="8" w:space="0" w:color="7D7D7D" w:themeColor="text2"/>
              <w:left w:val="nil"/>
              <w:bottom w:val="dotted" w:sz="8" w:space="0" w:color="7D7D7D" w:themeColor="text2"/>
              <w:right w:val="nil"/>
            </w:tcBorders>
          </w:tcPr>
          <w:p w14:paraId="327492D9" w14:textId="77777777" w:rsidR="005066D3" w:rsidRDefault="005066D3" w:rsidP="001D3D1F">
            <w:pPr>
              <w:pStyle w:val="TableTextSmall"/>
            </w:pPr>
            <w:r>
              <w:t>Supporting outcome 5</w:t>
            </w:r>
          </w:p>
        </w:tc>
      </w:tr>
      <w:tr w:rsidR="005066D3" w:rsidRPr="002B7285" w14:paraId="4AE8E6F3" w14:textId="77777777" w:rsidTr="001D3D1F">
        <w:tc>
          <w:tcPr>
            <w:tcW w:w="288" w:type="pct"/>
            <w:tcBorders>
              <w:top w:val="dotted" w:sz="8" w:space="0" w:color="7D7D7D" w:themeColor="text2"/>
              <w:left w:val="nil"/>
              <w:bottom w:val="dotted" w:sz="8" w:space="0" w:color="7D7D7D" w:themeColor="text2"/>
              <w:right w:val="nil"/>
            </w:tcBorders>
          </w:tcPr>
          <w:p w14:paraId="4FA77A05" w14:textId="77777777" w:rsidR="005066D3" w:rsidRDefault="005066D3" w:rsidP="001D3D1F">
            <w:pPr>
              <w:spacing w:before="40" w:after="40"/>
              <w:rPr>
                <w:rFonts w:ascii="Arial" w:hAnsi="Arial"/>
                <w:b/>
                <w:sz w:val="16"/>
                <w:szCs w:val="18"/>
              </w:rPr>
            </w:pPr>
            <w:r>
              <w:rPr>
                <w:rFonts w:ascii="Arial" w:hAnsi="Arial"/>
                <w:b/>
                <w:sz w:val="16"/>
                <w:szCs w:val="18"/>
              </w:rPr>
              <w:t>4</w:t>
            </w:r>
          </w:p>
        </w:tc>
        <w:tc>
          <w:tcPr>
            <w:tcW w:w="1572" w:type="pct"/>
            <w:tcBorders>
              <w:top w:val="dotted" w:sz="8" w:space="0" w:color="7D7D7D" w:themeColor="text2"/>
              <w:left w:val="nil"/>
              <w:bottom w:val="dotted" w:sz="8" w:space="0" w:color="7D7D7D" w:themeColor="text2"/>
              <w:right w:val="nil"/>
            </w:tcBorders>
          </w:tcPr>
          <w:p w14:paraId="6700FDC9"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Action:</w:t>
            </w:r>
            <w:r w:rsidRPr="002B7285">
              <w:rPr>
                <w:rFonts w:ascii="Arial" w:hAnsi="Arial"/>
                <w:sz w:val="16"/>
                <w:szCs w:val="18"/>
              </w:rPr>
              <w:t xml:space="preserve"> Develop national principles to support the investment, expansion and development of Aboriginal Community Controlled Organisations and Aboriginal and Torres Strait Islander managed services to deliver family support and child protection services. </w:t>
            </w:r>
          </w:p>
        </w:tc>
        <w:tc>
          <w:tcPr>
            <w:tcW w:w="1572" w:type="pct"/>
            <w:tcBorders>
              <w:top w:val="dotted" w:sz="8" w:space="0" w:color="7D7D7D" w:themeColor="text2"/>
              <w:left w:val="nil"/>
              <w:bottom w:val="dotted" w:sz="8" w:space="0" w:color="7D7D7D" w:themeColor="text2"/>
              <w:right w:val="nil"/>
            </w:tcBorders>
          </w:tcPr>
          <w:p w14:paraId="2C14FE68" w14:textId="77777777" w:rsidR="005066D3" w:rsidRDefault="005066D3" w:rsidP="001D3D1F">
            <w:pPr>
              <w:pStyle w:val="TableBullet1Small"/>
              <w:numPr>
                <w:ilvl w:val="0"/>
                <w:numId w:val="0"/>
              </w:numPr>
              <w:rPr>
                <w:b/>
              </w:rPr>
            </w:pPr>
            <w:r w:rsidRPr="00D367F2">
              <w:t>Ensure that Indigenous children receive culturally appropriate protection services and care</w:t>
            </w:r>
          </w:p>
        </w:tc>
        <w:tc>
          <w:tcPr>
            <w:tcW w:w="1568" w:type="pct"/>
            <w:tcBorders>
              <w:top w:val="dotted" w:sz="8" w:space="0" w:color="7D7D7D" w:themeColor="text2"/>
              <w:left w:val="nil"/>
              <w:bottom w:val="dotted" w:sz="8" w:space="0" w:color="7D7D7D" w:themeColor="text2"/>
              <w:right w:val="nil"/>
            </w:tcBorders>
          </w:tcPr>
          <w:p w14:paraId="3C70B552" w14:textId="77777777" w:rsidR="005066D3" w:rsidRDefault="005066D3" w:rsidP="001D3D1F">
            <w:pPr>
              <w:pStyle w:val="TableTextSmall"/>
            </w:pPr>
            <w:r>
              <w:t>Supporting outcome 5</w:t>
            </w:r>
          </w:p>
        </w:tc>
      </w:tr>
      <w:tr w:rsidR="00CF348B" w:rsidRPr="002B7285" w14:paraId="05DE5208" w14:textId="77777777" w:rsidTr="001D3D1F">
        <w:tc>
          <w:tcPr>
            <w:tcW w:w="288" w:type="pct"/>
            <w:tcBorders>
              <w:top w:val="dotted" w:sz="8" w:space="0" w:color="7D7D7D" w:themeColor="text2"/>
              <w:left w:val="nil"/>
              <w:bottom w:val="dotted" w:sz="8" w:space="0" w:color="7D7D7D" w:themeColor="text2"/>
              <w:right w:val="nil"/>
            </w:tcBorders>
          </w:tcPr>
          <w:p w14:paraId="63F0E226" w14:textId="77777777" w:rsidR="00CF348B" w:rsidRDefault="00CF348B" w:rsidP="00CF348B">
            <w:pPr>
              <w:spacing w:before="40" w:after="40"/>
              <w:rPr>
                <w:rFonts w:ascii="Arial" w:hAnsi="Arial"/>
                <w:b/>
                <w:sz w:val="16"/>
                <w:szCs w:val="18"/>
              </w:rPr>
            </w:pPr>
            <w:r>
              <w:rPr>
                <w:rFonts w:ascii="Arial" w:hAnsi="Arial"/>
                <w:b/>
                <w:sz w:val="16"/>
                <w:szCs w:val="18"/>
              </w:rPr>
              <w:t>5</w:t>
            </w:r>
          </w:p>
        </w:tc>
        <w:tc>
          <w:tcPr>
            <w:tcW w:w="1572" w:type="pct"/>
            <w:tcBorders>
              <w:top w:val="dotted" w:sz="8" w:space="0" w:color="7D7D7D" w:themeColor="text2"/>
              <w:left w:val="nil"/>
              <w:bottom w:val="dotted" w:sz="8" w:space="0" w:color="7D7D7D" w:themeColor="text2"/>
              <w:right w:val="nil"/>
            </w:tcBorders>
          </w:tcPr>
          <w:p w14:paraId="2B20BEE5" w14:textId="77777777" w:rsidR="00CF348B" w:rsidRPr="00CF348B" w:rsidRDefault="00CF348B" w:rsidP="00CF348B">
            <w:pPr>
              <w:spacing w:before="40" w:after="40"/>
              <w:rPr>
                <w:rFonts w:ascii="Arial" w:hAnsi="Arial"/>
                <w:b/>
                <w:sz w:val="16"/>
                <w:szCs w:val="18"/>
              </w:rPr>
            </w:pPr>
            <w:r w:rsidRPr="00FA3E74">
              <w:rPr>
                <w:rFonts w:ascii="Arial" w:hAnsi="Arial"/>
                <w:b/>
                <w:sz w:val="16"/>
                <w:szCs w:val="18"/>
              </w:rPr>
              <w:t>Action:</w:t>
            </w:r>
            <w:r w:rsidRPr="00FA3E74">
              <w:rPr>
                <w:rFonts w:ascii="Arial" w:hAnsi="Arial"/>
                <w:sz w:val="16"/>
                <w:szCs w:val="18"/>
              </w:rPr>
              <w:t xml:space="preserve"> Develop a nationally consistent and comparable approach to report on state and territory government support for Aboriginal Community Controlled Organisations and Aboriginal and Torres Strait Islander managed services to deliver family support and child protection services.</w:t>
            </w:r>
          </w:p>
        </w:tc>
        <w:tc>
          <w:tcPr>
            <w:tcW w:w="1572" w:type="pct"/>
            <w:tcBorders>
              <w:top w:val="dotted" w:sz="8" w:space="0" w:color="7D7D7D" w:themeColor="text2"/>
              <w:left w:val="nil"/>
              <w:bottom w:val="dotted" w:sz="8" w:space="0" w:color="7D7D7D" w:themeColor="text2"/>
              <w:right w:val="nil"/>
            </w:tcBorders>
          </w:tcPr>
          <w:p w14:paraId="22483108" w14:textId="77777777" w:rsidR="00CF348B" w:rsidRPr="00FA3E74" w:rsidRDefault="00CF348B" w:rsidP="00CF348B">
            <w:pPr>
              <w:pStyle w:val="TableBullet1Small"/>
              <w:numPr>
                <w:ilvl w:val="0"/>
                <w:numId w:val="0"/>
              </w:numPr>
            </w:pPr>
            <w:r w:rsidRPr="00FA3E74">
              <w:t>Support enhanced national consistency and continuous improvement in child protection services</w:t>
            </w:r>
          </w:p>
          <w:p w14:paraId="468DD194" w14:textId="77777777" w:rsidR="00CF348B" w:rsidRPr="00CF348B" w:rsidRDefault="00CF348B" w:rsidP="00CF348B">
            <w:pPr>
              <w:pStyle w:val="TableBullet1Small"/>
              <w:numPr>
                <w:ilvl w:val="0"/>
                <w:numId w:val="0"/>
              </w:numPr>
              <w:rPr>
                <w:b/>
              </w:rPr>
            </w:pPr>
            <w:r w:rsidRPr="00CF348B">
              <w:rPr>
                <w:bCs/>
              </w:rPr>
              <w:t>Ensure that Indigenous children receive culturally appropriate protection services and care</w:t>
            </w:r>
          </w:p>
        </w:tc>
        <w:tc>
          <w:tcPr>
            <w:tcW w:w="1568" w:type="pct"/>
            <w:tcBorders>
              <w:top w:val="dotted" w:sz="8" w:space="0" w:color="7D7D7D" w:themeColor="text2"/>
              <w:left w:val="nil"/>
              <w:bottom w:val="dotted" w:sz="8" w:space="0" w:color="7D7D7D" w:themeColor="text2"/>
              <w:right w:val="nil"/>
            </w:tcBorders>
          </w:tcPr>
          <w:p w14:paraId="49ADF428" w14:textId="77777777" w:rsidR="00CF348B" w:rsidRPr="00FA3E74" w:rsidRDefault="00CF348B" w:rsidP="00CF348B">
            <w:pPr>
              <w:pStyle w:val="TableTextSmall"/>
            </w:pPr>
            <w:r w:rsidRPr="00FA3E74">
              <w:t>Supporting outcome 4</w:t>
            </w:r>
          </w:p>
          <w:p w14:paraId="317C70C2" w14:textId="77777777" w:rsidR="00CF348B" w:rsidRPr="00FA3E74" w:rsidRDefault="00CF348B" w:rsidP="00CF348B">
            <w:pPr>
              <w:pStyle w:val="TableTextSmall"/>
            </w:pPr>
          </w:p>
          <w:p w14:paraId="0DFE8E3C" w14:textId="77777777" w:rsidR="00CF348B" w:rsidRPr="00FA3E74" w:rsidRDefault="00CF348B" w:rsidP="00CF348B">
            <w:pPr>
              <w:pStyle w:val="TableTextSmall"/>
            </w:pPr>
          </w:p>
          <w:p w14:paraId="79A33968" w14:textId="77777777" w:rsidR="00CF348B" w:rsidRPr="00CF348B" w:rsidRDefault="00CF348B" w:rsidP="00CF348B">
            <w:pPr>
              <w:pStyle w:val="TableTextSmall"/>
            </w:pPr>
            <w:r w:rsidRPr="00FA3E74">
              <w:t>Supporting outcome 5</w:t>
            </w:r>
          </w:p>
        </w:tc>
      </w:tr>
      <w:tr w:rsidR="005066D3" w:rsidRPr="002B7285" w14:paraId="6A9B3A53" w14:textId="77777777" w:rsidTr="001D3D1F">
        <w:tc>
          <w:tcPr>
            <w:tcW w:w="5000" w:type="pct"/>
            <w:gridSpan w:val="4"/>
            <w:tcBorders>
              <w:top w:val="dotted" w:sz="8" w:space="0" w:color="7D7D7D" w:themeColor="text2"/>
              <w:left w:val="nil"/>
              <w:bottom w:val="dotted" w:sz="8" w:space="0" w:color="7D7D7D" w:themeColor="text2"/>
              <w:right w:val="nil"/>
            </w:tcBorders>
            <w:shd w:val="clear" w:color="auto" w:fill="E5E5E5" w:themeFill="text2" w:themeFillTint="33"/>
          </w:tcPr>
          <w:p w14:paraId="3CFDAB23" w14:textId="77777777" w:rsidR="005066D3" w:rsidRPr="002B7285" w:rsidRDefault="005066D3" w:rsidP="001D3D1F">
            <w:pPr>
              <w:spacing w:before="40" w:after="40"/>
              <w:rPr>
                <w:rFonts w:ascii="Arial" w:hAnsi="Arial"/>
                <w:b/>
                <w:i/>
                <w:sz w:val="16"/>
                <w:szCs w:val="18"/>
              </w:rPr>
            </w:pPr>
            <w:r w:rsidRPr="00D367F2">
              <w:rPr>
                <w:rFonts w:ascii="Arial" w:hAnsi="Arial"/>
                <w:b/>
                <w:i/>
                <w:sz w:val="16"/>
                <w:szCs w:val="18"/>
              </w:rPr>
              <w:t xml:space="preserve">Priority Area 2: </w:t>
            </w:r>
            <w:r w:rsidRPr="00893FA9">
              <w:rPr>
                <w:rFonts w:ascii="Arial" w:hAnsi="Arial"/>
                <w:i/>
                <w:sz w:val="16"/>
                <w:szCs w:val="18"/>
              </w:rPr>
              <w:t>Improving prevention and early intervention through joint service planning and investment</w:t>
            </w:r>
          </w:p>
        </w:tc>
      </w:tr>
      <w:tr w:rsidR="005066D3" w:rsidRPr="002B7285" w14:paraId="7853BB3F" w14:textId="77777777" w:rsidTr="001D3D1F">
        <w:tc>
          <w:tcPr>
            <w:tcW w:w="288" w:type="pct"/>
            <w:tcBorders>
              <w:top w:val="dotted" w:sz="8" w:space="0" w:color="7D7D7D" w:themeColor="text2"/>
              <w:left w:val="nil"/>
              <w:bottom w:val="dotted" w:sz="8" w:space="0" w:color="7D7D7D" w:themeColor="text2"/>
              <w:right w:val="nil"/>
            </w:tcBorders>
          </w:tcPr>
          <w:p w14:paraId="60196F79" w14:textId="77777777" w:rsidR="005066D3" w:rsidRPr="002B7285" w:rsidRDefault="005066D3" w:rsidP="001D3D1F">
            <w:pPr>
              <w:spacing w:before="40" w:after="40"/>
              <w:rPr>
                <w:rFonts w:ascii="Arial" w:hAnsi="Arial"/>
                <w:b/>
                <w:sz w:val="16"/>
                <w:szCs w:val="18"/>
              </w:rPr>
            </w:pPr>
            <w:r>
              <w:rPr>
                <w:rFonts w:ascii="Arial" w:hAnsi="Arial"/>
                <w:b/>
                <w:sz w:val="16"/>
                <w:szCs w:val="18"/>
              </w:rPr>
              <w:t>6</w:t>
            </w:r>
          </w:p>
        </w:tc>
        <w:tc>
          <w:tcPr>
            <w:tcW w:w="1572" w:type="pct"/>
            <w:tcBorders>
              <w:top w:val="dotted" w:sz="8" w:space="0" w:color="7D7D7D" w:themeColor="text2"/>
              <w:left w:val="nil"/>
              <w:bottom w:val="dotted" w:sz="8" w:space="0" w:color="7D7D7D" w:themeColor="text2"/>
              <w:right w:val="nil"/>
            </w:tcBorders>
          </w:tcPr>
          <w:p w14:paraId="4AD64F52"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Action</w:t>
            </w:r>
            <w:r w:rsidRPr="002B7285">
              <w:rPr>
                <w:rFonts w:ascii="Arial" w:hAnsi="Arial"/>
                <w:sz w:val="16"/>
                <w:szCs w:val="18"/>
              </w:rPr>
              <w:t>: Jointly invest in 10 disadvantaged communities across Australia to implement a place-based, collective impact initiative that focuses on interrupting the cycle of childhood vulnerability and poverty.</w:t>
            </w:r>
          </w:p>
        </w:tc>
        <w:tc>
          <w:tcPr>
            <w:tcW w:w="1572" w:type="pct"/>
            <w:tcBorders>
              <w:top w:val="dotted" w:sz="8" w:space="0" w:color="7D7D7D" w:themeColor="text2"/>
              <w:left w:val="nil"/>
              <w:bottom w:val="dotted" w:sz="8" w:space="0" w:color="7D7D7D" w:themeColor="text2"/>
              <w:right w:val="nil"/>
            </w:tcBorders>
          </w:tcPr>
          <w:p w14:paraId="1AADD8E1" w14:textId="77777777" w:rsidR="005066D3" w:rsidRPr="001D2227" w:rsidRDefault="005066D3" w:rsidP="001D3D1F">
            <w:pPr>
              <w:pStyle w:val="TableBullet1Small"/>
              <w:numPr>
                <w:ilvl w:val="0"/>
                <w:numId w:val="0"/>
              </w:numPr>
            </w:pPr>
            <w:r w:rsidRPr="001255C6">
              <w:t>Enhance services and supports for children and families to target the most vulnerable and protect children ‘at-risk’</w:t>
            </w:r>
          </w:p>
        </w:tc>
        <w:tc>
          <w:tcPr>
            <w:tcW w:w="1568" w:type="pct"/>
            <w:tcBorders>
              <w:top w:val="dotted" w:sz="8" w:space="0" w:color="7D7D7D" w:themeColor="text2"/>
              <w:left w:val="nil"/>
              <w:bottom w:val="dotted" w:sz="8" w:space="0" w:color="7D7D7D" w:themeColor="text2"/>
              <w:right w:val="nil"/>
            </w:tcBorders>
          </w:tcPr>
          <w:p w14:paraId="1A65EC48" w14:textId="77777777" w:rsidR="005066D3" w:rsidRDefault="005066D3" w:rsidP="001D3D1F">
            <w:pPr>
              <w:pStyle w:val="TableTextSmall"/>
            </w:pPr>
            <w:r>
              <w:t>Supporting outcome 2</w:t>
            </w:r>
          </w:p>
          <w:p w14:paraId="53265701" w14:textId="77777777" w:rsidR="00CF348B" w:rsidRDefault="00CF348B" w:rsidP="001D3D1F">
            <w:pPr>
              <w:pStyle w:val="TableTextSmall"/>
            </w:pPr>
          </w:p>
          <w:p w14:paraId="00E49AD5" w14:textId="77777777" w:rsidR="00CF348B" w:rsidRDefault="00CF348B" w:rsidP="001D3D1F">
            <w:pPr>
              <w:pStyle w:val="TableTextSmall"/>
            </w:pPr>
          </w:p>
          <w:p w14:paraId="5D148C35" w14:textId="77777777" w:rsidR="00CF348B" w:rsidRPr="002B7285" w:rsidRDefault="00CF348B" w:rsidP="001D3D1F">
            <w:pPr>
              <w:pStyle w:val="TableTextSmall"/>
            </w:pPr>
            <w:r>
              <w:t>Supporting outcome 3</w:t>
            </w:r>
          </w:p>
        </w:tc>
      </w:tr>
      <w:tr w:rsidR="005066D3" w:rsidRPr="002B7285" w14:paraId="2FB61E17" w14:textId="77777777" w:rsidTr="001D3D1F">
        <w:tc>
          <w:tcPr>
            <w:tcW w:w="288" w:type="pct"/>
            <w:tcBorders>
              <w:top w:val="dotted" w:sz="8" w:space="0" w:color="7D7D7D" w:themeColor="text2"/>
              <w:left w:val="nil"/>
              <w:bottom w:val="dotted" w:sz="8" w:space="0" w:color="7D7D7D" w:themeColor="text2"/>
              <w:right w:val="nil"/>
            </w:tcBorders>
          </w:tcPr>
          <w:p w14:paraId="3F435E11" w14:textId="77777777" w:rsidR="005066D3" w:rsidRPr="002B7285" w:rsidRDefault="005066D3" w:rsidP="001D3D1F">
            <w:pPr>
              <w:spacing w:before="40" w:after="40"/>
              <w:rPr>
                <w:rFonts w:ascii="Arial" w:hAnsi="Arial"/>
                <w:b/>
                <w:sz w:val="16"/>
                <w:szCs w:val="18"/>
              </w:rPr>
            </w:pPr>
            <w:r>
              <w:rPr>
                <w:rFonts w:ascii="Arial" w:hAnsi="Arial"/>
                <w:b/>
                <w:sz w:val="16"/>
                <w:szCs w:val="18"/>
              </w:rPr>
              <w:t>7</w:t>
            </w:r>
          </w:p>
        </w:tc>
        <w:tc>
          <w:tcPr>
            <w:tcW w:w="1572" w:type="pct"/>
            <w:tcBorders>
              <w:top w:val="dotted" w:sz="8" w:space="0" w:color="7D7D7D" w:themeColor="text2"/>
              <w:left w:val="nil"/>
              <w:bottom w:val="dotted" w:sz="8" w:space="0" w:color="7D7D7D" w:themeColor="text2"/>
              <w:right w:val="nil"/>
            </w:tcBorders>
          </w:tcPr>
          <w:p w14:paraId="167C8786"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 xml:space="preserve">Action: </w:t>
            </w:r>
            <w:r w:rsidRPr="002B7285">
              <w:rPr>
                <w:rFonts w:ascii="Arial" w:hAnsi="Arial"/>
                <w:sz w:val="16"/>
                <w:szCs w:val="18"/>
              </w:rPr>
              <w:t>Continue efforts to develop and strengthen support for young people transitioning from out-of-home care into adulthood and improve priority access to support services.</w:t>
            </w:r>
          </w:p>
        </w:tc>
        <w:tc>
          <w:tcPr>
            <w:tcW w:w="1572" w:type="pct"/>
            <w:tcBorders>
              <w:top w:val="dotted" w:sz="8" w:space="0" w:color="7D7D7D" w:themeColor="text2"/>
              <w:left w:val="nil"/>
              <w:bottom w:val="dotted" w:sz="8" w:space="0" w:color="7D7D7D" w:themeColor="text2"/>
              <w:right w:val="nil"/>
            </w:tcBorders>
          </w:tcPr>
          <w:p w14:paraId="4267CEE2" w14:textId="77777777" w:rsidR="005066D3" w:rsidRDefault="005066D3" w:rsidP="001D3D1F">
            <w:pPr>
              <w:pStyle w:val="TableBullet1Small"/>
              <w:numPr>
                <w:ilvl w:val="0"/>
                <w:numId w:val="0"/>
              </w:numPr>
            </w:pPr>
            <w:r w:rsidRPr="001255C6">
              <w:t>Provide priority access to services for children who are at serious risk of abuse and neglect</w:t>
            </w:r>
          </w:p>
          <w:p w14:paraId="23789E94" w14:textId="77777777" w:rsidR="005066D3" w:rsidRPr="001D2227" w:rsidRDefault="005066D3" w:rsidP="001D3D1F">
            <w:pPr>
              <w:pStyle w:val="TableBullet1Small"/>
              <w:numPr>
                <w:ilvl w:val="0"/>
                <w:numId w:val="0"/>
              </w:numPr>
            </w:pPr>
            <w:r w:rsidRPr="001255C6">
              <w:t>Improve support for young people leaving care</w:t>
            </w:r>
          </w:p>
        </w:tc>
        <w:tc>
          <w:tcPr>
            <w:tcW w:w="1568" w:type="pct"/>
            <w:tcBorders>
              <w:top w:val="dotted" w:sz="8" w:space="0" w:color="7D7D7D" w:themeColor="text2"/>
              <w:left w:val="nil"/>
              <w:bottom w:val="dotted" w:sz="8" w:space="0" w:color="7D7D7D" w:themeColor="text2"/>
              <w:right w:val="nil"/>
            </w:tcBorders>
          </w:tcPr>
          <w:p w14:paraId="65684B83" w14:textId="77777777" w:rsidR="005066D3" w:rsidRDefault="005066D3" w:rsidP="001D3D1F">
            <w:pPr>
              <w:pStyle w:val="TableTextSmall"/>
            </w:pPr>
            <w:r>
              <w:t>Supporting outcome 2</w:t>
            </w:r>
          </w:p>
          <w:p w14:paraId="6D25BFD2" w14:textId="77777777" w:rsidR="005066D3" w:rsidRDefault="005066D3" w:rsidP="001D3D1F">
            <w:pPr>
              <w:pStyle w:val="TableTextSmall"/>
            </w:pPr>
          </w:p>
          <w:p w14:paraId="5C3CD652" w14:textId="77777777" w:rsidR="005066D3" w:rsidRDefault="005066D3" w:rsidP="001D3D1F">
            <w:pPr>
              <w:pStyle w:val="TableTextSmall"/>
            </w:pPr>
          </w:p>
          <w:p w14:paraId="24F6EB85" w14:textId="77777777" w:rsidR="005066D3" w:rsidRPr="001D2227" w:rsidRDefault="005066D3" w:rsidP="001D3D1F">
            <w:pPr>
              <w:pStyle w:val="TableTextSmall"/>
            </w:pPr>
            <w:r>
              <w:t>Supporting outcome 4</w:t>
            </w:r>
          </w:p>
        </w:tc>
      </w:tr>
      <w:tr w:rsidR="005066D3" w:rsidRPr="002B7285" w14:paraId="5A99F55B" w14:textId="77777777" w:rsidTr="001D3D1F">
        <w:tc>
          <w:tcPr>
            <w:tcW w:w="288" w:type="pct"/>
            <w:tcBorders>
              <w:top w:val="dotted" w:sz="8" w:space="0" w:color="7D7D7D" w:themeColor="text2"/>
              <w:left w:val="nil"/>
              <w:bottom w:val="dotted" w:sz="8" w:space="0" w:color="7D7D7D" w:themeColor="text2"/>
              <w:right w:val="nil"/>
            </w:tcBorders>
          </w:tcPr>
          <w:p w14:paraId="78AD2AD9" w14:textId="77777777" w:rsidR="005066D3" w:rsidRPr="002B7285" w:rsidRDefault="005066D3" w:rsidP="001D3D1F">
            <w:pPr>
              <w:spacing w:before="40" w:after="40"/>
              <w:rPr>
                <w:rFonts w:ascii="Arial" w:hAnsi="Arial"/>
                <w:b/>
                <w:sz w:val="16"/>
                <w:szCs w:val="18"/>
              </w:rPr>
            </w:pPr>
            <w:r>
              <w:rPr>
                <w:rFonts w:ascii="Arial" w:hAnsi="Arial"/>
                <w:b/>
                <w:sz w:val="16"/>
                <w:szCs w:val="18"/>
              </w:rPr>
              <w:t>8</w:t>
            </w:r>
          </w:p>
        </w:tc>
        <w:tc>
          <w:tcPr>
            <w:tcW w:w="1572" w:type="pct"/>
            <w:tcBorders>
              <w:top w:val="dotted" w:sz="8" w:space="0" w:color="7D7D7D" w:themeColor="text2"/>
              <w:left w:val="nil"/>
              <w:bottom w:val="dotted" w:sz="8" w:space="0" w:color="7D7D7D" w:themeColor="text2"/>
              <w:right w:val="nil"/>
            </w:tcBorders>
          </w:tcPr>
          <w:p w14:paraId="2651C683"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 xml:space="preserve">Action: </w:t>
            </w:r>
            <w:r w:rsidRPr="002B7285">
              <w:rPr>
                <w:rFonts w:ascii="Arial" w:hAnsi="Arial"/>
                <w:sz w:val="16"/>
                <w:szCs w:val="18"/>
              </w:rPr>
              <w:t>Undertake research into what works to address key drivers of entry into child protection systems.</w:t>
            </w:r>
          </w:p>
        </w:tc>
        <w:tc>
          <w:tcPr>
            <w:tcW w:w="1572" w:type="pct"/>
            <w:tcBorders>
              <w:top w:val="dotted" w:sz="8" w:space="0" w:color="7D7D7D" w:themeColor="text2"/>
              <w:left w:val="nil"/>
              <w:bottom w:val="dotted" w:sz="8" w:space="0" w:color="7D7D7D" w:themeColor="text2"/>
              <w:right w:val="nil"/>
            </w:tcBorders>
          </w:tcPr>
          <w:p w14:paraId="2A3956D9" w14:textId="77777777" w:rsidR="005066D3" w:rsidRPr="001D2227" w:rsidRDefault="005066D3" w:rsidP="001D3D1F">
            <w:pPr>
              <w:pStyle w:val="TableBullet1Small"/>
              <w:numPr>
                <w:ilvl w:val="0"/>
                <w:numId w:val="0"/>
              </w:numPr>
            </w:pPr>
            <w:r w:rsidRPr="001255C6">
              <w:t>Support enhanced national consistency and continuous improvement in child protection services</w:t>
            </w:r>
          </w:p>
        </w:tc>
        <w:tc>
          <w:tcPr>
            <w:tcW w:w="1568" w:type="pct"/>
            <w:tcBorders>
              <w:top w:val="dotted" w:sz="8" w:space="0" w:color="7D7D7D" w:themeColor="text2"/>
              <w:left w:val="nil"/>
              <w:bottom w:val="dotted" w:sz="8" w:space="0" w:color="7D7D7D" w:themeColor="text2"/>
              <w:right w:val="nil"/>
            </w:tcBorders>
          </w:tcPr>
          <w:p w14:paraId="74C592B4" w14:textId="77777777" w:rsidR="005066D3" w:rsidRPr="001D2227" w:rsidRDefault="005066D3" w:rsidP="001D3D1F">
            <w:pPr>
              <w:pStyle w:val="TableTextSmall"/>
            </w:pPr>
            <w:r>
              <w:t>Supporting outcome 4</w:t>
            </w:r>
          </w:p>
        </w:tc>
      </w:tr>
      <w:tr w:rsidR="005066D3" w:rsidRPr="002B7285" w14:paraId="7B90DFDC" w14:textId="77777777" w:rsidTr="001D3D1F">
        <w:tc>
          <w:tcPr>
            <w:tcW w:w="5000" w:type="pct"/>
            <w:gridSpan w:val="4"/>
            <w:tcBorders>
              <w:top w:val="dotted" w:sz="8" w:space="0" w:color="7D7D7D" w:themeColor="text2"/>
              <w:left w:val="nil"/>
              <w:bottom w:val="dotted" w:sz="8" w:space="0" w:color="7D7D7D" w:themeColor="text2"/>
              <w:right w:val="nil"/>
            </w:tcBorders>
            <w:shd w:val="clear" w:color="auto" w:fill="E5E5E5" w:themeFill="text2" w:themeFillTint="33"/>
          </w:tcPr>
          <w:p w14:paraId="5F668889" w14:textId="77777777" w:rsidR="005066D3" w:rsidRPr="002B7285" w:rsidRDefault="005066D3" w:rsidP="001D3D1F">
            <w:pPr>
              <w:spacing w:before="40" w:after="40"/>
              <w:rPr>
                <w:rFonts w:ascii="Arial" w:hAnsi="Arial"/>
                <w:b/>
                <w:i/>
                <w:sz w:val="16"/>
                <w:szCs w:val="18"/>
              </w:rPr>
            </w:pPr>
            <w:r w:rsidRPr="00D367F2">
              <w:rPr>
                <w:rFonts w:ascii="Arial" w:hAnsi="Arial"/>
                <w:b/>
                <w:i/>
                <w:sz w:val="16"/>
                <w:szCs w:val="18"/>
              </w:rPr>
              <w:t xml:space="preserve">Priority Area 3: </w:t>
            </w:r>
            <w:r w:rsidRPr="00893FA9">
              <w:rPr>
                <w:rFonts w:ascii="Arial" w:hAnsi="Arial"/>
                <w:i/>
                <w:sz w:val="16"/>
                <w:szCs w:val="18"/>
              </w:rPr>
              <w:t>Improving outcomes for children in out of home care by enhancing placement stability through reunification and other permanent care options</w:t>
            </w:r>
          </w:p>
        </w:tc>
      </w:tr>
      <w:tr w:rsidR="005066D3" w:rsidRPr="002B7285" w14:paraId="2AB383BC" w14:textId="77777777" w:rsidTr="001D3D1F">
        <w:tc>
          <w:tcPr>
            <w:tcW w:w="288" w:type="pct"/>
            <w:tcBorders>
              <w:top w:val="dotted" w:sz="8" w:space="0" w:color="7D7D7D" w:themeColor="text2"/>
              <w:left w:val="nil"/>
              <w:bottom w:val="dotted" w:sz="8" w:space="0" w:color="7D7D7D" w:themeColor="text2"/>
              <w:right w:val="nil"/>
            </w:tcBorders>
          </w:tcPr>
          <w:p w14:paraId="7FE8F0EE" w14:textId="77777777" w:rsidR="005066D3" w:rsidRPr="002B7285" w:rsidRDefault="005066D3" w:rsidP="001D3D1F">
            <w:pPr>
              <w:spacing w:before="40" w:after="40"/>
              <w:rPr>
                <w:rFonts w:ascii="Arial" w:hAnsi="Arial"/>
                <w:b/>
                <w:sz w:val="16"/>
                <w:szCs w:val="18"/>
              </w:rPr>
            </w:pPr>
            <w:r>
              <w:rPr>
                <w:rFonts w:ascii="Arial" w:hAnsi="Arial"/>
                <w:b/>
                <w:sz w:val="16"/>
                <w:szCs w:val="18"/>
              </w:rPr>
              <w:t>9</w:t>
            </w:r>
          </w:p>
        </w:tc>
        <w:tc>
          <w:tcPr>
            <w:tcW w:w="1572" w:type="pct"/>
            <w:tcBorders>
              <w:top w:val="dotted" w:sz="8" w:space="0" w:color="7D7D7D" w:themeColor="text2"/>
              <w:left w:val="nil"/>
              <w:bottom w:val="dotted" w:sz="8" w:space="0" w:color="7D7D7D" w:themeColor="text2"/>
              <w:right w:val="nil"/>
            </w:tcBorders>
          </w:tcPr>
          <w:p w14:paraId="266FDDF6"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 xml:space="preserve">Action: </w:t>
            </w:r>
            <w:r w:rsidRPr="002B7285">
              <w:rPr>
                <w:rFonts w:ascii="Arial" w:hAnsi="Arial"/>
                <w:sz w:val="16"/>
                <w:szCs w:val="18"/>
              </w:rPr>
              <w:t>Develop a national data reporting and evaluation framework to measure permanency outcomes.</w:t>
            </w:r>
          </w:p>
        </w:tc>
        <w:tc>
          <w:tcPr>
            <w:tcW w:w="1572" w:type="pct"/>
            <w:tcBorders>
              <w:top w:val="dotted" w:sz="8" w:space="0" w:color="7D7D7D" w:themeColor="text2"/>
              <w:left w:val="nil"/>
              <w:bottom w:val="dotted" w:sz="8" w:space="0" w:color="7D7D7D" w:themeColor="text2"/>
              <w:right w:val="nil"/>
            </w:tcBorders>
          </w:tcPr>
          <w:p w14:paraId="2CA2F7D1" w14:textId="77777777" w:rsidR="005066D3" w:rsidRPr="00893FA9" w:rsidRDefault="005066D3" w:rsidP="001D3D1F">
            <w:pPr>
              <w:pStyle w:val="TableBullet1Small"/>
              <w:numPr>
                <w:ilvl w:val="0"/>
                <w:numId w:val="0"/>
              </w:numPr>
            </w:pPr>
            <w:r w:rsidRPr="00893FA9">
              <w:t>Support enhanced national consistency and continuous improvement in child protection services</w:t>
            </w:r>
          </w:p>
        </w:tc>
        <w:tc>
          <w:tcPr>
            <w:tcW w:w="1568" w:type="pct"/>
            <w:tcBorders>
              <w:top w:val="dotted" w:sz="8" w:space="0" w:color="7D7D7D" w:themeColor="text2"/>
              <w:left w:val="nil"/>
              <w:bottom w:val="dotted" w:sz="8" w:space="0" w:color="7D7D7D" w:themeColor="text2"/>
              <w:right w:val="nil"/>
            </w:tcBorders>
          </w:tcPr>
          <w:p w14:paraId="0309D16A" w14:textId="77777777" w:rsidR="005066D3" w:rsidRPr="00893FA9" w:rsidRDefault="005066D3" w:rsidP="001D3D1F">
            <w:pPr>
              <w:pStyle w:val="TableBullet1Small"/>
              <w:numPr>
                <w:ilvl w:val="0"/>
                <w:numId w:val="0"/>
              </w:numPr>
            </w:pPr>
            <w:r>
              <w:t>Supporting outcome 4</w:t>
            </w:r>
          </w:p>
        </w:tc>
      </w:tr>
      <w:tr w:rsidR="005066D3" w:rsidRPr="002B7285" w14:paraId="5B54AD96" w14:textId="77777777" w:rsidTr="001D3D1F">
        <w:tc>
          <w:tcPr>
            <w:tcW w:w="288" w:type="pct"/>
            <w:tcBorders>
              <w:top w:val="dotted" w:sz="8" w:space="0" w:color="7D7D7D" w:themeColor="text2"/>
              <w:left w:val="nil"/>
              <w:bottom w:val="dotted" w:sz="8" w:space="0" w:color="7D7D7D" w:themeColor="text2"/>
              <w:right w:val="nil"/>
            </w:tcBorders>
          </w:tcPr>
          <w:p w14:paraId="43D18DEE" w14:textId="77777777" w:rsidR="005066D3" w:rsidRPr="002B7285" w:rsidRDefault="005066D3" w:rsidP="001D3D1F">
            <w:pPr>
              <w:spacing w:before="40" w:after="40"/>
              <w:rPr>
                <w:rFonts w:ascii="Arial" w:hAnsi="Arial"/>
                <w:b/>
                <w:sz w:val="16"/>
                <w:szCs w:val="18"/>
              </w:rPr>
            </w:pPr>
            <w:r>
              <w:rPr>
                <w:rFonts w:ascii="Arial" w:hAnsi="Arial"/>
                <w:b/>
                <w:sz w:val="16"/>
                <w:szCs w:val="18"/>
              </w:rPr>
              <w:t>10</w:t>
            </w:r>
          </w:p>
        </w:tc>
        <w:tc>
          <w:tcPr>
            <w:tcW w:w="1572" w:type="pct"/>
            <w:tcBorders>
              <w:top w:val="dotted" w:sz="8" w:space="0" w:color="7D7D7D" w:themeColor="text2"/>
              <w:left w:val="nil"/>
              <w:bottom w:val="dotted" w:sz="8" w:space="0" w:color="7D7D7D" w:themeColor="text2"/>
              <w:right w:val="nil"/>
            </w:tcBorders>
          </w:tcPr>
          <w:p w14:paraId="593EAAA4"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 xml:space="preserve">Action: </w:t>
            </w:r>
            <w:r w:rsidRPr="002B7285">
              <w:rPr>
                <w:rFonts w:ascii="Arial" w:hAnsi="Arial"/>
                <w:sz w:val="16"/>
                <w:szCs w:val="18"/>
              </w:rPr>
              <w:t>Further promote:</w:t>
            </w:r>
            <w:r w:rsidRPr="002B7285">
              <w:rPr>
                <w:rFonts w:ascii="Arial" w:hAnsi="Arial"/>
                <w:b/>
                <w:sz w:val="16"/>
                <w:szCs w:val="18"/>
              </w:rPr>
              <w:t xml:space="preserve"> </w:t>
            </w:r>
          </w:p>
          <w:p w14:paraId="542544D9"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a) timely and consistent decision-making for permanency</w:t>
            </w:r>
          </w:p>
          <w:p w14:paraId="34CF088F" w14:textId="77777777" w:rsidR="005066D3" w:rsidRPr="002B7285" w:rsidRDefault="005066D3" w:rsidP="001D3D1F">
            <w:pPr>
              <w:spacing w:before="40" w:after="40"/>
              <w:rPr>
                <w:rFonts w:ascii="Arial" w:hAnsi="Arial"/>
                <w:b/>
                <w:sz w:val="16"/>
                <w:szCs w:val="18"/>
              </w:rPr>
            </w:pPr>
            <w:r w:rsidRPr="002B7285">
              <w:rPr>
                <w:rFonts w:ascii="Arial" w:hAnsi="Arial"/>
                <w:sz w:val="16"/>
                <w:szCs w:val="18"/>
              </w:rPr>
              <w:t>b) better permanency options, including consistent processes for family reunification to be explored and resolved as part of permanency planning.</w:t>
            </w:r>
          </w:p>
        </w:tc>
        <w:tc>
          <w:tcPr>
            <w:tcW w:w="1572" w:type="pct"/>
            <w:tcBorders>
              <w:top w:val="dotted" w:sz="8" w:space="0" w:color="7D7D7D" w:themeColor="text2"/>
              <w:left w:val="nil"/>
              <w:bottom w:val="dotted" w:sz="8" w:space="0" w:color="7D7D7D" w:themeColor="text2"/>
              <w:right w:val="nil"/>
            </w:tcBorders>
          </w:tcPr>
          <w:p w14:paraId="0588139E" w14:textId="77777777" w:rsidR="005066D3" w:rsidRPr="00893FA9" w:rsidRDefault="005066D3" w:rsidP="001D3D1F">
            <w:pPr>
              <w:pStyle w:val="TableTextSmall"/>
            </w:pPr>
            <w:r w:rsidRPr="00893FA9">
              <w:t>Enhance access to appropriate support services for recovery where abuse or neglect has occurred</w:t>
            </w:r>
          </w:p>
        </w:tc>
        <w:tc>
          <w:tcPr>
            <w:tcW w:w="1568" w:type="pct"/>
            <w:tcBorders>
              <w:top w:val="dotted" w:sz="8" w:space="0" w:color="7D7D7D" w:themeColor="text2"/>
              <w:left w:val="nil"/>
              <w:bottom w:val="dotted" w:sz="8" w:space="0" w:color="7D7D7D" w:themeColor="text2"/>
              <w:right w:val="nil"/>
            </w:tcBorders>
          </w:tcPr>
          <w:p w14:paraId="50655AAE" w14:textId="77777777" w:rsidR="005066D3" w:rsidRPr="002B7285" w:rsidRDefault="005066D3" w:rsidP="001D3D1F">
            <w:pPr>
              <w:pStyle w:val="TableTextSmall"/>
            </w:pPr>
            <w:r>
              <w:t>Supporting outcome 4</w:t>
            </w:r>
          </w:p>
        </w:tc>
      </w:tr>
      <w:tr w:rsidR="005066D3" w:rsidRPr="002B7285" w14:paraId="54D58AE4" w14:textId="77777777" w:rsidTr="001D3D1F">
        <w:tc>
          <w:tcPr>
            <w:tcW w:w="288" w:type="pct"/>
            <w:tcBorders>
              <w:top w:val="dotted" w:sz="8" w:space="0" w:color="7D7D7D" w:themeColor="text2"/>
              <w:left w:val="nil"/>
              <w:bottom w:val="dotted" w:sz="8" w:space="0" w:color="7D7D7D" w:themeColor="text2"/>
              <w:right w:val="nil"/>
            </w:tcBorders>
          </w:tcPr>
          <w:p w14:paraId="5A942E4E" w14:textId="77777777" w:rsidR="005066D3" w:rsidRPr="002B7285" w:rsidRDefault="005066D3" w:rsidP="001D3D1F">
            <w:pPr>
              <w:spacing w:before="40" w:after="40"/>
              <w:rPr>
                <w:rFonts w:ascii="Arial" w:hAnsi="Arial"/>
                <w:b/>
                <w:sz w:val="16"/>
                <w:szCs w:val="18"/>
              </w:rPr>
            </w:pPr>
            <w:r>
              <w:rPr>
                <w:rFonts w:ascii="Arial" w:hAnsi="Arial"/>
                <w:b/>
                <w:sz w:val="16"/>
                <w:szCs w:val="18"/>
              </w:rPr>
              <w:t>11</w:t>
            </w:r>
          </w:p>
        </w:tc>
        <w:tc>
          <w:tcPr>
            <w:tcW w:w="1572" w:type="pct"/>
            <w:tcBorders>
              <w:top w:val="dotted" w:sz="8" w:space="0" w:color="7D7D7D" w:themeColor="text2"/>
              <w:left w:val="nil"/>
              <w:bottom w:val="dotted" w:sz="8" w:space="0" w:color="7D7D7D" w:themeColor="text2"/>
              <w:right w:val="nil"/>
            </w:tcBorders>
          </w:tcPr>
          <w:p w14:paraId="01C145E0"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Action:</w:t>
            </w:r>
            <w:r w:rsidRPr="002B7285">
              <w:rPr>
                <w:rFonts w:ascii="Arial" w:hAnsi="Arial"/>
                <w:sz w:val="16"/>
                <w:szCs w:val="18"/>
              </w:rPr>
              <w:t xml:space="preserve"> Develop an approach to recruitment, training and support of more permanent carers, including improving workforce capability to support carers, by state and territory and Commonwealth governments.</w:t>
            </w:r>
          </w:p>
        </w:tc>
        <w:tc>
          <w:tcPr>
            <w:tcW w:w="1572" w:type="pct"/>
            <w:tcBorders>
              <w:top w:val="dotted" w:sz="8" w:space="0" w:color="7D7D7D" w:themeColor="text2"/>
              <w:left w:val="nil"/>
              <w:bottom w:val="dotted" w:sz="8" w:space="0" w:color="7D7D7D" w:themeColor="text2"/>
              <w:right w:val="nil"/>
            </w:tcBorders>
          </w:tcPr>
          <w:p w14:paraId="6EA24630" w14:textId="77777777" w:rsidR="005066D3" w:rsidRPr="00893FA9" w:rsidRDefault="005066D3" w:rsidP="001D3D1F">
            <w:pPr>
              <w:pStyle w:val="TableTextSmall"/>
            </w:pPr>
            <w:r w:rsidRPr="00893FA9">
              <w:t>Support grandparent, foster and kinship carers to provide safe and stable care</w:t>
            </w:r>
          </w:p>
        </w:tc>
        <w:tc>
          <w:tcPr>
            <w:tcW w:w="1568" w:type="pct"/>
            <w:tcBorders>
              <w:top w:val="dotted" w:sz="8" w:space="0" w:color="7D7D7D" w:themeColor="text2"/>
              <w:left w:val="nil"/>
              <w:bottom w:val="dotted" w:sz="8" w:space="0" w:color="7D7D7D" w:themeColor="text2"/>
              <w:right w:val="nil"/>
            </w:tcBorders>
          </w:tcPr>
          <w:p w14:paraId="626B98E6" w14:textId="77777777" w:rsidR="005066D3" w:rsidRPr="001D2227" w:rsidRDefault="005066D3" w:rsidP="001D3D1F">
            <w:pPr>
              <w:pStyle w:val="TableTextSmall"/>
            </w:pPr>
            <w:r>
              <w:t>Supporting outcome 4</w:t>
            </w:r>
          </w:p>
        </w:tc>
      </w:tr>
      <w:tr w:rsidR="005066D3" w:rsidRPr="002B7285" w14:paraId="30C843FD" w14:textId="77777777" w:rsidTr="001D3D1F">
        <w:tc>
          <w:tcPr>
            <w:tcW w:w="5000" w:type="pct"/>
            <w:gridSpan w:val="4"/>
            <w:tcBorders>
              <w:top w:val="dotted" w:sz="8" w:space="0" w:color="7D7D7D" w:themeColor="text2"/>
              <w:left w:val="nil"/>
              <w:bottom w:val="dotted" w:sz="8" w:space="0" w:color="7D7D7D" w:themeColor="text2"/>
              <w:right w:val="nil"/>
            </w:tcBorders>
            <w:shd w:val="clear" w:color="auto" w:fill="E5E5E5" w:themeFill="text2" w:themeFillTint="33"/>
          </w:tcPr>
          <w:p w14:paraId="1F3E36C7" w14:textId="77777777" w:rsidR="005066D3" w:rsidRPr="002B7285" w:rsidRDefault="005066D3" w:rsidP="001D3D1F">
            <w:pPr>
              <w:spacing w:before="40" w:after="40"/>
              <w:rPr>
                <w:rFonts w:ascii="Arial" w:hAnsi="Arial"/>
                <w:b/>
                <w:i/>
                <w:sz w:val="16"/>
                <w:szCs w:val="18"/>
              </w:rPr>
            </w:pPr>
            <w:r w:rsidRPr="00D367F2">
              <w:rPr>
                <w:rFonts w:ascii="Arial" w:hAnsi="Arial"/>
                <w:b/>
                <w:i/>
                <w:sz w:val="16"/>
                <w:szCs w:val="18"/>
              </w:rPr>
              <w:t xml:space="preserve">Priority Area 4: </w:t>
            </w:r>
            <w:r w:rsidRPr="00893FA9">
              <w:rPr>
                <w:rFonts w:ascii="Arial" w:hAnsi="Arial"/>
                <w:i/>
                <w:sz w:val="16"/>
                <w:szCs w:val="18"/>
              </w:rPr>
              <w:t>Improving organisations’ and governments’ ability to keep children and young people safe from abuse.</w:t>
            </w:r>
          </w:p>
        </w:tc>
      </w:tr>
      <w:tr w:rsidR="005066D3" w:rsidRPr="002B7285" w14:paraId="581E45D5" w14:textId="77777777" w:rsidTr="001D3D1F">
        <w:tc>
          <w:tcPr>
            <w:tcW w:w="288" w:type="pct"/>
            <w:tcBorders>
              <w:top w:val="dotted" w:sz="8" w:space="0" w:color="7D7D7D" w:themeColor="text2"/>
              <w:left w:val="nil"/>
              <w:bottom w:val="dotted" w:sz="8" w:space="0" w:color="7D7D7D" w:themeColor="text2"/>
              <w:right w:val="nil"/>
            </w:tcBorders>
          </w:tcPr>
          <w:p w14:paraId="0DE516A2" w14:textId="77777777" w:rsidR="005066D3" w:rsidRPr="002B7285" w:rsidRDefault="005066D3" w:rsidP="001D3D1F">
            <w:pPr>
              <w:spacing w:before="40" w:after="40"/>
              <w:rPr>
                <w:rFonts w:ascii="Arial" w:hAnsi="Arial"/>
                <w:b/>
                <w:sz w:val="16"/>
                <w:szCs w:val="18"/>
              </w:rPr>
            </w:pPr>
            <w:r>
              <w:rPr>
                <w:rFonts w:ascii="Arial" w:hAnsi="Arial"/>
                <w:b/>
                <w:sz w:val="16"/>
                <w:szCs w:val="18"/>
              </w:rPr>
              <w:lastRenderedPageBreak/>
              <w:t>12</w:t>
            </w:r>
          </w:p>
        </w:tc>
        <w:tc>
          <w:tcPr>
            <w:tcW w:w="1572" w:type="pct"/>
            <w:tcBorders>
              <w:top w:val="dotted" w:sz="8" w:space="0" w:color="7D7D7D" w:themeColor="text2"/>
              <w:left w:val="nil"/>
              <w:bottom w:val="dotted" w:sz="8" w:space="0" w:color="7D7D7D" w:themeColor="text2"/>
              <w:right w:val="nil"/>
            </w:tcBorders>
          </w:tcPr>
          <w:p w14:paraId="28A1F089" w14:textId="77777777" w:rsidR="005066D3" w:rsidRPr="002B7285" w:rsidRDefault="005066D3" w:rsidP="001D3D1F">
            <w:pPr>
              <w:spacing w:before="40" w:after="40"/>
              <w:rPr>
                <w:rFonts w:ascii="Arial" w:hAnsi="Arial"/>
                <w:sz w:val="16"/>
                <w:szCs w:val="18"/>
              </w:rPr>
            </w:pPr>
            <w:r w:rsidRPr="002B7285">
              <w:rPr>
                <w:rFonts w:ascii="Arial" w:hAnsi="Arial"/>
                <w:b/>
                <w:sz w:val="16"/>
                <w:szCs w:val="18"/>
              </w:rPr>
              <w:t xml:space="preserve">Action: </w:t>
            </w:r>
            <w:r w:rsidRPr="002B7285">
              <w:rPr>
                <w:rFonts w:ascii="Arial" w:hAnsi="Arial"/>
                <w:sz w:val="16"/>
                <w:szCs w:val="18"/>
              </w:rPr>
              <w:t>Support the promotion of the National Principles for Child Safe Organisations, subject to agreement by the COAG.</w:t>
            </w:r>
          </w:p>
        </w:tc>
        <w:tc>
          <w:tcPr>
            <w:tcW w:w="1572" w:type="pct"/>
            <w:tcBorders>
              <w:top w:val="dotted" w:sz="8" w:space="0" w:color="7D7D7D" w:themeColor="text2"/>
              <w:left w:val="nil"/>
              <w:bottom w:val="dotted" w:sz="8" w:space="0" w:color="7D7D7D" w:themeColor="text2"/>
              <w:right w:val="nil"/>
            </w:tcBorders>
          </w:tcPr>
          <w:p w14:paraId="67958DA3" w14:textId="77777777" w:rsidR="005066D3" w:rsidRDefault="005066D3" w:rsidP="001D3D1F">
            <w:pPr>
              <w:pStyle w:val="TableTextSmall"/>
            </w:pPr>
            <w:r>
              <w:t>Increase capacity and capability of:</w:t>
            </w:r>
          </w:p>
          <w:p w14:paraId="6F678632" w14:textId="77777777" w:rsidR="005066D3" w:rsidRDefault="005066D3" w:rsidP="001D3D1F">
            <w:pPr>
              <w:pStyle w:val="TableTextSmall"/>
            </w:pPr>
            <w:r>
              <w:t>- adult focused services to identify and respond to the needs of children at-risk</w:t>
            </w:r>
          </w:p>
          <w:p w14:paraId="71942026" w14:textId="77777777" w:rsidR="005066D3" w:rsidRDefault="005066D3" w:rsidP="001D3D1F">
            <w:pPr>
              <w:pStyle w:val="TableTextSmall"/>
            </w:pPr>
            <w:r>
              <w:t>- child-focused services to identify and respond to the needs of vulnerable families</w:t>
            </w:r>
          </w:p>
          <w:p w14:paraId="5AA258E6" w14:textId="77777777" w:rsidR="005066D3" w:rsidRDefault="005066D3" w:rsidP="001D3D1F">
            <w:pPr>
              <w:pStyle w:val="TableTextSmall"/>
            </w:pPr>
            <w:r>
              <w:t>- the broader system to identify children at-risk</w:t>
            </w:r>
          </w:p>
          <w:p w14:paraId="2FAB3D37" w14:textId="77777777" w:rsidR="006B13FE" w:rsidRDefault="006B13FE" w:rsidP="001D3D1F">
            <w:pPr>
              <w:pStyle w:val="TableTextSmall"/>
            </w:pPr>
            <w:r w:rsidRPr="006B13FE">
              <w:t>Educate and engage the community about child abuse and neglect and strategies for protecting children</w:t>
            </w:r>
          </w:p>
          <w:p w14:paraId="322FEED5" w14:textId="77777777" w:rsidR="001E154A" w:rsidRDefault="001E154A" w:rsidP="001D3D1F">
            <w:pPr>
              <w:pStyle w:val="TableTextSmall"/>
            </w:pPr>
          </w:p>
          <w:p w14:paraId="21395C94" w14:textId="6C4BC776" w:rsidR="001E154A" w:rsidRPr="002B7285" w:rsidRDefault="001E154A" w:rsidP="001D3D1F">
            <w:pPr>
              <w:pStyle w:val="TableTextSmall"/>
            </w:pPr>
            <w:r>
              <w:t>Enhance prevention strategies for child sexual abuse</w:t>
            </w:r>
          </w:p>
        </w:tc>
        <w:tc>
          <w:tcPr>
            <w:tcW w:w="1568" w:type="pct"/>
            <w:tcBorders>
              <w:top w:val="dotted" w:sz="8" w:space="0" w:color="7D7D7D" w:themeColor="text2"/>
              <w:left w:val="nil"/>
              <w:bottom w:val="dotted" w:sz="8" w:space="0" w:color="7D7D7D" w:themeColor="text2"/>
              <w:right w:val="nil"/>
            </w:tcBorders>
          </w:tcPr>
          <w:p w14:paraId="30A15842" w14:textId="77777777" w:rsidR="006B13FE" w:rsidRDefault="005066D3" w:rsidP="001D3D1F">
            <w:pPr>
              <w:pStyle w:val="TableTextSmall"/>
            </w:pPr>
            <w:r>
              <w:t>Supporting outcome 3</w:t>
            </w:r>
          </w:p>
          <w:p w14:paraId="38C3A22F" w14:textId="77777777" w:rsidR="006B13FE" w:rsidRDefault="006B13FE" w:rsidP="001D3D1F">
            <w:pPr>
              <w:pStyle w:val="TableTextSmall"/>
            </w:pPr>
          </w:p>
          <w:p w14:paraId="4431C67B" w14:textId="77777777" w:rsidR="006B13FE" w:rsidRDefault="006B13FE" w:rsidP="001D3D1F">
            <w:pPr>
              <w:pStyle w:val="TableTextSmall"/>
            </w:pPr>
          </w:p>
          <w:p w14:paraId="44983B9E" w14:textId="77777777" w:rsidR="006B13FE" w:rsidRDefault="006B13FE" w:rsidP="001D3D1F">
            <w:pPr>
              <w:pStyle w:val="TableTextSmall"/>
            </w:pPr>
          </w:p>
          <w:p w14:paraId="1F33FB8F" w14:textId="77777777" w:rsidR="006B13FE" w:rsidRDefault="006B13FE" w:rsidP="001D3D1F">
            <w:pPr>
              <w:pStyle w:val="TableTextSmall"/>
            </w:pPr>
          </w:p>
          <w:p w14:paraId="28466AA7" w14:textId="77777777" w:rsidR="006B13FE" w:rsidRDefault="006B13FE" w:rsidP="001D3D1F">
            <w:pPr>
              <w:pStyle w:val="TableTextSmall"/>
            </w:pPr>
          </w:p>
          <w:p w14:paraId="30764A02" w14:textId="77777777" w:rsidR="006B13FE" w:rsidRDefault="006B13FE" w:rsidP="001D3D1F">
            <w:pPr>
              <w:pStyle w:val="TableTextSmall"/>
            </w:pPr>
          </w:p>
          <w:p w14:paraId="4501F130" w14:textId="77777777" w:rsidR="006B13FE" w:rsidRDefault="006B13FE" w:rsidP="001D3D1F">
            <w:pPr>
              <w:pStyle w:val="TableTextSmall"/>
            </w:pPr>
          </w:p>
          <w:p w14:paraId="4E1CA0B2" w14:textId="77777777" w:rsidR="005066D3" w:rsidRDefault="006B13FE" w:rsidP="001D3D1F">
            <w:pPr>
              <w:pStyle w:val="TableTextSmall"/>
            </w:pPr>
            <w:r>
              <w:t>Supporting outcome 1</w:t>
            </w:r>
          </w:p>
          <w:p w14:paraId="7426A7D7" w14:textId="77777777" w:rsidR="001E154A" w:rsidRDefault="001E154A" w:rsidP="001D3D1F">
            <w:pPr>
              <w:pStyle w:val="TableTextSmall"/>
            </w:pPr>
          </w:p>
          <w:p w14:paraId="69168457" w14:textId="77777777" w:rsidR="001E154A" w:rsidRDefault="001E154A" w:rsidP="001D3D1F">
            <w:pPr>
              <w:pStyle w:val="TableTextSmall"/>
            </w:pPr>
          </w:p>
          <w:p w14:paraId="768E9CB2" w14:textId="4FF6BE28" w:rsidR="001E154A" w:rsidRPr="002B7285" w:rsidRDefault="001E154A" w:rsidP="001D3D1F">
            <w:pPr>
              <w:pStyle w:val="TableTextSmall"/>
            </w:pPr>
            <w:r>
              <w:t>Supporting outcome 6</w:t>
            </w:r>
          </w:p>
        </w:tc>
      </w:tr>
      <w:tr w:rsidR="005066D3" w:rsidRPr="002B7285" w14:paraId="352E43A4" w14:textId="77777777" w:rsidTr="001D3D1F">
        <w:tc>
          <w:tcPr>
            <w:tcW w:w="288" w:type="pct"/>
            <w:tcBorders>
              <w:top w:val="dotted" w:sz="8" w:space="0" w:color="7D7D7D" w:themeColor="text2"/>
              <w:left w:val="nil"/>
              <w:bottom w:val="single" w:sz="4" w:space="0" w:color="7D7D7D" w:themeColor="text2"/>
              <w:right w:val="nil"/>
            </w:tcBorders>
          </w:tcPr>
          <w:p w14:paraId="1C69EF3F" w14:textId="77777777" w:rsidR="005066D3" w:rsidRPr="002B7285" w:rsidRDefault="005066D3" w:rsidP="001D3D1F">
            <w:pPr>
              <w:spacing w:before="40" w:after="40"/>
              <w:rPr>
                <w:rFonts w:ascii="Arial" w:hAnsi="Arial"/>
                <w:b/>
                <w:sz w:val="16"/>
                <w:szCs w:val="18"/>
              </w:rPr>
            </w:pPr>
            <w:r>
              <w:rPr>
                <w:rFonts w:ascii="Arial" w:hAnsi="Arial"/>
                <w:b/>
                <w:sz w:val="16"/>
                <w:szCs w:val="18"/>
              </w:rPr>
              <w:t>13</w:t>
            </w:r>
          </w:p>
        </w:tc>
        <w:tc>
          <w:tcPr>
            <w:tcW w:w="1572" w:type="pct"/>
            <w:tcBorders>
              <w:top w:val="dotted" w:sz="8" w:space="0" w:color="7D7D7D" w:themeColor="text2"/>
              <w:left w:val="nil"/>
              <w:bottom w:val="single" w:sz="4" w:space="0" w:color="7D7D7D" w:themeColor="text2"/>
              <w:right w:val="nil"/>
            </w:tcBorders>
          </w:tcPr>
          <w:p w14:paraId="270C08D3"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Action:</w:t>
            </w:r>
            <w:r w:rsidRPr="002B7285">
              <w:rPr>
                <w:rFonts w:ascii="Arial" w:hAnsi="Arial"/>
                <w:sz w:val="16"/>
                <w:szCs w:val="18"/>
              </w:rPr>
              <w:t xml:space="preserve"> Building on the work of the Child Protection Information Sharing Project, the states and territories will improve protocols and procedures to share child protection related information between jurisdictions, including information on the support needs of children and families in child protection systems.</w:t>
            </w:r>
          </w:p>
        </w:tc>
        <w:tc>
          <w:tcPr>
            <w:tcW w:w="1572" w:type="pct"/>
            <w:tcBorders>
              <w:top w:val="dotted" w:sz="8" w:space="0" w:color="7D7D7D" w:themeColor="text2"/>
              <w:left w:val="nil"/>
              <w:bottom w:val="single" w:sz="4" w:space="0" w:color="7D7D7D" w:themeColor="text2"/>
              <w:right w:val="nil"/>
            </w:tcBorders>
          </w:tcPr>
          <w:p w14:paraId="13BB3E54" w14:textId="77777777" w:rsidR="005066D3" w:rsidRDefault="005066D3" w:rsidP="001D3D1F">
            <w:pPr>
              <w:pStyle w:val="TableTextSmall"/>
            </w:pPr>
            <w:r w:rsidRPr="001255C6">
              <w:t>Develop new information sharing provisions between Commonwealth agencies, State and Territory agencies and NGOs dealing with vulnerable families</w:t>
            </w:r>
            <w:r w:rsidR="006B13FE">
              <w:t>.</w:t>
            </w:r>
          </w:p>
          <w:p w14:paraId="7F75EE9E" w14:textId="77777777" w:rsidR="006B13FE" w:rsidRDefault="006B13FE" w:rsidP="001D3D1F">
            <w:pPr>
              <w:pStyle w:val="TableTextSmall"/>
            </w:pPr>
            <w:r w:rsidRPr="006B13FE">
              <w:t>Support enhanced national consistency and continuous improvement in child protection services.</w:t>
            </w:r>
          </w:p>
          <w:p w14:paraId="4A871EBF" w14:textId="77777777" w:rsidR="001E154A" w:rsidRDefault="001E154A" w:rsidP="001D3D1F">
            <w:pPr>
              <w:pStyle w:val="TableTextSmall"/>
            </w:pPr>
          </w:p>
          <w:p w14:paraId="1152CE6C" w14:textId="37DCF864" w:rsidR="001E154A" w:rsidRDefault="001E154A" w:rsidP="001D3D1F">
            <w:pPr>
              <w:pStyle w:val="TableTextSmall"/>
            </w:pPr>
            <w:r>
              <w:t>Enhance prevention strategies for child sexual abuse</w:t>
            </w:r>
          </w:p>
        </w:tc>
        <w:tc>
          <w:tcPr>
            <w:tcW w:w="1568" w:type="pct"/>
            <w:tcBorders>
              <w:top w:val="dotted" w:sz="8" w:space="0" w:color="7D7D7D" w:themeColor="text2"/>
              <w:left w:val="nil"/>
              <w:bottom w:val="single" w:sz="4" w:space="0" w:color="7D7D7D" w:themeColor="text2"/>
              <w:right w:val="nil"/>
            </w:tcBorders>
          </w:tcPr>
          <w:p w14:paraId="30C5B7AA" w14:textId="77777777" w:rsidR="005066D3" w:rsidRDefault="005066D3" w:rsidP="001D3D1F">
            <w:pPr>
              <w:pStyle w:val="TableTextSmall"/>
            </w:pPr>
            <w:r>
              <w:t>Supporting outcome 2</w:t>
            </w:r>
          </w:p>
          <w:p w14:paraId="2C23B19A" w14:textId="77777777" w:rsidR="006B13FE" w:rsidRDefault="006B13FE" w:rsidP="001D3D1F">
            <w:pPr>
              <w:pStyle w:val="TableTextSmall"/>
            </w:pPr>
          </w:p>
          <w:p w14:paraId="7061274D" w14:textId="77777777" w:rsidR="006B13FE" w:rsidRDefault="006B13FE" w:rsidP="001D3D1F">
            <w:pPr>
              <w:pStyle w:val="TableTextSmall"/>
            </w:pPr>
          </w:p>
          <w:p w14:paraId="5A2DA451" w14:textId="77777777" w:rsidR="006B13FE" w:rsidRDefault="006B13FE" w:rsidP="001D3D1F">
            <w:pPr>
              <w:pStyle w:val="TableTextSmall"/>
            </w:pPr>
          </w:p>
          <w:p w14:paraId="24058E45" w14:textId="77777777" w:rsidR="006B13FE" w:rsidRDefault="006B13FE" w:rsidP="001D3D1F">
            <w:pPr>
              <w:pStyle w:val="TableTextSmall"/>
            </w:pPr>
          </w:p>
          <w:p w14:paraId="170AB19E" w14:textId="77777777" w:rsidR="006B13FE" w:rsidRDefault="006B13FE" w:rsidP="001D3D1F">
            <w:pPr>
              <w:pStyle w:val="TableTextSmall"/>
            </w:pPr>
            <w:r>
              <w:t>Supporting outcome 4</w:t>
            </w:r>
          </w:p>
          <w:p w14:paraId="2600D27F" w14:textId="77777777" w:rsidR="001E154A" w:rsidRDefault="001E154A" w:rsidP="001D3D1F">
            <w:pPr>
              <w:pStyle w:val="TableTextSmall"/>
            </w:pPr>
          </w:p>
          <w:p w14:paraId="497D84A0" w14:textId="77777777" w:rsidR="001E154A" w:rsidRDefault="001E154A" w:rsidP="001D3D1F">
            <w:pPr>
              <w:pStyle w:val="TableTextSmall"/>
            </w:pPr>
          </w:p>
          <w:p w14:paraId="042FB48D" w14:textId="4C45610D" w:rsidR="001E154A" w:rsidRDefault="001E154A" w:rsidP="001D3D1F">
            <w:pPr>
              <w:pStyle w:val="TableTextSmall"/>
            </w:pPr>
            <w:r>
              <w:t>Supporting outcome 6</w:t>
            </w:r>
          </w:p>
        </w:tc>
      </w:tr>
    </w:tbl>
    <w:p w14:paraId="4AE5A9D1" w14:textId="77777777" w:rsidR="00A562EF" w:rsidRDefault="00A562EF" w:rsidP="005066D3">
      <w:pPr>
        <w:spacing w:before="240" w:after="120"/>
        <w:rPr>
          <w:color w:val="000000" w:themeColor="text1"/>
        </w:rPr>
      </w:pPr>
    </w:p>
    <w:p w14:paraId="67B09C74" w14:textId="77777777" w:rsidR="00A562EF" w:rsidRDefault="00A562EF" w:rsidP="005066D3">
      <w:pPr>
        <w:spacing w:before="240" w:after="120"/>
        <w:rPr>
          <w:color w:val="000000" w:themeColor="text1"/>
        </w:rPr>
      </w:pPr>
      <w:r>
        <w:rPr>
          <w:color w:val="000000" w:themeColor="text1"/>
        </w:rPr>
        <w:t xml:space="preserve">Below outlines the reported initiatives of jurisdictions against the supporting outcomes for each action plan. It demonstrates that jurisdictions </w:t>
      </w:r>
      <w:r w:rsidR="00DD6F1E">
        <w:rPr>
          <w:color w:val="000000" w:themeColor="text1"/>
        </w:rPr>
        <w:t xml:space="preserve">aligned </w:t>
      </w:r>
      <w:r>
        <w:rPr>
          <w:color w:val="000000" w:themeColor="text1"/>
        </w:rPr>
        <w:t xml:space="preserve">a lot of jurisdictional </w:t>
      </w:r>
      <w:r w:rsidR="00DD6F1E">
        <w:rPr>
          <w:color w:val="000000" w:themeColor="text1"/>
        </w:rPr>
        <w:t xml:space="preserve">initiatives, including major reforms and Royal Commission responses, to the supporting outcomes of the National Framework. For completeness, no lens has been applied to the initiatives represented here (they are reported as they are within the action plans). </w:t>
      </w:r>
    </w:p>
    <w:p w14:paraId="7D6EECB2" w14:textId="6C66D2FE" w:rsidR="00DD6F1E" w:rsidRDefault="00DD6F1E" w:rsidP="00FA3E74">
      <w:pPr>
        <w:pStyle w:val="Caption"/>
      </w:pPr>
      <w:r>
        <w:t xml:space="preserve">Table </w:t>
      </w:r>
      <w:fldSimple w:instr=" SEQ Table \* ARABIC ">
        <w:r w:rsidR="00D75351">
          <w:rPr>
            <w:noProof/>
          </w:rPr>
          <w:t>19</w:t>
        </w:r>
      </w:fldSimple>
      <w:r>
        <w:t>: Overview of reported jurisdictional initiatives against National Framework outcomes</w:t>
      </w:r>
    </w:p>
    <w:tbl>
      <w:tblPr>
        <w:tblStyle w:val="PwCColour"/>
        <w:tblW w:w="5000" w:type="pct"/>
        <w:tblLayout w:type="fixed"/>
        <w:tblLook w:val="04A0" w:firstRow="1" w:lastRow="0" w:firstColumn="1" w:lastColumn="0" w:noHBand="0" w:noVBand="1"/>
        <w:tblCaption w:val="Table 19: Overview of reported jurisdictional initiatives against National Framework outcomes"/>
        <w:tblDescription w:val="Supporting outcome one&#10;The Commonwealth has 3 initiatives. These are Support for National Child Protection Week; Building Capacity in Australian Parents trial (branded ‘Parent Link’); and. Connected Beginnings.&#10;The Australian Capital Territory has 3 initiatives. These are Youth Roundtable; Children’s Services Program; and Child and Family Centres.&#10;Victoria reported no initiatives.&#10;New South Wales has 1 initiative, which is Improving child protection information sharing.&#10;Queensland has 2 initiatives. These are Respectful Relations Education; and Family and Child Commission Community Education initiatives.&#10;Northern Territory has 3 initiatives. These are Starting Early for a Better Future; Safe, Thriving and Connected: Generational Change for Children and Families 2018–2023; and Age Appropriate Pedagogies.&#10;South Australia has 3 initiatives. These are Children and Young People (Oversight and Advocacy Bodies) Act 2016; South Australian Commissioner for Children and Young People; and Child Development Council. &#10;Western Australia has 2 initiatives. These are Best Beginnings Plus and Early Years Initiative.&#10;Tasmania has 3 initiatives. These are Healthy Tasmania Five Year Strategic Plan and Healthy Kids Toolkit; B4 Early Years Coalition; and Child and Student Wellbeing Strategy&#10;Nationally there are a total of 20 initiatives are aligned to supporting outcome 1.&#10;Supporting Outcome 2&#10;The Commonwealth has 1 initiative, which is Business Research and Innovation Initiative.&#10;The Australian Capital Territory has 3 initiatives. These are Information sharing; Child Development Service; and Early Support by Design.&#10;Victoria has 4 initiatives. These are Child wellbeing and safety and family violence information sharing schemes and the Multi Agency Risk Assessment and Management framework; 10 year Early Parenting Centre (EPC) service plan; Cradle to Kinder (C2K) and Cradle to Kinder for Aboriginal children and their families programs; and smalltalk.&#10;New South Wales has 4 initiatives. These are Landmark child protection reform, Their Futures Matter; Family group conferencing; Permanency Support Program; and Quality Assurance Framework.&#10;Queensland has 4 initiatives. These are Increased interagency information sharing; Missing children protocol; Advancing Queensland’s child protection and family support reforms —Supporting Families Changing Futures; and Child Safety Officers. &#10;Northern Territory has 8 initiatives. These are Reform to legislation for children and families; FACES helpline; Strengthened investment in services for vulnerable young people; Healthy Under 5 Kids — Partnering with Families program; Child and Family Centres; Partnerships with Aboriginal community controlled organisations; Reinvigorating and expanding child safety and wellbeing committees; and Young Mothers Strong Mothers Program.&#10;South Australia has 5 initiatives. These are Public Sector (Data Sharing) Act 2016; Early Intervention Research Directorate; Child and Family Health Service targeted and sustained services; Child and Family Assessment and Referral Networks; and Child Safety Pathway.&#10;Western Australia has 2 initiatives. These are Earlier Intervention and Family Support Strategy; and Target 120 program.&#10;Tasmania has 3 initiatives. These are Child and Youth Wellbeing Framework and the Child and Family Wellbeing Assessment Tool; Joined Up Services Project; and Intensive Family Engagement Service.&#10;Nationally there are a total of 34 initiatives are aligned to supporting outcome 2.&#10;&#10;Supporting outcome 3&#10;The Commonwealth has 3 initiatives. These are National Principles for Child Safe Organisations; National Plan to Reduce Violence against Women and their Children 2010–2022; and National Disability Strategy.&#10;The Australian Capital Territory has 2 initiatives. These are Improving service responses to domestic and family violence and Family Safety Hub.&#10;Victoria has 3 initiatives. These are Minimum qualification requirements for residential care workers; The Orange Door; and Adolescent Family Violence Program.&#10;New South Wales has 3 initiatives. These are Practice Framework; Expanding perpetrator interventions; and Domestic and Family Violence Innovation Fund.&#10;Queensland has 3 initiatives. These are Child Safety Practice Manual Rebuild; Domestic and family violence (DFV) capability development; and Connecting Care to recovery 2016–2026.&#10;Northern Territory has 5 initiatives. These are Youth Outreach and Re engagement Teams; Sexual Behaviours in Children Guidelines and mandatory reporting training; Early Years Rewarding Careers; Northern Territory Domestic, Family and Sexual Violence Reduction Framework 2018–2028, Safe, Respected and Free from Violence; and Domestic and family violence initiatives.&#10;South Australia has 3 initiatives. These are Child Wellbeing Practitioners; Metropolitan Youth Health Young Parents Program, Youth and Women’s Safety and Wellbeing Division; and Department for Child Protection’s Disability Program 3&#10;Western Australia has 1 initiative, which is Responding to domestic and family violence. &#10;Tasmania has 4 initiatives. These are Safe Families Coordination Unit; Safe Homes, Safe Families; The Youth Suicide Prevention Plan for Tasmania (2016–2020); and Everybody’s Business Implementation Plan.&#10;Nationally there are a total of 27 initiatives are aligned to supporting outcome 3&#10;&#10;Supporting outcome 4&#10;The Commonwealth has 5 initiatives. These are Young people in child protection and under youth justice supervision; Vulnerable young people — interactions across homelessness, youth justice and child protection; Working Together to Care for Kids: The Survey of Foster and Relative/Kinship Carers; National Standards for out of home care; and Towards Independent Adulthood trial.&#10;The Australian Capital Territory has 2 initiatives. These are A Step Up for Our Kids; and Therapeutic assessments.&#10;Victoria has 4 initiatives. These are Better Futures; Carer KaFE program; New model of kinship care; and Development of industry transition plans.&#10;New South Wales has 5 initiatives. These are The Institute of Open Adoption Studies; Permanency Support Program; My Forever Family NSW; Contracting partnerships to be responsive to needs; and Out-of-home care transition.&#10;Queensland has 4 initiatives. These are Blue card and foster care system reviews; Next Step After Care program; Partners in Care; and Child and family workforce capacity and capability development.&#10;Northern Territory has 2 initiatives. These are Culturally appropriate care arrangements; and Carers charter of rights.&#10;South Australia has 3 initiatives. These are Children and Young People Safety Act 2017; Interagency Therapeutic Needs Panel; and Education program for children in residential care to promote their rights to make complaints.&#10;Western Australia has 4 initiatives. These are Department of Communities and Telethon Kids Institute — Exploring outcomes for young people who have experienced out-of-home care study; Department of Communities and Curtin University led research team — Transitioning from Out of Home Care: A longitudinal population based study; Needs Assessment Tool; and Homes for Carers.&#10;Tasmania has 4 initiatives. These are The Quality and Accountability Framework for Out of Home Care; Appointment of Tasmanian Child Advocate; A new model for family based care; and Outcomes Framework for Children and Young People in Out of Home Care.&#10;Nationally there are a total of 33 initiatives are aligned to supporting outcome 4&#10;&#10;Supporting outcome 5&#10;The Commonwealth has 2 initiatives. These are Supporting implementation of the Aboriginal and Torres Strait Islander Child Placement Principle; and Input to the Closing the Gap Refresh process.&#10;Australian Capital Territory has 2 initiatives. These are Family Group Conferencing; and Our Booris, Our Way.&#10;Victoria has 3 initiatives. These are Authorisation of Aboriginal Community Controlled Organisations (ACCOs) to care for Aboriginal children; Transitioning Aboriginal children to Aboriginal Community Controlled Organisations; and Aboriginal Child Specialist Advice and Support Service.&#10;New South Wales has 1 initiative, which is the Aboriginal Outcomes Strategy. &#10;Queensland has 3 initiatives. These are Our Way Strategy 2017–2037 and Changing Tracks Action Plan 2017–2019; Legislative amendment and the Child Placement Principle; and Aboriginal and Torres Strait Islander Family Wellbeing Services.&#10;Northern Territory has 3 initiatives. These are Aboriginal Cultural Security Policy and Framework; Indigenous Education Strategy 2015–2024; and Stars Program.&#10;South Australia has 3 initiatives. These are Yunga Nungas: Future Leaders pilot program; Aboriginal workforce participation; and Kunpungku Atunymankunytjaku Tjitji Uwarkara (KATU).&#10;Western Australia has 1 initiative, which is These are Aboriginal In Home Support Service (Wungening Moort).&#10;Tasmania has 1 initiative, which is Appointment of Aboriginal Family Safety Workers&#10;Nationally there are a total of 19 initiatives are aligned to supporting outcome 5&#10;&#10;Supporting outcome 6&#10;&#10;The Commonwealth has 1 initiative, which is Child Abuse Royal Commission Senior Officials Working Group.&#10;Australian Capital Territory has 1 initiative, which is ACT Government Response to the Royal Commission into Institutional Responses to Child Sexual Abuse.&#10;Victoria has 2 initiatives. These are Kinship care and child safety screening; and Strengthening treatment services for children and young people who display sexually abusive or concerning behaviours.&#10;New South Wales has 3 initiatives. These are National Redress Scheme for survivors of child sexual abuse; See, understand and respond to child sexual abuse practice kit; and Intensive Therapeutic Care system. &#10;Queensland has 3 initiatives. These are Development of culturally appropriate resources for Aboriginal and Torres Strait Island people; Review of blue card system; and responding to sexual abuse.&#10;Northern Territory has 2 initiatives. These are Sexual Assault Referral Centre (SARC) Top End; and Central Australia Health Service.&#10;South Australia has 4 initiatives. These are Child Safety (Prohibited Persons) Act 2016; Continuous monitoring of screening; Criminalising dishonest communication with children; and Restricting the ‘release on licence’ option for sex offenders.&#10;Western Australia has 3 initiatives. These are Mandatory reporting reform; Response to the Royal Commission into Institutional Responses to Child Sexual Abuse; and Improving advocacy, treatment and support for survivors of child sexual abuse.&#10;Tasmania reported no initiatives.&#10;Nationally there are a total of 19 initiatives are aligned to supporting outcome 6&#10;"/>
      </w:tblPr>
      <w:tblGrid>
        <w:gridCol w:w="1271"/>
        <w:gridCol w:w="1559"/>
        <w:gridCol w:w="5670"/>
        <w:gridCol w:w="1355"/>
      </w:tblGrid>
      <w:tr w:rsidR="00DD6F1E" w14:paraId="2B75D3B0" w14:textId="77777777" w:rsidTr="00FB6B92">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271" w:type="dxa"/>
            <w:vAlign w:val="center"/>
          </w:tcPr>
          <w:p w14:paraId="237B71B6" w14:textId="77777777" w:rsidR="00DD6F1E" w:rsidRDefault="00DD6F1E" w:rsidP="00FB6B92">
            <w:pPr>
              <w:pStyle w:val="TableColumnHeadingSmall"/>
            </w:pPr>
            <w:r>
              <w:t>Supporting outcomes</w:t>
            </w:r>
          </w:p>
        </w:tc>
        <w:tc>
          <w:tcPr>
            <w:tcW w:w="1559" w:type="dxa"/>
            <w:vAlign w:val="center"/>
          </w:tcPr>
          <w:p w14:paraId="51C60F22" w14:textId="77777777" w:rsidR="00DD6F1E" w:rsidRDefault="00DD6F1E" w:rsidP="00FB6B92">
            <w:pPr>
              <w:pStyle w:val="TableColumnHeadingSmall"/>
              <w:cnfStyle w:val="100000000000" w:firstRow="1" w:lastRow="0" w:firstColumn="0" w:lastColumn="0" w:oddVBand="0" w:evenVBand="0" w:oddHBand="0" w:evenHBand="0" w:firstRowFirstColumn="0" w:firstRowLastColumn="0" w:lastRowFirstColumn="0" w:lastRowLastColumn="0"/>
            </w:pPr>
            <w:r>
              <w:t>Jurisdiction</w:t>
            </w:r>
          </w:p>
        </w:tc>
        <w:tc>
          <w:tcPr>
            <w:tcW w:w="5670" w:type="dxa"/>
            <w:vAlign w:val="center"/>
          </w:tcPr>
          <w:p w14:paraId="363F7826" w14:textId="77777777" w:rsidR="00DD6F1E" w:rsidRDefault="00DD6F1E" w:rsidP="00FB6B92">
            <w:pPr>
              <w:pStyle w:val="TableColumnHeadingSmall"/>
              <w:cnfStyle w:val="100000000000" w:firstRow="1" w:lastRow="0" w:firstColumn="0" w:lastColumn="0" w:oddVBand="0" w:evenVBand="0" w:oddHBand="0" w:evenHBand="0" w:firstRowFirstColumn="0" w:firstRowLastColumn="0" w:lastRowFirstColumn="0" w:lastRowLastColumn="0"/>
            </w:pPr>
            <w:r>
              <w:t>Initiative</w:t>
            </w:r>
          </w:p>
        </w:tc>
        <w:tc>
          <w:tcPr>
            <w:tcW w:w="1355" w:type="dxa"/>
            <w:vAlign w:val="center"/>
          </w:tcPr>
          <w:p w14:paraId="3BF119C1" w14:textId="77777777" w:rsidR="00DD6F1E" w:rsidRDefault="00DD6F1E" w:rsidP="00FB6B92">
            <w:pPr>
              <w:pStyle w:val="TableColumnHeadingSmall"/>
              <w:cnfStyle w:val="100000000000" w:firstRow="1" w:lastRow="0" w:firstColumn="0" w:lastColumn="0" w:oddVBand="0" w:evenVBand="0" w:oddHBand="0" w:evenHBand="0" w:firstRowFirstColumn="0" w:firstRowLastColumn="0" w:lastRowFirstColumn="0" w:lastRowLastColumn="0"/>
            </w:pPr>
            <w:r>
              <w:t>No. of initiatives</w:t>
            </w:r>
          </w:p>
        </w:tc>
      </w:tr>
      <w:tr w:rsidR="00DD6F1E" w14:paraId="663BE9E1" w14:textId="77777777" w:rsidTr="00FB6B92">
        <w:tc>
          <w:tcPr>
            <w:tcW w:w="1271" w:type="dxa"/>
            <w:vMerge w:val="restart"/>
            <w:vAlign w:val="center"/>
          </w:tcPr>
          <w:p w14:paraId="6246C0DB" w14:textId="77777777" w:rsidR="00DD6F1E" w:rsidRDefault="00DD6F1E" w:rsidP="00FB6B92">
            <w:pPr>
              <w:pStyle w:val="TableTextSmall"/>
            </w:pPr>
            <w:r>
              <w:t>Outcome 1</w:t>
            </w:r>
          </w:p>
        </w:tc>
        <w:tc>
          <w:tcPr>
            <w:tcW w:w="1559" w:type="dxa"/>
          </w:tcPr>
          <w:p w14:paraId="4F617B0F" w14:textId="77777777" w:rsidR="00DD6F1E" w:rsidRDefault="00DD6F1E" w:rsidP="00FB6B92">
            <w:pPr>
              <w:pStyle w:val="TableTextSmall"/>
            </w:pPr>
            <w:r>
              <w:t>Commonwealth</w:t>
            </w:r>
          </w:p>
        </w:tc>
        <w:tc>
          <w:tcPr>
            <w:tcW w:w="5670" w:type="dxa"/>
          </w:tcPr>
          <w:p w14:paraId="69BABEB2" w14:textId="77777777" w:rsidR="00DD6F1E" w:rsidRDefault="00DD6F1E" w:rsidP="00FB6B92">
            <w:pPr>
              <w:pStyle w:val="TableTextSmall"/>
            </w:pPr>
            <w:r w:rsidRPr="00C50FAD">
              <w:t>Support for National Child Protection Week</w:t>
            </w:r>
          </w:p>
          <w:p w14:paraId="3C32A11C" w14:textId="77777777" w:rsidR="00DD6F1E" w:rsidRDefault="00DD6F1E" w:rsidP="00FB6B92">
            <w:pPr>
              <w:pStyle w:val="TableTextSmall"/>
            </w:pPr>
            <w:r w:rsidRPr="00C50FAD">
              <w:t>Building Capacity in Australian Parents trial (branded ‘Parent Link’)</w:t>
            </w:r>
          </w:p>
          <w:p w14:paraId="7D5B7EF8" w14:textId="77777777" w:rsidR="00DD6F1E" w:rsidRDefault="00DD6F1E" w:rsidP="00FB6B92">
            <w:pPr>
              <w:pStyle w:val="TableTextSmall"/>
            </w:pPr>
            <w:r w:rsidRPr="00C50FAD">
              <w:t>Connected Beginnings</w:t>
            </w:r>
          </w:p>
        </w:tc>
        <w:tc>
          <w:tcPr>
            <w:tcW w:w="1355" w:type="dxa"/>
          </w:tcPr>
          <w:p w14:paraId="3A22DB18" w14:textId="77777777" w:rsidR="00DD6F1E" w:rsidRPr="00C50FAD" w:rsidRDefault="00DD6F1E" w:rsidP="00FB6B92">
            <w:pPr>
              <w:pStyle w:val="TableTextSmall"/>
            </w:pPr>
            <w:r>
              <w:t>3</w:t>
            </w:r>
          </w:p>
        </w:tc>
      </w:tr>
      <w:tr w:rsidR="00DD6F1E" w14:paraId="4883BB2D" w14:textId="77777777" w:rsidTr="00FB6B92">
        <w:tc>
          <w:tcPr>
            <w:tcW w:w="1271" w:type="dxa"/>
            <w:vMerge/>
          </w:tcPr>
          <w:p w14:paraId="2388457D" w14:textId="77777777" w:rsidR="00DD6F1E" w:rsidRDefault="00DD6F1E" w:rsidP="00FB6B92">
            <w:pPr>
              <w:pStyle w:val="TableTextSmall"/>
            </w:pPr>
          </w:p>
        </w:tc>
        <w:tc>
          <w:tcPr>
            <w:tcW w:w="1559" w:type="dxa"/>
          </w:tcPr>
          <w:p w14:paraId="3DDEA3B4" w14:textId="77777777" w:rsidR="00DD6F1E" w:rsidRDefault="00DD6F1E" w:rsidP="00FB6B92">
            <w:pPr>
              <w:pStyle w:val="TableTextSmall"/>
            </w:pPr>
            <w:r>
              <w:t>ACT</w:t>
            </w:r>
          </w:p>
        </w:tc>
        <w:tc>
          <w:tcPr>
            <w:tcW w:w="5670" w:type="dxa"/>
          </w:tcPr>
          <w:p w14:paraId="213AFB52" w14:textId="77777777" w:rsidR="00DD6F1E" w:rsidRDefault="00DD6F1E" w:rsidP="00FB6B92">
            <w:pPr>
              <w:pStyle w:val="TableTextSmall"/>
            </w:pPr>
            <w:r w:rsidRPr="00C50FAD">
              <w:t>Youth Roundtable</w:t>
            </w:r>
          </w:p>
          <w:p w14:paraId="6EC844D7" w14:textId="77777777" w:rsidR="00DD6F1E" w:rsidRDefault="00DD6F1E" w:rsidP="00FB6B92">
            <w:pPr>
              <w:pStyle w:val="TableTextSmall"/>
            </w:pPr>
            <w:r w:rsidRPr="00C50FAD">
              <w:t>Children’s Services Program</w:t>
            </w:r>
          </w:p>
          <w:p w14:paraId="1405D3F6" w14:textId="77777777" w:rsidR="00DD6F1E" w:rsidRDefault="00DD6F1E" w:rsidP="00FB6B92">
            <w:pPr>
              <w:pStyle w:val="TableTextSmall"/>
            </w:pPr>
            <w:r w:rsidRPr="00C50FAD">
              <w:t>Child and Family Centres</w:t>
            </w:r>
          </w:p>
        </w:tc>
        <w:tc>
          <w:tcPr>
            <w:tcW w:w="1355" w:type="dxa"/>
          </w:tcPr>
          <w:p w14:paraId="3EA12E8D" w14:textId="77777777" w:rsidR="00DD6F1E" w:rsidRPr="00C50FAD" w:rsidRDefault="00DD6F1E" w:rsidP="00FB6B92">
            <w:pPr>
              <w:pStyle w:val="TableTextSmall"/>
            </w:pPr>
            <w:r>
              <w:t>3</w:t>
            </w:r>
          </w:p>
        </w:tc>
      </w:tr>
      <w:tr w:rsidR="00DD6F1E" w14:paraId="4DD52556" w14:textId="77777777" w:rsidTr="00FB6B92">
        <w:tc>
          <w:tcPr>
            <w:tcW w:w="1271" w:type="dxa"/>
            <w:vMerge/>
          </w:tcPr>
          <w:p w14:paraId="00B09308" w14:textId="77777777" w:rsidR="00DD6F1E" w:rsidRDefault="00DD6F1E" w:rsidP="00FB6B92">
            <w:pPr>
              <w:pStyle w:val="TableTextSmall"/>
            </w:pPr>
          </w:p>
        </w:tc>
        <w:tc>
          <w:tcPr>
            <w:tcW w:w="1559" w:type="dxa"/>
          </w:tcPr>
          <w:p w14:paraId="110539AE" w14:textId="77777777" w:rsidR="00DD6F1E" w:rsidRDefault="00DD6F1E" w:rsidP="00FB6B92">
            <w:pPr>
              <w:pStyle w:val="TableTextSmall"/>
            </w:pPr>
            <w:r>
              <w:t>VIC</w:t>
            </w:r>
          </w:p>
        </w:tc>
        <w:tc>
          <w:tcPr>
            <w:tcW w:w="5670" w:type="dxa"/>
          </w:tcPr>
          <w:p w14:paraId="10827C4A" w14:textId="77777777" w:rsidR="00DD6F1E" w:rsidRPr="00270C51" w:rsidRDefault="00DD6F1E" w:rsidP="00FB6B92">
            <w:pPr>
              <w:pStyle w:val="TableTextSmall"/>
              <w:rPr>
                <w:i/>
                <w:iCs/>
              </w:rPr>
            </w:pPr>
            <w:r>
              <w:rPr>
                <w:i/>
                <w:iCs/>
              </w:rPr>
              <w:t xml:space="preserve">No initiatives reported </w:t>
            </w:r>
          </w:p>
        </w:tc>
        <w:tc>
          <w:tcPr>
            <w:tcW w:w="1355" w:type="dxa"/>
          </w:tcPr>
          <w:p w14:paraId="78E6EB13" w14:textId="77777777" w:rsidR="00DD6F1E" w:rsidRPr="00270C51" w:rsidRDefault="00DD6F1E" w:rsidP="00FB6B92">
            <w:pPr>
              <w:pStyle w:val="TableTextSmall"/>
            </w:pPr>
            <w:r w:rsidRPr="00270C51">
              <w:t>-</w:t>
            </w:r>
          </w:p>
        </w:tc>
      </w:tr>
      <w:tr w:rsidR="00DD6F1E" w14:paraId="302F84FE" w14:textId="77777777" w:rsidTr="00FB6B92">
        <w:tc>
          <w:tcPr>
            <w:tcW w:w="1271" w:type="dxa"/>
            <w:vMerge/>
          </w:tcPr>
          <w:p w14:paraId="050625FE" w14:textId="77777777" w:rsidR="00DD6F1E" w:rsidRDefault="00DD6F1E" w:rsidP="00FB6B92">
            <w:pPr>
              <w:pStyle w:val="TableTextSmall"/>
            </w:pPr>
          </w:p>
        </w:tc>
        <w:tc>
          <w:tcPr>
            <w:tcW w:w="1559" w:type="dxa"/>
          </w:tcPr>
          <w:p w14:paraId="57EC3B44" w14:textId="77777777" w:rsidR="00DD6F1E" w:rsidRDefault="00DD6F1E" w:rsidP="00FB6B92">
            <w:pPr>
              <w:pStyle w:val="TableTextSmall"/>
            </w:pPr>
            <w:r>
              <w:t>NSW</w:t>
            </w:r>
          </w:p>
        </w:tc>
        <w:tc>
          <w:tcPr>
            <w:tcW w:w="5670" w:type="dxa"/>
          </w:tcPr>
          <w:p w14:paraId="1CAA902C" w14:textId="77777777" w:rsidR="00DD6F1E" w:rsidRDefault="00DD6F1E" w:rsidP="00FB6B92">
            <w:pPr>
              <w:pStyle w:val="TableTextSmall"/>
            </w:pPr>
            <w:r w:rsidRPr="00C50FAD">
              <w:t>Improving child protection information sharing</w:t>
            </w:r>
          </w:p>
        </w:tc>
        <w:tc>
          <w:tcPr>
            <w:tcW w:w="1355" w:type="dxa"/>
          </w:tcPr>
          <w:p w14:paraId="5669B41C" w14:textId="77777777" w:rsidR="00DD6F1E" w:rsidRPr="00C50FAD" w:rsidRDefault="00DD6F1E" w:rsidP="00FB6B92">
            <w:pPr>
              <w:pStyle w:val="TableTextSmall"/>
            </w:pPr>
            <w:r>
              <w:t>1</w:t>
            </w:r>
          </w:p>
        </w:tc>
      </w:tr>
      <w:tr w:rsidR="00DD6F1E" w14:paraId="1FB893CA" w14:textId="77777777" w:rsidTr="00FB6B92">
        <w:tc>
          <w:tcPr>
            <w:tcW w:w="1271" w:type="dxa"/>
            <w:vMerge/>
          </w:tcPr>
          <w:p w14:paraId="2A0DD08D" w14:textId="77777777" w:rsidR="00DD6F1E" w:rsidRDefault="00DD6F1E" w:rsidP="00FB6B92">
            <w:pPr>
              <w:pStyle w:val="TableTextSmall"/>
            </w:pPr>
          </w:p>
        </w:tc>
        <w:tc>
          <w:tcPr>
            <w:tcW w:w="1559" w:type="dxa"/>
          </w:tcPr>
          <w:p w14:paraId="6F06879D" w14:textId="77777777" w:rsidR="00DD6F1E" w:rsidRDefault="00DD6F1E" w:rsidP="00FB6B92">
            <w:pPr>
              <w:pStyle w:val="TableTextSmall"/>
            </w:pPr>
            <w:r>
              <w:t>QLD</w:t>
            </w:r>
          </w:p>
        </w:tc>
        <w:tc>
          <w:tcPr>
            <w:tcW w:w="5670" w:type="dxa"/>
          </w:tcPr>
          <w:p w14:paraId="688D7C6E" w14:textId="77777777" w:rsidR="00DD6F1E" w:rsidRDefault="00DD6F1E" w:rsidP="00FB6B92">
            <w:pPr>
              <w:pStyle w:val="TableTextSmall"/>
            </w:pPr>
            <w:r w:rsidRPr="00C50FAD">
              <w:t>Respectful Relations Education</w:t>
            </w:r>
          </w:p>
          <w:p w14:paraId="16EB8578" w14:textId="77777777" w:rsidR="00DD6F1E" w:rsidRDefault="00DD6F1E" w:rsidP="00FB6B92">
            <w:pPr>
              <w:pStyle w:val="TableTextSmall"/>
            </w:pPr>
            <w:r w:rsidRPr="00C50FAD">
              <w:t>Family and Child Commission Community Education initiatives</w:t>
            </w:r>
          </w:p>
        </w:tc>
        <w:tc>
          <w:tcPr>
            <w:tcW w:w="1355" w:type="dxa"/>
          </w:tcPr>
          <w:p w14:paraId="646C0995" w14:textId="77777777" w:rsidR="00DD6F1E" w:rsidRPr="00C50FAD" w:rsidRDefault="00DD6F1E" w:rsidP="00FB6B92">
            <w:pPr>
              <w:pStyle w:val="TableTextSmall"/>
            </w:pPr>
            <w:r>
              <w:t>2</w:t>
            </w:r>
          </w:p>
        </w:tc>
      </w:tr>
      <w:tr w:rsidR="00DD6F1E" w14:paraId="005E0013" w14:textId="77777777" w:rsidTr="00FB6B92">
        <w:tc>
          <w:tcPr>
            <w:tcW w:w="1271" w:type="dxa"/>
            <w:vMerge/>
          </w:tcPr>
          <w:p w14:paraId="070A6D20" w14:textId="77777777" w:rsidR="00DD6F1E" w:rsidRDefault="00DD6F1E" w:rsidP="00FB6B92">
            <w:pPr>
              <w:pStyle w:val="TableTextSmall"/>
            </w:pPr>
          </w:p>
        </w:tc>
        <w:tc>
          <w:tcPr>
            <w:tcW w:w="1559" w:type="dxa"/>
          </w:tcPr>
          <w:p w14:paraId="360915B4" w14:textId="77777777" w:rsidR="00DD6F1E" w:rsidRDefault="00DD6F1E" w:rsidP="00FB6B92">
            <w:pPr>
              <w:pStyle w:val="TableTextSmall"/>
            </w:pPr>
            <w:r>
              <w:t>NT</w:t>
            </w:r>
          </w:p>
        </w:tc>
        <w:tc>
          <w:tcPr>
            <w:tcW w:w="5670" w:type="dxa"/>
          </w:tcPr>
          <w:p w14:paraId="15927342" w14:textId="77777777" w:rsidR="00DD6F1E" w:rsidRDefault="00DD6F1E" w:rsidP="00FB6B92">
            <w:pPr>
              <w:pStyle w:val="TableTextSmall"/>
            </w:pPr>
            <w:r w:rsidRPr="00C50FAD">
              <w:t>Starting Early for a Better Future</w:t>
            </w:r>
          </w:p>
          <w:p w14:paraId="2E5C6ECA" w14:textId="77777777" w:rsidR="00DD6F1E" w:rsidRDefault="00DD6F1E" w:rsidP="00FB6B92">
            <w:pPr>
              <w:pStyle w:val="TableTextSmall"/>
            </w:pPr>
            <w:r w:rsidRPr="00C50FAD">
              <w:t>Safe, Thriving and Connected: Generational Change for Children and Families 2018–2023</w:t>
            </w:r>
          </w:p>
          <w:p w14:paraId="2B12FD9F" w14:textId="77777777" w:rsidR="00DD6F1E" w:rsidRDefault="00DD6F1E" w:rsidP="00FB6B92">
            <w:pPr>
              <w:pStyle w:val="TableTextSmall"/>
            </w:pPr>
            <w:r w:rsidRPr="00C50FAD">
              <w:t>Age Appropriate Pedagogies</w:t>
            </w:r>
          </w:p>
        </w:tc>
        <w:tc>
          <w:tcPr>
            <w:tcW w:w="1355" w:type="dxa"/>
          </w:tcPr>
          <w:p w14:paraId="1298861F" w14:textId="77777777" w:rsidR="00DD6F1E" w:rsidRPr="00C50FAD" w:rsidRDefault="00DD6F1E" w:rsidP="00FB6B92">
            <w:pPr>
              <w:pStyle w:val="TableTextSmall"/>
            </w:pPr>
            <w:r>
              <w:t>3</w:t>
            </w:r>
          </w:p>
        </w:tc>
      </w:tr>
      <w:tr w:rsidR="00DD6F1E" w14:paraId="6CB5C6CD" w14:textId="77777777" w:rsidTr="00FB6B92">
        <w:tc>
          <w:tcPr>
            <w:tcW w:w="1271" w:type="dxa"/>
            <w:vMerge/>
          </w:tcPr>
          <w:p w14:paraId="31357DD8" w14:textId="77777777" w:rsidR="00DD6F1E" w:rsidRDefault="00DD6F1E" w:rsidP="00FB6B92">
            <w:pPr>
              <w:pStyle w:val="TableTextSmall"/>
            </w:pPr>
          </w:p>
        </w:tc>
        <w:tc>
          <w:tcPr>
            <w:tcW w:w="1559" w:type="dxa"/>
          </w:tcPr>
          <w:p w14:paraId="6C299000" w14:textId="77777777" w:rsidR="00DD6F1E" w:rsidRDefault="00DD6F1E" w:rsidP="00FB6B92">
            <w:pPr>
              <w:pStyle w:val="TableTextSmall"/>
            </w:pPr>
            <w:r>
              <w:t>SA</w:t>
            </w:r>
          </w:p>
        </w:tc>
        <w:tc>
          <w:tcPr>
            <w:tcW w:w="5670" w:type="dxa"/>
          </w:tcPr>
          <w:p w14:paraId="118631A2" w14:textId="77777777" w:rsidR="00DD6F1E" w:rsidRDefault="00DD6F1E" w:rsidP="00FB6B92">
            <w:pPr>
              <w:pStyle w:val="TableTextSmall"/>
            </w:pPr>
            <w:r w:rsidRPr="00C50FAD">
              <w:t>Children and Young People (Oversight and Advocacy Bodies) Act 2016</w:t>
            </w:r>
          </w:p>
          <w:p w14:paraId="642AE167" w14:textId="77777777" w:rsidR="00DD6F1E" w:rsidRDefault="00DD6F1E" w:rsidP="00FB6B92">
            <w:pPr>
              <w:pStyle w:val="TableTextSmall"/>
            </w:pPr>
            <w:r w:rsidRPr="00C50FAD">
              <w:t>South Australian Commissioner for Children and Young People</w:t>
            </w:r>
          </w:p>
          <w:p w14:paraId="5C16062E" w14:textId="77777777" w:rsidR="00DD6F1E" w:rsidRDefault="00DD6F1E" w:rsidP="00FB6B92">
            <w:pPr>
              <w:pStyle w:val="TableTextSmall"/>
            </w:pPr>
            <w:r w:rsidRPr="00C50FAD">
              <w:t>Child Development Council</w:t>
            </w:r>
          </w:p>
        </w:tc>
        <w:tc>
          <w:tcPr>
            <w:tcW w:w="1355" w:type="dxa"/>
          </w:tcPr>
          <w:p w14:paraId="53F803C7" w14:textId="77777777" w:rsidR="00DD6F1E" w:rsidRPr="00C50FAD" w:rsidRDefault="00DD6F1E" w:rsidP="00FB6B92">
            <w:pPr>
              <w:pStyle w:val="TableTextSmall"/>
            </w:pPr>
            <w:r>
              <w:t>3</w:t>
            </w:r>
          </w:p>
        </w:tc>
      </w:tr>
      <w:tr w:rsidR="00DD6F1E" w14:paraId="06625582" w14:textId="77777777" w:rsidTr="00FB6B92">
        <w:tc>
          <w:tcPr>
            <w:tcW w:w="1271" w:type="dxa"/>
            <w:vMerge/>
          </w:tcPr>
          <w:p w14:paraId="14989AB0" w14:textId="77777777" w:rsidR="00DD6F1E" w:rsidRDefault="00DD6F1E" w:rsidP="00FB6B92">
            <w:pPr>
              <w:pStyle w:val="TableTextSmall"/>
            </w:pPr>
          </w:p>
        </w:tc>
        <w:tc>
          <w:tcPr>
            <w:tcW w:w="1559" w:type="dxa"/>
          </w:tcPr>
          <w:p w14:paraId="3D732149" w14:textId="77777777" w:rsidR="00DD6F1E" w:rsidRDefault="00DD6F1E" w:rsidP="00FB6B92">
            <w:pPr>
              <w:pStyle w:val="TableTextSmall"/>
            </w:pPr>
            <w:r>
              <w:t>WA</w:t>
            </w:r>
          </w:p>
        </w:tc>
        <w:tc>
          <w:tcPr>
            <w:tcW w:w="5670" w:type="dxa"/>
          </w:tcPr>
          <w:p w14:paraId="04D0D513" w14:textId="77777777" w:rsidR="00DD6F1E" w:rsidRDefault="00DD6F1E" w:rsidP="00FB6B92">
            <w:pPr>
              <w:pStyle w:val="TableTextSmall"/>
            </w:pPr>
            <w:r w:rsidRPr="00C50FAD">
              <w:t>Best Beginnings Plus</w:t>
            </w:r>
          </w:p>
          <w:p w14:paraId="5A8AEE6D" w14:textId="77777777" w:rsidR="00DD6F1E" w:rsidRDefault="00DD6F1E" w:rsidP="00FB6B92">
            <w:pPr>
              <w:pStyle w:val="TableTextSmall"/>
            </w:pPr>
            <w:r w:rsidRPr="00C50FAD">
              <w:t>Early Years Initiative</w:t>
            </w:r>
          </w:p>
        </w:tc>
        <w:tc>
          <w:tcPr>
            <w:tcW w:w="1355" w:type="dxa"/>
          </w:tcPr>
          <w:p w14:paraId="1EE9B21A" w14:textId="77777777" w:rsidR="00DD6F1E" w:rsidRPr="00C50FAD" w:rsidRDefault="00DD6F1E" w:rsidP="00FB6B92">
            <w:pPr>
              <w:pStyle w:val="TableTextSmall"/>
            </w:pPr>
            <w:r>
              <w:t>2</w:t>
            </w:r>
          </w:p>
        </w:tc>
      </w:tr>
      <w:tr w:rsidR="00DD6F1E" w14:paraId="2BD603C5" w14:textId="77777777" w:rsidTr="00FB6B92">
        <w:tc>
          <w:tcPr>
            <w:tcW w:w="1271" w:type="dxa"/>
            <w:vMerge/>
          </w:tcPr>
          <w:p w14:paraId="05770956" w14:textId="77777777" w:rsidR="00DD6F1E" w:rsidRDefault="00DD6F1E" w:rsidP="00FB6B92">
            <w:pPr>
              <w:pStyle w:val="TableTextSmall"/>
            </w:pPr>
          </w:p>
        </w:tc>
        <w:tc>
          <w:tcPr>
            <w:tcW w:w="1559" w:type="dxa"/>
          </w:tcPr>
          <w:p w14:paraId="42ADE90E" w14:textId="77777777" w:rsidR="00DD6F1E" w:rsidRDefault="00DD6F1E" w:rsidP="00FB6B92">
            <w:pPr>
              <w:pStyle w:val="TableTextSmall"/>
            </w:pPr>
            <w:r>
              <w:t>TAS</w:t>
            </w:r>
          </w:p>
        </w:tc>
        <w:tc>
          <w:tcPr>
            <w:tcW w:w="5670" w:type="dxa"/>
          </w:tcPr>
          <w:p w14:paraId="24D29C7F" w14:textId="77777777" w:rsidR="00DD6F1E" w:rsidRDefault="00DD6F1E" w:rsidP="00FB6B92">
            <w:pPr>
              <w:pStyle w:val="TableTextSmall"/>
            </w:pPr>
            <w:r w:rsidRPr="00C50FAD">
              <w:t>Healthy Tasmania Five Year Strategic Plan and Healthy Kids Toolkit</w:t>
            </w:r>
          </w:p>
          <w:p w14:paraId="3ECA88E2" w14:textId="77777777" w:rsidR="00DD6F1E" w:rsidRDefault="00DD6F1E" w:rsidP="00FB6B92">
            <w:pPr>
              <w:pStyle w:val="TableTextSmall"/>
            </w:pPr>
            <w:r w:rsidRPr="00C50FAD">
              <w:t>B4 Early Years Coalition</w:t>
            </w:r>
          </w:p>
          <w:p w14:paraId="7AF20A48" w14:textId="77777777" w:rsidR="00DD6F1E" w:rsidRDefault="00DD6F1E" w:rsidP="00FB6B92">
            <w:pPr>
              <w:pStyle w:val="TableTextSmall"/>
            </w:pPr>
            <w:r w:rsidRPr="00C50FAD">
              <w:t>Child and Student Wellbeing Strategy</w:t>
            </w:r>
          </w:p>
        </w:tc>
        <w:tc>
          <w:tcPr>
            <w:tcW w:w="1355" w:type="dxa"/>
          </w:tcPr>
          <w:p w14:paraId="32817799" w14:textId="77777777" w:rsidR="00DD6F1E" w:rsidRPr="00C50FAD" w:rsidRDefault="00DD6F1E" w:rsidP="00FB6B92">
            <w:pPr>
              <w:pStyle w:val="TableTextSmall"/>
            </w:pPr>
            <w:r>
              <w:t>3</w:t>
            </w:r>
          </w:p>
        </w:tc>
      </w:tr>
      <w:tr w:rsidR="00DD6F1E" w14:paraId="2DA14B5C" w14:textId="77777777" w:rsidTr="00FB6B92">
        <w:tc>
          <w:tcPr>
            <w:tcW w:w="8500" w:type="dxa"/>
            <w:gridSpan w:val="3"/>
          </w:tcPr>
          <w:p w14:paraId="4C5B7894" w14:textId="77777777" w:rsidR="00DD6F1E" w:rsidRPr="000F1BB0" w:rsidRDefault="00DD6F1E" w:rsidP="00FB6B92">
            <w:pPr>
              <w:pStyle w:val="TableTextSmall"/>
              <w:jc w:val="right"/>
              <w:rPr>
                <w:b/>
                <w:bCs/>
              </w:rPr>
            </w:pPr>
            <w:r w:rsidRPr="00FA3E74">
              <w:rPr>
                <w:b/>
                <w:bCs/>
              </w:rPr>
              <w:t>Total initiatives aligned to supporting outcome 1</w:t>
            </w:r>
          </w:p>
        </w:tc>
        <w:tc>
          <w:tcPr>
            <w:tcW w:w="1355" w:type="dxa"/>
          </w:tcPr>
          <w:p w14:paraId="6C2DA1B3" w14:textId="77777777" w:rsidR="00DD6F1E" w:rsidRPr="000F1BB0" w:rsidRDefault="00DD6F1E" w:rsidP="00FB6B92">
            <w:pPr>
              <w:pStyle w:val="TableTextSmall"/>
              <w:rPr>
                <w:b/>
                <w:bCs/>
              </w:rPr>
            </w:pPr>
            <w:r w:rsidRPr="000F1BB0">
              <w:rPr>
                <w:b/>
                <w:bCs/>
              </w:rPr>
              <w:t>20</w:t>
            </w:r>
          </w:p>
        </w:tc>
      </w:tr>
      <w:tr w:rsidR="00DD6F1E" w14:paraId="34F289C8" w14:textId="77777777" w:rsidTr="00FA3E74">
        <w:tc>
          <w:tcPr>
            <w:tcW w:w="1271" w:type="dxa"/>
            <w:vMerge w:val="restart"/>
            <w:vAlign w:val="center"/>
          </w:tcPr>
          <w:p w14:paraId="1FD4E1AA" w14:textId="77777777" w:rsidR="00DD6F1E" w:rsidRDefault="00DD6F1E" w:rsidP="00FB6B92">
            <w:pPr>
              <w:pStyle w:val="TableTextSmall"/>
            </w:pPr>
            <w:r>
              <w:t>Outcome 2</w:t>
            </w:r>
          </w:p>
        </w:tc>
        <w:tc>
          <w:tcPr>
            <w:tcW w:w="1559" w:type="dxa"/>
          </w:tcPr>
          <w:p w14:paraId="44E1F70C" w14:textId="77777777" w:rsidR="00DD6F1E" w:rsidRDefault="00DD6F1E" w:rsidP="00FB6B92">
            <w:pPr>
              <w:pStyle w:val="TableTextSmall"/>
            </w:pPr>
            <w:r>
              <w:t>Commonwealth</w:t>
            </w:r>
          </w:p>
        </w:tc>
        <w:tc>
          <w:tcPr>
            <w:tcW w:w="5670" w:type="dxa"/>
          </w:tcPr>
          <w:p w14:paraId="2BCF5B5B" w14:textId="77777777" w:rsidR="00DD6F1E" w:rsidRDefault="00DD6F1E" w:rsidP="00FB6B92">
            <w:pPr>
              <w:pStyle w:val="TableTextSmall"/>
            </w:pPr>
            <w:r w:rsidRPr="004413F0">
              <w:t>Business Research and Innovation Initiative</w:t>
            </w:r>
          </w:p>
          <w:p w14:paraId="4CF07D49" w14:textId="77777777" w:rsidR="00DD6F1E" w:rsidRPr="00C50FAD" w:rsidRDefault="00DD6F1E" w:rsidP="00FB6B92">
            <w:pPr>
              <w:pStyle w:val="TableTextSmall"/>
            </w:pPr>
          </w:p>
        </w:tc>
        <w:tc>
          <w:tcPr>
            <w:tcW w:w="1355" w:type="dxa"/>
          </w:tcPr>
          <w:p w14:paraId="41034172" w14:textId="77777777" w:rsidR="00DD6F1E" w:rsidRDefault="00DD6F1E" w:rsidP="00FB6B92">
            <w:pPr>
              <w:pStyle w:val="TableTextSmall"/>
            </w:pPr>
            <w:r>
              <w:t>1</w:t>
            </w:r>
          </w:p>
        </w:tc>
      </w:tr>
      <w:tr w:rsidR="00DD6F1E" w14:paraId="67987346" w14:textId="77777777" w:rsidTr="00FB6B92">
        <w:tc>
          <w:tcPr>
            <w:tcW w:w="1271" w:type="dxa"/>
            <w:vMerge/>
          </w:tcPr>
          <w:p w14:paraId="579C8F8D" w14:textId="77777777" w:rsidR="00DD6F1E" w:rsidRDefault="00DD6F1E" w:rsidP="00FB6B92">
            <w:pPr>
              <w:pStyle w:val="TableTextSmall"/>
            </w:pPr>
          </w:p>
        </w:tc>
        <w:tc>
          <w:tcPr>
            <w:tcW w:w="1559" w:type="dxa"/>
          </w:tcPr>
          <w:p w14:paraId="2C3C0285" w14:textId="77777777" w:rsidR="00DD6F1E" w:rsidRDefault="00DD6F1E" w:rsidP="00FB6B92">
            <w:pPr>
              <w:pStyle w:val="TableTextSmall"/>
            </w:pPr>
            <w:r>
              <w:t>ACT</w:t>
            </w:r>
          </w:p>
        </w:tc>
        <w:tc>
          <w:tcPr>
            <w:tcW w:w="5670" w:type="dxa"/>
          </w:tcPr>
          <w:p w14:paraId="15396A2E" w14:textId="77777777" w:rsidR="00DD6F1E" w:rsidRDefault="00DD6F1E" w:rsidP="00FB6B92">
            <w:pPr>
              <w:pStyle w:val="TableTextSmall"/>
            </w:pPr>
            <w:r w:rsidRPr="004413F0">
              <w:t>Information sharing</w:t>
            </w:r>
          </w:p>
          <w:p w14:paraId="56AB3396" w14:textId="77777777" w:rsidR="00DD6F1E" w:rsidRDefault="00DD6F1E" w:rsidP="00FB6B92">
            <w:pPr>
              <w:pStyle w:val="TableTextSmall"/>
            </w:pPr>
            <w:r w:rsidRPr="00DE561D">
              <w:t>Child Development Service</w:t>
            </w:r>
          </w:p>
          <w:p w14:paraId="00E6E946" w14:textId="77777777" w:rsidR="00DD6F1E" w:rsidRPr="00C50FAD" w:rsidRDefault="00DD6F1E" w:rsidP="00FB6B92">
            <w:pPr>
              <w:pStyle w:val="TableTextSmall"/>
            </w:pPr>
            <w:r w:rsidRPr="00DE561D">
              <w:t>Early Support by Design</w:t>
            </w:r>
          </w:p>
        </w:tc>
        <w:tc>
          <w:tcPr>
            <w:tcW w:w="1355" w:type="dxa"/>
          </w:tcPr>
          <w:p w14:paraId="358FC57F" w14:textId="77777777" w:rsidR="00DD6F1E" w:rsidRDefault="00DD6F1E" w:rsidP="00FB6B92">
            <w:pPr>
              <w:pStyle w:val="TableTextSmall"/>
            </w:pPr>
            <w:r>
              <w:t>3</w:t>
            </w:r>
          </w:p>
        </w:tc>
      </w:tr>
      <w:tr w:rsidR="00DD6F1E" w14:paraId="32AFB3D2" w14:textId="77777777" w:rsidTr="00FB6B92">
        <w:tc>
          <w:tcPr>
            <w:tcW w:w="1271" w:type="dxa"/>
            <w:vMerge/>
          </w:tcPr>
          <w:p w14:paraId="5E8B3D70" w14:textId="77777777" w:rsidR="00DD6F1E" w:rsidRDefault="00DD6F1E" w:rsidP="00FB6B92">
            <w:pPr>
              <w:pStyle w:val="TableTextSmall"/>
            </w:pPr>
          </w:p>
        </w:tc>
        <w:tc>
          <w:tcPr>
            <w:tcW w:w="1559" w:type="dxa"/>
          </w:tcPr>
          <w:p w14:paraId="1EC0D8F1" w14:textId="77777777" w:rsidR="00DD6F1E" w:rsidRDefault="00DD6F1E" w:rsidP="00FB6B92">
            <w:pPr>
              <w:pStyle w:val="TableTextSmall"/>
            </w:pPr>
            <w:r>
              <w:t>VIC</w:t>
            </w:r>
          </w:p>
        </w:tc>
        <w:tc>
          <w:tcPr>
            <w:tcW w:w="5670" w:type="dxa"/>
          </w:tcPr>
          <w:p w14:paraId="674F5490" w14:textId="77777777" w:rsidR="00DD6F1E" w:rsidRDefault="00DD6F1E" w:rsidP="00FB6B92">
            <w:pPr>
              <w:pStyle w:val="TableTextSmall"/>
            </w:pPr>
            <w:r w:rsidRPr="00DE561D">
              <w:t>Child wellbeing and safety and family violence information sharing schemes and the Multi Agency Risk Assessment and Management framework</w:t>
            </w:r>
          </w:p>
          <w:p w14:paraId="696C0F4C" w14:textId="77777777" w:rsidR="00DD6F1E" w:rsidRDefault="00DD6F1E" w:rsidP="00FB6B92">
            <w:pPr>
              <w:pStyle w:val="TableTextSmall"/>
            </w:pPr>
            <w:r w:rsidRPr="00DE561D">
              <w:t>10 year Early Parenting Centre (EPC) service plan</w:t>
            </w:r>
          </w:p>
          <w:p w14:paraId="7193C188" w14:textId="77777777" w:rsidR="00DD6F1E" w:rsidRDefault="00DD6F1E" w:rsidP="00FB6B92">
            <w:pPr>
              <w:pStyle w:val="TableTextSmall"/>
            </w:pPr>
            <w:r w:rsidRPr="00DE561D">
              <w:t>Cradle to Kinder (C2K) and Cradle to Kinder for Aboriginal children and their families programs</w:t>
            </w:r>
          </w:p>
          <w:p w14:paraId="4C745FF6" w14:textId="77777777" w:rsidR="00DD6F1E" w:rsidRPr="00C50FAD" w:rsidRDefault="00DD6F1E" w:rsidP="00FB6B92">
            <w:pPr>
              <w:pStyle w:val="TableTextSmall"/>
            </w:pPr>
            <w:r w:rsidRPr="00DE561D">
              <w:t>smalltalk</w:t>
            </w:r>
          </w:p>
        </w:tc>
        <w:tc>
          <w:tcPr>
            <w:tcW w:w="1355" w:type="dxa"/>
          </w:tcPr>
          <w:p w14:paraId="27924D64" w14:textId="77777777" w:rsidR="00DD6F1E" w:rsidRDefault="00DD6F1E" w:rsidP="00FB6B92">
            <w:pPr>
              <w:pStyle w:val="TableTextSmall"/>
            </w:pPr>
            <w:r>
              <w:t>4</w:t>
            </w:r>
          </w:p>
        </w:tc>
      </w:tr>
      <w:tr w:rsidR="00DD6F1E" w14:paraId="23E7B243" w14:textId="77777777" w:rsidTr="00FB6B92">
        <w:tc>
          <w:tcPr>
            <w:tcW w:w="1271" w:type="dxa"/>
            <w:vMerge/>
          </w:tcPr>
          <w:p w14:paraId="19924580" w14:textId="77777777" w:rsidR="00DD6F1E" w:rsidRDefault="00DD6F1E" w:rsidP="00FB6B92">
            <w:pPr>
              <w:pStyle w:val="TableTextSmall"/>
            </w:pPr>
          </w:p>
        </w:tc>
        <w:tc>
          <w:tcPr>
            <w:tcW w:w="1559" w:type="dxa"/>
          </w:tcPr>
          <w:p w14:paraId="1B80FA8C" w14:textId="77777777" w:rsidR="00DD6F1E" w:rsidRDefault="00DD6F1E" w:rsidP="00FB6B92">
            <w:pPr>
              <w:pStyle w:val="TableTextSmall"/>
            </w:pPr>
            <w:r>
              <w:t>NSW</w:t>
            </w:r>
          </w:p>
        </w:tc>
        <w:tc>
          <w:tcPr>
            <w:tcW w:w="5670" w:type="dxa"/>
          </w:tcPr>
          <w:p w14:paraId="3E18856E" w14:textId="77777777" w:rsidR="00DD6F1E" w:rsidRDefault="00DD6F1E" w:rsidP="00FB6B92">
            <w:pPr>
              <w:pStyle w:val="TableTextSmall"/>
            </w:pPr>
            <w:r w:rsidRPr="00DE561D">
              <w:t>Landmark child protection reform, Their Futures Matter</w:t>
            </w:r>
          </w:p>
          <w:p w14:paraId="4DC3AC1F" w14:textId="77777777" w:rsidR="00DD6F1E" w:rsidRDefault="00DD6F1E" w:rsidP="00FB6B92">
            <w:pPr>
              <w:pStyle w:val="TableTextSmall"/>
            </w:pPr>
            <w:r w:rsidRPr="00DE561D">
              <w:t>Family group conferencing</w:t>
            </w:r>
          </w:p>
          <w:p w14:paraId="66AEEEF6" w14:textId="77777777" w:rsidR="00DD6F1E" w:rsidRDefault="00DD6F1E" w:rsidP="00FB6B92">
            <w:pPr>
              <w:pStyle w:val="TableTextSmall"/>
            </w:pPr>
            <w:r w:rsidRPr="00DE561D">
              <w:t>Permanency Support Program</w:t>
            </w:r>
          </w:p>
          <w:p w14:paraId="60123B11" w14:textId="77777777" w:rsidR="00DD6F1E" w:rsidRPr="00C50FAD" w:rsidRDefault="00DD6F1E" w:rsidP="00FB6B92">
            <w:pPr>
              <w:pStyle w:val="TableTextSmall"/>
            </w:pPr>
            <w:r w:rsidRPr="00DE561D">
              <w:t>Quality Assurance Framework</w:t>
            </w:r>
          </w:p>
        </w:tc>
        <w:tc>
          <w:tcPr>
            <w:tcW w:w="1355" w:type="dxa"/>
          </w:tcPr>
          <w:p w14:paraId="3670E400" w14:textId="77777777" w:rsidR="00DD6F1E" w:rsidRDefault="00DD6F1E" w:rsidP="00FB6B92">
            <w:pPr>
              <w:pStyle w:val="TableTextSmall"/>
            </w:pPr>
            <w:r>
              <w:t>4</w:t>
            </w:r>
          </w:p>
        </w:tc>
      </w:tr>
      <w:tr w:rsidR="00DD6F1E" w14:paraId="01DAE09B" w14:textId="77777777" w:rsidTr="00FB6B92">
        <w:tc>
          <w:tcPr>
            <w:tcW w:w="1271" w:type="dxa"/>
            <w:vMerge/>
          </w:tcPr>
          <w:p w14:paraId="0AAE7B27" w14:textId="77777777" w:rsidR="00DD6F1E" w:rsidRDefault="00DD6F1E" w:rsidP="00FB6B92">
            <w:pPr>
              <w:pStyle w:val="TableTextSmall"/>
            </w:pPr>
          </w:p>
        </w:tc>
        <w:tc>
          <w:tcPr>
            <w:tcW w:w="1559" w:type="dxa"/>
          </w:tcPr>
          <w:p w14:paraId="62B72D3B" w14:textId="77777777" w:rsidR="00DD6F1E" w:rsidRDefault="00DD6F1E" w:rsidP="00FB6B92">
            <w:pPr>
              <w:pStyle w:val="TableTextSmall"/>
            </w:pPr>
            <w:r>
              <w:t>QLD</w:t>
            </w:r>
          </w:p>
        </w:tc>
        <w:tc>
          <w:tcPr>
            <w:tcW w:w="5670" w:type="dxa"/>
          </w:tcPr>
          <w:p w14:paraId="284F14C4" w14:textId="77777777" w:rsidR="00DD6F1E" w:rsidRDefault="00DD6F1E" w:rsidP="00FB6B92">
            <w:pPr>
              <w:pStyle w:val="TableTextSmall"/>
            </w:pPr>
            <w:r>
              <w:t>I</w:t>
            </w:r>
            <w:r w:rsidRPr="004413F0">
              <w:t>ncreased interagency information sharing</w:t>
            </w:r>
          </w:p>
          <w:p w14:paraId="7CDC5EFE" w14:textId="77777777" w:rsidR="00DD6F1E" w:rsidRDefault="00DD6F1E" w:rsidP="00FB6B92">
            <w:pPr>
              <w:pStyle w:val="TableTextSmall"/>
            </w:pPr>
            <w:r>
              <w:t>M</w:t>
            </w:r>
            <w:r w:rsidRPr="00DE561D">
              <w:t>issing children protocol</w:t>
            </w:r>
          </w:p>
          <w:p w14:paraId="2D353487" w14:textId="77777777" w:rsidR="00DD6F1E" w:rsidRDefault="00DD6F1E" w:rsidP="00FB6B92">
            <w:pPr>
              <w:pStyle w:val="TableTextSmall"/>
            </w:pPr>
            <w:r w:rsidRPr="00DE561D">
              <w:t>Advancing Queensland’s child protection and family support reforms —Supporting Families Changing Futures</w:t>
            </w:r>
          </w:p>
          <w:p w14:paraId="6D2CFB6D" w14:textId="77777777" w:rsidR="00DD6F1E" w:rsidRPr="00C50FAD" w:rsidRDefault="00DD6F1E" w:rsidP="00FB6B92">
            <w:pPr>
              <w:pStyle w:val="TableTextSmall"/>
            </w:pPr>
            <w:r w:rsidRPr="00DE561D">
              <w:t>Child Safety Officers</w:t>
            </w:r>
          </w:p>
        </w:tc>
        <w:tc>
          <w:tcPr>
            <w:tcW w:w="1355" w:type="dxa"/>
          </w:tcPr>
          <w:p w14:paraId="71B68360" w14:textId="77777777" w:rsidR="00DD6F1E" w:rsidRDefault="00DD6F1E" w:rsidP="00FB6B92">
            <w:pPr>
              <w:pStyle w:val="TableTextSmall"/>
            </w:pPr>
            <w:r>
              <w:t>4</w:t>
            </w:r>
          </w:p>
        </w:tc>
      </w:tr>
      <w:tr w:rsidR="00DD6F1E" w14:paraId="01936B16" w14:textId="77777777" w:rsidTr="00FB6B92">
        <w:tc>
          <w:tcPr>
            <w:tcW w:w="1271" w:type="dxa"/>
            <w:vMerge/>
          </w:tcPr>
          <w:p w14:paraId="44E74EFC" w14:textId="77777777" w:rsidR="00DD6F1E" w:rsidRDefault="00DD6F1E" w:rsidP="00FB6B92">
            <w:pPr>
              <w:pStyle w:val="TableTextSmall"/>
            </w:pPr>
          </w:p>
        </w:tc>
        <w:tc>
          <w:tcPr>
            <w:tcW w:w="1559" w:type="dxa"/>
          </w:tcPr>
          <w:p w14:paraId="78CDE79F" w14:textId="77777777" w:rsidR="00DD6F1E" w:rsidRDefault="00DD6F1E" w:rsidP="00FB6B92">
            <w:pPr>
              <w:pStyle w:val="TableTextSmall"/>
            </w:pPr>
            <w:r>
              <w:t>NT</w:t>
            </w:r>
          </w:p>
        </w:tc>
        <w:tc>
          <w:tcPr>
            <w:tcW w:w="5670" w:type="dxa"/>
          </w:tcPr>
          <w:p w14:paraId="0E3BB9F2" w14:textId="77777777" w:rsidR="00DD6F1E" w:rsidRDefault="00DD6F1E" w:rsidP="00FB6B92">
            <w:pPr>
              <w:pStyle w:val="TableTextSmall"/>
            </w:pPr>
            <w:r>
              <w:t>R</w:t>
            </w:r>
            <w:r w:rsidRPr="00DE561D">
              <w:t>eform to legislation for children and families</w:t>
            </w:r>
          </w:p>
          <w:p w14:paraId="24594412" w14:textId="77777777" w:rsidR="00DD6F1E" w:rsidRDefault="00DD6F1E" w:rsidP="00FB6B92">
            <w:pPr>
              <w:pStyle w:val="TableTextSmall"/>
            </w:pPr>
            <w:r w:rsidRPr="00DE561D">
              <w:t>FACES helpline</w:t>
            </w:r>
          </w:p>
          <w:p w14:paraId="0F952123" w14:textId="77777777" w:rsidR="00DD6F1E" w:rsidRDefault="00DD6F1E" w:rsidP="00FB6B92">
            <w:pPr>
              <w:pStyle w:val="TableTextSmall"/>
            </w:pPr>
            <w:r w:rsidRPr="00DE561D">
              <w:t>Strengthened investment in services for vulnerable young people</w:t>
            </w:r>
          </w:p>
          <w:p w14:paraId="6724F0D6" w14:textId="77777777" w:rsidR="00DD6F1E" w:rsidRDefault="00DD6F1E" w:rsidP="00FB6B92">
            <w:pPr>
              <w:pStyle w:val="TableTextSmall"/>
            </w:pPr>
            <w:r w:rsidRPr="00DE561D">
              <w:t>Healthy Under 5 Kids — Partnering with Families program</w:t>
            </w:r>
          </w:p>
          <w:p w14:paraId="0F3839A1" w14:textId="77777777" w:rsidR="00DD6F1E" w:rsidRDefault="00DD6F1E" w:rsidP="00FB6B92">
            <w:pPr>
              <w:pStyle w:val="TableTextSmall"/>
            </w:pPr>
            <w:r w:rsidRPr="00DE561D">
              <w:t>Child and Family Centres</w:t>
            </w:r>
          </w:p>
          <w:p w14:paraId="7B07A0F0" w14:textId="77777777" w:rsidR="00DD6F1E" w:rsidRDefault="00DD6F1E" w:rsidP="00FB6B92">
            <w:pPr>
              <w:pStyle w:val="TableTextSmall"/>
            </w:pPr>
            <w:r w:rsidRPr="00DE561D">
              <w:t>Partnerships with Aboriginal community controlled organisations</w:t>
            </w:r>
          </w:p>
          <w:p w14:paraId="6EB61404" w14:textId="77777777" w:rsidR="00DD6F1E" w:rsidRDefault="00DD6F1E" w:rsidP="00FB6B92">
            <w:pPr>
              <w:pStyle w:val="TableTextSmall"/>
            </w:pPr>
            <w:r w:rsidRPr="00DE561D">
              <w:t>Reinvigorating and expanding child safety and wellbeing committees</w:t>
            </w:r>
          </w:p>
          <w:p w14:paraId="5A2ACEF8" w14:textId="77777777" w:rsidR="00DD6F1E" w:rsidRPr="00C50FAD" w:rsidRDefault="00DD6F1E" w:rsidP="00FB6B92">
            <w:pPr>
              <w:pStyle w:val="TableTextSmall"/>
            </w:pPr>
            <w:r w:rsidRPr="00DE561D">
              <w:t>Young Mothers Strong Mothers Program</w:t>
            </w:r>
          </w:p>
        </w:tc>
        <w:tc>
          <w:tcPr>
            <w:tcW w:w="1355" w:type="dxa"/>
          </w:tcPr>
          <w:p w14:paraId="3752E120" w14:textId="77777777" w:rsidR="00DD6F1E" w:rsidRDefault="00DD6F1E" w:rsidP="00FB6B92">
            <w:pPr>
              <w:pStyle w:val="TableTextSmall"/>
            </w:pPr>
            <w:r>
              <w:t>8</w:t>
            </w:r>
          </w:p>
        </w:tc>
      </w:tr>
      <w:tr w:rsidR="00DD6F1E" w14:paraId="15CA449E" w14:textId="77777777" w:rsidTr="00FB6B92">
        <w:tc>
          <w:tcPr>
            <w:tcW w:w="1271" w:type="dxa"/>
            <w:vMerge/>
          </w:tcPr>
          <w:p w14:paraId="0F7FD208" w14:textId="77777777" w:rsidR="00DD6F1E" w:rsidRDefault="00DD6F1E" w:rsidP="00FB6B92">
            <w:pPr>
              <w:pStyle w:val="TableTextSmall"/>
            </w:pPr>
          </w:p>
        </w:tc>
        <w:tc>
          <w:tcPr>
            <w:tcW w:w="1559" w:type="dxa"/>
          </w:tcPr>
          <w:p w14:paraId="35A948BC" w14:textId="77777777" w:rsidR="00DD6F1E" w:rsidRDefault="00DD6F1E" w:rsidP="00FB6B92">
            <w:pPr>
              <w:pStyle w:val="TableTextSmall"/>
            </w:pPr>
            <w:r>
              <w:t>SA</w:t>
            </w:r>
          </w:p>
        </w:tc>
        <w:tc>
          <w:tcPr>
            <w:tcW w:w="5670" w:type="dxa"/>
          </w:tcPr>
          <w:p w14:paraId="3A5832BF" w14:textId="77777777" w:rsidR="00DD6F1E" w:rsidRDefault="00DD6F1E" w:rsidP="00FB6B92">
            <w:pPr>
              <w:pStyle w:val="TableTextSmall"/>
            </w:pPr>
            <w:r w:rsidRPr="00DE561D">
              <w:t>Public Sector (Data Sharing) Act 2016</w:t>
            </w:r>
          </w:p>
          <w:p w14:paraId="649F8E78" w14:textId="77777777" w:rsidR="00DD6F1E" w:rsidRDefault="00DD6F1E" w:rsidP="00FB6B92">
            <w:pPr>
              <w:pStyle w:val="TableTextSmall"/>
            </w:pPr>
            <w:r w:rsidRPr="00DE561D">
              <w:t>Early Intervention Research Directorate</w:t>
            </w:r>
          </w:p>
          <w:p w14:paraId="58297D90" w14:textId="77777777" w:rsidR="00DD6F1E" w:rsidRDefault="00DD6F1E" w:rsidP="00FB6B92">
            <w:pPr>
              <w:pStyle w:val="TableTextSmall"/>
            </w:pPr>
            <w:r w:rsidRPr="00DE561D">
              <w:t>Child and Family Health Service targeted and sustained services</w:t>
            </w:r>
          </w:p>
          <w:p w14:paraId="4AC2F3B3" w14:textId="77777777" w:rsidR="00DD6F1E" w:rsidRDefault="00DD6F1E" w:rsidP="00FB6B92">
            <w:pPr>
              <w:pStyle w:val="TableTextSmall"/>
            </w:pPr>
            <w:r w:rsidRPr="00DE561D">
              <w:t>Child and Family Assessment and Referral Networks</w:t>
            </w:r>
          </w:p>
          <w:p w14:paraId="340BF391" w14:textId="77777777" w:rsidR="00DD6F1E" w:rsidRPr="00C50FAD" w:rsidRDefault="00DD6F1E" w:rsidP="00FB6B92">
            <w:pPr>
              <w:pStyle w:val="TableTextSmall"/>
            </w:pPr>
            <w:r w:rsidRPr="00DE561D">
              <w:t>Child Safety Pathway</w:t>
            </w:r>
          </w:p>
        </w:tc>
        <w:tc>
          <w:tcPr>
            <w:tcW w:w="1355" w:type="dxa"/>
          </w:tcPr>
          <w:p w14:paraId="498BDDD6" w14:textId="77777777" w:rsidR="00DD6F1E" w:rsidRDefault="00DD6F1E" w:rsidP="00FB6B92">
            <w:pPr>
              <w:pStyle w:val="TableTextSmall"/>
            </w:pPr>
            <w:r>
              <w:t>5</w:t>
            </w:r>
          </w:p>
        </w:tc>
      </w:tr>
      <w:tr w:rsidR="00DD6F1E" w14:paraId="080CDBDB" w14:textId="77777777" w:rsidTr="00FB6B92">
        <w:tc>
          <w:tcPr>
            <w:tcW w:w="1271" w:type="dxa"/>
            <w:vMerge/>
          </w:tcPr>
          <w:p w14:paraId="0BB72E21" w14:textId="77777777" w:rsidR="00DD6F1E" w:rsidRDefault="00DD6F1E" w:rsidP="00FB6B92">
            <w:pPr>
              <w:pStyle w:val="TableTextSmall"/>
            </w:pPr>
          </w:p>
        </w:tc>
        <w:tc>
          <w:tcPr>
            <w:tcW w:w="1559" w:type="dxa"/>
          </w:tcPr>
          <w:p w14:paraId="0D715B78" w14:textId="77777777" w:rsidR="00DD6F1E" w:rsidRDefault="00DD6F1E" w:rsidP="00FB6B92">
            <w:pPr>
              <w:pStyle w:val="TableTextSmall"/>
            </w:pPr>
            <w:r>
              <w:t>WA</w:t>
            </w:r>
          </w:p>
        </w:tc>
        <w:tc>
          <w:tcPr>
            <w:tcW w:w="5670" w:type="dxa"/>
          </w:tcPr>
          <w:p w14:paraId="50CEB5E7" w14:textId="77777777" w:rsidR="00DD6F1E" w:rsidRDefault="00DD6F1E" w:rsidP="00FB6B92">
            <w:pPr>
              <w:pStyle w:val="TableTextSmall"/>
            </w:pPr>
            <w:r w:rsidRPr="00DE561D">
              <w:t>Earlier Intervention and Family Support Strategy</w:t>
            </w:r>
          </w:p>
          <w:p w14:paraId="2525384F" w14:textId="77777777" w:rsidR="00DD6F1E" w:rsidRPr="00C50FAD" w:rsidRDefault="00DD6F1E" w:rsidP="00FB6B92">
            <w:pPr>
              <w:pStyle w:val="TableTextSmall"/>
            </w:pPr>
            <w:r w:rsidRPr="00DE561D">
              <w:t>Target 120 program</w:t>
            </w:r>
          </w:p>
        </w:tc>
        <w:tc>
          <w:tcPr>
            <w:tcW w:w="1355" w:type="dxa"/>
          </w:tcPr>
          <w:p w14:paraId="1FEDFCED" w14:textId="77777777" w:rsidR="00DD6F1E" w:rsidRDefault="00DD6F1E" w:rsidP="00FB6B92">
            <w:pPr>
              <w:pStyle w:val="TableTextSmall"/>
            </w:pPr>
            <w:r>
              <w:t>2</w:t>
            </w:r>
          </w:p>
        </w:tc>
      </w:tr>
      <w:tr w:rsidR="00DD6F1E" w14:paraId="519A981F" w14:textId="77777777" w:rsidTr="00FB6B92">
        <w:tc>
          <w:tcPr>
            <w:tcW w:w="1271" w:type="dxa"/>
            <w:vMerge/>
          </w:tcPr>
          <w:p w14:paraId="705B062C" w14:textId="77777777" w:rsidR="00DD6F1E" w:rsidRDefault="00DD6F1E" w:rsidP="00FB6B92">
            <w:pPr>
              <w:pStyle w:val="TableTextSmall"/>
            </w:pPr>
          </w:p>
        </w:tc>
        <w:tc>
          <w:tcPr>
            <w:tcW w:w="1559" w:type="dxa"/>
          </w:tcPr>
          <w:p w14:paraId="6F08A6DD" w14:textId="77777777" w:rsidR="00DD6F1E" w:rsidRDefault="00DD6F1E" w:rsidP="00FB6B92">
            <w:pPr>
              <w:pStyle w:val="TableTextSmall"/>
            </w:pPr>
            <w:r>
              <w:t>TAS</w:t>
            </w:r>
          </w:p>
        </w:tc>
        <w:tc>
          <w:tcPr>
            <w:tcW w:w="5670" w:type="dxa"/>
          </w:tcPr>
          <w:p w14:paraId="39F6673E" w14:textId="77777777" w:rsidR="00DD6F1E" w:rsidRDefault="00DD6F1E" w:rsidP="00FB6B92">
            <w:pPr>
              <w:pStyle w:val="TableTextSmall"/>
            </w:pPr>
            <w:r w:rsidRPr="00DE561D">
              <w:t>Child and Youth Wellbeing Framework and the Child and Family Wellbeing Assessment Tool</w:t>
            </w:r>
          </w:p>
          <w:p w14:paraId="3CE39236" w14:textId="77777777" w:rsidR="00DD6F1E" w:rsidRDefault="00DD6F1E" w:rsidP="00FB6B92">
            <w:pPr>
              <w:pStyle w:val="TableTextSmall"/>
            </w:pPr>
            <w:r w:rsidRPr="00DE561D">
              <w:t>Joined Up Services Project</w:t>
            </w:r>
          </w:p>
          <w:p w14:paraId="016CEF8C" w14:textId="77777777" w:rsidR="00DD6F1E" w:rsidRPr="00C50FAD" w:rsidRDefault="00DD6F1E" w:rsidP="00FB6B92">
            <w:pPr>
              <w:pStyle w:val="TableTextSmall"/>
            </w:pPr>
            <w:r w:rsidRPr="00DE561D">
              <w:t>Intensive Family Engagement Service</w:t>
            </w:r>
          </w:p>
        </w:tc>
        <w:tc>
          <w:tcPr>
            <w:tcW w:w="1355" w:type="dxa"/>
          </w:tcPr>
          <w:p w14:paraId="4B2E7DBD" w14:textId="77777777" w:rsidR="00DD6F1E" w:rsidRDefault="00DD6F1E" w:rsidP="00FB6B92">
            <w:pPr>
              <w:pStyle w:val="TableTextSmall"/>
            </w:pPr>
            <w:r>
              <w:t>3</w:t>
            </w:r>
          </w:p>
        </w:tc>
      </w:tr>
      <w:tr w:rsidR="00DD6F1E" w14:paraId="47026778" w14:textId="77777777" w:rsidTr="00FA3E74">
        <w:tc>
          <w:tcPr>
            <w:tcW w:w="8500" w:type="dxa"/>
            <w:gridSpan w:val="3"/>
            <w:vAlign w:val="center"/>
          </w:tcPr>
          <w:p w14:paraId="32CAC81C" w14:textId="77777777" w:rsidR="00DD6F1E" w:rsidRPr="00FA3E74" w:rsidRDefault="00DD6F1E" w:rsidP="00FB6B92">
            <w:pPr>
              <w:pStyle w:val="TableTextSmall"/>
              <w:jc w:val="right"/>
            </w:pPr>
            <w:r w:rsidRPr="00FA3E74">
              <w:rPr>
                <w:b/>
                <w:bCs/>
              </w:rPr>
              <w:t>Total initiatives aligned to supporting outcome 2</w:t>
            </w:r>
          </w:p>
        </w:tc>
        <w:tc>
          <w:tcPr>
            <w:tcW w:w="1355" w:type="dxa"/>
          </w:tcPr>
          <w:p w14:paraId="286BB4C3" w14:textId="77777777" w:rsidR="00DD6F1E" w:rsidRPr="000B58C9" w:rsidRDefault="00FB6B92" w:rsidP="00FB6B92">
            <w:pPr>
              <w:pStyle w:val="TableTextSmall"/>
              <w:rPr>
                <w:b/>
              </w:rPr>
            </w:pPr>
            <w:r w:rsidRPr="000B58C9">
              <w:rPr>
                <w:b/>
              </w:rPr>
              <w:t>34</w:t>
            </w:r>
          </w:p>
        </w:tc>
      </w:tr>
      <w:tr w:rsidR="00DB0517" w14:paraId="22C7F497" w14:textId="77777777" w:rsidTr="00DB0517">
        <w:tc>
          <w:tcPr>
            <w:tcW w:w="1271" w:type="dxa"/>
            <w:vMerge w:val="restart"/>
            <w:vAlign w:val="center"/>
          </w:tcPr>
          <w:p w14:paraId="42483D23" w14:textId="4CAE51AF" w:rsidR="00DB0517" w:rsidRDefault="00DB0517" w:rsidP="00FB6B92">
            <w:pPr>
              <w:pStyle w:val="TableTextSmall"/>
            </w:pPr>
            <w:r>
              <w:t>Outcome 3</w:t>
            </w:r>
          </w:p>
        </w:tc>
        <w:tc>
          <w:tcPr>
            <w:tcW w:w="1559" w:type="dxa"/>
          </w:tcPr>
          <w:p w14:paraId="685E39AF" w14:textId="77777777" w:rsidR="00DB0517" w:rsidRDefault="00DB0517" w:rsidP="00FB6B92">
            <w:pPr>
              <w:pStyle w:val="TableTextSmall"/>
            </w:pPr>
            <w:r>
              <w:t>Commonwealth</w:t>
            </w:r>
          </w:p>
        </w:tc>
        <w:tc>
          <w:tcPr>
            <w:tcW w:w="5670" w:type="dxa"/>
          </w:tcPr>
          <w:p w14:paraId="01D7E3D7" w14:textId="77777777" w:rsidR="00DB0517" w:rsidRDefault="00DB0517" w:rsidP="00FB6B92">
            <w:pPr>
              <w:pStyle w:val="TableTextSmall"/>
            </w:pPr>
            <w:r w:rsidRPr="00DE561D">
              <w:t>National Principles for Child Safe Organisations</w:t>
            </w:r>
          </w:p>
          <w:p w14:paraId="524C6CD8" w14:textId="77777777" w:rsidR="00DB0517" w:rsidRDefault="00DB0517" w:rsidP="00FB6B92">
            <w:pPr>
              <w:pStyle w:val="TableTextSmall"/>
            </w:pPr>
            <w:r w:rsidRPr="00DE561D">
              <w:t>National Plan to Reduce Violence against Women and their Children 2010–2022</w:t>
            </w:r>
          </w:p>
          <w:p w14:paraId="58F88E16" w14:textId="77777777" w:rsidR="00DB0517" w:rsidRPr="00C50FAD" w:rsidRDefault="00DB0517" w:rsidP="00FB6B92">
            <w:pPr>
              <w:pStyle w:val="TableTextSmall"/>
            </w:pPr>
            <w:r w:rsidRPr="0087209D">
              <w:lastRenderedPageBreak/>
              <w:t>National Disability Strategy</w:t>
            </w:r>
          </w:p>
        </w:tc>
        <w:tc>
          <w:tcPr>
            <w:tcW w:w="1355" w:type="dxa"/>
          </w:tcPr>
          <w:p w14:paraId="526FB6E3" w14:textId="77777777" w:rsidR="00DB0517" w:rsidRDefault="00DB0517" w:rsidP="00FB6B92">
            <w:pPr>
              <w:pStyle w:val="TableTextSmall"/>
            </w:pPr>
            <w:r>
              <w:lastRenderedPageBreak/>
              <w:t>3</w:t>
            </w:r>
          </w:p>
        </w:tc>
      </w:tr>
      <w:tr w:rsidR="00DB0517" w14:paraId="4C1F5C5C" w14:textId="77777777" w:rsidTr="00FB6B92">
        <w:tc>
          <w:tcPr>
            <w:tcW w:w="1271" w:type="dxa"/>
            <w:vMerge/>
          </w:tcPr>
          <w:p w14:paraId="6BFEFB53" w14:textId="77777777" w:rsidR="00DB0517" w:rsidRDefault="00DB0517" w:rsidP="00FB6B92">
            <w:pPr>
              <w:pStyle w:val="TableTextSmall"/>
            </w:pPr>
          </w:p>
        </w:tc>
        <w:tc>
          <w:tcPr>
            <w:tcW w:w="1559" w:type="dxa"/>
          </w:tcPr>
          <w:p w14:paraId="2FFCA161" w14:textId="77777777" w:rsidR="00DB0517" w:rsidRDefault="00DB0517" w:rsidP="00FB6B92">
            <w:pPr>
              <w:pStyle w:val="TableTextSmall"/>
            </w:pPr>
            <w:r>
              <w:t>ACT</w:t>
            </w:r>
          </w:p>
        </w:tc>
        <w:tc>
          <w:tcPr>
            <w:tcW w:w="5670" w:type="dxa"/>
          </w:tcPr>
          <w:p w14:paraId="09C7D464" w14:textId="77777777" w:rsidR="00DB0517" w:rsidRDefault="00DB0517" w:rsidP="00FB6B92">
            <w:pPr>
              <w:pStyle w:val="TableTextSmall"/>
            </w:pPr>
            <w:r w:rsidRPr="00DE561D">
              <w:t>Improving service responses to domestic and family violence</w:t>
            </w:r>
          </w:p>
          <w:p w14:paraId="522BC51D" w14:textId="77777777" w:rsidR="00DB0517" w:rsidRPr="00C50FAD" w:rsidRDefault="00DB0517" w:rsidP="00FB6B92">
            <w:pPr>
              <w:pStyle w:val="TableTextSmall"/>
            </w:pPr>
            <w:r w:rsidRPr="00DE561D">
              <w:t>Family Safety Hub</w:t>
            </w:r>
          </w:p>
        </w:tc>
        <w:tc>
          <w:tcPr>
            <w:tcW w:w="1355" w:type="dxa"/>
          </w:tcPr>
          <w:p w14:paraId="7435B9A1" w14:textId="77777777" w:rsidR="00DB0517" w:rsidRDefault="00DB0517" w:rsidP="00FB6B92">
            <w:pPr>
              <w:pStyle w:val="TableTextSmall"/>
            </w:pPr>
            <w:r>
              <w:t>2</w:t>
            </w:r>
          </w:p>
        </w:tc>
      </w:tr>
      <w:tr w:rsidR="00DB0517" w14:paraId="1133424A" w14:textId="77777777" w:rsidTr="00FB6B92">
        <w:tc>
          <w:tcPr>
            <w:tcW w:w="1271" w:type="dxa"/>
            <w:vMerge/>
          </w:tcPr>
          <w:p w14:paraId="6A270D76" w14:textId="77777777" w:rsidR="00DB0517" w:rsidRDefault="00DB0517" w:rsidP="00FB6B92">
            <w:pPr>
              <w:pStyle w:val="TableTextSmall"/>
            </w:pPr>
          </w:p>
        </w:tc>
        <w:tc>
          <w:tcPr>
            <w:tcW w:w="1559" w:type="dxa"/>
          </w:tcPr>
          <w:p w14:paraId="773C521D" w14:textId="77777777" w:rsidR="00DB0517" w:rsidRDefault="00DB0517" w:rsidP="00FB6B92">
            <w:pPr>
              <w:pStyle w:val="TableTextSmall"/>
            </w:pPr>
            <w:r>
              <w:t>VIC</w:t>
            </w:r>
          </w:p>
        </w:tc>
        <w:tc>
          <w:tcPr>
            <w:tcW w:w="5670" w:type="dxa"/>
          </w:tcPr>
          <w:p w14:paraId="6027121A" w14:textId="77777777" w:rsidR="00DB0517" w:rsidRDefault="00DB0517" w:rsidP="00FB6B92">
            <w:pPr>
              <w:pStyle w:val="TableTextSmall"/>
            </w:pPr>
            <w:r w:rsidRPr="00DE561D">
              <w:t>Minimum qualification requirements for residential care workers</w:t>
            </w:r>
          </w:p>
          <w:p w14:paraId="55EE5B1E" w14:textId="77777777" w:rsidR="00DB0517" w:rsidRDefault="00DB0517" w:rsidP="00FB6B92">
            <w:pPr>
              <w:pStyle w:val="TableTextSmall"/>
            </w:pPr>
            <w:r w:rsidRPr="00DE561D">
              <w:t>The Orange Door</w:t>
            </w:r>
          </w:p>
          <w:p w14:paraId="342A686A" w14:textId="77777777" w:rsidR="00DB0517" w:rsidRPr="00C50FAD" w:rsidRDefault="00DB0517" w:rsidP="00FB6B92">
            <w:pPr>
              <w:pStyle w:val="TableTextSmall"/>
            </w:pPr>
            <w:r w:rsidRPr="00DE561D">
              <w:t>Adolescent Family Violence Program</w:t>
            </w:r>
          </w:p>
        </w:tc>
        <w:tc>
          <w:tcPr>
            <w:tcW w:w="1355" w:type="dxa"/>
          </w:tcPr>
          <w:p w14:paraId="59F46E2B" w14:textId="77777777" w:rsidR="00DB0517" w:rsidRDefault="00DB0517" w:rsidP="00FB6B92">
            <w:pPr>
              <w:pStyle w:val="TableTextSmall"/>
            </w:pPr>
            <w:r>
              <w:t>3</w:t>
            </w:r>
          </w:p>
        </w:tc>
      </w:tr>
      <w:tr w:rsidR="00DB0517" w14:paraId="6F04643D" w14:textId="77777777" w:rsidTr="00FB6B92">
        <w:tc>
          <w:tcPr>
            <w:tcW w:w="1271" w:type="dxa"/>
            <w:vMerge/>
          </w:tcPr>
          <w:p w14:paraId="7682BC1D" w14:textId="77777777" w:rsidR="00DB0517" w:rsidRDefault="00DB0517" w:rsidP="00FB6B92">
            <w:pPr>
              <w:pStyle w:val="TableTextSmall"/>
            </w:pPr>
          </w:p>
        </w:tc>
        <w:tc>
          <w:tcPr>
            <w:tcW w:w="1559" w:type="dxa"/>
          </w:tcPr>
          <w:p w14:paraId="10779D53" w14:textId="77777777" w:rsidR="00DB0517" w:rsidRDefault="00DB0517" w:rsidP="00FB6B92">
            <w:pPr>
              <w:pStyle w:val="TableTextSmall"/>
            </w:pPr>
            <w:r>
              <w:t>NSW</w:t>
            </w:r>
          </w:p>
        </w:tc>
        <w:tc>
          <w:tcPr>
            <w:tcW w:w="5670" w:type="dxa"/>
          </w:tcPr>
          <w:p w14:paraId="57DB2522" w14:textId="77777777" w:rsidR="00DB0517" w:rsidRDefault="00DB0517" w:rsidP="00FB6B92">
            <w:pPr>
              <w:pStyle w:val="TableTextSmall"/>
            </w:pPr>
            <w:r w:rsidRPr="00DE561D">
              <w:t>Practice Framework</w:t>
            </w:r>
          </w:p>
          <w:p w14:paraId="0D2C7B19" w14:textId="77777777" w:rsidR="00DB0517" w:rsidRDefault="00DB0517" w:rsidP="00FB6B92">
            <w:pPr>
              <w:pStyle w:val="TableTextSmall"/>
            </w:pPr>
            <w:r w:rsidRPr="00DE561D">
              <w:t>Expanding perpetrator interventions</w:t>
            </w:r>
          </w:p>
          <w:p w14:paraId="7E7B1737" w14:textId="77777777" w:rsidR="00DB0517" w:rsidRPr="00C50FAD" w:rsidRDefault="00DB0517" w:rsidP="00FB6B92">
            <w:pPr>
              <w:pStyle w:val="TableTextSmall"/>
            </w:pPr>
            <w:r w:rsidRPr="00DE561D">
              <w:t>Domestic and Family Violence Innovation Fund</w:t>
            </w:r>
          </w:p>
        </w:tc>
        <w:tc>
          <w:tcPr>
            <w:tcW w:w="1355" w:type="dxa"/>
          </w:tcPr>
          <w:p w14:paraId="53368E78" w14:textId="77777777" w:rsidR="00DB0517" w:rsidRDefault="00DB0517" w:rsidP="00FB6B92">
            <w:pPr>
              <w:pStyle w:val="TableTextSmall"/>
            </w:pPr>
            <w:r>
              <w:t>3</w:t>
            </w:r>
          </w:p>
        </w:tc>
      </w:tr>
      <w:tr w:rsidR="00DB0517" w14:paraId="2A29358B" w14:textId="77777777" w:rsidTr="00FB6B92">
        <w:tc>
          <w:tcPr>
            <w:tcW w:w="1271" w:type="dxa"/>
            <w:vMerge/>
          </w:tcPr>
          <w:p w14:paraId="16865F6A" w14:textId="77777777" w:rsidR="00DB0517" w:rsidRDefault="00DB0517" w:rsidP="00FB6B92">
            <w:pPr>
              <w:pStyle w:val="TableTextSmall"/>
            </w:pPr>
          </w:p>
        </w:tc>
        <w:tc>
          <w:tcPr>
            <w:tcW w:w="1559" w:type="dxa"/>
          </w:tcPr>
          <w:p w14:paraId="3C0724AC" w14:textId="77777777" w:rsidR="00DB0517" w:rsidRDefault="00DB0517" w:rsidP="00FB6B92">
            <w:pPr>
              <w:pStyle w:val="TableTextSmall"/>
            </w:pPr>
            <w:r>
              <w:t>QLD</w:t>
            </w:r>
          </w:p>
        </w:tc>
        <w:tc>
          <w:tcPr>
            <w:tcW w:w="5670" w:type="dxa"/>
          </w:tcPr>
          <w:p w14:paraId="7916B90A" w14:textId="77777777" w:rsidR="00DB0517" w:rsidRDefault="00DB0517" w:rsidP="00FB6B92">
            <w:pPr>
              <w:pStyle w:val="TableTextSmall"/>
            </w:pPr>
            <w:r w:rsidRPr="00DE561D">
              <w:t>Child Safety Practice Manual Rebuild</w:t>
            </w:r>
          </w:p>
          <w:p w14:paraId="77C5BDAC" w14:textId="77777777" w:rsidR="00DB0517" w:rsidRDefault="00DB0517" w:rsidP="00FB6B92">
            <w:pPr>
              <w:pStyle w:val="TableTextSmall"/>
            </w:pPr>
            <w:r>
              <w:t>D</w:t>
            </w:r>
            <w:r w:rsidRPr="00DE561D">
              <w:t>omestic and family violence (DFV) capability development</w:t>
            </w:r>
          </w:p>
          <w:p w14:paraId="780A783A" w14:textId="77777777" w:rsidR="00DB0517" w:rsidRPr="00C50FAD" w:rsidRDefault="00DB0517" w:rsidP="00FB6B92">
            <w:pPr>
              <w:pStyle w:val="TableTextSmall"/>
            </w:pPr>
            <w:r w:rsidRPr="00DE561D">
              <w:t>Connecting Care to recovery 2016–2026</w:t>
            </w:r>
          </w:p>
        </w:tc>
        <w:tc>
          <w:tcPr>
            <w:tcW w:w="1355" w:type="dxa"/>
          </w:tcPr>
          <w:p w14:paraId="44B335F1" w14:textId="77777777" w:rsidR="00DB0517" w:rsidRDefault="00DB0517" w:rsidP="00FB6B92">
            <w:pPr>
              <w:pStyle w:val="TableTextSmall"/>
            </w:pPr>
            <w:r>
              <w:t>3</w:t>
            </w:r>
          </w:p>
        </w:tc>
      </w:tr>
      <w:tr w:rsidR="00DB0517" w14:paraId="666BA32D" w14:textId="77777777" w:rsidTr="00FB6B92">
        <w:tc>
          <w:tcPr>
            <w:tcW w:w="1271" w:type="dxa"/>
            <w:vMerge/>
          </w:tcPr>
          <w:p w14:paraId="09F7EAEB" w14:textId="77777777" w:rsidR="00DB0517" w:rsidRDefault="00DB0517" w:rsidP="00FB6B92">
            <w:pPr>
              <w:pStyle w:val="TableTextSmall"/>
            </w:pPr>
          </w:p>
        </w:tc>
        <w:tc>
          <w:tcPr>
            <w:tcW w:w="1559" w:type="dxa"/>
          </w:tcPr>
          <w:p w14:paraId="06FBEF8C" w14:textId="77777777" w:rsidR="00DB0517" w:rsidRDefault="00DB0517" w:rsidP="00FB6B92">
            <w:pPr>
              <w:pStyle w:val="TableTextSmall"/>
            </w:pPr>
            <w:r>
              <w:t>NT</w:t>
            </w:r>
          </w:p>
        </w:tc>
        <w:tc>
          <w:tcPr>
            <w:tcW w:w="5670" w:type="dxa"/>
          </w:tcPr>
          <w:p w14:paraId="0A218DDA" w14:textId="77777777" w:rsidR="00DB0517" w:rsidRDefault="00DB0517" w:rsidP="00FB6B92">
            <w:pPr>
              <w:pStyle w:val="TableTextSmall"/>
            </w:pPr>
            <w:r w:rsidRPr="00DE561D">
              <w:t>Youth Outreach and Re engagement Teams</w:t>
            </w:r>
          </w:p>
          <w:p w14:paraId="444B9C51" w14:textId="77777777" w:rsidR="00DB0517" w:rsidRDefault="00DB0517" w:rsidP="00FB6B92">
            <w:pPr>
              <w:pStyle w:val="TableTextSmall"/>
            </w:pPr>
            <w:r w:rsidRPr="00DE561D">
              <w:t>Sexual Behaviours in Children Guidelines and mandatory reporting training</w:t>
            </w:r>
          </w:p>
          <w:p w14:paraId="23B8AB24" w14:textId="77777777" w:rsidR="00DB0517" w:rsidRDefault="00DB0517" w:rsidP="00FB6B92">
            <w:pPr>
              <w:pStyle w:val="TableTextSmall"/>
            </w:pPr>
            <w:r w:rsidRPr="00DE561D">
              <w:t>Early Years Rewarding Careers</w:t>
            </w:r>
          </w:p>
          <w:p w14:paraId="7E8A4423" w14:textId="77777777" w:rsidR="00DB0517" w:rsidRDefault="00DB0517" w:rsidP="00FB6B92">
            <w:pPr>
              <w:pStyle w:val="TableTextSmall"/>
            </w:pPr>
            <w:r w:rsidRPr="00DE561D">
              <w:t>Northern Territory Domestic, Family and Sexual Violence Reduction Framework 2018–2028, Safe, Respected and Free from Violence</w:t>
            </w:r>
          </w:p>
          <w:p w14:paraId="1964FE89" w14:textId="77777777" w:rsidR="00DB0517" w:rsidRPr="00C50FAD" w:rsidRDefault="00DB0517" w:rsidP="00FB6B92">
            <w:pPr>
              <w:pStyle w:val="TableTextSmall"/>
            </w:pPr>
            <w:r>
              <w:t>D</w:t>
            </w:r>
            <w:r w:rsidRPr="00DE561D">
              <w:t>omestic and family violence initiatives</w:t>
            </w:r>
          </w:p>
        </w:tc>
        <w:tc>
          <w:tcPr>
            <w:tcW w:w="1355" w:type="dxa"/>
          </w:tcPr>
          <w:p w14:paraId="52857F25" w14:textId="77777777" w:rsidR="00DB0517" w:rsidRDefault="00DB0517" w:rsidP="00FB6B92">
            <w:pPr>
              <w:pStyle w:val="TableTextSmall"/>
            </w:pPr>
            <w:r>
              <w:t>5</w:t>
            </w:r>
          </w:p>
        </w:tc>
      </w:tr>
      <w:tr w:rsidR="00DB0517" w14:paraId="5ECC12B4" w14:textId="77777777" w:rsidTr="00FB6B92">
        <w:tc>
          <w:tcPr>
            <w:tcW w:w="1271" w:type="dxa"/>
            <w:vMerge/>
          </w:tcPr>
          <w:p w14:paraId="4A5FF566" w14:textId="77777777" w:rsidR="00DB0517" w:rsidRDefault="00DB0517" w:rsidP="00FB6B92">
            <w:pPr>
              <w:pStyle w:val="TableTextSmall"/>
            </w:pPr>
          </w:p>
        </w:tc>
        <w:tc>
          <w:tcPr>
            <w:tcW w:w="1559" w:type="dxa"/>
          </w:tcPr>
          <w:p w14:paraId="5E563427" w14:textId="77777777" w:rsidR="00DB0517" w:rsidRDefault="00DB0517" w:rsidP="00FB6B92">
            <w:pPr>
              <w:pStyle w:val="TableTextSmall"/>
            </w:pPr>
            <w:r>
              <w:t>SA</w:t>
            </w:r>
          </w:p>
        </w:tc>
        <w:tc>
          <w:tcPr>
            <w:tcW w:w="5670" w:type="dxa"/>
          </w:tcPr>
          <w:p w14:paraId="2C1B9DCD" w14:textId="77777777" w:rsidR="00DB0517" w:rsidRDefault="00DB0517" w:rsidP="00FB6B92">
            <w:pPr>
              <w:pStyle w:val="TableTextSmall"/>
            </w:pPr>
            <w:r w:rsidRPr="00DE561D">
              <w:t>Child Wellbeing Practitioners</w:t>
            </w:r>
          </w:p>
          <w:p w14:paraId="3A818EF3" w14:textId="77777777" w:rsidR="00DB0517" w:rsidRDefault="00DB0517" w:rsidP="00FB6B92">
            <w:pPr>
              <w:pStyle w:val="TableTextSmall"/>
            </w:pPr>
            <w:r w:rsidRPr="00DE561D">
              <w:t>Metropolitan Youth Health Young Parents Program, Youth and Women’s Safety and Wellbeing Division</w:t>
            </w:r>
          </w:p>
          <w:p w14:paraId="1755D313" w14:textId="77777777" w:rsidR="00DB0517" w:rsidRPr="00C50FAD" w:rsidRDefault="00DB0517" w:rsidP="00FB6B92">
            <w:pPr>
              <w:pStyle w:val="TableTextSmall"/>
            </w:pPr>
            <w:r w:rsidRPr="0087209D">
              <w:t>Department for Child Protection’s Disability Program</w:t>
            </w:r>
          </w:p>
        </w:tc>
        <w:tc>
          <w:tcPr>
            <w:tcW w:w="1355" w:type="dxa"/>
          </w:tcPr>
          <w:p w14:paraId="528F4EBA" w14:textId="77777777" w:rsidR="00DB0517" w:rsidRDefault="00DB0517" w:rsidP="00FB6B92">
            <w:pPr>
              <w:pStyle w:val="TableTextSmall"/>
            </w:pPr>
            <w:r>
              <w:t>3</w:t>
            </w:r>
          </w:p>
        </w:tc>
      </w:tr>
      <w:tr w:rsidR="00DB0517" w14:paraId="0F88D519" w14:textId="77777777" w:rsidTr="00FA3E74">
        <w:trPr>
          <w:trHeight w:val="60"/>
        </w:trPr>
        <w:tc>
          <w:tcPr>
            <w:tcW w:w="1271" w:type="dxa"/>
            <w:vMerge/>
          </w:tcPr>
          <w:p w14:paraId="55F67B20" w14:textId="77777777" w:rsidR="00DB0517" w:rsidRDefault="00DB0517" w:rsidP="00FB6B92">
            <w:pPr>
              <w:pStyle w:val="TableTextSmall"/>
            </w:pPr>
          </w:p>
        </w:tc>
        <w:tc>
          <w:tcPr>
            <w:tcW w:w="1559" w:type="dxa"/>
          </w:tcPr>
          <w:p w14:paraId="6BDE5E81" w14:textId="77777777" w:rsidR="00DB0517" w:rsidRDefault="00DB0517" w:rsidP="00FB6B92">
            <w:pPr>
              <w:pStyle w:val="TableTextSmall"/>
            </w:pPr>
            <w:r>
              <w:t>WA</w:t>
            </w:r>
          </w:p>
        </w:tc>
        <w:tc>
          <w:tcPr>
            <w:tcW w:w="5670" w:type="dxa"/>
          </w:tcPr>
          <w:p w14:paraId="4CDC5992" w14:textId="77777777" w:rsidR="00DB0517" w:rsidRPr="00C50FAD" w:rsidRDefault="00DB0517" w:rsidP="00FB6B92">
            <w:pPr>
              <w:pStyle w:val="TableTextSmall"/>
            </w:pPr>
            <w:r w:rsidRPr="00DE561D">
              <w:t>Responding to domestic and family violence</w:t>
            </w:r>
          </w:p>
        </w:tc>
        <w:tc>
          <w:tcPr>
            <w:tcW w:w="1355" w:type="dxa"/>
          </w:tcPr>
          <w:p w14:paraId="3C6526A8" w14:textId="77777777" w:rsidR="00DB0517" w:rsidRDefault="00DB0517" w:rsidP="00FB6B92">
            <w:pPr>
              <w:pStyle w:val="TableTextSmall"/>
            </w:pPr>
            <w:r>
              <w:t>1</w:t>
            </w:r>
          </w:p>
        </w:tc>
      </w:tr>
      <w:tr w:rsidR="00DB0517" w14:paraId="78EB1E77" w14:textId="77777777" w:rsidTr="00FB6B92">
        <w:tc>
          <w:tcPr>
            <w:tcW w:w="1271" w:type="dxa"/>
            <w:vMerge/>
          </w:tcPr>
          <w:p w14:paraId="0F63E04D" w14:textId="77777777" w:rsidR="00DB0517" w:rsidRDefault="00DB0517" w:rsidP="00FB6B92">
            <w:pPr>
              <w:pStyle w:val="TableTextSmall"/>
            </w:pPr>
          </w:p>
        </w:tc>
        <w:tc>
          <w:tcPr>
            <w:tcW w:w="1559" w:type="dxa"/>
          </w:tcPr>
          <w:p w14:paraId="05A090A4" w14:textId="77777777" w:rsidR="00DB0517" w:rsidRDefault="00DB0517" w:rsidP="00FB6B92">
            <w:pPr>
              <w:pStyle w:val="TableTextSmall"/>
            </w:pPr>
            <w:r>
              <w:t>TAS</w:t>
            </w:r>
          </w:p>
        </w:tc>
        <w:tc>
          <w:tcPr>
            <w:tcW w:w="5670" w:type="dxa"/>
          </w:tcPr>
          <w:p w14:paraId="7BD98C90" w14:textId="77777777" w:rsidR="00DB0517" w:rsidRDefault="00DB0517" w:rsidP="00FB6B92">
            <w:pPr>
              <w:pStyle w:val="TableTextSmall"/>
            </w:pPr>
            <w:r w:rsidRPr="00DE561D">
              <w:t>Safe Families Coordination Unit</w:t>
            </w:r>
          </w:p>
          <w:p w14:paraId="63F257DD" w14:textId="77777777" w:rsidR="00DB0517" w:rsidRDefault="00DB0517" w:rsidP="00FB6B92">
            <w:pPr>
              <w:pStyle w:val="TableTextSmall"/>
            </w:pPr>
            <w:r w:rsidRPr="00DE561D">
              <w:t>Safe Homes, Safe Families</w:t>
            </w:r>
          </w:p>
          <w:p w14:paraId="63219452" w14:textId="77777777" w:rsidR="00DB0517" w:rsidRDefault="00DB0517" w:rsidP="00FB6B92">
            <w:pPr>
              <w:pStyle w:val="TableTextSmall"/>
            </w:pPr>
            <w:r w:rsidRPr="00DE561D">
              <w:t>The Youth Suicide Prevention Plan for Tasmania (2016–2020)</w:t>
            </w:r>
          </w:p>
          <w:p w14:paraId="1A44023B" w14:textId="77777777" w:rsidR="00DB0517" w:rsidRPr="00C50FAD" w:rsidRDefault="00DB0517" w:rsidP="00FB6B92">
            <w:pPr>
              <w:pStyle w:val="TableTextSmall"/>
            </w:pPr>
            <w:r w:rsidRPr="0087209D">
              <w:t>Everybody’s Business Implementation Plan</w:t>
            </w:r>
          </w:p>
        </w:tc>
        <w:tc>
          <w:tcPr>
            <w:tcW w:w="1355" w:type="dxa"/>
          </w:tcPr>
          <w:p w14:paraId="3E164F40" w14:textId="77777777" w:rsidR="00DB0517" w:rsidRDefault="00DB0517" w:rsidP="00FB6B92">
            <w:pPr>
              <w:pStyle w:val="TableTextSmall"/>
            </w:pPr>
            <w:r>
              <w:t>4</w:t>
            </w:r>
          </w:p>
        </w:tc>
      </w:tr>
      <w:tr w:rsidR="00DD6F1E" w14:paraId="429348CA" w14:textId="77777777" w:rsidTr="00FA3E74">
        <w:tc>
          <w:tcPr>
            <w:tcW w:w="8500" w:type="dxa"/>
            <w:gridSpan w:val="3"/>
            <w:vAlign w:val="center"/>
          </w:tcPr>
          <w:p w14:paraId="6EFCC1B9" w14:textId="77777777" w:rsidR="00DD6F1E" w:rsidRPr="00FA3E74" w:rsidRDefault="00DD6F1E" w:rsidP="00FB6B92">
            <w:pPr>
              <w:pStyle w:val="TableTextSmall"/>
              <w:jc w:val="right"/>
              <w:rPr>
                <w:b/>
                <w:bCs/>
              </w:rPr>
            </w:pPr>
            <w:r w:rsidRPr="00FA3E74">
              <w:rPr>
                <w:b/>
                <w:bCs/>
              </w:rPr>
              <w:t>Total initiatives aligned to supporting outcome 3</w:t>
            </w:r>
          </w:p>
        </w:tc>
        <w:tc>
          <w:tcPr>
            <w:tcW w:w="1355" w:type="dxa"/>
          </w:tcPr>
          <w:p w14:paraId="71A0D834" w14:textId="77777777" w:rsidR="00DD6F1E" w:rsidRPr="000B58C9" w:rsidRDefault="00FB6B92" w:rsidP="00FB6B92">
            <w:pPr>
              <w:pStyle w:val="TableTextSmall"/>
              <w:rPr>
                <w:b/>
              </w:rPr>
            </w:pPr>
            <w:r w:rsidRPr="000B58C9">
              <w:rPr>
                <w:b/>
              </w:rPr>
              <w:t>27</w:t>
            </w:r>
          </w:p>
        </w:tc>
      </w:tr>
      <w:tr w:rsidR="00DB0517" w14:paraId="6981F152" w14:textId="77777777" w:rsidTr="00DB0517">
        <w:tc>
          <w:tcPr>
            <w:tcW w:w="1271" w:type="dxa"/>
            <w:vMerge w:val="restart"/>
            <w:vAlign w:val="center"/>
          </w:tcPr>
          <w:p w14:paraId="275C37A3" w14:textId="0DE8B0D9" w:rsidR="00DB0517" w:rsidRDefault="00DB0517" w:rsidP="00FB6B92">
            <w:pPr>
              <w:pStyle w:val="TableTextSmall"/>
            </w:pPr>
            <w:r>
              <w:t>Outcome 4</w:t>
            </w:r>
          </w:p>
        </w:tc>
        <w:tc>
          <w:tcPr>
            <w:tcW w:w="1559" w:type="dxa"/>
          </w:tcPr>
          <w:p w14:paraId="17CF4248" w14:textId="77777777" w:rsidR="00DB0517" w:rsidRDefault="00DB0517" w:rsidP="00FB6B92">
            <w:pPr>
              <w:pStyle w:val="TableTextSmall"/>
            </w:pPr>
            <w:r>
              <w:t>Commonwealth</w:t>
            </w:r>
          </w:p>
        </w:tc>
        <w:tc>
          <w:tcPr>
            <w:tcW w:w="5670" w:type="dxa"/>
          </w:tcPr>
          <w:p w14:paraId="052E8460" w14:textId="77777777" w:rsidR="00DB0517" w:rsidRDefault="00DB0517" w:rsidP="00FB6B92">
            <w:pPr>
              <w:pStyle w:val="TableTextSmall"/>
            </w:pPr>
            <w:r w:rsidRPr="0087209D">
              <w:t>Young people in child protection and under youth justice supervision</w:t>
            </w:r>
          </w:p>
          <w:p w14:paraId="6498FD89" w14:textId="77777777" w:rsidR="00DB0517" w:rsidRDefault="00DB0517" w:rsidP="00FB6B92">
            <w:pPr>
              <w:pStyle w:val="TableTextSmall"/>
            </w:pPr>
            <w:r w:rsidRPr="0087209D">
              <w:t>Vulnerable young people — interactions across homelessness, youth justice and child protection</w:t>
            </w:r>
          </w:p>
          <w:p w14:paraId="5C43667B" w14:textId="77777777" w:rsidR="00DB0517" w:rsidRDefault="00DB0517" w:rsidP="00FB6B92">
            <w:pPr>
              <w:pStyle w:val="TableTextSmall"/>
            </w:pPr>
            <w:r w:rsidRPr="0087209D">
              <w:t>Working Together to Care for Kids: The Survey of Foster and Relative/Kinship Carers</w:t>
            </w:r>
          </w:p>
          <w:p w14:paraId="20BF643D" w14:textId="77777777" w:rsidR="00DB0517" w:rsidRDefault="00DB0517" w:rsidP="00FB6B92">
            <w:pPr>
              <w:pStyle w:val="TableTextSmall"/>
            </w:pPr>
            <w:r w:rsidRPr="0087209D">
              <w:t>National Standards for out of home care</w:t>
            </w:r>
          </w:p>
          <w:p w14:paraId="69752CAF" w14:textId="77777777" w:rsidR="00DB0517" w:rsidRPr="00C50FAD" w:rsidRDefault="00DB0517" w:rsidP="00FB6B92">
            <w:pPr>
              <w:pStyle w:val="TableTextSmall"/>
            </w:pPr>
            <w:r w:rsidRPr="009B62E6">
              <w:t>Towards Independent Adulthood trial</w:t>
            </w:r>
          </w:p>
        </w:tc>
        <w:tc>
          <w:tcPr>
            <w:tcW w:w="1355" w:type="dxa"/>
          </w:tcPr>
          <w:p w14:paraId="4F401C13" w14:textId="77777777" w:rsidR="00DB0517" w:rsidRDefault="00DB0517" w:rsidP="00FB6B92">
            <w:pPr>
              <w:pStyle w:val="TableTextSmall"/>
            </w:pPr>
            <w:r>
              <w:t>5</w:t>
            </w:r>
          </w:p>
        </w:tc>
      </w:tr>
      <w:tr w:rsidR="00DB0517" w14:paraId="5B4C4F41" w14:textId="77777777" w:rsidTr="00FB6B92">
        <w:tc>
          <w:tcPr>
            <w:tcW w:w="1271" w:type="dxa"/>
            <w:vMerge/>
          </w:tcPr>
          <w:p w14:paraId="3913D0A0" w14:textId="77777777" w:rsidR="00DB0517" w:rsidRDefault="00DB0517" w:rsidP="00FB6B92">
            <w:pPr>
              <w:pStyle w:val="TableTextSmall"/>
            </w:pPr>
          </w:p>
        </w:tc>
        <w:tc>
          <w:tcPr>
            <w:tcW w:w="1559" w:type="dxa"/>
          </w:tcPr>
          <w:p w14:paraId="48374AF0" w14:textId="77777777" w:rsidR="00DB0517" w:rsidRDefault="00DB0517" w:rsidP="00FB6B92">
            <w:pPr>
              <w:pStyle w:val="TableTextSmall"/>
            </w:pPr>
            <w:r>
              <w:t>ACT</w:t>
            </w:r>
          </w:p>
        </w:tc>
        <w:tc>
          <w:tcPr>
            <w:tcW w:w="5670" w:type="dxa"/>
          </w:tcPr>
          <w:p w14:paraId="0C42B79A" w14:textId="77777777" w:rsidR="00DB0517" w:rsidRDefault="00DB0517" w:rsidP="00FB6B92">
            <w:pPr>
              <w:pStyle w:val="TableTextSmall"/>
            </w:pPr>
            <w:r w:rsidRPr="0087209D">
              <w:t>A Step Up for Our Kids</w:t>
            </w:r>
          </w:p>
          <w:p w14:paraId="768A3D53" w14:textId="77777777" w:rsidR="00DB0517" w:rsidRPr="00C50FAD" w:rsidRDefault="00DB0517" w:rsidP="00FB6B92">
            <w:pPr>
              <w:pStyle w:val="TableTextSmall"/>
            </w:pPr>
            <w:r w:rsidRPr="0087209D">
              <w:t>Therapeutic assessments:</w:t>
            </w:r>
          </w:p>
        </w:tc>
        <w:tc>
          <w:tcPr>
            <w:tcW w:w="1355" w:type="dxa"/>
          </w:tcPr>
          <w:p w14:paraId="305F83B4" w14:textId="77777777" w:rsidR="00DB0517" w:rsidRDefault="00DB0517" w:rsidP="00FB6B92">
            <w:pPr>
              <w:pStyle w:val="TableTextSmall"/>
            </w:pPr>
            <w:r>
              <w:t>2</w:t>
            </w:r>
          </w:p>
        </w:tc>
      </w:tr>
      <w:tr w:rsidR="00DB0517" w14:paraId="3F62AA2B" w14:textId="77777777" w:rsidTr="00FB6B92">
        <w:tc>
          <w:tcPr>
            <w:tcW w:w="1271" w:type="dxa"/>
            <w:vMerge/>
          </w:tcPr>
          <w:p w14:paraId="198959AA" w14:textId="77777777" w:rsidR="00DB0517" w:rsidRDefault="00DB0517" w:rsidP="00FB6B92">
            <w:pPr>
              <w:pStyle w:val="TableTextSmall"/>
            </w:pPr>
          </w:p>
        </w:tc>
        <w:tc>
          <w:tcPr>
            <w:tcW w:w="1559" w:type="dxa"/>
          </w:tcPr>
          <w:p w14:paraId="45419B8F" w14:textId="77777777" w:rsidR="00DB0517" w:rsidRDefault="00DB0517" w:rsidP="00FB6B92">
            <w:pPr>
              <w:pStyle w:val="TableTextSmall"/>
            </w:pPr>
            <w:r>
              <w:t>VIC</w:t>
            </w:r>
          </w:p>
        </w:tc>
        <w:tc>
          <w:tcPr>
            <w:tcW w:w="5670" w:type="dxa"/>
          </w:tcPr>
          <w:p w14:paraId="00F99DC3" w14:textId="77777777" w:rsidR="00DB0517" w:rsidRDefault="00DB0517" w:rsidP="00FB6B92">
            <w:pPr>
              <w:pStyle w:val="TableTextSmall"/>
            </w:pPr>
            <w:r w:rsidRPr="009B62E6">
              <w:t>Better Futures</w:t>
            </w:r>
          </w:p>
          <w:p w14:paraId="0325E908" w14:textId="77777777" w:rsidR="00DB0517" w:rsidRDefault="00DB0517" w:rsidP="00FB6B92">
            <w:pPr>
              <w:pStyle w:val="TableTextSmall"/>
            </w:pPr>
            <w:r w:rsidRPr="008C0A84">
              <w:t>Carer KaFE program</w:t>
            </w:r>
          </w:p>
          <w:p w14:paraId="60698B4E" w14:textId="77777777" w:rsidR="00DB0517" w:rsidRDefault="00DB0517" w:rsidP="00FB6B92">
            <w:pPr>
              <w:pStyle w:val="TableTextSmall"/>
            </w:pPr>
            <w:r>
              <w:t>N</w:t>
            </w:r>
            <w:r w:rsidRPr="008C0A84">
              <w:t>ew model of kinship care</w:t>
            </w:r>
          </w:p>
          <w:p w14:paraId="4C122BE7" w14:textId="77777777" w:rsidR="00DB0517" w:rsidRPr="00C50FAD" w:rsidRDefault="00DB0517" w:rsidP="00FB6B92">
            <w:pPr>
              <w:pStyle w:val="TableTextSmall"/>
            </w:pPr>
            <w:r>
              <w:t>D</w:t>
            </w:r>
            <w:r w:rsidRPr="008C0A84">
              <w:t>evelopment of industry transition plans</w:t>
            </w:r>
          </w:p>
        </w:tc>
        <w:tc>
          <w:tcPr>
            <w:tcW w:w="1355" w:type="dxa"/>
          </w:tcPr>
          <w:p w14:paraId="702B121C" w14:textId="77777777" w:rsidR="00DB0517" w:rsidRDefault="00DB0517" w:rsidP="00FB6B92">
            <w:pPr>
              <w:pStyle w:val="TableTextSmall"/>
            </w:pPr>
            <w:r>
              <w:t>4</w:t>
            </w:r>
          </w:p>
        </w:tc>
      </w:tr>
      <w:tr w:rsidR="00DB0517" w14:paraId="77AA3806" w14:textId="77777777" w:rsidTr="00FB6B92">
        <w:tc>
          <w:tcPr>
            <w:tcW w:w="1271" w:type="dxa"/>
            <w:vMerge/>
          </w:tcPr>
          <w:p w14:paraId="4726FFF9" w14:textId="77777777" w:rsidR="00DB0517" w:rsidRDefault="00DB0517" w:rsidP="00FB6B92">
            <w:pPr>
              <w:pStyle w:val="TableTextSmall"/>
            </w:pPr>
          </w:p>
        </w:tc>
        <w:tc>
          <w:tcPr>
            <w:tcW w:w="1559" w:type="dxa"/>
          </w:tcPr>
          <w:p w14:paraId="3E36D0D1" w14:textId="77777777" w:rsidR="00DB0517" w:rsidRDefault="00DB0517" w:rsidP="00FB6B92">
            <w:pPr>
              <w:pStyle w:val="TableTextSmall"/>
            </w:pPr>
            <w:r>
              <w:t>NSW</w:t>
            </w:r>
          </w:p>
        </w:tc>
        <w:tc>
          <w:tcPr>
            <w:tcW w:w="5670" w:type="dxa"/>
          </w:tcPr>
          <w:p w14:paraId="57F5C834" w14:textId="77777777" w:rsidR="00DB0517" w:rsidRDefault="00DB0517" w:rsidP="00FB6B92">
            <w:pPr>
              <w:pStyle w:val="TableTextSmall"/>
            </w:pPr>
            <w:r w:rsidRPr="0087209D">
              <w:t>The Institute of Open Adoption Studies</w:t>
            </w:r>
            <w:r>
              <w:t xml:space="preserve"> </w:t>
            </w:r>
          </w:p>
          <w:p w14:paraId="0B0E4A69" w14:textId="77777777" w:rsidR="00DB0517" w:rsidRDefault="00DB0517" w:rsidP="00FB6B92">
            <w:pPr>
              <w:pStyle w:val="TableTextSmall"/>
            </w:pPr>
            <w:r w:rsidRPr="009B62E6">
              <w:t>Permanency Support Program</w:t>
            </w:r>
          </w:p>
          <w:p w14:paraId="3E49579D" w14:textId="77777777" w:rsidR="00DB0517" w:rsidRDefault="00DB0517" w:rsidP="00FB6B92">
            <w:pPr>
              <w:pStyle w:val="TableTextSmall"/>
            </w:pPr>
            <w:r w:rsidRPr="009B62E6">
              <w:t>My Forever Family NSW</w:t>
            </w:r>
          </w:p>
          <w:p w14:paraId="1EB30817" w14:textId="77777777" w:rsidR="00DB0517" w:rsidRDefault="00DB0517" w:rsidP="00FB6B92">
            <w:pPr>
              <w:pStyle w:val="TableTextSmall"/>
            </w:pPr>
            <w:r w:rsidRPr="008C0A84">
              <w:t>Contracting partnerships to be responsive to needs</w:t>
            </w:r>
          </w:p>
          <w:p w14:paraId="554A1CF7" w14:textId="77777777" w:rsidR="00DB0517" w:rsidRPr="00C50FAD" w:rsidRDefault="00DB0517" w:rsidP="00FB6B92">
            <w:pPr>
              <w:pStyle w:val="TableTextSmall"/>
            </w:pPr>
            <w:r w:rsidRPr="008C0A84">
              <w:t>Out-of-home care transition</w:t>
            </w:r>
          </w:p>
        </w:tc>
        <w:tc>
          <w:tcPr>
            <w:tcW w:w="1355" w:type="dxa"/>
          </w:tcPr>
          <w:p w14:paraId="17461BEE" w14:textId="77777777" w:rsidR="00DB0517" w:rsidRDefault="00DB0517" w:rsidP="00FB6B92">
            <w:pPr>
              <w:pStyle w:val="TableTextSmall"/>
            </w:pPr>
            <w:r>
              <w:t>5</w:t>
            </w:r>
          </w:p>
        </w:tc>
      </w:tr>
      <w:tr w:rsidR="00DB0517" w14:paraId="014CC1B3" w14:textId="77777777" w:rsidTr="00FB6B92">
        <w:tc>
          <w:tcPr>
            <w:tcW w:w="1271" w:type="dxa"/>
            <w:vMerge/>
          </w:tcPr>
          <w:p w14:paraId="583431B8" w14:textId="77777777" w:rsidR="00DB0517" w:rsidRDefault="00DB0517" w:rsidP="00FB6B92">
            <w:pPr>
              <w:pStyle w:val="TableTextSmall"/>
            </w:pPr>
          </w:p>
        </w:tc>
        <w:tc>
          <w:tcPr>
            <w:tcW w:w="1559" w:type="dxa"/>
          </w:tcPr>
          <w:p w14:paraId="65643D47" w14:textId="77777777" w:rsidR="00DB0517" w:rsidRDefault="00DB0517" w:rsidP="00FB6B92">
            <w:pPr>
              <w:pStyle w:val="TableTextSmall"/>
            </w:pPr>
            <w:r>
              <w:t>QLD</w:t>
            </w:r>
          </w:p>
        </w:tc>
        <w:tc>
          <w:tcPr>
            <w:tcW w:w="5670" w:type="dxa"/>
          </w:tcPr>
          <w:p w14:paraId="518FBA0A" w14:textId="77777777" w:rsidR="00DB0517" w:rsidRDefault="00DB0517" w:rsidP="00FB6B92">
            <w:pPr>
              <w:pStyle w:val="TableTextSmall"/>
            </w:pPr>
            <w:r>
              <w:t>B</w:t>
            </w:r>
            <w:r w:rsidRPr="009B62E6">
              <w:t>lue card and foster care system reviews</w:t>
            </w:r>
          </w:p>
          <w:p w14:paraId="11E0E508" w14:textId="77777777" w:rsidR="00DB0517" w:rsidRDefault="00DB0517" w:rsidP="00FB6B92">
            <w:pPr>
              <w:pStyle w:val="TableTextSmall"/>
            </w:pPr>
            <w:r w:rsidRPr="009B62E6">
              <w:t>Next Step After Care program</w:t>
            </w:r>
          </w:p>
          <w:p w14:paraId="7BBF1DBF" w14:textId="77777777" w:rsidR="00DB0517" w:rsidRDefault="00DB0517" w:rsidP="00FB6B92">
            <w:pPr>
              <w:pStyle w:val="TableTextSmall"/>
            </w:pPr>
            <w:r w:rsidRPr="009B62E6">
              <w:t>Partners in Care</w:t>
            </w:r>
          </w:p>
          <w:p w14:paraId="6DE53147" w14:textId="77777777" w:rsidR="00DB0517" w:rsidRPr="00C50FAD" w:rsidRDefault="00DB0517" w:rsidP="00FB6B92">
            <w:pPr>
              <w:pStyle w:val="TableTextSmall"/>
            </w:pPr>
            <w:r>
              <w:lastRenderedPageBreak/>
              <w:t>C</w:t>
            </w:r>
            <w:r w:rsidRPr="008C0A84">
              <w:t>hild and family workforce capacity and capability development</w:t>
            </w:r>
          </w:p>
        </w:tc>
        <w:tc>
          <w:tcPr>
            <w:tcW w:w="1355" w:type="dxa"/>
          </w:tcPr>
          <w:p w14:paraId="0CA06B9B" w14:textId="77777777" w:rsidR="00DB0517" w:rsidRDefault="00DB0517" w:rsidP="00FB6B92">
            <w:pPr>
              <w:pStyle w:val="TableTextSmall"/>
            </w:pPr>
            <w:r>
              <w:lastRenderedPageBreak/>
              <w:t>4</w:t>
            </w:r>
          </w:p>
        </w:tc>
      </w:tr>
      <w:tr w:rsidR="00DB0517" w14:paraId="1A58D072" w14:textId="77777777" w:rsidTr="00FB6B92">
        <w:tc>
          <w:tcPr>
            <w:tcW w:w="1271" w:type="dxa"/>
            <w:vMerge/>
          </w:tcPr>
          <w:p w14:paraId="78AF9FD4" w14:textId="77777777" w:rsidR="00DB0517" w:rsidRDefault="00DB0517" w:rsidP="00FB6B92">
            <w:pPr>
              <w:pStyle w:val="TableTextSmall"/>
            </w:pPr>
          </w:p>
        </w:tc>
        <w:tc>
          <w:tcPr>
            <w:tcW w:w="1559" w:type="dxa"/>
          </w:tcPr>
          <w:p w14:paraId="049383E1" w14:textId="77777777" w:rsidR="00DB0517" w:rsidRDefault="00DB0517" w:rsidP="00FB6B92">
            <w:pPr>
              <w:pStyle w:val="TableTextSmall"/>
            </w:pPr>
            <w:r>
              <w:t>NT</w:t>
            </w:r>
          </w:p>
        </w:tc>
        <w:tc>
          <w:tcPr>
            <w:tcW w:w="5670" w:type="dxa"/>
          </w:tcPr>
          <w:p w14:paraId="2A36F122" w14:textId="77777777" w:rsidR="00DB0517" w:rsidRDefault="00DB0517" w:rsidP="00FB6B92">
            <w:pPr>
              <w:pStyle w:val="TableTextSmall"/>
            </w:pPr>
            <w:r w:rsidRPr="009B62E6">
              <w:t>Culturally appropriate care arrangements</w:t>
            </w:r>
          </w:p>
          <w:p w14:paraId="18CD6724" w14:textId="77777777" w:rsidR="00DB0517" w:rsidRPr="00C50FAD" w:rsidRDefault="00DB0517" w:rsidP="00FB6B92">
            <w:pPr>
              <w:pStyle w:val="TableTextSmall"/>
            </w:pPr>
            <w:r>
              <w:t>C</w:t>
            </w:r>
            <w:r w:rsidRPr="009B62E6">
              <w:t>arers charter of rights</w:t>
            </w:r>
          </w:p>
        </w:tc>
        <w:tc>
          <w:tcPr>
            <w:tcW w:w="1355" w:type="dxa"/>
          </w:tcPr>
          <w:p w14:paraId="1AFA95FD" w14:textId="77777777" w:rsidR="00DB0517" w:rsidRDefault="00DB0517" w:rsidP="00FB6B92">
            <w:pPr>
              <w:pStyle w:val="TableTextSmall"/>
            </w:pPr>
            <w:r>
              <w:t>2</w:t>
            </w:r>
          </w:p>
        </w:tc>
      </w:tr>
      <w:tr w:rsidR="00DB0517" w14:paraId="1C3A22FF" w14:textId="77777777" w:rsidTr="00FB6B92">
        <w:tc>
          <w:tcPr>
            <w:tcW w:w="1271" w:type="dxa"/>
            <w:vMerge/>
          </w:tcPr>
          <w:p w14:paraId="5C416E78" w14:textId="77777777" w:rsidR="00DB0517" w:rsidRDefault="00DB0517" w:rsidP="00FB6B92">
            <w:pPr>
              <w:pStyle w:val="TableTextSmall"/>
            </w:pPr>
          </w:p>
        </w:tc>
        <w:tc>
          <w:tcPr>
            <w:tcW w:w="1559" w:type="dxa"/>
          </w:tcPr>
          <w:p w14:paraId="5537CF41" w14:textId="77777777" w:rsidR="00DB0517" w:rsidRDefault="00DB0517" w:rsidP="00FB6B92">
            <w:pPr>
              <w:pStyle w:val="TableTextSmall"/>
            </w:pPr>
            <w:r>
              <w:t>SA</w:t>
            </w:r>
          </w:p>
        </w:tc>
        <w:tc>
          <w:tcPr>
            <w:tcW w:w="5670" w:type="dxa"/>
          </w:tcPr>
          <w:p w14:paraId="5916CC66" w14:textId="77777777" w:rsidR="00DB0517" w:rsidRDefault="00DB0517" w:rsidP="00FB6B92">
            <w:pPr>
              <w:pStyle w:val="TableTextSmall"/>
            </w:pPr>
            <w:r w:rsidRPr="0087209D">
              <w:t>Children and Young People Safety Act 2017</w:t>
            </w:r>
          </w:p>
          <w:p w14:paraId="5AAC5273" w14:textId="77777777" w:rsidR="00DB0517" w:rsidRDefault="00DB0517" w:rsidP="00FB6B92">
            <w:pPr>
              <w:pStyle w:val="TableTextSmall"/>
            </w:pPr>
            <w:r w:rsidRPr="0087209D">
              <w:t>Interagency Therapeutic Needs Panel</w:t>
            </w:r>
          </w:p>
          <w:p w14:paraId="1FE3E71D" w14:textId="77777777" w:rsidR="00DB0517" w:rsidRPr="00C50FAD" w:rsidRDefault="00DB0517" w:rsidP="00FB6B92">
            <w:pPr>
              <w:pStyle w:val="TableTextSmall"/>
            </w:pPr>
            <w:r w:rsidRPr="0087209D">
              <w:t>Education program for children in residential care to promote their rights to make complaints</w:t>
            </w:r>
          </w:p>
        </w:tc>
        <w:tc>
          <w:tcPr>
            <w:tcW w:w="1355" w:type="dxa"/>
          </w:tcPr>
          <w:p w14:paraId="0525F524" w14:textId="77777777" w:rsidR="00DB0517" w:rsidRDefault="00DB0517" w:rsidP="00FB6B92">
            <w:pPr>
              <w:pStyle w:val="TableTextSmall"/>
            </w:pPr>
            <w:r>
              <w:t>3</w:t>
            </w:r>
          </w:p>
        </w:tc>
      </w:tr>
      <w:tr w:rsidR="00DB0517" w14:paraId="0326326A" w14:textId="77777777" w:rsidTr="00FB6B92">
        <w:tc>
          <w:tcPr>
            <w:tcW w:w="1271" w:type="dxa"/>
            <w:vMerge/>
          </w:tcPr>
          <w:p w14:paraId="7D5D5DF6" w14:textId="77777777" w:rsidR="00DB0517" w:rsidRDefault="00DB0517" w:rsidP="00FB6B92">
            <w:pPr>
              <w:pStyle w:val="TableTextSmall"/>
            </w:pPr>
          </w:p>
        </w:tc>
        <w:tc>
          <w:tcPr>
            <w:tcW w:w="1559" w:type="dxa"/>
          </w:tcPr>
          <w:p w14:paraId="01EA9198" w14:textId="77777777" w:rsidR="00DB0517" w:rsidRDefault="00DB0517" w:rsidP="00FB6B92">
            <w:pPr>
              <w:pStyle w:val="TableTextSmall"/>
            </w:pPr>
            <w:r>
              <w:t>WA</w:t>
            </w:r>
          </w:p>
        </w:tc>
        <w:tc>
          <w:tcPr>
            <w:tcW w:w="5670" w:type="dxa"/>
          </w:tcPr>
          <w:p w14:paraId="1EE02500" w14:textId="77777777" w:rsidR="00DB0517" w:rsidRDefault="00DB0517" w:rsidP="00FB6B92">
            <w:pPr>
              <w:pStyle w:val="TableTextSmall"/>
            </w:pPr>
            <w:r w:rsidRPr="0087209D">
              <w:t>Department of Communities and Telethon Kids Institute — Exploring outcomes for young people who have experienced out-of-home care study</w:t>
            </w:r>
          </w:p>
          <w:p w14:paraId="17F82DFF" w14:textId="77777777" w:rsidR="00DB0517" w:rsidRDefault="00DB0517" w:rsidP="00FB6B92">
            <w:pPr>
              <w:pStyle w:val="TableTextSmall"/>
            </w:pPr>
            <w:r w:rsidRPr="0087209D">
              <w:t>Department of Communities and Curtin University led research team — Transitioning from Out of Home Care: A longitudinal population based study</w:t>
            </w:r>
          </w:p>
          <w:p w14:paraId="27095493" w14:textId="77777777" w:rsidR="00DB0517" w:rsidRDefault="00DB0517" w:rsidP="00FB6B92">
            <w:pPr>
              <w:pStyle w:val="TableTextSmall"/>
            </w:pPr>
            <w:r w:rsidRPr="009B62E6">
              <w:t>Needs Assessment Tool</w:t>
            </w:r>
          </w:p>
          <w:p w14:paraId="2BFE4313" w14:textId="77777777" w:rsidR="00DB0517" w:rsidRPr="00C50FAD" w:rsidRDefault="00DB0517" w:rsidP="00FB6B92">
            <w:pPr>
              <w:pStyle w:val="TableTextSmall"/>
            </w:pPr>
            <w:r w:rsidRPr="008C0A84">
              <w:t>Homes for Carers</w:t>
            </w:r>
          </w:p>
        </w:tc>
        <w:tc>
          <w:tcPr>
            <w:tcW w:w="1355" w:type="dxa"/>
          </w:tcPr>
          <w:p w14:paraId="5460082B" w14:textId="77777777" w:rsidR="00DB0517" w:rsidRDefault="00DB0517" w:rsidP="00FB6B92">
            <w:pPr>
              <w:pStyle w:val="TableTextSmall"/>
            </w:pPr>
            <w:r>
              <w:t>4</w:t>
            </w:r>
          </w:p>
        </w:tc>
      </w:tr>
      <w:tr w:rsidR="00DB0517" w14:paraId="0E81592F" w14:textId="77777777" w:rsidTr="00FB6B92">
        <w:tc>
          <w:tcPr>
            <w:tcW w:w="1271" w:type="dxa"/>
            <w:vMerge/>
          </w:tcPr>
          <w:p w14:paraId="6B68C959" w14:textId="77777777" w:rsidR="00DB0517" w:rsidRDefault="00DB0517" w:rsidP="00FB6B92">
            <w:pPr>
              <w:pStyle w:val="TableTextSmall"/>
            </w:pPr>
          </w:p>
        </w:tc>
        <w:tc>
          <w:tcPr>
            <w:tcW w:w="1559" w:type="dxa"/>
          </w:tcPr>
          <w:p w14:paraId="2E01480F" w14:textId="77777777" w:rsidR="00DB0517" w:rsidRDefault="00DB0517" w:rsidP="00FB6B92">
            <w:pPr>
              <w:pStyle w:val="TableTextSmall"/>
            </w:pPr>
            <w:r>
              <w:t>TAS</w:t>
            </w:r>
          </w:p>
        </w:tc>
        <w:tc>
          <w:tcPr>
            <w:tcW w:w="5670" w:type="dxa"/>
          </w:tcPr>
          <w:p w14:paraId="02362113" w14:textId="77777777" w:rsidR="00DB0517" w:rsidRDefault="00DB0517" w:rsidP="00FB6B92">
            <w:pPr>
              <w:pStyle w:val="TableTextSmall"/>
            </w:pPr>
            <w:r w:rsidRPr="009B62E6">
              <w:t>The Quality and Accountability Framework for Out of Home Care</w:t>
            </w:r>
          </w:p>
          <w:p w14:paraId="719F7D29" w14:textId="77777777" w:rsidR="00DB0517" w:rsidRDefault="00DB0517" w:rsidP="00FB6B92">
            <w:pPr>
              <w:pStyle w:val="TableTextSmall"/>
            </w:pPr>
            <w:r w:rsidRPr="009B62E6">
              <w:t>Appointment of Tasmanian Child Advocate</w:t>
            </w:r>
          </w:p>
          <w:p w14:paraId="0E9194FF" w14:textId="77777777" w:rsidR="00DB0517" w:rsidRDefault="00DB0517" w:rsidP="00FB6B92">
            <w:pPr>
              <w:pStyle w:val="TableTextSmall"/>
            </w:pPr>
            <w:r w:rsidRPr="008C0A84">
              <w:t>A new model for family based care</w:t>
            </w:r>
          </w:p>
          <w:p w14:paraId="020DB1DD" w14:textId="77777777" w:rsidR="00DB0517" w:rsidRPr="00C50FAD" w:rsidRDefault="00DB0517" w:rsidP="00FB6B92">
            <w:pPr>
              <w:pStyle w:val="TableTextSmall"/>
            </w:pPr>
            <w:r w:rsidRPr="008C0A84">
              <w:t>Outcomes Framework for Children and Young People in Out of Home Care</w:t>
            </w:r>
          </w:p>
        </w:tc>
        <w:tc>
          <w:tcPr>
            <w:tcW w:w="1355" w:type="dxa"/>
          </w:tcPr>
          <w:p w14:paraId="626D19BD" w14:textId="77777777" w:rsidR="00DB0517" w:rsidRDefault="00DB0517" w:rsidP="00FB6B92">
            <w:pPr>
              <w:pStyle w:val="TableTextSmall"/>
            </w:pPr>
            <w:r>
              <w:t>4</w:t>
            </w:r>
          </w:p>
        </w:tc>
      </w:tr>
      <w:tr w:rsidR="00DD6F1E" w14:paraId="67037F9B" w14:textId="77777777" w:rsidTr="00FA3E74">
        <w:tc>
          <w:tcPr>
            <w:tcW w:w="8500" w:type="dxa"/>
            <w:gridSpan w:val="3"/>
            <w:vAlign w:val="center"/>
          </w:tcPr>
          <w:p w14:paraId="13470B50" w14:textId="77777777" w:rsidR="00DD6F1E" w:rsidRPr="000F1BB0" w:rsidRDefault="00DD6F1E" w:rsidP="00FB6B92">
            <w:pPr>
              <w:pStyle w:val="TableTextSmall"/>
              <w:jc w:val="right"/>
              <w:rPr>
                <w:b/>
                <w:bCs/>
              </w:rPr>
            </w:pPr>
            <w:r w:rsidRPr="00FA3E74">
              <w:rPr>
                <w:b/>
                <w:bCs/>
              </w:rPr>
              <w:t>Total initiatives aligned to supporting outcome 4</w:t>
            </w:r>
          </w:p>
        </w:tc>
        <w:tc>
          <w:tcPr>
            <w:tcW w:w="1355" w:type="dxa"/>
          </w:tcPr>
          <w:p w14:paraId="2789A81F" w14:textId="77777777" w:rsidR="00DD6F1E" w:rsidRPr="000B58C9" w:rsidRDefault="00FB6B92" w:rsidP="00FB6B92">
            <w:pPr>
              <w:pStyle w:val="TableTextSmall"/>
              <w:rPr>
                <w:b/>
              </w:rPr>
            </w:pPr>
            <w:r w:rsidRPr="000B58C9">
              <w:rPr>
                <w:b/>
              </w:rPr>
              <w:t>33</w:t>
            </w:r>
          </w:p>
        </w:tc>
      </w:tr>
      <w:tr w:rsidR="00DB0517" w14:paraId="6D574A7D" w14:textId="77777777" w:rsidTr="00DB0517">
        <w:tc>
          <w:tcPr>
            <w:tcW w:w="1271" w:type="dxa"/>
            <w:vMerge w:val="restart"/>
            <w:vAlign w:val="center"/>
          </w:tcPr>
          <w:p w14:paraId="0C434F0E" w14:textId="7F8F578A" w:rsidR="00DB0517" w:rsidRDefault="00DB0517" w:rsidP="00FB6B92">
            <w:pPr>
              <w:pStyle w:val="TableTextSmall"/>
            </w:pPr>
            <w:r>
              <w:t>Outcome 5</w:t>
            </w:r>
          </w:p>
        </w:tc>
        <w:tc>
          <w:tcPr>
            <w:tcW w:w="1559" w:type="dxa"/>
          </w:tcPr>
          <w:p w14:paraId="0D3C753A" w14:textId="77777777" w:rsidR="00DB0517" w:rsidRDefault="00DB0517" w:rsidP="00FB6B92">
            <w:pPr>
              <w:pStyle w:val="TableTextSmall"/>
            </w:pPr>
            <w:r>
              <w:t>Commonwealth</w:t>
            </w:r>
          </w:p>
        </w:tc>
        <w:tc>
          <w:tcPr>
            <w:tcW w:w="5670" w:type="dxa"/>
          </w:tcPr>
          <w:p w14:paraId="6369DAD4" w14:textId="77777777" w:rsidR="00DB0517" w:rsidRDefault="00DB0517" w:rsidP="00FB6B92">
            <w:pPr>
              <w:pStyle w:val="TableTextSmall"/>
            </w:pPr>
            <w:r w:rsidRPr="00091C06">
              <w:t>Supporting implementation of the Aboriginal and Torres Strait Islander Child Placement Principle</w:t>
            </w:r>
          </w:p>
          <w:p w14:paraId="6EFCF006" w14:textId="77777777" w:rsidR="00DB0517" w:rsidRPr="00C50FAD" w:rsidRDefault="00DB0517" w:rsidP="00FB6B92">
            <w:pPr>
              <w:pStyle w:val="TableTextSmall"/>
            </w:pPr>
            <w:r w:rsidRPr="00091C06">
              <w:t>Input to the Closing the Gap Refresh process</w:t>
            </w:r>
          </w:p>
        </w:tc>
        <w:tc>
          <w:tcPr>
            <w:tcW w:w="1355" w:type="dxa"/>
          </w:tcPr>
          <w:p w14:paraId="7890FD6E" w14:textId="77777777" w:rsidR="00DB0517" w:rsidRDefault="00DB0517" w:rsidP="00FB6B92">
            <w:pPr>
              <w:pStyle w:val="TableTextSmall"/>
            </w:pPr>
            <w:r>
              <w:t>2</w:t>
            </w:r>
          </w:p>
        </w:tc>
      </w:tr>
      <w:tr w:rsidR="00DB0517" w14:paraId="088ECC96" w14:textId="77777777" w:rsidTr="00FB6B92">
        <w:tc>
          <w:tcPr>
            <w:tcW w:w="1271" w:type="dxa"/>
            <w:vMerge/>
          </w:tcPr>
          <w:p w14:paraId="48D17C0B" w14:textId="77777777" w:rsidR="00DB0517" w:rsidRDefault="00DB0517" w:rsidP="00FB6B92">
            <w:pPr>
              <w:pStyle w:val="TableTextSmall"/>
            </w:pPr>
          </w:p>
        </w:tc>
        <w:tc>
          <w:tcPr>
            <w:tcW w:w="1559" w:type="dxa"/>
          </w:tcPr>
          <w:p w14:paraId="27909BB9" w14:textId="77777777" w:rsidR="00DB0517" w:rsidRDefault="00DB0517" w:rsidP="00FB6B92">
            <w:pPr>
              <w:pStyle w:val="TableTextSmall"/>
            </w:pPr>
            <w:r>
              <w:t>ACT</w:t>
            </w:r>
          </w:p>
        </w:tc>
        <w:tc>
          <w:tcPr>
            <w:tcW w:w="5670" w:type="dxa"/>
          </w:tcPr>
          <w:p w14:paraId="71B2C6FF" w14:textId="77777777" w:rsidR="00DB0517" w:rsidRDefault="00DB0517" w:rsidP="00FB6B92">
            <w:pPr>
              <w:pStyle w:val="TableTextSmall"/>
            </w:pPr>
            <w:r w:rsidRPr="00091C06">
              <w:t>Family Group Conferencing</w:t>
            </w:r>
          </w:p>
          <w:p w14:paraId="728906B7" w14:textId="77777777" w:rsidR="00DB0517" w:rsidRPr="00C50FAD" w:rsidRDefault="00DB0517" w:rsidP="00FB6B92">
            <w:pPr>
              <w:pStyle w:val="TableTextSmall"/>
            </w:pPr>
            <w:r w:rsidRPr="00091C06">
              <w:t>Our Booris, Our Way</w:t>
            </w:r>
          </w:p>
        </w:tc>
        <w:tc>
          <w:tcPr>
            <w:tcW w:w="1355" w:type="dxa"/>
          </w:tcPr>
          <w:p w14:paraId="0DD391D8" w14:textId="77777777" w:rsidR="00DB0517" w:rsidRDefault="00DB0517" w:rsidP="00FB6B92">
            <w:pPr>
              <w:pStyle w:val="TableTextSmall"/>
            </w:pPr>
            <w:r>
              <w:t>2</w:t>
            </w:r>
          </w:p>
        </w:tc>
      </w:tr>
      <w:tr w:rsidR="00DB0517" w14:paraId="32B77543" w14:textId="77777777" w:rsidTr="00FB6B92">
        <w:tc>
          <w:tcPr>
            <w:tcW w:w="1271" w:type="dxa"/>
            <w:vMerge/>
          </w:tcPr>
          <w:p w14:paraId="694B440C" w14:textId="77777777" w:rsidR="00DB0517" w:rsidRDefault="00DB0517" w:rsidP="00FB6B92">
            <w:pPr>
              <w:pStyle w:val="TableTextSmall"/>
            </w:pPr>
          </w:p>
        </w:tc>
        <w:tc>
          <w:tcPr>
            <w:tcW w:w="1559" w:type="dxa"/>
          </w:tcPr>
          <w:p w14:paraId="077E6AFC" w14:textId="77777777" w:rsidR="00DB0517" w:rsidRDefault="00DB0517" w:rsidP="00FB6B92">
            <w:pPr>
              <w:pStyle w:val="TableTextSmall"/>
            </w:pPr>
            <w:r>
              <w:t>VIC</w:t>
            </w:r>
          </w:p>
        </w:tc>
        <w:tc>
          <w:tcPr>
            <w:tcW w:w="5670" w:type="dxa"/>
          </w:tcPr>
          <w:p w14:paraId="17DB0B3C" w14:textId="77777777" w:rsidR="00DB0517" w:rsidRDefault="00DB0517" w:rsidP="00FB6B92">
            <w:pPr>
              <w:pStyle w:val="TableTextSmall"/>
            </w:pPr>
            <w:r>
              <w:t xml:space="preserve">Authorisation of </w:t>
            </w:r>
            <w:r w:rsidRPr="00091C06">
              <w:t>Aboriginal Community Controlled Organisations (ACCOs) to care for Aboriginal children</w:t>
            </w:r>
          </w:p>
          <w:p w14:paraId="494AAD6D" w14:textId="77777777" w:rsidR="00DB0517" w:rsidRDefault="00DB0517" w:rsidP="00FB6B92">
            <w:pPr>
              <w:pStyle w:val="TableTextSmall"/>
            </w:pPr>
            <w:r>
              <w:t>T</w:t>
            </w:r>
            <w:r w:rsidRPr="00091C06">
              <w:t>ransitioning Aboriginal children to Aboriginal Community Controlled Organisations</w:t>
            </w:r>
          </w:p>
          <w:p w14:paraId="50EC0404" w14:textId="77777777" w:rsidR="00DB0517" w:rsidRPr="00C50FAD" w:rsidRDefault="00DB0517" w:rsidP="00FB6B92">
            <w:pPr>
              <w:pStyle w:val="TableTextSmall"/>
            </w:pPr>
            <w:r w:rsidRPr="00091C06">
              <w:t>Aboriginal Child Specialist Advice and Support Service</w:t>
            </w:r>
          </w:p>
        </w:tc>
        <w:tc>
          <w:tcPr>
            <w:tcW w:w="1355" w:type="dxa"/>
          </w:tcPr>
          <w:p w14:paraId="0962E9FE" w14:textId="77777777" w:rsidR="00DB0517" w:rsidRDefault="00DB0517" w:rsidP="00FB6B92">
            <w:pPr>
              <w:pStyle w:val="TableTextSmall"/>
            </w:pPr>
            <w:r>
              <w:t>3</w:t>
            </w:r>
          </w:p>
        </w:tc>
      </w:tr>
      <w:tr w:rsidR="00DB0517" w14:paraId="2F4A9422" w14:textId="77777777" w:rsidTr="00FB6B92">
        <w:tc>
          <w:tcPr>
            <w:tcW w:w="1271" w:type="dxa"/>
            <w:vMerge/>
          </w:tcPr>
          <w:p w14:paraId="431A69D3" w14:textId="77777777" w:rsidR="00DB0517" w:rsidRDefault="00DB0517" w:rsidP="00FB6B92">
            <w:pPr>
              <w:pStyle w:val="TableTextSmall"/>
            </w:pPr>
          </w:p>
        </w:tc>
        <w:tc>
          <w:tcPr>
            <w:tcW w:w="1559" w:type="dxa"/>
          </w:tcPr>
          <w:p w14:paraId="675A9F5D" w14:textId="77777777" w:rsidR="00DB0517" w:rsidRDefault="00DB0517" w:rsidP="00FB6B92">
            <w:pPr>
              <w:pStyle w:val="TableTextSmall"/>
            </w:pPr>
            <w:r>
              <w:t>NSW</w:t>
            </w:r>
          </w:p>
        </w:tc>
        <w:tc>
          <w:tcPr>
            <w:tcW w:w="5670" w:type="dxa"/>
          </w:tcPr>
          <w:p w14:paraId="1AA09937" w14:textId="77777777" w:rsidR="00DB0517" w:rsidRPr="00C50FAD" w:rsidRDefault="00DB0517" w:rsidP="00FB6B92">
            <w:pPr>
              <w:pStyle w:val="TableTextSmall"/>
            </w:pPr>
            <w:r w:rsidRPr="00091C06">
              <w:t>Aboriginal Outcomes Strategy</w:t>
            </w:r>
          </w:p>
        </w:tc>
        <w:tc>
          <w:tcPr>
            <w:tcW w:w="1355" w:type="dxa"/>
          </w:tcPr>
          <w:p w14:paraId="1E229213" w14:textId="77777777" w:rsidR="00DB0517" w:rsidRDefault="00DB0517" w:rsidP="00FB6B92">
            <w:pPr>
              <w:pStyle w:val="TableTextSmall"/>
            </w:pPr>
            <w:r>
              <w:t>1</w:t>
            </w:r>
          </w:p>
        </w:tc>
      </w:tr>
      <w:tr w:rsidR="00DB0517" w14:paraId="2D202EAC" w14:textId="77777777" w:rsidTr="00FB6B92">
        <w:tc>
          <w:tcPr>
            <w:tcW w:w="1271" w:type="dxa"/>
            <w:vMerge/>
          </w:tcPr>
          <w:p w14:paraId="5B219CCA" w14:textId="77777777" w:rsidR="00DB0517" w:rsidRDefault="00DB0517" w:rsidP="00FB6B92">
            <w:pPr>
              <w:pStyle w:val="TableTextSmall"/>
            </w:pPr>
          </w:p>
        </w:tc>
        <w:tc>
          <w:tcPr>
            <w:tcW w:w="1559" w:type="dxa"/>
          </w:tcPr>
          <w:p w14:paraId="3388D351" w14:textId="77777777" w:rsidR="00DB0517" w:rsidRDefault="00DB0517" w:rsidP="00FB6B92">
            <w:pPr>
              <w:pStyle w:val="TableTextSmall"/>
            </w:pPr>
            <w:r>
              <w:t>QLD</w:t>
            </w:r>
          </w:p>
        </w:tc>
        <w:tc>
          <w:tcPr>
            <w:tcW w:w="5670" w:type="dxa"/>
          </w:tcPr>
          <w:p w14:paraId="231F8D6A" w14:textId="77777777" w:rsidR="00DB0517" w:rsidRDefault="00DB0517" w:rsidP="00FB6B92">
            <w:pPr>
              <w:pStyle w:val="TableTextSmall"/>
            </w:pPr>
            <w:r w:rsidRPr="00091C06">
              <w:t>Our Way Strategy 2017–2037 and Changing Tracks Action Plan 2017–2019</w:t>
            </w:r>
          </w:p>
          <w:p w14:paraId="0C80DDD3" w14:textId="77777777" w:rsidR="00DB0517" w:rsidRDefault="00DB0517" w:rsidP="00FB6B92">
            <w:pPr>
              <w:pStyle w:val="TableTextSmall"/>
            </w:pPr>
            <w:r>
              <w:t>L</w:t>
            </w:r>
            <w:r w:rsidRPr="00091C06">
              <w:t>egislative amendment and the Child Placement Principle</w:t>
            </w:r>
          </w:p>
          <w:p w14:paraId="46CA919D" w14:textId="77777777" w:rsidR="00DB0517" w:rsidRPr="00C50FAD" w:rsidRDefault="00DB0517" w:rsidP="00FB6B92">
            <w:pPr>
              <w:pStyle w:val="TableTextSmall"/>
            </w:pPr>
            <w:r w:rsidRPr="00091C06">
              <w:t>Aboriginal and Torres Strait Islander Family Wellbeing Services</w:t>
            </w:r>
          </w:p>
        </w:tc>
        <w:tc>
          <w:tcPr>
            <w:tcW w:w="1355" w:type="dxa"/>
          </w:tcPr>
          <w:p w14:paraId="64410315" w14:textId="77777777" w:rsidR="00DB0517" w:rsidRDefault="00DB0517" w:rsidP="00FB6B92">
            <w:pPr>
              <w:pStyle w:val="TableTextSmall"/>
            </w:pPr>
            <w:r>
              <w:t>3</w:t>
            </w:r>
          </w:p>
        </w:tc>
      </w:tr>
      <w:tr w:rsidR="00DB0517" w14:paraId="1D483B6A" w14:textId="77777777" w:rsidTr="00FB6B92">
        <w:tc>
          <w:tcPr>
            <w:tcW w:w="1271" w:type="dxa"/>
            <w:vMerge/>
          </w:tcPr>
          <w:p w14:paraId="46AB417E" w14:textId="77777777" w:rsidR="00DB0517" w:rsidRDefault="00DB0517" w:rsidP="00FB6B92">
            <w:pPr>
              <w:pStyle w:val="TableTextSmall"/>
            </w:pPr>
          </w:p>
        </w:tc>
        <w:tc>
          <w:tcPr>
            <w:tcW w:w="1559" w:type="dxa"/>
          </w:tcPr>
          <w:p w14:paraId="32FC63C7" w14:textId="77777777" w:rsidR="00DB0517" w:rsidRDefault="00DB0517" w:rsidP="00FB6B92">
            <w:pPr>
              <w:pStyle w:val="TableTextSmall"/>
            </w:pPr>
            <w:r>
              <w:t>NT</w:t>
            </w:r>
          </w:p>
        </w:tc>
        <w:tc>
          <w:tcPr>
            <w:tcW w:w="5670" w:type="dxa"/>
          </w:tcPr>
          <w:p w14:paraId="178C9D71" w14:textId="77777777" w:rsidR="00DB0517" w:rsidRDefault="00DB0517" w:rsidP="00FB6B92">
            <w:pPr>
              <w:pStyle w:val="TableTextSmall"/>
            </w:pPr>
            <w:r w:rsidRPr="00091C06">
              <w:t>Aboriginal Cultural Security Policy and Framework</w:t>
            </w:r>
          </w:p>
          <w:p w14:paraId="0880AADB" w14:textId="77777777" w:rsidR="00DB0517" w:rsidRDefault="00DB0517" w:rsidP="00FB6B92">
            <w:pPr>
              <w:pStyle w:val="TableTextSmall"/>
            </w:pPr>
            <w:r w:rsidRPr="00091C06">
              <w:t>Indigenous Education Strategy 2015–2024</w:t>
            </w:r>
          </w:p>
          <w:p w14:paraId="4B274CE1" w14:textId="77777777" w:rsidR="00DB0517" w:rsidRPr="00C50FAD" w:rsidRDefault="00DB0517" w:rsidP="00FB6B92">
            <w:pPr>
              <w:pStyle w:val="TableTextSmall"/>
            </w:pPr>
            <w:r w:rsidRPr="006D09CE">
              <w:t>Stars Program</w:t>
            </w:r>
          </w:p>
        </w:tc>
        <w:tc>
          <w:tcPr>
            <w:tcW w:w="1355" w:type="dxa"/>
          </w:tcPr>
          <w:p w14:paraId="3DBD2BDB" w14:textId="77777777" w:rsidR="00DB0517" w:rsidRDefault="00DB0517" w:rsidP="00FB6B92">
            <w:pPr>
              <w:pStyle w:val="TableTextSmall"/>
            </w:pPr>
            <w:r>
              <w:t>3</w:t>
            </w:r>
          </w:p>
        </w:tc>
      </w:tr>
      <w:tr w:rsidR="00DB0517" w14:paraId="7B358EE7" w14:textId="77777777" w:rsidTr="00FB6B92">
        <w:tc>
          <w:tcPr>
            <w:tcW w:w="1271" w:type="dxa"/>
            <w:vMerge/>
          </w:tcPr>
          <w:p w14:paraId="771C1697" w14:textId="77777777" w:rsidR="00DB0517" w:rsidRDefault="00DB0517" w:rsidP="00FB6B92">
            <w:pPr>
              <w:pStyle w:val="TableTextSmall"/>
            </w:pPr>
          </w:p>
        </w:tc>
        <w:tc>
          <w:tcPr>
            <w:tcW w:w="1559" w:type="dxa"/>
          </w:tcPr>
          <w:p w14:paraId="0B9B8AD5" w14:textId="77777777" w:rsidR="00DB0517" w:rsidRDefault="00DB0517" w:rsidP="00FB6B92">
            <w:pPr>
              <w:pStyle w:val="TableTextSmall"/>
            </w:pPr>
            <w:r>
              <w:t>SA</w:t>
            </w:r>
          </w:p>
        </w:tc>
        <w:tc>
          <w:tcPr>
            <w:tcW w:w="5670" w:type="dxa"/>
          </w:tcPr>
          <w:p w14:paraId="6929B71D" w14:textId="77777777" w:rsidR="00DB0517" w:rsidRDefault="00DB0517" w:rsidP="00FB6B92">
            <w:pPr>
              <w:pStyle w:val="TableTextSmall"/>
            </w:pPr>
            <w:r w:rsidRPr="00091C06">
              <w:t>Yunga Nungas: Future Leaders pilot program</w:t>
            </w:r>
          </w:p>
          <w:p w14:paraId="0062B40C" w14:textId="77777777" w:rsidR="00DB0517" w:rsidRDefault="00DB0517" w:rsidP="00FB6B92">
            <w:pPr>
              <w:pStyle w:val="TableTextSmall"/>
            </w:pPr>
            <w:r w:rsidRPr="00091C06">
              <w:t>Aboriginal workforce participation</w:t>
            </w:r>
          </w:p>
          <w:p w14:paraId="65A1E209" w14:textId="77777777" w:rsidR="00DB0517" w:rsidRPr="00C50FAD" w:rsidRDefault="00DB0517" w:rsidP="00FB6B92">
            <w:pPr>
              <w:pStyle w:val="TableTextSmall"/>
            </w:pPr>
            <w:r w:rsidRPr="00091C06">
              <w:t>Kunpungku Atunymankunytjaku Tjitji Uwarkara</w:t>
            </w:r>
            <w:r>
              <w:t xml:space="preserve"> (KATU)</w:t>
            </w:r>
          </w:p>
        </w:tc>
        <w:tc>
          <w:tcPr>
            <w:tcW w:w="1355" w:type="dxa"/>
          </w:tcPr>
          <w:p w14:paraId="0E695D86" w14:textId="77777777" w:rsidR="00DB0517" w:rsidRDefault="00DB0517" w:rsidP="00FB6B92">
            <w:pPr>
              <w:pStyle w:val="TableTextSmall"/>
            </w:pPr>
            <w:r>
              <w:t>3</w:t>
            </w:r>
          </w:p>
        </w:tc>
      </w:tr>
      <w:tr w:rsidR="00DB0517" w14:paraId="19C0DFD8" w14:textId="77777777" w:rsidTr="00FB6B92">
        <w:tc>
          <w:tcPr>
            <w:tcW w:w="1271" w:type="dxa"/>
            <w:vMerge/>
          </w:tcPr>
          <w:p w14:paraId="50B84115" w14:textId="77777777" w:rsidR="00DB0517" w:rsidRDefault="00DB0517" w:rsidP="00FB6B92">
            <w:pPr>
              <w:pStyle w:val="TableTextSmall"/>
            </w:pPr>
          </w:p>
        </w:tc>
        <w:tc>
          <w:tcPr>
            <w:tcW w:w="1559" w:type="dxa"/>
          </w:tcPr>
          <w:p w14:paraId="47A5A48F" w14:textId="77777777" w:rsidR="00DB0517" w:rsidRDefault="00DB0517" w:rsidP="00FB6B92">
            <w:pPr>
              <w:pStyle w:val="TableTextSmall"/>
            </w:pPr>
            <w:r>
              <w:t>WA</w:t>
            </w:r>
          </w:p>
        </w:tc>
        <w:tc>
          <w:tcPr>
            <w:tcW w:w="5670" w:type="dxa"/>
          </w:tcPr>
          <w:p w14:paraId="38A6EB4D" w14:textId="77777777" w:rsidR="00DB0517" w:rsidRPr="00C50FAD" w:rsidRDefault="00DB0517" w:rsidP="00FB6B92">
            <w:pPr>
              <w:pStyle w:val="TableTextSmall"/>
            </w:pPr>
            <w:r w:rsidRPr="00FD76AC">
              <w:t>Aboriginal In Home Support Service (Wungening Moort)</w:t>
            </w:r>
          </w:p>
        </w:tc>
        <w:tc>
          <w:tcPr>
            <w:tcW w:w="1355" w:type="dxa"/>
          </w:tcPr>
          <w:p w14:paraId="769DAB48" w14:textId="77777777" w:rsidR="00DB0517" w:rsidRDefault="00DB0517" w:rsidP="00FB6B92">
            <w:pPr>
              <w:pStyle w:val="TableTextSmall"/>
            </w:pPr>
            <w:r>
              <w:t>1</w:t>
            </w:r>
          </w:p>
        </w:tc>
      </w:tr>
      <w:tr w:rsidR="00DB0517" w14:paraId="6E205E0E" w14:textId="77777777" w:rsidTr="00FB6B92">
        <w:tc>
          <w:tcPr>
            <w:tcW w:w="1271" w:type="dxa"/>
            <w:vMerge/>
          </w:tcPr>
          <w:p w14:paraId="17583085" w14:textId="77777777" w:rsidR="00DB0517" w:rsidRDefault="00DB0517" w:rsidP="00FB6B92">
            <w:pPr>
              <w:pStyle w:val="TableTextSmall"/>
            </w:pPr>
          </w:p>
        </w:tc>
        <w:tc>
          <w:tcPr>
            <w:tcW w:w="1559" w:type="dxa"/>
          </w:tcPr>
          <w:p w14:paraId="2D4A29FF" w14:textId="77777777" w:rsidR="00DB0517" w:rsidRDefault="00DB0517" w:rsidP="00FB6B92">
            <w:pPr>
              <w:pStyle w:val="TableTextSmall"/>
            </w:pPr>
            <w:r>
              <w:t>TAS</w:t>
            </w:r>
          </w:p>
        </w:tc>
        <w:tc>
          <w:tcPr>
            <w:tcW w:w="5670" w:type="dxa"/>
          </w:tcPr>
          <w:p w14:paraId="1139E0A6" w14:textId="77777777" w:rsidR="00DB0517" w:rsidRPr="00C50FAD" w:rsidRDefault="00DB0517" w:rsidP="00FB6B92">
            <w:pPr>
              <w:pStyle w:val="TableTextSmall"/>
            </w:pPr>
            <w:r w:rsidRPr="00091C06">
              <w:t>Appointment of Aboriginal Family Safety Workers</w:t>
            </w:r>
          </w:p>
        </w:tc>
        <w:tc>
          <w:tcPr>
            <w:tcW w:w="1355" w:type="dxa"/>
          </w:tcPr>
          <w:p w14:paraId="746BFEF1" w14:textId="77777777" w:rsidR="00DB0517" w:rsidRDefault="00DB0517" w:rsidP="00FB6B92">
            <w:pPr>
              <w:pStyle w:val="TableTextSmall"/>
            </w:pPr>
            <w:r>
              <w:t>1</w:t>
            </w:r>
          </w:p>
        </w:tc>
      </w:tr>
      <w:tr w:rsidR="00DD6F1E" w14:paraId="027270CD" w14:textId="77777777" w:rsidTr="00FA3E74">
        <w:tc>
          <w:tcPr>
            <w:tcW w:w="8500" w:type="dxa"/>
            <w:gridSpan w:val="3"/>
            <w:vAlign w:val="center"/>
          </w:tcPr>
          <w:p w14:paraId="6AC53EB0" w14:textId="77777777" w:rsidR="00DD6F1E" w:rsidRPr="00FA3E74" w:rsidRDefault="00DD6F1E" w:rsidP="00FB6B92">
            <w:pPr>
              <w:pStyle w:val="TableTextSmall"/>
              <w:jc w:val="right"/>
              <w:rPr>
                <w:b/>
                <w:bCs/>
              </w:rPr>
            </w:pPr>
            <w:r w:rsidRPr="00FA3E74">
              <w:rPr>
                <w:b/>
                <w:bCs/>
              </w:rPr>
              <w:t>Total initiatives aligned to supporting outcome 5</w:t>
            </w:r>
          </w:p>
        </w:tc>
        <w:tc>
          <w:tcPr>
            <w:tcW w:w="1355" w:type="dxa"/>
          </w:tcPr>
          <w:p w14:paraId="2C02CCAA" w14:textId="77777777" w:rsidR="00DD6F1E" w:rsidRPr="000B58C9" w:rsidRDefault="00FB6B92" w:rsidP="00FB6B92">
            <w:pPr>
              <w:pStyle w:val="TableTextSmall"/>
              <w:rPr>
                <w:b/>
              </w:rPr>
            </w:pPr>
            <w:r w:rsidRPr="000B58C9">
              <w:rPr>
                <w:b/>
              </w:rPr>
              <w:t>19</w:t>
            </w:r>
          </w:p>
        </w:tc>
      </w:tr>
      <w:tr w:rsidR="00DB0517" w14:paraId="2314CC97" w14:textId="77777777" w:rsidTr="00DB0517">
        <w:tc>
          <w:tcPr>
            <w:tcW w:w="1271" w:type="dxa"/>
            <w:vMerge w:val="restart"/>
            <w:vAlign w:val="center"/>
          </w:tcPr>
          <w:p w14:paraId="7B5E102E" w14:textId="15DCE1A1" w:rsidR="00DB0517" w:rsidRDefault="00DB0517" w:rsidP="00FB6B92">
            <w:pPr>
              <w:pStyle w:val="TableTextSmall"/>
            </w:pPr>
            <w:r>
              <w:t>Outcome 6</w:t>
            </w:r>
          </w:p>
        </w:tc>
        <w:tc>
          <w:tcPr>
            <w:tcW w:w="1559" w:type="dxa"/>
          </w:tcPr>
          <w:p w14:paraId="629FBF41" w14:textId="77777777" w:rsidR="00DB0517" w:rsidRDefault="00DB0517" w:rsidP="00FB6B92">
            <w:pPr>
              <w:pStyle w:val="TableTextSmall"/>
            </w:pPr>
            <w:r>
              <w:t>Commonwealth</w:t>
            </w:r>
          </w:p>
        </w:tc>
        <w:tc>
          <w:tcPr>
            <w:tcW w:w="5670" w:type="dxa"/>
          </w:tcPr>
          <w:p w14:paraId="25790BD6" w14:textId="77777777" w:rsidR="00DB0517" w:rsidRPr="00C50FAD" w:rsidRDefault="00DB0517" w:rsidP="00FB6B92">
            <w:pPr>
              <w:pStyle w:val="TableTextSmall"/>
            </w:pPr>
            <w:r w:rsidRPr="0043415D">
              <w:t xml:space="preserve">Child Abuse Royal Commission Senior Officials Working Group </w:t>
            </w:r>
          </w:p>
        </w:tc>
        <w:tc>
          <w:tcPr>
            <w:tcW w:w="1355" w:type="dxa"/>
          </w:tcPr>
          <w:p w14:paraId="2FC7E7CF" w14:textId="77777777" w:rsidR="00DB0517" w:rsidRDefault="00DB0517" w:rsidP="00FB6B92">
            <w:pPr>
              <w:pStyle w:val="TableTextSmall"/>
            </w:pPr>
            <w:r>
              <w:t>1</w:t>
            </w:r>
          </w:p>
        </w:tc>
      </w:tr>
      <w:tr w:rsidR="00DB0517" w14:paraId="04A1A4FA" w14:textId="77777777" w:rsidTr="00FB6B92">
        <w:tc>
          <w:tcPr>
            <w:tcW w:w="1271" w:type="dxa"/>
            <w:vMerge/>
          </w:tcPr>
          <w:p w14:paraId="6FF96EE8" w14:textId="77777777" w:rsidR="00DB0517" w:rsidRDefault="00DB0517" w:rsidP="00FB6B92">
            <w:pPr>
              <w:pStyle w:val="TableTextSmall"/>
            </w:pPr>
          </w:p>
        </w:tc>
        <w:tc>
          <w:tcPr>
            <w:tcW w:w="1559" w:type="dxa"/>
          </w:tcPr>
          <w:p w14:paraId="4F20A102" w14:textId="77777777" w:rsidR="00DB0517" w:rsidRDefault="00DB0517" w:rsidP="00FB6B92">
            <w:pPr>
              <w:pStyle w:val="TableTextSmall"/>
            </w:pPr>
            <w:r>
              <w:t>ACT</w:t>
            </w:r>
          </w:p>
        </w:tc>
        <w:tc>
          <w:tcPr>
            <w:tcW w:w="5670" w:type="dxa"/>
          </w:tcPr>
          <w:p w14:paraId="31CDA4C4" w14:textId="77777777" w:rsidR="00DB0517" w:rsidRPr="00C50FAD" w:rsidRDefault="00DB0517" w:rsidP="00FB6B92">
            <w:pPr>
              <w:pStyle w:val="TableTextSmall"/>
            </w:pPr>
            <w:r w:rsidRPr="0043415D">
              <w:t>ACT Government Response to the Royal Commission into Institutional Responses to Child Sexual Abuse</w:t>
            </w:r>
          </w:p>
        </w:tc>
        <w:tc>
          <w:tcPr>
            <w:tcW w:w="1355" w:type="dxa"/>
          </w:tcPr>
          <w:p w14:paraId="3936C147" w14:textId="77777777" w:rsidR="00DB0517" w:rsidRDefault="00DB0517" w:rsidP="00FB6B92">
            <w:pPr>
              <w:pStyle w:val="TableTextSmall"/>
            </w:pPr>
            <w:r>
              <w:t>1</w:t>
            </w:r>
          </w:p>
        </w:tc>
      </w:tr>
      <w:tr w:rsidR="00DB0517" w14:paraId="349862D9" w14:textId="77777777" w:rsidTr="00FB6B92">
        <w:tc>
          <w:tcPr>
            <w:tcW w:w="1271" w:type="dxa"/>
            <w:vMerge/>
          </w:tcPr>
          <w:p w14:paraId="4842B8AD" w14:textId="77777777" w:rsidR="00DB0517" w:rsidRDefault="00DB0517" w:rsidP="00FB6B92">
            <w:pPr>
              <w:pStyle w:val="TableTextSmall"/>
            </w:pPr>
          </w:p>
        </w:tc>
        <w:tc>
          <w:tcPr>
            <w:tcW w:w="1559" w:type="dxa"/>
          </w:tcPr>
          <w:p w14:paraId="42B3A4FB" w14:textId="77777777" w:rsidR="00DB0517" w:rsidRDefault="00DB0517" w:rsidP="00FB6B92">
            <w:pPr>
              <w:pStyle w:val="TableTextSmall"/>
            </w:pPr>
            <w:r>
              <w:t>VIC</w:t>
            </w:r>
          </w:p>
        </w:tc>
        <w:tc>
          <w:tcPr>
            <w:tcW w:w="5670" w:type="dxa"/>
          </w:tcPr>
          <w:p w14:paraId="00CD0CC0" w14:textId="77777777" w:rsidR="00DB0517" w:rsidRDefault="00DB0517" w:rsidP="00FB6B92">
            <w:pPr>
              <w:pStyle w:val="TableTextSmall"/>
            </w:pPr>
            <w:r w:rsidRPr="006D09CE">
              <w:t>Kinship care and child safety screening</w:t>
            </w:r>
          </w:p>
          <w:p w14:paraId="556ED3E0" w14:textId="77777777" w:rsidR="00DB0517" w:rsidRPr="00C50FAD" w:rsidRDefault="00DB0517" w:rsidP="00FB6B92">
            <w:pPr>
              <w:pStyle w:val="TableTextSmall"/>
            </w:pPr>
            <w:r w:rsidRPr="0043415D">
              <w:t>Strengthening treatment services for children and young people who display sexually abusive or concerning behaviours</w:t>
            </w:r>
          </w:p>
        </w:tc>
        <w:tc>
          <w:tcPr>
            <w:tcW w:w="1355" w:type="dxa"/>
          </w:tcPr>
          <w:p w14:paraId="17C32613" w14:textId="77777777" w:rsidR="00DB0517" w:rsidRDefault="00DB0517" w:rsidP="00FB6B92">
            <w:pPr>
              <w:pStyle w:val="TableTextSmall"/>
            </w:pPr>
            <w:r>
              <w:t>2</w:t>
            </w:r>
          </w:p>
        </w:tc>
      </w:tr>
      <w:tr w:rsidR="00DB0517" w14:paraId="09BEDAD4" w14:textId="77777777" w:rsidTr="00FB6B92">
        <w:tc>
          <w:tcPr>
            <w:tcW w:w="1271" w:type="dxa"/>
            <w:vMerge/>
          </w:tcPr>
          <w:p w14:paraId="5514DE4C" w14:textId="77777777" w:rsidR="00DB0517" w:rsidRDefault="00DB0517" w:rsidP="00FB6B92">
            <w:pPr>
              <w:pStyle w:val="TableTextSmall"/>
            </w:pPr>
          </w:p>
        </w:tc>
        <w:tc>
          <w:tcPr>
            <w:tcW w:w="1559" w:type="dxa"/>
          </w:tcPr>
          <w:p w14:paraId="1CA0DDAE" w14:textId="77777777" w:rsidR="00DB0517" w:rsidRDefault="00DB0517" w:rsidP="00FB6B92">
            <w:pPr>
              <w:pStyle w:val="TableTextSmall"/>
            </w:pPr>
            <w:r>
              <w:t>NSW</w:t>
            </w:r>
          </w:p>
        </w:tc>
        <w:tc>
          <w:tcPr>
            <w:tcW w:w="5670" w:type="dxa"/>
          </w:tcPr>
          <w:p w14:paraId="62652E68" w14:textId="77777777" w:rsidR="00DB0517" w:rsidRDefault="00DB0517" w:rsidP="00FB6B92">
            <w:pPr>
              <w:pStyle w:val="TableTextSmall"/>
            </w:pPr>
            <w:r w:rsidRPr="0043415D">
              <w:t>National Redress Scheme for survivors of child sexual abuse</w:t>
            </w:r>
          </w:p>
          <w:p w14:paraId="5EB22F96" w14:textId="77777777" w:rsidR="00DB0517" w:rsidRDefault="00DB0517" w:rsidP="00FB6B92">
            <w:pPr>
              <w:pStyle w:val="TableTextSmall"/>
            </w:pPr>
            <w:r w:rsidRPr="0043415D">
              <w:lastRenderedPageBreak/>
              <w:t>See, understand and respond to child sexual abuse practice kit</w:t>
            </w:r>
          </w:p>
          <w:p w14:paraId="74D8653B" w14:textId="77777777" w:rsidR="00DB0517" w:rsidRPr="00C50FAD" w:rsidRDefault="00DB0517" w:rsidP="00FB6B92">
            <w:pPr>
              <w:pStyle w:val="TableTextSmall"/>
            </w:pPr>
            <w:r w:rsidRPr="0043415D">
              <w:t>Intensive Therapeutic Care system</w:t>
            </w:r>
          </w:p>
        </w:tc>
        <w:tc>
          <w:tcPr>
            <w:tcW w:w="1355" w:type="dxa"/>
          </w:tcPr>
          <w:p w14:paraId="2CB07D2C" w14:textId="77777777" w:rsidR="00DB0517" w:rsidRDefault="00DB0517" w:rsidP="00FB6B92">
            <w:pPr>
              <w:pStyle w:val="TableTextSmall"/>
            </w:pPr>
            <w:r>
              <w:lastRenderedPageBreak/>
              <w:t>3</w:t>
            </w:r>
          </w:p>
        </w:tc>
      </w:tr>
      <w:tr w:rsidR="00DB0517" w14:paraId="4742F4F4" w14:textId="77777777" w:rsidTr="00FB6B92">
        <w:tc>
          <w:tcPr>
            <w:tcW w:w="1271" w:type="dxa"/>
            <w:vMerge/>
          </w:tcPr>
          <w:p w14:paraId="79DDA252" w14:textId="77777777" w:rsidR="00DB0517" w:rsidRDefault="00DB0517" w:rsidP="00FB6B92">
            <w:pPr>
              <w:pStyle w:val="TableTextSmall"/>
            </w:pPr>
          </w:p>
        </w:tc>
        <w:tc>
          <w:tcPr>
            <w:tcW w:w="1559" w:type="dxa"/>
          </w:tcPr>
          <w:p w14:paraId="46A9238B" w14:textId="77777777" w:rsidR="00DB0517" w:rsidRDefault="00DB0517" w:rsidP="00FB6B92">
            <w:pPr>
              <w:pStyle w:val="TableTextSmall"/>
            </w:pPr>
            <w:r>
              <w:t>QLD</w:t>
            </w:r>
          </w:p>
        </w:tc>
        <w:tc>
          <w:tcPr>
            <w:tcW w:w="5670" w:type="dxa"/>
          </w:tcPr>
          <w:p w14:paraId="61C559CB" w14:textId="77777777" w:rsidR="00DB0517" w:rsidRDefault="00DB0517" w:rsidP="00FB6B92">
            <w:pPr>
              <w:pStyle w:val="TableTextSmall"/>
            </w:pPr>
            <w:r w:rsidRPr="006D09CE">
              <w:t>Development of culturally appropriate resources for Aboriginal and Torres Strait Island people</w:t>
            </w:r>
          </w:p>
          <w:p w14:paraId="6B12B9D4" w14:textId="77777777" w:rsidR="00DB0517" w:rsidRDefault="00DB0517" w:rsidP="00FB6B92">
            <w:pPr>
              <w:pStyle w:val="TableTextSmall"/>
            </w:pPr>
            <w:r w:rsidRPr="006D09CE">
              <w:t>Review of blue card system</w:t>
            </w:r>
          </w:p>
          <w:p w14:paraId="486FE83C" w14:textId="77777777" w:rsidR="00DB0517" w:rsidRPr="00C50FAD" w:rsidRDefault="00DB0517" w:rsidP="00FB6B92">
            <w:pPr>
              <w:pStyle w:val="TableTextSmall"/>
            </w:pPr>
            <w:r>
              <w:t>r</w:t>
            </w:r>
            <w:r w:rsidRPr="0043415D">
              <w:t>esponding to sexual abuse</w:t>
            </w:r>
          </w:p>
        </w:tc>
        <w:tc>
          <w:tcPr>
            <w:tcW w:w="1355" w:type="dxa"/>
          </w:tcPr>
          <w:p w14:paraId="082D2722" w14:textId="77777777" w:rsidR="00DB0517" w:rsidRDefault="00DB0517" w:rsidP="00FB6B92">
            <w:pPr>
              <w:pStyle w:val="TableTextSmall"/>
            </w:pPr>
            <w:r>
              <w:t>3</w:t>
            </w:r>
          </w:p>
        </w:tc>
      </w:tr>
      <w:tr w:rsidR="00DB0517" w14:paraId="31069F17" w14:textId="77777777" w:rsidTr="00FB6B92">
        <w:tc>
          <w:tcPr>
            <w:tcW w:w="1271" w:type="dxa"/>
            <w:vMerge/>
          </w:tcPr>
          <w:p w14:paraId="6EBC17EB" w14:textId="77777777" w:rsidR="00DB0517" w:rsidRDefault="00DB0517" w:rsidP="00FB6B92">
            <w:pPr>
              <w:pStyle w:val="TableTextSmall"/>
            </w:pPr>
          </w:p>
        </w:tc>
        <w:tc>
          <w:tcPr>
            <w:tcW w:w="1559" w:type="dxa"/>
          </w:tcPr>
          <w:p w14:paraId="40EE8610" w14:textId="77777777" w:rsidR="00DB0517" w:rsidRDefault="00DB0517" w:rsidP="00FB6B92">
            <w:pPr>
              <w:pStyle w:val="TableTextSmall"/>
            </w:pPr>
            <w:r>
              <w:t>NT</w:t>
            </w:r>
          </w:p>
        </w:tc>
        <w:tc>
          <w:tcPr>
            <w:tcW w:w="5670" w:type="dxa"/>
          </w:tcPr>
          <w:p w14:paraId="1999D8AD" w14:textId="77777777" w:rsidR="00DB0517" w:rsidRDefault="00DB0517" w:rsidP="00FB6B92">
            <w:pPr>
              <w:pStyle w:val="TableTextSmall"/>
            </w:pPr>
            <w:r w:rsidRPr="0043415D">
              <w:t>Sexual Assault Referral Centre (SARC) Top End</w:t>
            </w:r>
          </w:p>
          <w:p w14:paraId="3E1A158D" w14:textId="77777777" w:rsidR="00DB0517" w:rsidRPr="00C50FAD" w:rsidRDefault="00DB0517" w:rsidP="00FB6B92">
            <w:pPr>
              <w:pStyle w:val="TableTextSmall"/>
            </w:pPr>
            <w:r w:rsidRPr="0043415D">
              <w:t>Central Australia Health Service</w:t>
            </w:r>
          </w:p>
        </w:tc>
        <w:tc>
          <w:tcPr>
            <w:tcW w:w="1355" w:type="dxa"/>
          </w:tcPr>
          <w:p w14:paraId="09B99E9D" w14:textId="77777777" w:rsidR="00DB0517" w:rsidRDefault="00DB0517" w:rsidP="00FB6B92">
            <w:pPr>
              <w:pStyle w:val="TableTextSmall"/>
            </w:pPr>
            <w:r>
              <w:t>2</w:t>
            </w:r>
          </w:p>
        </w:tc>
      </w:tr>
      <w:tr w:rsidR="00DB0517" w14:paraId="24909AB2" w14:textId="77777777" w:rsidTr="00FB6B92">
        <w:tc>
          <w:tcPr>
            <w:tcW w:w="1271" w:type="dxa"/>
            <w:vMerge/>
          </w:tcPr>
          <w:p w14:paraId="6611F5B8" w14:textId="77777777" w:rsidR="00DB0517" w:rsidRDefault="00DB0517" w:rsidP="00FB6B92">
            <w:pPr>
              <w:pStyle w:val="TableTextSmall"/>
            </w:pPr>
          </w:p>
        </w:tc>
        <w:tc>
          <w:tcPr>
            <w:tcW w:w="1559" w:type="dxa"/>
          </w:tcPr>
          <w:p w14:paraId="5A0C6ECE" w14:textId="77777777" w:rsidR="00DB0517" w:rsidRDefault="00DB0517" w:rsidP="00FB6B92">
            <w:pPr>
              <w:pStyle w:val="TableTextSmall"/>
            </w:pPr>
            <w:r>
              <w:t>SA</w:t>
            </w:r>
          </w:p>
        </w:tc>
        <w:tc>
          <w:tcPr>
            <w:tcW w:w="5670" w:type="dxa"/>
          </w:tcPr>
          <w:p w14:paraId="2A03C24F" w14:textId="77777777" w:rsidR="00DB0517" w:rsidRDefault="00DB0517" w:rsidP="00FB6B92">
            <w:pPr>
              <w:pStyle w:val="TableTextSmall"/>
            </w:pPr>
            <w:r w:rsidRPr="006D09CE">
              <w:t>Child Safety (Prohibited Persons) Act 2016</w:t>
            </w:r>
          </w:p>
          <w:p w14:paraId="6D4212A2" w14:textId="77777777" w:rsidR="00DB0517" w:rsidRDefault="00DB0517" w:rsidP="00FB6B92">
            <w:pPr>
              <w:pStyle w:val="TableTextSmall"/>
            </w:pPr>
            <w:r>
              <w:t>C</w:t>
            </w:r>
            <w:r w:rsidRPr="006D09CE">
              <w:t>ontinuous monitoring of screening</w:t>
            </w:r>
          </w:p>
          <w:p w14:paraId="1AD1CB10" w14:textId="77777777" w:rsidR="00DB0517" w:rsidRDefault="00DB0517" w:rsidP="00FB6B92">
            <w:pPr>
              <w:pStyle w:val="TableTextSmall"/>
            </w:pPr>
            <w:r>
              <w:t>C</w:t>
            </w:r>
            <w:r w:rsidRPr="0043415D">
              <w:t>riminalising dishonest communication with children</w:t>
            </w:r>
          </w:p>
          <w:p w14:paraId="7D67E22D" w14:textId="77777777" w:rsidR="00DB0517" w:rsidRPr="00C50FAD" w:rsidRDefault="00DB0517" w:rsidP="00FB6B92">
            <w:pPr>
              <w:pStyle w:val="TableTextSmall"/>
            </w:pPr>
            <w:r>
              <w:t>R</w:t>
            </w:r>
            <w:r w:rsidRPr="0043415D">
              <w:t>estricting the ‘release on licence’ option for sex offenders</w:t>
            </w:r>
          </w:p>
        </w:tc>
        <w:tc>
          <w:tcPr>
            <w:tcW w:w="1355" w:type="dxa"/>
          </w:tcPr>
          <w:p w14:paraId="155CCF7D" w14:textId="77777777" w:rsidR="00DB0517" w:rsidRDefault="00DB0517" w:rsidP="00FB6B92">
            <w:pPr>
              <w:pStyle w:val="TableTextSmall"/>
            </w:pPr>
            <w:r>
              <w:t>4</w:t>
            </w:r>
          </w:p>
        </w:tc>
      </w:tr>
      <w:tr w:rsidR="00DB0517" w14:paraId="2261A97C" w14:textId="77777777" w:rsidTr="00FB6B92">
        <w:tc>
          <w:tcPr>
            <w:tcW w:w="1271" w:type="dxa"/>
            <w:vMerge/>
          </w:tcPr>
          <w:p w14:paraId="5A8B5F8D" w14:textId="77777777" w:rsidR="00DB0517" w:rsidRDefault="00DB0517" w:rsidP="00FB6B92">
            <w:pPr>
              <w:pStyle w:val="TableTextSmall"/>
            </w:pPr>
          </w:p>
        </w:tc>
        <w:tc>
          <w:tcPr>
            <w:tcW w:w="1559" w:type="dxa"/>
          </w:tcPr>
          <w:p w14:paraId="2FDD899A" w14:textId="77777777" w:rsidR="00DB0517" w:rsidRDefault="00DB0517" w:rsidP="00FB6B92">
            <w:pPr>
              <w:pStyle w:val="TableTextSmall"/>
            </w:pPr>
            <w:r>
              <w:t>WA</w:t>
            </w:r>
          </w:p>
        </w:tc>
        <w:tc>
          <w:tcPr>
            <w:tcW w:w="5670" w:type="dxa"/>
          </w:tcPr>
          <w:p w14:paraId="60F4A991" w14:textId="77777777" w:rsidR="00DB0517" w:rsidRDefault="00DB0517" w:rsidP="00FB6B92">
            <w:pPr>
              <w:pStyle w:val="TableTextSmall"/>
            </w:pPr>
            <w:r>
              <w:t>M</w:t>
            </w:r>
            <w:r w:rsidRPr="0043415D">
              <w:t>andatory reporting reform</w:t>
            </w:r>
          </w:p>
          <w:p w14:paraId="251A0A9A" w14:textId="77777777" w:rsidR="00DB0517" w:rsidRDefault="00DB0517" w:rsidP="00FB6B92">
            <w:pPr>
              <w:pStyle w:val="TableTextSmall"/>
            </w:pPr>
            <w:r w:rsidRPr="0043415D">
              <w:t>Response to the Royal Commission into Institutional Responses to Child Sexual Abuse</w:t>
            </w:r>
          </w:p>
          <w:p w14:paraId="73157123" w14:textId="77777777" w:rsidR="00DB0517" w:rsidRPr="00C50FAD" w:rsidRDefault="00DB0517" w:rsidP="00FB6B92">
            <w:pPr>
              <w:pStyle w:val="TableTextSmall"/>
            </w:pPr>
            <w:r w:rsidRPr="0043415D">
              <w:t>Improving advocacy, treatment and support for survivors of child sexual abuse</w:t>
            </w:r>
          </w:p>
        </w:tc>
        <w:tc>
          <w:tcPr>
            <w:tcW w:w="1355" w:type="dxa"/>
          </w:tcPr>
          <w:p w14:paraId="18A23897" w14:textId="77777777" w:rsidR="00DB0517" w:rsidRDefault="00DB0517" w:rsidP="00FB6B92">
            <w:pPr>
              <w:pStyle w:val="TableTextSmall"/>
            </w:pPr>
            <w:r>
              <w:t>3</w:t>
            </w:r>
          </w:p>
        </w:tc>
      </w:tr>
      <w:tr w:rsidR="00DB0517" w14:paraId="63EEFD40" w14:textId="77777777" w:rsidTr="00FB6B92">
        <w:tc>
          <w:tcPr>
            <w:tcW w:w="1271" w:type="dxa"/>
            <w:vMerge/>
          </w:tcPr>
          <w:p w14:paraId="17AFCF78" w14:textId="77777777" w:rsidR="00DB0517" w:rsidRDefault="00DB0517" w:rsidP="00FB6B92">
            <w:pPr>
              <w:pStyle w:val="TableTextSmall"/>
            </w:pPr>
          </w:p>
        </w:tc>
        <w:tc>
          <w:tcPr>
            <w:tcW w:w="1559" w:type="dxa"/>
          </w:tcPr>
          <w:p w14:paraId="4EB6E4C4" w14:textId="77777777" w:rsidR="00DB0517" w:rsidRDefault="00DB0517" w:rsidP="00FB6B92">
            <w:pPr>
              <w:pStyle w:val="TableTextSmall"/>
            </w:pPr>
            <w:r>
              <w:t>TAS</w:t>
            </w:r>
          </w:p>
        </w:tc>
        <w:tc>
          <w:tcPr>
            <w:tcW w:w="5670" w:type="dxa"/>
          </w:tcPr>
          <w:p w14:paraId="5973198E" w14:textId="77777777" w:rsidR="00DB0517" w:rsidRPr="00270C51" w:rsidRDefault="00DB0517" w:rsidP="00FB6B92">
            <w:pPr>
              <w:pStyle w:val="TableTextSmall"/>
              <w:rPr>
                <w:i/>
                <w:iCs/>
              </w:rPr>
            </w:pPr>
            <w:r w:rsidRPr="00270C51">
              <w:rPr>
                <w:i/>
                <w:iCs/>
              </w:rPr>
              <w:t>No initiatives reported</w:t>
            </w:r>
          </w:p>
        </w:tc>
        <w:tc>
          <w:tcPr>
            <w:tcW w:w="1355" w:type="dxa"/>
          </w:tcPr>
          <w:p w14:paraId="2FA83B12" w14:textId="77777777" w:rsidR="00DB0517" w:rsidRDefault="00DB0517" w:rsidP="00FB6B92">
            <w:pPr>
              <w:pStyle w:val="TableTextSmall"/>
            </w:pPr>
            <w:r>
              <w:t>-</w:t>
            </w:r>
          </w:p>
        </w:tc>
      </w:tr>
      <w:tr w:rsidR="00DD6F1E" w14:paraId="0DA2C191" w14:textId="77777777" w:rsidTr="00FB6B92">
        <w:tc>
          <w:tcPr>
            <w:tcW w:w="8500" w:type="dxa"/>
            <w:gridSpan w:val="3"/>
          </w:tcPr>
          <w:p w14:paraId="627666AD" w14:textId="77777777" w:rsidR="00DD6F1E" w:rsidRPr="00FA3E74" w:rsidRDefault="00DD6F1E" w:rsidP="00FB6B92">
            <w:pPr>
              <w:pStyle w:val="TableTextSmall"/>
              <w:jc w:val="right"/>
              <w:rPr>
                <w:b/>
                <w:bCs/>
              </w:rPr>
            </w:pPr>
            <w:r w:rsidRPr="00FA3E74">
              <w:rPr>
                <w:b/>
                <w:bCs/>
              </w:rPr>
              <w:t>Total initiatives aligned to supporting outcome 6</w:t>
            </w:r>
          </w:p>
        </w:tc>
        <w:tc>
          <w:tcPr>
            <w:tcW w:w="1355" w:type="dxa"/>
          </w:tcPr>
          <w:p w14:paraId="734DE04C" w14:textId="77777777" w:rsidR="00DD6F1E" w:rsidRPr="00FA3E74" w:rsidRDefault="00FB6B92" w:rsidP="00FB6B92">
            <w:pPr>
              <w:pStyle w:val="TableTextSmall"/>
              <w:rPr>
                <w:b/>
                <w:bCs/>
              </w:rPr>
            </w:pPr>
            <w:r w:rsidRPr="00FA3E74">
              <w:rPr>
                <w:b/>
                <w:bCs/>
              </w:rPr>
              <w:t>19</w:t>
            </w:r>
          </w:p>
        </w:tc>
      </w:tr>
    </w:tbl>
    <w:p w14:paraId="37E89831" w14:textId="4529B515" w:rsidR="005066D3" w:rsidRPr="00871C24" w:rsidRDefault="003A7B63" w:rsidP="005066D3">
      <w:pPr>
        <w:spacing w:before="240" w:after="120"/>
        <w:rPr>
          <w:i/>
          <w:color w:val="000000" w:themeColor="text1"/>
        </w:rPr>
      </w:pPr>
      <w:r>
        <w:rPr>
          <w:color w:val="000000" w:themeColor="text1"/>
        </w:rPr>
        <w:fldChar w:fldCharType="begin"/>
      </w:r>
      <w:r>
        <w:rPr>
          <w:color w:val="000000" w:themeColor="text1"/>
        </w:rPr>
        <w:instrText xml:space="preserve"> REF _Ref31294553 \h  \* MERGEFORMAT </w:instrText>
      </w:r>
      <w:r>
        <w:rPr>
          <w:color w:val="000000" w:themeColor="text1"/>
        </w:rPr>
      </w:r>
      <w:r>
        <w:rPr>
          <w:color w:val="000000" w:themeColor="text1"/>
        </w:rPr>
        <w:fldChar w:fldCharType="separate"/>
      </w:r>
      <w:r w:rsidR="00D75351" w:rsidRPr="00D75351">
        <w:rPr>
          <w:color w:val="000000" w:themeColor="text1"/>
        </w:rPr>
        <w:t>Table 20</w:t>
      </w:r>
      <w:r>
        <w:rPr>
          <w:color w:val="000000" w:themeColor="text1"/>
        </w:rPr>
        <w:fldChar w:fldCharType="end"/>
      </w:r>
      <w:r>
        <w:rPr>
          <w:color w:val="000000" w:themeColor="text1"/>
        </w:rPr>
        <w:t xml:space="preserve"> </w:t>
      </w:r>
      <w:r w:rsidR="005066D3">
        <w:rPr>
          <w:color w:val="000000" w:themeColor="text1"/>
        </w:rPr>
        <w:t>contains the National Framework supporting outcomes mapped against the articles of the Convention,</w:t>
      </w:r>
      <w:r w:rsidR="005066D3" w:rsidRPr="002B7285">
        <w:rPr>
          <w:color w:val="000000" w:themeColor="text1"/>
        </w:rPr>
        <w:t xml:space="preserve"> based on whether the supporting outcomes of the </w:t>
      </w:r>
      <w:r w:rsidR="005066D3">
        <w:rPr>
          <w:color w:val="000000" w:themeColor="text1"/>
        </w:rPr>
        <w:t xml:space="preserve">National </w:t>
      </w:r>
      <w:r w:rsidR="005066D3" w:rsidRPr="002B7285">
        <w:rPr>
          <w:color w:val="000000" w:themeColor="text1"/>
        </w:rPr>
        <w:t xml:space="preserve">Framework could be </w:t>
      </w:r>
      <w:r w:rsidR="005066D3">
        <w:rPr>
          <w:color w:val="000000" w:themeColor="text1"/>
        </w:rPr>
        <w:t xml:space="preserve">reasonably </w:t>
      </w:r>
      <w:r w:rsidR="005066D3" w:rsidRPr="002B7285">
        <w:rPr>
          <w:color w:val="000000" w:themeColor="text1"/>
        </w:rPr>
        <w:t xml:space="preserve">expected to </w:t>
      </w:r>
      <w:r w:rsidR="005066D3">
        <w:rPr>
          <w:color w:val="000000" w:themeColor="text1"/>
        </w:rPr>
        <w:t xml:space="preserve">progress </w:t>
      </w:r>
      <w:r w:rsidR="005066D3" w:rsidRPr="002B7285">
        <w:rPr>
          <w:color w:val="000000" w:themeColor="text1"/>
        </w:rPr>
        <w:t xml:space="preserve">the rights outlined in </w:t>
      </w:r>
      <w:r w:rsidR="005066D3">
        <w:rPr>
          <w:color w:val="000000" w:themeColor="text1"/>
        </w:rPr>
        <w:t>each convention</w:t>
      </w:r>
      <w:r w:rsidR="005066D3" w:rsidRPr="002B7285">
        <w:rPr>
          <w:color w:val="000000" w:themeColor="text1"/>
        </w:rPr>
        <w:t xml:space="preserve">. </w:t>
      </w:r>
      <w:r w:rsidR="005066D3" w:rsidRPr="00871C24">
        <w:rPr>
          <w:i/>
          <w:color w:val="000000" w:themeColor="text1"/>
        </w:rPr>
        <w:t xml:space="preserve">Note: The article descriptions are in summary form only and the Convention should be directly consulted for </w:t>
      </w:r>
      <w:r w:rsidR="005066D3">
        <w:rPr>
          <w:i/>
          <w:color w:val="000000" w:themeColor="text1"/>
        </w:rPr>
        <w:t>its</w:t>
      </w:r>
      <w:r w:rsidR="005066D3" w:rsidRPr="00871C24">
        <w:rPr>
          <w:i/>
          <w:color w:val="000000" w:themeColor="text1"/>
        </w:rPr>
        <w:t xml:space="preserve"> full contents.</w:t>
      </w:r>
    </w:p>
    <w:p w14:paraId="71235256" w14:textId="661AA36E" w:rsidR="005066D3" w:rsidRPr="002B7285" w:rsidRDefault="005066D3" w:rsidP="005066D3">
      <w:pPr>
        <w:keepNext/>
        <w:keepLines/>
        <w:tabs>
          <w:tab w:val="left" w:pos="992"/>
        </w:tabs>
        <w:spacing w:before="240" w:after="120"/>
        <w:ind w:left="992" w:hanging="992"/>
        <w:rPr>
          <w:bCs/>
          <w:color w:val="D04A02" w:themeColor="accent1"/>
          <w:szCs w:val="18"/>
        </w:rPr>
      </w:pPr>
      <w:bookmarkStart w:id="302" w:name="_Ref31294553"/>
      <w:r w:rsidRPr="002B7285">
        <w:rPr>
          <w:bCs/>
          <w:color w:val="D04A02" w:themeColor="accent1"/>
          <w:szCs w:val="18"/>
        </w:rPr>
        <w:t xml:space="preserve">Table </w:t>
      </w:r>
      <w:r w:rsidRPr="002B7285">
        <w:rPr>
          <w:bCs/>
          <w:color w:val="D04A02" w:themeColor="accent1"/>
          <w:szCs w:val="18"/>
        </w:rPr>
        <w:fldChar w:fldCharType="begin"/>
      </w:r>
      <w:r w:rsidRPr="002B7285">
        <w:rPr>
          <w:bCs/>
          <w:color w:val="D04A02" w:themeColor="accent1"/>
          <w:szCs w:val="18"/>
        </w:rPr>
        <w:instrText xml:space="preserve"> SEQ Table \* ARABIC </w:instrText>
      </w:r>
      <w:r w:rsidRPr="002B7285">
        <w:rPr>
          <w:bCs/>
          <w:color w:val="D04A02" w:themeColor="accent1"/>
          <w:szCs w:val="18"/>
        </w:rPr>
        <w:fldChar w:fldCharType="separate"/>
      </w:r>
      <w:r w:rsidR="00D75351">
        <w:rPr>
          <w:bCs/>
          <w:noProof/>
          <w:color w:val="D04A02" w:themeColor="accent1"/>
          <w:szCs w:val="18"/>
        </w:rPr>
        <w:t>20</w:t>
      </w:r>
      <w:r w:rsidRPr="002B7285">
        <w:rPr>
          <w:bCs/>
          <w:noProof/>
          <w:color w:val="D04A02" w:themeColor="accent1"/>
          <w:szCs w:val="18"/>
        </w:rPr>
        <w:fldChar w:fldCharType="end"/>
      </w:r>
      <w:bookmarkEnd w:id="302"/>
      <w:r w:rsidRPr="002B7285">
        <w:rPr>
          <w:bCs/>
          <w:color w:val="D04A02" w:themeColor="accent1"/>
          <w:szCs w:val="18"/>
        </w:rPr>
        <w:t>: Alignment of Framework supporting outcomes to Articles of the Convention</w:t>
      </w:r>
    </w:p>
    <w:tbl>
      <w:tblPr>
        <w:tblStyle w:val="PwCColour"/>
        <w:tblW w:w="5000" w:type="pct"/>
        <w:tblLayout w:type="fixed"/>
        <w:tblLook w:val="04A0" w:firstRow="1" w:lastRow="0" w:firstColumn="1" w:lastColumn="0" w:noHBand="0" w:noVBand="1"/>
        <w:tblCaption w:val="Table 20: Alignment of Framework supporting outcomes to Articles of the Convention"/>
        <w:tblDescription w:val="National Framework Supporting outcome 1: Children live in safe and supportive families and communities.&#10;Articles of the Convention for the Rights of the Child: Article 3: In all actions concerning children the best interests of the child shall be a primary consideration. Article 5: Respect and support the role that families play to support children’s rights. Article 12: In relation to matters affecting a child, the child has a right to present views and be heard. Article 18: State parties to ensure that parents understand their responsibility to care for children and are supported to do so. Article 27: Support the right of every child to a standard of living adequate for the child's physical, mental, spiritual, moral and social development. &#10;Discussion: Supporting outcome 1 may progress the rights outlined in Articles 3, 5, 12, 18 and 27. The focus of this outcome is providing support to families and communities to understand the needs and rights of children, to enable them to act in a child’s best interests and to support the provision of adequate care. It also encompasses providing children with a right to participate in decisions that affect them, particularly in relation to judicial proceedings, juvenile justice and child protection. &#10;&#10;National Framework Supporting outcome 2: Children and families access adequate support to promote safety and intervene early.&#10;Articles of the Convention for the Rights of the Child: Article 7: Children have a right to know and be cared for by his or her parents, as far as possible. Article 9: Children have a right to live with their parents unless against the best interests for the child. Article 24: Children have a right to the enjoyment of the highest attainable standard of health and to facilities for the treatment of illness and rehabilitation of health. Article 28: Right of the child to education, and with a view to achieving this right progressively and on the basis of equal opportunity.&#10;Discussion: Supporting outcome 2 may progress the rights outlined in Articles 7, 9, 24 and 28. The focus of this outcome is ensuring that children have access to support and services (including education and healthcare) to create conditions for safety and care. It also includes specific provisions for supporting families with children who are ‘at-risk’. In this vein it may protect the rights of children to remain with their parents by creating a supportive environment for families.&#10;&#10;Supporting outcome 3: Risk factors for child abuse and neglect are addressed.&#10;Articles of the Convention for the Rights of the Child: Article 19: State parties to take legislative, administrative, social and educational measures to protect children from violence, injury, abuse, neglect, or exploitation by care providers. Article 23: Children who have any kind of disability should receive special care and support so that they can live a full and independent life. Article 34: States parties undertake to protect the child from all forms of sexual exploitation and sexual abuse. &#10;Discussion: Supporting outcome 3 may progress the rights outlined in Articles 19 and 34. The focus of this outcome is on addressing major parental risk factors associated with abuse and neglect, including health, domestic violence and drug/alcohol abuse. Therefore, it may deliver a child’s right to be protected from abuse and other forms of harm. This supporting outcome specifically identifies disability as a risk factor for abuse and identifies increase support for children or parents with disabilities as a key strategy, and in this vein may progress the rights set out by Article 23.&#10;&#10;National Framework Supporting outcome 4: Children who have been abused or neglected receive the support and care they need for their safety and wellbeing.&#10;Articles of the Convention for the Rights of the Child: Article 20: Children taken from a family environment are entitled to State assistance that has regard for the child’s ethnic, religious, cultural and indigenous background. Article 25: State parties should undertake periodic review of children placed in care. Article 39: Children who have been neglected or abused should receive special help to restore their self-respect.&#10;Discussion: Supporting outcome 4 may progress the rights outlined in Articles 20, 25 and 39. The focus of this outcome is on providing timely and appropriate services to children who have been abused or at risk of abuse, including high-quality child protection. Depending on the exact nature of child protection, it may deliver on the rights encompassed in these articles.&#10;&#10;Supporting outcome 5: Indigenous children are supported and safe in their families and communities. Article 5: Respect and support the role that families play to support children’s rights.&#10;Articles of the Convention for the Rights of the Child: Article 18: State parties to ensure that parents understand their responsibility to care for children and are supported to do so. Article 20: Children taken from a family environment are entitled to State assistance that has regard for the child’s ethnic, religious, cultural and indigenous background. Article 30: A child belonging to such a minority or who is indigenous shall not be denied the right to enjoy his or her own culture, or to use his or her own language.&#10;Discussion: National Framework Supporting outcome 5 may progress the rights outlined in Articles 5, 18, 20 and 30. The focus of this outcome is on supporting Indigenous families to support children, and to provide culturally-appropriate care to Indigenous children in child protection systems. This has some overlap with supporting outcome 1 (Articles 5, 18) and supporting outcome 3 (Article 20). The focus on culturally appropriate care may specifically progress Article 30.&#10;&#10;Supporting outcome 6: Child sexual abuse and exploitation is prevented, and survivors receive adequate support.&#10;Articles of the Convention for the Rights of the Child: Article 34: States parties undertake to protect the child from all forms of sexual exploitation and sexual abuse. Article 39: Children who have been neglected or abused should receive special help to restore their self-respect. &#10;Discussion: Supporting outcome 6 may progress the rights outlined in Articles 34 and 39. This outcome is focused on the specific activities that are required to prevent sexual abuse and to provide support to child survivors of sexual abuse. This is consistent with the rights encompassed in these articles that are specifically related to preventing sexual abuse and providing special assistance for victims of abuse.&#10;"/>
      </w:tblPr>
      <w:tblGrid>
        <w:gridCol w:w="2689"/>
        <w:gridCol w:w="3583"/>
        <w:gridCol w:w="3583"/>
      </w:tblGrid>
      <w:tr w:rsidR="005066D3" w:rsidRPr="002B7285" w14:paraId="05222F99" w14:textId="77777777" w:rsidTr="001D3D1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89" w:type="dxa"/>
          </w:tcPr>
          <w:p w14:paraId="731A9278" w14:textId="77777777" w:rsidR="005066D3" w:rsidRPr="002B7285" w:rsidRDefault="005066D3" w:rsidP="001D3D1F">
            <w:pPr>
              <w:keepNext/>
              <w:keepLines/>
              <w:spacing w:before="40" w:after="40"/>
              <w:rPr>
                <w:rFonts w:ascii="Arial" w:hAnsi="Arial"/>
                <w:b/>
                <w:color w:val="7D7D7D" w:themeColor="text2"/>
                <w:sz w:val="16"/>
                <w:szCs w:val="16"/>
              </w:rPr>
            </w:pPr>
            <w:r w:rsidRPr="002B7285">
              <w:rPr>
                <w:rFonts w:ascii="Arial" w:hAnsi="Arial"/>
                <w:b/>
                <w:color w:val="7D7D7D" w:themeColor="text2"/>
                <w:sz w:val="16"/>
                <w:szCs w:val="16"/>
              </w:rPr>
              <w:t>National Framework supporting outcomes</w:t>
            </w:r>
          </w:p>
        </w:tc>
        <w:tc>
          <w:tcPr>
            <w:tcW w:w="3583" w:type="dxa"/>
          </w:tcPr>
          <w:p w14:paraId="5D71EEB7" w14:textId="77777777" w:rsidR="005066D3" w:rsidRPr="002B7285" w:rsidRDefault="005066D3" w:rsidP="001D3D1F">
            <w:pPr>
              <w:keepNext/>
              <w:keepLines/>
              <w:spacing w:before="40" w:after="40"/>
              <w:cnfStyle w:val="100000000000" w:firstRow="1" w:lastRow="0" w:firstColumn="0" w:lastColumn="0" w:oddVBand="0" w:evenVBand="0" w:oddHBand="0" w:evenHBand="0" w:firstRowFirstColumn="0" w:firstRowLastColumn="0" w:lastRowFirstColumn="0" w:lastRowLastColumn="0"/>
              <w:rPr>
                <w:rFonts w:ascii="Arial" w:hAnsi="Arial"/>
                <w:b/>
                <w:color w:val="7D7D7D" w:themeColor="text2"/>
                <w:sz w:val="16"/>
                <w:szCs w:val="16"/>
              </w:rPr>
            </w:pPr>
            <w:r w:rsidRPr="002B7285">
              <w:rPr>
                <w:rFonts w:ascii="Arial" w:hAnsi="Arial"/>
                <w:b/>
                <w:color w:val="7D7D7D" w:themeColor="text2"/>
                <w:sz w:val="16"/>
                <w:szCs w:val="16"/>
              </w:rPr>
              <w:t>Articles of the Convention for the Rights of the Child</w:t>
            </w:r>
          </w:p>
        </w:tc>
        <w:tc>
          <w:tcPr>
            <w:tcW w:w="3583" w:type="dxa"/>
          </w:tcPr>
          <w:p w14:paraId="76DFDCAF" w14:textId="77777777" w:rsidR="005066D3" w:rsidRPr="002B7285" w:rsidRDefault="005066D3" w:rsidP="001D3D1F">
            <w:pPr>
              <w:keepNext/>
              <w:keepLines/>
              <w:spacing w:before="40" w:after="40"/>
              <w:cnfStyle w:val="100000000000" w:firstRow="1" w:lastRow="0" w:firstColumn="0" w:lastColumn="0" w:oddVBand="0" w:evenVBand="0" w:oddHBand="0" w:evenHBand="0" w:firstRowFirstColumn="0" w:firstRowLastColumn="0" w:lastRowFirstColumn="0" w:lastRowLastColumn="0"/>
              <w:rPr>
                <w:rFonts w:ascii="Arial" w:hAnsi="Arial"/>
                <w:b/>
                <w:color w:val="7D7D7D" w:themeColor="text2"/>
                <w:sz w:val="16"/>
                <w:szCs w:val="16"/>
              </w:rPr>
            </w:pPr>
            <w:r w:rsidRPr="002B7285">
              <w:rPr>
                <w:rFonts w:ascii="Arial" w:hAnsi="Arial"/>
                <w:b/>
                <w:color w:val="7D7D7D" w:themeColor="text2"/>
                <w:sz w:val="16"/>
                <w:szCs w:val="16"/>
              </w:rPr>
              <w:t>Discussion</w:t>
            </w:r>
          </w:p>
        </w:tc>
      </w:tr>
      <w:tr w:rsidR="005066D3" w:rsidRPr="002B7285" w14:paraId="41421FAE" w14:textId="77777777" w:rsidTr="001D3D1F">
        <w:tc>
          <w:tcPr>
            <w:tcW w:w="2689" w:type="dxa"/>
          </w:tcPr>
          <w:p w14:paraId="0B88A42D"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Supporting outcome 1: Children live in safe and supportive families and communities.</w:t>
            </w:r>
          </w:p>
        </w:tc>
        <w:tc>
          <w:tcPr>
            <w:tcW w:w="3583" w:type="dxa"/>
          </w:tcPr>
          <w:p w14:paraId="140F108B"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Article 3: In all actions concerning children the best interests of the child shall be a primary consideration.</w:t>
            </w:r>
          </w:p>
          <w:p w14:paraId="20FA4ED5"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Article 5: Respect and support the role that families play to support children’s rights.</w:t>
            </w:r>
          </w:p>
          <w:p w14:paraId="3DAF0CE8"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Article 12: In relation to matters affecting a child, the child has a right to present views and be heard.</w:t>
            </w:r>
          </w:p>
          <w:p w14:paraId="7F8EFDB7"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Article 18: State parties to ensure that parents understand their responsibility to care for children and are supported to do so.</w:t>
            </w:r>
          </w:p>
          <w:p w14:paraId="2BA842BA"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Article 27: Support the right of every child to a standard of living adequate for the child's physical, mental, spiritual, moral and social development.</w:t>
            </w:r>
          </w:p>
        </w:tc>
        <w:tc>
          <w:tcPr>
            <w:tcW w:w="3583" w:type="dxa"/>
          </w:tcPr>
          <w:p w14:paraId="7114AD1D"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 xml:space="preserve">Supporting outcome 1 may progress the rights outlined in Articles 3, 5, 12, 18 and 27. The focus of this outcome is providing support to families and communities to understand the needs and rights of children, to enable them to act in a child’s best interests and to support the provision of adequate care. It also encompasses providing children with a right to participate in decisions that affect them, particularly in relation to judicial proceedings, juvenile justice and child protection. </w:t>
            </w:r>
          </w:p>
        </w:tc>
      </w:tr>
      <w:tr w:rsidR="005066D3" w:rsidRPr="002B7285" w14:paraId="033204D9" w14:textId="77777777" w:rsidTr="001D3D1F">
        <w:tc>
          <w:tcPr>
            <w:tcW w:w="2689" w:type="dxa"/>
          </w:tcPr>
          <w:p w14:paraId="20C630A7"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Supporting outcome 2: Children and families access adequate support to promote safety and intervene early.</w:t>
            </w:r>
          </w:p>
        </w:tc>
        <w:tc>
          <w:tcPr>
            <w:tcW w:w="3583" w:type="dxa"/>
          </w:tcPr>
          <w:p w14:paraId="6E45335B"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Article 7: Children have a right to know and be cared for by his or her parents, as far as possible.</w:t>
            </w:r>
          </w:p>
          <w:p w14:paraId="6FD02F34"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Article 9: Children have a right to live with their parents unless against the best interests for the child.</w:t>
            </w:r>
          </w:p>
          <w:p w14:paraId="20AFD58E"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Article 24: Children have a right to the enjoyment of the highest attainable standard of health and to facilities for the treatment of illness and rehabilitation of health.</w:t>
            </w:r>
          </w:p>
          <w:p w14:paraId="14A05F36" w14:textId="77777777" w:rsidR="005066D3" w:rsidRPr="002B7285" w:rsidRDefault="005066D3" w:rsidP="001D3D1F">
            <w:pPr>
              <w:spacing w:before="40" w:after="40"/>
              <w:rPr>
                <w:rFonts w:ascii="Arial" w:hAnsi="Arial"/>
                <w:sz w:val="16"/>
                <w:szCs w:val="18"/>
              </w:rPr>
            </w:pPr>
            <w:r w:rsidRPr="002B7285">
              <w:rPr>
                <w:rFonts w:ascii="Arial" w:hAnsi="Arial"/>
                <w:sz w:val="16"/>
                <w:szCs w:val="18"/>
              </w:rPr>
              <w:lastRenderedPageBreak/>
              <w:t>Article 28: Right of the child to education, and with a view to achieving this right progressively and on the basis of equal opportunity.</w:t>
            </w:r>
          </w:p>
        </w:tc>
        <w:tc>
          <w:tcPr>
            <w:tcW w:w="3583" w:type="dxa"/>
          </w:tcPr>
          <w:p w14:paraId="67715E0D" w14:textId="77777777" w:rsidR="005066D3" w:rsidRPr="002B7285" w:rsidRDefault="005066D3" w:rsidP="001D3D1F">
            <w:pPr>
              <w:spacing w:before="40" w:after="40"/>
              <w:rPr>
                <w:rFonts w:ascii="Arial" w:hAnsi="Arial"/>
                <w:sz w:val="16"/>
                <w:szCs w:val="18"/>
              </w:rPr>
            </w:pPr>
            <w:r w:rsidRPr="002B7285">
              <w:rPr>
                <w:rFonts w:ascii="Arial" w:hAnsi="Arial"/>
                <w:sz w:val="16"/>
                <w:szCs w:val="18"/>
              </w:rPr>
              <w:lastRenderedPageBreak/>
              <w:t>Supporting outcome 2 may progress the rights outlined in Articles 7, 9, 24 and 28. The focus of this outcome is ensuring that children have access to support and services (including education and healthcare) to create conditions for safety and care. It also includes specific provisions for supporting families with children who are ‘at-risk’. In this vein it may protect the rights of children to remain with their parents by creating a supportive environment for families.</w:t>
            </w:r>
          </w:p>
        </w:tc>
      </w:tr>
      <w:tr w:rsidR="005066D3" w:rsidRPr="002B7285" w14:paraId="19E40C3F" w14:textId="77777777" w:rsidTr="001D3D1F">
        <w:tc>
          <w:tcPr>
            <w:tcW w:w="2689" w:type="dxa"/>
          </w:tcPr>
          <w:p w14:paraId="30F0B06E"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Supporting outcome 3: Risk factors for child abuse and neglect are addressed.</w:t>
            </w:r>
          </w:p>
        </w:tc>
        <w:tc>
          <w:tcPr>
            <w:tcW w:w="3583" w:type="dxa"/>
          </w:tcPr>
          <w:p w14:paraId="1CAD3D43"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Article 19: State parties to take legislative, administrative, social and educational measures to protect children from violence, injury, abuse, neglect, or exploitation by care providers.</w:t>
            </w:r>
          </w:p>
          <w:p w14:paraId="3D1400E4"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Article 23: Children who have any kind of disability should receive special care and support so that they can live a full and independent life.</w:t>
            </w:r>
          </w:p>
          <w:p w14:paraId="43730498"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 xml:space="preserve">Article 34: States </w:t>
            </w:r>
            <w:r>
              <w:rPr>
                <w:rFonts w:ascii="Arial" w:hAnsi="Arial"/>
                <w:sz w:val="16"/>
                <w:szCs w:val="18"/>
              </w:rPr>
              <w:t>p</w:t>
            </w:r>
            <w:r w:rsidRPr="002B7285">
              <w:rPr>
                <w:rFonts w:ascii="Arial" w:hAnsi="Arial"/>
                <w:sz w:val="16"/>
                <w:szCs w:val="18"/>
              </w:rPr>
              <w:t>arties undertake to protect the child from all forms of sexual exploitation and sexual abuse.</w:t>
            </w:r>
          </w:p>
        </w:tc>
        <w:tc>
          <w:tcPr>
            <w:tcW w:w="3583" w:type="dxa"/>
          </w:tcPr>
          <w:p w14:paraId="2E8405EC"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Supporting outcome 3 may progress the rights outlined in Articles 19 and 34. The focus of this outcome is on addressing major parental risk factors associated with abuse and neglect, including health, domestic violence and drug/alcohol abuse. Therefore, it may deliver a child’s right to be protected from abuse and other forms of harm. This supporting outcome specifically identifies disability as a risk factor for abuse and identifies increase support for children or parents with disabilities as a key strategy, and in this vein may progress the rights set out by Article 23.</w:t>
            </w:r>
          </w:p>
        </w:tc>
      </w:tr>
      <w:tr w:rsidR="005066D3" w:rsidRPr="002B7285" w14:paraId="2167163F" w14:textId="77777777" w:rsidTr="001D3D1F">
        <w:tc>
          <w:tcPr>
            <w:tcW w:w="2689" w:type="dxa"/>
          </w:tcPr>
          <w:p w14:paraId="5CB69ABC"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Supporting outcome 4: Children who have been abused or neglected receive the support and care they need for their safety and wellbeing.</w:t>
            </w:r>
          </w:p>
        </w:tc>
        <w:tc>
          <w:tcPr>
            <w:tcW w:w="3583" w:type="dxa"/>
          </w:tcPr>
          <w:p w14:paraId="645B13EF"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Article 20: Children taken from a family environment are entitled to State assistance that has regard for the child’s ethnic, religious, cultural and indigenous background.</w:t>
            </w:r>
          </w:p>
          <w:p w14:paraId="15189869"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Article 25: State parties should undertake periodic review of children placed in care.</w:t>
            </w:r>
          </w:p>
          <w:p w14:paraId="6B9BACCA"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Article 39: Children who have been neglected or abused should receive special help to restore their self-respect.</w:t>
            </w:r>
          </w:p>
        </w:tc>
        <w:tc>
          <w:tcPr>
            <w:tcW w:w="3583" w:type="dxa"/>
          </w:tcPr>
          <w:p w14:paraId="4E40A782"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Supporting outcome 4 may progress the rights outlined in Articles 20, 25 and 39. The focus of this outcome is on providing timely and appropriate services to children who have been abused or at risk of abuse, including high-quality child protection. Depending on the exact nature of child protection, it may deliver on the rights encompassed in these articles.</w:t>
            </w:r>
          </w:p>
        </w:tc>
      </w:tr>
      <w:tr w:rsidR="005066D3" w:rsidRPr="002B7285" w14:paraId="6C085F0A" w14:textId="77777777" w:rsidTr="001D3D1F">
        <w:tc>
          <w:tcPr>
            <w:tcW w:w="2689" w:type="dxa"/>
          </w:tcPr>
          <w:p w14:paraId="0ACD3792"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Supporting outcome 5: Indigenous children are supported and safe in their families and communities.</w:t>
            </w:r>
          </w:p>
        </w:tc>
        <w:tc>
          <w:tcPr>
            <w:tcW w:w="3583" w:type="dxa"/>
          </w:tcPr>
          <w:p w14:paraId="7DD996DB"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Article 5: Respect and support the role that families play to support children’s rights.</w:t>
            </w:r>
          </w:p>
          <w:p w14:paraId="1F7D3FF4"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Article 18: State parties to ensure that parents understand their responsibility to care for children and are supported to do so.</w:t>
            </w:r>
          </w:p>
          <w:p w14:paraId="230B38CD"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Article 20: Children taken from a family environment are entitled to State assistance that has regard for the child’s ethnic, religious, cultural and indigenous background.</w:t>
            </w:r>
          </w:p>
          <w:p w14:paraId="008EDD0E"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Article 30: A child belonging to such a minority or who is indigenous shall not be denied the right to enjoy his or her own culture, or to use his or her own language.</w:t>
            </w:r>
          </w:p>
        </w:tc>
        <w:tc>
          <w:tcPr>
            <w:tcW w:w="3583" w:type="dxa"/>
          </w:tcPr>
          <w:p w14:paraId="03C307A1"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Supporting outcome 5 may progress the rights outlined in Articles 5, 18</w:t>
            </w:r>
            <w:r>
              <w:rPr>
                <w:rFonts w:ascii="Arial" w:hAnsi="Arial"/>
                <w:sz w:val="16"/>
                <w:szCs w:val="18"/>
              </w:rPr>
              <w:t>,</w:t>
            </w:r>
            <w:r w:rsidRPr="002B7285">
              <w:rPr>
                <w:rFonts w:ascii="Arial" w:hAnsi="Arial"/>
                <w:sz w:val="16"/>
                <w:szCs w:val="18"/>
              </w:rPr>
              <w:t xml:space="preserve"> 20 and 30. The focus of this outcome is on supporting Indigenous families to support children, and to provide culturally</w:t>
            </w:r>
            <w:r>
              <w:rPr>
                <w:rFonts w:ascii="Arial" w:hAnsi="Arial"/>
                <w:sz w:val="16"/>
                <w:szCs w:val="18"/>
              </w:rPr>
              <w:t>-</w:t>
            </w:r>
            <w:r w:rsidRPr="002B7285">
              <w:rPr>
                <w:rFonts w:ascii="Arial" w:hAnsi="Arial"/>
                <w:sz w:val="16"/>
                <w:szCs w:val="18"/>
              </w:rPr>
              <w:t>appropriate care to Indigenous children in child protection systems. This has some overlap with supporting outcome 1 (Articles 5, 18) and supporting outcome 3 (Article 20). The focus on culturally appropriate care may specifically progress Article 30.</w:t>
            </w:r>
          </w:p>
        </w:tc>
      </w:tr>
      <w:tr w:rsidR="005066D3" w:rsidRPr="002B7285" w14:paraId="677CC599" w14:textId="77777777" w:rsidTr="001D3D1F">
        <w:tc>
          <w:tcPr>
            <w:tcW w:w="2689" w:type="dxa"/>
          </w:tcPr>
          <w:p w14:paraId="1832E6C6"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Supporting outcome 6: Child sexual abuse and exploitation is prevented, and survivors receive adequate support.</w:t>
            </w:r>
          </w:p>
        </w:tc>
        <w:tc>
          <w:tcPr>
            <w:tcW w:w="3583" w:type="dxa"/>
          </w:tcPr>
          <w:p w14:paraId="73CBEFF3"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 xml:space="preserve">Article 34: States </w:t>
            </w:r>
            <w:r>
              <w:rPr>
                <w:rFonts w:ascii="Arial" w:hAnsi="Arial"/>
                <w:sz w:val="16"/>
                <w:szCs w:val="18"/>
              </w:rPr>
              <w:t>p</w:t>
            </w:r>
            <w:r w:rsidRPr="002B7285">
              <w:rPr>
                <w:rFonts w:ascii="Arial" w:hAnsi="Arial"/>
                <w:sz w:val="16"/>
                <w:szCs w:val="18"/>
              </w:rPr>
              <w:t>arties undertake to protect the child from all forms of sexual exploitation and sexual abuse.</w:t>
            </w:r>
          </w:p>
          <w:p w14:paraId="71C13C0E"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Article 39: Children who have been neglected or abused should receive special help to restore their self-respect.</w:t>
            </w:r>
          </w:p>
        </w:tc>
        <w:tc>
          <w:tcPr>
            <w:tcW w:w="3583" w:type="dxa"/>
          </w:tcPr>
          <w:p w14:paraId="1D29CBD1"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Supporting outcome 6 may progress the rights outlined in Articles 34 and 39. This outcome is focused on the specific activities that are required to prevent sexual abuse and to provide support to child survivors of sexual abuse. This is consistent with the rights encompassed in these articles that are specifically related to preventing sexual abuse and providing special assistance for victims of abuse.</w:t>
            </w:r>
          </w:p>
        </w:tc>
      </w:tr>
    </w:tbl>
    <w:p w14:paraId="38B57305" w14:textId="7EF9EE4F" w:rsidR="006B13FE" w:rsidRDefault="006B13FE" w:rsidP="006B13FE">
      <w:pPr>
        <w:pStyle w:val="PwCNormal"/>
        <w:numPr>
          <w:ilvl w:val="0"/>
          <w:numId w:val="0"/>
        </w:numPr>
      </w:pPr>
      <w:r>
        <w:t xml:space="preserve">In relation to evaluation domain </w:t>
      </w:r>
      <w:r w:rsidR="00443F56">
        <w:t>3</w:t>
      </w:r>
      <w:r>
        <w:t xml:space="preserve">, sub-question d </w:t>
      </w:r>
      <w:r w:rsidRPr="008A422B">
        <w:rPr>
          <w:i/>
          <w:iCs/>
        </w:rPr>
        <w:t>(to what extent did the National Framework engage with the public health model and primary prevention activities</w:t>
      </w:r>
      <w:r>
        <w:t xml:space="preserve">) </w:t>
      </w:r>
      <w:r>
        <w:fldChar w:fldCharType="begin"/>
      </w:r>
      <w:r>
        <w:instrText xml:space="preserve"> REF _Ref31294572 \h </w:instrText>
      </w:r>
      <w:r>
        <w:fldChar w:fldCharType="separate"/>
      </w:r>
      <w:r w:rsidR="00D75351">
        <w:t xml:space="preserve">Table </w:t>
      </w:r>
      <w:r w:rsidR="00D75351">
        <w:rPr>
          <w:noProof/>
        </w:rPr>
        <w:t>21</w:t>
      </w:r>
      <w:r>
        <w:fldChar w:fldCharType="end"/>
      </w:r>
      <w:r>
        <w:t xml:space="preserve"> maps the signature actions in the Third Action Plan against the child protection public health model.</w:t>
      </w:r>
    </w:p>
    <w:p w14:paraId="240A6AFF" w14:textId="77777777" w:rsidR="006B13FE" w:rsidRDefault="006B13FE" w:rsidP="006B13FE">
      <w:pPr>
        <w:pStyle w:val="PwCNormal"/>
        <w:numPr>
          <w:ilvl w:val="0"/>
          <w:numId w:val="0"/>
        </w:numPr>
      </w:pPr>
      <w:r>
        <w:t>This is based on the following categorisation:</w:t>
      </w:r>
    </w:p>
    <w:p w14:paraId="3EB78CDB" w14:textId="77777777" w:rsidR="006B13FE" w:rsidRDefault="006B13FE" w:rsidP="006B13FE">
      <w:pPr>
        <w:pStyle w:val="ListBullet"/>
      </w:pPr>
      <w:r>
        <w:t>Universal refers to initiatives that support all families and children</w:t>
      </w:r>
    </w:p>
    <w:p w14:paraId="22A38DB2" w14:textId="77777777" w:rsidR="006B13FE" w:rsidRDefault="006B13FE" w:rsidP="006B13FE">
      <w:pPr>
        <w:pStyle w:val="ListBullet"/>
      </w:pPr>
      <w:r>
        <w:t>Early refers to early intervention initiatives that target vulnerable families and children</w:t>
      </w:r>
    </w:p>
    <w:p w14:paraId="777F9ADC" w14:textId="77777777" w:rsidR="006B13FE" w:rsidRDefault="006B13FE" w:rsidP="006B13FE">
      <w:pPr>
        <w:pStyle w:val="ListBullet"/>
      </w:pPr>
      <w:r>
        <w:lastRenderedPageBreak/>
        <w:t>Targeted refers to initiatives that target ‘at-risk’ families and children</w:t>
      </w:r>
    </w:p>
    <w:p w14:paraId="7564E8C6" w14:textId="77777777" w:rsidR="006B13FE" w:rsidRDefault="006B13FE" w:rsidP="006B13FE">
      <w:pPr>
        <w:pStyle w:val="ListBullet"/>
      </w:pPr>
      <w:r>
        <w:t>Statutory refers to initiatives that target families and children that are part of the child protection system</w:t>
      </w:r>
    </w:p>
    <w:p w14:paraId="3B42E1B3" w14:textId="77777777" w:rsidR="006B13FE" w:rsidRDefault="006B13FE" w:rsidP="006B13FE">
      <w:pPr>
        <w:pStyle w:val="PwCNormal"/>
        <w:numPr>
          <w:ilvl w:val="0"/>
          <w:numId w:val="0"/>
        </w:numPr>
      </w:pPr>
      <w:r>
        <w:t xml:space="preserve">While some initiatives may have a specific target cohort other may be more difficult or overlapping in relation to the above categorisation. In particular the distinction between vulnerable and ‘at-risk’ families is not explicitly defined. </w:t>
      </w:r>
      <w:r w:rsidR="0052386D">
        <w:t xml:space="preserve">Where possible we have selected the alignment to the public health model based on the cohort most targeted by an intervention. For some </w:t>
      </w:r>
      <w:r>
        <w:t xml:space="preserve">actions </w:t>
      </w:r>
      <w:r w:rsidR="0052386D">
        <w:t xml:space="preserve">the cohort are ambiguous and therefore they </w:t>
      </w:r>
      <w:r>
        <w:t>are categorised as both.</w:t>
      </w:r>
    </w:p>
    <w:p w14:paraId="0FD96DEA" w14:textId="77777777" w:rsidR="0052386D" w:rsidRDefault="0052386D" w:rsidP="00FA3E74">
      <w:pPr>
        <w:pStyle w:val="PwCNormal"/>
      </w:pPr>
      <w:r>
        <w:t>In addition, similar to the commentary provided with the mapping of actions to outcome we note that some actions seek to create an enabling environment (i.e. through research, standardisation, governance protocols) while others relate more directly to implementing policy or programs. Consistent with how they have been treated in the previous analysis, actions that are more enabling are categorised as ‘N/A’ as they do not directly address a cohort summarised in the public health model.</w:t>
      </w:r>
    </w:p>
    <w:p w14:paraId="235A7457" w14:textId="3B986E7D" w:rsidR="005066D3" w:rsidRDefault="005066D3" w:rsidP="005066D3">
      <w:pPr>
        <w:pStyle w:val="Caption"/>
      </w:pPr>
      <w:bookmarkStart w:id="303" w:name="_Ref31294572"/>
      <w:r>
        <w:t xml:space="preserve">Table </w:t>
      </w:r>
      <w:fldSimple w:instr=" SEQ Table \* ARABIC ">
        <w:r w:rsidR="00D75351">
          <w:rPr>
            <w:noProof/>
          </w:rPr>
          <w:t>21</w:t>
        </w:r>
      </w:fldSimple>
      <w:bookmarkEnd w:id="303"/>
      <w:r>
        <w:t>: Third Action Plan signature actions mapped against the public health model</w:t>
      </w:r>
    </w:p>
    <w:tbl>
      <w:tblPr>
        <w:tblStyle w:val="PwCColour"/>
        <w:tblW w:w="5000" w:type="pct"/>
        <w:tblLook w:val="04A0" w:firstRow="1" w:lastRow="0" w:firstColumn="1" w:lastColumn="0" w:noHBand="0" w:noVBand="1"/>
        <w:tblCaption w:val="Table 21: Third Action Plan signature actions mapped against the public health model"/>
        <w:tblDescription w:val="Cross-cutting focus area – Aboriginal and Torres Strait Islander children and families&#10;1. Signature Action: All parties agree to ensure the five domains of the ATSICPP are applied to the implementation of strategies and actions identified in the Third Action Plan is mapped to Targeted and Statutory section of the public health model.&#10;2. Signature Action: A new Aboriginal and Torres Strait Islander working group will be established to provide advice and expertise on the implementation of actions and strategies, and report to the National Forum for Protecting Australia’s Children on progress and outcomes, to ensure a sustained focus on results is not applicable to being mapped to sections of the public health model&#10;Strategy 1: Early intervention with a focus on the early years, particularly the first 1000 days for a child&#10;3. Signature Action: Commonwealth to initiate community awareness raising activities focused on effective parenting practices and strategies to enhance safe and supportive environments in the early years, at both national and local levels is mapped to the universal section of the public health model.&#10;4 Signature Action: Identify locations with high incidences of domestic and family violence and improve resource co-ordination of services and activities to better meet the needs of vulnerable expectant parents and parents of young children is mapped to the early and targeted sections of the public health model.&#10;5: Signature Action: Commonwealth to develop and trial an effective model of services and support focused on the first 1000 days to better support Aboriginal and Torres Strait Islander families and communities is mapped to the early and targeted sections of the public health model.&#10;6. Signature Action: Examine place-based models to identify critical success factors to inform future work is not applicable to being mapped to sections of the public health model&#10;7. Signature Action: Commonwealth to support integration of child care, maternal and child health, and family support services in a number of disadvantaged Aboriginal and Torres Strait Islander communities, through the Community Child Care Fund is mapped to the targeted section of the public health model.&#10;Strategy 2:  Helping young people in out-of-home care to thrive into adulthood&#10;8. Signature Action: Commonwealth to continue to support eligible young people to access services through the Youth Employment Strategy, Growing Jobs and Small Business Package is mapped to the early section of the public health model.&#10;9. Signature Action: Commonwealth to trial ways of improving support to young people by better utilising available data and delivering intensive case management including wrap around services linking to education, health and housing, working with jurisdictions. All parties to use findings to guide future interventions for young people is mapped to the targeted section of the public health model.&#10;10. Signature Action: Examine 2014 reforms to the Transition to Independent Living Allowance to ensure it continues to target those who need it most and improve efficiency is mapped to the targeted section of the public health model.&#10;11. Signature Action: Evaluate impact of jurisdictions’ policy changes to extend statutory responsibility and access to services to young people who exit out-of-home care over the age of 18 years is mapped to the statutory section of the public health model.&#10;Strategy 3:  Organisations responding better to children and young people to keep them safe&#10;12. Signature Action: Review and implement the National Framework: Creating Safe Environments for Children — Organisations, Employees and Volunteers (2005) is mapped to the universal section of the public health model.&#10;13. Signature Action: Strategy working group to produce a work plan to identify resources to support best practice on child-safe standards is not applicable to being mapped to sections of the public health model.&#10;14. Signature Action: Share jurisdictional approaches to develop a best practice model of information exchange is not applicable to being mapped to sections of the public health model.&#10;Cross- cutting focus area – Research and reporting under the Third Action Plan&#10;15. Signature Action: Explore capacity to develop targets and progress markers for Third Action Plan to measure progress, and if viable, identify appropriate targets and markers, to assist with reporting by June 2016 is not applicable to being mapped to sections of the public health model.&#10;16. Signature Action: Examine how to continue full implementation of, and give best effect to, the National Standards for out-of-home care in light of the Senate Inquiry Into Out-of-Home Care recommendations is mapped to the statutory section of the public health model.&#10;17. Signature Action: Revitalise the Research Advisory Committee of the National Forum to develop a new research agenda is not applicable to being mapped to sections of the public health model.&#10;"/>
      </w:tblPr>
      <w:tblGrid>
        <w:gridCol w:w="474"/>
        <w:gridCol w:w="5187"/>
        <w:gridCol w:w="1046"/>
        <w:gridCol w:w="1047"/>
        <w:gridCol w:w="1047"/>
        <w:gridCol w:w="1054"/>
      </w:tblGrid>
      <w:tr w:rsidR="005066D3" w14:paraId="2AE02220" w14:textId="77777777" w:rsidTr="001D3D1F">
        <w:trPr>
          <w:cnfStyle w:val="100000000000" w:firstRow="1" w:lastRow="0" w:firstColumn="0" w:lastColumn="0" w:oddVBand="0" w:evenVBand="0" w:oddHBand="0" w:evenHBand="0" w:firstRowFirstColumn="0" w:firstRowLastColumn="0" w:lastRowFirstColumn="0" w:lastRowLastColumn="0"/>
          <w:trHeight w:val="121"/>
        </w:trPr>
        <w:tc>
          <w:tcPr>
            <w:cnfStyle w:val="000000000100" w:firstRow="0" w:lastRow="0" w:firstColumn="0" w:lastColumn="0" w:oddVBand="0" w:evenVBand="0" w:oddHBand="0" w:evenHBand="0" w:firstRowFirstColumn="1" w:firstRowLastColumn="0" w:lastRowFirstColumn="0" w:lastRowLastColumn="0"/>
            <w:tcW w:w="240" w:type="pct"/>
            <w:vAlign w:val="center"/>
          </w:tcPr>
          <w:p w14:paraId="602DE846" w14:textId="77777777" w:rsidR="005066D3" w:rsidRDefault="005066D3" w:rsidP="001D3D1F">
            <w:pPr>
              <w:pStyle w:val="TableColumnHeadingSmall"/>
            </w:pPr>
            <w:bookmarkStart w:id="304" w:name="_Hlk36569058"/>
            <w:r>
              <w:t>No.</w:t>
            </w:r>
          </w:p>
        </w:tc>
        <w:tc>
          <w:tcPr>
            <w:tcW w:w="2632" w:type="pct"/>
            <w:vAlign w:val="center"/>
          </w:tcPr>
          <w:p w14:paraId="5C34A7E2" w14:textId="77777777" w:rsidR="005066D3" w:rsidRPr="002B7285" w:rsidRDefault="005066D3" w:rsidP="001D3D1F">
            <w:pPr>
              <w:pStyle w:val="TableColumnHeadingSmall"/>
              <w:cnfStyle w:val="100000000000" w:firstRow="1" w:lastRow="0" w:firstColumn="0" w:lastColumn="0" w:oddVBand="0" w:evenVBand="0" w:oddHBand="0" w:evenHBand="0" w:firstRowFirstColumn="0" w:firstRowLastColumn="0" w:lastRowFirstColumn="0" w:lastRowLastColumn="0"/>
            </w:pPr>
            <w:r>
              <w:t>Signature action</w:t>
            </w:r>
          </w:p>
        </w:tc>
        <w:tc>
          <w:tcPr>
            <w:tcW w:w="531" w:type="pct"/>
          </w:tcPr>
          <w:p w14:paraId="6B197CDD" w14:textId="77777777" w:rsidR="005066D3" w:rsidRDefault="005066D3" w:rsidP="001D3D1F">
            <w:pPr>
              <w:pStyle w:val="TableColumnHeadingSmall"/>
              <w:cnfStyle w:val="100000000000" w:firstRow="1" w:lastRow="0" w:firstColumn="0" w:lastColumn="0" w:oddVBand="0" w:evenVBand="0" w:oddHBand="0" w:evenHBand="0" w:firstRowFirstColumn="0" w:firstRowLastColumn="0" w:lastRowFirstColumn="0" w:lastRowLastColumn="0"/>
            </w:pPr>
            <w:r>
              <w:t>Universal</w:t>
            </w:r>
          </w:p>
        </w:tc>
        <w:tc>
          <w:tcPr>
            <w:tcW w:w="531" w:type="pct"/>
          </w:tcPr>
          <w:p w14:paraId="4BD81C7A" w14:textId="77777777" w:rsidR="005066D3" w:rsidRDefault="005066D3" w:rsidP="001D3D1F">
            <w:pPr>
              <w:pStyle w:val="TableColumnHeadingSmall"/>
              <w:cnfStyle w:val="100000000000" w:firstRow="1" w:lastRow="0" w:firstColumn="0" w:lastColumn="0" w:oddVBand="0" w:evenVBand="0" w:oddHBand="0" w:evenHBand="0" w:firstRowFirstColumn="0" w:firstRowLastColumn="0" w:lastRowFirstColumn="0" w:lastRowLastColumn="0"/>
            </w:pPr>
            <w:r>
              <w:t>Early</w:t>
            </w:r>
          </w:p>
        </w:tc>
        <w:tc>
          <w:tcPr>
            <w:tcW w:w="531" w:type="pct"/>
          </w:tcPr>
          <w:p w14:paraId="3CC94744" w14:textId="77777777" w:rsidR="005066D3" w:rsidRDefault="005066D3" w:rsidP="001D3D1F">
            <w:pPr>
              <w:pStyle w:val="TableColumnHeadingSmall"/>
              <w:cnfStyle w:val="100000000000" w:firstRow="1" w:lastRow="0" w:firstColumn="0" w:lastColumn="0" w:oddVBand="0" w:evenVBand="0" w:oddHBand="0" w:evenHBand="0" w:firstRowFirstColumn="0" w:firstRowLastColumn="0" w:lastRowFirstColumn="0" w:lastRowLastColumn="0"/>
            </w:pPr>
            <w:r>
              <w:t>Targeted</w:t>
            </w:r>
          </w:p>
        </w:tc>
        <w:tc>
          <w:tcPr>
            <w:tcW w:w="535" w:type="pct"/>
          </w:tcPr>
          <w:p w14:paraId="10BFD878" w14:textId="77777777" w:rsidR="005066D3" w:rsidRDefault="005066D3" w:rsidP="001D3D1F">
            <w:pPr>
              <w:pStyle w:val="TableColumnHeadingSmall"/>
              <w:cnfStyle w:val="100000000000" w:firstRow="1" w:lastRow="0" w:firstColumn="0" w:lastColumn="0" w:oddVBand="0" w:evenVBand="0" w:oddHBand="0" w:evenHBand="0" w:firstRowFirstColumn="0" w:firstRowLastColumn="0" w:lastRowFirstColumn="0" w:lastRowLastColumn="0"/>
            </w:pPr>
            <w:r>
              <w:t>Statutory</w:t>
            </w:r>
          </w:p>
        </w:tc>
      </w:tr>
      <w:tr w:rsidR="005066D3" w:rsidRPr="002B7285" w14:paraId="0EF2373A" w14:textId="77777777" w:rsidTr="001D3D1F">
        <w:tc>
          <w:tcPr>
            <w:tcW w:w="5000" w:type="pct"/>
            <w:gridSpan w:val="6"/>
            <w:tcBorders>
              <w:top w:val="single" w:sz="4" w:space="0" w:color="EB8C00" w:themeColor="accent4"/>
              <w:bottom w:val="dotted" w:sz="8" w:space="0" w:color="7D7D7D" w:themeColor="text2"/>
            </w:tcBorders>
            <w:shd w:val="clear" w:color="auto" w:fill="E5E5E5" w:themeFill="text2" w:themeFillTint="33"/>
          </w:tcPr>
          <w:p w14:paraId="7389F7BE" w14:textId="77777777" w:rsidR="005066D3" w:rsidRPr="002B7285" w:rsidRDefault="005066D3" w:rsidP="001D3D1F">
            <w:pPr>
              <w:spacing w:before="40" w:after="40"/>
              <w:rPr>
                <w:rFonts w:ascii="Arial" w:hAnsi="Arial"/>
                <w:b/>
                <w:i/>
                <w:sz w:val="16"/>
                <w:szCs w:val="18"/>
              </w:rPr>
            </w:pPr>
            <w:r w:rsidRPr="002B7285">
              <w:rPr>
                <w:rFonts w:ascii="Arial" w:hAnsi="Arial"/>
                <w:b/>
                <w:i/>
                <w:sz w:val="16"/>
                <w:szCs w:val="18"/>
              </w:rPr>
              <w:t>Cross-cutting focus area</w:t>
            </w:r>
            <w:r w:rsidRPr="002B7285">
              <w:rPr>
                <w:rFonts w:ascii="Arial" w:hAnsi="Arial"/>
                <w:i/>
                <w:sz w:val="16"/>
                <w:szCs w:val="18"/>
              </w:rPr>
              <w:t xml:space="preserve"> – Aboriginal and Torres Strait Islander children and families</w:t>
            </w:r>
          </w:p>
        </w:tc>
      </w:tr>
      <w:tr w:rsidR="005066D3" w:rsidRPr="002B7285" w14:paraId="7BB5CFFA" w14:textId="77777777" w:rsidTr="001D3D1F">
        <w:tc>
          <w:tcPr>
            <w:tcW w:w="240" w:type="pct"/>
            <w:tcBorders>
              <w:top w:val="dotted" w:sz="8" w:space="0" w:color="7D7D7D" w:themeColor="text2"/>
              <w:left w:val="nil"/>
              <w:bottom w:val="dotted" w:sz="8" w:space="0" w:color="7D7D7D" w:themeColor="text2"/>
              <w:right w:val="nil"/>
            </w:tcBorders>
          </w:tcPr>
          <w:p w14:paraId="7D3D61A4" w14:textId="77777777" w:rsidR="005066D3" w:rsidRPr="002B7285" w:rsidRDefault="005066D3" w:rsidP="001D3D1F">
            <w:pPr>
              <w:spacing w:before="40" w:after="40"/>
              <w:rPr>
                <w:rFonts w:ascii="Arial" w:hAnsi="Arial"/>
                <w:b/>
                <w:sz w:val="16"/>
                <w:szCs w:val="18"/>
              </w:rPr>
            </w:pPr>
            <w:r>
              <w:rPr>
                <w:rFonts w:ascii="Arial" w:hAnsi="Arial"/>
                <w:b/>
                <w:sz w:val="16"/>
                <w:szCs w:val="18"/>
              </w:rPr>
              <w:t>1</w:t>
            </w:r>
          </w:p>
        </w:tc>
        <w:tc>
          <w:tcPr>
            <w:tcW w:w="2632" w:type="pct"/>
            <w:tcBorders>
              <w:top w:val="dotted" w:sz="8" w:space="0" w:color="7D7D7D" w:themeColor="text2"/>
              <w:left w:val="nil"/>
              <w:bottom w:val="dotted" w:sz="8" w:space="0" w:color="7D7D7D" w:themeColor="text2"/>
              <w:right w:val="nil"/>
            </w:tcBorders>
          </w:tcPr>
          <w:p w14:paraId="36D7CBE9" w14:textId="77777777" w:rsidR="005066D3" w:rsidRPr="002B7285" w:rsidRDefault="005066D3" w:rsidP="001D3D1F">
            <w:pPr>
              <w:spacing w:before="40" w:after="40"/>
              <w:rPr>
                <w:rFonts w:ascii="Arial" w:hAnsi="Arial"/>
                <w:sz w:val="16"/>
                <w:szCs w:val="18"/>
              </w:rPr>
            </w:pPr>
            <w:r w:rsidRPr="002B7285">
              <w:rPr>
                <w:rFonts w:ascii="Arial" w:hAnsi="Arial"/>
                <w:b/>
                <w:sz w:val="16"/>
                <w:szCs w:val="18"/>
              </w:rPr>
              <w:t>Action:</w:t>
            </w:r>
            <w:r w:rsidRPr="002B7285">
              <w:rPr>
                <w:rFonts w:ascii="Arial" w:hAnsi="Arial"/>
                <w:sz w:val="16"/>
                <w:szCs w:val="18"/>
              </w:rPr>
              <w:t xml:space="preserve"> All parties agree to ensure the five domains of the ATSICPP are applied to the implementation of strategies and actions identified in the Third Action Plan.</w:t>
            </w:r>
          </w:p>
        </w:tc>
        <w:tc>
          <w:tcPr>
            <w:tcW w:w="531" w:type="pct"/>
            <w:tcBorders>
              <w:top w:val="dotted" w:sz="8" w:space="0" w:color="7D7D7D" w:themeColor="text2"/>
              <w:left w:val="nil"/>
              <w:bottom w:val="dotted" w:sz="8" w:space="0" w:color="7D7D7D" w:themeColor="text2"/>
              <w:right w:val="nil"/>
            </w:tcBorders>
          </w:tcPr>
          <w:p w14:paraId="0FB682E3" w14:textId="77777777" w:rsidR="005066D3" w:rsidRPr="00D055DB" w:rsidRDefault="005066D3" w:rsidP="001D3D1F">
            <w:pPr>
              <w:pStyle w:val="TableTextSmall"/>
              <w:rPr>
                <w:sz w:val="20"/>
                <w:szCs w:val="20"/>
              </w:rPr>
            </w:pPr>
          </w:p>
        </w:tc>
        <w:tc>
          <w:tcPr>
            <w:tcW w:w="531" w:type="pct"/>
            <w:tcBorders>
              <w:top w:val="dotted" w:sz="8" w:space="0" w:color="7D7D7D" w:themeColor="text2"/>
              <w:left w:val="nil"/>
              <w:bottom w:val="dotted" w:sz="8" w:space="0" w:color="7D7D7D" w:themeColor="text2"/>
              <w:right w:val="nil"/>
            </w:tcBorders>
          </w:tcPr>
          <w:p w14:paraId="67C7FEC0" w14:textId="77777777" w:rsidR="005066D3" w:rsidRPr="00D055DB" w:rsidRDefault="005066D3" w:rsidP="001D3D1F">
            <w:pPr>
              <w:pStyle w:val="TableTextSmall"/>
              <w:rPr>
                <w:sz w:val="20"/>
                <w:szCs w:val="20"/>
              </w:rPr>
            </w:pPr>
          </w:p>
        </w:tc>
        <w:tc>
          <w:tcPr>
            <w:tcW w:w="531" w:type="pct"/>
            <w:tcBorders>
              <w:top w:val="dotted" w:sz="8" w:space="0" w:color="7D7D7D" w:themeColor="text2"/>
              <w:left w:val="nil"/>
              <w:bottom w:val="dotted" w:sz="8" w:space="0" w:color="7D7D7D" w:themeColor="text2"/>
              <w:right w:val="nil"/>
            </w:tcBorders>
          </w:tcPr>
          <w:p w14:paraId="7E85061B" w14:textId="77777777" w:rsidR="005066D3" w:rsidRPr="00D055DB" w:rsidRDefault="005066D3" w:rsidP="001D3D1F">
            <w:pPr>
              <w:pStyle w:val="TableTextSmall"/>
              <w:rPr>
                <w:sz w:val="20"/>
                <w:szCs w:val="20"/>
              </w:rPr>
            </w:pPr>
            <w:r w:rsidRPr="00D055DB">
              <w:rPr>
                <w:sz w:val="20"/>
                <w:szCs w:val="20"/>
              </w:rPr>
              <w:sym w:font="Wingdings" w:char="F0FC"/>
            </w:r>
          </w:p>
        </w:tc>
        <w:tc>
          <w:tcPr>
            <w:tcW w:w="535" w:type="pct"/>
            <w:tcBorders>
              <w:top w:val="dotted" w:sz="8" w:space="0" w:color="7D7D7D" w:themeColor="text2"/>
              <w:left w:val="nil"/>
              <w:bottom w:val="dotted" w:sz="8" w:space="0" w:color="7D7D7D" w:themeColor="text2"/>
              <w:right w:val="nil"/>
            </w:tcBorders>
          </w:tcPr>
          <w:p w14:paraId="50482B66" w14:textId="77777777" w:rsidR="005066D3" w:rsidRPr="00D055DB" w:rsidRDefault="009F64F4" w:rsidP="001D3D1F">
            <w:pPr>
              <w:pStyle w:val="TableTextSmall"/>
              <w:rPr>
                <w:sz w:val="20"/>
                <w:szCs w:val="20"/>
              </w:rPr>
            </w:pPr>
            <w:r w:rsidRPr="00D055DB">
              <w:rPr>
                <w:sz w:val="20"/>
                <w:szCs w:val="20"/>
              </w:rPr>
              <w:sym w:font="Wingdings" w:char="F0FC"/>
            </w:r>
          </w:p>
        </w:tc>
      </w:tr>
      <w:tr w:rsidR="005066D3" w14:paraId="667E439F" w14:textId="77777777" w:rsidTr="001D3D1F">
        <w:tc>
          <w:tcPr>
            <w:tcW w:w="240" w:type="pct"/>
            <w:tcBorders>
              <w:top w:val="dotted" w:sz="8" w:space="0" w:color="7D7D7D" w:themeColor="text2"/>
              <w:left w:val="nil"/>
              <w:bottom w:val="dotted" w:sz="8" w:space="0" w:color="7D7D7D" w:themeColor="text2"/>
              <w:right w:val="nil"/>
            </w:tcBorders>
          </w:tcPr>
          <w:p w14:paraId="08F8A78E" w14:textId="77777777" w:rsidR="005066D3" w:rsidRPr="002B7285" w:rsidRDefault="005066D3" w:rsidP="001D3D1F">
            <w:pPr>
              <w:spacing w:before="40" w:after="40"/>
              <w:rPr>
                <w:rFonts w:ascii="Arial" w:hAnsi="Arial"/>
                <w:b/>
                <w:sz w:val="16"/>
                <w:szCs w:val="18"/>
              </w:rPr>
            </w:pPr>
            <w:r>
              <w:rPr>
                <w:rFonts w:ascii="Arial" w:hAnsi="Arial"/>
                <w:b/>
                <w:sz w:val="16"/>
                <w:szCs w:val="18"/>
              </w:rPr>
              <w:t>2</w:t>
            </w:r>
          </w:p>
        </w:tc>
        <w:tc>
          <w:tcPr>
            <w:tcW w:w="2632" w:type="pct"/>
            <w:tcBorders>
              <w:top w:val="dotted" w:sz="8" w:space="0" w:color="7D7D7D" w:themeColor="text2"/>
              <w:left w:val="nil"/>
              <w:bottom w:val="dotted" w:sz="8" w:space="0" w:color="7D7D7D" w:themeColor="text2"/>
              <w:right w:val="nil"/>
            </w:tcBorders>
          </w:tcPr>
          <w:p w14:paraId="46409E45"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 xml:space="preserve">Action: </w:t>
            </w:r>
            <w:r w:rsidRPr="002B7285">
              <w:rPr>
                <w:rFonts w:ascii="Arial" w:hAnsi="Arial"/>
                <w:sz w:val="16"/>
                <w:szCs w:val="18"/>
              </w:rPr>
              <w:t>A new Aboriginal and Torres Strait Islander working group will be established to provide advice and expertise on the implementation of actions and strategies, and report to the National Forum for Protecting Australia’s Children on progress and outcomes, to ensure a sustained focus on results.</w:t>
            </w:r>
          </w:p>
        </w:tc>
        <w:tc>
          <w:tcPr>
            <w:tcW w:w="531" w:type="pct"/>
            <w:tcBorders>
              <w:top w:val="dotted" w:sz="8" w:space="0" w:color="7D7D7D" w:themeColor="text2"/>
              <w:left w:val="nil"/>
              <w:bottom w:val="dotted" w:sz="8" w:space="0" w:color="7D7D7D" w:themeColor="text2"/>
              <w:right w:val="nil"/>
            </w:tcBorders>
          </w:tcPr>
          <w:p w14:paraId="380492EF" w14:textId="77777777" w:rsidR="005066D3" w:rsidRDefault="005066D3" w:rsidP="001D3D1F">
            <w:pPr>
              <w:pStyle w:val="TableTextSmall"/>
            </w:pPr>
            <w:r>
              <w:t>N/A</w:t>
            </w:r>
          </w:p>
        </w:tc>
        <w:tc>
          <w:tcPr>
            <w:tcW w:w="531" w:type="pct"/>
            <w:tcBorders>
              <w:top w:val="dotted" w:sz="8" w:space="0" w:color="7D7D7D" w:themeColor="text2"/>
              <w:left w:val="nil"/>
              <w:bottom w:val="dotted" w:sz="8" w:space="0" w:color="7D7D7D" w:themeColor="text2"/>
              <w:right w:val="nil"/>
            </w:tcBorders>
          </w:tcPr>
          <w:p w14:paraId="2285BACF" w14:textId="77777777" w:rsidR="005066D3" w:rsidRDefault="005066D3" w:rsidP="001D3D1F">
            <w:pPr>
              <w:pStyle w:val="TableTextSmall"/>
            </w:pPr>
            <w:r>
              <w:t>N/A</w:t>
            </w:r>
          </w:p>
        </w:tc>
        <w:tc>
          <w:tcPr>
            <w:tcW w:w="531" w:type="pct"/>
            <w:tcBorders>
              <w:top w:val="dotted" w:sz="8" w:space="0" w:color="7D7D7D" w:themeColor="text2"/>
              <w:left w:val="nil"/>
              <w:bottom w:val="dotted" w:sz="8" w:space="0" w:color="7D7D7D" w:themeColor="text2"/>
              <w:right w:val="nil"/>
            </w:tcBorders>
          </w:tcPr>
          <w:p w14:paraId="7F5C64D2" w14:textId="77777777" w:rsidR="005066D3" w:rsidRDefault="005066D3" w:rsidP="001D3D1F">
            <w:pPr>
              <w:pStyle w:val="TableTextSmall"/>
            </w:pPr>
            <w:r>
              <w:t>N/A</w:t>
            </w:r>
          </w:p>
        </w:tc>
        <w:tc>
          <w:tcPr>
            <w:tcW w:w="535" w:type="pct"/>
            <w:tcBorders>
              <w:top w:val="dotted" w:sz="8" w:space="0" w:color="7D7D7D" w:themeColor="text2"/>
              <w:left w:val="nil"/>
              <w:bottom w:val="dotted" w:sz="8" w:space="0" w:color="7D7D7D" w:themeColor="text2"/>
              <w:right w:val="nil"/>
            </w:tcBorders>
          </w:tcPr>
          <w:p w14:paraId="1694D363" w14:textId="77777777" w:rsidR="005066D3" w:rsidRDefault="005066D3" w:rsidP="001D3D1F">
            <w:pPr>
              <w:pStyle w:val="TableTextSmall"/>
            </w:pPr>
            <w:r>
              <w:t>N/A</w:t>
            </w:r>
          </w:p>
        </w:tc>
      </w:tr>
      <w:tr w:rsidR="005066D3" w:rsidRPr="002B7285" w14:paraId="1864E69C" w14:textId="77777777" w:rsidTr="001D3D1F">
        <w:tc>
          <w:tcPr>
            <w:tcW w:w="5000" w:type="pct"/>
            <w:gridSpan w:val="6"/>
            <w:tcBorders>
              <w:top w:val="dotted" w:sz="8" w:space="0" w:color="7D7D7D" w:themeColor="text2"/>
              <w:left w:val="nil"/>
              <w:bottom w:val="dotted" w:sz="8" w:space="0" w:color="7D7D7D" w:themeColor="text2"/>
              <w:right w:val="nil"/>
            </w:tcBorders>
            <w:shd w:val="clear" w:color="auto" w:fill="E5E5E5" w:themeFill="text2" w:themeFillTint="33"/>
          </w:tcPr>
          <w:p w14:paraId="14F50F9E" w14:textId="77777777" w:rsidR="005066D3" w:rsidRPr="002B7285" w:rsidRDefault="005066D3" w:rsidP="001D3D1F">
            <w:pPr>
              <w:spacing w:before="40" w:after="40"/>
              <w:rPr>
                <w:rFonts w:ascii="Arial" w:hAnsi="Arial"/>
                <w:b/>
                <w:i/>
                <w:sz w:val="16"/>
                <w:szCs w:val="18"/>
              </w:rPr>
            </w:pPr>
            <w:r w:rsidRPr="002B7285">
              <w:rPr>
                <w:rFonts w:ascii="Arial" w:hAnsi="Arial"/>
                <w:b/>
                <w:i/>
                <w:sz w:val="16"/>
                <w:szCs w:val="18"/>
              </w:rPr>
              <w:t xml:space="preserve">Strategy 1: </w:t>
            </w:r>
            <w:r w:rsidRPr="002B7285">
              <w:rPr>
                <w:rFonts w:ascii="Arial" w:hAnsi="Arial"/>
                <w:i/>
                <w:sz w:val="16"/>
                <w:szCs w:val="18"/>
              </w:rPr>
              <w:t>Early intervention with a focus on the early years, particularly the first 1000 days for a child</w:t>
            </w:r>
          </w:p>
        </w:tc>
      </w:tr>
      <w:tr w:rsidR="005066D3" w:rsidRPr="002B7285" w14:paraId="78144434" w14:textId="77777777" w:rsidTr="001D3D1F">
        <w:tc>
          <w:tcPr>
            <w:tcW w:w="240" w:type="pct"/>
            <w:tcBorders>
              <w:top w:val="dotted" w:sz="8" w:space="0" w:color="7D7D7D" w:themeColor="text2"/>
              <w:left w:val="nil"/>
              <w:bottom w:val="dotted" w:sz="8" w:space="0" w:color="7D7D7D" w:themeColor="text2"/>
              <w:right w:val="nil"/>
            </w:tcBorders>
          </w:tcPr>
          <w:p w14:paraId="71EFA9B6" w14:textId="77777777" w:rsidR="005066D3" w:rsidRPr="002B7285" w:rsidRDefault="005066D3" w:rsidP="001D3D1F">
            <w:pPr>
              <w:spacing w:before="40" w:after="40"/>
              <w:rPr>
                <w:rFonts w:ascii="Arial" w:hAnsi="Arial"/>
                <w:b/>
                <w:sz w:val="16"/>
                <w:szCs w:val="18"/>
              </w:rPr>
            </w:pPr>
            <w:r>
              <w:rPr>
                <w:rFonts w:ascii="Arial" w:hAnsi="Arial"/>
                <w:b/>
                <w:sz w:val="16"/>
                <w:szCs w:val="18"/>
              </w:rPr>
              <w:t>3</w:t>
            </w:r>
          </w:p>
        </w:tc>
        <w:tc>
          <w:tcPr>
            <w:tcW w:w="2632" w:type="pct"/>
            <w:tcBorders>
              <w:top w:val="dotted" w:sz="8" w:space="0" w:color="7D7D7D" w:themeColor="text2"/>
              <w:left w:val="nil"/>
              <w:bottom w:val="dotted" w:sz="8" w:space="0" w:color="7D7D7D" w:themeColor="text2"/>
              <w:right w:val="nil"/>
            </w:tcBorders>
          </w:tcPr>
          <w:p w14:paraId="124EB06B"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Action:</w:t>
            </w:r>
            <w:r w:rsidRPr="002B7285">
              <w:rPr>
                <w:rFonts w:ascii="Arial" w:hAnsi="Arial"/>
                <w:sz w:val="16"/>
                <w:szCs w:val="18"/>
              </w:rPr>
              <w:t xml:space="preserve"> Commonwealth to initiate community awareness raising activities focused on effective parenting practices and strategies to enhance safe and supportive environments in the early years, at both national and local levels.</w:t>
            </w:r>
          </w:p>
        </w:tc>
        <w:tc>
          <w:tcPr>
            <w:tcW w:w="531" w:type="pct"/>
            <w:tcBorders>
              <w:top w:val="dotted" w:sz="8" w:space="0" w:color="7D7D7D" w:themeColor="text2"/>
              <w:left w:val="nil"/>
              <w:bottom w:val="dotted" w:sz="8" w:space="0" w:color="7D7D7D" w:themeColor="text2"/>
              <w:right w:val="nil"/>
            </w:tcBorders>
          </w:tcPr>
          <w:p w14:paraId="6FD2B1BD" w14:textId="77777777" w:rsidR="005066D3" w:rsidRPr="00D055DB" w:rsidRDefault="005066D3" w:rsidP="001D3D1F">
            <w:pPr>
              <w:pStyle w:val="TableTextSmall"/>
              <w:rPr>
                <w:sz w:val="20"/>
                <w:szCs w:val="20"/>
              </w:rPr>
            </w:pPr>
            <w:r w:rsidRPr="00D055DB">
              <w:rPr>
                <w:sz w:val="20"/>
                <w:szCs w:val="20"/>
              </w:rPr>
              <w:sym w:font="Wingdings" w:char="F0FC"/>
            </w:r>
          </w:p>
        </w:tc>
        <w:tc>
          <w:tcPr>
            <w:tcW w:w="531" w:type="pct"/>
            <w:tcBorders>
              <w:top w:val="dotted" w:sz="8" w:space="0" w:color="7D7D7D" w:themeColor="text2"/>
              <w:left w:val="nil"/>
              <w:bottom w:val="dotted" w:sz="8" w:space="0" w:color="7D7D7D" w:themeColor="text2"/>
              <w:right w:val="nil"/>
            </w:tcBorders>
          </w:tcPr>
          <w:p w14:paraId="00F99AB2" w14:textId="77777777" w:rsidR="005066D3" w:rsidRPr="00D055DB" w:rsidRDefault="005066D3" w:rsidP="001D3D1F">
            <w:pPr>
              <w:pStyle w:val="TableTextSmall"/>
              <w:rPr>
                <w:sz w:val="20"/>
                <w:szCs w:val="20"/>
              </w:rPr>
            </w:pPr>
          </w:p>
        </w:tc>
        <w:tc>
          <w:tcPr>
            <w:tcW w:w="531" w:type="pct"/>
            <w:tcBorders>
              <w:top w:val="dotted" w:sz="8" w:space="0" w:color="7D7D7D" w:themeColor="text2"/>
              <w:left w:val="nil"/>
              <w:bottom w:val="dotted" w:sz="8" w:space="0" w:color="7D7D7D" w:themeColor="text2"/>
              <w:right w:val="nil"/>
            </w:tcBorders>
          </w:tcPr>
          <w:p w14:paraId="02B05C09" w14:textId="77777777" w:rsidR="005066D3" w:rsidRPr="00D055DB" w:rsidRDefault="005066D3" w:rsidP="001D3D1F">
            <w:pPr>
              <w:pStyle w:val="TableTextSmall"/>
              <w:rPr>
                <w:sz w:val="20"/>
                <w:szCs w:val="20"/>
              </w:rPr>
            </w:pPr>
          </w:p>
        </w:tc>
        <w:tc>
          <w:tcPr>
            <w:tcW w:w="535" w:type="pct"/>
            <w:tcBorders>
              <w:top w:val="dotted" w:sz="8" w:space="0" w:color="7D7D7D" w:themeColor="text2"/>
              <w:left w:val="nil"/>
              <w:bottom w:val="dotted" w:sz="8" w:space="0" w:color="7D7D7D" w:themeColor="text2"/>
              <w:right w:val="nil"/>
            </w:tcBorders>
          </w:tcPr>
          <w:p w14:paraId="42C76FAE" w14:textId="77777777" w:rsidR="005066D3" w:rsidRPr="00D055DB" w:rsidRDefault="005066D3" w:rsidP="001D3D1F">
            <w:pPr>
              <w:pStyle w:val="TableTextSmall"/>
              <w:rPr>
                <w:sz w:val="20"/>
                <w:szCs w:val="20"/>
              </w:rPr>
            </w:pPr>
          </w:p>
        </w:tc>
      </w:tr>
      <w:tr w:rsidR="005066D3" w:rsidRPr="002C3275" w14:paraId="68E6EB8B" w14:textId="77777777" w:rsidTr="001D3D1F">
        <w:tc>
          <w:tcPr>
            <w:tcW w:w="240" w:type="pct"/>
            <w:tcBorders>
              <w:top w:val="dotted" w:sz="8" w:space="0" w:color="7D7D7D" w:themeColor="text2"/>
              <w:left w:val="nil"/>
              <w:bottom w:val="dotted" w:sz="8" w:space="0" w:color="7D7D7D" w:themeColor="text2"/>
              <w:right w:val="nil"/>
            </w:tcBorders>
          </w:tcPr>
          <w:p w14:paraId="3C897640" w14:textId="77777777" w:rsidR="005066D3" w:rsidRPr="002B7285" w:rsidRDefault="005066D3" w:rsidP="001D3D1F">
            <w:pPr>
              <w:spacing w:before="40" w:after="40"/>
              <w:rPr>
                <w:rFonts w:ascii="Arial" w:hAnsi="Arial"/>
                <w:b/>
                <w:sz w:val="16"/>
                <w:szCs w:val="18"/>
              </w:rPr>
            </w:pPr>
            <w:r>
              <w:rPr>
                <w:rFonts w:ascii="Arial" w:hAnsi="Arial"/>
                <w:b/>
                <w:sz w:val="16"/>
                <w:szCs w:val="18"/>
              </w:rPr>
              <w:t>4</w:t>
            </w:r>
          </w:p>
        </w:tc>
        <w:tc>
          <w:tcPr>
            <w:tcW w:w="2632" w:type="pct"/>
            <w:tcBorders>
              <w:top w:val="dotted" w:sz="8" w:space="0" w:color="7D7D7D" w:themeColor="text2"/>
              <w:left w:val="nil"/>
              <w:bottom w:val="dotted" w:sz="8" w:space="0" w:color="7D7D7D" w:themeColor="text2"/>
              <w:right w:val="nil"/>
            </w:tcBorders>
          </w:tcPr>
          <w:p w14:paraId="008A5CBB"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Action:</w:t>
            </w:r>
            <w:r w:rsidRPr="002B7285">
              <w:rPr>
                <w:rFonts w:ascii="Arial" w:hAnsi="Arial"/>
                <w:sz w:val="16"/>
                <w:szCs w:val="18"/>
              </w:rPr>
              <w:t xml:space="preserve"> Identify locations with high incidences of domestic and family violence and improve resource co-ordination of services and activities to better meet the needs of vulnerable expectant parents and parents of young children.</w:t>
            </w:r>
          </w:p>
        </w:tc>
        <w:tc>
          <w:tcPr>
            <w:tcW w:w="531" w:type="pct"/>
            <w:tcBorders>
              <w:top w:val="dotted" w:sz="8" w:space="0" w:color="7D7D7D" w:themeColor="text2"/>
              <w:left w:val="nil"/>
              <w:bottom w:val="dotted" w:sz="8" w:space="0" w:color="7D7D7D" w:themeColor="text2"/>
              <w:right w:val="nil"/>
            </w:tcBorders>
          </w:tcPr>
          <w:p w14:paraId="57141F7D" w14:textId="77777777" w:rsidR="005066D3" w:rsidRPr="00D055DB" w:rsidRDefault="005066D3" w:rsidP="001D3D1F">
            <w:pPr>
              <w:pStyle w:val="TableTextSmall"/>
              <w:rPr>
                <w:sz w:val="20"/>
                <w:szCs w:val="20"/>
              </w:rPr>
            </w:pPr>
          </w:p>
        </w:tc>
        <w:tc>
          <w:tcPr>
            <w:tcW w:w="531" w:type="pct"/>
            <w:tcBorders>
              <w:top w:val="dotted" w:sz="8" w:space="0" w:color="7D7D7D" w:themeColor="text2"/>
              <w:left w:val="nil"/>
              <w:bottom w:val="dotted" w:sz="8" w:space="0" w:color="7D7D7D" w:themeColor="text2"/>
              <w:right w:val="nil"/>
            </w:tcBorders>
          </w:tcPr>
          <w:p w14:paraId="3A08E909" w14:textId="77777777" w:rsidR="005066D3" w:rsidRPr="00D055DB" w:rsidRDefault="006B13FE" w:rsidP="001D3D1F">
            <w:pPr>
              <w:pStyle w:val="TableTextSmall"/>
              <w:rPr>
                <w:sz w:val="20"/>
                <w:szCs w:val="20"/>
              </w:rPr>
            </w:pPr>
            <w:r w:rsidRPr="00D055DB">
              <w:rPr>
                <w:sz w:val="20"/>
                <w:szCs w:val="20"/>
              </w:rPr>
              <w:sym w:font="Wingdings" w:char="F0FC"/>
            </w:r>
          </w:p>
        </w:tc>
        <w:tc>
          <w:tcPr>
            <w:tcW w:w="531" w:type="pct"/>
            <w:tcBorders>
              <w:top w:val="dotted" w:sz="8" w:space="0" w:color="7D7D7D" w:themeColor="text2"/>
              <w:left w:val="nil"/>
              <w:bottom w:val="dotted" w:sz="8" w:space="0" w:color="7D7D7D" w:themeColor="text2"/>
              <w:right w:val="nil"/>
            </w:tcBorders>
          </w:tcPr>
          <w:p w14:paraId="02E0CF6C" w14:textId="77777777" w:rsidR="005066D3" w:rsidRPr="00D055DB" w:rsidRDefault="005066D3" w:rsidP="001D3D1F">
            <w:pPr>
              <w:pStyle w:val="TableTextSmall"/>
              <w:rPr>
                <w:sz w:val="20"/>
                <w:szCs w:val="20"/>
              </w:rPr>
            </w:pPr>
            <w:r w:rsidRPr="00D055DB">
              <w:rPr>
                <w:sz w:val="20"/>
                <w:szCs w:val="20"/>
              </w:rPr>
              <w:sym w:font="Wingdings" w:char="F0FC"/>
            </w:r>
          </w:p>
        </w:tc>
        <w:tc>
          <w:tcPr>
            <w:tcW w:w="535" w:type="pct"/>
            <w:tcBorders>
              <w:top w:val="dotted" w:sz="8" w:space="0" w:color="7D7D7D" w:themeColor="text2"/>
              <w:left w:val="nil"/>
              <w:bottom w:val="dotted" w:sz="8" w:space="0" w:color="7D7D7D" w:themeColor="text2"/>
              <w:right w:val="nil"/>
            </w:tcBorders>
          </w:tcPr>
          <w:p w14:paraId="05820AD9" w14:textId="77777777" w:rsidR="005066D3" w:rsidRPr="00D055DB" w:rsidRDefault="005066D3" w:rsidP="001D3D1F">
            <w:pPr>
              <w:pStyle w:val="TableTextSmall"/>
              <w:rPr>
                <w:sz w:val="20"/>
                <w:szCs w:val="20"/>
              </w:rPr>
            </w:pPr>
          </w:p>
        </w:tc>
      </w:tr>
      <w:tr w:rsidR="005066D3" w:rsidRPr="002C3275" w14:paraId="4D71E031" w14:textId="77777777" w:rsidTr="001D3D1F">
        <w:tc>
          <w:tcPr>
            <w:tcW w:w="240" w:type="pct"/>
            <w:tcBorders>
              <w:top w:val="dotted" w:sz="8" w:space="0" w:color="7D7D7D" w:themeColor="text2"/>
              <w:left w:val="nil"/>
              <w:bottom w:val="dotted" w:sz="8" w:space="0" w:color="7D7D7D" w:themeColor="text2"/>
              <w:right w:val="nil"/>
            </w:tcBorders>
          </w:tcPr>
          <w:p w14:paraId="7DE7139E" w14:textId="77777777" w:rsidR="005066D3" w:rsidRPr="002B7285" w:rsidRDefault="005066D3" w:rsidP="001D3D1F">
            <w:pPr>
              <w:spacing w:before="40" w:after="40"/>
              <w:rPr>
                <w:rFonts w:ascii="Arial" w:hAnsi="Arial"/>
                <w:b/>
                <w:sz w:val="16"/>
                <w:szCs w:val="18"/>
              </w:rPr>
            </w:pPr>
            <w:r>
              <w:rPr>
                <w:rFonts w:ascii="Arial" w:hAnsi="Arial"/>
                <w:b/>
                <w:sz w:val="16"/>
                <w:szCs w:val="18"/>
              </w:rPr>
              <w:t>5</w:t>
            </w:r>
          </w:p>
        </w:tc>
        <w:tc>
          <w:tcPr>
            <w:tcW w:w="2632" w:type="pct"/>
            <w:tcBorders>
              <w:top w:val="dotted" w:sz="8" w:space="0" w:color="7D7D7D" w:themeColor="text2"/>
              <w:left w:val="nil"/>
              <w:bottom w:val="dotted" w:sz="8" w:space="0" w:color="7D7D7D" w:themeColor="text2"/>
              <w:right w:val="nil"/>
            </w:tcBorders>
          </w:tcPr>
          <w:p w14:paraId="24E8870A"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Action:</w:t>
            </w:r>
            <w:r w:rsidRPr="002B7285">
              <w:rPr>
                <w:rFonts w:ascii="Arial" w:hAnsi="Arial"/>
                <w:sz w:val="16"/>
                <w:szCs w:val="18"/>
              </w:rPr>
              <w:t xml:space="preserve"> Commonwealth to develop and trial an effective model of services and support focused on the first 1000 days to better support Aboriginal and Torres Strait Islander families and communities.</w:t>
            </w:r>
          </w:p>
        </w:tc>
        <w:tc>
          <w:tcPr>
            <w:tcW w:w="531" w:type="pct"/>
            <w:tcBorders>
              <w:top w:val="dotted" w:sz="8" w:space="0" w:color="7D7D7D" w:themeColor="text2"/>
              <w:left w:val="nil"/>
              <w:bottom w:val="dotted" w:sz="8" w:space="0" w:color="7D7D7D" w:themeColor="text2"/>
              <w:right w:val="nil"/>
            </w:tcBorders>
          </w:tcPr>
          <w:p w14:paraId="0791612E" w14:textId="77777777" w:rsidR="005066D3" w:rsidRPr="00D055DB" w:rsidRDefault="005066D3" w:rsidP="001D3D1F">
            <w:pPr>
              <w:pStyle w:val="TableTextSmall"/>
              <w:rPr>
                <w:sz w:val="20"/>
                <w:szCs w:val="20"/>
              </w:rPr>
            </w:pPr>
          </w:p>
        </w:tc>
        <w:tc>
          <w:tcPr>
            <w:tcW w:w="531" w:type="pct"/>
            <w:tcBorders>
              <w:top w:val="dotted" w:sz="8" w:space="0" w:color="7D7D7D" w:themeColor="text2"/>
              <w:left w:val="nil"/>
              <w:bottom w:val="dotted" w:sz="8" w:space="0" w:color="7D7D7D" w:themeColor="text2"/>
              <w:right w:val="nil"/>
            </w:tcBorders>
          </w:tcPr>
          <w:p w14:paraId="6F49CD51" w14:textId="77777777" w:rsidR="005066D3" w:rsidRPr="00D055DB" w:rsidRDefault="006B13FE" w:rsidP="001D3D1F">
            <w:pPr>
              <w:pStyle w:val="TableTextSmall"/>
              <w:rPr>
                <w:sz w:val="20"/>
                <w:szCs w:val="20"/>
              </w:rPr>
            </w:pPr>
            <w:r w:rsidRPr="00D055DB">
              <w:rPr>
                <w:sz w:val="20"/>
                <w:szCs w:val="20"/>
              </w:rPr>
              <w:sym w:font="Wingdings" w:char="F0FC"/>
            </w:r>
          </w:p>
        </w:tc>
        <w:tc>
          <w:tcPr>
            <w:tcW w:w="531" w:type="pct"/>
            <w:tcBorders>
              <w:top w:val="dotted" w:sz="8" w:space="0" w:color="7D7D7D" w:themeColor="text2"/>
              <w:left w:val="nil"/>
              <w:bottom w:val="dotted" w:sz="8" w:space="0" w:color="7D7D7D" w:themeColor="text2"/>
              <w:right w:val="nil"/>
            </w:tcBorders>
          </w:tcPr>
          <w:p w14:paraId="7D5691AF" w14:textId="77777777" w:rsidR="005066D3" w:rsidRPr="00D055DB" w:rsidRDefault="005066D3" w:rsidP="001D3D1F">
            <w:pPr>
              <w:pStyle w:val="TableTextSmall"/>
              <w:rPr>
                <w:sz w:val="20"/>
                <w:szCs w:val="20"/>
              </w:rPr>
            </w:pPr>
            <w:r w:rsidRPr="00D055DB">
              <w:rPr>
                <w:sz w:val="20"/>
                <w:szCs w:val="20"/>
              </w:rPr>
              <w:sym w:font="Wingdings" w:char="F0FC"/>
            </w:r>
          </w:p>
        </w:tc>
        <w:tc>
          <w:tcPr>
            <w:tcW w:w="535" w:type="pct"/>
            <w:tcBorders>
              <w:top w:val="dotted" w:sz="8" w:space="0" w:color="7D7D7D" w:themeColor="text2"/>
              <w:left w:val="nil"/>
              <w:bottom w:val="dotted" w:sz="8" w:space="0" w:color="7D7D7D" w:themeColor="text2"/>
              <w:right w:val="nil"/>
            </w:tcBorders>
          </w:tcPr>
          <w:p w14:paraId="7D1FF11D" w14:textId="77777777" w:rsidR="005066D3" w:rsidRPr="00D055DB" w:rsidRDefault="005066D3" w:rsidP="001D3D1F">
            <w:pPr>
              <w:pStyle w:val="TableTextSmall"/>
              <w:rPr>
                <w:sz w:val="20"/>
                <w:szCs w:val="20"/>
              </w:rPr>
            </w:pPr>
          </w:p>
        </w:tc>
      </w:tr>
      <w:tr w:rsidR="005066D3" w:rsidRPr="002C3275" w14:paraId="49866D08" w14:textId="77777777" w:rsidTr="001D3D1F">
        <w:tc>
          <w:tcPr>
            <w:tcW w:w="240" w:type="pct"/>
            <w:tcBorders>
              <w:top w:val="dotted" w:sz="8" w:space="0" w:color="7D7D7D" w:themeColor="text2"/>
              <w:left w:val="nil"/>
              <w:bottom w:val="dotted" w:sz="8" w:space="0" w:color="7D7D7D" w:themeColor="text2"/>
              <w:right w:val="nil"/>
            </w:tcBorders>
          </w:tcPr>
          <w:p w14:paraId="24B29EFB" w14:textId="77777777" w:rsidR="005066D3" w:rsidRPr="002B7285" w:rsidRDefault="005066D3" w:rsidP="001D3D1F">
            <w:pPr>
              <w:spacing w:before="40" w:after="40"/>
              <w:rPr>
                <w:rFonts w:ascii="Arial" w:hAnsi="Arial"/>
                <w:b/>
                <w:sz w:val="16"/>
                <w:szCs w:val="18"/>
              </w:rPr>
            </w:pPr>
            <w:r>
              <w:rPr>
                <w:rFonts w:ascii="Arial" w:hAnsi="Arial"/>
                <w:b/>
                <w:sz w:val="16"/>
                <w:szCs w:val="18"/>
              </w:rPr>
              <w:t>6</w:t>
            </w:r>
          </w:p>
        </w:tc>
        <w:tc>
          <w:tcPr>
            <w:tcW w:w="2632" w:type="pct"/>
            <w:tcBorders>
              <w:top w:val="dotted" w:sz="8" w:space="0" w:color="7D7D7D" w:themeColor="text2"/>
              <w:left w:val="nil"/>
              <w:bottom w:val="dotted" w:sz="8" w:space="0" w:color="7D7D7D" w:themeColor="text2"/>
              <w:right w:val="nil"/>
            </w:tcBorders>
          </w:tcPr>
          <w:p w14:paraId="7389BB3A"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Action:</w:t>
            </w:r>
            <w:r w:rsidRPr="002B7285">
              <w:rPr>
                <w:rFonts w:ascii="Arial" w:hAnsi="Arial"/>
                <w:sz w:val="16"/>
                <w:szCs w:val="18"/>
              </w:rPr>
              <w:t xml:space="preserve"> Examine place-based models to identify critical success factors to inform future work.</w:t>
            </w:r>
          </w:p>
        </w:tc>
        <w:tc>
          <w:tcPr>
            <w:tcW w:w="531" w:type="pct"/>
            <w:tcBorders>
              <w:top w:val="dotted" w:sz="8" w:space="0" w:color="7D7D7D" w:themeColor="text2"/>
              <w:left w:val="nil"/>
              <w:bottom w:val="dotted" w:sz="8" w:space="0" w:color="7D7D7D" w:themeColor="text2"/>
              <w:right w:val="nil"/>
            </w:tcBorders>
          </w:tcPr>
          <w:p w14:paraId="05E09B2E" w14:textId="77777777" w:rsidR="005066D3" w:rsidRPr="002C3275" w:rsidRDefault="005066D3" w:rsidP="001D3D1F">
            <w:pPr>
              <w:pStyle w:val="TableTextSmall"/>
            </w:pPr>
            <w:r>
              <w:t>N/A</w:t>
            </w:r>
          </w:p>
        </w:tc>
        <w:tc>
          <w:tcPr>
            <w:tcW w:w="531" w:type="pct"/>
            <w:tcBorders>
              <w:top w:val="dotted" w:sz="8" w:space="0" w:color="7D7D7D" w:themeColor="text2"/>
              <w:left w:val="nil"/>
              <w:bottom w:val="dotted" w:sz="8" w:space="0" w:color="7D7D7D" w:themeColor="text2"/>
              <w:right w:val="nil"/>
            </w:tcBorders>
          </w:tcPr>
          <w:p w14:paraId="14ADF7F9" w14:textId="77777777" w:rsidR="005066D3" w:rsidRPr="002C3275" w:rsidRDefault="005066D3" w:rsidP="001D3D1F">
            <w:pPr>
              <w:pStyle w:val="TableTextSmall"/>
            </w:pPr>
            <w:r>
              <w:t>N/A</w:t>
            </w:r>
          </w:p>
        </w:tc>
        <w:tc>
          <w:tcPr>
            <w:tcW w:w="531" w:type="pct"/>
            <w:tcBorders>
              <w:top w:val="dotted" w:sz="8" w:space="0" w:color="7D7D7D" w:themeColor="text2"/>
              <w:left w:val="nil"/>
              <w:bottom w:val="dotted" w:sz="8" w:space="0" w:color="7D7D7D" w:themeColor="text2"/>
              <w:right w:val="nil"/>
            </w:tcBorders>
          </w:tcPr>
          <w:p w14:paraId="710ED123" w14:textId="77777777" w:rsidR="005066D3" w:rsidRPr="002C3275" w:rsidRDefault="005066D3" w:rsidP="001D3D1F">
            <w:pPr>
              <w:pStyle w:val="TableTextSmall"/>
            </w:pPr>
            <w:r>
              <w:t>N/A</w:t>
            </w:r>
          </w:p>
        </w:tc>
        <w:tc>
          <w:tcPr>
            <w:tcW w:w="535" w:type="pct"/>
            <w:tcBorders>
              <w:top w:val="dotted" w:sz="8" w:space="0" w:color="7D7D7D" w:themeColor="text2"/>
              <w:left w:val="nil"/>
              <w:bottom w:val="dotted" w:sz="8" w:space="0" w:color="7D7D7D" w:themeColor="text2"/>
              <w:right w:val="nil"/>
            </w:tcBorders>
          </w:tcPr>
          <w:p w14:paraId="607A2911" w14:textId="77777777" w:rsidR="005066D3" w:rsidRPr="002C3275" w:rsidRDefault="005066D3" w:rsidP="001D3D1F">
            <w:pPr>
              <w:pStyle w:val="TableTextSmall"/>
            </w:pPr>
            <w:r>
              <w:t>N/A</w:t>
            </w:r>
          </w:p>
        </w:tc>
      </w:tr>
      <w:tr w:rsidR="005066D3" w:rsidRPr="002C3275" w14:paraId="16E73BE7" w14:textId="77777777" w:rsidTr="001D3D1F">
        <w:tc>
          <w:tcPr>
            <w:tcW w:w="240" w:type="pct"/>
            <w:tcBorders>
              <w:top w:val="dotted" w:sz="8" w:space="0" w:color="7D7D7D" w:themeColor="text2"/>
              <w:left w:val="nil"/>
              <w:bottom w:val="dotted" w:sz="8" w:space="0" w:color="7D7D7D" w:themeColor="text2"/>
              <w:right w:val="nil"/>
            </w:tcBorders>
          </w:tcPr>
          <w:p w14:paraId="4511AF69" w14:textId="77777777" w:rsidR="005066D3" w:rsidRPr="002B7285" w:rsidRDefault="005066D3" w:rsidP="001D3D1F">
            <w:pPr>
              <w:spacing w:before="40" w:after="40"/>
              <w:rPr>
                <w:rFonts w:ascii="Arial" w:hAnsi="Arial"/>
                <w:b/>
                <w:sz w:val="16"/>
                <w:szCs w:val="18"/>
              </w:rPr>
            </w:pPr>
            <w:r>
              <w:rPr>
                <w:rFonts w:ascii="Arial" w:hAnsi="Arial"/>
                <w:b/>
                <w:sz w:val="16"/>
                <w:szCs w:val="18"/>
              </w:rPr>
              <w:t>7</w:t>
            </w:r>
          </w:p>
        </w:tc>
        <w:tc>
          <w:tcPr>
            <w:tcW w:w="2632" w:type="pct"/>
            <w:tcBorders>
              <w:top w:val="dotted" w:sz="8" w:space="0" w:color="7D7D7D" w:themeColor="text2"/>
              <w:left w:val="nil"/>
              <w:bottom w:val="dotted" w:sz="8" w:space="0" w:color="7D7D7D" w:themeColor="text2"/>
              <w:right w:val="nil"/>
            </w:tcBorders>
          </w:tcPr>
          <w:p w14:paraId="52833160"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Action:</w:t>
            </w:r>
            <w:r w:rsidRPr="002B7285">
              <w:rPr>
                <w:rFonts w:ascii="Arial" w:hAnsi="Arial"/>
                <w:sz w:val="16"/>
                <w:szCs w:val="18"/>
              </w:rPr>
              <w:t xml:space="preserve"> Commonwealth to support integration of child care, maternal and child health, and family support services in a number of disadvantaged Aboriginal and Torres Strait Islander communities, through the Community Child Care Fund.</w:t>
            </w:r>
          </w:p>
        </w:tc>
        <w:tc>
          <w:tcPr>
            <w:tcW w:w="531" w:type="pct"/>
            <w:tcBorders>
              <w:top w:val="dotted" w:sz="8" w:space="0" w:color="7D7D7D" w:themeColor="text2"/>
              <w:left w:val="nil"/>
              <w:bottom w:val="dotted" w:sz="8" w:space="0" w:color="7D7D7D" w:themeColor="text2"/>
              <w:right w:val="nil"/>
            </w:tcBorders>
          </w:tcPr>
          <w:p w14:paraId="0E0A0EBD" w14:textId="77777777" w:rsidR="005066D3" w:rsidRPr="00D055DB" w:rsidRDefault="005066D3" w:rsidP="001D3D1F">
            <w:pPr>
              <w:pStyle w:val="TableTextSmall"/>
              <w:rPr>
                <w:sz w:val="20"/>
                <w:szCs w:val="20"/>
              </w:rPr>
            </w:pPr>
          </w:p>
        </w:tc>
        <w:tc>
          <w:tcPr>
            <w:tcW w:w="531" w:type="pct"/>
            <w:tcBorders>
              <w:top w:val="dotted" w:sz="8" w:space="0" w:color="7D7D7D" w:themeColor="text2"/>
              <w:left w:val="nil"/>
              <w:bottom w:val="dotted" w:sz="8" w:space="0" w:color="7D7D7D" w:themeColor="text2"/>
              <w:right w:val="nil"/>
            </w:tcBorders>
          </w:tcPr>
          <w:p w14:paraId="32E41A7D" w14:textId="77777777" w:rsidR="005066D3" w:rsidRPr="00D055DB" w:rsidRDefault="005066D3" w:rsidP="001D3D1F">
            <w:pPr>
              <w:pStyle w:val="TableTextSmall"/>
              <w:rPr>
                <w:sz w:val="20"/>
                <w:szCs w:val="20"/>
              </w:rPr>
            </w:pPr>
          </w:p>
        </w:tc>
        <w:tc>
          <w:tcPr>
            <w:tcW w:w="531" w:type="pct"/>
            <w:tcBorders>
              <w:top w:val="dotted" w:sz="8" w:space="0" w:color="7D7D7D" w:themeColor="text2"/>
              <w:left w:val="nil"/>
              <w:bottom w:val="dotted" w:sz="8" w:space="0" w:color="7D7D7D" w:themeColor="text2"/>
              <w:right w:val="nil"/>
            </w:tcBorders>
          </w:tcPr>
          <w:p w14:paraId="73D8FF3B" w14:textId="77777777" w:rsidR="005066D3" w:rsidRPr="00D055DB" w:rsidRDefault="005066D3" w:rsidP="001D3D1F">
            <w:pPr>
              <w:pStyle w:val="TableTextSmall"/>
              <w:rPr>
                <w:sz w:val="20"/>
                <w:szCs w:val="20"/>
              </w:rPr>
            </w:pPr>
            <w:r w:rsidRPr="00D055DB">
              <w:rPr>
                <w:sz w:val="20"/>
                <w:szCs w:val="20"/>
              </w:rPr>
              <w:sym w:font="Wingdings" w:char="F0FC"/>
            </w:r>
          </w:p>
        </w:tc>
        <w:tc>
          <w:tcPr>
            <w:tcW w:w="535" w:type="pct"/>
            <w:tcBorders>
              <w:top w:val="dotted" w:sz="8" w:space="0" w:color="7D7D7D" w:themeColor="text2"/>
              <w:left w:val="nil"/>
              <w:bottom w:val="dotted" w:sz="8" w:space="0" w:color="7D7D7D" w:themeColor="text2"/>
              <w:right w:val="nil"/>
            </w:tcBorders>
          </w:tcPr>
          <w:p w14:paraId="66C461C2" w14:textId="77777777" w:rsidR="005066D3" w:rsidRPr="00D055DB" w:rsidRDefault="005066D3" w:rsidP="001D3D1F">
            <w:pPr>
              <w:pStyle w:val="TableTextSmall"/>
              <w:rPr>
                <w:sz w:val="20"/>
                <w:szCs w:val="20"/>
              </w:rPr>
            </w:pPr>
          </w:p>
        </w:tc>
      </w:tr>
      <w:tr w:rsidR="005066D3" w:rsidRPr="002B7285" w14:paraId="377A5F5B" w14:textId="77777777" w:rsidTr="001D3D1F">
        <w:tc>
          <w:tcPr>
            <w:tcW w:w="5000" w:type="pct"/>
            <w:gridSpan w:val="6"/>
            <w:tcBorders>
              <w:top w:val="dotted" w:sz="8" w:space="0" w:color="7D7D7D" w:themeColor="text2"/>
              <w:left w:val="nil"/>
              <w:bottom w:val="dotted" w:sz="8" w:space="0" w:color="7D7D7D" w:themeColor="text2"/>
              <w:right w:val="nil"/>
            </w:tcBorders>
            <w:shd w:val="clear" w:color="auto" w:fill="E5E5E5" w:themeFill="text2" w:themeFillTint="33"/>
          </w:tcPr>
          <w:p w14:paraId="3FF1BA06" w14:textId="77777777" w:rsidR="005066D3" w:rsidRPr="002B7285" w:rsidRDefault="005066D3" w:rsidP="001D3D1F">
            <w:pPr>
              <w:pStyle w:val="TableTextSmall"/>
              <w:rPr>
                <w:b/>
                <w:i/>
              </w:rPr>
            </w:pPr>
            <w:r w:rsidRPr="002B7285">
              <w:rPr>
                <w:b/>
                <w:i/>
              </w:rPr>
              <w:t>Strategy 2:</w:t>
            </w:r>
            <w:r w:rsidRPr="002B7285">
              <w:rPr>
                <w:i/>
              </w:rPr>
              <w:t xml:space="preserve">  Helping young people in out-of-home care to thrive into adulthood</w:t>
            </w:r>
          </w:p>
        </w:tc>
      </w:tr>
      <w:tr w:rsidR="005066D3" w:rsidRPr="002B7285" w14:paraId="2D52665F" w14:textId="77777777" w:rsidTr="001D3D1F">
        <w:tc>
          <w:tcPr>
            <w:tcW w:w="240" w:type="pct"/>
            <w:tcBorders>
              <w:top w:val="dotted" w:sz="8" w:space="0" w:color="7D7D7D" w:themeColor="text2"/>
              <w:left w:val="nil"/>
              <w:bottom w:val="dotted" w:sz="8" w:space="0" w:color="7D7D7D" w:themeColor="text2"/>
              <w:right w:val="nil"/>
            </w:tcBorders>
          </w:tcPr>
          <w:p w14:paraId="6CA90477" w14:textId="77777777" w:rsidR="005066D3" w:rsidRPr="002B7285" w:rsidRDefault="005066D3" w:rsidP="001D3D1F">
            <w:pPr>
              <w:spacing w:before="40" w:after="40"/>
              <w:rPr>
                <w:rFonts w:ascii="Arial" w:hAnsi="Arial"/>
                <w:b/>
                <w:sz w:val="16"/>
                <w:szCs w:val="18"/>
              </w:rPr>
            </w:pPr>
            <w:r>
              <w:rPr>
                <w:rFonts w:ascii="Arial" w:hAnsi="Arial"/>
                <w:b/>
                <w:sz w:val="16"/>
                <w:szCs w:val="18"/>
              </w:rPr>
              <w:t>8</w:t>
            </w:r>
          </w:p>
        </w:tc>
        <w:tc>
          <w:tcPr>
            <w:tcW w:w="2632" w:type="pct"/>
            <w:tcBorders>
              <w:top w:val="dotted" w:sz="8" w:space="0" w:color="7D7D7D" w:themeColor="text2"/>
              <w:left w:val="nil"/>
              <w:bottom w:val="dotted" w:sz="8" w:space="0" w:color="7D7D7D" w:themeColor="text2"/>
              <w:right w:val="nil"/>
            </w:tcBorders>
          </w:tcPr>
          <w:p w14:paraId="2B1D4457"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Action:</w:t>
            </w:r>
            <w:r w:rsidRPr="002B7285">
              <w:rPr>
                <w:rFonts w:ascii="Arial" w:hAnsi="Arial"/>
                <w:sz w:val="16"/>
                <w:szCs w:val="18"/>
              </w:rPr>
              <w:t xml:space="preserve"> Commonwealth to continue to support eligible young people to access services through the Youth Employment Strategy, Growing Jobs and Small Business Package.</w:t>
            </w:r>
          </w:p>
        </w:tc>
        <w:tc>
          <w:tcPr>
            <w:tcW w:w="531" w:type="pct"/>
            <w:tcBorders>
              <w:top w:val="dotted" w:sz="8" w:space="0" w:color="7D7D7D" w:themeColor="text2"/>
              <w:left w:val="nil"/>
              <w:bottom w:val="dotted" w:sz="8" w:space="0" w:color="7D7D7D" w:themeColor="text2"/>
              <w:right w:val="nil"/>
            </w:tcBorders>
          </w:tcPr>
          <w:p w14:paraId="1CD381DE" w14:textId="77777777" w:rsidR="005066D3" w:rsidRPr="00D055DB" w:rsidRDefault="005066D3" w:rsidP="001D3D1F">
            <w:pPr>
              <w:pStyle w:val="TableTextSmall"/>
              <w:rPr>
                <w:sz w:val="20"/>
                <w:szCs w:val="20"/>
              </w:rPr>
            </w:pPr>
          </w:p>
        </w:tc>
        <w:tc>
          <w:tcPr>
            <w:tcW w:w="531" w:type="pct"/>
            <w:tcBorders>
              <w:top w:val="dotted" w:sz="8" w:space="0" w:color="7D7D7D" w:themeColor="text2"/>
              <w:left w:val="nil"/>
              <w:bottom w:val="dotted" w:sz="8" w:space="0" w:color="7D7D7D" w:themeColor="text2"/>
              <w:right w:val="nil"/>
            </w:tcBorders>
          </w:tcPr>
          <w:p w14:paraId="7929E754" w14:textId="77777777" w:rsidR="005066D3" w:rsidRPr="00D055DB" w:rsidRDefault="005066D3" w:rsidP="001D3D1F">
            <w:pPr>
              <w:pStyle w:val="TableTextSmall"/>
              <w:rPr>
                <w:sz w:val="20"/>
                <w:szCs w:val="20"/>
              </w:rPr>
            </w:pPr>
            <w:r w:rsidRPr="00D055DB">
              <w:rPr>
                <w:sz w:val="20"/>
                <w:szCs w:val="20"/>
              </w:rPr>
              <w:sym w:font="Wingdings" w:char="F0FC"/>
            </w:r>
          </w:p>
        </w:tc>
        <w:tc>
          <w:tcPr>
            <w:tcW w:w="531" w:type="pct"/>
            <w:tcBorders>
              <w:top w:val="dotted" w:sz="8" w:space="0" w:color="7D7D7D" w:themeColor="text2"/>
              <w:left w:val="nil"/>
              <w:bottom w:val="dotted" w:sz="8" w:space="0" w:color="7D7D7D" w:themeColor="text2"/>
              <w:right w:val="nil"/>
            </w:tcBorders>
          </w:tcPr>
          <w:p w14:paraId="579C7EDF" w14:textId="77777777" w:rsidR="005066D3" w:rsidRPr="00D055DB" w:rsidRDefault="005066D3" w:rsidP="001D3D1F">
            <w:pPr>
              <w:pStyle w:val="TableTextSmall"/>
              <w:rPr>
                <w:sz w:val="20"/>
                <w:szCs w:val="20"/>
              </w:rPr>
            </w:pPr>
          </w:p>
        </w:tc>
        <w:tc>
          <w:tcPr>
            <w:tcW w:w="535" w:type="pct"/>
            <w:tcBorders>
              <w:top w:val="dotted" w:sz="8" w:space="0" w:color="7D7D7D" w:themeColor="text2"/>
              <w:left w:val="nil"/>
              <w:bottom w:val="dotted" w:sz="8" w:space="0" w:color="7D7D7D" w:themeColor="text2"/>
              <w:right w:val="nil"/>
            </w:tcBorders>
          </w:tcPr>
          <w:p w14:paraId="29BC0682" w14:textId="77777777" w:rsidR="005066D3" w:rsidRPr="00D055DB" w:rsidRDefault="005066D3" w:rsidP="001D3D1F">
            <w:pPr>
              <w:pStyle w:val="TableTextSmall"/>
              <w:rPr>
                <w:sz w:val="20"/>
                <w:szCs w:val="20"/>
              </w:rPr>
            </w:pPr>
          </w:p>
        </w:tc>
      </w:tr>
      <w:tr w:rsidR="005066D3" w:rsidRPr="002B7285" w14:paraId="007FC776" w14:textId="77777777" w:rsidTr="001D3D1F">
        <w:tc>
          <w:tcPr>
            <w:tcW w:w="240" w:type="pct"/>
            <w:tcBorders>
              <w:top w:val="dotted" w:sz="8" w:space="0" w:color="7D7D7D" w:themeColor="text2"/>
              <w:left w:val="nil"/>
              <w:bottom w:val="dotted" w:sz="8" w:space="0" w:color="7D7D7D" w:themeColor="text2"/>
              <w:right w:val="nil"/>
            </w:tcBorders>
          </w:tcPr>
          <w:p w14:paraId="4D2E0661" w14:textId="77777777" w:rsidR="005066D3" w:rsidRPr="002B7285" w:rsidRDefault="005066D3" w:rsidP="001D3D1F">
            <w:pPr>
              <w:spacing w:before="40" w:after="40"/>
              <w:rPr>
                <w:rFonts w:ascii="Arial" w:hAnsi="Arial"/>
                <w:b/>
                <w:sz w:val="16"/>
                <w:szCs w:val="18"/>
              </w:rPr>
            </w:pPr>
            <w:r>
              <w:rPr>
                <w:rFonts w:ascii="Arial" w:hAnsi="Arial"/>
                <w:b/>
                <w:sz w:val="16"/>
                <w:szCs w:val="18"/>
              </w:rPr>
              <w:t>9</w:t>
            </w:r>
          </w:p>
        </w:tc>
        <w:tc>
          <w:tcPr>
            <w:tcW w:w="2632" w:type="pct"/>
            <w:tcBorders>
              <w:top w:val="dotted" w:sz="8" w:space="0" w:color="7D7D7D" w:themeColor="text2"/>
              <w:left w:val="nil"/>
              <w:bottom w:val="dotted" w:sz="8" w:space="0" w:color="7D7D7D" w:themeColor="text2"/>
              <w:right w:val="nil"/>
            </w:tcBorders>
          </w:tcPr>
          <w:p w14:paraId="79B79618"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Action:</w:t>
            </w:r>
            <w:r w:rsidRPr="002B7285">
              <w:rPr>
                <w:rFonts w:ascii="Arial" w:hAnsi="Arial"/>
                <w:sz w:val="16"/>
                <w:szCs w:val="18"/>
              </w:rPr>
              <w:t xml:space="preserve"> Commonwealth to trial ways of improving support to young people by better utilising available data and delivering intensive case management including wrap around services linking to education, health and housing, working with jurisdictions. All parties to use findings to guide future interventions for young people.</w:t>
            </w:r>
          </w:p>
        </w:tc>
        <w:tc>
          <w:tcPr>
            <w:tcW w:w="531" w:type="pct"/>
            <w:tcBorders>
              <w:top w:val="dotted" w:sz="8" w:space="0" w:color="7D7D7D" w:themeColor="text2"/>
              <w:left w:val="nil"/>
              <w:bottom w:val="dotted" w:sz="8" w:space="0" w:color="7D7D7D" w:themeColor="text2"/>
              <w:right w:val="nil"/>
            </w:tcBorders>
          </w:tcPr>
          <w:p w14:paraId="13061547" w14:textId="77777777" w:rsidR="005066D3" w:rsidRPr="00D055DB" w:rsidRDefault="005066D3" w:rsidP="001D3D1F">
            <w:pPr>
              <w:pStyle w:val="TableTextSmall"/>
              <w:rPr>
                <w:sz w:val="20"/>
                <w:szCs w:val="20"/>
              </w:rPr>
            </w:pPr>
          </w:p>
        </w:tc>
        <w:tc>
          <w:tcPr>
            <w:tcW w:w="531" w:type="pct"/>
            <w:tcBorders>
              <w:top w:val="dotted" w:sz="8" w:space="0" w:color="7D7D7D" w:themeColor="text2"/>
              <w:left w:val="nil"/>
              <w:bottom w:val="dotted" w:sz="8" w:space="0" w:color="7D7D7D" w:themeColor="text2"/>
              <w:right w:val="nil"/>
            </w:tcBorders>
          </w:tcPr>
          <w:p w14:paraId="6B6AF053" w14:textId="77777777" w:rsidR="005066D3" w:rsidRPr="00D055DB" w:rsidRDefault="005066D3" w:rsidP="001D3D1F">
            <w:pPr>
              <w:pStyle w:val="TableTextSmall"/>
              <w:rPr>
                <w:sz w:val="20"/>
                <w:szCs w:val="20"/>
              </w:rPr>
            </w:pPr>
          </w:p>
        </w:tc>
        <w:tc>
          <w:tcPr>
            <w:tcW w:w="531" w:type="pct"/>
            <w:tcBorders>
              <w:top w:val="dotted" w:sz="8" w:space="0" w:color="7D7D7D" w:themeColor="text2"/>
              <w:left w:val="nil"/>
              <w:bottom w:val="dotted" w:sz="8" w:space="0" w:color="7D7D7D" w:themeColor="text2"/>
              <w:right w:val="nil"/>
            </w:tcBorders>
          </w:tcPr>
          <w:p w14:paraId="00928E73" w14:textId="77777777" w:rsidR="005066D3" w:rsidRPr="00D055DB" w:rsidRDefault="005066D3" w:rsidP="001D3D1F">
            <w:pPr>
              <w:pStyle w:val="TableTextSmall"/>
              <w:rPr>
                <w:sz w:val="20"/>
                <w:szCs w:val="20"/>
              </w:rPr>
            </w:pPr>
            <w:r w:rsidRPr="00D055DB">
              <w:rPr>
                <w:sz w:val="20"/>
                <w:szCs w:val="20"/>
              </w:rPr>
              <w:sym w:font="Wingdings" w:char="F0FC"/>
            </w:r>
          </w:p>
        </w:tc>
        <w:tc>
          <w:tcPr>
            <w:tcW w:w="535" w:type="pct"/>
            <w:tcBorders>
              <w:top w:val="dotted" w:sz="8" w:space="0" w:color="7D7D7D" w:themeColor="text2"/>
              <w:left w:val="nil"/>
              <w:bottom w:val="dotted" w:sz="8" w:space="0" w:color="7D7D7D" w:themeColor="text2"/>
              <w:right w:val="nil"/>
            </w:tcBorders>
          </w:tcPr>
          <w:p w14:paraId="116F93A4" w14:textId="77777777" w:rsidR="005066D3" w:rsidRPr="00D055DB" w:rsidRDefault="005066D3" w:rsidP="001D3D1F">
            <w:pPr>
              <w:pStyle w:val="TableTextSmall"/>
              <w:rPr>
                <w:sz w:val="20"/>
                <w:szCs w:val="20"/>
              </w:rPr>
            </w:pPr>
          </w:p>
        </w:tc>
      </w:tr>
      <w:tr w:rsidR="005066D3" w:rsidRPr="00893FA9" w14:paraId="3C443557" w14:textId="77777777" w:rsidTr="001D3D1F">
        <w:tc>
          <w:tcPr>
            <w:tcW w:w="240" w:type="pct"/>
            <w:tcBorders>
              <w:top w:val="dotted" w:sz="8" w:space="0" w:color="7D7D7D" w:themeColor="text2"/>
              <w:left w:val="nil"/>
              <w:bottom w:val="dotted" w:sz="8" w:space="0" w:color="7D7D7D" w:themeColor="text2"/>
              <w:right w:val="nil"/>
            </w:tcBorders>
          </w:tcPr>
          <w:p w14:paraId="4113A06B" w14:textId="77777777" w:rsidR="005066D3" w:rsidRPr="002B7285" w:rsidRDefault="005066D3" w:rsidP="001D3D1F">
            <w:pPr>
              <w:spacing w:before="40" w:after="40"/>
              <w:rPr>
                <w:rFonts w:ascii="Arial" w:hAnsi="Arial"/>
                <w:b/>
                <w:sz w:val="16"/>
                <w:szCs w:val="18"/>
              </w:rPr>
            </w:pPr>
            <w:r>
              <w:rPr>
                <w:rFonts w:ascii="Arial" w:hAnsi="Arial"/>
                <w:b/>
                <w:sz w:val="16"/>
                <w:szCs w:val="18"/>
              </w:rPr>
              <w:lastRenderedPageBreak/>
              <w:t>10</w:t>
            </w:r>
          </w:p>
        </w:tc>
        <w:tc>
          <w:tcPr>
            <w:tcW w:w="2632" w:type="pct"/>
            <w:tcBorders>
              <w:top w:val="dotted" w:sz="8" w:space="0" w:color="7D7D7D" w:themeColor="text2"/>
              <w:left w:val="nil"/>
              <w:bottom w:val="dotted" w:sz="8" w:space="0" w:color="7D7D7D" w:themeColor="text2"/>
              <w:right w:val="nil"/>
            </w:tcBorders>
          </w:tcPr>
          <w:p w14:paraId="28FE00F4"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Action:</w:t>
            </w:r>
            <w:r w:rsidRPr="002B7285">
              <w:rPr>
                <w:rFonts w:ascii="Arial" w:hAnsi="Arial"/>
                <w:sz w:val="16"/>
                <w:szCs w:val="18"/>
              </w:rPr>
              <w:t xml:space="preserve"> Examine 2014 reforms to the Transition to Independent Living Allowance to ensure it continues to target those who need it most and improve efficiency.</w:t>
            </w:r>
          </w:p>
        </w:tc>
        <w:tc>
          <w:tcPr>
            <w:tcW w:w="531" w:type="pct"/>
            <w:tcBorders>
              <w:top w:val="dotted" w:sz="8" w:space="0" w:color="7D7D7D" w:themeColor="text2"/>
              <w:left w:val="nil"/>
              <w:bottom w:val="dotted" w:sz="8" w:space="0" w:color="7D7D7D" w:themeColor="text2"/>
              <w:right w:val="nil"/>
            </w:tcBorders>
          </w:tcPr>
          <w:p w14:paraId="33775055" w14:textId="77777777" w:rsidR="005066D3" w:rsidRPr="00D055DB" w:rsidRDefault="005066D3" w:rsidP="001D3D1F">
            <w:pPr>
              <w:pStyle w:val="TableTextSmall"/>
              <w:rPr>
                <w:sz w:val="20"/>
                <w:szCs w:val="20"/>
              </w:rPr>
            </w:pPr>
          </w:p>
        </w:tc>
        <w:tc>
          <w:tcPr>
            <w:tcW w:w="531" w:type="pct"/>
            <w:tcBorders>
              <w:top w:val="dotted" w:sz="8" w:space="0" w:color="7D7D7D" w:themeColor="text2"/>
              <w:left w:val="nil"/>
              <w:bottom w:val="dotted" w:sz="8" w:space="0" w:color="7D7D7D" w:themeColor="text2"/>
              <w:right w:val="nil"/>
            </w:tcBorders>
          </w:tcPr>
          <w:p w14:paraId="03518F7F" w14:textId="77777777" w:rsidR="005066D3" w:rsidRPr="00D055DB" w:rsidRDefault="005066D3" w:rsidP="001D3D1F">
            <w:pPr>
              <w:pStyle w:val="TableTextSmall"/>
              <w:rPr>
                <w:sz w:val="20"/>
                <w:szCs w:val="20"/>
              </w:rPr>
            </w:pPr>
          </w:p>
        </w:tc>
        <w:tc>
          <w:tcPr>
            <w:tcW w:w="531" w:type="pct"/>
            <w:tcBorders>
              <w:top w:val="dotted" w:sz="8" w:space="0" w:color="7D7D7D" w:themeColor="text2"/>
              <w:left w:val="nil"/>
              <w:bottom w:val="dotted" w:sz="8" w:space="0" w:color="7D7D7D" w:themeColor="text2"/>
              <w:right w:val="nil"/>
            </w:tcBorders>
          </w:tcPr>
          <w:p w14:paraId="6AFA9A9B" w14:textId="77777777" w:rsidR="005066D3" w:rsidRPr="00D055DB" w:rsidRDefault="005066D3" w:rsidP="001D3D1F">
            <w:pPr>
              <w:pStyle w:val="TableTextSmall"/>
              <w:rPr>
                <w:sz w:val="20"/>
                <w:szCs w:val="20"/>
              </w:rPr>
            </w:pPr>
            <w:r w:rsidRPr="00D055DB">
              <w:rPr>
                <w:sz w:val="20"/>
                <w:szCs w:val="20"/>
              </w:rPr>
              <w:sym w:font="Wingdings" w:char="F0FC"/>
            </w:r>
          </w:p>
        </w:tc>
        <w:tc>
          <w:tcPr>
            <w:tcW w:w="535" w:type="pct"/>
            <w:tcBorders>
              <w:top w:val="dotted" w:sz="8" w:space="0" w:color="7D7D7D" w:themeColor="text2"/>
              <w:left w:val="nil"/>
              <w:bottom w:val="dotted" w:sz="8" w:space="0" w:color="7D7D7D" w:themeColor="text2"/>
              <w:right w:val="nil"/>
            </w:tcBorders>
          </w:tcPr>
          <w:p w14:paraId="2B0A113E" w14:textId="77777777" w:rsidR="005066D3" w:rsidRPr="00D055DB" w:rsidRDefault="005066D3" w:rsidP="001D3D1F">
            <w:pPr>
              <w:pStyle w:val="TableTextSmall"/>
              <w:rPr>
                <w:sz w:val="20"/>
                <w:szCs w:val="20"/>
              </w:rPr>
            </w:pPr>
          </w:p>
        </w:tc>
      </w:tr>
      <w:tr w:rsidR="005066D3" w:rsidRPr="00893FA9" w14:paraId="09B0E862" w14:textId="77777777" w:rsidTr="001D3D1F">
        <w:tc>
          <w:tcPr>
            <w:tcW w:w="240" w:type="pct"/>
            <w:tcBorders>
              <w:top w:val="dotted" w:sz="8" w:space="0" w:color="7D7D7D" w:themeColor="text2"/>
              <w:left w:val="nil"/>
              <w:bottom w:val="dotted" w:sz="8" w:space="0" w:color="7D7D7D" w:themeColor="text2"/>
              <w:right w:val="nil"/>
            </w:tcBorders>
          </w:tcPr>
          <w:p w14:paraId="1FBF1ED4" w14:textId="77777777" w:rsidR="005066D3" w:rsidRPr="002B7285" w:rsidRDefault="005066D3" w:rsidP="001D3D1F">
            <w:pPr>
              <w:spacing w:before="40" w:after="40"/>
              <w:rPr>
                <w:rFonts w:ascii="Arial" w:hAnsi="Arial"/>
                <w:b/>
                <w:sz w:val="16"/>
                <w:szCs w:val="18"/>
              </w:rPr>
            </w:pPr>
            <w:r>
              <w:rPr>
                <w:rFonts w:ascii="Arial" w:hAnsi="Arial"/>
                <w:b/>
                <w:sz w:val="16"/>
                <w:szCs w:val="18"/>
              </w:rPr>
              <w:t>11</w:t>
            </w:r>
          </w:p>
        </w:tc>
        <w:tc>
          <w:tcPr>
            <w:tcW w:w="2632" w:type="pct"/>
            <w:tcBorders>
              <w:top w:val="dotted" w:sz="8" w:space="0" w:color="7D7D7D" w:themeColor="text2"/>
              <w:left w:val="nil"/>
              <w:bottom w:val="dotted" w:sz="8" w:space="0" w:color="7D7D7D" w:themeColor="text2"/>
              <w:right w:val="nil"/>
            </w:tcBorders>
          </w:tcPr>
          <w:p w14:paraId="020E64CA"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Action:</w:t>
            </w:r>
            <w:r w:rsidRPr="002B7285">
              <w:rPr>
                <w:rFonts w:ascii="Arial" w:hAnsi="Arial"/>
                <w:sz w:val="16"/>
                <w:szCs w:val="18"/>
              </w:rPr>
              <w:t xml:space="preserve"> Evaluate impact of jurisdictions’ policy changes to extend statutory responsibility and access to services to young people who exit out-of-home care over the age of 18 years.</w:t>
            </w:r>
          </w:p>
        </w:tc>
        <w:tc>
          <w:tcPr>
            <w:tcW w:w="531" w:type="pct"/>
            <w:tcBorders>
              <w:top w:val="dotted" w:sz="8" w:space="0" w:color="7D7D7D" w:themeColor="text2"/>
              <w:left w:val="nil"/>
              <w:bottom w:val="dotted" w:sz="8" w:space="0" w:color="7D7D7D" w:themeColor="text2"/>
              <w:right w:val="nil"/>
            </w:tcBorders>
          </w:tcPr>
          <w:p w14:paraId="7D3D4E94" w14:textId="77777777" w:rsidR="005066D3" w:rsidRPr="00D055DB" w:rsidRDefault="005066D3" w:rsidP="001D3D1F">
            <w:pPr>
              <w:pStyle w:val="TableTextSmall"/>
              <w:rPr>
                <w:sz w:val="20"/>
                <w:szCs w:val="20"/>
              </w:rPr>
            </w:pPr>
          </w:p>
        </w:tc>
        <w:tc>
          <w:tcPr>
            <w:tcW w:w="531" w:type="pct"/>
            <w:tcBorders>
              <w:top w:val="dotted" w:sz="8" w:space="0" w:color="7D7D7D" w:themeColor="text2"/>
              <w:left w:val="nil"/>
              <w:bottom w:val="dotted" w:sz="8" w:space="0" w:color="7D7D7D" w:themeColor="text2"/>
              <w:right w:val="nil"/>
            </w:tcBorders>
          </w:tcPr>
          <w:p w14:paraId="33FC829F" w14:textId="77777777" w:rsidR="005066D3" w:rsidRPr="00D055DB" w:rsidRDefault="005066D3" w:rsidP="001D3D1F">
            <w:pPr>
              <w:pStyle w:val="TableTextSmall"/>
              <w:rPr>
                <w:sz w:val="20"/>
                <w:szCs w:val="20"/>
              </w:rPr>
            </w:pPr>
          </w:p>
        </w:tc>
        <w:tc>
          <w:tcPr>
            <w:tcW w:w="531" w:type="pct"/>
            <w:tcBorders>
              <w:top w:val="dotted" w:sz="8" w:space="0" w:color="7D7D7D" w:themeColor="text2"/>
              <w:left w:val="nil"/>
              <w:bottom w:val="dotted" w:sz="8" w:space="0" w:color="7D7D7D" w:themeColor="text2"/>
              <w:right w:val="nil"/>
            </w:tcBorders>
          </w:tcPr>
          <w:p w14:paraId="792BEC18" w14:textId="77777777" w:rsidR="005066D3" w:rsidRPr="00D055DB" w:rsidRDefault="005066D3" w:rsidP="001D3D1F">
            <w:pPr>
              <w:pStyle w:val="TableTextSmall"/>
              <w:rPr>
                <w:sz w:val="20"/>
                <w:szCs w:val="20"/>
              </w:rPr>
            </w:pPr>
          </w:p>
        </w:tc>
        <w:tc>
          <w:tcPr>
            <w:tcW w:w="535" w:type="pct"/>
            <w:tcBorders>
              <w:top w:val="dotted" w:sz="8" w:space="0" w:color="7D7D7D" w:themeColor="text2"/>
              <w:left w:val="nil"/>
              <w:bottom w:val="dotted" w:sz="8" w:space="0" w:color="7D7D7D" w:themeColor="text2"/>
              <w:right w:val="nil"/>
            </w:tcBorders>
          </w:tcPr>
          <w:p w14:paraId="250D48DC" w14:textId="77777777" w:rsidR="005066D3" w:rsidRPr="00D055DB" w:rsidRDefault="005066D3" w:rsidP="001D3D1F">
            <w:pPr>
              <w:pStyle w:val="TableTextSmall"/>
              <w:rPr>
                <w:sz w:val="20"/>
                <w:szCs w:val="20"/>
              </w:rPr>
            </w:pPr>
            <w:r w:rsidRPr="00D055DB">
              <w:rPr>
                <w:sz w:val="20"/>
                <w:szCs w:val="20"/>
              </w:rPr>
              <w:sym w:font="Wingdings" w:char="F0FC"/>
            </w:r>
          </w:p>
        </w:tc>
      </w:tr>
      <w:tr w:rsidR="005066D3" w:rsidRPr="002B7285" w14:paraId="51DAA758" w14:textId="77777777" w:rsidTr="001D3D1F">
        <w:tc>
          <w:tcPr>
            <w:tcW w:w="5000" w:type="pct"/>
            <w:gridSpan w:val="6"/>
            <w:tcBorders>
              <w:top w:val="dotted" w:sz="8" w:space="0" w:color="7D7D7D" w:themeColor="text2"/>
              <w:left w:val="nil"/>
              <w:bottom w:val="dotted" w:sz="8" w:space="0" w:color="7D7D7D" w:themeColor="text2"/>
              <w:right w:val="nil"/>
            </w:tcBorders>
            <w:shd w:val="clear" w:color="auto" w:fill="E5E5E5" w:themeFill="text2" w:themeFillTint="33"/>
          </w:tcPr>
          <w:p w14:paraId="62CF9D83" w14:textId="77777777" w:rsidR="005066D3" w:rsidRPr="002B7285" w:rsidRDefault="005066D3" w:rsidP="001D3D1F">
            <w:pPr>
              <w:pStyle w:val="TableTextSmall"/>
              <w:rPr>
                <w:b/>
                <w:i/>
              </w:rPr>
            </w:pPr>
            <w:r w:rsidRPr="002B7285">
              <w:rPr>
                <w:b/>
                <w:i/>
              </w:rPr>
              <w:t>Strategy 3:</w:t>
            </w:r>
            <w:r w:rsidRPr="002B7285">
              <w:rPr>
                <w:i/>
              </w:rPr>
              <w:t xml:space="preserve">  Organisations responding better to children and young people to keep them safe</w:t>
            </w:r>
          </w:p>
        </w:tc>
      </w:tr>
      <w:tr w:rsidR="005066D3" w:rsidRPr="002B7285" w14:paraId="658A2C7C" w14:textId="77777777" w:rsidTr="001D3D1F">
        <w:tc>
          <w:tcPr>
            <w:tcW w:w="240" w:type="pct"/>
            <w:tcBorders>
              <w:top w:val="dotted" w:sz="8" w:space="0" w:color="7D7D7D" w:themeColor="text2"/>
              <w:left w:val="nil"/>
              <w:bottom w:val="dotted" w:sz="8" w:space="0" w:color="7D7D7D" w:themeColor="text2"/>
              <w:right w:val="nil"/>
            </w:tcBorders>
          </w:tcPr>
          <w:p w14:paraId="4C52C55E" w14:textId="77777777" w:rsidR="005066D3" w:rsidRPr="002B7285" w:rsidRDefault="005066D3" w:rsidP="001D3D1F">
            <w:pPr>
              <w:spacing w:before="40" w:after="40"/>
              <w:rPr>
                <w:rFonts w:ascii="Arial" w:hAnsi="Arial"/>
                <w:b/>
                <w:sz w:val="16"/>
                <w:szCs w:val="18"/>
              </w:rPr>
            </w:pPr>
            <w:r>
              <w:rPr>
                <w:rFonts w:ascii="Arial" w:hAnsi="Arial"/>
                <w:b/>
                <w:sz w:val="16"/>
                <w:szCs w:val="18"/>
              </w:rPr>
              <w:t>12</w:t>
            </w:r>
          </w:p>
        </w:tc>
        <w:tc>
          <w:tcPr>
            <w:tcW w:w="2632" w:type="pct"/>
            <w:tcBorders>
              <w:top w:val="dotted" w:sz="8" w:space="0" w:color="7D7D7D" w:themeColor="text2"/>
              <w:left w:val="nil"/>
              <w:bottom w:val="dotted" w:sz="8" w:space="0" w:color="7D7D7D" w:themeColor="text2"/>
              <w:right w:val="nil"/>
            </w:tcBorders>
          </w:tcPr>
          <w:p w14:paraId="1E6A7E4B" w14:textId="77777777" w:rsidR="005066D3" w:rsidRPr="002B7285" w:rsidRDefault="005066D3" w:rsidP="001D3D1F">
            <w:pPr>
              <w:spacing w:before="40" w:after="40"/>
              <w:rPr>
                <w:rFonts w:ascii="Arial" w:hAnsi="Arial"/>
                <w:sz w:val="16"/>
                <w:szCs w:val="18"/>
              </w:rPr>
            </w:pPr>
            <w:r w:rsidRPr="002B7285">
              <w:rPr>
                <w:rFonts w:ascii="Arial" w:hAnsi="Arial"/>
                <w:b/>
                <w:sz w:val="16"/>
                <w:szCs w:val="18"/>
              </w:rPr>
              <w:t>Action:</w:t>
            </w:r>
            <w:r w:rsidRPr="002B7285">
              <w:rPr>
                <w:rFonts w:ascii="Arial" w:hAnsi="Arial"/>
                <w:sz w:val="16"/>
                <w:szCs w:val="18"/>
              </w:rPr>
              <w:t xml:space="preserve"> Review and implement the National Framework: Creating Safe Environments for Children — Organisations, Employees and Volunteers (2005).</w:t>
            </w:r>
          </w:p>
        </w:tc>
        <w:tc>
          <w:tcPr>
            <w:tcW w:w="531" w:type="pct"/>
            <w:tcBorders>
              <w:top w:val="dotted" w:sz="8" w:space="0" w:color="7D7D7D" w:themeColor="text2"/>
              <w:left w:val="nil"/>
              <w:bottom w:val="dotted" w:sz="8" w:space="0" w:color="7D7D7D" w:themeColor="text2"/>
              <w:right w:val="nil"/>
            </w:tcBorders>
          </w:tcPr>
          <w:p w14:paraId="767BC03C" w14:textId="77777777" w:rsidR="005066D3" w:rsidRPr="00D055DB" w:rsidRDefault="005066D3" w:rsidP="001D3D1F">
            <w:pPr>
              <w:pStyle w:val="TableTextSmall"/>
              <w:rPr>
                <w:sz w:val="20"/>
                <w:szCs w:val="20"/>
              </w:rPr>
            </w:pPr>
            <w:r w:rsidRPr="00D055DB">
              <w:rPr>
                <w:sz w:val="20"/>
                <w:szCs w:val="20"/>
              </w:rPr>
              <w:sym w:font="Wingdings" w:char="F0FC"/>
            </w:r>
          </w:p>
        </w:tc>
        <w:tc>
          <w:tcPr>
            <w:tcW w:w="531" w:type="pct"/>
            <w:tcBorders>
              <w:top w:val="dotted" w:sz="8" w:space="0" w:color="7D7D7D" w:themeColor="text2"/>
              <w:left w:val="nil"/>
              <w:bottom w:val="dotted" w:sz="8" w:space="0" w:color="7D7D7D" w:themeColor="text2"/>
              <w:right w:val="nil"/>
            </w:tcBorders>
          </w:tcPr>
          <w:p w14:paraId="048AB875" w14:textId="77777777" w:rsidR="005066D3" w:rsidRPr="00D055DB" w:rsidRDefault="005066D3" w:rsidP="001D3D1F">
            <w:pPr>
              <w:pStyle w:val="TableTextSmall"/>
              <w:rPr>
                <w:sz w:val="20"/>
                <w:szCs w:val="20"/>
              </w:rPr>
            </w:pPr>
          </w:p>
        </w:tc>
        <w:tc>
          <w:tcPr>
            <w:tcW w:w="531" w:type="pct"/>
            <w:tcBorders>
              <w:top w:val="dotted" w:sz="8" w:space="0" w:color="7D7D7D" w:themeColor="text2"/>
              <w:left w:val="nil"/>
              <w:bottom w:val="dotted" w:sz="8" w:space="0" w:color="7D7D7D" w:themeColor="text2"/>
              <w:right w:val="nil"/>
            </w:tcBorders>
          </w:tcPr>
          <w:p w14:paraId="58D32151" w14:textId="77777777" w:rsidR="005066D3" w:rsidRPr="00D055DB" w:rsidRDefault="005066D3" w:rsidP="001D3D1F">
            <w:pPr>
              <w:pStyle w:val="TableTextSmall"/>
              <w:rPr>
                <w:sz w:val="20"/>
                <w:szCs w:val="20"/>
              </w:rPr>
            </w:pPr>
          </w:p>
        </w:tc>
        <w:tc>
          <w:tcPr>
            <w:tcW w:w="535" w:type="pct"/>
            <w:tcBorders>
              <w:top w:val="dotted" w:sz="8" w:space="0" w:color="7D7D7D" w:themeColor="text2"/>
              <w:left w:val="nil"/>
              <w:bottom w:val="dotted" w:sz="8" w:space="0" w:color="7D7D7D" w:themeColor="text2"/>
              <w:right w:val="nil"/>
            </w:tcBorders>
          </w:tcPr>
          <w:p w14:paraId="36B1FED6" w14:textId="77777777" w:rsidR="005066D3" w:rsidRPr="00D055DB" w:rsidRDefault="005066D3" w:rsidP="001D3D1F">
            <w:pPr>
              <w:pStyle w:val="TableTextSmall"/>
              <w:rPr>
                <w:sz w:val="20"/>
                <w:szCs w:val="20"/>
              </w:rPr>
            </w:pPr>
          </w:p>
        </w:tc>
      </w:tr>
      <w:tr w:rsidR="00D17983" w14:paraId="7C4E96ED" w14:textId="77777777" w:rsidTr="001D3D1F">
        <w:tc>
          <w:tcPr>
            <w:tcW w:w="240" w:type="pct"/>
            <w:tcBorders>
              <w:top w:val="dotted" w:sz="8" w:space="0" w:color="7D7D7D" w:themeColor="text2"/>
              <w:left w:val="nil"/>
              <w:bottom w:val="dotted" w:sz="8" w:space="0" w:color="7D7D7D" w:themeColor="text2"/>
              <w:right w:val="nil"/>
            </w:tcBorders>
          </w:tcPr>
          <w:p w14:paraId="00D97B99" w14:textId="77777777" w:rsidR="00D17983" w:rsidRPr="002B7285" w:rsidRDefault="00D17983" w:rsidP="00D17983">
            <w:pPr>
              <w:spacing w:before="40" w:after="40"/>
              <w:rPr>
                <w:rFonts w:ascii="Arial" w:hAnsi="Arial"/>
                <w:b/>
                <w:sz w:val="16"/>
                <w:szCs w:val="18"/>
              </w:rPr>
            </w:pPr>
            <w:r>
              <w:rPr>
                <w:rFonts w:ascii="Arial" w:hAnsi="Arial"/>
                <w:b/>
                <w:sz w:val="16"/>
                <w:szCs w:val="18"/>
              </w:rPr>
              <w:t>13</w:t>
            </w:r>
          </w:p>
        </w:tc>
        <w:tc>
          <w:tcPr>
            <w:tcW w:w="2632" w:type="pct"/>
            <w:tcBorders>
              <w:top w:val="dotted" w:sz="8" w:space="0" w:color="7D7D7D" w:themeColor="text2"/>
              <w:left w:val="nil"/>
              <w:bottom w:val="dotted" w:sz="8" w:space="0" w:color="7D7D7D" w:themeColor="text2"/>
              <w:right w:val="nil"/>
            </w:tcBorders>
          </w:tcPr>
          <w:p w14:paraId="32675B4C" w14:textId="77777777" w:rsidR="00D17983" w:rsidRPr="002B7285" w:rsidRDefault="00D17983" w:rsidP="00D17983">
            <w:pPr>
              <w:spacing w:before="40" w:after="40"/>
              <w:rPr>
                <w:rFonts w:ascii="Arial" w:hAnsi="Arial"/>
                <w:b/>
                <w:sz w:val="16"/>
                <w:szCs w:val="18"/>
              </w:rPr>
            </w:pPr>
            <w:r w:rsidRPr="002B7285">
              <w:rPr>
                <w:rFonts w:ascii="Arial" w:hAnsi="Arial"/>
                <w:b/>
                <w:sz w:val="16"/>
                <w:szCs w:val="18"/>
              </w:rPr>
              <w:t>Action:</w:t>
            </w:r>
            <w:r w:rsidRPr="002B7285">
              <w:rPr>
                <w:rFonts w:ascii="Arial" w:hAnsi="Arial"/>
                <w:sz w:val="16"/>
                <w:szCs w:val="18"/>
              </w:rPr>
              <w:t xml:space="preserve"> Strategy working group to produce a work plan to identify resources to support best practice on child-safe standards.</w:t>
            </w:r>
          </w:p>
        </w:tc>
        <w:tc>
          <w:tcPr>
            <w:tcW w:w="531" w:type="pct"/>
            <w:tcBorders>
              <w:top w:val="dotted" w:sz="8" w:space="0" w:color="7D7D7D" w:themeColor="text2"/>
              <w:left w:val="nil"/>
              <w:bottom w:val="dotted" w:sz="8" w:space="0" w:color="7D7D7D" w:themeColor="text2"/>
              <w:right w:val="nil"/>
            </w:tcBorders>
          </w:tcPr>
          <w:p w14:paraId="42264DB9" w14:textId="77777777" w:rsidR="00D17983" w:rsidRDefault="00D17983" w:rsidP="00D17983">
            <w:pPr>
              <w:pStyle w:val="TableTextSmall"/>
            </w:pPr>
            <w:r>
              <w:t>N/A</w:t>
            </w:r>
          </w:p>
        </w:tc>
        <w:tc>
          <w:tcPr>
            <w:tcW w:w="531" w:type="pct"/>
            <w:tcBorders>
              <w:top w:val="dotted" w:sz="8" w:space="0" w:color="7D7D7D" w:themeColor="text2"/>
              <w:left w:val="nil"/>
              <w:bottom w:val="dotted" w:sz="8" w:space="0" w:color="7D7D7D" w:themeColor="text2"/>
              <w:right w:val="nil"/>
            </w:tcBorders>
          </w:tcPr>
          <w:p w14:paraId="528092C0" w14:textId="77777777" w:rsidR="00D17983" w:rsidRDefault="00D17983" w:rsidP="00D17983">
            <w:pPr>
              <w:pStyle w:val="TableTextSmall"/>
            </w:pPr>
            <w:r>
              <w:t>N/A</w:t>
            </w:r>
          </w:p>
        </w:tc>
        <w:tc>
          <w:tcPr>
            <w:tcW w:w="531" w:type="pct"/>
            <w:tcBorders>
              <w:top w:val="dotted" w:sz="8" w:space="0" w:color="7D7D7D" w:themeColor="text2"/>
              <w:left w:val="nil"/>
              <w:bottom w:val="dotted" w:sz="8" w:space="0" w:color="7D7D7D" w:themeColor="text2"/>
              <w:right w:val="nil"/>
            </w:tcBorders>
          </w:tcPr>
          <w:p w14:paraId="298ABE7F" w14:textId="77777777" w:rsidR="00D17983" w:rsidRDefault="00D17983" w:rsidP="00D17983">
            <w:pPr>
              <w:pStyle w:val="TableTextSmall"/>
            </w:pPr>
            <w:r>
              <w:t>N/A</w:t>
            </w:r>
          </w:p>
        </w:tc>
        <w:tc>
          <w:tcPr>
            <w:tcW w:w="535" w:type="pct"/>
            <w:tcBorders>
              <w:top w:val="dotted" w:sz="8" w:space="0" w:color="7D7D7D" w:themeColor="text2"/>
              <w:left w:val="nil"/>
              <w:bottom w:val="dotted" w:sz="8" w:space="0" w:color="7D7D7D" w:themeColor="text2"/>
              <w:right w:val="nil"/>
            </w:tcBorders>
          </w:tcPr>
          <w:p w14:paraId="4ABAD372" w14:textId="77777777" w:rsidR="00D17983" w:rsidRDefault="00D17983" w:rsidP="00D17983">
            <w:pPr>
              <w:pStyle w:val="TableTextSmall"/>
            </w:pPr>
            <w:r>
              <w:t>N/A</w:t>
            </w:r>
          </w:p>
        </w:tc>
      </w:tr>
      <w:tr w:rsidR="005066D3" w14:paraId="48D4BE52" w14:textId="77777777" w:rsidTr="001D3D1F">
        <w:tc>
          <w:tcPr>
            <w:tcW w:w="240" w:type="pct"/>
            <w:tcBorders>
              <w:top w:val="dotted" w:sz="8" w:space="0" w:color="7D7D7D" w:themeColor="text2"/>
              <w:left w:val="nil"/>
              <w:bottom w:val="dotted" w:sz="8" w:space="0" w:color="7D7D7D" w:themeColor="text2"/>
              <w:right w:val="nil"/>
            </w:tcBorders>
          </w:tcPr>
          <w:p w14:paraId="6E00EC1E" w14:textId="77777777" w:rsidR="005066D3" w:rsidRPr="002B7285" w:rsidRDefault="005066D3" w:rsidP="001D3D1F">
            <w:pPr>
              <w:spacing w:before="40" w:after="40"/>
              <w:rPr>
                <w:rFonts w:ascii="Arial" w:hAnsi="Arial"/>
                <w:b/>
                <w:sz w:val="16"/>
                <w:szCs w:val="18"/>
              </w:rPr>
            </w:pPr>
            <w:r>
              <w:rPr>
                <w:rFonts w:ascii="Arial" w:hAnsi="Arial"/>
                <w:b/>
                <w:sz w:val="16"/>
                <w:szCs w:val="18"/>
              </w:rPr>
              <w:t>14</w:t>
            </w:r>
          </w:p>
        </w:tc>
        <w:tc>
          <w:tcPr>
            <w:tcW w:w="2632" w:type="pct"/>
            <w:tcBorders>
              <w:top w:val="dotted" w:sz="8" w:space="0" w:color="7D7D7D" w:themeColor="text2"/>
              <w:left w:val="nil"/>
              <w:bottom w:val="dotted" w:sz="8" w:space="0" w:color="7D7D7D" w:themeColor="text2"/>
              <w:right w:val="nil"/>
            </w:tcBorders>
          </w:tcPr>
          <w:p w14:paraId="346F3C00"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Action:</w:t>
            </w:r>
            <w:r w:rsidRPr="002B7285">
              <w:rPr>
                <w:rFonts w:ascii="Arial" w:hAnsi="Arial"/>
                <w:sz w:val="16"/>
                <w:szCs w:val="18"/>
              </w:rPr>
              <w:t xml:space="preserve"> Share jurisdictional approaches to develop a best practice model of information exchange.</w:t>
            </w:r>
          </w:p>
        </w:tc>
        <w:tc>
          <w:tcPr>
            <w:tcW w:w="531" w:type="pct"/>
            <w:tcBorders>
              <w:top w:val="dotted" w:sz="8" w:space="0" w:color="7D7D7D" w:themeColor="text2"/>
              <w:left w:val="nil"/>
              <w:bottom w:val="dotted" w:sz="8" w:space="0" w:color="7D7D7D" w:themeColor="text2"/>
              <w:right w:val="nil"/>
            </w:tcBorders>
          </w:tcPr>
          <w:p w14:paraId="2A5DA4A4" w14:textId="77777777" w:rsidR="005066D3" w:rsidRDefault="005066D3" w:rsidP="001D3D1F">
            <w:pPr>
              <w:pStyle w:val="TableTextSmall"/>
            </w:pPr>
            <w:r>
              <w:t>N/A</w:t>
            </w:r>
          </w:p>
        </w:tc>
        <w:tc>
          <w:tcPr>
            <w:tcW w:w="531" w:type="pct"/>
            <w:tcBorders>
              <w:top w:val="dotted" w:sz="8" w:space="0" w:color="7D7D7D" w:themeColor="text2"/>
              <w:left w:val="nil"/>
              <w:bottom w:val="dotted" w:sz="8" w:space="0" w:color="7D7D7D" w:themeColor="text2"/>
              <w:right w:val="nil"/>
            </w:tcBorders>
          </w:tcPr>
          <w:p w14:paraId="6581FCD8" w14:textId="77777777" w:rsidR="005066D3" w:rsidRDefault="005066D3" w:rsidP="001D3D1F">
            <w:pPr>
              <w:pStyle w:val="TableTextSmall"/>
            </w:pPr>
            <w:r>
              <w:t>N/A</w:t>
            </w:r>
          </w:p>
        </w:tc>
        <w:tc>
          <w:tcPr>
            <w:tcW w:w="531" w:type="pct"/>
            <w:tcBorders>
              <w:top w:val="dotted" w:sz="8" w:space="0" w:color="7D7D7D" w:themeColor="text2"/>
              <w:left w:val="nil"/>
              <w:bottom w:val="dotted" w:sz="8" w:space="0" w:color="7D7D7D" w:themeColor="text2"/>
              <w:right w:val="nil"/>
            </w:tcBorders>
          </w:tcPr>
          <w:p w14:paraId="46CDDF6F" w14:textId="77777777" w:rsidR="005066D3" w:rsidRDefault="005066D3" w:rsidP="001D3D1F">
            <w:pPr>
              <w:pStyle w:val="TableTextSmall"/>
            </w:pPr>
            <w:r>
              <w:t>N/A</w:t>
            </w:r>
          </w:p>
        </w:tc>
        <w:tc>
          <w:tcPr>
            <w:tcW w:w="535" w:type="pct"/>
            <w:tcBorders>
              <w:top w:val="dotted" w:sz="8" w:space="0" w:color="7D7D7D" w:themeColor="text2"/>
              <w:left w:val="nil"/>
              <w:bottom w:val="dotted" w:sz="8" w:space="0" w:color="7D7D7D" w:themeColor="text2"/>
              <w:right w:val="nil"/>
            </w:tcBorders>
          </w:tcPr>
          <w:p w14:paraId="63016D8E" w14:textId="77777777" w:rsidR="005066D3" w:rsidRDefault="005066D3" w:rsidP="001D3D1F">
            <w:pPr>
              <w:pStyle w:val="TableTextSmall"/>
            </w:pPr>
            <w:r>
              <w:t>N/A</w:t>
            </w:r>
          </w:p>
        </w:tc>
      </w:tr>
      <w:tr w:rsidR="005066D3" w:rsidRPr="002B7285" w14:paraId="311DE7C6" w14:textId="77777777" w:rsidTr="001D3D1F">
        <w:tc>
          <w:tcPr>
            <w:tcW w:w="5000" w:type="pct"/>
            <w:gridSpan w:val="6"/>
            <w:tcBorders>
              <w:top w:val="dotted" w:sz="8" w:space="0" w:color="7D7D7D" w:themeColor="text2"/>
              <w:left w:val="nil"/>
              <w:bottom w:val="dotted" w:sz="8" w:space="0" w:color="7D7D7D" w:themeColor="text2"/>
              <w:right w:val="nil"/>
            </w:tcBorders>
            <w:shd w:val="clear" w:color="auto" w:fill="E5E5E5" w:themeFill="text2" w:themeFillTint="33"/>
          </w:tcPr>
          <w:p w14:paraId="2496328C" w14:textId="77777777" w:rsidR="005066D3" w:rsidRPr="002B7285" w:rsidRDefault="005066D3" w:rsidP="001D3D1F">
            <w:pPr>
              <w:pStyle w:val="TableTextSmall"/>
              <w:rPr>
                <w:b/>
                <w:i/>
              </w:rPr>
            </w:pPr>
            <w:r w:rsidRPr="002B7285">
              <w:rPr>
                <w:b/>
                <w:i/>
              </w:rPr>
              <w:t xml:space="preserve">Cross- cutting focus area – </w:t>
            </w:r>
            <w:r w:rsidRPr="002B7285">
              <w:rPr>
                <w:i/>
              </w:rPr>
              <w:t>Research and reporting under the Third Action Plan</w:t>
            </w:r>
          </w:p>
        </w:tc>
      </w:tr>
      <w:tr w:rsidR="005066D3" w:rsidRPr="002B7285" w14:paraId="6EC29C9E" w14:textId="77777777" w:rsidTr="001D3D1F">
        <w:tc>
          <w:tcPr>
            <w:tcW w:w="240" w:type="pct"/>
            <w:tcBorders>
              <w:top w:val="dotted" w:sz="8" w:space="0" w:color="7D7D7D" w:themeColor="text2"/>
              <w:left w:val="nil"/>
              <w:bottom w:val="dotted" w:sz="8" w:space="0" w:color="7D7D7D" w:themeColor="text2"/>
              <w:right w:val="nil"/>
            </w:tcBorders>
          </w:tcPr>
          <w:p w14:paraId="63515245" w14:textId="77777777" w:rsidR="005066D3" w:rsidRPr="002B7285" w:rsidRDefault="005066D3" w:rsidP="001D3D1F">
            <w:pPr>
              <w:spacing w:before="40" w:after="40"/>
              <w:rPr>
                <w:rFonts w:ascii="Arial" w:hAnsi="Arial"/>
                <w:b/>
                <w:sz w:val="16"/>
                <w:szCs w:val="18"/>
              </w:rPr>
            </w:pPr>
            <w:r>
              <w:rPr>
                <w:rFonts w:ascii="Arial" w:hAnsi="Arial"/>
                <w:b/>
                <w:sz w:val="16"/>
                <w:szCs w:val="18"/>
              </w:rPr>
              <w:t>15</w:t>
            </w:r>
          </w:p>
        </w:tc>
        <w:tc>
          <w:tcPr>
            <w:tcW w:w="2632" w:type="pct"/>
            <w:tcBorders>
              <w:top w:val="dotted" w:sz="8" w:space="0" w:color="7D7D7D" w:themeColor="text2"/>
              <w:left w:val="nil"/>
              <w:bottom w:val="dotted" w:sz="8" w:space="0" w:color="7D7D7D" w:themeColor="text2"/>
              <w:right w:val="nil"/>
            </w:tcBorders>
          </w:tcPr>
          <w:p w14:paraId="41CE1BE0"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 xml:space="preserve">Action: </w:t>
            </w:r>
            <w:r w:rsidRPr="002B7285">
              <w:rPr>
                <w:rFonts w:ascii="Arial" w:hAnsi="Arial"/>
                <w:sz w:val="16"/>
                <w:szCs w:val="18"/>
              </w:rPr>
              <w:t>Explore capacity to develop targets and progress markers for Third Action Plan to measure progress, and if viable, identify appropriate targets and markers, to assist with reporting by June 2016.</w:t>
            </w:r>
          </w:p>
        </w:tc>
        <w:tc>
          <w:tcPr>
            <w:tcW w:w="531" w:type="pct"/>
            <w:tcBorders>
              <w:top w:val="dotted" w:sz="8" w:space="0" w:color="7D7D7D" w:themeColor="text2"/>
              <w:left w:val="nil"/>
              <w:bottom w:val="dotted" w:sz="8" w:space="0" w:color="7D7D7D" w:themeColor="text2"/>
              <w:right w:val="nil"/>
            </w:tcBorders>
          </w:tcPr>
          <w:p w14:paraId="1B102F0D" w14:textId="77777777" w:rsidR="005066D3" w:rsidRPr="002B7285" w:rsidRDefault="005066D3" w:rsidP="001D3D1F">
            <w:pPr>
              <w:pStyle w:val="TableTextSmall"/>
            </w:pPr>
            <w:r>
              <w:t>N/A</w:t>
            </w:r>
          </w:p>
        </w:tc>
        <w:tc>
          <w:tcPr>
            <w:tcW w:w="531" w:type="pct"/>
            <w:tcBorders>
              <w:top w:val="dotted" w:sz="8" w:space="0" w:color="7D7D7D" w:themeColor="text2"/>
              <w:left w:val="nil"/>
              <w:bottom w:val="dotted" w:sz="8" w:space="0" w:color="7D7D7D" w:themeColor="text2"/>
              <w:right w:val="nil"/>
            </w:tcBorders>
          </w:tcPr>
          <w:p w14:paraId="56E9D4EC" w14:textId="77777777" w:rsidR="005066D3" w:rsidRPr="002B7285" w:rsidRDefault="005066D3" w:rsidP="001D3D1F">
            <w:pPr>
              <w:pStyle w:val="TableTextSmall"/>
            </w:pPr>
            <w:r>
              <w:t>N/A</w:t>
            </w:r>
          </w:p>
        </w:tc>
        <w:tc>
          <w:tcPr>
            <w:tcW w:w="531" w:type="pct"/>
            <w:tcBorders>
              <w:top w:val="dotted" w:sz="8" w:space="0" w:color="7D7D7D" w:themeColor="text2"/>
              <w:left w:val="nil"/>
              <w:bottom w:val="dotted" w:sz="8" w:space="0" w:color="7D7D7D" w:themeColor="text2"/>
              <w:right w:val="nil"/>
            </w:tcBorders>
          </w:tcPr>
          <w:p w14:paraId="639A3B59" w14:textId="77777777" w:rsidR="005066D3" w:rsidRPr="002B7285" w:rsidRDefault="005066D3" w:rsidP="001D3D1F">
            <w:pPr>
              <w:pStyle w:val="TableTextSmall"/>
            </w:pPr>
            <w:r>
              <w:t>N/A</w:t>
            </w:r>
          </w:p>
        </w:tc>
        <w:tc>
          <w:tcPr>
            <w:tcW w:w="535" w:type="pct"/>
            <w:tcBorders>
              <w:top w:val="dotted" w:sz="8" w:space="0" w:color="7D7D7D" w:themeColor="text2"/>
              <w:left w:val="nil"/>
              <w:bottom w:val="dotted" w:sz="8" w:space="0" w:color="7D7D7D" w:themeColor="text2"/>
              <w:right w:val="nil"/>
            </w:tcBorders>
          </w:tcPr>
          <w:p w14:paraId="2EE3A877" w14:textId="77777777" w:rsidR="005066D3" w:rsidRPr="002B7285" w:rsidRDefault="005066D3" w:rsidP="001D3D1F">
            <w:pPr>
              <w:pStyle w:val="TableTextSmall"/>
            </w:pPr>
            <w:r>
              <w:t>N/A</w:t>
            </w:r>
          </w:p>
        </w:tc>
      </w:tr>
      <w:tr w:rsidR="005066D3" w:rsidRPr="002B7285" w14:paraId="393090EF" w14:textId="77777777" w:rsidTr="001D3D1F">
        <w:tc>
          <w:tcPr>
            <w:tcW w:w="240" w:type="pct"/>
            <w:tcBorders>
              <w:top w:val="dotted" w:sz="8" w:space="0" w:color="7D7D7D" w:themeColor="text2"/>
              <w:left w:val="nil"/>
              <w:bottom w:val="dotted" w:sz="4" w:space="0" w:color="7D7D7D" w:themeColor="text2"/>
              <w:right w:val="nil"/>
            </w:tcBorders>
          </w:tcPr>
          <w:p w14:paraId="3AFF4CDD" w14:textId="77777777" w:rsidR="005066D3" w:rsidRPr="002B7285" w:rsidRDefault="005066D3" w:rsidP="001D3D1F">
            <w:pPr>
              <w:spacing w:before="40" w:after="40"/>
              <w:rPr>
                <w:rFonts w:ascii="Arial" w:hAnsi="Arial"/>
                <w:b/>
                <w:sz w:val="16"/>
                <w:szCs w:val="18"/>
              </w:rPr>
            </w:pPr>
            <w:r>
              <w:rPr>
                <w:rFonts w:ascii="Arial" w:hAnsi="Arial"/>
                <w:b/>
                <w:sz w:val="16"/>
                <w:szCs w:val="18"/>
              </w:rPr>
              <w:t>16</w:t>
            </w:r>
          </w:p>
        </w:tc>
        <w:tc>
          <w:tcPr>
            <w:tcW w:w="2632" w:type="pct"/>
            <w:tcBorders>
              <w:top w:val="dotted" w:sz="8" w:space="0" w:color="7D7D7D" w:themeColor="text2"/>
              <w:left w:val="nil"/>
              <w:bottom w:val="dotted" w:sz="4" w:space="0" w:color="7D7D7D" w:themeColor="text2"/>
              <w:right w:val="nil"/>
            </w:tcBorders>
          </w:tcPr>
          <w:p w14:paraId="6F3490AD"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 xml:space="preserve">Action: </w:t>
            </w:r>
            <w:r w:rsidRPr="002B7285">
              <w:rPr>
                <w:rFonts w:ascii="Arial" w:hAnsi="Arial"/>
                <w:sz w:val="16"/>
                <w:szCs w:val="18"/>
              </w:rPr>
              <w:t>Examine how to continue full implementation of, and give best effect to, the National Standards for out-of-home care in light of the Senate Inquiry Into Out-of-Home Care recommendations.</w:t>
            </w:r>
          </w:p>
        </w:tc>
        <w:tc>
          <w:tcPr>
            <w:tcW w:w="531" w:type="pct"/>
            <w:tcBorders>
              <w:top w:val="dotted" w:sz="8" w:space="0" w:color="7D7D7D" w:themeColor="text2"/>
              <w:left w:val="nil"/>
              <w:bottom w:val="dotted" w:sz="4" w:space="0" w:color="7D7D7D" w:themeColor="text2"/>
              <w:right w:val="nil"/>
            </w:tcBorders>
          </w:tcPr>
          <w:p w14:paraId="4E9F273F" w14:textId="77777777" w:rsidR="005066D3" w:rsidRPr="00D055DB" w:rsidRDefault="005066D3" w:rsidP="001D3D1F">
            <w:pPr>
              <w:pStyle w:val="TableTextSmall"/>
              <w:rPr>
                <w:sz w:val="20"/>
                <w:szCs w:val="20"/>
              </w:rPr>
            </w:pPr>
          </w:p>
        </w:tc>
        <w:tc>
          <w:tcPr>
            <w:tcW w:w="531" w:type="pct"/>
            <w:tcBorders>
              <w:top w:val="dotted" w:sz="8" w:space="0" w:color="7D7D7D" w:themeColor="text2"/>
              <w:left w:val="nil"/>
              <w:bottom w:val="dotted" w:sz="4" w:space="0" w:color="7D7D7D" w:themeColor="text2"/>
              <w:right w:val="nil"/>
            </w:tcBorders>
          </w:tcPr>
          <w:p w14:paraId="4AB17307" w14:textId="77777777" w:rsidR="005066D3" w:rsidRPr="00D055DB" w:rsidRDefault="005066D3" w:rsidP="001D3D1F">
            <w:pPr>
              <w:pStyle w:val="TableTextSmall"/>
              <w:rPr>
                <w:sz w:val="20"/>
                <w:szCs w:val="20"/>
              </w:rPr>
            </w:pPr>
          </w:p>
        </w:tc>
        <w:tc>
          <w:tcPr>
            <w:tcW w:w="531" w:type="pct"/>
            <w:tcBorders>
              <w:top w:val="dotted" w:sz="8" w:space="0" w:color="7D7D7D" w:themeColor="text2"/>
              <w:left w:val="nil"/>
              <w:bottom w:val="dotted" w:sz="4" w:space="0" w:color="7D7D7D" w:themeColor="text2"/>
              <w:right w:val="nil"/>
            </w:tcBorders>
          </w:tcPr>
          <w:p w14:paraId="1496B6E7" w14:textId="77777777" w:rsidR="005066D3" w:rsidRPr="00D055DB" w:rsidRDefault="005066D3" w:rsidP="001D3D1F">
            <w:pPr>
              <w:pStyle w:val="TableTextSmall"/>
              <w:rPr>
                <w:sz w:val="20"/>
                <w:szCs w:val="20"/>
              </w:rPr>
            </w:pPr>
          </w:p>
        </w:tc>
        <w:tc>
          <w:tcPr>
            <w:tcW w:w="535" w:type="pct"/>
            <w:tcBorders>
              <w:top w:val="dotted" w:sz="8" w:space="0" w:color="7D7D7D" w:themeColor="text2"/>
              <w:left w:val="nil"/>
              <w:bottom w:val="dotted" w:sz="4" w:space="0" w:color="7D7D7D" w:themeColor="text2"/>
              <w:right w:val="nil"/>
            </w:tcBorders>
          </w:tcPr>
          <w:p w14:paraId="74F369D9" w14:textId="77777777" w:rsidR="005066D3" w:rsidRPr="00D055DB" w:rsidRDefault="005066D3" w:rsidP="001D3D1F">
            <w:pPr>
              <w:pStyle w:val="TableTextSmall"/>
              <w:rPr>
                <w:sz w:val="20"/>
                <w:szCs w:val="20"/>
              </w:rPr>
            </w:pPr>
            <w:r w:rsidRPr="00D055DB">
              <w:rPr>
                <w:sz w:val="20"/>
                <w:szCs w:val="20"/>
              </w:rPr>
              <w:sym w:font="Wingdings" w:char="F0FC"/>
            </w:r>
          </w:p>
        </w:tc>
      </w:tr>
      <w:tr w:rsidR="005066D3" w:rsidRPr="002B7285" w14:paraId="4B639DE7" w14:textId="77777777" w:rsidTr="001D3D1F">
        <w:tc>
          <w:tcPr>
            <w:tcW w:w="240" w:type="pct"/>
            <w:tcBorders>
              <w:top w:val="dotted" w:sz="4" w:space="0" w:color="7D7D7D" w:themeColor="text2"/>
              <w:left w:val="nil"/>
              <w:bottom w:val="single" w:sz="4" w:space="0" w:color="7D7D7D" w:themeColor="text2"/>
              <w:right w:val="nil"/>
            </w:tcBorders>
          </w:tcPr>
          <w:p w14:paraId="1734F845" w14:textId="77777777" w:rsidR="005066D3" w:rsidRPr="002B7285" w:rsidRDefault="005066D3" w:rsidP="001D3D1F">
            <w:pPr>
              <w:spacing w:before="40" w:after="40"/>
              <w:rPr>
                <w:rFonts w:ascii="Arial" w:hAnsi="Arial"/>
                <w:b/>
                <w:sz w:val="16"/>
                <w:szCs w:val="18"/>
              </w:rPr>
            </w:pPr>
            <w:r>
              <w:rPr>
                <w:rFonts w:ascii="Arial" w:hAnsi="Arial"/>
                <w:b/>
                <w:sz w:val="16"/>
                <w:szCs w:val="18"/>
              </w:rPr>
              <w:t>17</w:t>
            </w:r>
          </w:p>
        </w:tc>
        <w:tc>
          <w:tcPr>
            <w:tcW w:w="2632" w:type="pct"/>
            <w:tcBorders>
              <w:top w:val="dotted" w:sz="4" w:space="0" w:color="7D7D7D" w:themeColor="text2"/>
              <w:left w:val="nil"/>
              <w:bottom w:val="single" w:sz="4" w:space="0" w:color="7D7D7D" w:themeColor="text2"/>
              <w:right w:val="nil"/>
            </w:tcBorders>
          </w:tcPr>
          <w:p w14:paraId="66252191"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 xml:space="preserve">Action: </w:t>
            </w:r>
            <w:r w:rsidRPr="002B7285">
              <w:rPr>
                <w:rFonts w:ascii="Arial" w:hAnsi="Arial"/>
                <w:sz w:val="16"/>
                <w:szCs w:val="18"/>
              </w:rPr>
              <w:t>Revitalise the Research Advisory Committee of the National Forum to develop a new research agenda.</w:t>
            </w:r>
          </w:p>
        </w:tc>
        <w:tc>
          <w:tcPr>
            <w:tcW w:w="531" w:type="pct"/>
            <w:tcBorders>
              <w:top w:val="dotted" w:sz="4" w:space="0" w:color="7D7D7D" w:themeColor="text2"/>
              <w:left w:val="nil"/>
              <w:bottom w:val="single" w:sz="4" w:space="0" w:color="7D7D7D" w:themeColor="text2"/>
              <w:right w:val="nil"/>
            </w:tcBorders>
          </w:tcPr>
          <w:p w14:paraId="3985A1DA" w14:textId="77777777" w:rsidR="005066D3" w:rsidRPr="002B7285" w:rsidRDefault="005066D3" w:rsidP="001D3D1F">
            <w:pPr>
              <w:pStyle w:val="TableTextSmall"/>
            </w:pPr>
            <w:r>
              <w:t>N/A</w:t>
            </w:r>
          </w:p>
        </w:tc>
        <w:tc>
          <w:tcPr>
            <w:tcW w:w="531" w:type="pct"/>
            <w:tcBorders>
              <w:top w:val="dotted" w:sz="4" w:space="0" w:color="7D7D7D" w:themeColor="text2"/>
              <w:left w:val="nil"/>
              <w:bottom w:val="single" w:sz="4" w:space="0" w:color="7D7D7D" w:themeColor="text2"/>
              <w:right w:val="nil"/>
            </w:tcBorders>
          </w:tcPr>
          <w:p w14:paraId="569EEA6E" w14:textId="77777777" w:rsidR="005066D3" w:rsidRPr="002B7285" w:rsidRDefault="005066D3" w:rsidP="001D3D1F">
            <w:pPr>
              <w:pStyle w:val="TableTextSmall"/>
            </w:pPr>
            <w:r>
              <w:t>N/A</w:t>
            </w:r>
          </w:p>
        </w:tc>
        <w:tc>
          <w:tcPr>
            <w:tcW w:w="531" w:type="pct"/>
            <w:tcBorders>
              <w:top w:val="dotted" w:sz="4" w:space="0" w:color="7D7D7D" w:themeColor="text2"/>
              <w:left w:val="nil"/>
              <w:bottom w:val="single" w:sz="4" w:space="0" w:color="7D7D7D" w:themeColor="text2"/>
              <w:right w:val="nil"/>
            </w:tcBorders>
          </w:tcPr>
          <w:p w14:paraId="29946DAE" w14:textId="77777777" w:rsidR="005066D3" w:rsidRPr="002B7285" w:rsidRDefault="005066D3" w:rsidP="001D3D1F">
            <w:pPr>
              <w:pStyle w:val="TableTextSmall"/>
            </w:pPr>
            <w:r>
              <w:t>N/A</w:t>
            </w:r>
          </w:p>
        </w:tc>
        <w:tc>
          <w:tcPr>
            <w:tcW w:w="535" w:type="pct"/>
            <w:tcBorders>
              <w:top w:val="dotted" w:sz="4" w:space="0" w:color="7D7D7D" w:themeColor="text2"/>
              <w:left w:val="nil"/>
              <w:bottom w:val="single" w:sz="4" w:space="0" w:color="7D7D7D" w:themeColor="text2"/>
              <w:right w:val="nil"/>
            </w:tcBorders>
          </w:tcPr>
          <w:p w14:paraId="3E407F62" w14:textId="77777777" w:rsidR="005066D3" w:rsidRPr="002B7285" w:rsidRDefault="005066D3" w:rsidP="001D3D1F">
            <w:pPr>
              <w:pStyle w:val="TableTextSmall"/>
            </w:pPr>
            <w:r>
              <w:t>N/A</w:t>
            </w:r>
          </w:p>
        </w:tc>
      </w:tr>
    </w:tbl>
    <w:bookmarkEnd w:id="304"/>
    <w:p w14:paraId="47AD95D0" w14:textId="2E4A96ED" w:rsidR="005066D3" w:rsidRDefault="003A7B63" w:rsidP="005066D3">
      <w:pPr>
        <w:pStyle w:val="Caption"/>
        <w:rPr>
          <w:bCs w:val="0"/>
          <w:color w:val="000000" w:themeColor="text1"/>
          <w:szCs w:val="20"/>
        </w:rPr>
      </w:pPr>
      <w:r>
        <w:rPr>
          <w:bCs w:val="0"/>
          <w:color w:val="000000" w:themeColor="text1"/>
          <w:szCs w:val="20"/>
        </w:rPr>
        <w:fldChar w:fldCharType="begin"/>
      </w:r>
      <w:r>
        <w:rPr>
          <w:bCs w:val="0"/>
          <w:color w:val="000000" w:themeColor="text1"/>
          <w:szCs w:val="20"/>
        </w:rPr>
        <w:instrText xml:space="preserve"> REF _Ref31294583 \h  \* MERGEFORMAT </w:instrText>
      </w:r>
      <w:r>
        <w:rPr>
          <w:bCs w:val="0"/>
          <w:color w:val="000000" w:themeColor="text1"/>
          <w:szCs w:val="20"/>
        </w:rPr>
      </w:r>
      <w:r>
        <w:rPr>
          <w:bCs w:val="0"/>
          <w:color w:val="000000" w:themeColor="text1"/>
          <w:szCs w:val="20"/>
        </w:rPr>
        <w:fldChar w:fldCharType="separate"/>
      </w:r>
      <w:r w:rsidR="00D75351" w:rsidRPr="00D75351">
        <w:rPr>
          <w:bCs w:val="0"/>
          <w:color w:val="000000" w:themeColor="text1"/>
          <w:szCs w:val="20"/>
        </w:rPr>
        <w:t>Table 22</w:t>
      </w:r>
      <w:r>
        <w:rPr>
          <w:bCs w:val="0"/>
          <w:color w:val="000000" w:themeColor="text1"/>
          <w:szCs w:val="20"/>
        </w:rPr>
        <w:fldChar w:fldCharType="end"/>
      </w:r>
      <w:r>
        <w:rPr>
          <w:bCs w:val="0"/>
          <w:color w:val="000000" w:themeColor="text1"/>
          <w:szCs w:val="20"/>
        </w:rPr>
        <w:t xml:space="preserve"> </w:t>
      </w:r>
      <w:r w:rsidR="005066D3" w:rsidRPr="00BB1F43">
        <w:rPr>
          <w:bCs w:val="0"/>
          <w:color w:val="000000" w:themeColor="text1"/>
          <w:szCs w:val="20"/>
        </w:rPr>
        <w:t xml:space="preserve">maps the signature actions in the </w:t>
      </w:r>
      <w:r w:rsidR="009F64F4">
        <w:rPr>
          <w:bCs w:val="0"/>
          <w:color w:val="000000" w:themeColor="text1"/>
          <w:szCs w:val="20"/>
        </w:rPr>
        <w:t xml:space="preserve">Fourth </w:t>
      </w:r>
      <w:r w:rsidR="005066D3" w:rsidRPr="00BB1F43">
        <w:rPr>
          <w:bCs w:val="0"/>
          <w:color w:val="000000" w:themeColor="text1"/>
          <w:szCs w:val="20"/>
        </w:rPr>
        <w:t>Action Plan against the child protection public health model.</w:t>
      </w:r>
    </w:p>
    <w:p w14:paraId="69591FCE" w14:textId="3AC0290D" w:rsidR="005066D3" w:rsidRDefault="005066D3" w:rsidP="005066D3">
      <w:pPr>
        <w:pStyle w:val="Caption"/>
      </w:pPr>
      <w:bookmarkStart w:id="305" w:name="_Ref31294583"/>
      <w:r>
        <w:t xml:space="preserve">Table </w:t>
      </w:r>
      <w:fldSimple w:instr=" SEQ Table \* ARABIC ">
        <w:r w:rsidR="00D75351">
          <w:rPr>
            <w:noProof/>
          </w:rPr>
          <w:t>22</w:t>
        </w:r>
      </w:fldSimple>
      <w:bookmarkEnd w:id="305"/>
      <w:r>
        <w:t>: Fourth Action Plan actions mapped against the public health model</w:t>
      </w:r>
    </w:p>
    <w:tbl>
      <w:tblPr>
        <w:tblStyle w:val="PwCColour"/>
        <w:tblW w:w="5000" w:type="pct"/>
        <w:tblLook w:val="04A0" w:firstRow="1" w:lastRow="0" w:firstColumn="1" w:lastColumn="0" w:noHBand="0" w:noVBand="1"/>
        <w:tblCaption w:val="Table 22: Fourth Action Plan actions mapped against the public health model"/>
        <w:tblDescription w:val="Priority area 1: Improving outcomes for Aboriginal and Torres Strait Islander children at risk of entering, or in contact with, child protection systems&#10;1. Signature Action: Actively implement legislation, policy and/or practice to ensure compliance with the five elements of the Aboriginal and Torres Strait Islander Child Placement Principle is mapped to the targeted and statutory sections of the public health model.&#10;2. Signature Action: Identify and share models that have been shown to improve Aboriginal and Torres Strait Islander participation in decision-making processes for children and families at risk of entering, or in contact with, child protection systems is mapped to the targeted and statutory sections of the public health model.&#10;3. Signature Action: Develop a nationally consistent approach to measuring the application of the five elements of the Aboriginal and Torres Strait Islander Child Placement Principle is not applicable to being mapped to sections of the public health model.&#10;4. Signature Action: Develop national principles to support the investment, expansion and development of Aboriginal Community Controlled Organisations and Aboriginal and Torres Strait Islander managed services to deliver family support and child protection services is mapped to the statutory section of the public health model.&#10;5. Signature Action: Develop a nationally consistent and comparable approach to report on state and territory government support for Aboriginal Community Controlled Organisations and Aboriginal and Torres Strait Islander managed services to deliver family support and child protection services is not applicable to being mapped to sections of the public health model.&#10;Priority Area 2: Improving prevention and early intervention through joint service planning and investment&#10;6. Signature Action: Jointly invest in 10 disadvantaged communities across Australia to implement a place-based, collective impact initiative that focuses on interrupting the cycle of childhood vulnerability and poverty is mapped to the early section of the public health model.&#10;7. Signature Action: Continue efforts to develop and strengthen support for young people transitioning from out-of-home care into adulthood and improve priority access to support services is mapped to the statutory section of the public health model.&#10;8. Signature Action: Undertake research into what works to address key drivers of entry into child protection systems is mapped to the early and targeted sections of the public health model.&#10;Priority Area 3: Improving outcomes for children in out of home care by enhancing placement stability through reunification and other permanent care options&#10;9. Signature Action: Develop a national data reporting and evaluation framework to measure permanency outcomes is not applicable to being mapped to sections of the public health model.&#10;10. Signature Action: Further promote: &#10;a) timely and consistent decision-making for permanency&#10;b) better permanency options, including consistent processes for family reunification to be explored and resolved as part of permanency planning is mapped to the statutory section of the public health model.&#10;11. Signature Action: Develop an approach to recruitment, training and support of more permanent carers, including improving workforce capability to support carers, by state and territory and Commonwealth governments is mapped to the statutory section of the public health model.&#10;Priority Area 4: Improving organisations’ and governments’ ability to keep children and young people safe from abuse&#10;12. Signature Action: Support the promotion of the National Principles for Child Safe Organisations, subject to agreement by the COAG is mapped to the universal section of the public health model.&#10;13. Signature Action: Building on the work of the Child Protection Information Sharing Project, the states and territories will improve protocols and procedures to share child protection related information between jurisdictions, including information on the support needs of children and families in child protection systems is mapped to the targeted and statutory sections of the public health model.&#10;"/>
      </w:tblPr>
      <w:tblGrid>
        <w:gridCol w:w="474"/>
        <w:gridCol w:w="5185"/>
        <w:gridCol w:w="1046"/>
        <w:gridCol w:w="1047"/>
        <w:gridCol w:w="1047"/>
        <w:gridCol w:w="1056"/>
      </w:tblGrid>
      <w:tr w:rsidR="005066D3" w14:paraId="6636AB9F" w14:textId="77777777" w:rsidTr="001D3D1F">
        <w:trPr>
          <w:cnfStyle w:val="100000000000" w:firstRow="1" w:lastRow="0" w:firstColumn="0" w:lastColumn="0" w:oddVBand="0" w:evenVBand="0" w:oddHBand="0" w:evenHBand="0" w:firstRowFirstColumn="0" w:firstRowLastColumn="0" w:lastRowFirstColumn="0" w:lastRowLastColumn="0"/>
          <w:trHeight w:val="121"/>
        </w:trPr>
        <w:tc>
          <w:tcPr>
            <w:cnfStyle w:val="000000000100" w:firstRow="0" w:lastRow="0" w:firstColumn="0" w:lastColumn="0" w:oddVBand="0" w:evenVBand="0" w:oddHBand="0" w:evenHBand="0" w:firstRowFirstColumn="1" w:firstRowLastColumn="0" w:lastRowFirstColumn="0" w:lastRowLastColumn="0"/>
            <w:tcW w:w="240" w:type="pct"/>
            <w:vAlign w:val="center"/>
          </w:tcPr>
          <w:p w14:paraId="1B261A79" w14:textId="77777777" w:rsidR="005066D3" w:rsidRDefault="005066D3" w:rsidP="001D3D1F">
            <w:pPr>
              <w:pStyle w:val="TableColumnHeadingSmall"/>
            </w:pPr>
            <w:bookmarkStart w:id="306" w:name="_Hlk36569114"/>
            <w:r>
              <w:t>No.</w:t>
            </w:r>
          </w:p>
        </w:tc>
        <w:tc>
          <w:tcPr>
            <w:tcW w:w="2631" w:type="pct"/>
            <w:vAlign w:val="center"/>
          </w:tcPr>
          <w:p w14:paraId="1FD2585E" w14:textId="77777777" w:rsidR="005066D3" w:rsidRPr="002B7285" w:rsidRDefault="005066D3" w:rsidP="001D3D1F">
            <w:pPr>
              <w:pStyle w:val="TableColumnHeadingSmall"/>
              <w:cnfStyle w:val="100000000000" w:firstRow="1" w:lastRow="0" w:firstColumn="0" w:lastColumn="0" w:oddVBand="0" w:evenVBand="0" w:oddHBand="0" w:evenHBand="0" w:firstRowFirstColumn="0" w:firstRowLastColumn="0" w:lastRowFirstColumn="0" w:lastRowLastColumn="0"/>
            </w:pPr>
            <w:r>
              <w:t>Signature action</w:t>
            </w:r>
          </w:p>
        </w:tc>
        <w:tc>
          <w:tcPr>
            <w:tcW w:w="531" w:type="pct"/>
          </w:tcPr>
          <w:p w14:paraId="6394E1C4" w14:textId="77777777" w:rsidR="005066D3" w:rsidRDefault="005066D3" w:rsidP="001D3D1F">
            <w:pPr>
              <w:pStyle w:val="TableColumnHeadingSmall"/>
              <w:cnfStyle w:val="100000000000" w:firstRow="1" w:lastRow="0" w:firstColumn="0" w:lastColumn="0" w:oddVBand="0" w:evenVBand="0" w:oddHBand="0" w:evenHBand="0" w:firstRowFirstColumn="0" w:firstRowLastColumn="0" w:lastRowFirstColumn="0" w:lastRowLastColumn="0"/>
            </w:pPr>
            <w:r>
              <w:t>Universal</w:t>
            </w:r>
          </w:p>
        </w:tc>
        <w:tc>
          <w:tcPr>
            <w:tcW w:w="531" w:type="pct"/>
          </w:tcPr>
          <w:p w14:paraId="61A61150" w14:textId="77777777" w:rsidR="005066D3" w:rsidRDefault="005066D3" w:rsidP="001D3D1F">
            <w:pPr>
              <w:pStyle w:val="TableColumnHeadingSmall"/>
              <w:cnfStyle w:val="100000000000" w:firstRow="1" w:lastRow="0" w:firstColumn="0" w:lastColumn="0" w:oddVBand="0" w:evenVBand="0" w:oddHBand="0" w:evenHBand="0" w:firstRowFirstColumn="0" w:firstRowLastColumn="0" w:lastRowFirstColumn="0" w:lastRowLastColumn="0"/>
            </w:pPr>
            <w:r>
              <w:t>Early</w:t>
            </w:r>
          </w:p>
        </w:tc>
        <w:tc>
          <w:tcPr>
            <w:tcW w:w="531" w:type="pct"/>
          </w:tcPr>
          <w:p w14:paraId="3AF32698" w14:textId="77777777" w:rsidR="005066D3" w:rsidRDefault="005066D3" w:rsidP="001D3D1F">
            <w:pPr>
              <w:pStyle w:val="TableColumnHeadingSmall"/>
              <w:cnfStyle w:val="100000000000" w:firstRow="1" w:lastRow="0" w:firstColumn="0" w:lastColumn="0" w:oddVBand="0" w:evenVBand="0" w:oddHBand="0" w:evenHBand="0" w:firstRowFirstColumn="0" w:firstRowLastColumn="0" w:lastRowFirstColumn="0" w:lastRowLastColumn="0"/>
            </w:pPr>
            <w:r>
              <w:t>Targeted</w:t>
            </w:r>
          </w:p>
        </w:tc>
        <w:tc>
          <w:tcPr>
            <w:tcW w:w="536" w:type="pct"/>
          </w:tcPr>
          <w:p w14:paraId="1D1C6AB7" w14:textId="77777777" w:rsidR="005066D3" w:rsidRDefault="005066D3" w:rsidP="001D3D1F">
            <w:pPr>
              <w:pStyle w:val="TableColumnHeadingSmall"/>
              <w:cnfStyle w:val="100000000000" w:firstRow="1" w:lastRow="0" w:firstColumn="0" w:lastColumn="0" w:oddVBand="0" w:evenVBand="0" w:oddHBand="0" w:evenHBand="0" w:firstRowFirstColumn="0" w:firstRowLastColumn="0" w:lastRowFirstColumn="0" w:lastRowLastColumn="0"/>
            </w:pPr>
            <w:r>
              <w:t>Statutory</w:t>
            </w:r>
          </w:p>
        </w:tc>
      </w:tr>
      <w:tr w:rsidR="005066D3" w:rsidRPr="002B7285" w14:paraId="1C91F323" w14:textId="77777777" w:rsidTr="001D3D1F">
        <w:tc>
          <w:tcPr>
            <w:tcW w:w="5000" w:type="pct"/>
            <w:gridSpan w:val="6"/>
            <w:tcBorders>
              <w:top w:val="single" w:sz="4" w:space="0" w:color="EB8C00" w:themeColor="accent4"/>
              <w:bottom w:val="dotted" w:sz="8" w:space="0" w:color="7D7D7D" w:themeColor="text2"/>
            </w:tcBorders>
            <w:shd w:val="clear" w:color="auto" w:fill="E5E5E5" w:themeFill="text2" w:themeFillTint="33"/>
          </w:tcPr>
          <w:p w14:paraId="5A62D4FE" w14:textId="77777777" w:rsidR="005066D3" w:rsidRPr="002B7285" w:rsidRDefault="005066D3" w:rsidP="001D3D1F">
            <w:pPr>
              <w:spacing w:before="40" w:after="40"/>
              <w:rPr>
                <w:rFonts w:ascii="Arial" w:hAnsi="Arial"/>
                <w:b/>
                <w:i/>
                <w:sz w:val="16"/>
                <w:szCs w:val="18"/>
              </w:rPr>
            </w:pPr>
            <w:r w:rsidRPr="002B7285">
              <w:rPr>
                <w:rFonts w:ascii="Arial" w:hAnsi="Arial"/>
                <w:b/>
                <w:i/>
                <w:sz w:val="16"/>
                <w:szCs w:val="18"/>
              </w:rPr>
              <w:t>Priority area 1:</w:t>
            </w:r>
            <w:r w:rsidRPr="002B7285">
              <w:rPr>
                <w:rFonts w:ascii="Arial" w:hAnsi="Arial"/>
                <w:i/>
                <w:sz w:val="16"/>
                <w:szCs w:val="18"/>
              </w:rPr>
              <w:t xml:space="preserve"> Improving outcomes for Aboriginal and Torres Strait Islander children at risk of entering, or in contact with, child protection systems</w:t>
            </w:r>
          </w:p>
        </w:tc>
      </w:tr>
      <w:tr w:rsidR="005066D3" w:rsidRPr="002B7285" w14:paraId="1300CA82" w14:textId="77777777" w:rsidTr="001D3D1F">
        <w:tc>
          <w:tcPr>
            <w:tcW w:w="240" w:type="pct"/>
            <w:tcBorders>
              <w:top w:val="dotted" w:sz="8" w:space="0" w:color="7D7D7D" w:themeColor="text2"/>
              <w:left w:val="nil"/>
              <w:bottom w:val="dotted" w:sz="8" w:space="0" w:color="7D7D7D" w:themeColor="text2"/>
              <w:right w:val="nil"/>
            </w:tcBorders>
          </w:tcPr>
          <w:p w14:paraId="2629378B" w14:textId="77777777" w:rsidR="005066D3" w:rsidRPr="002B7285" w:rsidRDefault="005066D3" w:rsidP="001D3D1F">
            <w:pPr>
              <w:spacing w:before="40" w:after="40"/>
              <w:rPr>
                <w:rFonts w:ascii="Arial" w:hAnsi="Arial"/>
                <w:b/>
                <w:sz w:val="16"/>
                <w:szCs w:val="18"/>
              </w:rPr>
            </w:pPr>
            <w:r>
              <w:rPr>
                <w:rFonts w:ascii="Arial" w:hAnsi="Arial"/>
                <w:b/>
                <w:sz w:val="16"/>
                <w:szCs w:val="18"/>
              </w:rPr>
              <w:t>1</w:t>
            </w:r>
          </w:p>
        </w:tc>
        <w:tc>
          <w:tcPr>
            <w:tcW w:w="2631" w:type="pct"/>
            <w:tcBorders>
              <w:top w:val="dotted" w:sz="8" w:space="0" w:color="7D7D7D" w:themeColor="text2"/>
              <w:left w:val="nil"/>
              <w:bottom w:val="dotted" w:sz="8" w:space="0" w:color="7D7D7D" w:themeColor="text2"/>
              <w:right w:val="nil"/>
            </w:tcBorders>
          </w:tcPr>
          <w:p w14:paraId="1644A152" w14:textId="77777777" w:rsidR="005066D3" w:rsidRPr="002B7285" w:rsidRDefault="005066D3" w:rsidP="001D3D1F">
            <w:pPr>
              <w:spacing w:before="40" w:after="40"/>
              <w:rPr>
                <w:rFonts w:ascii="Arial" w:hAnsi="Arial"/>
                <w:sz w:val="16"/>
                <w:szCs w:val="18"/>
              </w:rPr>
            </w:pPr>
            <w:r w:rsidRPr="002B7285">
              <w:rPr>
                <w:rFonts w:ascii="Arial" w:hAnsi="Arial"/>
                <w:b/>
                <w:sz w:val="16"/>
                <w:szCs w:val="18"/>
              </w:rPr>
              <w:t xml:space="preserve">Action: </w:t>
            </w:r>
            <w:r w:rsidRPr="002B7285">
              <w:rPr>
                <w:rFonts w:ascii="Arial" w:hAnsi="Arial"/>
                <w:sz w:val="16"/>
                <w:szCs w:val="18"/>
              </w:rPr>
              <w:t>Actively implement legislation, policy and/or practice to ensure compliance with the five elements of the Aboriginal and Torres Strait Islander Child Placement Principle.</w:t>
            </w:r>
          </w:p>
        </w:tc>
        <w:tc>
          <w:tcPr>
            <w:tcW w:w="531" w:type="pct"/>
            <w:tcBorders>
              <w:top w:val="dotted" w:sz="8" w:space="0" w:color="7D7D7D" w:themeColor="text2"/>
              <w:left w:val="nil"/>
              <w:bottom w:val="dotted" w:sz="8" w:space="0" w:color="7D7D7D" w:themeColor="text2"/>
              <w:right w:val="nil"/>
            </w:tcBorders>
          </w:tcPr>
          <w:p w14:paraId="61ED87C0" w14:textId="77777777" w:rsidR="005066D3" w:rsidRPr="00D055DB" w:rsidRDefault="005066D3" w:rsidP="001D3D1F">
            <w:pPr>
              <w:pStyle w:val="TableTextSmall"/>
              <w:rPr>
                <w:sz w:val="20"/>
                <w:szCs w:val="20"/>
              </w:rPr>
            </w:pPr>
          </w:p>
        </w:tc>
        <w:tc>
          <w:tcPr>
            <w:tcW w:w="531" w:type="pct"/>
            <w:tcBorders>
              <w:top w:val="dotted" w:sz="8" w:space="0" w:color="7D7D7D" w:themeColor="text2"/>
              <w:left w:val="nil"/>
              <w:bottom w:val="dotted" w:sz="8" w:space="0" w:color="7D7D7D" w:themeColor="text2"/>
              <w:right w:val="nil"/>
            </w:tcBorders>
          </w:tcPr>
          <w:p w14:paraId="707DBD18" w14:textId="77777777" w:rsidR="005066D3" w:rsidRPr="00D055DB" w:rsidRDefault="005066D3" w:rsidP="001D3D1F">
            <w:pPr>
              <w:pStyle w:val="TableTextSmall"/>
              <w:rPr>
                <w:sz w:val="20"/>
                <w:szCs w:val="20"/>
              </w:rPr>
            </w:pPr>
          </w:p>
        </w:tc>
        <w:tc>
          <w:tcPr>
            <w:tcW w:w="531" w:type="pct"/>
            <w:tcBorders>
              <w:top w:val="dotted" w:sz="8" w:space="0" w:color="7D7D7D" w:themeColor="text2"/>
              <w:left w:val="nil"/>
              <w:bottom w:val="dotted" w:sz="8" w:space="0" w:color="7D7D7D" w:themeColor="text2"/>
              <w:right w:val="nil"/>
            </w:tcBorders>
          </w:tcPr>
          <w:p w14:paraId="22CC3496" w14:textId="77777777" w:rsidR="005066D3" w:rsidRPr="00D055DB" w:rsidRDefault="009F64F4" w:rsidP="001D3D1F">
            <w:pPr>
              <w:pStyle w:val="TableTextSmall"/>
              <w:rPr>
                <w:sz w:val="20"/>
                <w:szCs w:val="20"/>
              </w:rPr>
            </w:pPr>
            <w:r w:rsidRPr="00D055DB">
              <w:rPr>
                <w:sz w:val="20"/>
                <w:szCs w:val="20"/>
              </w:rPr>
              <w:sym w:font="Wingdings" w:char="F0FC"/>
            </w:r>
          </w:p>
        </w:tc>
        <w:tc>
          <w:tcPr>
            <w:tcW w:w="536" w:type="pct"/>
            <w:tcBorders>
              <w:top w:val="dotted" w:sz="8" w:space="0" w:color="7D7D7D" w:themeColor="text2"/>
              <w:left w:val="nil"/>
              <w:bottom w:val="dotted" w:sz="8" w:space="0" w:color="7D7D7D" w:themeColor="text2"/>
              <w:right w:val="nil"/>
            </w:tcBorders>
          </w:tcPr>
          <w:p w14:paraId="0F0A2381" w14:textId="77777777" w:rsidR="005066D3" w:rsidRPr="00D055DB" w:rsidRDefault="005066D3" w:rsidP="001D3D1F">
            <w:pPr>
              <w:pStyle w:val="TableTextSmall"/>
              <w:rPr>
                <w:sz w:val="20"/>
                <w:szCs w:val="20"/>
              </w:rPr>
            </w:pPr>
            <w:r w:rsidRPr="00D055DB">
              <w:rPr>
                <w:sz w:val="20"/>
                <w:szCs w:val="20"/>
              </w:rPr>
              <w:sym w:font="Wingdings" w:char="F0FC"/>
            </w:r>
          </w:p>
        </w:tc>
      </w:tr>
      <w:tr w:rsidR="005066D3" w14:paraId="603E182D" w14:textId="77777777" w:rsidTr="001D3D1F">
        <w:tc>
          <w:tcPr>
            <w:tcW w:w="240" w:type="pct"/>
            <w:tcBorders>
              <w:top w:val="dotted" w:sz="8" w:space="0" w:color="7D7D7D" w:themeColor="text2"/>
              <w:left w:val="nil"/>
              <w:bottom w:val="dotted" w:sz="8" w:space="0" w:color="7D7D7D" w:themeColor="text2"/>
              <w:right w:val="nil"/>
            </w:tcBorders>
          </w:tcPr>
          <w:p w14:paraId="20658B03" w14:textId="77777777" w:rsidR="005066D3" w:rsidRPr="002B7285" w:rsidRDefault="005066D3" w:rsidP="001D3D1F">
            <w:pPr>
              <w:spacing w:before="40" w:after="40"/>
              <w:rPr>
                <w:rFonts w:ascii="Arial" w:hAnsi="Arial"/>
                <w:b/>
                <w:sz w:val="16"/>
                <w:szCs w:val="18"/>
              </w:rPr>
            </w:pPr>
            <w:r>
              <w:rPr>
                <w:rFonts w:ascii="Arial" w:hAnsi="Arial"/>
                <w:b/>
                <w:sz w:val="16"/>
                <w:szCs w:val="18"/>
              </w:rPr>
              <w:t>2</w:t>
            </w:r>
          </w:p>
        </w:tc>
        <w:tc>
          <w:tcPr>
            <w:tcW w:w="2631" w:type="pct"/>
            <w:tcBorders>
              <w:top w:val="dotted" w:sz="8" w:space="0" w:color="7D7D7D" w:themeColor="text2"/>
              <w:left w:val="nil"/>
              <w:bottom w:val="dotted" w:sz="8" w:space="0" w:color="7D7D7D" w:themeColor="text2"/>
              <w:right w:val="nil"/>
            </w:tcBorders>
          </w:tcPr>
          <w:p w14:paraId="7292A4E3"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 xml:space="preserve">Action: </w:t>
            </w:r>
            <w:r w:rsidRPr="002B7285">
              <w:rPr>
                <w:rFonts w:ascii="Arial" w:hAnsi="Arial"/>
                <w:sz w:val="16"/>
                <w:szCs w:val="18"/>
              </w:rPr>
              <w:t xml:space="preserve">Identify and share models that have been shown to improve Aboriginal and Torres Strait Islander participation in decision-making processes for children and families at risk of entering, or in contact with, child protection systems. </w:t>
            </w:r>
          </w:p>
        </w:tc>
        <w:tc>
          <w:tcPr>
            <w:tcW w:w="531" w:type="pct"/>
            <w:tcBorders>
              <w:top w:val="dotted" w:sz="8" w:space="0" w:color="7D7D7D" w:themeColor="text2"/>
              <w:left w:val="nil"/>
              <w:bottom w:val="dotted" w:sz="8" w:space="0" w:color="7D7D7D" w:themeColor="text2"/>
              <w:right w:val="nil"/>
            </w:tcBorders>
          </w:tcPr>
          <w:p w14:paraId="7ECC9E82" w14:textId="77777777" w:rsidR="005066D3" w:rsidRPr="00D055DB" w:rsidRDefault="005066D3" w:rsidP="001D3D1F">
            <w:pPr>
              <w:pStyle w:val="TableTextSmall"/>
              <w:rPr>
                <w:sz w:val="20"/>
                <w:szCs w:val="20"/>
              </w:rPr>
            </w:pPr>
          </w:p>
        </w:tc>
        <w:tc>
          <w:tcPr>
            <w:tcW w:w="531" w:type="pct"/>
            <w:tcBorders>
              <w:top w:val="dotted" w:sz="8" w:space="0" w:color="7D7D7D" w:themeColor="text2"/>
              <w:left w:val="nil"/>
              <w:bottom w:val="dotted" w:sz="8" w:space="0" w:color="7D7D7D" w:themeColor="text2"/>
              <w:right w:val="nil"/>
            </w:tcBorders>
          </w:tcPr>
          <w:p w14:paraId="0AE9DFC9" w14:textId="77777777" w:rsidR="005066D3" w:rsidRPr="00D055DB" w:rsidRDefault="005066D3" w:rsidP="001D3D1F">
            <w:pPr>
              <w:pStyle w:val="TableTextSmall"/>
              <w:rPr>
                <w:sz w:val="20"/>
                <w:szCs w:val="20"/>
              </w:rPr>
            </w:pPr>
          </w:p>
        </w:tc>
        <w:tc>
          <w:tcPr>
            <w:tcW w:w="531" w:type="pct"/>
            <w:tcBorders>
              <w:top w:val="dotted" w:sz="8" w:space="0" w:color="7D7D7D" w:themeColor="text2"/>
              <w:left w:val="nil"/>
              <w:bottom w:val="dotted" w:sz="8" w:space="0" w:color="7D7D7D" w:themeColor="text2"/>
              <w:right w:val="nil"/>
            </w:tcBorders>
          </w:tcPr>
          <w:p w14:paraId="493ACD8D" w14:textId="77777777" w:rsidR="005066D3" w:rsidRPr="00D055DB" w:rsidRDefault="005066D3" w:rsidP="001D3D1F">
            <w:pPr>
              <w:pStyle w:val="TableTextSmall"/>
              <w:rPr>
                <w:sz w:val="20"/>
                <w:szCs w:val="20"/>
              </w:rPr>
            </w:pPr>
            <w:r w:rsidRPr="00D055DB">
              <w:rPr>
                <w:sz w:val="20"/>
                <w:szCs w:val="20"/>
              </w:rPr>
              <w:sym w:font="Wingdings" w:char="F0FC"/>
            </w:r>
          </w:p>
        </w:tc>
        <w:tc>
          <w:tcPr>
            <w:tcW w:w="536" w:type="pct"/>
            <w:tcBorders>
              <w:top w:val="dotted" w:sz="8" w:space="0" w:color="7D7D7D" w:themeColor="text2"/>
              <w:left w:val="nil"/>
              <w:bottom w:val="dotted" w:sz="8" w:space="0" w:color="7D7D7D" w:themeColor="text2"/>
              <w:right w:val="nil"/>
            </w:tcBorders>
          </w:tcPr>
          <w:p w14:paraId="6FEC8884" w14:textId="77777777" w:rsidR="005066D3" w:rsidRPr="00D055DB" w:rsidRDefault="005066D3" w:rsidP="001D3D1F">
            <w:pPr>
              <w:pStyle w:val="TableTextSmall"/>
              <w:rPr>
                <w:sz w:val="20"/>
                <w:szCs w:val="20"/>
              </w:rPr>
            </w:pPr>
            <w:r w:rsidRPr="00D055DB">
              <w:rPr>
                <w:sz w:val="20"/>
                <w:szCs w:val="20"/>
              </w:rPr>
              <w:sym w:font="Wingdings" w:char="F0FC"/>
            </w:r>
          </w:p>
        </w:tc>
      </w:tr>
      <w:tr w:rsidR="005066D3" w14:paraId="13631174" w14:textId="77777777" w:rsidTr="001D3D1F">
        <w:tc>
          <w:tcPr>
            <w:tcW w:w="240" w:type="pct"/>
            <w:tcBorders>
              <w:top w:val="dotted" w:sz="8" w:space="0" w:color="7D7D7D" w:themeColor="text2"/>
              <w:left w:val="nil"/>
              <w:bottom w:val="dotted" w:sz="8" w:space="0" w:color="7D7D7D" w:themeColor="text2"/>
              <w:right w:val="nil"/>
            </w:tcBorders>
          </w:tcPr>
          <w:p w14:paraId="493269A9" w14:textId="77777777" w:rsidR="005066D3" w:rsidRDefault="005066D3" w:rsidP="001D3D1F">
            <w:pPr>
              <w:spacing w:before="40" w:after="40"/>
              <w:rPr>
                <w:rFonts w:ascii="Arial" w:hAnsi="Arial"/>
                <w:b/>
                <w:sz w:val="16"/>
                <w:szCs w:val="18"/>
              </w:rPr>
            </w:pPr>
            <w:r>
              <w:rPr>
                <w:rFonts w:ascii="Arial" w:hAnsi="Arial"/>
                <w:b/>
                <w:sz w:val="16"/>
                <w:szCs w:val="18"/>
              </w:rPr>
              <w:t>3</w:t>
            </w:r>
          </w:p>
        </w:tc>
        <w:tc>
          <w:tcPr>
            <w:tcW w:w="2631" w:type="pct"/>
            <w:tcBorders>
              <w:top w:val="dotted" w:sz="8" w:space="0" w:color="7D7D7D" w:themeColor="text2"/>
              <w:left w:val="nil"/>
              <w:bottom w:val="dotted" w:sz="8" w:space="0" w:color="7D7D7D" w:themeColor="text2"/>
              <w:right w:val="nil"/>
            </w:tcBorders>
          </w:tcPr>
          <w:p w14:paraId="2E0C6724"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Action:</w:t>
            </w:r>
            <w:r w:rsidRPr="002B7285">
              <w:rPr>
                <w:rFonts w:ascii="Arial" w:hAnsi="Arial"/>
                <w:sz w:val="16"/>
                <w:szCs w:val="18"/>
              </w:rPr>
              <w:t xml:space="preserve"> Develop a nationally consistent approach to measuring the application of the five elements of the Aboriginal and Torres Strait Islander Child Placement Principle.</w:t>
            </w:r>
          </w:p>
        </w:tc>
        <w:tc>
          <w:tcPr>
            <w:tcW w:w="531" w:type="pct"/>
            <w:tcBorders>
              <w:top w:val="dotted" w:sz="8" w:space="0" w:color="7D7D7D" w:themeColor="text2"/>
              <w:left w:val="nil"/>
              <w:bottom w:val="dotted" w:sz="8" w:space="0" w:color="7D7D7D" w:themeColor="text2"/>
              <w:right w:val="nil"/>
            </w:tcBorders>
          </w:tcPr>
          <w:p w14:paraId="2CDD9563" w14:textId="77777777" w:rsidR="005066D3" w:rsidRDefault="005066D3" w:rsidP="001D3D1F">
            <w:pPr>
              <w:pStyle w:val="TableTextSmall"/>
            </w:pPr>
            <w:r>
              <w:t>N/A</w:t>
            </w:r>
          </w:p>
        </w:tc>
        <w:tc>
          <w:tcPr>
            <w:tcW w:w="531" w:type="pct"/>
            <w:tcBorders>
              <w:top w:val="dotted" w:sz="8" w:space="0" w:color="7D7D7D" w:themeColor="text2"/>
              <w:left w:val="nil"/>
              <w:bottom w:val="dotted" w:sz="8" w:space="0" w:color="7D7D7D" w:themeColor="text2"/>
              <w:right w:val="nil"/>
            </w:tcBorders>
          </w:tcPr>
          <w:p w14:paraId="4BB8D17A" w14:textId="77777777" w:rsidR="005066D3" w:rsidRDefault="005066D3" w:rsidP="001D3D1F">
            <w:pPr>
              <w:pStyle w:val="TableTextSmall"/>
            </w:pPr>
            <w:r>
              <w:t>N/A</w:t>
            </w:r>
          </w:p>
        </w:tc>
        <w:tc>
          <w:tcPr>
            <w:tcW w:w="531" w:type="pct"/>
            <w:tcBorders>
              <w:top w:val="dotted" w:sz="8" w:space="0" w:color="7D7D7D" w:themeColor="text2"/>
              <w:left w:val="nil"/>
              <w:bottom w:val="dotted" w:sz="8" w:space="0" w:color="7D7D7D" w:themeColor="text2"/>
              <w:right w:val="nil"/>
            </w:tcBorders>
          </w:tcPr>
          <w:p w14:paraId="0C491F59" w14:textId="77777777" w:rsidR="005066D3" w:rsidRDefault="005066D3" w:rsidP="001D3D1F">
            <w:pPr>
              <w:pStyle w:val="TableTextSmall"/>
            </w:pPr>
            <w:r>
              <w:t>N/A</w:t>
            </w:r>
          </w:p>
        </w:tc>
        <w:tc>
          <w:tcPr>
            <w:tcW w:w="536" w:type="pct"/>
            <w:tcBorders>
              <w:top w:val="dotted" w:sz="8" w:space="0" w:color="7D7D7D" w:themeColor="text2"/>
              <w:left w:val="nil"/>
              <w:bottom w:val="dotted" w:sz="8" w:space="0" w:color="7D7D7D" w:themeColor="text2"/>
              <w:right w:val="nil"/>
            </w:tcBorders>
          </w:tcPr>
          <w:p w14:paraId="6C444DA1" w14:textId="77777777" w:rsidR="005066D3" w:rsidRDefault="005066D3" w:rsidP="001D3D1F">
            <w:pPr>
              <w:pStyle w:val="TableTextSmall"/>
            </w:pPr>
            <w:r>
              <w:t>N/A</w:t>
            </w:r>
          </w:p>
        </w:tc>
      </w:tr>
      <w:tr w:rsidR="005066D3" w14:paraId="7523AABD" w14:textId="77777777" w:rsidTr="001D3D1F">
        <w:tc>
          <w:tcPr>
            <w:tcW w:w="240" w:type="pct"/>
            <w:tcBorders>
              <w:top w:val="dotted" w:sz="8" w:space="0" w:color="7D7D7D" w:themeColor="text2"/>
              <w:left w:val="nil"/>
              <w:bottom w:val="dotted" w:sz="8" w:space="0" w:color="7D7D7D" w:themeColor="text2"/>
              <w:right w:val="nil"/>
            </w:tcBorders>
          </w:tcPr>
          <w:p w14:paraId="5AA13B46" w14:textId="77777777" w:rsidR="005066D3" w:rsidRDefault="005066D3" w:rsidP="001D3D1F">
            <w:pPr>
              <w:spacing w:before="40" w:after="40"/>
              <w:rPr>
                <w:rFonts w:ascii="Arial" w:hAnsi="Arial"/>
                <w:b/>
                <w:sz w:val="16"/>
                <w:szCs w:val="18"/>
              </w:rPr>
            </w:pPr>
            <w:r>
              <w:rPr>
                <w:rFonts w:ascii="Arial" w:hAnsi="Arial"/>
                <w:b/>
                <w:sz w:val="16"/>
                <w:szCs w:val="18"/>
              </w:rPr>
              <w:t>4</w:t>
            </w:r>
          </w:p>
        </w:tc>
        <w:tc>
          <w:tcPr>
            <w:tcW w:w="2631" w:type="pct"/>
            <w:tcBorders>
              <w:top w:val="dotted" w:sz="8" w:space="0" w:color="7D7D7D" w:themeColor="text2"/>
              <w:left w:val="nil"/>
              <w:bottom w:val="dotted" w:sz="8" w:space="0" w:color="7D7D7D" w:themeColor="text2"/>
              <w:right w:val="nil"/>
            </w:tcBorders>
          </w:tcPr>
          <w:p w14:paraId="766BC5BE"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Action:</w:t>
            </w:r>
            <w:r w:rsidRPr="002B7285">
              <w:rPr>
                <w:rFonts w:ascii="Arial" w:hAnsi="Arial"/>
                <w:sz w:val="16"/>
                <w:szCs w:val="18"/>
              </w:rPr>
              <w:t xml:space="preserve"> Develop national principles to support the investment, expansion and development of Aboriginal Community Controlled Organisations and Aboriginal and Torres Strait Islander managed services to deliver family support and child protection services. </w:t>
            </w:r>
          </w:p>
        </w:tc>
        <w:tc>
          <w:tcPr>
            <w:tcW w:w="531" w:type="pct"/>
            <w:tcBorders>
              <w:top w:val="dotted" w:sz="8" w:space="0" w:color="7D7D7D" w:themeColor="text2"/>
              <w:left w:val="nil"/>
              <w:bottom w:val="dotted" w:sz="8" w:space="0" w:color="7D7D7D" w:themeColor="text2"/>
              <w:right w:val="nil"/>
            </w:tcBorders>
          </w:tcPr>
          <w:p w14:paraId="1F8DF7A5" w14:textId="77777777" w:rsidR="005066D3" w:rsidRPr="00D055DB" w:rsidRDefault="005066D3" w:rsidP="001D3D1F">
            <w:pPr>
              <w:pStyle w:val="TableTextSmall"/>
              <w:rPr>
                <w:sz w:val="20"/>
                <w:szCs w:val="20"/>
              </w:rPr>
            </w:pPr>
          </w:p>
        </w:tc>
        <w:tc>
          <w:tcPr>
            <w:tcW w:w="531" w:type="pct"/>
            <w:tcBorders>
              <w:top w:val="dotted" w:sz="8" w:space="0" w:color="7D7D7D" w:themeColor="text2"/>
              <w:left w:val="nil"/>
              <w:bottom w:val="dotted" w:sz="8" w:space="0" w:color="7D7D7D" w:themeColor="text2"/>
              <w:right w:val="nil"/>
            </w:tcBorders>
          </w:tcPr>
          <w:p w14:paraId="246244E4" w14:textId="77777777" w:rsidR="005066D3" w:rsidRPr="00D055DB" w:rsidRDefault="005066D3" w:rsidP="001D3D1F">
            <w:pPr>
              <w:pStyle w:val="TableTextSmall"/>
              <w:rPr>
                <w:sz w:val="20"/>
                <w:szCs w:val="20"/>
              </w:rPr>
            </w:pPr>
          </w:p>
        </w:tc>
        <w:tc>
          <w:tcPr>
            <w:tcW w:w="531" w:type="pct"/>
            <w:tcBorders>
              <w:top w:val="dotted" w:sz="8" w:space="0" w:color="7D7D7D" w:themeColor="text2"/>
              <w:left w:val="nil"/>
              <w:bottom w:val="dotted" w:sz="8" w:space="0" w:color="7D7D7D" w:themeColor="text2"/>
              <w:right w:val="nil"/>
            </w:tcBorders>
          </w:tcPr>
          <w:p w14:paraId="68F9B166" w14:textId="77777777" w:rsidR="005066D3" w:rsidRPr="00D055DB" w:rsidRDefault="005066D3" w:rsidP="001D3D1F">
            <w:pPr>
              <w:pStyle w:val="TableTextSmall"/>
              <w:rPr>
                <w:sz w:val="20"/>
                <w:szCs w:val="20"/>
              </w:rPr>
            </w:pPr>
          </w:p>
        </w:tc>
        <w:tc>
          <w:tcPr>
            <w:tcW w:w="536" w:type="pct"/>
            <w:tcBorders>
              <w:top w:val="dotted" w:sz="8" w:space="0" w:color="7D7D7D" w:themeColor="text2"/>
              <w:left w:val="nil"/>
              <w:bottom w:val="dotted" w:sz="8" w:space="0" w:color="7D7D7D" w:themeColor="text2"/>
              <w:right w:val="nil"/>
            </w:tcBorders>
          </w:tcPr>
          <w:p w14:paraId="4E177656" w14:textId="77777777" w:rsidR="005066D3" w:rsidRPr="00D055DB" w:rsidRDefault="005066D3" w:rsidP="001D3D1F">
            <w:pPr>
              <w:pStyle w:val="TableTextSmall"/>
              <w:rPr>
                <w:sz w:val="20"/>
                <w:szCs w:val="20"/>
              </w:rPr>
            </w:pPr>
            <w:r w:rsidRPr="00D055DB">
              <w:rPr>
                <w:sz w:val="20"/>
                <w:szCs w:val="20"/>
              </w:rPr>
              <w:sym w:font="Wingdings" w:char="F0FC"/>
            </w:r>
          </w:p>
        </w:tc>
      </w:tr>
      <w:tr w:rsidR="005066D3" w14:paraId="4D977C1D" w14:textId="77777777" w:rsidTr="001D3D1F">
        <w:tc>
          <w:tcPr>
            <w:tcW w:w="240" w:type="pct"/>
            <w:tcBorders>
              <w:top w:val="dotted" w:sz="8" w:space="0" w:color="7D7D7D" w:themeColor="text2"/>
              <w:left w:val="nil"/>
              <w:bottom w:val="dotted" w:sz="8" w:space="0" w:color="7D7D7D" w:themeColor="text2"/>
              <w:right w:val="nil"/>
            </w:tcBorders>
          </w:tcPr>
          <w:p w14:paraId="745A0B45" w14:textId="77777777" w:rsidR="005066D3" w:rsidRDefault="005066D3" w:rsidP="001D3D1F">
            <w:pPr>
              <w:spacing w:before="40" w:after="40"/>
              <w:rPr>
                <w:rFonts w:ascii="Arial" w:hAnsi="Arial"/>
                <w:b/>
                <w:sz w:val="16"/>
                <w:szCs w:val="18"/>
              </w:rPr>
            </w:pPr>
            <w:r>
              <w:rPr>
                <w:rFonts w:ascii="Arial" w:hAnsi="Arial"/>
                <w:b/>
                <w:sz w:val="16"/>
                <w:szCs w:val="18"/>
              </w:rPr>
              <w:t>5</w:t>
            </w:r>
          </w:p>
        </w:tc>
        <w:tc>
          <w:tcPr>
            <w:tcW w:w="2631" w:type="pct"/>
            <w:tcBorders>
              <w:top w:val="dotted" w:sz="8" w:space="0" w:color="7D7D7D" w:themeColor="text2"/>
              <w:left w:val="nil"/>
              <w:bottom w:val="dotted" w:sz="8" w:space="0" w:color="7D7D7D" w:themeColor="text2"/>
              <w:right w:val="nil"/>
            </w:tcBorders>
          </w:tcPr>
          <w:p w14:paraId="3D6F4496"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Action:</w:t>
            </w:r>
            <w:r w:rsidRPr="002B7285">
              <w:rPr>
                <w:rFonts w:ascii="Arial" w:hAnsi="Arial"/>
                <w:sz w:val="16"/>
                <w:szCs w:val="18"/>
              </w:rPr>
              <w:t xml:space="preserve"> Develop a nationally consistent and comparable approach to report on state and territory government support for Aboriginal Community Controlled Organisations and Aboriginal and Torres Strait Islander managed services to deliver family support and child protection services.</w:t>
            </w:r>
          </w:p>
        </w:tc>
        <w:tc>
          <w:tcPr>
            <w:tcW w:w="531" w:type="pct"/>
            <w:tcBorders>
              <w:top w:val="dotted" w:sz="8" w:space="0" w:color="7D7D7D" w:themeColor="text2"/>
              <w:left w:val="nil"/>
              <w:bottom w:val="dotted" w:sz="8" w:space="0" w:color="7D7D7D" w:themeColor="text2"/>
              <w:right w:val="nil"/>
            </w:tcBorders>
          </w:tcPr>
          <w:p w14:paraId="70A70555" w14:textId="77777777" w:rsidR="005066D3" w:rsidRDefault="005066D3" w:rsidP="001D3D1F">
            <w:pPr>
              <w:pStyle w:val="TableTextSmall"/>
            </w:pPr>
            <w:r>
              <w:t>N/A</w:t>
            </w:r>
          </w:p>
        </w:tc>
        <w:tc>
          <w:tcPr>
            <w:tcW w:w="531" w:type="pct"/>
            <w:tcBorders>
              <w:top w:val="dotted" w:sz="8" w:space="0" w:color="7D7D7D" w:themeColor="text2"/>
              <w:left w:val="nil"/>
              <w:bottom w:val="dotted" w:sz="8" w:space="0" w:color="7D7D7D" w:themeColor="text2"/>
              <w:right w:val="nil"/>
            </w:tcBorders>
          </w:tcPr>
          <w:p w14:paraId="52847BB9" w14:textId="77777777" w:rsidR="005066D3" w:rsidRDefault="005066D3" w:rsidP="001D3D1F">
            <w:pPr>
              <w:pStyle w:val="TableTextSmall"/>
            </w:pPr>
            <w:r>
              <w:t>N/A</w:t>
            </w:r>
          </w:p>
        </w:tc>
        <w:tc>
          <w:tcPr>
            <w:tcW w:w="531" w:type="pct"/>
            <w:tcBorders>
              <w:top w:val="dotted" w:sz="8" w:space="0" w:color="7D7D7D" w:themeColor="text2"/>
              <w:left w:val="nil"/>
              <w:bottom w:val="dotted" w:sz="8" w:space="0" w:color="7D7D7D" w:themeColor="text2"/>
              <w:right w:val="nil"/>
            </w:tcBorders>
          </w:tcPr>
          <w:p w14:paraId="3F8B4D23" w14:textId="77777777" w:rsidR="005066D3" w:rsidRDefault="005066D3" w:rsidP="001D3D1F">
            <w:pPr>
              <w:pStyle w:val="TableTextSmall"/>
            </w:pPr>
            <w:r>
              <w:t>N/A</w:t>
            </w:r>
          </w:p>
        </w:tc>
        <w:tc>
          <w:tcPr>
            <w:tcW w:w="536" w:type="pct"/>
            <w:tcBorders>
              <w:top w:val="dotted" w:sz="8" w:space="0" w:color="7D7D7D" w:themeColor="text2"/>
              <w:left w:val="nil"/>
              <w:bottom w:val="dotted" w:sz="8" w:space="0" w:color="7D7D7D" w:themeColor="text2"/>
              <w:right w:val="nil"/>
            </w:tcBorders>
          </w:tcPr>
          <w:p w14:paraId="5E1B04E4" w14:textId="77777777" w:rsidR="005066D3" w:rsidRDefault="005066D3" w:rsidP="001D3D1F">
            <w:pPr>
              <w:pStyle w:val="TableTextSmall"/>
            </w:pPr>
            <w:r>
              <w:t>N/A</w:t>
            </w:r>
          </w:p>
        </w:tc>
      </w:tr>
      <w:tr w:rsidR="005066D3" w:rsidRPr="002B7285" w14:paraId="4514911B" w14:textId="77777777" w:rsidTr="001D3D1F">
        <w:tc>
          <w:tcPr>
            <w:tcW w:w="5000" w:type="pct"/>
            <w:gridSpan w:val="6"/>
            <w:tcBorders>
              <w:top w:val="dotted" w:sz="8" w:space="0" w:color="7D7D7D" w:themeColor="text2"/>
              <w:left w:val="nil"/>
              <w:bottom w:val="dotted" w:sz="8" w:space="0" w:color="7D7D7D" w:themeColor="text2"/>
              <w:right w:val="nil"/>
            </w:tcBorders>
            <w:shd w:val="clear" w:color="auto" w:fill="E5E5E5" w:themeFill="text2" w:themeFillTint="33"/>
          </w:tcPr>
          <w:p w14:paraId="478143D8" w14:textId="77777777" w:rsidR="005066D3" w:rsidRPr="002B7285" w:rsidRDefault="005066D3" w:rsidP="001D3D1F">
            <w:pPr>
              <w:spacing w:before="40" w:after="40"/>
              <w:rPr>
                <w:rFonts w:ascii="Arial" w:hAnsi="Arial"/>
                <w:b/>
                <w:i/>
                <w:sz w:val="16"/>
                <w:szCs w:val="18"/>
              </w:rPr>
            </w:pPr>
            <w:r w:rsidRPr="00D055DB">
              <w:rPr>
                <w:rFonts w:ascii="Arial" w:hAnsi="Arial"/>
                <w:b/>
                <w:i/>
                <w:sz w:val="16"/>
                <w:szCs w:val="18"/>
              </w:rPr>
              <w:t xml:space="preserve">Priority Area 2: </w:t>
            </w:r>
            <w:r w:rsidRPr="00D055DB">
              <w:rPr>
                <w:rFonts w:ascii="Arial" w:hAnsi="Arial"/>
                <w:i/>
                <w:sz w:val="16"/>
                <w:szCs w:val="18"/>
              </w:rPr>
              <w:t>Improving prevention and early intervention through joint service planning and investment</w:t>
            </w:r>
          </w:p>
        </w:tc>
      </w:tr>
      <w:tr w:rsidR="005066D3" w:rsidRPr="002B7285" w14:paraId="34D1860B" w14:textId="77777777" w:rsidTr="001D3D1F">
        <w:tc>
          <w:tcPr>
            <w:tcW w:w="240" w:type="pct"/>
            <w:tcBorders>
              <w:top w:val="dotted" w:sz="8" w:space="0" w:color="7D7D7D" w:themeColor="text2"/>
              <w:left w:val="nil"/>
              <w:bottom w:val="dotted" w:sz="8" w:space="0" w:color="7D7D7D" w:themeColor="text2"/>
              <w:right w:val="nil"/>
            </w:tcBorders>
          </w:tcPr>
          <w:p w14:paraId="410F9844" w14:textId="77777777" w:rsidR="005066D3" w:rsidRPr="002B7285" w:rsidRDefault="005066D3" w:rsidP="001D3D1F">
            <w:pPr>
              <w:spacing w:before="40" w:after="40"/>
              <w:rPr>
                <w:rFonts w:ascii="Arial" w:hAnsi="Arial"/>
                <w:b/>
                <w:sz w:val="16"/>
                <w:szCs w:val="18"/>
              </w:rPr>
            </w:pPr>
            <w:r>
              <w:rPr>
                <w:rFonts w:ascii="Arial" w:hAnsi="Arial"/>
                <w:b/>
                <w:sz w:val="16"/>
                <w:szCs w:val="18"/>
              </w:rPr>
              <w:t>6</w:t>
            </w:r>
          </w:p>
        </w:tc>
        <w:tc>
          <w:tcPr>
            <w:tcW w:w="2631" w:type="pct"/>
            <w:tcBorders>
              <w:top w:val="dotted" w:sz="8" w:space="0" w:color="7D7D7D" w:themeColor="text2"/>
              <w:left w:val="nil"/>
              <w:bottom w:val="dotted" w:sz="8" w:space="0" w:color="7D7D7D" w:themeColor="text2"/>
              <w:right w:val="nil"/>
            </w:tcBorders>
          </w:tcPr>
          <w:p w14:paraId="0E515248"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Action</w:t>
            </w:r>
            <w:r w:rsidRPr="002B7285">
              <w:rPr>
                <w:rFonts w:ascii="Arial" w:hAnsi="Arial"/>
                <w:sz w:val="16"/>
                <w:szCs w:val="18"/>
              </w:rPr>
              <w:t xml:space="preserve">: Jointly invest in 10 disadvantaged communities across Australia to implement a place-based, collective impact initiative that </w:t>
            </w:r>
            <w:r w:rsidRPr="002B7285">
              <w:rPr>
                <w:rFonts w:ascii="Arial" w:hAnsi="Arial"/>
                <w:sz w:val="16"/>
                <w:szCs w:val="18"/>
              </w:rPr>
              <w:lastRenderedPageBreak/>
              <w:t>focuses on interrupting the cycle of childhood vulnerability and poverty.</w:t>
            </w:r>
          </w:p>
        </w:tc>
        <w:tc>
          <w:tcPr>
            <w:tcW w:w="531" w:type="pct"/>
            <w:tcBorders>
              <w:top w:val="dotted" w:sz="8" w:space="0" w:color="7D7D7D" w:themeColor="text2"/>
              <w:left w:val="nil"/>
              <w:bottom w:val="dotted" w:sz="8" w:space="0" w:color="7D7D7D" w:themeColor="text2"/>
              <w:right w:val="nil"/>
            </w:tcBorders>
          </w:tcPr>
          <w:p w14:paraId="60CE4502" w14:textId="77777777" w:rsidR="005066D3" w:rsidRPr="00D055DB" w:rsidRDefault="005066D3" w:rsidP="001D3D1F">
            <w:pPr>
              <w:pStyle w:val="TableTextSmall"/>
              <w:rPr>
                <w:sz w:val="20"/>
                <w:szCs w:val="20"/>
              </w:rPr>
            </w:pPr>
          </w:p>
        </w:tc>
        <w:tc>
          <w:tcPr>
            <w:tcW w:w="531" w:type="pct"/>
            <w:tcBorders>
              <w:top w:val="dotted" w:sz="8" w:space="0" w:color="7D7D7D" w:themeColor="text2"/>
              <w:left w:val="nil"/>
              <w:bottom w:val="dotted" w:sz="8" w:space="0" w:color="7D7D7D" w:themeColor="text2"/>
              <w:right w:val="nil"/>
            </w:tcBorders>
          </w:tcPr>
          <w:p w14:paraId="643A480C" w14:textId="77777777" w:rsidR="005066D3" w:rsidRPr="00D055DB" w:rsidRDefault="005066D3" w:rsidP="001D3D1F">
            <w:pPr>
              <w:pStyle w:val="TableTextSmall"/>
              <w:rPr>
                <w:sz w:val="20"/>
                <w:szCs w:val="20"/>
              </w:rPr>
            </w:pPr>
            <w:r w:rsidRPr="00D055DB">
              <w:rPr>
                <w:sz w:val="20"/>
                <w:szCs w:val="20"/>
              </w:rPr>
              <w:sym w:font="Wingdings" w:char="F0FC"/>
            </w:r>
          </w:p>
        </w:tc>
        <w:tc>
          <w:tcPr>
            <w:tcW w:w="531" w:type="pct"/>
            <w:tcBorders>
              <w:top w:val="dotted" w:sz="8" w:space="0" w:color="7D7D7D" w:themeColor="text2"/>
              <w:left w:val="nil"/>
              <w:bottom w:val="dotted" w:sz="8" w:space="0" w:color="7D7D7D" w:themeColor="text2"/>
              <w:right w:val="nil"/>
            </w:tcBorders>
          </w:tcPr>
          <w:p w14:paraId="2AEAEAE6" w14:textId="77777777" w:rsidR="005066D3" w:rsidRPr="00D055DB" w:rsidRDefault="005066D3" w:rsidP="001D3D1F">
            <w:pPr>
              <w:pStyle w:val="TableTextSmall"/>
              <w:rPr>
                <w:sz w:val="20"/>
                <w:szCs w:val="20"/>
              </w:rPr>
            </w:pPr>
          </w:p>
        </w:tc>
        <w:tc>
          <w:tcPr>
            <w:tcW w:w="536" w:type="pct"/>
            <w:tcBorders>
              <w:top w:val="dotted" w:sz="8" w:space="0" w:color="7D7D7D" w:themeColor="text2"/>
              <w:left w:val="nil"/>
              <w:bottom w:val="dotted" w:sz="8" w:space="0" w:color="7D7D7D" w:themeColor="text2"/>
              <w:right w:val="nil"/>
            </w:tcBorders>
          </w:tcPr>
          <w:p w14:paraId="11423AAC" w14:textId="77777777" w:rsidR="005066D3" w:rsidRPr="00D055DB" w:rsidRDefault="005066D3" w:rsidP="001D3D1F">
            <w:pPr>
              <w:pStyle w:val="TableTextSmall"/>
              <w:rPr>
                <w:sz w:val="20"/>
                <w:szCs w:val="20"/>
              </w:rPr>
            </w:pPr>
          </w:p>
        </w:tc>
      </w:tr>
      <w:tr w:rsidR="005066D3" w:rsidRPr="002C3275" w14:paraId="107B35AA" w14:textId="77777777" w:rsidTr="001D3D1F">
        <w:tc>
          <w:tcPr>
            <w:tcW w:w="240" w:type="pct"/>
            <w:tcBorders>
              <w:top w:val="dotted" w:sz="8" w:space="0" w:color="7D7D7D" w:themeColor="text2"/>
              <w:left w:val="nil"/>
              <w:bottom w:val="dotted" w:sz="8" w:space="0" w:color="7D7D7D" w:themeColor="text2"/>
              <w:right w:val="nil"/>
            </w:tcBorders>
          </w:tcPr>
          <w:p w14:paraId="65101841" w14:textId="77777777" w:rsidR="005066D3" w:rsidRPr="002B7285" w:rsidRDefault="005066D3" w:rsidP="001D3D1F">
            <w:pPr>
              <w:spacing w:before="40" w:after="40"/>
              <w:rPr>
                <w:rFonts w:ascii="Arial" w:hAnsi="Arial"/>
                <w:b/>
                <w:sz w:val="16"/>
                <w:szCs w:val="18"/>
              </w:rPr>
            </w:pPr>
            <w:r>
              <w:rPr>
                <w:rFonts w:ascii="Arial" w:hAnsi="Arial"/>
                <w:b/>
                <w:sz w:val="16"/>
                <w:szCs w:val="18"/>
              </w:rPr>
              <w:t>7</w:t>
            </w:r>
          </w:p>
        </w:tc>
        <w:tc>
          <w:tcPr>
            <w:tcW w:w="2631" w:type="pct"/>
            <w:tcBorders>
              <w:top w:val="dotted" w:sz="8" w:space="0" w:color="7D7D7D" w:themeColor="text2"/>
              <w:left w:val="nil"/>
              <w:bottom w:val="dotted" w:sz="8" w:space="0" w:color="7D7D7D" w:themeColor="text2"/>
              <w:right w:val="nil"/>
            </w:tcBorders>
          </w:tcPr>
          <w:p w14:paraId="357F61A9"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 xml:space="preserve">Action: </w:t>
            </w:r>
            <w:r w:rsidRPr="002B7285">
              <w:rPr>
                <w:rFonts w:ascii="Arial" w:hAnsi="Arial"/>
                <w:sz w:val="16"/>
                <w:szCs w:val="18"/>
              </w:rPr>
              <w:t>Continue efforts to develop and strengthen support for young people transitioning from out-of-home care into adulthood and improve priority access to support services.</w:t>
            </w:r>
          </w:p>
        </w:tc>
        <w:tc>
          <w:tcPr>
            <w:tcW w:w="531" w:type="pct"/>
            <w:tcBorders>
              <w:top w:val="dotted" w:sz="8" w:space="0" w:color="7D7D7D" w:themeColor="text2"/>
              <w:left w:val="nil"/>
              <w:bottom w:val="dotted" w:sz="8" w:space="0" w:color="7D7D7D" w:themeColor="text2"/>
              <w:right w:val="nil"/>
            </w:tcBorders>
          </w:tcPr>
          <w:p w14:paraId="72D26762" w14:textId="77777777" w:rsidR="005066D3" w:rsidRPr="00D055DB" w:rsidRDefault="005066D3" w:rsidP="001D3D1F">
            <w:pPr>
              <w:pStyle w:val="TableTextSmall"/>
              <w:rPr>
                <w:sz w:val="20"/>
                <w:szCs w:val="20"/>
              </w:rPr>
            </w:pPr>
          </w:p>
        </w:tc>
        <w:tc>
          <w:tcPr>
            <w:tcW w:w="531" w:type="pct"/>
            <w:tcBorders>
              <w:top w:val="dotted" w:sz="8" w:space="0" w:color="7D7D7D" w:themeColor="text2"/>
              <w:left w:val="nil"/>
              <w:bottom w:val="dotted" w:sz="8" w:space="0" w:color="7D7D7D" w:themeColor="text2"/>
              <w:right w:val="nil"/>
            </w:tcBorders>
          </w:tcPr>
          <w:p w14:paraId="0CD51663" w14:textId="77777777" w:rsidR="005066D3" w:rsidRPr="00D055DB" w:rsidRDefault="005066D3" w:rsidP="001D3D1F">
            <w:pPr>
              <w:pStyle w:val="TableTextSmall"/>
              <w:rPr>
                <w:sz w:val="20"/>
                <w:szCs w:val="20"/>
              </w:rPr>
            </w:pPr>
          </w:p>
        </w:tc>
        <w:tc>
          <w:tcPr>
            <w:tcW w:w="531" w:type="pct"/>
            <w:tcBorders>
              <w:top w:val="dotted" w:sz="8" w:space="0" w:color="7D7D7D" w:themeColor="text2"/>
              <w:left w:val="nil"/>
              <w:bottom w:val="dotted" w:sz="8" w:space="0" w:color="7D7D7D" w:themeColor="text2"/>
              <w:right w:val="nil"/>
            </w:tcBorders>
          </w:tcPr>
          <w:p w14:paraId="65C88A23" w14:textId="77777777" w:rsidR="005066D3" w:rsidRPr="00D055DB" w:rsidRDefault="005066D3" w:rsidP="001D3D1F">
            <w:pPr>
              <w:pStyle w:val="TableTextSmall"/>
              <w:rPr>
                <w:sz w:val="20"/>
                <w:szCs w:val="20"/>
              </w:rPr>
            </w:pPr>
          </w:p>
        </w:tc>
        <w:tc>
          <w:tcPr>
            <w:tcW w:w="536" w:type="pct"/>
            <w:tcBorders>
              <w:top w:val="dotted" w:sz="8" w:space="0" w:color="7D7D7D" w:themeColor="text2"/>
              <w:left w:val="nil"/>
              <w:bottom w:val="dotted" w:sz="8" w:space="0" w:color="7D7D7D" w:themeColor="text2"/>
              <w:right w:val="nil"/>
            </w:tcBorders>
          </w:tcPr>
          <w:p w14:paraId="59684711" w14:textId="77777777" w:rsidR="005066D3" w:rsidRPr="00D055DB" w:rsidRDefault="005066D3" w:rsidP="001D3D1F">
            <w:pPr>
              <w:pStyle w:val="TableTextSmall"/>
              <w:rPr>
                <w:sz w:val="20"/>
                <w:szCs w:val="20"/>
              </w:rPr>
            </w:pPr>
            <w:r w:rsidRPr="00D055DB">
              <w:rPr>
                <w:sz w:val="20"/>
                <w:szCs w:val="20"/>
              </w:rPr>
              <w:sym w:font="Wingdings" w:char="F0FC"/>
            </w:r>
          </w:p>
        </w:tc>
      </w:tr>
      <w:tr w:rsidR="005066D3" w:rsidRPr="002C3275" w14:paraId="0BF7500B" w14:textId="77777777" w:rsidTr="001D3D1F">
        <w:tc>
          <w:tcPr>
            <w:tcW w:w="240" w:type="pct"/>
            <w:tcBorders>
              <w:top w:val="dotted" w:sz="8" w:space="0" w:color="7D7D7D" w:themeColor="text2"/>
              <w:left w:val="nil"/>
              <w:bottom w:val="dotted" w:sz="8" w:space="0" w:color="7D7D7D" w:themeColor="text2"/>
              <w:right w:val="nil"/>
            </w:tcBorders>
          </w:tcPr>
          <w:p w14:paraId="61C6701B" w14:textId="77777777" w:rsidR="005066D3" w:rsidRPr="002B7285" w:rsidRDefault="005066D3" w:rsidP="001D3D1F">
            <w:pPr>
              <w:spacing w:before="40" w:after="40"/>
              <w:rPr>
                <w:rFonts w:ascii="Arial" w:hAnsi="Arial"/>
                <w:b/>
                <w:sz w:val="16"/>
                <w:szCs w:val="18"/>
              </w:rPr>
            </w:pPr>
            <w:r>
              <w:rPr>
                <w:rFonts w:ascii="Arial" w:hAnsi="Arial"/>
                <w:b/>
                <w:sz w:val="16"/>
                <w:szCs w:val="18"/>
              </w:rPr>
              <w:t>8</w:t>
            </w:r>
          </w:p>
        </w:tc>
        <w:tc>
          <w:tcPr>
            <w:tcW w:w="2631" w:type="pct"/>
            <w:tcBorders>
              <w:top w:val="dotted" w:sz="8" w:space="0" w:color="7D7D7D" w:themeColor="text2"/>
              <w:left w:val="nil"/>
              <w:bottom w:val="dotted" w:sz="8" w:space="0" w:color="7D7D7D" w:themeColor="text2"/>
              <w:right w:val="nil"/>
            </w:tcBorders>
          </w:tcPr>
          <w:p w14:paraId="14C7A23D"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 xml:space="preserve">Action: </w:t>
            </w:r>
            <w:r w:rsidRPr="002B7285">
              <w:rPr>
                <w:rFonts w:ascii="Arial" w:hAnsi="Arial"/>
                <w:sz w:val="16"/>
                <w:szCs w:val="18"/>
              </w:rPr>
              <w:t>Undertake research into what works to address key drivers of entry into child protection systems.</w:t>
            </w:r>
          </w:p>
        </w:tc>
        <w:tc>
          <w:tcPr>
            <w:tcW w:w="531" w:type="pct"/>
            <w:tcBorders>
              <w:top w:val="dotted" w:sz="8" w:space="0" w:color="7D7D7D" w:themeColor="text2"/>
              <w:left w:val="nil"/>
              <w:bottom w:val="dotted" w:sz="8" w:space="0" w:color="7D7D7D" w:themeColor="text2"/>
              <w:right w:val="nil"/>
            </w:tcBorders>
          </w:tcPr>
          <w:p w14:paraId="49A7BD40" w14:textId="77777777" w:rsidR="005066D3" w:rsidRPr="002C3275" w:rsidRDefault="005066D3" w:rsidP="001D3D1F">
            <w:pPr>
              <w:pStyle w:val="TableTextSmall"/>
            </w:pPr>
          </w:p>
        </w:tc>
        <w:tc>
          <w:tcPr>
            <w:tcW w:w="531" w:type="pct"/>
            <w:tcBorders>
              <w:top w:val="dotted" w:sz="8" w:space="0" w:color="7D7D7D" w:themeColor="text2"/>
              <w:left w:val="nil"/>
              <w:bottom w:val="dotted" w:sz="8" w:space="0" w:color="7D7D7D" w:themeColor="text2"/>
              <w:right w:val="nil"/>
            </w:tcBorders>
          </w:tcPr>
          <w:p w14:paraId="431417D7" w14:textId="77777777" w:rsidR="005066D3" w:rsidRPr="002C3275" w:rsidRDefault="00897924" w:rsidP="001D3D1F">
            <w:pPr>
              <w:pStyle w:val="TableTextSmall"/>
            </w:pPr>
            <w:r w:rsidRPr="00D055DB">
              <w:rPr>
                <w:sz w:val="20"/>
                <w:szCs w:val="20"/>
              </w:rPr>
              <w:sym w:font="Wingdings" w:char="F0FC"/>
            </w:r>
          </w:p>
        </w:tc>
        <w:tc>
          <w:tcPr>
            <w:tcW w:w="531" w:type="pct"/>
            <w:tcBorders>
              <w:top w:val="dotted" w:sz="8" w:space="0" w:color="7D7D7D" w:themeColor="text2"/>
              <w:left w:val="nil"/>
              <w:bottom w:val="dotted" w:sz="8" w:space="0" w:color="7D7D7D" w:themeColor="text2"/>
              <w:right w:val="nil"/>
            </w:tcBorders>
          </w:tcPr>
          <w:p w14:paraId="74E379E7" w14:textId="77777777" w:rsidR="005066D3" w:rsidRPr="002C3275" w:rsidRDefault="00897924" w:rsidP="001D3D1F">
            <w:pPr>
              <w:pStyle w:val="TableTextSmall"/>
            </w:pPr>
            <w:r w:rsidRPr="00D055DB">
              <w:rPr>
                <w:sz w:val="20"/>
                <w:szCs w:val="20"/>
              </w:rPr>
              <w:sym w:font="Wingdings" w:char="F0FC"/>
            </w:r>
          </w:p>
        </w:tc>
        <w:tc>
          <w:tcPr>
            <w:tcW w:w="536" w:type="pct"/>
            <w:tcBorders>
              <w:top w:val="dotted" w:sz="8" w:space="0" w:color="7D7D7D" w:themeColor="text2"/>
              <w:left w:val="nil"/>
              <w:bottom w:val="dotted" w:sz="8" w:space="0" w:color="7D7D7D" w:themeColor="text2"/>
              <w:right w:val="nil"/>
            </w:tcBorders>
          </w:tcPr>
          <w:p w14:paraId="55C89B36" w14:textId="77777777" w:rsidR="005066D3" w:rsidRPr="002C3275" w:rsidRDefault="005066D3" w:rsidP="001D3D1F">
            <w:pPr>
              <w:pStyle w:val="TableTextSmall"/>
            </w:pPr>
          </w:p>
        </w:tc>
      </w:tr>
      <w:tr w:rsidR="005066D3" w:rsidRPr="002B7285" w14:paraId="3F0D92FF" w14:textId="77777777" w:rsidTr="001D3D1F">
        <w:tc>
          <w:tcPr>
            <w:tcW w:w="5000" w:type="pct"/>
            <w:gridSpan w:val="6"/>
            <w:tcBorders>
              <w:top w:val="dotted" w:sz="8" w:space="0" w:color="7D7D7D" w:themeColor="text2"/>
              <w:left w:val="nil"/>
              <w:bottom w:val="dotted" w:sz="8" w:space="0" w:color="7D7D7D" w:themeColor="text2"/>
              <w:right w:val="nil"/>
            </w:tcBorders>
            <w:shd w:val="clear" w:color="auto" w:fill="E5E5E5" w:themeFill="text2" w:themeFillTint="33"/>
          </w:tcPr>
          <w:p w14:paraId="29C67F47" w14:textId="77777777" w:rsidR="005066D3" w:rsidRPr="002B7285" w:rsidRDefault="005066D3" w:rsidP="001D3D1F">
            <w:pPr>
              <w:pStyle w:val="TableTextSmall"/>
              <w:rPr>
                <w:b/>
                <w:i/>
              </w:rPr>
            </w:pPr>
            <w:r w:rsidRPr="00D055DB">
              <w:rPr>
                <w:b/>
                <w:i/>
              </w:rPr>
              <w:t xml:space="preserve">Priority Area 3: </w:t>
            </w:r>
            <w:r w:rsidRPr="00D055DB">
              <w:rPr>
                <w:i/>
              </w:rPr>
              <w:t>Improving outcomes for children in out of home care by enhancing placement stability through reunification and other permanent care options</w:t>
            </w:r>
          </w:p>
        </w:tc>
      </w:tr>
      <w:tr w:rsidR="005066D3" w:rsidRPr="002B7285" w14:paraId="207B68B1" w14:textId="77777777" w:rsidTr="001D3D1F">
        <w:tc>
          <w:tcPr>
            <w:tcW w:w="240" w:type="pct"/>
            <w:tcBorders>
              <w:top w:val="dotted" w:sz="8" w:space="0" w:color="7D7D7D" w:themeColor="text2"/>
              <w:left w:val="nil"/>
              <w:bottom w:val="dotted" w:sz="8" w:space="0" w:color="7D7D7D" w:themeColor="text2"/>
              <w:right w:val="nil"/>
            </w:tcBorders>
          </w:tcPr>
          <w:p w14:paraId="06CD1011" w14:textId="77777777" w:rsidR="005066D3" w:rsidRPr="002B7285" w:rsidRDefault="005066D3" w:rsidP="001D3D1F">
            <w:pPr>
              <w:spacing w:before="40" w:after="40"/>
              <w:rPr>
                <w:rFonts w:ascii="Arial" w:hAnsi="Arial"/>
                <w:b/>
                <w:sz w:val="16"/>
                <w:szCs w:val="18"/>
              </w:rPr>
            </w:pPr>
            <w:r>
              <w:rPr>
                <w:rFonts w:ascii="Arial" w:hAnsi="Arial"/>
                <w:b/>
                <w:sz w:val="16"/>
                <w:szCs w:val="18"/>
              </w:rPr>
              <w:t>9</w:t>
            </w:r>
          </w:p>
        </w:tc>
        <w:tc>
          <w:tcPr>
            <w:tcW w:w="2631" w:type="pct"/>
            <w:tcBorders>
              <w:top w:val="dotted" w:sz="8" w:space="0" w:color="7D7D7D" w:themeColor="text2"/>
              <w:left w:val="nil"/>
              <w:bottom w:val="dotted" w:sz="8" w:space="0" w:color="7D7D7D" w:themeColor="text2"/>
              <w:right w:val="nil"/>
            </w:tcBorders>
          </w:tcPr>
          <w:p w14:paraId="03EDFDF9"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 xml:space="preserve">Action: </w:t>
            </w:r>
            <w:r w:rsidRPr="002B7285">
              <w:rPr>
                <w:rFonts w:ascii="Arial" w:hAnsi="Arial"/>
                <w:sz w:val="16"/>
                <w:szCs w:val="18"/>
              </w:rPr>
              <w:t>Develop a national data reporting and evaluation framework to measure permanency outcomes.</w:t>
            </w:r>
          </w:p>
        </w:tc>
        <w:tc>
          <w:tcPr>
            <w:tcW w:w="531" w:type="pct"/>
            <w:tcBorders>
              <w:top w:val="dotted" w:sz="8" w:space="0" w:color="7D7D7D" w:themeColor="text2"/>
              <w:left w:val="nil"/>
              <w:bottom w:val="dotted" w:sz="8" w:space="0" w:color="7D7D7D" w:themeColor="text2"/>
              <w:right w:val="nil"/>
            </w:tcBorders>
          </w:tcPr>
          <w:p w14:paraId="5C34E9DC" w14:textId="77777777" w:rsidR="005066D3" w:rsidRPr="002B7285" w:rsidRDefault="005066D3" w:rsidP="001D3D1F">
            <w:pPr>
              <w:pStyle w:val="TableTextSmall"/>
            </w:pPr>
            <w:r>
              <w:t>N/A</w:t>
            </w:r>
          </w:p>
        </w:tc>
        <w:tc>
          <w:tcPr>
            <w:tcW w:w="531" w:type="pct"/>
            <w:tcBorders>
              <w:top w:val="dotted" w:sz="8" w:space="0" w:color="7D7D7D" w:themeColor="text2"/>
              <w:left w:val="nil"/>
              <w:bottom w:val="dotted" w:sz="8" w:space="0" w:color="7D7D7D" w:themeColor="text2"/>
              <w:right w:val="nil"/>
            </w:tcBorders>
          </w:tcPr>
          <w:p w14:paraId="74FC83CC" w14:textId="77777777" w:rsidR="005066D3" w:rsidRPr="002B7285" w:rsidRDefault="005066D3" w:rsidP="001D3D1F">
            <w:pPr>
              <w:pStyle w:val="TableTextSmall"/>
            </w:pPr>
            <w:r>
              <w:t>N/A</w:t>
            </w:r>
          </w:p>
        </w:tc>
        <w:tc>
          <w:tcPr>
            <w:tcW w:w="531" w:type="pct"/>
            <w:tcBorders>
              <w:top w:val="dotted" w:sz="8" w:space="0" w:color="7D7D7D" w:themeColor="text2"/>
              <w:left w:val="nil"/>
              <w:bottom w:val="dotted" w:sz="8" w:space="0" w:color="7D7D7D" w:themeColor="text2"/>
              <w:right w:val="nil"/>
            </w:tcBorders>
          </w:tcPr>
          <w:p w14:paraId="16591203" w14:textId="77777777" w:rsidR="005066D3" w:rsidRPr="002B7285" w:rsidRDefault="005066D3" w:rsidP="001D3D1F">
            <w:pPr>
              <w:pStyle w:val="TableTextSmall"/>
            </w:pPr>
            <w:r>
              <w:t>N/A</w:t>
            </w:r>
          </w:p>
        </w:tc>
        <w:tc>
          <w:tcPr>
            <w:tcW w:w="536" w:type="pct"/>
            <w:tcBorders>
              <w:top w:val="dotted" w:sz="8" w:space="0" w:color="7D7D7D" w:themeColor="text2"/>
              <w:left w:val="nil"/>
              <w:bottom w:val="dotted" w:sz="8" w:space="0" w:color="7D7D7D" w:themeColor="text2"/>
              <w:right w:val="nil"/>
            </w:tcBorders>
          </w:tcPr>
          <w:p w14:paraId="7214BBF4" w14:textId="77777777" w:rsidR="005066D3" w:rsidRPr="002B7285" w:rsidRDefault="005066D3" w:rsidP="001D3D1F">
            <w:pPr>
              <w:pStyle w:val="TableTextSmall"/>
            </w:pPr>
            <w:r>
              <w:t>N/A</w:t>
            </w:r>
          </w:p>
        </w:tc>
      </w:tr>
      <w:tr w:rsidR="005066D3" w:rsidRPr="00893FA9" w14:paraId="6FAF1915" w14:textId="77777777" w:rsidTr="001D3D1F">
        <w:tc>
          <w:tcPr>
            <w:tcW w:w="240" w:type="pct"/>
            <w:tcBorders>
              <w:top w:val="dotted" w:sz="8" w:space="0" w:color="7D7D7D" w:themeColor="text2"/>
              <w:left w:val="nil"/>
              <w:bottom w:val="dotted" w:sz="8" w:space="0" w:color="7D7D7D" w:themeColor="text2"/>
              <w:right w:val="nil"/>
            </w:tcBorders>
          </w:tcPr>
          <w:p w14:paraId="396C1B41" w14:textId="77777777" w:rsidR="005066D3" w:rsidRPr="002B7285" w:rsidRDefault="005066D3" w:rsidP="001D3D1F">
            <w:pPr>
              <w:spacing w:before="40" w:after="40"/>
              <w:rPr>
                <w:rFonts w:ascii="Arial" w:hAnsi="Arial"/>
                <w:b/>
                <w:sz w:val="16"/>
                <w:szCs w:val="18"/>
              </w:rPr>
            </w:pPr>
            <w:r>
              <w:rPr>
                <w:rFonts w:ascii="Arial" w:hAnsi="Arial"/>
                <w:b/>
                <w:sz w:val="16"/>
                <w:szCs w:val="18"/>
              </w:rPr>
              <w:t>10</w:t>
            </w:r>
          </w:p>
        </w:tc>
        <w:tc>
          <w:tcPr>
            <w:tcW w:w="2631" w:type="pct"/>
            <w:tcBorders>
              <w:top w:val="dotted" w:sz="8" w:space="0" w:color="7D7D7D" w:themeColor="text2"/>
              <w:left w:val="nil"/>
              <w:bottom w:val="dotted" w:sz="8" w:space="0" w:color="7D7D7D" w:themeColor="text2"/>
              <w:right w:val="nil"/>
            </w:tcBorders>
          </w:tcPr>
          <w:p w14:paraId="035E54FF"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 xml:space="preserve">Action: </w:t>
            </w:r>
            <w:r w:rsidRPr="002B7285">
              <w:rPr>
                <w:rFonts w:ascii="Arial" w:hAnsi="Arial"/>
                <w:sz w:val="16"/>
                <w:szCs w:val="18"/>
              </w:rPr>
              <w:t>Further promote:</w:t>
            </w:r>
            <w:r w:rsidRPr="002B7285">
              <w:rPr>
                <w:rFonts w:ascii="Arial" w:hAnsi="Arial"/>
                <w:b/>
                <w:sz w:val="16"/>
                <w:szCs w:val="18"/>
              </w:rPr>
              <w:t xml:space="preserve"> </w:t>
            </w:r>
          </w:p>
          <w:p w14:paraId="54EF7FF2" w14:textId="77777777" w:rsidR="005066D3" w:rsidRPr="002B7285" w:rsidRDefault="005066D3" w:rsidP="001D3D1F">
            <w:pPr>
              <w:spacing w:before="40" w:after="40"/>
              <w:rPr>
                <w:rFonts w:ascii="Arial" w:hAnsi="Arial"/>
                <w:sz w:val="16"/>
                <w:szCs w:val="18"/>
              </w:rPr>
            </w:pPr>
            <w:r w:rsidRPr="002B7285">
              <w:rPr>
                <w:rFonts w:ascii="Arial" w:hAnsi="Arial"/>
                <w:sz w:val="16"/>
                <w:szCs w:val="18"/>
              </w:rPr>
              <w:t>a) timely and consistent decision-making for permanency</w:t>
            </w:r>
          </w:p>
          <w:p w14:paraId="030C416E" w14:textId="77777777" w:rsidR="005066D3" w:rsidRPr="002B7285" w:rsidRDefault="005066D3" w:rsidP="001D3D1F">
            <w:pPr>
              <w:spacing w:before="40" w:after="40"/>
              <w:rPr>
                <w:rFonts w:ascii="Arial" w:hAnsi="Arial"/>
                <w:b/>
                <w:sz w:val="16"/>
                <w:szCs w:val="18"/>
              </w:rPr>
            </w:pPr>
            <w:r w:rsidRPr="002B7285">
              <w:rPr>
                <w:rFonts w:ascii="Arial" w:hAnsi="Arial"/>
                <w:sz w:val="16"/>
                <w:szCs w:val="18"/>
              </w:rPr>
              <w:t>b) better permanency options, including consistent processes for family reunification to be explored and resolved as part of permanency planning.</w:t>
            </w:r>
          </w:p>
        </w:tc>
        <w:tc>
          <w:tcPr>
            <w:tcW w:w="531" w:type="pct"/>
            <w:tcBorders>
              <w:top w:val="dotted" w:sz="8" w:space="0" w:color="7D7D7D" w:themeColor="text2"/>
              <w:left w:val="nil"/>
              <w:bottom w:val="dotted" w:sz="8" w:space="0" w:color="7D7D7D" w:themeColor="text2"/>
              <w:right w:val="nil"/>
            </w:tcBorders>
          </w:tcPr>
          <w:p w14:paraId="0836DCA0" w14:textId="77777777" w:rsidR="005066D3" w:rsidRPr="00D055DB" w:rsidRDefault="005066D3" w:rsidP="001D3D1F">
            <w:pPr>
              <w:pStyle w:val="TableTextSmall"/>
              <w:rPr>
                <w:sz w:val="20"/>
                <w:szCs w:val="20"/>
              </w:rPr>
            </w:pPr>
          </w:p>
        </w:tc>
        <w:tc>
          <w:tcPr>
            <w:tcW w:w="531" w:type="pct"/>
            <w:tcBorders>
              <w:top w:val="dotted" w:sz="8" w:space="0" w:color="7D7D7D" w:themeColor="text2"/>
              <w:left w:val="nil"/>
              <w:bottom w:val="dotted" w:sz="8" w:space="0" w:color="7D7D7D" w:themeColor="text2"/>
              <w:right w:val="nil"/>
            </w:tcBorders>
          </w:tcPr>
          <w:p w14:paraId="3BBA9A6E" w14:textId="77777777" w:rsidR="005066D3" w:rsidRPr="00D055DB" w:rsidRDefault="005066D3" w:rsidP="001D3D1F">
            <w:pPr>
              <w:pStyle w:val="TableTextSmall"/>
              <w:rPr>
                <w:sz w:val="20"/>
                <w:szCs w:val="20"/>
              </w:rPr>
            </w:pPr>
          </w:p>
        </w:tc>
        <w:tc>
          <w:tcPr>
            <w:tcW w:w="531" w:type="pct"/>
            <w:tcBorders>
              <w:top w:val="dotted" w:sz="8" w:space="0" w:color="7D7D7D" w:themeColor="text2"/>
              <w:left w:val="nil"/>
              <w:bottom w:val="dotted" w:sz="8" w:space="0" w:color="7D7D7D" w:themeColor="text2"/>
              <w:right w:val="nil"/>
            </w:tcBorders>
          </w:tcPr>
          <w:p w14:paraId="00C33031" w14:textId="77777777" w:rsidR="005066D3" w:rsidRPr="00D055DB" w:rsidRDefault="005066D3" w:rsidP="001D3D1F">
            <w:pPr>
              <w:pStyle w:val="TableTextSmall"/>
              <w:rPr>
                <w:sz w:val="20"/>
                <w:szCs w:val="20"/>
              </w:rPr>
            </w:pPr>
          </w:p>
        </w:tc>
        <w:tc>
          <w:tcPr>
            <w:tcW w:w="536" w:type="pct"/>
            <w:tcBorders>
              <w:top w:val="dotted" w:sz="8" w:space="0" w:color="7D7D7D" w:themeColor="text2"/>
              <w:left w:val="nil"/>
              <w:bottom w:val="dotted" w:sz="8" w:space="0" w:color="7D7D7D" w:themeColor="text2"/>
              <w:right w:val="nil"/>
            </w:tcBorders>
          </w:tcPr>
          <w:p w14:paraId="5B1C81DE" w14:textId="77777777" w:rsidR="005066D3" w:rsidRPr="00D055DB" w:rsidRDefault="005066D3" w:rsidP="001D3D1F">
            <w:pPr>
              <w:pStyle w:val="TableTextSmall"/>
              <w:rPr>
                <w:sz w:val="20"/>
                <w:szCs w:val="20"/>
              </w:rPr>
            </w:pPr>
            <w:r w:rsidRPr="00D055DB">
              <w:rPr>
                <w:sz w:val="20"/>
                <w:szCs w:val="20"/>
              </w:rPr>
              <w:sym w:font="Wingdings" w:char="F0FC"/>
            </w:r>
          </w:p>
        </w:tc>
      </w:tr>
      <w:tr w:rsidR="005066D3" w:rsidRPr="00893FA9" w14:paraId="3E623023" w14:textId="77777777" w:rsidTr="001D3D1F">
        <w:tc>
          <w:tcPr>
            <w:tcW w:w="240" w:type="pct"/>
            <w:tcBorders>
              <w:top w:val="dotted" w:sz="8" w:space="0" w:color="7D7D7D" w:themeColor="text2"/>
              <w:left w:val="nil"/>
              <w:bottom w:val="dotted" w:sz="8" w:space="0" w:color="7D7D7D" w:themeColor="text2"/>
              <w:right w:val="nil"/>
            </w:tcBorders>
          </w:tcPr>
          <w:p w14:paraId="2B623477" w14:textId="77777777" w:rsidR="005066D3" w:rsidRPr="002B7285" w:rsidRDefault="005066D3" w:rsidP="001D3D1F">
            <w:pPr>
              <w:spacing w:before="40" w:after="40"/>
              <w:rPr>
                <w:rFonts w:ascii="Arial" w:hAnsi="Arial"/>
                <w:b/>
                <w:sz w:val="16"/>
                <w:szCs w:val="18"/>
              </w:rPr>
            </w:pPr>
            <w:r>
              <w:rPr>
                <w:rFonts w:ascii="Arial" w:hAnsi="Arial"/>
                <w:b/>
                <w:sz w:val="16"/>
                <w:szCs w:val="18"/>
              </w:rPr>
              <w:t>11</w:t>
            </w:r>
          </w:p>
        </w:tc>
        <w:tc>
          <w:tcPr>
            <w:tcW w:w="2631" w:type="pct"/>
            <w:tcBorders>
              <w:top w:val="dotted" w:sz="8" w:space="0" w:color="7D7D7D" w:themeColor="text2"/>
              <w:left w:val="nil"/>
              <w:bottom w:val="dotted" w:sz="8" w:space="0" w:color="7D7D7D" w:themeColor="text2"/>
              <w:right w:val="nil"/>
            </w:tcBorders>
          </w:tcPr>
          <w:p w14:paraId="71837A31"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Action:</w:t>
            </w:r>
            <w:r w:rsidRPr="002B7285">
              <w:rPr>
                <w:rFonts w:ascii="Arial" w:hAnsi="Arial"/>
                <w:sz w:val="16"/>
                <w:szCs w:val="18"/>
              </w:rPr>
              <w:t xml:space="preserve"> Develop an approach to recruitment, training and support of more permanent carers, including improving workforce capability to support carers, by state and territory and Commonwealth governments.</w:t>
            </w:r>
          </w:p>
        </w:tc>
        <w:tc>
          <w:tcPr>
            <w:tcW w:w="531" w:type="pct"/>
            <w:tcBorders>
              <w:top w:val="dotted" w:sz="8" w:space="0" w:color="7D7D7D" w:themeColor="text2"/>
              <w:left w:val="nil"/>
              <w:bottom w:val="dotted" w:sz="8" w:space="0" w:color="7D7D7D" w:themeColor="text2"/>
              <w:right w:val="nil"/>
            </w:tcBorders>
          </w:tcPr>
          <w:p w14:paraId="5BF39625" w14:textId="77777777" w:rsidR="005066D3" w:rsidRPr="00D055DB" w:rsidRDefault="005066D3" w:rsidP="001D3D1F">
            <w:pPr>
              <w:pStyle w:val="TableTextSmall"/>
              <w:rPr>
                <w:sz w:val="20"/>
                <w:szCs w:val="20"/>
              </w:rPr>
            </w:pPr>
          </w:p>
        </w:tc>
        <w:tc>
          <w:tcPr>
            <w:tcW w:w="531" w:type="pct"/>
            <w:tcBorders>
              <w:top w:val="dotted" w:sz="8" w:space="0" w:color="7D7D7D" w:themeColor="text2"/>
              <w:left w:val="nil"/>
              <w:bottom w:val="dotted" w:sz="8" w:space="0" w:color="7D7D7D" w:themeColor="text2"/>
              <w:right w:val="nil"/>
            </w:tcBorders>
          </w:tcPr>
          <w:p w14:paraId="2AD3FC75" w14:textId="77777777" w:rsidR="005066D3" w:rsidRPr="00D055DB" w:rsidRDefault="005066D3" w:rsidP="001D3D1F">
            <w:pPr>
              <w:pStyle w:val="TableTextSmall"/>
              <w:rPr>
                <w:sz w:val="20"/>
                <w:szCs w:val="20"/>
              </w:rPr>
            </w:pPr>
          </w:p>
        </w:tc>
        <w:tc>
          <w:tcPr>
            <w:tcW w:w="531" w:type="pct"/>
            <w:tcBorders>
              <w:top w:val="dotted" w:sz="8" w:space="0" w:color="7D7D7D" w:themeColor="text2"/>
              <w:left w:val="nil"/>
              <w:bottom w:val="dotted" w:sz="8" w:space="0" w:color="7D7D7D" w:themeColor="text2"/>
              <w:right w:val="nil"/>
            </w:tcBorders>
          </w:tcPr>
          <w:p w14:paraId="2188E760" w14:textId="77777777" w:rsidR="005066D3" w:rsidRPr="00D055DB" w:rsidRDefault="005066D3" w:rsidP="001D3D1F">
            <w:pPr>
              <w:pStyle w:val="TableTextSmall"/>
              <w:rPr>
                <w:sz w:val="20"/>
                <w:szCs w:val="20"/>
              </w:rPr>
            </w:pPr>
          </w:p>
        </w:tc>
        <w:tc>
          <w:tcPr>
            <w:tcW w:w="536" w:type="pct"/>
            <w:tcBorders>
              <w:top w:val="dotted" w:sz="8" w:space="0" w:color="7D7D7D" w:themeColor="text2"/>
              <w:left w:val="nil"/>
              <w:bottom w:val="dotted" w:sz="8" w:space="0" w:color="7D7D7D" w:themeColor="text2"/>
              <w:right w:val="nil"/>
            </w:tcBorders>
          </w:tcPr>
          <w:p w14:paraId="1C2123AC" w14:textId="77777777" w:rsidR="005066D3" w:rsidRPr="00D055DB" w:rsidRDefault="005066D3" w:rsidP="001D3D1F">
            <w:pPr>
              <w:pStyle w:val="TableTextSmall"/>
              <w:rPr>
                <w:sz w:val="20"/>
                <w:szCs w:val="20"/>
              </w:rPr>
            </w:pPr>
            <w:r w:rsidRPr="00D055DB">
              <w:rPr>
                <w:sz w:val="20"/>
                <w:szCs w:val="20"/>
              </w:rPr>
              <w:sym w:font="Wingdings" w:char="F0FC"/>
            </w:r>
          </w:p>
        </w:tc>
      </w:tr>
      <w:tr w:rsidR="005066D3" w:rsidRPr="002B7285" w14:paraId="67960F39" w14:textId="77777777" w:rsidTr="001D3D1F">
        <w:tc>
          <w:tcPr>
            <w:tcW w:w="5000" w:type="pct"/>
            <w:gridSpan w:val="6"/>
            <w:tcBorders>
              <w:top w:val="dotted" w:sz="8" w:space="0" w:color="7D7D7D" w:themeColor="text2"/>
              <w:left w:val="nil"/>
              <w:bottom w:val="dotted" w:sz="8" w:space="0" w:color="7D7D7D" w:themeColor="text2"/>
              <w:right w:val="nil"/>
            </w:tcBorders>
            <w:shd w:val="clear" w:color="auto" w:fill="E5E5E5" w:themeFill="text2" w:themeFillTint="33"/>
          </w:tcPr>
          <w:p w14:paraId="57DD8076" w14:textId="77777777" w:rsidR="005066D3" w:rsidRPr="002B7285" w:rsidRDefault="005066D3" w:rsidP="001D3D1F">
            <w:pPr>
              <w:pStyle w:val="TableTextSmall"/>
              <w:rPr>
                <w:b/>
                <w:i/>
              </w:rPr>
            </w:pPr>
            <w:r w:rsidRPr="00D055DB">
              <w:rPr>
                <w:b/>
                <w:i/>
              </w:rPr>
              <w:t xml:space="preserve">Priority Area 4: </w:t>
            </w:r>
            <w:r w:rsidRPr="00D055DB">
              <w:rPr>
                <w:i/>
              </w:rPr>
              <w:t>Improving organisations’ and governments’ ability to keep children and young people safe from abuse</w:t>
            </w:r>
          </w:p>
        </w:tc>
      </w:tr>
      <w:tr w:rsidR="005066D3" w14:paraId="7446B1E3" w14:textId="77777777" w:rsidTr="001D3D1F">
        <w:tc>
          <w:tcPr>
            <w:tcW w:w="240" w:type="pct"/>
            <w:tcBorders>
              <w:top w:val="dotted" w:sz="8" w:space="0" w:color="7D7D7D" w:themeColor="text2"/>
              <w:left w:val="nil"/>
              <w:bottom w:val="dotted" w:sz="8" w:space="0" w:color="7D7D7D" w:themeColor="text2"/>
              <w:right w:val="nil"/>
            </w:tcBorders>
          </w:tcPr>
          <w:p w14:paraId="02D2EE2E" w14:textId="77777777" w:rsidR="005066D3" w:rsidRPr="002B7285" w:rsidRDefault="005066D3" w:rsidP="001D3D1F">
            <w:pPr>
              <w:spacing w:before="40" w:after="40"/>
              <w:rPr>
                <w:rFonts w:ascii="Arial" w:hAnsi="Arial"/>
                <w:b/>
                <w:sz w:val="16"/>
                <w:szCs w:val="18"/>
              </w:rPr>
            </w:pPr>
            <w:r>
              <w:rPr>
                <w:rFonts w:ascii="Arial" w:hAnsi="Arial"/>
                <w:b/>
                <w:sz w:val="16"/>
                <w:szCs w:val="18"/>
              </w:rPr>
              <w:t>12</w:t>
            </w:r>
          </w:p>
        </w:tc>
        <w:tc>
          <w:tcPr>
            <w:tcW w:w="2631" w:type="pct"/>
            <w:tcBorders>
              <w:top w:val="dotted" w:sz="8" w:space="0" w:color="7D7D7D" w:themeColor="text2"/>
              <w:left w:val="nil"/>
              <w:bottom w:val="dotted" w:sz="8" w:space="0" w:color="7D7D7D" w:themeColor="text2"/>
              <w:right w:val="nil"/>
            </w:tcBorders>
          </w:tcPr>
          <w:p w14:paraId="71080079"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 xml:space="preserve">Action: </w:t>
            </w:r>
            <w:r w:rsidRPr="002B7285">
              <w:rPr>
                <w:rFonts w:ascii="Arial" w:hAnsi="Arial"/>
                <w:sz w:val="16"/>
                <w:szCs w:val="18"/>
              </w:rPr>
              <w:t>Support the promotion of the National Principles for Child Safe Organisations, subject to agreement by the COAG.</w:t>
            </w:r>
          </w:p>
        </w:tc>
        <w:tc>
          <w:tcPr>
            <w:tcW w:w="531" w:type="pct"/>
            <w:tcBorders>
              <w:top w:val="dotted" w:sz="8" w:space="0" w:color="7D7D7D" w:themeColor="text2"/>
              <w:left w:val="nil"/>
              <w:bottom w:val="dotted" w:sz="8" w:space="0" w:color="7D7D7D" w:themeColor="text2"/>
              <w:right w:val="nil"/>
            </w:tcBorders>
          </w:tcPr>
          <w:p w14:paraId="5B0710C7" w14:textId="77777777" w:rsidR="005066D3" w:rsidRPr="00D055DB" w:rsidRDefault="005066D3" w:rsidP="001D3D1F">
            <w:pPr>
              <w:pStyle w:val="TableTextSmall"/>
              <w:rPr>
                <w:sz w:val="20"/>
                <w:szCs w:val="20"/>
              </w:rPr>
            </w:pPr>
            <w:r w:rsidRPr="00D055DB">
              <w:rPr>
                <w:sz w:val="20"/>
                <w:szCs w:val="20"/>
              </w:rPr>
              <w:sym w:font="Wingdings" w:char="F0FC"/>
            </w:r>
          </w:p>
        </w:tc>
        <w:tc>
          <w:tcPr>
            <w:tcW w:w="531" w:type="pct"/>
            <w:tcBorders>
              <w:top w:val="dotted" w:sz="8" w:space="0" w:color="7D7D7D" w:themeColor="text2"/>
              <w:left w:val="nil"/>
              <w:bottom w:val="dotted" w:sz="8" w:space="0" w:color="7D7D7D" w:themeColor="text2"/>
              <w:right w:val="nil"/>
            </w:tcBorders>
          </w:tcPr>
          <w:p w14:paraId="391B8593" w14:textId="77777777" w:rsidR="005066D3" w:rsidRPr="00D055DB" w:rsidRDefault="005066D3" w:rsidP="001D3D1F">
            <w:pPr>
              <w:pStyle w:val="TableTextSmall"/>
              <w:rPr>
                <w:sz w:val="20"/>
                <w:szCs w:val="20"/>
              </w:rPr>
            </w:pPr>
          </w:p>
        </w:tc>
        <w:tc>
          <w:tcPr>
            <w:tcW w:w="531" w:type="pct"/>
            <w:tcBorders>
              <w:top w:val="dotted" w:sz="8" w:space="0" w:color="7D7D7D" w:themeColor="text2"/>
              <w:left w:val="nil"/>
              <w:bottom w:val="dotted" w:sz="8" w:space="0" w:color="7D7D7D" w:themeColor="text2"/>
              <w:right w:val="nil"/>
            </w:tcBorders>
          </w:tcPr>
          <w:p w14:paraId="6FE025BA" w14:textId="77777777" w:rsidR="005066D3" w:rsidRPr="00D055DB" w:rsidRDefault="005066D3" w:rsidP="001D3D1F">
            <w:pPr>
              <w:pStyle w:val="TableTextSmall"/>
              <w:rPr>
                <w:sz w:val="20"/>
                <w:szCs w:val="20"/>
              </w:rPr>
            </w:pPr>
          </w:p>
        </w:tc>
        <w:tc>
          <w:tcPr>
            <w:tcW w:w="536" w:type="pct"/>
            <w:tcBorders>
              <w:top w:val="dotted" w:sz="8" w:space="0" w:color="7D7D7D" w:themeColor="text2"/>
              <w:left w:val="nil"/>
              <w:bottom w:val="dotted" w:sz="8" w:space="0" w:color="7D7D7D" w:themeColor="text2"/>
              <w:right w:val="nil"/>
            </w:tcBorders>
          </w:tcPr>
          <w:p w14:paraId="05143BCC" w14:textId="77777777" w:rsidR="005066D3" w:rsidRPr="00D055DB" w:rsidRDefault="005066D3" w:rsidP="001D3D1F">
            <w:pPr>
              <w:pStyle w:val="TableTextSmall"/>
              <w:rPr>
                <w:sz w:val="20"/>
                <w:szCs w:val="20"/>
              </w:rPr>
            </w:pPr>
          </w:p>
        </w:tc>
      </w:tr>
      <w:tr w:rsidR="005066D3" w:rsidRPr="002B7285" w14:paraId="0FA81CB3" w14:textId="77777777" w:rsidTr="001D3D1F">
        <w:tc>
          <w:tcPr>
            <w:tcW w:w="240" w:type="pct"/>
            <w:tcBorders>
              <w:top w:val="dotted" w:sz="4" w:space="0" w:color="7D7D7D" w:themeColor="text2"/>
              <w:left w:val="nil"/>
              <w:bottom w:val="single" w:sz="4" w:space="0" w:color="7D7D7D" w:themeColor="text2"/>
              <w:right w:val="nil"/>
            </w:tcBorders>
          </w:tcPr>
          <w:p w14:paraId="572334D2" w14:textId="77777777" w:rsidR="005066D3" w:rsidRPr="002B7285" w:rsidRDefault="005066D3" w:rsidP="001D3D1F">
            <w:pPr>
              <w:spacing w:before="40" w:after="40"/>
              <w:rPr>
                <w:rFonts w:ascii="Arial" w:hAnsi="Arial"/>
                <w:b/>
                <w:sz w:val="16"/>
                <w:szCs w:val="18"/>
              </w:rPr>
            </w:pPr>
            <w:r>
              <w:rPr>
                <w:rFonts w:ascii="Arial" w:hAnsi="Arial"/>
                <w:b/>
                <w:sz w:val="16"/>
                <w:szCs w:val="18"/>
              </w:rPr>
              <w:t>13</w:t>
            </w:r>
          </w:p>
        </w:tc>
        <w:tc>
          <w:tcPr>
            <w:tcW w:w="2631" w:type="pct"/>
            <w:tcBorders>
              <w:top w:val="dotted" w:sz="4" w:space="0" w:color="7D7D7D" w:themeColor="text2"/>
              <w:left w:val="nil"/>
              <w:bottom w:val="single" w:sz="4" w:space="0" w:color="7D7D7D" w:themeColor="text2"/>
              <w:right w:val="nil"/>
            </w:tcBorders>
          </w:tcPr>
          <w:p w14:paraId="7CAE30BB" w14:textId="77777777" w:rsidR="005066D3" w:rsidRPr="002B7285" w:rsidRDefault="005066D3" w:rsidP="001D3D1F">
            <w:pPr>
              <w:spacing w:before="40" w:after="40"/>
              <w:rPr>
                <w:rFonts w:ascii="Arial" w:hAnsi="Arial"/>
                <w:b/>
                <w:sz w:val="16"/>
                <w:szCs w:val="18"/>
              </w:rPr>
            </w:pPr>
            <w:r w:rsidRPr="002B7285">
              <w:rPr>
                <w:rFonts w:ascii="Arial" w:hAnsi="Arial"/>
                <w:b/>
                <w:sz w:val="16"/>
                <w:szCs w:val="18"/>
              </w:rPr>
              <w:t>Action:</w:t>
            </w:r>
            <w:r w:rsidRPr="002B7285">
              <w:rPr>
                <w:rFonts w:ascii="Arial" w:hAnsi="Arial"/>
                <w:sz w:val="16"/>
                <w:szCs w:val="18"/>
              </w:rPr>
              <w:t xml:space="preserve"> Building on the work of the Child Protection Information Sharing Project, the states and territories will improve protocols and procedures to share child protection related information between jurisdictions, including information on the support needs of children and families in child protection systems.</w:t>
            </w:r>
          </w:p>
        </w:tc>
        <w:tc>
          <w:tcPr>
            <w:tcW w:w="531" w:type="pct"/>
            <w:tcBorders>
              <w:top w:val="dotted" w:sz="4" w:space="0" w:color="7D7D7D" w:themeColor="text2"/>
              <w:left w:val="nil"/>
              <w:bottom w:val="single" w:sz="4" w:space="0" w:color="7D7D7D" w:themeColor="text2"/>
              <w:right w:val="nil"/>
            </w:tcBorders>
          </w:tcPr>
          <w:p w14:paraId="41906AF9" w14:textId="77777777" w:rsidR="005066D3" w:rsidRPr="00D055DB" w:rsidRDefault="005066D3" w:rsidP="001D3D1F">
            <w:pPr>
              <w:pStyle w:val="TableTextSmall"/>
              <w:rPr>
                <w:sz w:val="20"/>
                <w:szCs w:val="20"/>
              </w:rPr>
            </w:pPr>
          </w:p>
        </w:tc>
        <w:tc>
          <w:tcPr>
            <w:tcW w:w="531" w:type="pct"/>
            <w:tcBorders>
              <w:top w:val="dotted" w:sz="4" w:space="0" w:color="7D7D7D" w:themeColor="text2"/>
              <w:left w:val="nil"/>
              <w:bottom w:val="single" w:sz="4" w:space="0" w:color="7D7D7D" w:themeColor="text2"/>
              <w:right w:val="nil"/>
            </w:tcBorders>
          </w:tcPr>
          <w:p w14:paraId="5C64A1CE" w14:textId="77777777" w:rsidR="005066D3" w:rsidRPr="00D055DB" w:rsidRDefault="005066D3" w:rsidP="001D3D1F">
            <w:pPr>
              <w:pStyle w:val="TableTextSmall"/>
              <w:rPr>
                <w:sz w:val="20"/>
                <w:szCs w:val="20"/>
              </w:rPr>
            </w:pPr>
          </w:p>
        </w:tc>
        <w:tc>
          <w:tcPr>
            <w:tcW w:w="531" w:type="pct"/>
            <w:tcBorders>
              <w:top w:val="dotted" w:sz="4" w:space="0" w:color="7D7D7D" w:themeColor="text2"/>
              <w:left w:val="nil"/>
              <w:bottom w:val="single" w:sz="4" w:space="0" w:color="7D7D7D" w:themeColor="text2"/>
              <w:right w:val="nil"/>
            </w:tcBorders>
          </w:tcPr>
          <w:p w14:paraId="1BA04364" w14:textId="77777777" w:rsidR="005066D3" w:rsidRPr="00D055DB" w:rsidRDefault="00897924" w:rsidP="001D3D1F">
            <w:pPr>
              <w:pStyle w:val="TableTextSmall"/>
              <w:rPr>
                <w:sz w:val="20"/>
                <w:szCs w:val="20"/>
              </w:rPr>
            </w:pPr>
            <w:r w:rsidRPr="00D055DB">
              <w:rPr>
                <w:sz w:val="20"/>
                <w:szCs w:val="20"/>
              </w:rPr>
              <w:sym w:font="Wingdings" w:char="F0FC"/>
            </w:r>
          </w:p>
        </w:tc>
        <w:tc>
          <w:tcPr>
            <w:tcW w:w="536" w:type="pct"/>
            <w:tcBorders>
              <w:top w:val="dotted" w:sz="4" w:space="0" w:color="7D7D7D" w:themeColor="text2"/>
              <w:left w:val="nil"/>
              <w:bottom w:val="single" w:sz="4" w:space="0" w:color="7D7D7D" w:themeColor="text2"/>
              <w:right w:val="nil"/>
            </w:tcBorders>
          </w:tcPr>
          <w:p w14:paraId="6E4607DA" w14:textId="77777777" w:rsidR="005066D3" w:rsidRPr="00D055DB" w:rsidRDefault="005066D3" w:rsidP="001D3D1F">
            <w:pPr>
              <w:pStyle w:val="TableTextSmall"/>
              <w:rPr>
                <w:sz w:val="20"/>
                <w:szCs w:val="20"/>
              </w:rPr>
            </w:pPr>
            <w:r w:rsidRPr="00D055DB">
              <w:rPr>
                <w:sz w:val="20"/>
                <w:szCs w:val="20"/>
              </w:rPr>
              <w:sym w:font="Wingdings" w:char="F0FC"/>
            </w:r>
          </w:p>
        </w:tc>
      </w:tr>
    </w:tbl>
    <w:bookmarkEnd w:id="306"/>
    <w:p w14:paraId="3F61C516" w14:textId="1570BE27" w:rsidR="005066D3" w:rsidRDefault="003A7B63" w:rsidP="005066D3">
      <w:pPr>
        <w:pStyle w:val="PwCNormal"/>
        <w:numPr>
          <w:ilvl w:val="0"/>
          <w:numId w:val="0"/>
        </w:numPr>
      </w:pPr>
      <w:r>
        <w:fldChar w:fldCharType="begin"/>
      </w:r>
      <w:r>
        <w:instrText xml:space="preserve"> REF _Ref31294600 \h  \* MERGEFORMAT </w:instrText>
      </w:r>
      <w:r>
        <w:fldChar w:fldCharType="separate"/>
      </w:r>
      <w:r w:rsidR="00D75351" w:rsidRPr="00D75351">
        <w:t>Table 23</w:t>
      </w:r>
      <w:r>
        <w:fldChar w:fldCharType="end"/>
      </w:r>
      <w:r>
        <w:t xml:space="preserve"> </w:t>
      </w:r>
      <w:r w:rsidR="005066D3">
        <w:t xml:space="preserve">maps Framework’s supporting outcomes to the Articles of the UNDRIP. </w:t>
      </w:r>
    </w:p>
    <w:p w14:paraId="24D2B077" w14:textId="6CAAAB8F" w:rsidR="00E007A4" w:rsidRPr="0003619F" w:rsidRDefault="00E007A4" w:rsidP="00E007A4">
      <w:pPr>
        <w:keepNext/>
        <w:keepLines/>
        <w:tabs>
          <w:tab w:val="left" w:pos="992"/>
        </w:tabs>
        <w:spacing w:before="240" w:after="120"/>
        <w:ind w:left="992" w:hanging="992"/>
        <w:rPr>
          <w:rFonts w:ascii="Arial" w:hAnsi="Arial"/>
          <w:bCs/>
          <w:color w:val="D04A02"/>
          <w:szCs w:val="18"/>
        </w:rPr>
      </w:pPr>
      <w:bookmarkStart w:id="307" w:name="_Ref31294600"/>
      <w:r w:rsidRPr="0003619F">
        <w:rPr>
          <w:rFonts w:ascii="Arial" w:hAnsi="Arial"/>
          <w:bCs/>
          <w:color w:val="D04A02"/>
          <w:szCs w:val="18"/>
        </w:rPr>
        <w:t xml:space="preserve">Table </w:t>
      </w:r>
      <w:r w:rsidRPr="0003619F">
        <w:rPr>
          <w:rFonts w:ascii="Arial" w:hAnsi="Arial"/>
          <w:bCs/>
          <w:color w:val="D04A02"/>
          <w:szCs w:val="18"/>
        </w:rPr>
        <w:fldChar w:fldCharType="begin"/>
      </w:r>
      <w:r w:rsidRPr="0003619F">
        <w:rPr>
          <w:rFonts w:ascii="Arial" w:hAnsi="Arial"/>
          <w:bCs/>
          <w:color w:val="D04A02"/>
          <w:szCs w:val="18"/>
        </w:rPr>
        <w:instrText xml:space="preserve"> SEQ Table \* ARABIC </w:instrText>
      </w:r>
      <w:r w:rsidRPr="0003619F">
        <w:rPr>
          <w:rFonts w:ascii="Arial" w:hAnsi="Arial"/>
          <w:bCs/>
          <w:color w:val="D04A02"/>
          <w:szCs w:val="18"/>
        </w:rPr>
        <w:fldChar w:fldCharType="separate"/>
      </w:r>
      <w:r w:rsidR="00D75351">
        <w:rPr>
          <w:rFonts w:ascii="Arial" w:hAnsi="Arial"/>
          <w:bCs/>
          <w:noProof/>
          <w:color w:val="D04A02"/>
          <w:szCs w:val="18"/>
        </w:rPr>
        <w:t>23</w:t>
      </w:r>
      <w:r w:rsidRPr="0003619F">
        <w:rPr>
          <w:rFonts w:ascii="Arial" w:hAnsi="Arial"/>
          <w:bCs/>
          <w:noProof/>
          <w:color w:val="D04A02"/>
          <w:szCs w:val="18"/>
        </w:rPr>
        <w:fldChar w:fldCharType="end"/>
      </w:r>
      <w:bookmarkEnd w:id="307"/>
      <w:r w:rsidRPr="0003619F">
        <w:rPr>
          <w:rFonts w:ascii="Arial" w:hAnsi="Arial"/>
          <w:bCs/>
          <w:color w:val="D04A02"/>
          <w:szCs w:val="18"/>
        </w:rPr>
        <w:t>: Alignment of Framework supporting outcomes to Articles of the UNDRIP</w:t>
      </w:r>
    </w:p>
    <w:tbl>
      <w:tblPr>
        <w:tblStyle w:val="PwCColour"/>
        <w:tblW w:w="0" w:type="auto"/>
        <w:tblLook w:val="04A0" w:firstRow="1" w:lastRow="0" w:firstColumn="1" w:lastColumn="0" w:noHBand="0" w:noVBand="1"/>
        <w:tblCaption w:val="Table 23: Alignment of Framework supporting outcomes to Articles of the the United Nations declaration on the rights of Indigenous people (UNDRIP)"/>
        <w:tblDescription w:val="National Framework Supporting Outcome 1: Children live in safe and supportive families and communities.&#10;UNDRIP: Article 1: Indigenous peoples have the right to the full enjoyment of all human rights. Article 7: Indigenous individuals have the rights to life, physical and mental integrity, liberty and security of person.&#10;Discussion: Supporting Outcome 1 aligns with articles 1 and 7 as the outcome supports all children to live in safe and supportive families.  In order for Aboriginal people to enjoy human rights and maintain physical and mental integrity, it is important that Aboriginal children and their families are safe and well.&#10;&#10;National Framework Supporting Outcome 2: Children and families access adequate support to promote safety and intervene early.&#10;UNDRIP: Article 21: Indigenous peoples have the right, without discrimination, to the improvement of their economic and social conditions, including in the areas of education, housing, sanitation, health and social security. Article 24: Indigenous individuals have an equal right to the enjoyment of the highest attainable standard of physical and mental health&#10;Discussion: Access to adequate services, as per Supporting Outcome 2, assists Aboriginal families to improve their wellbeing and attain the highest standard of health, aligning with articles 21 and 24. &#10;&#10;National Framework Supporting Outcome 3: Risk factors for child abuse and neglect are addressed.&#10;UNDRIP: Article 22: States shall take measures, in conjunction with Indigenous peoples, to ensure that Indigenous women and children enjoy the full protection and guarantees against all forms of violence and discrimination.&#10;Discussion To ensure Aboriginal families enjoy physical and mental health integrity, the high rates of domestic violence in the Aboriginal community must be addressed.  Supporting Outcome 3 addresses this risk factor which in turn aligns with article 22 of the UNDRIP and the right Aboriginal women and children have to be protected from forms of abuse and neglect.  &#10;&#10;National Framework Supporting Outcome 4: Children who have been abused or neglected receive the support and care they need for their safety and wellbeing.  Nothing is reported under UNDRIP or the discussion fields.&#10;&#10;National Framework Supporting Outcome 5: Indigenous children are supported and safe in their families and communities.&#10;UNDRIP: Article 3: Indigenous peoples have the right of self-determination. Article 4: Indigenous peoples, in exercising their right to self-determination, have the right to autonomy or self-government in matters relating to their internal and local affairs. Article 5: Indigenous peoples have the right to maintain and strengthen their distinct political, legal, economic, social and cultural institutions. Article 8: Indigenous peoples and individuals have the right not to be subjected to forced assimilation or destruction of their culture. Article 11: Indigenous peoples have the right to practice and revitalize their cultural traditions and customs. Article 22: Particular attention shall be paid to the rights and special needs of Indigenous elders, women, youth, children and persons with disabilities.&#10;Discussion: Articles 3, 4, 5 and 8 have been identified as corresponding with Supporting Outcome 5. These four articles relate to the right Aboriginal people have to self-determination and to pursue and control their own social, economic and cultural destinies.  Supporting Outcome 5 somewhat upholds these rights through its commitment to expanding Aboriginal family services (such as SNAICC), rolling out Aboriginal community building activities and, working with Aboriginal organisations to increase the cultural competency of child safety services. &#10;&#10;National Framework Supporting Outcome 6: Child sexual abuse and exploitation is prevented, and survivors receive adequate support.   Nothing is reported under UNDRIP or the discussion fields.&#10;"/>
      </w:tblPr>
      <w:tblGrid>
        <w:gridCol w:w="2830"/>
        <w:gridCol w:w="3512"/>
        <w:gridCol w:w="3513"/>
      </w:tblGrid>
      <w:tr w:rsidR="00E007A4" w:rsidRPr="0003619F" w14:paraId="01A3C33B" w14:textId="77777777" w:rsidTr="00ED4D1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830" w:type="dxa"/>
          </w:tcPr>
          <w:p w14:paraId="41C8860B" w14:textId="77777777" w:rsidR="00E007A4" w:rsidRPr="0003619F" w:rsidRDefault="00E007A4" w:rsidP="00ED4D1C">
            <w:pPr>
              <w:keepNext/>
              <w:keepLines/>
              <w:spacing w:before="40" w:after="40"/>
              <w:rPr>
                <w:rFonts w:ascii="Arial" w:hAnsi="Arial"/>
                <w:b/>
                <w:sz w:val="16"/>
                <w:szCs w:val="16"/>
              </w:rPr>
            </w:pPr>
            <w:r w:rsidRPr="0003619F">
              <w:rPr>
                <w:rFonts w:ascii="Arial" w:hAnsi="Arial"/>
                <w:b/>
                <w:sz w:val="16"/>
                <w:szCs w:val="16"/>
              </w:rPr>
              <w:t>National Framework Supporting Outcomes</w:t>
            </w:r>
          </w:p>
        </w:tc>
        <w:tc>
          <w:tcPr>
            <w:tcW w:w="3512" w:type="dxa"/>
          </w:tcPr>
          <w:p w14:paraId="44CB3268" w14:textId="77777777" w:rsidR="00E007A4" w:rsidRPr="0003619F" w:rsidRDefault="00E007A4" w:rsidP="00ED4D1C">
            <w:pPr>
              <w:keepNext/>
              <w:keepLines/>
              <w:spacing w:before="40" w:after="40"/>
              <w:cnfStyle w:val="100000000000" w:firstRow="1" w:lastRow="0" w:firstColumn="0" w:lastColumn="0" w:oddVBand="0" w:evenVBand="0" w:oddHBand="0" w:evenHBand="0" w:firstRowFirstColumn="0" w:firstRowLastColumn="0" w:lastRowFirstColumn="0" w:lastRowLastColumn="0"/>
              <w:rPr>
                <w:rFonts w:ascii="Arial" w:hAnsi="Arial"/>
                <w:b/>
                <w:sz w:val="16"/>
                <w:szCs w:val="16"/>
              </w:rPr>
            </w:pPr>
            <w:r w:rsidRPr="0003619F">
              <w:rPr>
                <w:rFonts w:ascii="Arial" w:hAnsi="Arial"/>
                <w:b/>
                <w:sz w:val="16"/>
                <w:szCs w:val="16"/>
              </w:rPr>
              <w:t>UNDRIP</w:t>
            </w:r>
          </w:p>
        </w:tc>
        <w:tc>
          <w:tcPr>
            <w:tcW w:w="3513" w:type="dxa"/>
          </w:tcPr>
          <w:p w14:paraId="42599486" w14:textId="77777777" w:rsidR="00E007A4" w:rsidRPr="0003619F" w:rsidRDefault="00E007A4" w:rsidP="00ED4D1C">
            <w:pPr>
              <w:keepNext/>
              <w:keepLines/>
              <w:spacing w:before="40" w:after="40"/>
              <w:cnfStyle w:val="100000000000" w:firstRow="1" w:lastRow="0" w:firstColumn="0" w:lastColumn="0" w:oddVBand="0" w:evenVBand="0" w:oddHBand="0" w:evenHBand="0" w:firstRowFirstColumn="0" w:firstRowLastColumn="0" w:lastRowFirstColumn="0" w:lastRowLastColumn="0"/>
              <w:rPr>
                <w:rFonts w:ascii="Arial" w:hAnsi="Arial"/>
                <w:b/>
                <w:sz w:val="16"/>
                <w:szCs w:val="16"/>
              </w:rPr>
            </w:pPr>
            <w:r w:rsidRPr="0003619F">
              <w:rPr>
                <w:rFonts w:ascii="Arial" w:hAnsi="Arial"/>
                <w:b/>
                <w:sz w:val="16"/>
                <w:szCs w:val="16"/>
              </w:rPr>
              <w:t>Discussion</w:t>
            </w:r>
          </w:p>
        </w:tc>
      </w:tr>
      <w:tr w:rsidR="00E007A4" w:rsidRPr="0003619F" w14:paraId="6143A420" w14:textId="77777777" w:rsidTr="00ED4D1C">
        <w:tc>
          <w:tcPr>
            <w:tcW w:w="2830" w:type="dxa"/>
          </w:tcPr>
          <w:p w14:paraId="02856D27" w14:textId="77777777" w:rsidR="00E007A4" w:rsidRPr="0003619F" w:rsidRDefault="00E007A4" w:rsidP="00ED4D1C">
            <w:pPr>
              <w:spacing w:before="40" w:after="40"/>
              <w:rPr>
                <w:rFonts w:ascii="Arial" w:hAnsi="Arial"/>
                <w:sz w:val="16"/>
                <w:szCs w:val="18"/>
              </w:rPr>
            </w:pPr>
            <w:r w:rsidRPr="0003619F">
              <w:rPr>
                <w:rFonts w:ascii="Arial" w:hAnsi="Arial"/>
                <w:sz w:val="16"/>
                <w:szCs w:val="18"/>
              </w:rPr>
              <w:t>Outcome 1: Children live in safe and supportive families and communities.</w:t>
            </w:r>
          </w:p>
        </w:tc>
        <w:tc>
          <w:tcPr>
            <w:tcW w:w="3512" w:type="dxa"/>
          </w:tcPr>
          <w:p w14:paraId="53B925EB" w14:textId="77777777" w:rsidR="00E007A4" w:rsidRPr="0003619F" w:rsidRDefault="00E007A4" w:rsidP="00ED4D1C">
            <w:pPr>
              <w:spacing w:before="40" w:after="40"/>
              <w:rPr>
                <w:rFonts w:ascii="Arial" w:hAnsi="Arial"/>
                <w:sz w:val="16"/>
                <w:szCs w:val="18"/>
              </w:rPr>
            </w:pPr>
            <w:r w:rsidRPr="0003619F">
              <w:rPr>
                <w:rFonts w:ascii="Arial" w:hAnsi="Arial"/>
                <w:sz w:val="16"/>
                <w:szCs w:val="18"/>
              </w:rPr>
              <w:t xml:space="preserve">Article 1: Indigenous peoples have the right to the full enjoyment of all human rights </w:t>
            </w:r>
          </w:p>
          <w:p w14:paraId="00F088EB" w14:textId="77777777" w:rsidR="00E007A4" w:rsidRPr="0003619F" w:rsidRDefault="00E007A4" w:rsidP="00ED4D1C">
            <w:pPr>
              <w:spacing w:before="40" w:after="40"/>
              <w:rPr>
                <w:rFonts w:ascii="Arial" w:hAnsi="Arial"/>
                <w:sz w:val="16"/>
                <w:szCs w:val="18"/>
              </w:rPr>
            </w:pPr>
            <w:r w:rsidRPr="0003619F">
              <w:rPr>
                <w:rFonts w:ascii="Arial" w:hAnsi="Arial"/>
                <w:sz w:val="16"/>
                <w:szCs w:val="18"/>
              </w:rPr>
              <w:t>Article 7: Indigenous individuals have the rights to life, physical and mental integrity, liberty and security of person</w:t>
            </w:r>
          </w:p>
        </w:tc>
        <w:tc>
          <w:tcPr>
            <w:tcW w:w="3513" w:type="dxa"/>
          </w:tcPr>
          <w:p w14:paraId="26C150C0" w14:textId="77777777" w:rsidR="00E007A4" w:rsidRPr="0003619F" w:rsidRDefault="00E007A4" w:rsidP="00ED4D1C">
            <w:pPr>
              <w:spacing w:before="40" w:after="40"/>
              <w:rPr>
                <w:rFonts w:ascii="Arial" w:hAnsi="Arial"/>
                <w:sz w:val="16"/>
                <w:szCs w:val="18"/>
              </w:rPr>
            </w:pPr>
            <w:r w:rsidRPr="0003619F">
              <w:rPr>
                <w:rFonts w:ascii="Arial" w:hAnsi="Arial"/>
                <w:sz w:val="16"/>
                <w:szCs w:val="18"/>
              </w:rPr>
              <w:t>Supporting Outcome 1 aligns with articles 1 and 7 as the outcome supports all children to live in safe and supportive families.</w:t>
            </w:r>
            <w:r w:rsidRPr="0003619F">
              <w:rPr>
                <w:rFonts w:ascii="Arial" w:hAnsi="Arial"/>
                <w:sz w:val="21"/>
                <w:szCs w:val="18"/>
                <w:vertAlign w:val="superscript"/>
              </w:rPr>
              <w:footnoteReference w:id="71"/>
            </w:r>
            <w:r w:rsidRPr="0003619F">
              <w:rPr>
                <w:rFonts w:ascii="Arial" w:hAnsi="Arial"/>
                <w:sz w:val="16"/>
                <w:szCs w:val="18"/>
              </w:rPr>
              <w:t xml:space="preserve"> In order for Aboriginal people to enjoy human rights and maintain physical and mental integrity, it is important that Aboriginal children and their families are safe and well.</w:t>
            </w:r>
          </w:p>
        </w:tc>
      </w:tr>
      <w:tr w:rsidR="00E007A4" w:rsidRPr="0003619F" w14:paraId="4393B65B" w14:textId="77777777" w:rsidTr="00ED4D1C">
        <w:tc>
          <w:tcPr>
            <w:tcW w:w="2830" w:type="dxa"/>
          </w:tcPr>
          <w:p w14:paraId="7AFC44D0" w14:textId="77777777" w:rsidR="00E007A4" w:rsidRPr="0003619F" w:rsidRDefault="00E007A4" w:rsidP="00ED4D1C">
            <w:pPr>
              <w:spacing w:before="40" w:after="40"/>
              <w:rPr>
                <w:rFonts w:ascii="Arial" w:hAnsi="Arial"/>
                <w:sz w:val="16"/>
                <w:szCs w:val="18"/>
              </w:rPr>
            </w:pPr>
            <w:r w:rsidRPr="0003619F">
              <w:rPr>
                <w:rFonts w:ascii="Arial" w:hAnsi="Arial"/>
                <w:sz w:val="16"/>
                <w:szCs w:val="18"/>
              </w:rPr>
              <w:t>Outcome 2: Children and families access adequate support to promote safety and intervene early.</w:t>
            </w:r>
          </w:p>
        </w:tc>
        <w:tc>
          <w:tcPr>
            <w:tcW w:w="3512" w:type="dxa"/>
          </w:tcPr>
          <w:p w14:paraId="3AE8D859" w14:textId="77777777" w:rsidR="00E007A4" w:rsidRPr="0003619F" w:rsidRDefault="00E007A4" w:rsidP="00ED4D1C">
            <w:pPr>
              <w:spacing w:before="40" w:after="40"/>
              <w:rPr>
                <w:rFonts w:ascii="Arial" w:hAnsi="Arial"/>
                <w:sz w:val="16"/>
                <w:szCs w:val="18"/>
              </w:rPr>
            </w:pPr>
            <w:r w:rsidRPr="0003619F">
              <w:rPr>
                <w:rFonts w:ascii="Arial" w:hAnsi="Arial"/>
                <w:sz w:val="16"/>
                <w:szCs w:val="18"/>
              </w:rPr>
              <w:t>Article 21: Indigenous peoples have the right, without discrimination, to the improvement of their economic and social conditions, including in the areas of education, housing, sanitation, health and social security</w:t>
            </w:r>
          </w:p>
          <w:p w14:paraId="11C0A0AE" w14:textId="77777777" w:rsidR="00E007A4" w:rsidRPr="0003619F" w:rsidRDefault="00E007A4" w:rsidP="00ED4D1C">
            <w:pPr>
              <w:spacing w:before="40" w:after="40"/>
              <w:rPr>
                <w:rFonts w:ascii="Arial" w:hAnsi="Arial"/>
                <w:sz w:val="16"/>
                <w:szCs w:val="18"/>
              </w:rPr>
            </w:pPr>
            <w:r w:rsidRPr="0003619F">
              <w:rPr>
                <w:rFonts w:ascii="Arial" w:hAnsi="Arial"/>
                <w:sz w:val="16"/>
                <w:szCs w:val="18"/>
              </w:rPr>
              <w:t xml:space="preserve">Article 24: Indigenous individuals have an equal right to the enjoyment of the highest </w:t>
            </w:r>
            <w:r w:rsidRPr="0003619F">
              <w:rPr>
                <w:rFonts w:ascii="Arial" w:hAnsi="Arial"/>
                <w:sz w:val="16"/>
                <w:szCs w:val="18"/>
              </w:rPr>
              <w:lastRenderedPageBreak/>
              <w:t>attainable standard of physical and mental health</w:t>
            </w:r>
          </w:p>
        </w:tc>
        <w:tc>
          <w:tcPr>
            <w:tcW w:w="3513" w:type="dxa"/>
          </w:tcPr>
          <w:p w14:paraId="25E0FE97" w14:textId="77777777" w:rsidR="00E007A4" w:rsidRPr="0003619F" w:rsidRDefault="00E007A4" w:rsidP="00ED4D1C">
            <w:pPr>
              <w:spacing w:before="40" w:after="40"/>
              <w:rPr>
                <w:rFonts w:ascii="Arial" w:hAnsi="Arial"/>
                <w:sz w:val="16"/>
                <w:szCs w:val="18"/>
              </w:rPr>
            </w:pPr>
            <w:r w:rsidRPr="0003619F">
              <w:rPr>
                <w:rFonts w:ascii="Arial" w:hAnsi="Arial"/>
                <w:sz w:val="16"/>
                <w:szCs w:val="18"/>
              </w:rPr>
              <w:lastRenderedPageBreak/>
              <w:t xml:space="preserve">Access to adequate services, as per Supporting Outcome 2, assists Aboriginal families to improve their wellbeing and attain </w:t>
            </w:r>
            <w:r w:rsidRPr="0003619F">
              <w:rPr>
                <w:rFonts w:ascii="Arial" w:hAnsi="Arial"/>
                <w:sz w:val="16"/>
                <w:szCs w:val="18"/>
              </w:rPr>
              <w:lastRenderedPageBreak/>
              <w:t>the highest standard of health, aligning with articles 21 and 24.</w:t>
            </w:r>
            <w:r w:rsidRPr="0003619F">
              <w:rPr>
                <w:rFonts w:ascii="Arial" w:hAnsi="Arial"/>
                <w:sz w:val="21"/>
                <w:szCs w:val="18"/>
                <w:vertAlign w:val="superscript"/>
              </w:rPr>
              <w:footnoteReference w:id="72"/>
            </w:r>
          </w:p>
        </w:tc>
      </w:tr>
      <w:tr w:rsidR="00E007A4" w:rsidRPr="0003619F" w14:paraId="128400C8" w14:textId="77777777" w:rsidTr="00ED4D1C">
        <w:tc>
          <w:tcPr>
            <w:tcW w:w="2830" w:type="dxa"/>
          </w:tcPr>
          <w:p w14:paraId="14C79030" w14:textId="77777777" w:rsidR="00E007A4" w:rsidRPr="0003619F" w:rsidRDefault="00E007A4" w:rsidP="00ED4D1C">
            <w:pPr>
              <w:spacing w:before="40" w:after="40"/>
              <w:rPr>
                <w:rFonts w:ascii="Arial" w:hAnsi="Arial"/>
                <w:sz w:val="16"/>
                <w:szCs w:val="18"/>
              </w:rPr>
            </w:pPr>
            <w:r w:rsidRPr="0003619F">
              <w:rPr>
                <w:rFonts w:ascii="Arial" w:hAnsi="Arial"/>
                <w:sz w:val="16"/>
                <w:szCs w:val="18"/>
              </w:rPr>
              <w:lastRenderedPageBreak/>
              <w:t>Outcome 3: Risk factors for child abuse and neglect are addressed.</w:t>
            </w:r>
          </w:p>
        </w:tc>
        <w:tc>
          <w:tcPr>
            <w:tcW w:w="3512" w:type="dxa"/>
          </w:tcPr>
          <w:p w14:paraId="46F32DB8" w14:textId="77777777" w:rsidR="00E007A4" w:rsidRPr="0003619F" w:rsidRDefault="00E007A4" w:rsidP="00ED4D1C">
            <w:pPr>
              <w:spacing w:before="40" w:after="40"/>
              <w:rPr>
                <w:rFonts w:ascii="Arial" w:hAnsi="Arial"/>
                <w:sz w:val="16"/>
                <w:szCs w:val="18"/>
              </w:rPr>
            </w:pPr>
            <w:r w:rsidRPr="0003619F">
              <w:rPr>
                <w:rFonts w:ascii="Arial" w:hAnsi="Arial"/>
                <w:sz w:val="16"/>
                <w:szCs w:val="18"/>
              </w:rPr>
              <w:t>Article 22: States shall take measures, in conjunction with Indigenous peoples, to ensure that Indigenous women and children enjoy the full protection and guarantees against all forms of violence and discrimination</w:t>
            </w:r>
          </w:p>
        </w:tc>
        <w:tc>
          <w:tcPr>
            <w:tcW w:w="3513" w:type="dxa"/>
          </w:tcPr>
          <w:p w14:paraId="7A2DD317" w14:textId="77777777" w:rsidR="00E007A4" w:rsidRPr="0003619F" w:rsidRDefault="00E007A4" w:rsidP="00ED4D1C">
            <w:pPr>
              <w:spacing w:before="40" w:after="40"/>
              <w:rPr>
                <w:rFonts w:ascii="Arial" w:hAnsi="Arial"/>
                <w:sz w:val="16"/>
                <w:szCs w:val="18"/>
              </w:rPr>
            </w:pPr>
            <w:r w:rsidRPr="0003619F">
              <w:rPr>
                <w:rFonts w:ascii="Arial" w:hAnsi="Arial"/>
                <w:sz w:val="16"/>
                <w:szCs w:val="18"/>
              </w:rPr>
              <w:t>To ensure Aboriginal families enjoy physical and mental health integrity, the high rates of domestic violence in the Aboriginal community must be addressed.</w:t>
            </w:r>
            <w:r w:rsidRPr="0003619F">
              <w:rPr>
                <w:rFonts w:ascii="Arial" w:hAnsi="Arial"/>
                <w:sz w:val="21"/>
                <w:szCs w:val="18"/>
                <w:vertAlign w:val="superscript"/>
              </w:rPr>
              <w:footnoteReference w:id="73"/>
            </w:r>
            <w:r w:rsidRPr="0003619F">
              <w:rPr>
                <w:rFonts w:ascii="Arial" w:hAnsi="Arial"/>
                <w:sz w:val="16"/>
                <w:szCs w:val="18"/>
              </w:rPr>
              <w:t xml:space="preserve"> Supporting Outcome 3 addresses this risk factor which in turn aligns with article 22 of the UNDRIP and the right Aboriginal women and children have to be protected from forms of abuse and neglect.</w:t>
            </w:r>
            <w:r w:rsidRPr="0003619F">
              <w:rPr>
                <w:rFonts w:ascii="Arial" w:hAnsi="Arial"/>
                <w:sz w:val="21"/>
                <w:szCs w:val="18"/>
                <w:vertAlign w:val="superscript"/>
              </w:rPr>
              <w:footnoteReference w:id="74"/>
            </w:r>
            <w:r w:rsidRPr="0003619F">
              <w:rPr>
                <w:rFonts w:ascii="Arial" w:hAnsi="Arial"/>
                <w:sz w:val="16"/>
                <w:szCs w:val="18"/>
              </w:rPr>
              <w:t xml:space="preserve"> </w:t>
            </w:r>
          </w:p>
          <w:p w14:paraId="4B082519" w14:textId="77777777" w:rsidR="00E007A4" w:rsidRPr="0003619F" w:rsidRDefault="00E007A4" w:rsidP="00ED4D1C">
            <w:pPr>
              <w:spacing w:before="40" w:after="40"/>
              <w:rPr>
                <w:rFonts w:ascii="Arial" w:hAnsi="Arial"/>
                <w:sz w:val="16"/>
                <w:szCs w:val="18"/>
              </w:rPr>
            </w:pPr>
          </w:p>
        </w:tc>
      </w:tr>
      <w:tr w:rsidR="00E007A4" w:rsidRPr="0003619F" w14:paraId="08FA993A" w14:textId="77777777" w:rsidTr="00ED4D1C">
        <w:tc>
          <w:tcPr>
            <w:tcW w:w="2830" w:type="dxa"/>
          </w:tcPr>
          <w:p w14:paraId="6D1EC42E" w14:textId="77777777" w:rsidR="00E007A4" w:rsidRPr="0003619F" w:rsidRDefault="00E007A4" w:rsidP="00ED4D1C">
            <w:pPr>
              <w:spacing w:before="40" w:after="40"/>
              <w:rPr>
                <w:rFonts w:ascii="Arial" w:hAnsi="Arial"/>
                <w:sz w:val="16"/>
                <w:szCs w:val="18"/>
              </w:rPr>
            </w:pPr>
            <w:r w:rsidRPr="0003619F">
              <w:rPr>
                <w:rFonts w:ascii="Arial" w:hAnsi="Arial"/>
                <w:sz w:val="16"/>
                <w:szCs w:val="18"/>
              </w:rPr>
              <w:t>Outcome 4: Children who have been abused or neglected receive the support and care they need for their safety and wellbeing.</w:t>
            </w:r>
          </w:p>
        </w:tc>
        <w:tc>
          <w:tcPr>
            <w:tcW w:w="3512" w:type="dxa"/>
          </w:tcPr>
          <w:p w14:paraId="50591C82" w14:textId="77777777" w:rsidR="00E007A4" w:rsidRPr="0003619F" w:rsidRDefault="00E007A4" w:rsidP="00ED4D1C">
            <w:pPr>
              <w:spacing w:before="40" w:after="40"/>
              <w:rPr>
                <w:rFonts w:ascii="Arial" w:hAnsi="Arial"/>
                <w:sz w:val="16"/>
                <w:szCs w:val="18"/>
              </w:rPr>
            </w:pPr>
          </w:p>
        </w:tc>
        <w:tc>
          <w:tcPr>
            <w:tcW w:w="3513" w:type="dxa"/>
          </w:tcPr>
          <w:p w14:paraId="05A7948D" w14:textId="77777777" w:rsidR="00E007A4" w:rsidRPr="0003619F" w:rsidRDefault="00E007A4" w:rsidP="00ED4D1C">
            <w:pPr>
              <w:spacing w:before="40" w:after="40"/>
              <w:rPr>
                <w:rFonts w:ascii="Arial" w:hAnsi="Arial"/>
                <w:sz w:val="16"/>
                <w:szCs w:val="18"/>
              </w:rPr>
            </w:pPr>
          </w:p>
        </w:tc>
      </w:tr>
      <w:tr w:rsidR="00E007A4" w:rsidRPr="0003619F" w14:paraId="471BA35A" w14:textId="77777777" w:rsidTr="00ED4D1C">
        <w:tc>
          <w:tcPr>
            <w:tcW w:w="2830" w:type="dxa"/>
          </w:tcPr>
          <w:p w14:paraId="10D4FBCC" w14:textId="77777777" w:rsidR="00E007A4" w:rsidRPr="0003619F" w:rsidRDefault="00E007A4" w:rsidP="00ED4D1C">
            <w:pPr>
              <w:spacing w:before="40" w:after="40"/>
              <w:rPr>
                <w:rFonts w:ascii="Arial" w:hAnsi="Arial"/>
                <w:sz w:val="16"/>
                <w:szCs w:val="18"/>
              </w:rPr>
            </w:pPr>
            <w:r w:rsidRPr="0003619F">
              <w:rPr>
                <w:rFonts w:ascii="Arial" w:hAnsi="Arial"/>
                <w:sz w:val="16"/>
                <w:szCs w:val="18"/>
              </w:rPr>
              <w:t>Outcome 5: Indigenous children are supported and safe in their families and communities.</w:t>
            </w:r>
          </w:p>
        </w:tc>
        <w:tc>
          <w:tcPr>
            <w:tcW w:w="3512" w:type="dxa"/>
          </w:tcPr>
          <w:p w14:paraId="55CC7DA7" w14:textId="77777777" w:rsidR="00E007A4" w:rsidRPr="0003619F" w:rsidRDefault="00E007A4" w:rsidP="00ED4D1C">
            <w:pPr>
              <w:spacing w:before="40" w:after="40"/>
              <w:rPr>
                <w:rFonts w:ascii="Arial" w:hAnsi="Arial"/>
                <w:sz w:val="16"/>
                <w:szCs w:val="18"/>
              </w:rPr>
            </w:pPr>
            <w:r w:rsidRPr="0003619F">
              <w:rPr>
                <w:rFonts w:ascii="Arial" w:hAnsi="Arial"/>
                <w:sz w:val="16"/>
                <w:szCs w:val="18"/>
              </w:rPr>
              <w:t>Article 3: Indigenous peoples have the right of self-determination</w:t>
            </w:r>
          </w:p>
          <w:p w14:paraId="20FD4085" w14:textId="77777777" w:rsidR="00E007A4" w:rsidRPr="0003619F" w:rsidRDefault="00E007A4" w:rsidP="00ED4D1C">
            <w:pPr>
              <w:spacing w:before="40" w:after="40"/>
              <w:rPr>
                <w:rFonts w:ascii="Arial" w:hAnsi="Arial"/>
                <w:sz w:val="16"/>
                <w:szCs w:val="18"/>
              </w:rPr>
            </w:pPr>
            <w:r w:rsidRPr="0003619F">
              <w:rPr>
                <w:rFonts w:ascii="Arial" w:hAnsi="Arial"/>
                <w:sz w:val="16"/>
                <w:szCs w:val="18"/>
              </w:rPr>
              <w:t>Article 4: Indigenous peoples, in exercising their right to self-determination, have the right to autonomy or self-government in matters relating to their internal and local affairs</w:t>
            </w:r>
          </w:p>
          <w:p w14:paraId="2EA0E16B" w14:textId="77777777" w:rsidR="00E007A4" w:rsidRPr="0003619F" w:rsidRDefault="00E007A4" w:rsidP="00ED4D1C">
            <w:pPr>
              <w:spacing w:before="40" w:after="40"/>
              <w:rPr>
                <w:rFonts w:ascii="Arial" w:hAnsi="Arial"/>
                <w:sz w:val="16"/>
                <w:szCs w:val="18"/>
              </w:rPr>
            </w:pPr>
            <w:r w:rsidRPr="0003619F">
              <w:rPr>
                <w:rFonts w:ascii="Arial" w:hAnsi="Arial"/>
                <w:sz w:val="16"/>
                <w:szCs w:val="18"/>
              </w:rPr>
              <w:t>Article 5: Indigenous peoples have the right to maintain and strengthen their distinct political, legal, economic, social and cultural institutions.</w:t>
            </w:r>
          </w:p>
          <w:p w14:paraId="6CF49B10" w14:textId="77777777" w:rsidR="00E007A4" w:rsidRPr="0003619F" w:rsidRDefault="00E007A4" w:rsidP="00ED4D1C">
            <w:pPr>
              <w:spacing w:before="40" w:after="40"/>
              <w:rPr>
                <w:rFonts w:ascii="Arial" w:hAnsi="Arial"/>
                <w:sz w:val="16"/>
                <w:szCs w:val="18"/>
              </w:rPr>
            </w:pPr>
            <w:r w:rsidRPr="0003619F">
              <w:rPr>
                <w:rFonts w:ascii="Arial" w:hAnsi="Arial"/>
                <w:sz w:val="16"/>
                <w:szCs w:val="18"/>
              </w:rPr>
              <w:t>Article 8: Indigenous peoples and individuals have the right not to be subjected to forced assimilation or destruction of their culture.</w:t>
            </w:r>
          </w:p>
          <w:p w14:paraId="7EEDA2CE" w14:textId="77777777" w:rsidR="00E007A4" w:rsidRPr="0003619F" w:rsidRDefault="00E007A4" w:rsidP="00ED4D1C">
            <w:pPr>
              <w:spacing w:before="40" w:after="40"/>
              <w:rPr>
                <w:rFonts w:ascii="Arial" w:hAnsi="Arial"/>
                <w:sz w:val="16"/>
                <w:szCs w:val="18"/>
              </w:rPr>
            </w:pPr>
            <w:r w:rsidRPr="0003619F">
              <w:rPr>
                <w:rFonts w:ascii="Arial" w:hAnsi="Arial"/>
                <w:sz w:val="16"/>
                <w:szCs w:val="18"/>
              </w:rPr>
              <w:t>Article 11: Indigenous peoples have the right to practice and revitalize their cultural traditions and customs.</w:t>
            </w:r>
          </w:p>
          <w:p w14:paraId="7D8BAB8C" w14:textId="77777777" w:rsidR="00E007A4" w:rsidRPr="0003619F" w:rsidRDefault="00E007A4" w:rsidP="00ED4D1C">
            <w:pPr>
              <w:spacing w:before="40" w:after="40"/>
              <w:rPr>
                <w:rFonts w:ascii="Arial" w:hAnsi="Arial"/>
                <w:sz w:val="16"/>
                <w:szCs w:val="18"/>
              </w:rPr>
            </w:pPr>
            <w:r w:rsidRPr="0003619F">
              <w:rPr>
                <w:rFonts w:ascii="Arial" w:hAnsi="Arial"/>
                <w:sz w:val="16"/>
                <w:szCs w:val="18"/>
              </w:rPr>
              <w:t>Article 22: Particular attention shall be paid to the rights and special needs of Indigenous elders, women, youth, children and persons with disabilities.</w:t>
            </w:r>
          </w:p>
        </w:tc>
        <w:tc>
          <w:tcPr>
            <w:tcW w:w="3513" w:type="dxa"/>
          </w:tcPr>
          <w:p w14:paraId="72411DA8" w14:textId="77777777" w:rsidR="00E007A4" w:rsidRPr="0003619F" w:rsidRDefault="00E007A4" w:rsidP="00ED4D1C">
            <w:pPr>
              <w:spacing w:before="40" w:after="40"/>
              <w:rPr>
                <w:rFonts w:ascii="Arial" w:hAnsi="Arial"/>
                <w:sz w:val="16"/>
                <w:szCs w:val="18"/>
              </w:rPr>
            </w:pPr>
            <w:r w:rsidRPr="0003619F">
              <w:rPr>
                <w:rFonts w:ascii="Arial" w:hAnsi="Arial"/>
                <w:sz w:val="16"/>
                <w:szCs w:val="18"/>
              </w:rPr>
              <w:t>Articles 3, 4, 5 and 8 have been identified as corresponding with Supporting Outcome 5. These four articles relate to the right Aboriginal people have to self-determination and to pursue and control their own social, economic and cultural destinies.</w:t>
            </w:r>
            <w:r w:rsidRPr="0003619F">
              <w:rPr>
                <w:rFonts w:ascii="Arial" w:hAnsi="Arial"/>
                <w:sz w:val="21"/>
                <w:szCs w:val="18"/>
                <w:vertAlign w:val="superscript"/>
              </w:rPr>
              <w:footnoteReference w:id="75"/>
            </w:r>
            <w:r w:rsidRPr="0003619F">
              <w:rPr>
                <w:rFonts w:ascii="Arial" w:hAnsi="Arial"/>
                <w:sz w:val="16"/>
                <w:szCs w:val="18"/>
              </w:rPr>
              <w:t xml:space="preserve"> Supporting Outcome 5 somewhat upholds these rights through its commitment to expanding Aboriginal family services (such as SNAICC), rolling out Aboriginal community building activities and, working with Aboriginal organisations to increase the cultural competency of child safety services.</w:t>
            </w:r>
            <w:r w:rsidRPr="0003619F">
              <w:rPr>
                <w:rFonts w:ascii="Arial" w:hAnsi="Arial"/>
                <w:sz w:val="21"/>
                <w:szCs w:val="18"/>
                <w:vertAlign w:val="superscript"/>
              </w:rPr>
              <w:footnoteReference w:id="76"/>
            </w:r>
          </w:p>
        </w:tc>
      </w:tr>
      <w:tr w:rsidR="00E007A4" w:rsidRPr="0003619F" w14:paraId="56BE88E6" w14:textId="77777777" w:rsidTr="00ED4D1C">
        <w:tc>
          <w:tcPr>
            <w:tcW w:w="2830" w:type="dxa"/>
          </w:tcPr>
          <w:p w14:paraId="0A568E23" w14:textId="77777777" w:rsidR="00E007A4" w:rsidRPr="0003619F" w:rsidRDefault="00E007A4" w:rsidP="00ED4D1C">
            <w:pPr>
              <w:spacing w:before="40" w:after="40"/>
              <w:rPr>
                <w:rFonts w:ascii="Arial" w:hAnsi="Arial"/>
                <w:sz w:val="16"/>
                <w:szCs w:val="18"/>
              </w:rPr>
            </w:pPr>
            <w:r w:rsidRPr="0003619F">
              <w:rPr>
                <w:rFonts w:ascii="Arial" w:hAnsi="Arial"/>
                <w:sz w:val="16"/>
                <w:szCs w:val="18"/>
              </w:rPr>
              <w:t>Outcome 6: Child sexual abuse and exploitation is prevented, and survivors receive adequate support.</w:t>
            </w:r>
          </w:p>
        </w:tc>
        <w:tc>
          <w:tcPr>
            <w:tcW w:w="3512" w:type="dxa"/>
          </w:tcPr>
          <w:p w14:paraId="35979168" w14:textId="77777777" w:rsidR="00E007A4" w:rsidRPr="0003619F" w:rsidRDefault="00E007A4" w:rsidP="00ED4D1C">
            <w:pPr>
              <w:spacing w:before="40" w:after="40"/>
              <w:rPr>
                <w:rFonts w:ascii="Arial" w:hAnsi="Arial"/>
                <w:sz w:val="16"/>
                <w:szCs w:val="18"/>
              </w:rPr>
            </w:pPr>
          </w:p>
        </w:tc>
        <w:tc>
          <w:tcPr>
            <w:tcW w:w="3513" w:type="dxa"/>
          </w:tcPr>
          <w:p w14:paraId="12B22192" w14:textId="77777777" w:rsidR="00E007A4" w:rsidRPr="0003619F" w:rsidRDefault="00E007A4" w:rsidP="00ED4D1C">
            <w:pPr>
              <w:spacing w:before="40" w:after="40"/>
              <w:rPr>
                <w:rFonts w:ascii="Arial" w:hAnsi="Arial"/>
                <w:sz w:val="16"/>
                <w:szCs w:val="18"/>
              </w:rPr>
            </w:pPr>
          </w:p>
        </w:tc>
      </w:tr>
    </w:tbl>
    <w:p w14:paraId="6696B57F" w14:textId="77777777" w:rsidR="00E007A4" w:rsidRDefault="00E007A4" w:rsidP="00080744">
      <w:pPr>
        <w:pStyle w:val="PwCNormal"/>
        <w:numPr>
          <w:ilvl w:val="0"/>
          <w:numId w:val="0"/>
        </w:numPr>
      </w:pPr>
    </w:p>
    <w:p w14:paraId="3EBDB017" w14:textId="059C81F2" w:rsidR="00080744" w:rsidRDefault="00080744" w:rsidP="00080744">
      <w:pPr>
        <w:pStyle w:val="PwCNormal"/>
        <w:numPr>
          <w:ilvl w:val="0"/>
          <w:numId w:val="0"/>
        </w:numPr>
      </w:pPr>
      <w:r>
        <w:lastRenderedPageBreak/>
        <w:fldChar w:fldCharType="begin"/>
      </w:r>
      <w:r>
        <w:instrText xml:space="preserve"> REF _Ref31295774 \h </w:instrText>
      </w:r>
      <w:r>
        <w:fldChar w:fldCharType="separate"/>
      </w:r>
      <w:r w:rsidR="00D75351">
        <w:t xml:space="preserve">Table </w:t>
      </w:r>
      <w:r w:rsidR="00D75351">
        <w:rPr>
          <w:noProof/>
        </w:rPr>
        <w:t>24</w:t>
      </w:r>
      <w:r>
        <w:fldChar w:fldCharType="end"/>
      </w:r>
      <w:r>
        <w:t xml:space="preserve"> provides additional detail on the specific actions funded through the National Framework including the Base appropriation. </w:t>
      </w:r>
    </w:p>
    <w:p w14:paraId="0E192BDD" w14:textId="40A0B3AF" w:rsidR="00080744" w:rsidRDefault="00080744" w:rsidP="00080744">
      <w:pPr>
        <w:pStyle w:val="Caption"/>
      </w:pPr>
      <w:bookmarkStart w:id="308" w:name="_Ref31295774"/>
      <w:r>
        <w:t xml:space="preserve">Table </w:t>
      </w:r>
      <w:fldSimple w:instr=" SEQ Table \* ARABIC ">
        <w:r w:rsidR="00D75351">
          <w:rPr>
            <w:noProof/>
          </w:rPr>
          <w:t>24</w:t>
        </w:r>
      </w:fldSimple>
      <w:bookmarkEnd w:id="308"/>
      <w:r>
        <w:t>: Summary of funding provided by the Commonwealth for the delivery of the Third and Fourth Action Plans</w:t>
      </w:r>
    </w:p>
    <w:tbl>
      <w:tblPr>
        <w:tblStyle w:val="PwCColour"/>
        <w:tblW w:w="10060" w:type="dxa"/>
        <w:tblLook w:val="04A0" w:firstRow="1" w:lastRow="0" w:firstColumn="1" w:lastColumn="0" w:noHBand="0" w:noVBand="1"/>
        <w:tblCaption w:val="Table 24: Summary of funding provided by the Commonwealth for the delivery of the Third and Fourth Action Plans"/>
        <w:tblDescription w:val="Action Plan 3&#10;&#10;Funding: Base National Initiatives appropriation&#10;Amount: $7.8 million ($2.6 million per annum, 2015-16 to 2017-18)&#10;Actions funded: &#10;• Development of the National Principles for Child Safe Organisations: action 3.1.1. &#10;• A research report on effective strategies for working with expectant parents, their babies, and families in which young children may be exposed to violence and other forms of risk: action 1.2.1&#10;• Contribution to the First 1000 Days Foundation Project: The Urban Pilot Preconception Study: action 1.2.2&#10;• Financial support to publish an ACT Discussion Paper: Transition from out-of-home care to adulthood: mapping legislation and policy across Australian jurisdictions: action 2.1.4&#10;• Secretariat support for the Aboriginal and Torres Strait Islander Working Group: Cross-cutting focus area – Indigenous - action 2&#10;• Data development for the ATSICPP: Cross-cutting focus area – Indigenous - action 1&#10;• Support to AIHW to develop a paper: Development of targets and progress markers: Final project report to DSS: Cross-cutting focus area – research – action 1&#10;• The Australian Institute of Family Studies conducted the survey ‘Working Together to Care for Kids: A Survey of Foster and Relative/kinship Carers’: Cross-cutting focus area – research – action 2&#10;• Youth consultations on the third action plan&#10;&#10;Funding: Building Capacity in Australia’s Parents trial&#10;Amount: $2.08 million (2016-17 to 2019-20)&#10;Actions funded: 1.1.1&#10;&#10;Funding: Transition to Independent Adulthood Trial&#10;Amount: $3.87 million (2016-17 to 2019-20)&#10;Actions funded: 2.1.2&#10;&#10;Funding: Connected Beginnings&#10;Amount: Approximately $12 million per annum provided by Department of Education &#10;Actions funded: 1.3.2&#10;&#10;In Action plan 3 there was a total amount of $13.75 million (2015-2020) provided by the commonwealth Department of Social Services and $60 million (2015-2020) provided by the commonwealth Department of Education &#10;&#10;Action Plan 4&#10;&#10;Funding: Base National Initiatives appropriation and Departmental reallocation to National Initiatives&#10;Amount: $7.8 million ($2.6 million per annum, 2018-19 to 2020-21) and 1.5 million (2018-19)&#10;Actions funded: &#10;• Development of a practical resource to support implementation of ATSICPP: action 1.1&#10;• Delivery of workshops in every state and territory to develop an individualised implementation plan for the ATSICPP: action 1.1&#10;• Development of an approach to promote timely and consistent decision making for permanency: action 3.2&#10;• Research project - Timely decision making and outcomes for children in out-of-home care: action 3.1&#10;&#10;Funding: Stronger Places, Stronger People&#10;Amount: $35 million (2019-2023)&#10;Actions funded: 2.1&#10;&#10;Funding: National Child Protection Information Sharing System&#10;Amount: $3.867 million (2018-19)&#10;Actions funded: 4.2&#10;&#10;In Action plan 4 there was a total amount of $48.06 million (2018-2023) provided by the commonwealth Department of Social Services.&#10;&#10;"/>
      </w:tblPr>
      <w:tblGrid>
        <w:gridCol w:w="988"/>
        <w:gridCol w:w="1559"/>
        <w:gridCol w:w="1417"/>
        <w:gridCol w:w="6096"/>
      </w:tblGrid>
      <w:tr w:rsidR="00080744" w14:paraId="561AD7BB" w14:textId="77777777" w:rsidTr="00FB2466">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88" w:type="dxa"/>
          </w:tcPr>
          <w:p w14:paraId="76B47807" w14:textId="77777777" w:rsidR="00080744" w:rsidRPr="002F64F0" w:rsidRDefault="00080744" w:rsidP="00FB2466">
            <w:pPr>
              <w:pStyle w:val="PwCNormal"/>
              <w:rPr>
                <w:b/>
              </w:rPr>
            </w:pPr>
            <w:r w:rsidRPr="002F64F0">
              <w:rPr>
                <w:b/>
              </w:rPr>
              <w:t>Action Plan</w:t>
            </w:r>
          </w:p>
        </w:tc>
        <w:tc>
          <w:tcPr>
            <w:tcW w:w="1559" w:type="dxa"/>
          </w:tcPr>
          <w:p w14:paraId="046D8DF9" w14:textId="77777777" w:rsidR="00080744" w:rsidRPr="002F64F0" w:rsidRDefault="00080744" w:rsidP="00FB2466">
            <w:pPr>
              <w:pStyle w:val="PwCNormal"/>
              <w:cnfStyle w:val="100000000000" w:firstRow="1" w:lastRow="0" w:firstColumn="0" w:lastColumn="0" w:oddVBand="0" w:evenVBand="0" w:oddHBand="0" w:evenHBand="0" w:firstRowFirstColumn="0" w:firstRowLastColumn="0" w:lastRowFirstColumn="0" w:lastRowLastColumn="0"/>
              <w:rPr>
                <w:b/>
              </w:rPr>
            </w:pPr>
            <w:r w:rsidRPr="002F64F0">
              <w:rPr>
                <w:b/>
              </w:rPr>
              <w:t xml:space="preserve">Funding </w:t>
            </w:r>
          </w:p>
        </w:tc>
        <w:tc>
          <w:tcPr>
            <w:tcW w:w="1417" w:type="dxa"/>
          </w:tcPr>
          <w:p w14:paraId="79EC2C72" w14:textId="77777777" w:rsidR="00080744" w:rsidRPr="002F64F0" w:rsidRDefault="00080744" w:rsidP="00FB2466">
            <w:pPr>
              <w:pStyle w:val="PwCNormal"/>
              <w:cnfStyle w:val="100000000000" w:firstRow="1" w:lastRow="0" w:firstColumn="0" w:lastColumn="0" w:oddVBand="0" w:evenVBand="0" w:oddHBand="0" w:evenHBand="0" w:firstRowFirstColumn="0" w:firstRowLastColumn="0" w:lastRowFirstColumn="0" w:lastRowLastColumn="0"/>
              <w:rPr>
                <w:b/>
              </w:rPr>
            </w:pPr>
            <w:r w:rsidRPr="002F64F0">
              <w:rPr>
                <w:b/>
              </w:rPr>
              <w:t>Amount</w:t>
            </w:r>
          </w:p>
        </w:tc>
        <w:tc>
          <w:tcPr>
            <w:tcW w:w="6096" w:type="dxa"/>
          </w:tcPr>
          <w:p w14:paraId="74720AF2" w14:textId="77777777" w:rsidR="00080744" w:rsidRPr="002F64F0" w:rsidRDefault="00080744" w:rsidP="00FB2466">
            <w:pPr>
              <w:pStyle w:val="PwCNormal"/>
              <w:cnfStyle w:val="100000000000" w:firstRow="1" w:lastRow="0" w:firstColumn="0" w:lastColumn="0" w:oddVBand="0" w:evenVBand="0" w:oddHBand="0" w:evenHBand="0" w:firstRowFirstColumn="0" w:firstRowLastColumn="0" w:lastRowFirstColumn="0" w:lastRowLastColumn="0"/>
              <w:rPr>
                <w:b/>
              </w:rPr>
            </w:pPr>
            <w:r w:rsidRPr="002F64F0">
              <w:rPr>
                <w:b/>
              </w:rPr>
              <w:t>Actions funded</w:t>
            </w:r>
            <w:r>
              <w:rPr>
                <w:rStyle w:val="FootnoteReference"/>
                <w:b/>
              </w:rPr>
              <w:footnoteReference w:id="77"/>
            </w:r>
          </w:p>
        </w:tc>
      </w:tr>
      <w:tr w:rsidR="00080744" w14:paraId="3C7F57E3" w14:textId="77777777" w:rsidTr="00FB2466">
        <w:tc>
          <w:tcPr>
            <w:tcW w:w="988" w:type="dxa"/>
          </w:tcPr>
          <w:p w14:paraId="5ED2F779" w14:textId="77777777" w:rsidR="00080744" w:rsidRDefault="00080744" w:rsidP="00FB2466">
            <w:pPr>
              <w:pStyle w:val="TableTextSmall"/>
            </w:pPr>
            <w:r>
              <w:t>3</w:t>
            </w:r>
          </w:p>
        </w:tc>
        <w:tc>
          <w:tcPr>
            <w:tcW w:w="1559" w:type="dxa"/>
          </w:tcPr>
          <w:p w14:paraId="5E6CD54A" w14:textId="77777777" w:rsidR="00080744" w:rsidRDefault="00080744" w:rsidP="00FB2466">
            <w:pPr>
              <w:pStyle w:val="TableTextSmall"/>
            </w:pPr>
            <w:r>
              <w:t>Base National Initiatives appropriation</w:t>
            </w:r>
          </w:p>
        </w:tc>
        <w:tc>
          <w:tcPr>
            <w:tcW w:w="1417" w:type="dxa"/>
          </w:tcPr>
          <w:p w14:paraId="103F6D26" w14:textId="77777777" w:rsidR="00080744" w:rsidRDefault="00080744" w:rsidP="00FB2466">
            <w:pPr>
              <w:pStyle w:val="TableTextSmall"/>
            </w:pPr>
            <w:r>
              <w:t>$7.8 million ($2.6 million per annum, 2015-16 to 2017-18)</w:t>
            </w:r>
          </w:p>
        </w:tc>
        <w:tc>
          <w:tcPr>
            <w:tcW w:w="6096" w:type="dxa"/>
          </w:tcPr>
          <w:p w14:paraId="6C4B088B" w14:textId="77777777" w:rsidR="00080744" w:rsidRDefault="00080744" w:rsidP="00FB2466">
            <w:pPr>
              <w:pStyle w:val="TableTextSmall"/>
            </w:pPr>
            <w:r>
              <w:t>Development of the National Principles for Child Safe Organisations: action 3.1.1</w:t>
            </w:r>
          </w:p>
          <w:p w14:paraId="1593B01D" w14:textId="77777777" w:rsidR="00080744" w:rsidRDefault="00080744" w:rsidP="00FB2466">
            <w:pPr>
              <w:pStyle w:val="TableTextSmall"/>
            </w:pPr>
            <w:r>
              <w:t>A research report on effective strategies for working with expectant parents, their babies, and families in which young children may be exposed to violence and other forms of risk: action 1.2.1</w:t>
            </w:r>
          </w:p>
          <w:p w14:paraId="5DD80680" w14:textId="77777777" w:rsidR="00080744" w:rsidRDefault="00080744" w:rsidP="00FB2466">
            <w:pPr>
              <w:pStyle w:val="TableTextSmall"/>
            </w:pPr>
            <w:r>
              <w:t>Contribution to the First 1000 Days Foundation Project: The Urban Pilot Preconception Study: action 1.2.2</w:t>
            </w:r>
          </w:p>
          <w:p w14:paraId="437E3EA8" w14:textId="77777777" w:rsidR="00080744" w:rsidRDefault="00080744" w:rsidP="00FB2466">
            <w:pPr>
              <w:pStyle w:val="TableTextSmall"/>
            </w:pPr>
            <w:r>
              <w:t>Financial support to publish an ACT Discussion Paper: Transition from out-of-home care to adulthood: mapping legislation and policy across Australian jurisdictions: action 2.1.4</w:t>
            </w:r>
          </w:p>
          <w:p w14:paraId="5D368AEC" w14:textId="77777777" w:rsidR="00080744" w:rsidRDefault="00080744" w:rsidP="00FB2466">
            <w:pPr>
              <w:pStyle w:val="TableTextSmall"/>
            </w:pPr>
            <w:r>
              <w:t>Secretariat support for the Aboriginal and Torres Strait Islander Working Group: Cross-cutting focus area – Indigenous - action 2</w:t>
            </w:r>
          </w:p>
          <w:p w14:paraId="107C5C0D" w14:textId="77777777" w:rsidR="00080744" w:rsidRDefault="00080744" w:rsidP="00FB2466">
            <w:pPr>
              <w:pStyle w:val="TableTextSmall"/>
            </w:pPr>
            <w:r>
              <w:t>Data development for the ATSICPP: Cross-cutting focus area – Indigenous - action 1</w:t>
            </w:r>
          </w:p>
          <w:p w14:paraId="0DE409CF" w14:textId="77777777" w:rsidR="00080744" w:rsidRDefault="00080744" w:rsidP="00FB2466">
            <w:pPr>
              <w:pStyle w:val="TableTextSmall"/>
            </w:pPr>
            <w:r>
              <w:t>Support to AIHW to develop a paper: Development of targets and progress markers: Final project report to DSS: Cross-cutting focus area – research – action 1</w:t>
            </w:r>
          </w:p>
          <w:p w14:paraId="00590EB0" w14:textId="77777777" w:rsidR="00080744" w:rsidRDefault="00080744" w:rsidP="00FB2466">
            <w:pPr>
              <w:pStyle w:val="TableTextSmall"/>
            </w:pPr>
            <w:r>
              <w:t>The Australian Institute of Family Studies conducted the survey ‘Working Together to Care for Kids: A Survey of Foster and Relative/kinship Carers’: Cross-cutting focus area – research – action 2</w:t>
            </w:r>
          </w:p>
          <w:p w14:paraId="73952A29" w14:textId="77777777" w:rsidR="00080744" w:rsidRDefault="00080744" w:rsidP="00FB2466">
            <w:pPr>
              <w:pStyle w:val="TableTextSmall"/>
            </w:pPr>
            <w:r>
              <w:t>Youth consultations on the third action plan</w:t>
            </w:r>
          </w:p>
        </w:tc>
      </w:tr>
      <w:tr w:rsidR="00080744" w14:paraId="471A0FC5" w14:textId="77777777" w:rsidTr="00FB2466">
        <w:tc>
          <w:tcPr>
            <w:tcW w:w="988" w:type="dxa"/>
          </w:tcPr>
          <w:p w14:paraId="7C5B8464" w14:textId="77777777" w:rsidR="00080744" w:rsidRDefault="00080744" w:rsidP="00FB2466">
            <w:pPr>
              <w:pStyle w:val="TableTextSmall"/>
            </w:pPr>
            <w:r>
              <w:t>3</w:t>
            </w:r>
          </w:p>
        </w:tc>
        <w:tc>
          <w:tcPr>
            <w:tcW w:w="1559" w:type="dxa"/>
          </w:tcPr>
          <w:p w14:paraId="5DF2E3DE" w14:textId="77777777" w:rsidR="00080744" w:rsidRDefault="00080744" w:rsidP="00FB2466">
            <w:pPr>
              <w:pStyle w:val="TableTextSmall"/>
            </w:pPr>
            <w:r>
              <w:t>Building Capacity in Australia’s Parents trial</w:t>
            </w:r>
          </w:p>
        </w:tc>
        <w:tc>
          <w:tcPr>
            <w:tcW w:w="1417" w:type="dxa"/>
          </w:tcPr>
          <w:p w14:paraId="4A1C9915" w14:textId="77777777" w:rsidR="00080744" w:rsidRDefault="00080744" w:rsidP="00FB2466">
            <w:pPr>
              <w:pStyle w:val="TableTextSmall"/>
            </w:pPr>
            <w:r>
              <w:t>$2.08 million (2016-17 to 2019-20)</w:t>
            </w:r>
          </w:p>
        </w:tc>
        <w:tc>
          <w:tcPr>
            <w:tcW w:w="6096" w:type="dxa"/>
          </w:tcPr>
          <w:p w14:paraId="4629A7E0" w14:textId="77777777" w:rsidR="00080744" w:rsidRDefault="00080744" w:rsidP="00FB2466">
            <w:pPr>
              <w:pStyle w:val="TableTextSmall"/>
            </w:pPr>
            <w:r>
              <w:t>1.1.1</w:t>
            </w:r>
          </w:p>
        </w:tc>
      </w:tr>
      <w:tr w:rsidR="00080744" w14:paraId="16DA6FF9" w14:textId="77777777" w:rsidTr="00FB2466">
        <w:tc>
          <w:tcPr>
            <w:tcW w:w="988" w:type="dxa"/>
          </w:tcPr>
          <w:p w14:paraId="4DDBD8C6" w14:textId="77777777" w:rsidR="00080744" w:rsidRDefault="00080744" w:rsidP="00FB2466">
            <w:pPr>
              <w:pStyle w:val="TableTextSmall"/>
            </w:pPr>
            <w:r>
              <w:t>3</w:t>
            </w:r>
          </w:p>
        </w:tc>
        <w:tc>
          <w:tcPr>
            <w:tcW w:w="1559" w:type="dxa"/>
          </w:tcPr>
          <w:p w14:paraId="06180677" w14:textId="77777777" w:rsidR="00080744" w:rsidRDefault="00080744" w:rsidP="00FB2466">
            <w:pPr>
              <w:pStyle w:val="TableTextSmall"/>
            </w:pPr>
            <w:r>
              <w:t>Transition to Independent Adulthood Trial</w:t>
            </w:r>
          </w:p>
        </w:tc>
        <w:tc>
          <w:tcPr>
            <w:tcW w:w="1417" w:type="dxa"/>
          </w:tcPr>
          <w:p w14:paraId="62BCB13C" w14:textId="77777777" w:rsidR="00080744" w:rsidRDefault="00080744" w:rsidP="00FB2466">
            <w:pPr>
              <w:pStyle w:val="TableTextSmall"/>
            </w:pPr>
            <w:r>
              <w:t>$3.87 million (2016-17 to 2019-20)</w:t>
            </w:r>
          </w:p>
        </w:tc>
        <w:tc>
          <w:tcPr>
            <w:tcW w:w="6096" w:type="dxa"/>
          </w:tcPr>
          <w:p w14:paraId="7BE838DD" w14:textId="77777777" w:rsidR="00080744" w:rsidRDefault="00080744" w:rsidP="00FB2466">
            <w:pPr>
              <w:pStyle w:val="TableTextSmall"/>
            </w:pPr>
            <w:r>
              <w:t>2.1.2</w:t>
            </w:r>
          </w:p>
        </w:tc>
      </w:tr>
      <w:tr w:rsidR="00080744" w14:paraId="1FD795BD" w14:textId="77777777" w:rsidTr="00FB2466">
        <w:tc>
          <w:tcPr>
            <w:tcW w:w="988" w:type="dxa"/>
          </w:tcPr>
          <w:p w14:paraId="55065655" w14:textId="77777777" w:rsidR="00080744" w:rsidRDefault="00080744" w:rsidP="00FB2466">
            <w:pPr>
              <w:pStyle w:val="TableTextSmall"/>
            </w:pPr>
            <w:r>
              <w:t>3</w:t>
            </w:r>
          </w:p>
        </w:tc>
        <w:tc>
          <w:tcPr>
            <w:tcW w:w="1559" w:type="dxa"/>
          </w:tcPr>
          <w:p w14:paraId="6F2AE187" w14:textId="77777777" w:rsidR="00080744" w:rsidRDefault="00080744" w:rsidP="00FB2466">
            <w:pPr>
              <w:pStyle w:val="TableTextSmall"/>
            </w:pPr>
            <w:r>
              <w:t xml:space="preserve">Connected Beginnings </w:t>
            </w:r>
          </w:p>
        </w:tc>
        <w:tc>
          <w:tcPr>
            <w:tcW w:w="1417" w:type="dxa"/>
          </w:tcPr>
          <w:p w14:paraId="5B1AF266" w14:textId="77777777" w:rsidR="00080744" w:rsidRDefault="00080744" w:rsidP="00FB2466">
            <w:pPr>
              <w:pStyle w:val="TableTextSmall"/>
            </w:pPr>
            <w:r>
              <w:t xml:space="preserve">Approximately $12 million per annum provided by Department of Education </w:t>
            </w:r>
          </w:p>
        </w:tc>
        <w:tc>
          <w:tcPr>
            <w:tcW w:w="6096" w:type="dxa"/>
          </w:tcPr>
          <w:p w14:paraId="33D224B9" w14:textId="77777777" w:rsidR="00080744" w:rsidRDefault="00080744" w:rsidP="00FB2466">
            <w:pPr>
              <w:pStyle w:val="TableTextSmall"/>
            </w:pPr>
            <w:r>
              <w:t>1.3.2</w:t>
            </w:r>
          </w:p>
        </w:tc>
      </w:tr>
      <w:tr w:rsidR="00080744" w14:paraId="78900BB9" w14:textId="77777777" w:rsidTr="00FB2466">
        <w:tc>
          <w:tcPr>
            <w:tcW w:w="988" w:type="dxa"/>
          </w:tcPr>
          <w:p w14:paraId="2C9846E8" w14:textId="77777777" w:rsidR="00080744" w:rsidRPr="00F44E1C" w:rsidRDefault="00080744" w:rsidP="00FB2466">
            <w:pPr>
              <w:pStyle w:val="TableTextSmall"/>
              <w:rPr>
                <w:b/>
              </w:rPr>
            </w:pPr>
            <w:r>
              <w:rPr>
                <w:b/>
              </w:rPr>
              <w:t>3</w:t>
            </w:r>
          </w:p>
        </w:tc>
        <w:tc>
          <w:tcPr>
            <w:tcW w:w="1559" w:type="dxa"/>
          </w:tcPr>
          <w:p w14:paraId="68E5048D" w14:textId="77777777" w:rsidR="00080744" w:rsidRPr="00F44E1C" w:rsidRDefault="00080744" w:rsidP="00FB2466">
            <w:pPr>
              <w:pStyle w:val="TableTextSmall"/>
              <w:rPr>
                <w:b/>
              </w:rPr>
            </w:pPr>
            <w:r w:rsidRPr="00F44E1C">
              <w:rPr>
                <w:b/>
              </w:rPr>
              <w:t>TOTAL</w:t>
            </w:r>
          </w:p>
        </w:tc>
        <w:tc>
          <w:tcPr>
            <w:tcW w:w="7513" w:type="dxa"/>
            <w:gridSpan w:val="2"/>
          </w:tcPr>
          <w:p w14:paraId="34EC7FFF" w14:textId="77777777" w:rsidR="00080744" w:rsidRPr="00F44E1C" w:rsidRDefault="00080744" w:rsidP="00FB2466">
            <w:pPr>
              <w:pStyle w:val="TableTextSmall"/>
              <w:rPr>
                <w:b/>
              </w:rPr>
            </w:pPr>
            <w:r w:rsidRPr="00F44E1C">
              <w:rPr>
                <w:b/>
              </w:rPr>
              <w:t>$13.75 million (2015-2020) – Department of Social Services</w:t>
            </w:r>
          </w:p>
          <w:p w14:paraId="6FF72D41" w14:textId="77777777" w:rsidR="00080744" w:rsidRPr="00F44E1C" w:rsidRDefault="00080744" w:rsidP="00FB2466">
            <w:pPr>
              <w:pStyle w:val="TableTextSmall"/>
              <w:rPr>
                <w:b/>
              </w:rPr>
            </w:pPr>
            <w:r w:rsidRPr="00F44E1C">
              <w:rPr>
                <w:b/>
              </w:rPr>
              <w:t xml:space="preserve">$60 million (2015-2020) – Department of Education </w:t>
            </w:r>
          </w:p>
        </w:tc>
      </w:tr>
      <w:tr w:rsidR="00080744" w14:paraId="420208DD" w14:textId="77777777" w:rsidTr="00FB2466">
        <w:tc>
          <w:tcPr>
            <w:tcW w:w="988" w:type="dxa"/>
          </w:tcPr>
          <w:p w14:paraId="491EB4D0" w14:textId="77777777" w:rsidR="00080744" w:rsidRPr="00F44E1C" w:rsidRDefault="00080744" w:rsidP="00FB2466">
            <w:pPr>
              <w:pStyle w:val="TableTextSmall"/>
            </w:pPr>
            <w:r>
              <w:t>4</w:t>
            </w:r>
          </w:p>
        </w:tc>
        <w:tc>
          <w:tcPr>
            <w:tcW w:w="1559" w:type="dxa"/>
          </w:tcPr>
          <w:p w14:paraId="3A0B6C1A" w14:textId="77777777" w:rsidR="00080744" w:rsidRPr="00F44E1C" w:rsidRDefault="00080744" w:rsidP="00FB2466">
            <w:pPr>
              <w:pStyle w:val="TableTextSmall"/>
            </w:pPr>
            <w:r>
              <w:t>Base National Initiatives appropriation</w:t>
            </w:r>
          </w:p>
        </w:tc>
        <w:tc>
          <w:tcPr>
            <w:tcW w:w="1417" w:type="dxa"/>
          </w:tcPr>
          <w:p w14:paraId="633EE16F" w14:textId="77777777" w:rsidR="00080744" w:rsidRPr="00F44E1C" w:rsidRDefault="00080744" w:rsidP="00FB2466">
            <w:pPr>
              <w:pStyle w:val="TableTextSmall"/>
            </w:pPr>
            <w:r>
              <w:t>$7.8 million ($2.6 million per annum, 2018-19 to 2020-21)</w:t>
            </w:r>
          </w:p>
        </w:tc>
        <w:tc>
          <w:tcPr>
            <w:tcW w:w="6096" w:type="dxa"/>
            <w:vMerge w:val="restart"/>
          </w:tcPr>
          <w:p w14:paraId="7E5B3DCE" w14:textId="77777777" w:rsidR="00080744" w:rsidRDefault="00080744" w:rsidP="00FB2466">
            <w:pPr>
              <w:pStyle w:val="TableTextSmall"/>
            </w:pPr>
            <w:r>
              <w:t>Development of a practical resource to support implementation of ATSICPP: action 1.1</w:t>
            </w:r>
          </w:p>
          <w:p w14:paraId="0D5F09EA" w14:textId="77777777" w:rsidR="00080744" w:rsidRDefault="00080744" w:rsidP="00FB2466">
            <w:pPr>
              <w:pStyle w:val="TableTextSmall"/>
            </w:pPr>
            <w:r>
              <w:t>Delivery of workshops in every state and territory to develop an individualised implementation plan for the ATSICPP: action 1.1</w:t>
            </w:r>
          </w:p>
          <w:p w14:paraId="120C1613" w14:textId="77777777" w:rsidR="00080744" w:rsidRDefault="00080744" w:rsidP="00FB2466">
            <w:pPr>
              <w:pStyle w:val="TableTextSmall"/>
            </w:pPr>
            <w:r>
              <w:t>Development of an approach to promote timely and consistent decision making for permanency: action 3.2</w:t>
            </w:r>
          </w:p>
          <w:p w14:paraId="74B795FD" w14:textId="77777777" w:rsidR="00080744" w:rsidRPr="00F44E1C" w:rsidRDefault="00080744" w:rsidP="00FB2466">
            <w:pPr>
              <w:pStyle w:val="TableTextSmall"/>
            </w:pPr>
            <w:r>
              <w:t>Research project - Timely decision making and outcomes for children in out-of-home care: action 3.1</w:t>
            </w:r>
          </w:p>
        </w:tc>
      </w:tr>
      <w:tr w:rsidR="00080744" w14:paraId="6EC48B07" w14:textId="77777777" w:rsidTr="00FB2466">
        <w:tc>
          <w:tcPr>
            <w:tcW w:w="988" w:type="dxa"/>
          </w:tcPr>
          <w:p w14:paraId="631AED29" w14:textId="77777777" w:rsidR="00080744" w:rsidRDefault="00080744" w:rsidP="00FB2466">
            <w:pPr>
              <w:pStyle w:val="TableTextSmall"/>
            </w:pPr>
            <w:r>
              <w:t>4</w:t>
            </w:r>
          </w:p>
        </w:tc>
        <w:tc>
          <w:tcPr>
            <w:tcW w:w="1559" w:type="dxa"/>
          </w:tcPr>
          <w:p w14:paraId="1B0926CC" w14:textId="77777777" w:rsidR="00080744" w:rsidRDefault="00080744" w:rsidP="00FB2466">
            <w:pPr>
              <w:pStyle w:val="TableTextSmall"/>
            </w:pPr>
            <w:r>
              <w:t xml:space="preserve">Departmental reallocation to National Initiatives </w:t>
            </w:r>
          </w:p>
        </w:tc>
        <w:tc>
          <w:tcPr>
            <w:tcW w:w="1417" w:type="dxa"/>
          </w:tcPr>
          <w:p w14:paraId="49221EF9" w14:textId="77777777" w:rsidR="00080744" w:rsidRDefault="00080744" w:rsidP="00FB2466">
            <w:pPr>
              <w:pStyle w:val="TableTextSmall"/>
            </w:pPr>
            <w:r>
              <w:t xml:space="preserve">$1.5 million (2018-19) </w:t>
            </w:r>
          </w:p>
        </w:tc>
        <w:tc>
          <w:tcPr>
            <w:tcW w:w="6096" w:type="dxa"/>
            <w:vMerge/>
          </w:tcPr>
          <w:p w14:paraId="3D0B1F82" w14:textId="77777777" w:rsidR="00080744" w:rsidRDefault="00080744" w:rsidP="00FB2466">
            <w:pPr>
              <w:pStyle w:val="TableTextSmall"/>
            </w:pPr>
          </w:p>
        </w:tc>
      </w:tr>
      <w:tr w:rsidR="00080744" w14:paraId="4015BF19" w14:textId="77777777" w:rsidTr="00FB2466">
        <w:tc>
          <w:tcPr>
            <w:tcW w:w="988" w:type="dxa"/>
          </w:tcPr>
          <w:p w14:paraId="05166C5B" w14:textId="77777777" w:rsidR="00080744" w:rsidRDefault="00080744" w:rsidP="00FB2466">
            <w:pPr>
              <w:pStyle w:val="TableTextSmall"/>
            </w:pPr>
            <w:r>
              <w:t>4</w:t>
            </w:r>
          </w:p>
        </w:tc>
        <w:tc>
          <w:tcPr>
            <w:tcW w:w="1559" w:type="dxa"/>
          </w:tcPr>
          <w:p w14:paraId="4847863F" w14:textId="77777777" w:rsidR="00080744" w:rsidRDefault="00080744" w:rsidP="00FB2466">
            <w:pPr>
              <w:pStyle w:val="TableTextSmall"/>
            </w:pPr>
            <w:r>
              <w:t>Stronger Places, Stronger People</w:t>
            </w:r>
          </w:p>
        </w:tc>
        <w:tc>
          <w:tcPr>
            <w:tcW w:w="1417" w:type="dxa"/>
          </w:tcPr>
          <w:p w14:paraId="7AF5F8A6" w14:textId="77777777" w:rsidR="00080744" w:rsidRDefault="00080744" w:rsidP="00AB3977">
            <w:pPr>
              <w:pStyle w:val="TableTextSmall"/>
            </w:pPr>
            <w:r>
              <w:t>$35 million (2019-2023)</w:t>
            </w:r>
          </w:p>
        </w:tc>
        <w:tc>
          <w:tcPr>
            <w:tcW w:w="6096" w:type="dxa"/>
          </w:tcPr>
          <w:p w14:paraId="4950E95F" w14:textId="77777777" w:rsidR="00080744" w:rsidRDefault="00080744" w:rsidP="00FB2466">
            <w:pPr>
              <w:pStyle w:val="TableTextSmall"/>
            </w:pPr>
            <w:r>
              <w:t>2.1</w:t>
            </w:r>
          </w:p>
        </w:tc>
      </w:tr>
      <w:tr w:rsidR="00080744" w14:paraId="7C3590A5" w14:textId="77777777" w:rsidTr="00FB2466">
        <w:tc>
          <w:tcPr>
            <w:tcW w:w="988" w:type="dxa"/>
          </w:tcPr>
          <w:p w14:paraId="1D50F6E7" w14:textId="77777777" w:rsidR="00080744" w:rsidRPr="00F44E1C" w:rsidRDefault="00080744" w:rsidP="00FB2466">
            <w:pPr>
              <w:pStyle w:val="TableTextSmall"/>
            </w:pPr>
            <w:r>
              <w:lastRenderedPageBreak/>
              <w:t>4</w:t>
            </w:r>
          </w:p>
        </w:tc>
        <w:tc>
          <w:tcPr>
            <w:tcW w:w="1559" w:type="dxa"/>
          </w:tcPr>
          <w:p w14:paraId="461CC712" w14:textId="77777777" w:rsidR="00080744" w:rsidRPr="00F44E1C" w:rsidRDefault="00080744" w:rsidP="00FB2466">
            <w:pPr>
              <w:pStyle w:val="TableTextSmall"/>
            </w:pPr>
            <w:r>
              <w:t xml:space="preserve">National Child Protection Information Sharing System </w:t>
            </w:r>
          </w:p>
        </w:tc>
        <w:tc>
          <w:tcPr>
            <w:tcW w:w="1417" w:type="dxa"/>
          </w:tcPr>
          <w:p w14:paraId="590DDE7F" w14:textId="77777777" w:rsidR="00080744" w:rsidRPr="00F44E1C" w:rsidRDefault="00080744" w:rsidP="00FB2466">
            <w:pPr>
              <w:pStyle w:val="TableTextSmall"/>
            </w:pPr>
            <w:r>
              <w:t>$3.867 million (2018-19)</w:t>
            </w:r>
          </w:p>
        </w:tc>
        <w:tc>
          <w:tcPr>
            <w:tcW w:w="6096" w:type="dxa"/>
          </w:tcPr>
          <w:p w14:paraId="041D89A1" w14:textId="77777777" w:rsidR="00080744" w:rsidRPr="00F44E1C" w:rsidRDefault="00080744" w:rsidP="00FB2466">
            <w:pPr>
              <w:pStyle w:val="TableTextSmall"/>
            </w:pPr>
            <w:r>
              <w:t>4.2</w:t>
            </w:r>
          </w:p>
        </w:tc>
      </w:tr>
      <w:tr w:rsidR="00080744" w14:paraId="698A9948" w14:textId="77777777" w:rsidTr="0083192A">
        <w:trPr>
          <w:trHeight w:val="436"/>
        </w:trPr>
        <w:tc>
          <w:tcPr>
            <w:tcW w:w="988" w:type="dxa"/>
          </w:tcPr>
          <w:p w14:paraId="2DFAFBC2" w14:textId="77777777" w:rsidR="00080744" w:rsidRDefault="00080744" w:rsidP="00FB2466">
            <w:pPr>
              <w:pStyle w:val="TableTextSmall"/>
              <w:rPr>
                <w:b/>
              </w:rPr>
            </w:pPr>
            <w:r>
              <w:rPr>
                <w:b/>
              </w:rPr>
              <w:t>4</w:t>
            </w:r>
          </w:p>
        </w:tc>
        <w:tc>
          <w:tcPr>
            <w:tcW w:w="1559" w:type="dxa"/>
          </w:tcPr>
          <w:p w14:paraId="10991806" w14:textId="77777777" w:rsidR="00080744" w:rsidRPr="00F44E1C" w:rsidRDefault="00080744" w:rsidP="00FB2466">
            <w:pPr>
              <w:pStyle w:val="TableTextSmall"/>
              <w:rPr>
                <w:b/>
              </w:rPr>
            </w:pPr>
            <w:r w:rsidRPr="00F44E1C">
              <w:rPr>
                <w:b/>
              </w:rPr>
              <w:t>TOTAL</w:t>
            </w:r>
          </w:p>
        </w:tc>
        <w:tc>
          <w:tcPr>
            <w:tcW w:w="7513" w:type="dxa"/>
            <w:gridSpan w:val="2"/>
          </w:tcPr>
          <w:p w14:paraId="5C3B49C9" w14:textId="77777777" w:rsidR="00080744" w:rsidRPr="00F44E1C" w:rsidRDefault="00080744" w:rsidP="00FB2466">
            <w:pPr>
              <w:pStyle w:val="TableTextSmall"/>
              <w:rPr>
                <w:b/>
              </w:rPr>
            </w:pPr>
            <w:r w:rsidRPr="00F44E1C">
              <w:rPr>
                <w:b/>
              </w:rPr>
              <w:t>$</w:t>
            </w:r>
            <w:r>
              <w:rPr>
                <w:b/>
              </w:rPr>
              <w:t>48</w:t>
            </w:r>
            <w:r w:rsidRPr="00F44E1C">
              <w:rPr>
                <w:b/>
              </w:rPr>
              <w:t>.</w:t>
            </w:r>
            <w:r>
              <w:rPr>
                <w:b/>
              </w:rPr>
              <w:t>06</w:t>
            </w:r>
            <w:r w:rsidRPr="00F44E1C">
              <w:rPr>
                <w:b/>
              </w:rPr>
              <w:t xml:space="preserve"> million (201</w:t>
            </w:r>
            <w:r>
              <w:rPr>
                <w:b/>
              </w:rPr>
              <w:t>8</w:t>
            </w:r>
            <w:r w:rsidRPr="00F44E1C">
              <w:rPr>
                <w:b/>
              </w:rPr>
              <w:t>-202</w:t>
            </w:r>
            <w:r>
              <w:rPr>
                <w:b/>
              </w:rPr>
              <w:t>3</w:t>
            </w:r>
            <w:r w:rsidRPr="00F44E1C">
              <w:rPr>
                <w:b/>
              </w:rPr>
              <w:t>) – Department of Social Services</w:t>
            </w:r>
          </w:p>
        </w:tc>
      </w:tr>
    </w:tbl>
    <w:p w14:paraId="05274344" w14:textId="77777777" w:rsidR="00080744" w:rsidRDefault="00080744" w:rsidP="00080744">
      <w:pPr>
        <w:pStyle w:val="PwCNormal"/>
        <w:numPr>
          <w:ilvl w:val="0"/>
          <w:numId w:val="0"/>
        </w:numPr>
      </w:pPr>
    </w:p>
    <w:p w14:paraId="4E4C2E97" w14:textId="77777777" w:rsidR="00080744" w:rsidRDefault="00080744" w:rsidP="00080744">
      <w:pPr>
        <w:pStyle w:val="PwCNormal"/>
        <w:numPr>
          <w:ilvl w:val="0"/>
          <w:numId w:val="0"/>
        </w:numPr>
      </w:pPr>
    </w:p>
    <w:p w14:paraId="5BA43B1C" w14:textId="77777777" w:rsidR="00080744" w:rsidRDefault="00080744" w:rsidP="00080744">
      <w:pPr>
        <w:pStyle w:val="PwCNormal"/>
        <w:numPr>
          <w:ilvl w:val="0"/>
          <w:numId w:val="0"/>
        </w:numPr>
        <w:sectPr w:rsidR="00080744" w:rsidSect="00CB555B">
          <w:pgSz w:w="11907" w:h="16840" w:code="9"/>
          <w:pgMar w:top="1588" w:right="1021" w:bottom="1418" w:left="1021" w:header="567" w:footer="567" w:gutter="0"/>
          <w:cols w:space="227"/>
          <w:titlePg/>
          <w:docGrid w:linePitch="360"/>
        </w:sectPr>
      </w:pPr>
    </w:p>
    <w:p w14:paraId="467C7C5C" w14:textId="77777777" w:rsidR="007A6E98" w:rsidRDefault="007A6E98" w:rsidP="00B95734">
      <w:pPr>
        <w:pStyle w:val="Heading4"/>
        <w:numPr>
          <w:ilvl w:val="4"/>
          <w:numId w:val="43"/>
        </w:numPr>
      </w:pPr>
      <w:bookmarkStart w:id="309" w:name="_Toc28860332"/>
      <w:bookmarkStart w:id="310" w:name="_Toc30582413"/>
      <w:bookmarkStart w:id="311" w:name="_Ref31230131"/>
      <w:bookmarkStart w:id="312" w:name="_Toc36845766"/>
      <w:bookmarkStart w:id="313" w:name="_Toc42842766"/>
      <w:bookmarkStart w:id="314" w:name="_Toc42847860"/>
      <w:r>
        <w:lastRenderedPageBreak/>
        <w:t>Consulted stakeholders</w:t>
      </w:r>
      <w:bookmarkEnd w:id="309"/>
      <w:bookmarkEnd w:id="310"/>
      <w:bookmarkEnd w:id="311"/>
      <w:bookmarkEnd w:id="312"/>
      <w:bookmarkEnd w:id="313"/>
      <w:bookmarkEnd w:id="314"/>
    </w:p>
    <w:p w14:paraId="30BBB16F" w14:textId="77777777" w:rsidR="007A6E98" w:rsidRPr="00182922" w:rsidRDefault="00182922" w:rsidP="007A6E98">
      <w:pPr>
        <w:pStyle w:val="PwCNormal"/>
      </w:pPr>
      <w:r w:rsidRPr="00182922">
        <w:t xml:space="preserve">This evaluation was supported by a broad array of stakeholders who provided input through face-to-face consultations, teleconferences and focus groups. A summary of stakeholders consulted is provided below. </w:t>
      </w:r>
    </w:p>
    <w:tbl>
      <w:tblPr>
        <w:tblStyle w:val="PwCColour"/>
        <w:tblW w:w="5000" w:type="pct"/>
        <w:tblLook w:val="0600" w:firstRow="0" w:lastRow="0" w:firstColumn="0" w:lastColumn="0" w:noHBand="1" w:noVBand="1"/>
        <w:tblCaption w:val="Description of consulted stakeholders table"/>
        <w:tblDescription w:val="The following is a list of Stakeholders consulted by organisation or department and the date of consultation&#10;Commonwealth stakeholders consulted are as follows:&#10;Department of Social Services 10 and 11 December 2019 and again on 8 and 17 January 2020&#10;Department of the Prime Minister and Cabinet, National Office for Child Safety 18 November 2019&#10;Australian Government NIAA - Indigenous Affairs Group 27 November 2019&#10;Australian Government Department of Health, Australian Government Department of Education and the Australian Institute of Health &amp; Welfare 28 November 2019&#10;Australian Institute of Family Studies 3 December 2019&#10;Australian Institute of Family Studies (follow-up interview) 15 November 2019&#10;State and territory government stakeholders consulted are as follows&#10;SA Department for Child Protection 8 January 2020&#10;ACT Government/ ACT Community Services Directorate 28 November 2019&#10;NSW Department of Family and Community Services 12 December 2019&#10;Territories Families, Strategy, Policy and Performance Division 14 November 2019&#10;Territory Families, Reform Management Office 9 December 2019&#10;QLD Department of Child Safety, Youth and Women 26 November 2019&#10;Tasmanian Department of Health and Human Services 18 November 2019&#10;Victorian Department of Health and Human Services 9 December 2019&#10;WA Department of Communities 18 November 2019&#10;NSW Office of the Children’s Guardian 2 December 2019&#10;Other Key stakeholders consulted are as follows: &#10;Families Australia 27 November 2019&#10;SNAICC – National Voice for our Children 13 December 2019&#10;Institute of Child Protection Studies - Australian Catholic University 29 November 2019&#10;Australian Foster Care Association 27 November 2019&#10;Create Foundation 22 November 2019&#10;Australian Centre for Child Protection - University of South Australia 21 November 2019&#10;Uniting Communities 21 November 2019&#10;Centrecare Inc 10 December 2019&#10;NAPCAN 17 January 2020&#10;ARACY 18 November 2019&#10;National Coalition Focus Group 11 December 2019&#10;Children and Young People with Disability Australia 11 December 2019&#10;Daniel Morcombe Foundation 6 December 2019&#10;Andrew McCallum AM, former Association of Children's Welfare Agencies 25 November 2019&#10;The Benevolent Society 5 December 2019&#10;Save the Children Australia 9 December 2019&#10;Commissioners, guardians and advocates consulted are as follows: &#10;Australian Human Rights Commission – National Children’s Commissioner 3 December 2019&#10;The Children and Young People Commissioner (ACT Human Rights Commission.) 27 November 2019&#10;Aboriginal and Torres Strait Islander Social Justice Commissioner 3 December 2019&#10;The NSW Advocate for Children and Young People 29 November 2019&#10;The Children's Commissioner, Office of the Children's Commission NT 4 December 2019&#10;Queensland Family and Child Commission 26 November 2019&#10;Office of the Public Guardian 26 November 2019&#10;The Commissioner for Children and Young People 22 November 2019&#10;The Guardian for Children and Young People 22 November 2019&#10;The Commissioner for Children and Young People 29 November 2019&#10;The Principal Commissioner for Children and Young People, and The Commissioner for Aboriginal Children and Young People 9 December 2019&#10;Commissioner for Children and Young People 18 November 2019&#10;"/>
      </w:tblPr>
      <w:tblGrid>
        <w:gridCol w:w="1248"/>
        <w:gridCol w:w="6502"/>
        <w:gridCol w:w="2105"/>
      </w:tblGrid>
      <w:tr w:rsidR="00D71BA8" w:rsidRPr="00D71BA8" w14:paraId="7F2ABF18" w14:textId="77777777" w:rsidTr="00D71BA8">
        <w:trPr>
          <w:trHeight w:val="354"/>
          <w:tblHeader/>
        </w:trPr>
        <w:tc>
          <w:tcPr>
            <w:tcW w:w="633" w:type="pct"/>
            <w:hideMark/>
          </w:tcPr>
          <w:p w14:paraId="2B92CB43" w14:textId="77777777" w:rsidR="00575351" w:rsidRPr="00D71BA8" w:rsidRDefault="00575351" w:rsidP="00182922">
            <w:pPr>
              <w:pStyle w:val="PwCNormal"/>
              <w:rPr>
                <w:b/>
                <w:color w:val="auto"/>
              </w:rPr>
            </w:pPr>
            <w:r w:rsidRPr="00D71BA8">
              <w:rPr>
                <w:b/>
                <w:color w:val="auto"/>
              </w:rPr>
              <w:t>Stakeholder</w:t>
            </w:r>
          </w:p>
        </w:tc>
        <w:tc>
          <w:tcPr>
            <w:tcW w:w="3299" w:type="pct"/>
            <w:hideMark/>
          </w:tcPr>
          <w:p w14:paraId="398C9E4F" w14:textId="77777777" w:rsidR="00575351" w:rsidRPr="00D71BA8" w:rsidRDefault="00575351" w:rsidP="00182922">
            <w:pPr>
              <w:pStyle w:val="PwCNormal"/>
              <w:rPr>
                <w:b/>
                <w:color w:val="auto"/>
              </w:rPr>
            </w:pPr>
            <w:r w:rsidRPr="00D71BA8">
              <w:rPr>
                <w:b/>
                <w:color w:val="auto"/>
              </w:rPr>
              <w:t>Organisation / Dept.</w:t>
            </w:r>
          </w:p>
        </w:tc>
        <w:tc>
          <w:tcPr>
            <w:tcW w:w="1068" w:type="pct"/>
            <w:hideMark/>
          </w:tcPr>
          <w:p w14:paraId="62A215CA" w14:textId="77777777" w:rsidR="00575351" w:rsidRPr="00D71BA8" w:rsidRDefault="00575351" w:rsidP="00182922">
            <w:pPr>
              <w:pStyle w:val="PwCNormal"/>
              <w:rPr>
                <w:b/>
                <w:color w:val="auto"/>
              </w:rPr>
            </w:pPr>
            <w:r w:rsidRPr="00D71BA8">
              <w:rPr>
                <w:b/>
                <w:color w:val="auto"/>
              </w:rPr>
              <w:t>Date of consultation</w:t>
            </w:r>
          </w:p>
        </w:tc>
      </w:tr>
      <w:tr w:rsidR="00D71BA8" w:rsidRPr="00182922" w14:paraId="21B4B18B" w14:textId="77777777" w:rsidTr="00D71BA8">
        <w:trPr>
          <w:trHeight w:val="354"/>
        </w:trPr>
        <w:tc>
          <w:tcPr>
            <w:tcW w:w="3932" w:type="pct"/>
            <w:gridSpan w:val="2"/>
            <w:hideMark/>
          </w:tcPr>
          <w:p w14:paraId="25F1FE52" w14:textId="77777777" w:rsidR="00D71BA8" w:rsidRPr="00182922" w:rsidRDefault="00D71BA8" w:rsidP="00D71BA8">
            <w:pPr>
              <w:pStyle w:val="PwCNormal"/>
            </w:pPr>
            <w:r w:rsidRPr="00D71BA8">
              <w:rPr>
                <w:color w:val="D04A02" w:themeColor="accent1"/>
              </w:rPr>
              <w:t>Commonwealth stakeholders</w:t>
            </w:r>
          </w:p>
        </w:tc>
        <w:tc>
          <w:tcPr>
            <w:tcW w:w="1068" w:type="pct"/>
            <w:hideMark/>
          </w:tcPr>
          <w:p w14:paraId="4FB65A58" w14:textId="77777777" w:rsidR="00D71BA8" w:rsidRPr="00182922" w:rsidRDefault="00D71BA8" w:rsidP="00182922">
            <w:pPr>
              <w:pStyle w:val="PwCNormal"/>
            </w:pPr>
            <w:r w:rsidRPr="00182922">
              <w:t> </w:t>
            </w:r>
          </w:p>
        </w:tc>
      </w:tr>
      <w:tr w:rsidR="00575351" w:rsidRPr="00182922" w14:paraId="19BEAA25" w14:textId="77777777" w:rsidTr="00D71BA8">
        <w:trPr>
          <w:trHeight w:val="567"/>
        </w:trPr>
        <w:tc>
          <w:tcPr>
            <w:tcW w:w="633" w:type="pct"/>
            <w:hideMark/>
          </w:tcPr>
          <w:p w14:paraId="2C0BF797" w14:textId="77777777" w:rsidR="00575351" w:rsidRPr="00182922" w:rsidRDefault="00575351" w:rsidP="00182922">
            <w:pPr>
              <w:pStyle w:val="PwCNormal"/>
            </w:pPr>
            <w:r w:rsidRPr="00182922">
              <w:t>1</w:t>
            </w:r>
          </w:p>
        </w:tc>
        <w:tc>
          <w:tcPr>
            <w:tcW w:w="3299" w:type="pct"/>
            <w:hideMark/>
          </w:tcPr>
          <w:p w14:paraId="62262A61" w14:textId="77777777" w:rsidR="00575351" w:rsidRPr="00182922" w:rsidRDefault="00575351" w:rsidP="00182922">
            <w:pPr>
              <w:pStyle w:val="PwCNormal"/>
            </w:pPr>
            <w:r w:rsidRPr="00182922">
              <w:t>Department of Social Services (Focus group 1)</w:t>
            </w:r>
          </w:p>
        </w:tc>
        <w:tc>
          <w:tcPr>
            <w:tcW w:w="1068" w:type="pct"/>
            <w:hideMark/>
          </w:tcPr>
          <w:p w14:paraId="6D34B2DD" w14:textId="77777777" w:rsidR="00575351" w:rsidRPr="00182922" w:rsidRDefault="00575351" w:rsidP="00182922">
            <w:pPr>
              <w:pStyle w:val="PwCNormal"/>
            </w:pPr>
            <w:r w:rsidRPr="00182922">
              <w:t>10 December 2019</w:t>
            </w:r>
          </w:p>
        </w:tc>
      </w:tr>
      <w:tr w:rsidR="00575351" w:rsidRPr="00182922" w14:paraId="78042FC8" w14:textId="77777777" w:rsidTr="00D71BA8">
        <w:trPr>
          <w:trHeight w:val="567"/>
        </w:trPr>
        <w:tc>
          <w:tcPr>
            <w:tcW w:w="633" w:type="pct"/>
            <w:hideMark/>
          </w:tcPr>
          <w:p w14:paraId="4292099C" w14:textId="77777777" w:rsidR="00575351" w:rsidRPr="00182922" w:rsidRDefault="00575351" w:rsidP="00182922">
            <w:pPr>
              <w:pStyle w:val="PwCNormal"/>
            </w:pPr>
            <w:r w:rsidRPr="00182922">
              <w:t>2</w:t>
            </w:r>
          </w:p>
        </w:tc>
        <w:tc>
          <w:tcPr>
            <w:tcW w:w="3299" w:type="pct"/>
            <w:hideMark/>
          </w:tcPr>
          <w:p w14:paraId="77877A0A" w14:textId="77777777" w:rsidR="00575351" w:rsidRPr="00182922" w:rsidRDefault="00575351" w:rsidP="00182922">
            <w:pPr>
              <w:pStyle w:val="PwCNormal"/>
            </w:pPr>
            <w:r w:rsidRPr="00182922">
              <w:t>Department of Social Services (Focus group 2)</w:t>
            </w:r>
          </w:p>
        </w:tc>
        <w:tc>
          <w:tcPr>
            <w:tcW w:w="1068" w:type="pct"/>
            <w:hideMark/>
          </w:tcPr>
          <w:p w14:paraId="2361BFB4" w14:textId="77777777" w:rsidR="00575351" w:rsidRPr="00182922" w:rsidRDefault="00575351" w:rsidP="00182922">
            <w:pPr>
              <w:pStyle w:val="PwCNormal"/>
            </w:pPr>
            <w:r w:rsidRPr="00182922">
              <w:t>11 December 2019</w:t>
            </w:r>
          </w:p>
        </w:tc>
      </w:tr>
      <w:tr w:rsidR="00575351" w:rsidRPr="00182922" w14:paraId="006DF823" w14:textId="77777777" w:rsidTr="00D71BA8">
        <w:trPr>
          <w:trHeight w:val="567"/>
        </w:trPr>
        <w:tc>
          <w:tcPr>
            <w:tcW w:w="633" w:type="pct"/>
            <w:hideMark/>
          </w:tcPr>
          <w:p w14:paraId="53AA123A" w14:textId="77777777" w:rsidR="00575351" w:rsidRPr="00182922" w:rsidRDefault="00575351" w:rsidP="00182922">
            <w:pPr>
              <w:pStyle w:val="PwCNormal"/>
            </w:pPr>
            <w:r w:rsidRPr="00182922">
              <w:t>3</w:t>
            </w:r>
          </w:p>
        </w:tc>
        <w:tc>
          <w:tcPr>
            <w:tcW w:w="3299" w:type="pct"/>
            <w:hideMark/>
          </w:tcPr>
          <w:p w14:paraId="3E8A1D9A" w14:textId="77777777" w:rsidR="00575351" w:rsidRPr="00182922" w:rsidRDefault="00575351" w:rsidP="00182922">
            <w:pPr>
              <w:pStyle w:val="PwCNormal"/>
            </w:pPr>
            <w:r w:rsidRPr="00182922">
              <w:t xml:space="preserve">Department of Social Services </w:t>
            </w:r>
          </w:p>
        </w:tc>
        <w:tc>
          <w:tcPr>
            <w:tcW w:w="1068" w:type="pct"/>
            <w:hideMark/>
          </w:tcPr>
          <w:p w14:paraId="539E7150" w14:textId="77777777" w:rsidR="00575351" w:rsidRPr="00182922" w:rsidRDefault="00575351" w:rsidP="00182922">
            <w:pPr>
              <w:pStyle w:val="PwCNormal"/>
            </w:pPr>
            <w:r w:rsidRPr="00182922">
              <w:rPr>
                <w:lang w:val="en-US"/>
              </w:rPr>
              <w:t>17 January 2020</w:t>
            </w:r>
          </w:p>
        </w:tc>
      </w:tr>
      <w:tr w:rsidR="00575351" w:rsidRPr="00182922" w14:paraId="4879B111" w14:textId="77777777" w:rsidTr="00D71BA8">
        <w:trPr>
          <w:trHeight w:val="567"/>
        </w:trPr>
        <w:tc>
          <w:tcPr>
            <w:tcW w:w="633" w:type="pct"/>
            <w:hideMark/>
          </w:tcPr>
          <w:p w14:paraId="15D503AD" w14:textId="77777777" w:rsidR="00575351" w:rsidRPr="00182922" w:rsidRDefault="00575351" w:rsidP="00182922">
            <w:pPr>
              <w:pStyle w:val="PwCNormal"/>
            </w:pPr>
            <w:r w:rsidRPr="00182922">
              <w:t>4</w:t>
            </w:r>
          </w:p>
        </w:tc>
        <w:tc>
          <w:tcPr>
            <w:tcW w:w="3299" w:type="pct"/>
            <w:hideMark/>
          </w:tcPr>
          <w:p w14:paraId="27FAB6BA" w14:textId="77777777" w:rsidR="00575351" w:rsidRPr="00182922" w:rsidRDefault="00575351" w:rsidP="00182922">
            <w:pPr>
              <w:pStyle w:val="PwCNormal"/>
            </w:pPr>
            <w:r w:rsidRPr="00182922">
              <w:t xml:space="preserve">Department of Social Services </w:t>
            </w:r>
          </w:p>
        </w:tc>
        <w:tc>
          <w:tcPr>
            <w:tcW w:w="1068" w:type="pct"/>
            <w:hideMark/>
          </w:tcPr>
          <w:p w14:paraId="5840C95C" w14:textId="77777777" w:rsidR="00575351" w:rsidRPr="00182922" w:rsidRDefault="00575351" w:rsidP="00182922">
            <w:pPr>
              <w:pStyle w:val="PwCNormal"/>
            </w:pPr>
            <w:r w:rsidRPr="00182922">
              <w:t>8 January 2020</w:t>
            </w:r>
          </w:p>
        </w:tc>
      </w:tr>
      <w:tr w:rsidR="00575351" w:rsidRPr="00182922" w14:paraId="7CB58439" w14:textId="77777777" w:rsidTr="00D71BA8">
        <w:trPr>
          <w:trHeight w:val="567"/>
        </w:trPr>
        <w:tc>
          <w:tcPr>
            <w:tcW w:w="633" w:type="pct"/>
            <w:hideMark/>
          </w:tcPr>
          <w:p w14:paraId="7F8AA4DA" w14:textId="77777777" w:rsidR="00575351" w:rsidRPr="00182922" w:rsidRDefault="00575351" w:rsidP="00182922">
            <w:pPr>
              <w:pStyle w:val="PwCNormal"/>
            </w:pPr>
            <w:r w:rsidRPr="00182922">
              <w:t>5</w:t>
            </w:r>
          </w:p>
        </w:tc>
        <w:tc>
          <w:tcPr>
            <w:tcW w:w="3299" w:type="pct"/>
            <w:hideMark/>
          </w:tcPr>
          <w:p w14:paraId="04E32A92" w14:textId="77777777" w:rsidR="00575351" w:rsidRPr="00182922" w:rsidRDefault="00575351" w:rsidP="00182922">
            <w:pPr>
              <w:pStyle w:val="PwCNormal"/>
            </w:pPr>
            <w:r w:rsidRPr="00182922">
              <w:t xml:space="preserve">Department of the Prime Minister and Cabinet, </w:t>
            </w:r>
            <w:r w:rsidRPr="00182922">
              <w:br/>
              <w:t>National Office for Child Safety</w:t>
            </w:r>
          </w:p>
        </w:tc>
        <w:tc>
          <w:tcPr>
            <w:tcW w:w="1068" w:type="pct"/>
            <w:hideMark/>
          </w:tcPr>
          <w:p w14:paraId="19E4E1C2" w14:textId="77777777" w:rsidR="00575351" w:rsidRPr="00182922" w:rsidRDefault="00575351" w:rsidP="00182922">
            <w:pPr>
              <w:pStyle w:val="PwCNormal"/>
            </w:pPr>
            <w:r w:rsidRPr="00182922">
              <w:t>18 November 2019</w:t>
            </w:r>
          </w:p>
        </w:tc>
      </w:tr>
      <w:tr w:rsidR="00575351" w:rsidRPr="00182922" w14:paraId="0FA91B11" w14:textId="77777777" w:rsidTr="00D71BA8">
        <w:trPr>
          <w:trHeight w:val="567"/>
        </w:trPr>
        <w:tc>
          <w:tcPr>
            <w:tcW w:w="633" w:type="pct"/>
            <w:hideMark/>
          </w:tcPr>
          <w:p w14:paraId="5A9E7A1D" w14:textId="77777777" w:rsidR="00575351" w:rsidRPr="00182922" w:rsidRDefault="00575351" w:rsidP="00182922">
            <w:pPr>
              <w:pStyle w:val="PwCNormal"/>
            </w:pPr>
            <w:r w:rsidRPr="00182922">
              <w:t>6</w:t>
            </w:r>
          </w:p>
        </w:tc>
        <w:tc>
          <w:tcPr>
            <w:tcW w:w="3299" w:type="pct"/>
            <w:hideMark/>
          </w:tcPr>
          <w:p w14:paraId="0CBF8AAC" w14:textId="77777777" w:rsidR="00575351" w:rsidRPr="00182922" w:rsidRDefault="00575351" w:rsidP="00182922">
            <w:pPr>
              <w:pStyle w:val="PwCNormal"/>
            </w:pPr>
            <w:r w:rsidRPr="00182922">
              <w:t>Australian Government NIAA - Indigenous Affairs Group</w:t>
            </w:r>
          </w:p>
        </w:tc>
        <w:tc>
          <w:tcPr>
            <w:tcW w:w="1068" w:type="pct"/>
            <w:hideMark/>
          </w:tcPr>
          <w:p w14:paraId="2B379DAF" w14:textId="77777777" w:rsidR="00575351" w:rsidRPr="00182922" w:rsidRDefault="00575351" w:rsidP="00182922">
            <w:pPr>
              <w:pStyle w:val="PwCNormal"/>
            </w:pPr>
            <w:r w:rsidRPr="00182922">
              <w:t>27 November 2019</w:t>
            </w:r>
          </w:p>
        </w:tc>
      </w:tr>
      <w:tr w:rsidR="00575351" w:rsidRPr="00182922" w14:paraId="2EC402BF" w14:textId="77777777" w:rsidTr="00D71BA8">
        <w:trPr>
          <w:trHeight w:val="567"/>
        </w:trPr>
        <w:tc>
          <w:tcPr>
            <w:tcW w:w="633" w:type="pct"/>
            <w:hideMark/>
          </w:tcPr>
          <w:p w14:paraId="65802281" w14:textId="77777777" w:rsidR="00575351" w:rsidRPr="00182922" w:rsidRDefault="00575351" w:rsidP="00182922">
            <w:pPr>
              <w:pStyle w:val="PwCNormal"/>
            </w:pPr>
            <w:r w:rsidRPr="00182922">
              <w:t>7</w:t>
            </w:r>
          </w:p>
        </w:tc>
        <w:tc>
          <w:tcPr>
            <w:tcW w:w="3299" w:type="pct"/>
            <w:hideMark/>
          </w:tcPr>
          <w:p w14:paraId="7FB8AC11" w14:textId="77777777" w:rsidR="00575351" w:rsidRPr="00182922" w:rsidRDefault="00575351" w:rsidP="00182922">
            <w:pPr>
              <w:pStyle w:val="PwCNormal"/>
            </w:pPr>
            <w:r w:rsidRPr="00182922">
              <w:t>Australian Government Department of Health</w:t>
            </w:r>
          </w:p>
        </w:tc>
        <w:tc>
          <w:tcPr>
            <w:tcW w:w="1068" w:type="pct"/>
            <w:hideMark/>
          </w:tcPr>
          <w:p w14:paraId="6AADF605" w14:textId="77777777" w:rsidR="00575351" w:rsidRPr="00182922" w:rsidRDefault="00575351" w:rsidP="00182922">
            <w:pPr>
              <w:pStyle w:val="PwCNormal"/>
            </w:pPr>
            <w:r w:rsidRPr="00182922">
              <w:t>28 November 2019</w:t>
            </w:r>
          </w:p>
        </w:tc>
      </w:tr>
      <w:tr w:rsidR="00575351" w:rsidRPr="00182922" w14:paraId="04F29978" w14:textId="77777777" w:rsidTr="00D71BA8">
        <w:trPr>
          <w:trHeight w:val="567"/>
        </w:trPr>
        <w:tc>
          <w:tcPr>
            <w:tcW w:w="633" w:type="pct"/>
            <w:hideMark/>
          </w:tcPr>
          <w:p w14:paraId="30AA2690" w14:textId="77777777" w:rsidR="00575351" w:rsidRPr="00182922" w:rsidRDefault="00575351" w:rsidP="00182922">
            <w:pPr>
              <w:pStyle w:val="PwCNormal"/>
            </w:pPr>
            <w:r w:rsidRPr="00182922">
              <w:t>8</w:t>
            </w:r>
          </w:p>
        </w:tc>
        <w:tc>
          <w:tcPr>
            <w:tcW w:w="3299" w:type="pct"/>
            <w:hideMark/>
          </w:tcPr>
          <w:p w14:paraId="0A963F9A" w14:textId="77777777" w:rsidR="00575351" w:rsidRPr="00182922" w:rsidRDefault="00575351" w:rsidP="00182922">
            <w:pPr>
              <w:pStyle w:val="PwCNormal"/>
            </w:pPr>
            <w:r w:rsidRPr="00182922">
              <w:t>Australian Government Department of Education</w:t>
            </w:r>
          </w:p>
        </w:tc>
        <w:tc>
          <w:tcPr>
            <w:tcW w:w="1068" w:type="pct"/>
            <w:hideMark/>
          </w:tcPr>
          <w:p w14:paraId="4112AFE4" w14:textId="77777777" w:rsidR="00575351" w:rsidRPr="00182922" w:rsidRDefault="00575351" w:rsidP="00182922">
            <w:pPr>
              <w:pStyle w:val="PwCNormal"/>
            </w:pPr>
            <w:r w:rsidRPr="00182922">
              <w:t>28 November 2019</w:t>
            </w:r>
          </w:p>
        </w:tc>
      </w:tr>
      <w:tr w:rsidR="00575351" w:rsidRPr="00182922" w14:paraId="375C1F29" w14:textId="77777777" w:rsidTr="00D71BA8">
        <w:trPr>
          <w:trHeight w:val="567"/>
        </w:trPr>
        <w:tc>
          <w:tcPr>
            <w:tcW w:w="633" w:type="pct"/>
            <w:hideMark/>
          </w:tcPr>
          <w:p w14:paraId="69F649B0" w14:textId="77777777" w:rsidR="00575351" w:rsidRPr="00182922" w:rsidRDefault="00575351" w:rsidP="00182922">
            <w:pPr>
              <w:pStyle w:val="PwCNormal"/>
            </w:pPr>
            <w:r w:rsidRPr="00182922">
              <w:t>9</w:t>
            </w:r>
          </w:p>
        </w:tc>
        <w:tc>
          <w:tcPr>
            <w:tcW w:w="3299" w:type="pct"/>
            <w:hideMark/>
          </w:tcPr>
          <w:p w14:paraId="2875CE83" w14:textId="77777777" w:rsidR="00575351" w:rsidRPr="00182922" w:rsidRDefault="00575351" w:rsidP="00182922">
            <w:pPr>
              <w:pStyle w:val="PwCNormal"/>
            </w:pPr>
            <w:r w:rsidRPr="00182922">
              <w:t>Australian Institute of Health &amp; Welfare</w:t>
            </w:r>
          </w:p>
        </w:tc>
        <w:tc>
          <w:tcPr>
            <w:tcW w:w="1068" w:type="pct"/>
            <w:hideMark/>
          </w:tcPr>
          <w:p w14:paraId="4A804ECE" w14:textId="77777777" w:rsidR="00575351" w:rsidRPr="00182922" w:rsidRDefault="00575351" w:rsidP="00182922">
            <w:pPr>
              <w:pStyle w:val="PwCNormal"/>
            </w:pPr>
            <w:r w:rsidRPr="00182922">
              <w:t>28 November 2019</w:t>
            </w:r>
          </w:p>
        </w:tc>
      </w:tr>
      <w:tr w:rsidR="00575351" w:rsidRPr="00182922" w14:paraId="72BCFA1D" w14:textId="77777777" w:rsidTr="00D71BA8">
        <w:trPr>
          <w:trHeight w:val="567"/>
        </w:trPr>
        <w:tc>
          <w:tcPr>
            <w:tcW w:w="633" w:type="pct"/>
            <w:hideMark/>
          </w:tcPr>
          <w:p w14:paraId="64243811" w14:textId="77777777" w:rsidR="00575351" w:rsidRPr="00182922" w:rsidRDefault="00575351" w:rsidP="00182922">
            <w:pPr>
              <w:pStyle w:val="PwCNormal"/>
            </w:pPr>
            <w:r w:rsidRPr="00182922">
              <w:t>10</w:t>
            </w:r>
          </w:p>
        </w:tc>
        <w:tc>
          <w:tcPr>
            <w:tcW w:w="3299" w:type="pct"/>
            <w:hideMark/>
          </w:tcPr>
          <w:p w14:paraId="5C87CBA6" w14:textId="77777777" w:rsidR="00575351" w:rsidRPr="00182922" w:rsidRDefault="00575351" w:rsidP="00182922">
            <w:pPr>
              <w:pStyle w:val="PwCNormal"/>
            </w:pPr>
            <w:r w:rsidRPr="00182922">
              <w:t>Australian Institute of Family Studies</w:t>
            </w:r>
          </w:p>
        </w:tc>
        <w:tc>
          <w:tcPr>
            <w:tcW w:w="1068" w:type="pct"/>
            <w:hideMark/>
          </w:tcPr>
          <w:p w14:paraId="609C9996" w14:textId="77777777" w:rsidR="00575351" w:rsidRPr="00182922" w:rsidRDefault="00575351" w:rsidP="00182922">
            <w:pPr>
              <w:pStyle w:val="PwCNormal"/>
            </w:pPr>
            <w:r w:rsidRPr="00182922">
              <w:t>3 December 2019</w:t>
            </w:r>
          </w:p>
        </w:tc>
      </w:tr>
      <w:tr w:rsidR="00575351" w:rsidRPr="00182922" w14:paraId="44D94687" w14:textId="77777777" w:rsidTr="00D71BA8">
        <w:trPr>
          <w:trHeight w:val="567"/>
        </w:trPr>
        <w:tc>
          <w:tcPr>
            <w:tcW w:w="633" w:type="pct"/>
            <w:hideMark/>
          </w:tcPr>
          <w:p w14:paraId="56D41695" w14:textId="77777777" w:rsidR="00575351" w:rsidRPr="00182922" w:rsidRDefault="00575351" w:rsidP="00182922">
            <w:pPr>
              <w:pStyle w:val="PwCNormal"/>
            </w:pPr>
            <w:r w:rsidRPr="00182922">
              <w:t>11</w:t>
            </w:r>
          </w:p>
        </w:tc>
        <w:tc>
          <w:tcPr>
            <w:tcW w:w="3299" w:type="pct"/>
            <w:hideMark/>
          </w:tcPr>
          <w:p w14:paraId="21732946" w14:textId="77777777" w:rsidR="00575351" w:rsidRPr="00182922" w:rsidRDefault="00575351" w:rsidP="00182922">
            <w:pPr>
              <w:pStyle w:val="PwCNormal"/>
            </w:pPr>
            <w:r w:rsidRPr="00182922">
              <w:t>Australian Institute of Family Studies</w:t>
            </w:r>
            <w:r w:rsidR="0010794F">
              <w:t xml:space="preserve"> (follow-up interview)</w:t>
            </w:r>
          </w:p>
        </w:tc>
        <w:tc>
          <w:tcPr>
            <w:tcW w:w="1068" w:type="pct"/>
            <w:hideMark/>
          </w:tcPr>
          <w:p w14:paraId="5A031F6C" w14:textId="77777777" w:rsidR="00575351" w:rsidRPr="00182922" w:rsidRDefault="00575351" w:rsidP="00182922">
            <w:pPr>
              <w:pStyle w:val="PwCNormal"/>
            </w:pPr>
            <w:r w:rsidRPr="00182922">
              <w:t>15 November 2019</w:t>
            </w:r>
          </w:p>
        </w:tc>
      </w:tr>
      <w:tr w:rsidR="00D71BA8" w:rsidRPr="00182922" w14:paraId="157460F8" w14:textId="77777777" w:rsidTr="00D71BA8">
        <w:trPr>
          <w:trHeight w:val="567"/>
        </w:trPr>
        <w:tc>
          <w:tcPr>
            <w:tcW w:w="3932" w:type="pct"/>
            <w:gridSpan w:val="2"/>
          </w:tcPr>
          <w:p w14:paraId="5E739025" w14:textId="77777777" w:rsidR="00D71BA8" w:rsidRPr="00182922" w:rsidRDefault="00D71BA8" w:rsidP="00182922">
            <w:pPr>
              <w:pStyle w:val="PwCNormal"/>
              <w:numPr>
                <w:ilvl w:val="0"/>
                <w:numId w:val="0"/>
              </w:numPr>
            </w:pPr>
            <w:r w:rsidRPr="00D71BA8">
              <w:rPr>
                <w:color w:val="D04A02" w:themeColor="accent1"/>
              </w:rPr>
              <w:t>State and territory government stakeholders</w:t>
            </w:r>
          </w:p>
        </w:tc>
        <w:tc>
          <w:tcPr>
            <w:tcW w:w="1068" w:type="pct"/>
          </w:tcPr>
          <w:p w14:paraId="126DB2E3" w14:textId="77777777" w:rsidR="00D71BA8" w:rsidRPr="00182922" w:rsidRDefault="00D71BA8" w:rsidP="00182922">
            <w:pPr>
              <w:pStyle w:val="PwCNormal"/>
              <w:numPr>
                <w:ilvl w:val="0"/>
                <w:numId w:val="0"/>
              </w:numPr>
            </w:pPr>
          </w:p>
        </w:tc>
      </w:tr>
      <w:tr w:rsidR="00575351" w:rsidRPr="00182922" w14:paraId="70354BA7" w14:textId="77777777" w:rsidTr="00D71BA8">
        <w:trPr>
          <w:trHeight w:val="567"/>
        </w:trPr>
        <w:tc>
          <w:tcPr>
            <w:tcW w:w="633" w:type="pct"/>
          </w:tcPr>
          <w:p w14:paraId="2CB8CDE8" w14:textId="77777777" w:rsidR="00575351" w:rsidRPr="00182922" w:rsidRDefault="00575351" w:rsidP="00182922">
            <w:pPr>
              <w:pStyle w:val="PwCNormal"/>
              <w:numPr>
                <w:ilvl w:val="0"/>
                <w:numId w:val="0"/>
              </w:numPr>
            </w:pPr>
            <w:r w:rsidRPr="00182922">
              <w:t>12</w:t>
            </w:r>
          </w:p>
        </w:tc>
        <w:tc>
          <w:tcPr>
            <w:tcW w:w="3299" w:type="pct"/>
          </w:tcPr>
          <w:p w14:paraId="48BFFF85" w14:textId="77777777" w:rsidR="00575351" w:rsidRPr="00182922" w:rsidRDefault="00575351" w:rsidP="00182922">
            <w:pPr>
              <w:pStyle w:val="PwCNormal"/>
              <w:numPr>
                <w:ilvl w:val="0"/>
                <w:numId w:val="0"/>
              </w:numPr>
            </w:pPr>
            <w:r w:rsidRPr="00182922">
              <w:t>SA Department for Child Protection</w:t>
            </w:r>
          </w:p>
        </w:tc>
        <w:tc>
          <w:tcPr>
            <w:tcW w:w="1068" w:type="pct"/>
          </w:tcPr>
          <w:p w14:paraId="08BA5AAD" w14:textId="77777777" w:rsidR="00575351" w:rsidRPr="00182922" w:rsidRDefault="00575351" w:rsidP="00182922">
            <w:pPr>
              <w:pStyle w:val="PwCNormal"/>
              <w:numPr>
                <w:ilvl w:val="0"/>
                <w:numId w:val="0"/>
              </w:numPr>
            </w:pPr>
            <w:r w:rsidRPr="00182922">
              <w:t>8 January 2020</w:t>
            </w:r>
          </w:p>
        </w:tc>
      </w:tr>
      <w:tr w:rsidR="00575351" w:rsidRPr="00182922" w14:paraId="0C377384" w14:textId="77777777" w:rsidTr="00D71BA8">
        <w:trPr>
          <w:trHeight w:val="567"/>
        </w:trPr>
        <w:tc>
          <w:tcPr>
            <w:tcW w:w="633" w:type="pct"/>
          </w:tcPr>
          <w:p w14:paraId="47A43756" w14:textId="77777777" w:rsidR="00575351" w:rsidRPr="00182922" w:rsidRDefault="00575351" w:rsidP="00182922">
            <w:pPr>
              <w:pStyle w:val="PwCNormal"/>
              <w:numPr>
                <w:ilvl w:val="0"/>
                <w:numId w:val="0"/>
              </w:numPr>
            </w:pPr>
            <w:r w:rsidRPr="00182922">
              <w:t>13</w:t>
            </w:r>
          </w:p>
        </w:tc>
        <w:tc>
          <w:tcPr>
            <w:tcW w:w="3299" w:type="pct"/>
          </w:tcPr>
          <w:p w14:paraId="01EBA6DA" w14:textId="77777777" w:rsidR="00575351" w:rsidRPr="00182922" w:rsidRDefault="00575351" w:rsidP="00182922">
            <w:pPr>
              <w:pStyle w:val="PwCNormal"/>
              <w:numPr>
                <w:ilvl w:val="0"/>
                <w:numId w:val="0"/>
              </w:numPr>
            </w:pPr>
            <w:r w:rsidRPr="00182922">
              <w:t>ACT Government/ ACT Community Services Directorate</w:t>
            </w:r>
          </w:p>
        </w:tc>
        <w:tc>
          <w:tcPr>
            <w:tcW w:w="1068" w:type="pct"/>
          </w:tcPr>
          <w:p w14:paraId="486CAD0C" w14:textId="77777777" w:rsidR="00575351" w:rsidRPr="00182922" w:rsidRDefault="00575351" w:rsidP="00182922">
            <w:pPr>
              <w:pStyle w:val="PwCNormal"/>
              <w:numPr>
                <w:ilvl w:val="0"/>
                <w:numId w:val="0"/>
              </w:numPr>
            </w:pPr>
            <w:r w:rsidRPr="00182922">
              <w:t>28 November 2019</w:t>
            </w:r>
          </w:p>
        </w:tc>
      </w:tr>
      <w:tr w:rsidR="00575351" w:rsidRPr="00182922" w14:paraId="20319D06" w14:textId="77777777" w:rsidTr="00D71BA8">
        <w:trPr>
          <w:trHeight w:val="567"/>
        </w:trPr>
        <w:tc>
          <w:tcPr>
            <w:tcW w:w="633" w:type="pct"/>
          </w:tcPr>
          <w:p w14:paraId="46574460" w14:textId="77777777" w:rsidR="00575351" w:rsidRPr="00182922" w:rsidRDefault="00575351" w:rsidP="00182922">
            <w:pPr>
              <w:pStyle w:val="PwCNormal"/>
              <w:numPr>
                <w:ilvl w:val="0"/>
                <w:numId w:val="0"/>
              </w:numPr>
            </w:pPr>
            <w:r w:rsidRPr="00182922">
              <w:t>14</w:t>
            </w:r>
          </w:p>
        </w:tc>
        <w:tc>
          <w:tcPr>
            <w:tcW w:w="3299" w:type="pct"/>
          </w:tcPr>
          <w:p w14:paraId="1CE70446" w14:textId="77777777" w:rsidR="00575351" w:rsidRPr="00182922" w:rsidRDefault="00575351" w:rsidP="00182922">
            <w:pPr>
              <w:pStyle w:val="PwCNormal"/>
              <w:numPr>
                <w:ilvl w:val="0"/>
                <w:numId w:val="0"/>
              </w:numPr>
            </w:pPr>
            <w:r w:rsidRPr="00182922">
              <w:t>NSW Department of Family and Community Services</w:t>
            </w:r>
          </w:p>
        </w:tc>
        <w:tc>
          <w:tcPr>
            <w:tcW w:w="1068" w:type="pct"/>
          </w:tcPr>
          <w:p w14:paraId="659BAC65" w14:textId="77777777" w:rsidR="00575351" w:rsidRPr="00182922" w:rsidRDefault="00575351" w:rsidP="00182922">
            <w:pPr>
              <w:pStyle w:val="PwCNormal"/>
              <w:numPr>
                <w:ilvl w:val="0"/>
                <w:numId w:val="0"/>
              </w:numPr>
            </w:pPr>
            <w:r w:rsidRPr="00182922">
              <w:t>12 December 2019</w:t>
            </w:r>
          </w:p>
        </w:tc>
      </w:tr>
      <w:tr w:rsidR="00575351" w:rsidRPr="00182922" w14:paraId="0130226F" w14:textId="77777777" w:rsidTr="00D71BA8">
        <w:trPr>
          <w:trHeight w:val="567"/>
        </w:trPr>
        <w:tc>
          <w:tcPr>
            <w:tcW w:w="633" w:type="pct"/>
          </w:tcPr>
          <w:p w14:paraId="2A61AC19" w14:textId="77777777" w:rsidR="00575351" w:rsidRPr="00182922" w:rsidRDefault="00575351" w:rsidP="00182922">
            <w:pPr>
              <w:pStyle w:val="PwCNormal"/>
              <w:numPr>
                <w:ilvl w:val="0"/>
                <w:numId w:val="0"/>
              </w:numPr>
            </w:pPr>
            <w:r w:rsidRPr="00182922">
              <w:t>15</w:t>
            </w:r>
          </w:p>
        </w:tc>
        <w:tc>
          <w:tcPr>
            <w:tcW w:w="3299" w:type="pct"/>
          </w:tcPr>
          <w:p w14:paraId="0014086A" w14:textId="77777777" w:rsidR="00575351" w:rsidRPr="00182922" w:rsidRDefault="00575351" w:rsidP="00182922">
            <w:pPr>
              <w:pStyle w:val="PwCNormal"/>
              <w:numPr>
                <w:ilvl w:val="0"/>
                <w:numId w:val="0"/>
              </w:numPr>
            </w:pPr>
            <w:r w:rsidRPr="00182922">
              <w:t xml:space="preserve">Territories Families </w:t>
            </w:r>
            <w:r w:rsidR="0010794F">
              <w:t>(Strategy, Policy and Performance Division)</w:t>
            </w:r>
          </w:p>
        </w:tc>
        <w:tc>
          <w:tcPr>
            <w:tcW w:w="1068" w:type="pct"/>
          </w:tcPr>
          <w:p w14:paraId="1B936902" w14:textId="77777777" w:rsidR="00575351" w:rsidRPr="00182922" w:rsidRDefault="00575351" w:rsidP="00182922">
            <w:pPr>
              <w:pStyle w:val="PwCNormal"/>
              <w:numPr>
                <w:ilvl w:val="0"/>
                <w:numId w:val="0"/>
              </w:numPr>
            </w:pPr>
            <w:r w:rsidRPr="00182922">
              <w:t>14 November 2019</w:t>
            </w:r>
          </w:p>
        </w:tc>
      </w:tr>
      <w:tr w:rsidR="00575351" w:rsidRPr="00182922" w14:paraId="7CD5BA8C" w14:textId="77777777" w:rsidTr="00D71BA8">
        <w:trPr>
          <w:trHeight w:val="567"/>
        </w:trPr>
        <w:tc>
          <w:tcPr>
            <w:tcW w:w="633" w:type="pct"/>
          </w:tcPr>
          <w:p w14:paraId="2EA5BFFC" w14:textId="77777777" w:rsidR="00575351" w:rsidRPr="00182922" w:rsidRDefault="00575351" w:rsidP="00182922">
            <w:pPr>
              <w:pStyle w:val="PwCNormal"/>
              <w:numPr>
                <w:ilvl w:val="0"/>
                <w:numId w:val="0"/>
              </w:numPr>
            </w:pPr>
            <w:r w:rsidRPr="00182922">
              <w:lastRenderedPageBreak/>
              <w:t>16</w:t>
            </w:r>
          </w:p>
        </w:tc>
        <w:tc>
          <w:tcPr>
            <w:tcW w:w="3299" w:type="pct"/>
          </w:tcPr>
          <w:p w14:paraId="27C30137" w14:textId="77777777" w:rsidR="00575351" w:rsidRPr="00182922" w:rsidRDefault="00575351" w:rsidP="00182922">
            <w:pPr>
              <w:pStyle w:val="PwCNormal"/>
              <w:numPr>
                <w:ilvl w:val="0"/>
                <w:numId w:val="0"/>
              </w:numPr>
            </w:pPr>
            <w:r w:rsidRPr="00182922">
              <w:t>Territory Families (Reform Management Office)</w:t>
            </w:r>
          </w:p>
        </w:tc>
        <w:tc>
          <w:tcPr>
            <w:tcW w:w="1068" w:type="pct"/>
          </w:tcPr>
          <w:p w14:paraId="7F1251B6" w14:textId="77777777" w:rsidR="00575351" w:rsidRPr="00182922" w:rsidRDefault="00575351" w:rsidP="00182922">
            <w:pPr>
              <w:pStyle w:val="PwCNormal"/>
              <w:numPr>
                <w:ilvl w:val="0"/>
                <w:numId w:val="0"/>
              </w:numPr>
            </w:pPr>
            <w:r w:rsidRPr="00182922">
              <w:t>9 December 2019</w:t>
            </w:r>
          </w:p>
        </w:tc>
      </w:tr>
      <w:tr w:rsidR="00575351" w:rsidRPr="00182922" w14:paraId="78BF73BD" w14:textId="77777777" w:rsidTr="00D71BA8">
        <w:trPr>
          <w:trHeight w:val="567"/>
        </w:trPr>
        <w:tc>
          <w:tcPr>
            <w:tcW w:w="633" w:type="pct"/>
          </w:tcPr>
          <w:p w14:paraId="2E628605" w14:textId="77777777" w:rsidR="00575351" w:rsidRPr="00182922" w:rsidRDefault="00575351" w:rsidP="00182922">
            <w:pPr>
              <w:pStyle w:val="PwCNormal"/>
              <w:numPr>
                <w:ilvl w:val="0"/>
                <w:numId w:val="0"/>
              </w:numPr>
            </w:pPr>
            <w:r w:rsidRPr="00182922">
              <w:t>17</w:t>
            </w:r>
          </w:p>
        </w:tc>
        <w:tc>
          <w:tcPr>
            <w:tcW w:w="3299" w:type="pct"/>
          </w:tcPr>
          <w:p w14:paraId="14BC3CB8" w14:textId="77777777" w:rsidR="00575351" w:rsidRPr="00182922" w:rsidRDefault="00575351" w:rsidP="00182922">
            <w:pPr>
              <w:pStyle w:val="PwCNormal"/>
              <w:numPr>
                <w:ilvl w:val="0"/>
                <w:numId w:val="0"/>
              </w:numPr>
            </w:pPr>
            <w:r w:rsidRPr="00182922">
              <w:t>QLD Department of Child Safety, Youth and Women</w:t>
            </w:r>
          </w:p>
        </w:tc>
        <w:tc>
          <w:tcPr>
            <w:tcW w:w="1068" w:type="pct"/>
          </w:tcPr>
          <w:p w14:paraId="14721C96" w14:textId="77777777" w:rsidR="00575351" w:rsidRPr="00182922" w:rsidRDefault="00575351" w:rsidP="00182922">
            <w:pPr>
              <w:pStyle w:val="PwCNormal"/>
              <w:numPr>
                <w:ilvl w:val="0"/>
                <w:numId w:val="0"/>
              </w:numPr>
            </w:pPr>
            <w:r w:rsidRPr="00182922">
              <w:t>26 November 2019</w:t>
            </w:r>
          </w:p>
        </w:tc>
      </w:tr>
      <w:tr w:rsidR="00575351" w:rsidRPr="00182922" w14:paraId="716DC4E1" w14:textId="77777777" w:rsidTr="00D71BA8">
        <w:trPr>
          <w:trHeight w:val="567"/>
        </w:trPr>
        <w:tc>
          <w:tcPr>
            <w:tcW w:w="633" w:type="pct"/>
          </w:tcPr>
          <w:p w14:paraId="63C82447" w14:textId="77777777" w:rsidR="00575351" w:rsidRPr="00182922" w:rsidRDefault="00575351" w:rsidP="00182922">
            <w:pPr>
              <w:pStyle w:val="PwCNormal"/>
              <w:numPr>
                <w:ilvl w:val="0"/>
                <w:numId w:val="0"/>
              </w:numPr>
            </w:pPr>
            <w:r w:rsidRPr="00182922">
              <w:t>18</w:t>
            </w:r>
          </w:p>
        </w:tc>
        <w:tc>
          <w:tcPr>
            <w:tcW w:w="3299" w:type="pct"/>
          </w:tcPr>
          <w:p w14:paraId="10249322" w14:textId="77777777" w:rsidR="00575351" w:rsidRPr="00182922" w:rsidRDefault="00575351" w:rsidP="00182922">
            <w:pPr>
              <w:pStyle w:val="PwCNormal"/>
              <w:numPr>
                <w:ilvl w:val="0"/>
                <w:numId w:val="0"/>
              </w:numPr>
            </w:pPr>
            <w:r w:rsidRPr="00182922">
              <w:t>Tasmanian Department of Health and Human Services</w:t>
            </w:r>
          </w:p>
        </w:tc>
        <w:tc>
          <w:tcPr>
            <w:tcW w:w="1068" w:type="pct"/>
          </w:tcPr>
          <w:p w14:paraId="662D42EF" w14:textId="77777777" w:rsidR="00575351" w:rsidRPr="00182922" w:rsidRDefault="00575351" w:rsidP="00182922">
            <w:pPr>
              <w:pStyle w:val="PwCNormal"/>
              <w:numPr>
                <w:ilvl w:val="0"/>
                <w:numId w:val="0"/>
              </w:numPr>
            </w:pPr>
            <w:r w:rsidRPr="00182922">
              <w:t>18 November 2019</w:t>
            </w:r>
          </w:p>
        </w:tc>
      </w:tr>
      <w:tr w:rsidR="00575351" w:rsidRPr="00182922" w14:paraId="5481E427" w14:textId="77777777" w:rsidTr="00D71BA8">
        <w:trPr>
          <w:trHeight w:val="567"/>
        </w:trPr>
        <w:tc>
          <w:tcPr>
            <w:tcW w:w="633" w:type="pct"/>
          </w:tcPr>
          <w:p w14:paraId="1B26E7D2" w14:textId="77777777" w:rsidR="00575351" w:rsidRPr="00182922" w:rsidRDefault="00575351" w:rsidP="00182922">
            <w:pPr>
              <w:pStyle w:val="PwCNormal"/>
              <w:numPr>
                <w:ilvl w:val="0"/>
                <w:numId w:val="0"/>
              </w:numPr>
            </w:pPr>
            <w:r w:rsidRPr="00182922">
              <w:t>19</w:t>
            </w:r>
          </w:p>
        </w:tc>
        <w:tc>
          <w:tcPr>
            <w:tcW w:w="3299" w:type="pct"/>
          </w:tcPr>
          <w:p w14:paraId="3E983556" w14:textId="77777777" w:rsidR="00575351" w:rsidRPr="00182922" w:rsidRDefault="00575351" w:rsidP="00182922">
            <w:pPr>
              <w:pStyle w:val="PwCNormal"/>
              <w:numPr>
                <w:ilvl w:val="0"/>
                <w:numId w:val="0"/>
              </w:numPr>
            </w:pPr>
            <w:r w:rsidRPr="00182922">
              <w:t>Victorian Department of Health and Human Services</w:t>
            </w:r>
          </w:p>
        </w:tc>
        <w:tc>
          <w:tcPr>
            <w:tcW w:w="1068" w:type="pct"/>
          </w:tcPr>
          <w:p w14:paraId="7042FA1B" w14:textId="77777777" w:rsidR="00575351" w:rsidRPr="00182922" w:rsidRDefault="00575351" w:rsidP="00182922">
            <w:pPr>
              <w:pStyle w:val="PwCNormal"/>
              <w:numPr>
                <w:ilvl w:val="0"/>
                <w:numId w:val="0"/>
              </w:numPr>
            </w:pPr>
            <w:r w:rsidRPr="00182922">
              <w:t>9 December 2019</w:t>
            </w:r>
          </w:p>
        </w:tc>
      </w:tr>
      <w:tr w:rsidR="00575351" w:rsidRPr="00182922" w14:paraId="0B5F109C" w14:textId="77777777" w:rsidTr="00D71BA8">
        <w:trPr>
          <w:trHeight w:val="567"/>
        </w:trPr>
        <w:tc>
          <w:tcPr>
            <w:tcW w:w="633" w:type="pct"/>
          </w:tcPr>
          <w:p w14:paraId="161AA03C" w14:textId="77777777" w:rsidR="00575351" w:rsidRPr="00182922" w:rsidRDefault="00575351" w:rsidP="00182922">
            <w:pPr>
              <w:pStyle w:val="PwCNormal"/>
              <w:numPr>
                <w:ilvl w:val="0"/>
                <w:numId w:val="0"/>
              </w:numPr>
            </w:pPr>
            <w:r w:rsidRPr="00182922">
              <w:t>20</w:t>
            </w:r>
          </w:p>
        </w:tc>
        <w:tc>
          <w:tcPr>
            <w:tcW w:w="3299" w:type="pct"/>
          </w:tcPr>
          <w:p w14:paraId="1681DF23" w14:textId="77777777" w:rsidR="00575351" w:rsidRPr="00182922" w:rsidRDefault="00575351" w:rsidP="00182922">
            <w:pPr>
              <w:pStyle w:val="PwCNormal"/>
              <w:numPr>
                <w:ilvl w:val="0"/>
                <w:numId w:val="0"/>
              </w:numPr>
            </w:pPr>
            <w:r w:rsidRPr="00182922">
              <w:t xml:space="preserve">WA Department of Communities </w:t>
            </w:r>
          </w:p>
        </w:tc>
        <w:tc>
          <w:tcPr>
            <w:tcW w:w="1068" w:type="pct"/>
          </w:tcPr>
          <w:p w14:paraId="0F5A042E" w14:textId="77777777" w:rsidR="00575351" w:rsidRPr="00182922" w:rsidRDefault="00575351" w:rsidP="00182922">
            <w:pPr>
              <w:pStyle w:val="PwCNormal"/>
              <w:numPr>
                <w:ilvl w:val="0"/>
                <w:numId w:val="0"/>
              </w:numPr>
            </w:pPr>
            <w:r w:rsidRPr="00182922">
              <w:t>18 November 2019</w:t>
            </w:r>
          </w:p>
        </w:tc>
      </w:tr>
      <w:tr w:rsidR="00575351" w:rsidRPr="00182922" w14:paraId="4BE634A8" w14:textId="77777777" w:rsidTr="00D71BA8">
        <w:trPr>
          <w:trHeight w:val="567"/>
        </w:trPr>
        <w:tc>
          <w:tcPr>
            <w:tcW w:w="633" w:type="pct"/>
          </w:tcPr>
          <w:p w14:paraId="590CF77A" w14:textId="77777777" w:rsidR="00575351" w:rsidRPr="00182922" w:rsidRDefault="00575351" w:rsidP="00182922">
            <w:pPr>
              <w:pStyle w:val="PwCNormal"/>
              <w:numPr>
                <w:ilvl w:val="0"/>
                <w:numId w:val="0"/>
              </w:numPr>
            </w:pPr>
            <w:r w:rsidRPr="00182922">
              <w:t>21</w:t>
            </w:r>
          </w:p>
        </w:tc>
        <w:tc>
          <w:tcPr>
            <w:tcW w:w="3299" w:type="pct"/>
          </w:tcPr>
          <w:p w14:paraId="617EF61C" w14:textId="77777777" w:rsidR="00575351" w:rsidRPr="00182922" w:rsidRDefault="00575351" w:rsidP="00182922">
            <w:pPr>
              <w:pStyle w:val="PwCNormal"/>
              <w:numPr>
                <w:ilvl w:val="0"/>
                <w:numId w:val="0"/>
              </w:numPr>
            </w:pPr>
            <w:r w:rsidRPr="00182922">
              <w:t>NSW Office of the Children’s Guardian</w:t>
            </w:r>
          </w:p>
        </w:tc>
        <w:tc>
          <w:tcPr>
            <w:tcW w:w="1068" w:type="pct"/>
          </w:tcPr>
          <w:p w14:paraId="5EB47480" w14:textId="77777777" w:rsidR="00575351" w:rsidRPr="00182922" w:rsidRDefault="00575351" w:rsidP="00182922">
            <w:pPr>
              <w:pStyle w:val="PwCNormal"/>
              <w:numPr>
                <w:ilvl w:val="0"/>
                <w:numId w:val="0"/>
              </w:numPr>
            </w:pPr>
            <w:r w:rsidRPr="00182922">
              <w:t>2 December 2019</w:t>
            </w:r>
          </w:p>
        </w:tc>
      </w:tr>
      <w:tr w:rsidR="00D71BA8" w:rsidRPr="00D71BA8" w14:paraId="321BD7CF" w14:textId="77777777" w:rsidTr="00D71BA8">
        <w:trPr>
          <w:trHeight w:val="567"/>
        </w:trPr>
        <w:tc>
          <w:tcPr>
            <w:tcW w:w="3932" w:type="pct"/>
            <w:gridSpan w:val="2"/>
          </w:tcPr>
          <w:p w14:paraId="597EE8EC" w14:textId="77777777" w:rsidR="00D71BA8" w:rsidRPr="00D71BA8" w:rsidRDefault="00D71BA8" w:rsidP="00182922">
            <w:pPr>
              <w:pStyle w:val="PwCNormal"/>
              <w:rPr>
                <w:color w:val="D04A02" w:themeColor="accent1"/>
              </w:rPr>
            </w:pPr>
            <w:r w:rsidRPr="00D71BA8">
              <w:rPr>
                <w:color w:val="D04A02" w:themeColor="accent1"/>
              </w:rPr>
              <w:t>Key stakeholders</w:t>
            </w:r>
          </w:p>
        </w:tc>
        <w:tc>
          <w:tcPr>
            <w:tcW w:w="1068" w:type="pct"/>
          </w:tcPr>
          <w:p w14:paraId="74BA820B" w14:textId="77777777" w:rsidR="00D71BA8" w:rsidRPr="00D71BA8" w:rsidRDefault="00D71BA8" w:rsidP="00182922">
            <w:pPr>
              <w:pStyle w:val="PwCNormal"/>
              <w:rPr>
                <w:color w:val="D04A02" w:themeColor="accent1"/>
              </w:rPr>
            </w:pPr>
          </w:p>
        </w:tc>
      </w:tr>
      <w:tr w:rsidR="00575351" w:rsidRPr="00182922" w14:paraId="451EB3F3" w14:textId="77777777" w:rsidTr="00D71BA8">
        <w:trPr>
          <w:trHeight w:val="567"/>
        </w:trPr>
        <w:tc>
          <w:tcPr>
            <w:tcW w:w="633" w:type="pct"/>
          </w:tcPr>
          <w:p w14:paraId="7132E4C2" w14:textId="77777777" w:rsidR="00575351" w:rsidRPr="00182922" w:rsidRDefault="00575351" w:rsidP="00182922">
            <w:pPr>
              <w:pStyle w:val="PwCNormal"/>
            </w:pPr>
            <w:r w:rsidRPr="00182922">
              <w:t>22</w:t>
            </w:r>
          </w:p>
        </w:tc>
        <w:tc>
          <w:tcPr>
            <w:tcW w:w="3299" w:type="pct"/>
          </w:tcPr>
          <w:p w14:paraId="487EC808" w14:textId="77777777" w:rsidR="00575351" w:rsidRPr="00182922" w:rsidRDefault="00575351" w:rsidP="00182922">
            <w:pPr>
              <w:pStyle w:val="PwCNormal"/>
            </w:pPr>
            <w:r w:rsidRPr="00182922">
              <w:t>Families Australia</w:t>
            </w:r>
          </w:p>
        </w:tc>
        <w:tc>
          <w:tcPr>
            <w:tcW w:w="1068" w:type="pct"/>
          </w:tcPr>
          <w:p w14:paraId="42CCC7ED" w14:textId="77777777" w:rsidR="00575351" w:rsidRPr="00182922" w:rsidRDefault="00575351" w:rsidP="00182922">
            <w:pPr>
              <w:pStyle w:val="PwCNormal"/>
            </w:pPr>
            <w:r w:rsidRPr="00182922">
              <w:t>27 November 2019</w:t>
            </w:r>
          </w:p>
        </w:tc>
      </w:tr>
      <w:tr w:rsidR="00575351" w:rsidRPr="00182922" w14:paraId="48B075E1" w14:textId="77777777" w:rsidTr="00D71BA8">
        <w:trPr>
          <w:trHeight w:val="567"/>
        </w:trPr>
        <w:tc>
          <w:tcPr>
            <w:tcW w:w="633" w:type="pct"/>
          </w:tcPr>
          <w:p w14:paraId="45EA5DD9" w14:textId="77777777" w:rsidR="00575351" w:rsidRPr="00182922" w:rsidRDefault="00575351" w:rsidP="00182922">
            <w:pPr>
              <w:pStyle w:val="PwCNormal"/>
            </w:pPr>
            <w:r w:rsidRPr="00182922">
              <w:t>23</w:t>
            </w:r>
          </w:p>
        </w:tc>
        <w:tc>
          <w:tcPr>
            <w:tcW w:w="3299" w:type="pct"/>
          </w:tcPr>
          <w:p w14:paraId="4B1F2F3D" w14:textId="77777777" w:rsidR="00575351" w:rsidRPr="00182922" w:rsidRDefault="00575351" w:rsidP="00182922">
            <w:pPr>
              <w:pStyle w:val="PwCNormal"/>
            </w:pPr>
            <w:r w:rsidRPr="00182922">
              <w:t>SNAICC – National Voice for our Children</w:t>
            </w:r>
          </w:p>
        </w:tc>
        <w:tc>
          <w:tcPr>
            <w:tcW w:w="1068" w:type="pct"/>
          </w:tcPr>
          <w:p w14:paraId="06641619" w14:textId="77777777" w:rsidR="00575351" w:rsidRPr="00182922" w:rsidRDefault="00575351" w:rsidP="00182922">
            <w:pPr>
              <w:pStyle w:val="PwCNormal"/>
            </w:pPr>
            <w:r w:rsidRPr="00182922">
              <w:t>13 December 2019</w:t>
            </w:r>
          </w:p>
        </w:tc>
      </w:tr>
      <w:tr w:rsidR="00575351" w:rsidRPr="00182922" w14:paraId="0DA577A5" w14:textId="77777777" w:rsidTr="00D71BA8">
        <w:trPr>
          <w:trHeight w:val="567"/>
        </w:trPr>
        <w:tc>
          <w:tcPr>
            <w:tcW w:w="633" w:type="pct"/>
          </w:tcPr>
          <w:p w14:paraId="34A70671" w14:textId="77777777" w:rsidR="00575351" w:rsidRPr="00182922" w:rsidRDefault="00575351" w:rsidP="00182922">
            <w:pPr>
              <w:pStyle w:val="PwCNormal"/>
            </w:pPr>
            <w:r w:rsidRPr="00182922">
              <w:t>24</w:t>
            </w:r>
          </w:p>
        </w:tc>
        <w:tc>
          <w:tcPr>
            <w:tcW w:w="3299" w:type="pct"/>
          </w:tcPr>
          <w:p w14:paraId="06AEDE64" w14:textId="77777777" w:rsidR="00575351" w:rsidRPr="00182922" w:rsidRDefault="00575351" w:rsidP="00182922">
            <w:pPr>
              <w:pStyle w:val="PwCNormal"/>
            </w:pPr>
            <w:r w:rsidRPr="00182922">
              <w:t>Institute of Child Protection Studies - Australian Catholic University</w:t>
            </w:r>
          </w:p>
        </w:tc>
        <w:tc>
          <w:tcPr>
            <w:tcW w:w="1068" w:type="pct"/>
          </w:tcPr>
          <w:p w14:paraId="7D9664C9" w14:textId="77777777" w:rsidR="00575351" w:rsidRPr="00182922" w:rsidRDefault="00575351" w:rsidP="00182922">
            <w:pPr>
              <w:pStyle w:val="PwCNormal"/>
            </w:pPr>
            <w:r w:rsidRPr="00182922">
              <w:t>29 November 2019</w:t>
            </w:r>
          </w:p>
        </w:tc>
      </w:tr>
      <w:tr w:rsidR="00575351" w:rsidRPr="00182922" w14:paraId="3F0D9269" w14:textId="77777777" w:rsidTr="00D71BA8">
        <w:trPr>
          <w:trHeight w:val="567"/>
        </w:trPr>
        <w:tc>
          <w:tcPr>
            <w:tcW w:w="633" w:type="pct"/>
          </w:tcPr>
          <w:p w14:paraId="1FEBBBE7" w14:textId="77777777" w:rsidR="00575351" w:rsidRPr="00182922" w:rsidRDefault="00575351" w:rsidP="00182922">
            <w:pPr>
              <w:pStyle w:val="PwCNormal"/>
            </w:pPr>
            <w:r w:rsidRPr="00182922">
              <w:t>25</w:t>
            </w:r>
          </w:p>
        </w:tc>
        <w:tc>
          <w:tcPr>
            <w:tcW w:w="3299" w:type="pct"/>
          </w:tcPr>
          <w:p w14:paraId="319440EB" w14:textId="77777777" w:rsidR="00575351" w:rsidRPr="00182922" w:rsidRDefault="00575351" w:rsidP="00182922">
            <w:pPr>
              <w:pStyle w:val="PwCNormal"/>
            </w:pPr>
            <w:r w:rsidRPr="00182922">
              <w:t>Australian Foster Care Association</w:t>
            </w:r>
          </w:p>
        </w:tc>
        <w:tc>
          <w:tcPr>
            <w:tcW w:w="1068" w:type="pct"/>
          </w:tcPr>
          <w:p w14:paraId="1F8B5376" w14:textId="77777777" w:rsidR="00575351" w:rsidRPr="00182922" w:rsidRDefault="00575351" w:rsidP="00182922">
            <w:pPr>
              <w:pStyle w:val="PwCNormal"/>
            </w:pPr>
            <w:r w:rsidRPr="00182922">
              <w:t>27 November 2019</w:t>
            </w:r>
          </w:p>
        </w:tc>
      </w:tr>
      <w:tr w:rsidR="00575351" w:rsidRPr="00182922" w14:paraId="45A9A331" w14:textId="77777777" w:rsidTr="00D71BA8">
        <w:trPr>
          <w:trHeight w:val="567"/>
        </w:trPr>
        <w:tc>
          <w:tcPr>
            <w:tcW w:w="633" w:type="pct"/>
          </w:tcPr>
          <w:p w14:paraId="06B696FF" w14:textId="77777777" w:rsidR="00575351" w:rsidRPr="00182922" w:rsidRDefault="00575351" w:rsidP="00182922">
            <w:pPr>
              <w:pStyle w:val="PwCNormal"/>
            </w:pPr>
            <w:r w:rsidRPr="00182922">
              <w:t>26</w:t>
            </w:r>
          </w:p>
        </w:tc>
        <w:tc>
          <w:tcPr>
            <w:tcW w:w="3299" w:type="pct"/>
          </w:tcPr>
          <w:p w14:paraId="25CB67BD" w14:textId="77777777" w:rsidR="00575351" w:rsidRPr="00182922" w:rsidRDefault="00575351" w:rsidP="00182922">
            <w:pPr>
              <w:pStyle w:val="PwCNormal"/>
            </w:pPr>
            <w:r w:rsidRPr="00182922">
              <w:t>Create Foundation</w:t>
            </w:r>
          </w:p>
        </w:tc>
        <w:tc>
          <w:tcPr>
            <w:tcW w:w="1068" w:type="pct"/>
          </w:tcPr>
          <w:p w14:paraId="075792DB" w14:textId="77777777" w:rsidR="00575351" w:rsidRPr="00182922" w:rsidRDefault="00575351" w:rsidP="00182922">
            <w:pPr>
              <w:pStyle w:val="PwCNormal"/>
            </w:pPr>
            <w:r w:rsidRPr="00182922">
              <w:t>22 November 2019</w:t>
            </w:r>
          </w:p>
        </w:tc>
      </w:tr>
      <w:tr w:rsidR="00575351" w:rsidRPr="00182922" w14:paraId="6CF10261" w14:textId="77777777" w:rsidTr="00D71BA8">
        <w:trPr>
          <w:trHeight w:val="567"/>
        </w:trPr>
        <w:tc>
          <w:tcPr>
            <w:tcW w:w="633" w:type="pct"/>
          </w:tcPr>
          <w:p w14:paraId="17E65B28" w14:textId="77777777" w:rsidR="00575351" w:rsidRPr="00182922" w:rsidRDefault="00575351" w:rsidP="00182922">
            <w:pPr>
              <w:pStyle w:val="PwCNormal"/>
            </w:pPr>
            <w:r w:rsidRPr="00182922">
              <w:t>27</w:t>
            </w:r>
          </w:p>
        </w:tc>
        <w:tc>
          <w:tcPr>
            <w:tcW w:w="3299" w:type="pct"/>
          </w:tcPr>
          <w:p w14:paraId="7B43C486" w14:textId="77777777" w:rsidR="00575351" w:rsidRPr="00182922" w:rsidRDefault="00575351" w:rsidP="00182922">
            <w:pPr>
              <w:pStyle w:val="PwCNormal"/>
            </w:pPr>
            <w:r w:rsidRPr="00182922">
              <w:t>Australian Centre for Child Protection - University of South Australia</w:t>
            </w:r>
          </w:p>
        </w:tc>
        <w:tc>
          <w:tcPr>
            <w:tcW w:w="1068" w:type="pct"/>
          </w:tcPr>
          <w:p w14:paraId="71D75551" w14:textId="77777777" w:rsidR="00575351" w:rsidRPr="00182922" w:rsidRDefault="00575351" w:rsidP="00182922">
            <w:pPr>
              <w:pStyle w:val="PwCNormal"/>
            </w:pPr>
            <w:r w:rsidRPr="00182922">
              <w:t>21 November 2019</w:t>
            </w:r>
          </w:p>
        </w:tc>
      </w:tr>
      <w:tr w:rsidR="00575351" w:rsidRPr="00182922" w14:paraId="31523A1C" w14:textId="77777777" w:rsidTr="00D71BA8">
        <w:trPr>
          <w:trHeight w:val="567"/>
        </w:trPr>
        <w:tc>
          <w:tcPr>
            <w:tcW w:w="633" w:type="pct"/>
          </w:tcPr>
          <w:p w14:paraId="74F52A1D" w14:textId="77777777" w:rsidR="00575351" w:rsidRPr="00182922" w:rsidRDefault="00575351" w:rsidP="00182922">
            <w:pPr>
              <w:pStyle w:val="PwCNormal"/>
            </w:pPr>
            <w:r w:rsidRPr="00182922">
              <w:t>28</w:t>
            </w:r>
          </w:p>
        </w:tc>
        <w:tc>
          <w:tcPr>
            <w:tcW w:w="3299" w:type="pct"/>
          </w:tcPr>
          <w:p w14:paraId="7C5D8382" w14:textId="77777777" w:rsidR="00575351" w:rsidRPr="00182922" w:rsidRDefault="00575351" w:rsidP="00182922">
            <w:pPr>
              <w:pStyle w:val="PwCNormal"/>
            </w:pPr>
            <w:r w:rsidRPr="00182922">
              <w:t>Uniting Communities</w:t>
            </w:r>
          </w:p>
        </w:tc>
        <w:tc>
          <w:tcPr>
            <w:tcW w:w="1068" w:type="pct"/>
          </w:tcPr>
          <w:p w14:paraId="2A8AFE80" w14:textId="77777777" w:rsidR="00575351" w:rsidRPr="00182922" w:rsidRDefault="00575351" w:rsidP="00182922">
            <w:pPr>
              <w:pStyle w:val="PwCNormal"/>
            </w:pPr>
            <w:r w:rsidRPr="00182922">
              <w:t>21 November 2019</w:t>
            </w:r>
          </w:p>
        </w:tc>
      </w:tr>
      <w:tr w:rsidR="00575351" w:rsidRPr="00182922" w14:paraId="22C81F19" w14:textId="77777777" w:rsidTr="00D71BA8">
        <w:trPr>
          <w:trHeight w:val="567"/>
        </w:trPr>
        <w:tc>
          <w:tcPr>
            <w:tcW w:w="633" w:type="pct"/>
          </w:tcPr>
          <w:p w14:paraId="3A8C1432" w14:textId="77777777" w:rsidR="00575351" w:rsidRPr="00182922" w:rsidRDefault="00575351" w:rsidP="00182922">
            <w:pPr>
              <w:pStyle w:val="PwCNormal"/>
            </w:pPr>
            <w:r w:rsidRPr="00182922">
              <w:t>29</w:t>
            </w:r>
          </w:p>
        </w:tc>
        <w:tc>
          <w:tcPr>
            <w:tcW w:w="3299" w:type="pct"/>
          </w:tcPr>
          <w:p w14:paraId="2AEF9BB4" w14:textId="77777777" w:rsidR="00575351" w:rsidRPr="00182922" w:rsidRDefault="00575351" w:rsidP="00182922">
            <w:pPr>
              <w:pStyle w:val="PwCNormal"/>
            </w:pPr>
            <w:r w:rsidRPr="00182922">
              <w:t>Centrecare Inc</w:t>
            </w:r>
          </w:p>
        </w:tc>
        <w:tc>
          <w:tcPr>
            <w:tcW w:w="1068" w:type="pct"/>
          </w:tcPr>
          <w:p w14:paraId="4535248D" w14:textId="77777777" w:rsidR="00575351" w:rsidRPr="00182922" w:rsidRDefault="00575351" w:rsidP="00182922">
            <w:pPr>
              <w:pStyle w:val="PwCNormal"/>
            </w:pPr>
            <w:r w:rsidRPr="00182922">
              <w:t>10 December 2019</w:t>
            </w:r>
          </w:p>
        </w:tc>
      </w:tr>
      <w:tr w:rsidR="00575351" w:rsidRPr="00182922" w14:paraId="782EF398" w14:textId="77777777" w:rsidTr="00D71BA8">
        <w:trPr>
          <w:trHeight w:val="567"/>
        </w:trPr>
        <w:tc>
          <w:tcPr>
            <w:tcW w:w="633" w:type="pct"/>
          </w:tcPr>
          <w:p w14:paraId="725DCECE" w14:textId="77777777" w:rsidR="00575351" w:rsidRPr="00182922" w:rsidRDefault="00575351" w:rsidP="00182922">
            <w:pPr>
              <w:pStyle w:val="PwCNormal"/>
            </w:pPr>
            <w:r w:rsidRPr="00182922">
              <w:t>30</w:t>
            </w:r>
          </w:p>
        </w:tc>
        <w:tc>
          <w:tcPr>
            <w:tcW w:w="3299" w:type="pct"/>
          </w:tcPr>
          <w:p w14:paraId="13D3B50B" w14:textId="77777777" w:rsidR="00575351" w:rsidRPr="00182922" w:rsidRDefault="00575351" w:rsidP="00182922">
            <w:pPr>
              <w:pStyle w:val="PwCNormal"/>
            </w:pPr>
            <w:r w:rsidRPr="00182922">
              <w:t>NAPCAN</w:t>
            </w:r>
          </w:p>
        </w:tc>
        <w:tc>
          <w:tcPr>
            <w:tcW w:w="1068" w:type="pct"/>
          </w:tcPr>
          <w:p w14:paraId="3BD51261" w14:textId="77777777" w:rsidR="00575351" w:rsidRPr="00182922" w:rsidRDefault="00575351" w:rsidP="00182922">
            <w:pPr>
              <w:pStyle w:val="PwCNormal"/>
            </w:pPr>
            <w:r w:rsidRPr="00182922">
              <w:t>17 January 2020</w:t>
            </w:r>
          </w:p>
        </w:tc>
      </w:tr>
      <w:tr w:rsidR="00575351" w:rsidRPr="00182922" w14:paraId="5B768305" w14:textId="77777777" w:rsidTr="00D71BA8">
        <w:trPr>
          <w:trHeight w:val="567"/>
        </w:trPr>
        <w:tc>
          <w:tcPr>
            <w:tcW w:w="633" w:type="pct"/>
          </w:tcPr>
          <w:p w14:paraId="3C43FEB0" w14:textId="77777777" w:rsidR="00575351" w:rsidRPr="00182922" w:rsidRDefault="00575351" w:rsidP="00182922">
            <w:pPr>
              <w:pStyle w:val="PwCNormal"/>
            </w:pPr>
            <w:r w:rsidRPr="00182922">
              <w:t>31</w:t>
            </w:r>
          </w:p>
        </w:tc>
        <w:tc>
          <w:tcPr>
            <w:tcW w:w="3299" w:type="pct"/>
          </w:tcPr>
          <w:p w14:paraId="178E7224" w14:textId="77777777" w:rsidR="00575351" w:rsidRPr="00182922" w:rsidRDefault="00575351" w:rsidP="00182922">
            <w:pPr>
              <w:pStyle w:val="PwCNormal"/>
            </w:pPr>
            <w:r w:rsidRPr="00182922">
              <w:t>ARACY</w:t>
            </w:r>
          </w:p>
        </w:tc>
        <w:tc>
          <w:tcPr>
            <w:tcW w:w="1068" w:type="pct"/>
          </w:tcPr>
          <w:p w14:paraId="4EBD9E80" w14:textId="77777777" w:rsidR="00575351" w:rsidRPr="00182922" w:rsidRDefault="00575351" w:rsidP="00182922">
            <w:pPr>
              <w:pStyle w:val="PwCNormal"/>
            </w:pPr>
            <w:r w:rsidRPr="00182922">
              <w:t>18 November 2019</w:t>
            </w:r>
          </w:p>
        </w:tc>
      </w:tr>
      <w:tr w:rsidR="00575351" w:rsidRPr="00182922" w14:paraId="36347684" w14:textId="77777777" w:rsidTr="00D71BA8">
        <w:trPr>
          <w:trHeight w:val="567"/>
        </w:trPr>
        <w:tc>
          <w:tcPr>
            <w:tcW w:w="633" w:type="pct"/>
          </w:tcPr>
          <w:p w14:paraId="6C8D2D95" w14:textId="77777777" w:rsidR="00575351" w:rsidRPr="00182922" w:rsidRDefault="00575351" w:rsidP="00182922">
            <w:pPr>
              <w:pStyle w:val="PwCNormal"/>
            </w:pPr>
            <w:r w:rsidRPr="00182922">
              <w:t>32</w:t>
            </w:r>
          </w:p>
        </w:tc>
        <w:tc>
          <w:tcPr>
            <w:tcW w:w="3299" w:type="pct"/>
          </w:tcPr>
          <w:p w14:paraId="7F1A9400" w14:textId="77777777" w:rsidR="00575351" w:rsidRPr="00182922" w:rsidRDefault="00575351" w:rsidP="00182922">
            <w:pPr>
              <w:pStyle w:val="PwCNormal"/>
            </w:pPr>
            <w:r w:rsidRPr="00182922">
              <w:t>National Coalition (Focus Group)</w:t>
            </w:r>
          </w:p>
        </w:tc>
        <w:tc>
          <w:tcPr>
            <w:tcW w:w="1068" w:type="pct"/>
          </w:tcPr>
          <w:p w14:paraId="39ACD357" w14:textId="77777777" w:rsidR="00575351" w:rsidRPr="00182922" w:rsidRDefault="00575351" w:rsidP="00182922">
            <w:pPr>
              <w:pStyle w:val="PwCNormal"/>
            </w:pPr>
            <w:r w:rsidRPr="00182922">
              <w:t>11 December 2019</w:t>
            </w:r>
          </w:p>
        </w:tc>
      </w:tr>
      <w:tr w:rsidR="00575351" w:rsidRPr="00182922" w14:paraId="590D6B9D" w14:textId="77777777" w:rsidTr="00D71BA8">
        <w:trPr>
          <w:trHeight w:val="567"/>
        </w:trPr>
        <w:tc>
          <w:tcPr>
            <w:tcW w:w="633" w:type="pct"/>
          </w:tcPr>
          <w:p w14:paraId="15B36B7D" w14:textId="77777777" w:rsidR="00575351" w:rsidRPr="00182922" w:rsidRDefault="00575351" w:rsidP="00182922">
            <w:pPr>
              <w:pStyle w:val="PwCNormal"/>
            </w:pPr>
            <w:r w:rsidRPr="00182922">
              <w:t>33</w:t>
            </w:r>
          </w:p>
        </w:tc>
        <w:tc>
          <w:tcPr>
            <w:tcW w:w="3299" w:type="pct"/>
          </w:tcPr>
          <w:p w14:paraId="1F2F6378" w14:textId="77777777" w:rsidR="00575351" w:rsidRPr="00182922" w:rsidRDefault="00575351" w:rsidP="00182922">
            <w:pPr>
              <w:pStyle w:val="PwCNormal"/>
            </w:pPr>
            <w:r w:rsidRPr="00182922">
              <w:t>Children and Young People with Disability Australia</w:t>
            </w:r>
          </w:p>
        </w:tc>
        <w:tc>
          <w:tcPr>
            <w:tcW w:w="1068" w:type="pct"/>
          </w:tcPr>
          <w:p w14:paraId="7807A9E3" w14:textId="77777777" w:rsidR="00575351" w:rsidRPr="00182922" w:rsidRDefault="00575351" w:rsidP="00182922">
            <w:pPr>
              <w:pStyle w:val="PwCNormal"/>
            </w:pPr>
            <w:r w:rsidRPr="00182922">
              <w:t>11 December 2019</w:t>
            </w:r>
          </w:p>
        </w:tc>
      </w:tr>
      <w:tr w:rsidR="00575351" w:rsidRPr="00182922" w14:paraId="7C4D9019" w14:textId="77777777" w:rsidTr="00D71BA8">
        <w:trPr>
          <w:trHeight w:val="567"/>
        </w:trPr>
        <w:tc>
          <w:tcPr>
            <w:tcW w:w="633" w:type="pct"/>
          </w:tcPr>
          <w:p w14:paraId="72E65381" w14:textId="77777777" w:rsidR="00575351" w:rsidRPr="00182922" w:rsidRDefault="00575351" w:rsidP="00182922">
            <w:pPr>
              <w:pStyle w:val="PwCNormal"/>
            </w:pPr>
            <w:r w:rsidRPr="00182922">
              <w:t>34</w:t>
            </w:r>
          </w:p>
        </w:tc>
        <w:tc>
          <w:tcPr>
            <w:tcW w:w="3299" w:type="pct"/>
          </w:tcPr>
          <w:p w14:paraId="091E642B" w14:textId="77777777" w:rsidR="00575351" w:rsidRPr="00182922" w:rsidRDefault="00575351" w:rsidP="00182922">
            <w:pPr>
              <w:pStyle w:val="PwCNormal"/>
            </w:pPr>
            <w:r w:rsidRPr="00182922">
              <w:t xml:space="preserve">Daniel Morcombe Foundation </w:t>
            </w:r>
          </w:p>
        </w:tc>
        <w:tc>
          <w:tcPr>
            <w:tcW w:w="1068" w:type="pct"/>
          </w:tcPr>
          <w:p w14:paraId="6DF5731A" w14:textId="77777777" w:rsidR="00575351" w:rsidRPr="00182922" w:rsidRDefault="00575351" w:rsidP="00182922">
            <w:pPr>
              <w:pStyle w:val="PwCNormal"/>
            </w:pPr>
            <w:r w:rsidRPr="00182922">
              <w:t>6 December 2019</w:t>
            </w:r>
          </w:p>
        </w:tc>
      </w:tr>
      <w:tr w:rsidR="00575351" w:rsidRPr="00182922" w14:paraId="6B738EEE" w14:textId="77777777" w:rsidTr="00D71BA8">
        <w:trPr>
          <w:trHeight w:val="567"/>
        </w:trPr>
        <w:tc>
          <w:tcPr>
            <w:tcW w:w="633" w:type="pct"/>
          </w:tcPr>
          <w:p w14:paraId="469DFF66" w14:textId="77777777" w:rsidR="00575351" w:rsidRPr="00182922" w:rsidRDefault="00575351" w:rsidP="00182922">
            <w:pPr>
              <w:pStyle w:val="PwCNormal"/>
            </w:pPr>
            <w:r w:rsidRPr="00182922">
              <w:t>35</w:t>
            </w:r>
          </w:p>
        </w:tc>
        <w:tc>
          <w:tcPr>
            <w:tcW w:w="3299" w:type="pct"/>
          </w:tcPr>
          <w:p w14:paraId="365BD0AF" w14:textId="77777777" w:rsidR="00575351" w:rsidRPr="00182922" w:rsidRDefault="00575351" w:rsidP="00182922">
            <w:pPr>
              <w:pStyle w:val="PwCNormal"/>
            </w:pPr>
            <w:r w:rsidRPr="00182922">
              <w:t>Andrew McCallum AM (former Association of Children's Welfare Agencies)</w:t>
            </w:r>
          </w:p>
        </w:tc>
        <w:tc>
          <w:tcPr>
            <w:tcW w:w="1068" w:type="pct"/>
          </w:tcPr>
          <w:p w14:paraId="7B61A13D" w14:textId="77777777" w:rsidR="00575351" w:rsidRPr="00182922" w:rsidRDefault="00575351" w:rsidP="00182922">
            <w:pPr>
              <w:pStyle w:val="PwCNormal"/>
            </w:pPr>
            <w:r w:rsidRPr="00182922">
              <w:t>25 November 2019</w:t>
            </w:r>
          </w:p>
        </w:tc>
      </w:tr>
      <w:tr w:rsidR="00575351" w:rsidRPr="00182922" w14:paraId="04CB3BF3" w14:textId="77777777" w:rsidTr="00D71BA8">
        <w:trPr>
          <w:trHeight w:val="567"/>
        </w:trPr>
        <w:tc>
          <w:tcPr>
            <w:tcW w:w="633" w:type="pct"/>
          </w:tcPr>
          <w:p w14:paraId="4B3F1E59" w14:textId="77777777" w:rsidR="00575351" w:rsidRPr="00182922" w:rsidRDefault="00575351" w:rsidP="00182922">
            <w:pPr>
              <w:pStyle w:val="PwCNormal"/>
            </w:pPr>
            <w:r w:rsidRPr="00182922">
              <w:lastRenderedPageBreak/>
              <w:t>36</w:t>
            </w:r>
          </w:p>
        </w:tc>
        <w:tc>
          <w:tcPr>
            <w:tcW w:w="3299" w:type="pct"/>
          </w:tcPr>
          <w:p w14:paraId="4F7C06BC" w14:textId="77777777" w:rsidR="00575351" w:rsidRPr="00182922" w:rsidRDefault="00575351" w:rsidP="00182922">
            <w:pPr>
              <w:pStyle w:val="PwCNormal"/>
            </w:pPr>
            <w:r w:rsidRPr="00182922">
              <w:t>The Benevolent Society</w:t>
            </w:r>
          </w:p>
        </w:tc>
        <w:tc>
          <w:tcPr>
            <w:tcW w:w="1068" w:type="pct"/>
          </w:tcPr>
          <w:p w14:paraId="641B424C" w14:textId="77777777" w:rsidR="00575351" w:rsidRPr="00182922" w:rsidRDefault="00575351" w:rsidP="00182922">
            <w:pPr>
              <w:pStyle w:val="PwCNormal"/>
            </w:pPr>
            <w:r w:rsidRPr="00182922">
              <w:t>5 December 2019</w:t>
            </w:r>
          </w:p>
        </w:tc>
      </w:tr>
      <w:tr w:rsidR="00575351" w:rsidRPr="00182922" w14:paraId="4B1E52B9" w14:textId="77777777" w:rsidTr="00D71BA8">
        <w:trPr>
          <w:trHeight w:val="567"/>
        </w:trPr>
        <w:tc>
          <w:tcPr>
            <w:tcW w:w="633" w:type="pct"/>
          </w:tcPr>
          <w:p w14:paraId="03C780B2" w14:textId="77777777" w:rsidR="00575351" w:rsidRPr="00182922" w:rsidRDefault="00575351" w:rsidP="00182922">
            <w:pPr>
              <w:pStyle w:val="PwCNormal"/>
            </w:pPr>
            <w:r w:rsidRPr="00182922">
              <w:t>37</w:t>
            </w:r>
          </w:p>
        </w:tc>
        <w:tc>
          <w:tcPr>
            <w:tcW w:w="3299" w:type="pct"/>
          </w:tcPr>
          <w:p w14:paraId="17A0CE9C" w14:textId="77777777" w:rsidR="00575351" w:rsidRPr="00182922" w:rsidRDefault="00575351" w:rsidP="00182922">
            <w:pPr>
              <w:pStyle w:val="PwCNormal"/>
            </w:pPr>
            <w:r w:rsidRPr="00182922">
              <w:t>Save the Children Australia</w:t>
            </w:r>
          </w:p>
        </w:tc>
        <w:tc>
          <w:tcPr>
            <w:tcW w:w="1068" w:type="pct"/>
          </w:tcPr>
          <w:p w14:paraId="0F22F504" w14:textId="77777777" w:rsidR="00575351" w:rsidRPr="00182922" w:rsidRDefault="00575351" w:rsidP="00182922">
            <w:pPr>
              <w:pStyle w:val="PwCNormal"/>
            </w:pPr>
            <w:r w:rsidRPr="00182922">
              <w:t>9 December 2019</w:t>
            </w:r>
          </w:p>
        </w:tc>
      </w:tr>
      <w:tr w:rsidR="00D71BA8" w:rsidRPr="00182922" w14:paraId="30E4BE3A" w14:textId="77777777" w:rsidTr="00D71BA8">
        <w:trPr>
          <w:trHeight w:val="567"/>
        </w:trPr>
        <w:tc>
          <w:tcPr>
            <w:tcW w:w="3932" w:type="pct"/>
            <w:gridSpan w:val="2"/>
          </w:tcPr>
          <w:p w14:paraId="65586CDB" w14:textId="77777777" w:rsidR="00D71BA8" w:rsidRPr="00182922" w:rsidRDefault="00D71BA8" w:rsidP="00182922">
            <w:pPr>
              <w:pStyle w:val="PwCNormal"/>
              <w:numPr>
                <w:ilvl w:val="0"/>
                <w:numId w:val="0"/>
              </w:numPr>
            </w:pPr>
            <w:r w:rsidRPr="00D71BA8">
              <w:rPr>
                <w:color w:val="D04A02" w:themeColor="accent1"/>
              </w:rPr>
              <w:t>Commissioners, guardians and advocates</w:t>
            </w:r>
          </w:p>
        </w:tc>
        <w:tc>
          <w:tcPr>
            <w:tcW w:w="1068" w:type="pct"/>
          </w:tcPr>
          <w:p w14:paraId="0C54EBBF" w14:textId="77777777" w:rsidR="00D71BA8" w:rsidRPr="00182922" w:rsidRDefault="00D71BA8" w:rsidP="00182922">
            <w:pPr>
              <w:pStyle w:val="PwCNormal"/>
              <w:numPr>
                <w:ilvl w:val="0"/>
                <w:numId w:val="0"/>
              </w:numPr>
            </w:pPr>
          </w:p>
        </w:tc>
      </w:tr>
      <w:tr w:rsidR="00575351" w:rsidRPr="00182922" w14:paraId="36643F02" w14:textId="77777777" w:rsidTr="00D71BA8">
        <w:trPr>
          <w:trHeight w:val="567"/>
        </w:trPr>
        <w:tc>
          <w:tcPr>
            <w:tcW w:w="633" w:type="pct"/>
          </w:tcPr>
          <w:p w14:paraId="5262879E" w14:textId="77777777" w:rsidR="00575351" w:rsidRPr="00182922" w:rsidRDefault="00575351" w:rsidP="00182922">
            <w:pPr>
              <w:pStyle w:val="PwCNormal"/>
              <w:numPr>
                <w:ilvl w:val="0"/>
                <w:numId w:val="0"/>
              </w:numPr>
            </w:pPr>
            <w:r w:rsidRPr="00182922">
              <w:t>38</w:t>
            </w:r>
          </w:p>
        </w:tc>
        <w:tc>
          <w:tcPr>
            <w:tcW w:w="3299" w:type="pct"/>
          </w:tcPr>
          <w:p w14:paraId="28F99C5B" w14:textId="77777777" w:rsidR="00575351" w:rsidRPr="00182922" w:rsidRDefault="00575351" w:rsidP="00182922">
            <w:pPr>
              <w:pStyle w:val="PwCNormal"/>
              <w:numPr>
                <w:ilvl w:val="0"/>
                <w:numId w:val="0"/>
              </w:numPr>
            </w:pPr>
            <w:r w:rsidRPr="00182922">
              <w:t>Australian Human Rights Commission – National Children’s Commissioner</w:t>
            </w:r>
          </w:p>
        </w:tc>
        <w:tc>
          <w:tcPr>
            <w:tcW w:w="1068" w:type="pct"/>
          </w:tcPr>
          <w:p w14:paraId="0AF00E60" w14:textId="77777777" w:rsidR="00575351" w:rsidRPr="00182922" w:rsidRDefault="00575351" w:rsidP="00182922">
            <w:pPr>
              <w:pStyle w:val="PwCNormal"/>
              <w:numPr>
                <w:ilvl w:val="0"/>
                <w:numId w:val="0"/>
              </w:numPr>
            </w:pPr>
            <w:r w:rsidRPr="00182922">
              <w:t>3 December 2019</w:t>
            </w:r>
          </w:p>
        </w:tc>
      </w:tr>
      <w:tr w:rsidR="00575351" w:rsidRPr="00182922" w14:paraId="70A6350D" w14:textId="77777777" w:rsidTr="00D71BA8">
        <w:trPr>
          <w:trHeight w:val="567"/>
        </w:trPr>
        <w:tc>
          <w:tcPr>
            <w:tcW w:w="633" w:type="pct"/>
          </w:tcPr>
          <w:p w14:paraId="3ED20A2A" w14:textId="77777777" w:rsidR="00575351" w:rsidRPr="00182922" w:rsidRDefault="00575351" w:rsidP="00182922">
            <w:pPr>
              <w:pStyle w:val="PwCNormal"/>
              <w:numPr>
                <w:ilvl w:val="0"/>
                <w:numId w:val="0"/>
              </w:numPr>
            </w:pPr>
            <w:r w:rsidRPr="00182922">
              <w:t>39</w:t>
            </w:r>
          </w:p>
        </w:tc>
        <w:tc>
          <w:tcPr>
            <w:tcW w:w="3299" w:type="pct"/>
          </w:tcPr>
          <w:p w14:paraId="1ADCD051" w14:textId="77777777" w:rsidR="00575351" w:rsidRPr="00182922" w:rsidRDefault="00575351" w:rsidP="00182922">
            <w:pPr>
              <w:pStyle w:val="PwCNormal"/>
              <w:numPr>
                <w:ilvl w:val="0"/>
                <w:numId w:val="0"/>
              </w:numPr>
            </w:pPr>
            <w:r w:rsidRPr="00182922">
              <w:t>The Children and Young People Commissioner (ACT Human Rights Commission.)</w:t>
            </w:r>
          </w:p>
        </w:tc>
        <w:tc>
          <w:tcPr>
            <w:tcW w:w="1068" w:type="pct"/>
          </w:tcPr>
          <w:p w14:paraId="24306BD9" w14:textId="77777777" w:rsidR="00575351" w:rsidRPr="00182922" w:rsidRDefault="00575351" w:rsidP="00182922">
            <w:pPr>
              <w:pStyle w:val="PwCNormal"/>
              <w:numPr>
                <w:ilvl w:val="0"/>
                <w:numId w:val="0"/>
              </w:numPr>
            </w:pPr>
            <w:r w:rsidRPr="00182922">
              <w:t>27 November 2019</w:t>
            </w:r>
          </w:p>
        </w:tc>
      </w:tr>
      <w:tr w:rsidR="00575351" w:rsidRPr="00182922" w14:paraId="1A628694" w14:textId="77777777" w:rsidTr="00D71BA8">
        <w:trPr>
          <w:trHeight w:val="567"/>
        </w:trPr>
        <w:tc>
          <w:tcPr>
            <w:tcW w:w="633" w:type="pct"/>
          </w:tcPr>
          <w:p w14:paraId="334E3008" w14:textId="77777777" w:rsidR="00575351" w:rsidRPr="00182922" w:rsidRDefault="00575351" w:rsidP="00182922">
            <w:pPr>
              <w:pStyle w:val="PwCNormal"/>
              <w:numPr>
                <w:ilvl w:val="0"/>
                <w:numId w:val="0"/>
              </w:numPr>
            </w:pPr>
            <w:r w:rsidRPr="00182922">
              <w:t>40</w:t>
            </w:r>
          </w:p>
        </w:tc>
        <w:tc>
          <w:tcPr>
            <w:tcW w:w="3299" w:type="pct"/>
          </w:tcPr>
          <w:p w14:paraId="59956391" w14:textId="77777777" w:rsidR="00575351" w:rsidRPr="00182922" w:rsidRDefault="00575351" w:rsidP="00182922">
            <w:pPr>
              <w:pStyle w:val="PwCNormal"/>
              <w:numPr>
                <w:ilvl w:val="0"/>
                <w:numId w:val="0"/>
              </w:numPr>
            </w:pPr>
            <w:r w:rsidRPr="00182922">
              <w:t>Aboriginal and Torres Strait Islander Social Justice Commissioner</w:t>
            </w:r>
          </w:p>
        </w:tc>
        <w:tc>
          <w:tcPr>
            <w:tcW w:w="1068" w:type="pct"/>
          </w:tcPr>
          <w:p w14:paraId="5319A883" w14:textId="77777777" w:rsidR="00575351" w:rsidRPr="00182922" w:rsidRDefault="00575351" w:rsidP="00182922">
            <w:pPr>
              <w:pStyle w:val="PwCNormal"/>
              <w:numPr>
                <w:ilvl w:val="0"/>
                <w:numId w:val="0"/>
              </w:numPr>
            </w:pPr>
            <w:r w:rsidRPr="00182922">
              <w:t>3 December 2019</w:t>
            </w:r>
          </w:p>
        </w:tc>
      </w:tr>
      <w:tr w:rsidR="00575351" w:rsidRPr="00182922" w14:paraId="58C63300" w14:textId="77777777" w:rsidTr="00D71BA8">
        <w:trPr>
          <w:trHeight w:val="567"/>
        </w:trPr>
        <w:tc>
          <w:tcPr>
            <w:tcW w:w="633" w:type="pct"/>
          </w:tcPr>
          <w:p w14:paraId="50D19F33" w14:textId="77777777" w:rsidR="00575351" w:rsidRPr="00182922" w:rsidRDefault="00575351" w:rsidP="00182922">
            <w:pPr>
              <w:pStyle w:val="PwCNormal"/>
              <w:numPr>
                <w:ilvl w:val="0"/>
                <w:numId w:val="0"/>
              </w:numPr>
            </w:pPr>
            <w:r w:rsidRPr="00182922">
              <w:t>41</w:t>
            </w:r>
          </w:p>
        </w:tc>
        <w:tc>
          <w:tcPr>
            <w:tcW w:w="3299" w:type="pct"/>
          </w:tcPr>
          <w:p w14:paraId="14D553A7" w14:textId="77777777" w:rsidR="00575351" w:rsidRPr="00182922" w:rsidRDefault="00575351" w:rsidP="00182922">
            <w:pPr>
              <w:pStyle w:val="PwCNormal"/>
              <w:numPr>
                <w:ilvl w:val="0"/>
                <w:numId w:val="0"/>
              </w:numPr>
            </w:pPr>
            <w:r w:rsidRPr="00182922">
              <w:t>The NSW Advocate for Children and Young People</w:t>
            </w:r>
          </w:p>
        </w:tc>
        <w:tc>
          <w:tcPr>
            <w:tcW w:w="1068" w:type="pct"/>
          </w:tcPr>
          <w:p w14:paraId="56F6E544" w14:textId="77777777" w:rsidR="00575351" w:rsidRPr="00182922" w:rsidRDefault="00575351" w:rsidP="00182922">
            <w:pPr>
              <w:pStyle w:val="PwCNormal"/>
              <w:numPr>
                <w:ilvl w:val="0"/>
                <w:numId w:val="0"/>
              </w:numPr>
            </w:pPr>
            <w:r w:rsidRPr="00182922">
              <w:t>29 November 2019</w:t>
            </w:r>
          </w:p>
        </w:tc>
      </w:tr>
      <w:tr w:rsidR="00575351" w:rsidRPr="00182922" w14:paraId="275FF044" w14:textId="77777777" w:rsidTr="00D71BA8">
        <w:trPr>
          <w:trHeight w:val="567"/>
        </w:trPr>
        <w:tc>
          <w:tcPr>
            <w:tcW w:w="633" w:type="pct"/>
          </w:tcPr>
          <w:p w14:paraId="469F63E9" w14:textId="77777777" w:rsidR="00575351" w:rsidRPr="00182922" w:rsidRDefault="00575351" w:rsidP="00182922">
            <w:pPr>
              <w:pStyle w:val="PwCNormal"/>
              <w:numPr>
                <w:ilvl w:val="0"/>
                <w:numId w:val="0"/>
              </w:numPr>
            </w:pPr>
            <w:r w:rsidRPr="00182922">
              <w:t>42</w:t>
            </w:r>
          </w:p>
        </w:tc>
        <w:tc>
          <w:tcPr>
            <w:tcW w:w="3299" w:type="pct"/>
          </w:tcPr>
          <w:p w14:paraId="6BC8C479" w14:textId="77777777" w:rsidR="00575351" w:rsidRPr="00182922" w:rsidRDefault="00575351" w:rsidP="00182922">
            <w:pPr>
              <w:pStyle w:val="PwCNormal"/>
              <w:numPr>
                <w:ilvl w:val="0"/>
                <w:numId w:val="0"/>
              </w:numPr>
            </w:pPr>
            <w:r w:rsidRPr="00182922">
              <w:t>The Children's Commissioner (Office of the Children's Commission NT)</w:t>
            </w:r>
          </w:p>
        </w:tc>
        <w:tc>
          <w:tcPr>
            <w:tcW w:w="1068" w:type="pct"/>
          </w:tcPr>
          <w:p w14:paraId="10264634" w14:textId="77777777" w:rsidR="00575351" w:rsidRPr="00182922" w:rsidRDefault="00575351" w:rsidP="00182922">
            <w:pPr>
              <w:pStyle w:val="PwCNormal"/>
              <w:numPr>
                <w:ilvl w:val="0"/>
                <w:numId w:val="0"/>
              </w:numPr>
            </w:pPr>
            <w:r w:rsidRPr="00182922">
              <w:t>4 December 2019</w:t>
            </w:r>
          </w:p>
        </w:tc>
      </w:tr>
      <w:tr w:rsidR="00575351" w:rsidRPr="00182922" w14:paraId="4129D8A1" w14:textId="77777777" w:rsidTr="00D71BA8">
        <w:trPr>
          <w:trHeight w:val="567"/>
        </w:trPr>
        <w:tc>
          <w:tcPr>
            <w:tcW w:w="633" w:type="pct"/>
          </w:tcPr>
          <w:p w14:paraId="26911D19" w14:textId="77777777" w:rsidR="00575351" w:rsidRPr="00182922" w:rsidRDefault="00575351" w:rsidP="00182922">
            <w:pPr>
              <w:pStyle w:val="PwCNormal"/>
              <w:numPr>
                <w:ilvl w:val="0"/>
                <w:numId w:val="0"/>
              </w:numPr>
            </w:pPr>
            <w:r w:rsidRPr="00182922">
              <w:t>43</w:t>
            </w:r>
          </w:p>
        </w:tc>
        <w:tc>
          <w:tcPr>
            <w:tcW w:w="3299" w:type="pct"/>
          </w:tcPr>
          <w:p w14:paraId="28160AFF" w14:textId="77777777" w:rsidR="00575351" w:rsidRPr="00182922" w:rsidRDefault="00575351" w:rsidP="00182922">
            <w:pPr>
              <w:pStyle w:val="PwCNormal"/>
              <w:numPr>
                <w:ilvl w:val="0"/>
                <w:numId w:val="0"/>
              </w:numPr>
            </w:pPr>
            <w:r w:rsidRPr="00182922">
              <w:t>Queensland Family and Child Commission</w:t>
            </w:r>
          </w:p>
        </w:tc>
        <w:tc>
          <w:tcPr>
            <w:tcW w:w="1068" w:type="pct"/>
          </w:tcPr>
          <w:p w14:paraId="70B093FA" w14:textId="77777777" w:rsidR="00575351" w:rsidRPr="00182922" w:rsidRDefault="00575351" w:rsidP="00182922">
            <w:pPr>
              <w:pStyle w:val="PwCNormal"/>
              <w:numPr>
                <w:ilvl w:val="0"/>
                <w:numId w:val="0"/>
              </w:numPr>
            </w:pPr>
            <w:r w:rsidRPr="00182922">
              <w:t>26 November 2019</w:t>
            </w:r>
          </w:p>
        </w:tc>
      </w:tr>
      <w:tr w:rsidR="00575351" w:rsidRPr="00182922" w14:paraId="25AC78FA" w14:textId="77777777" w:rsidTr="00D71BA8">
        <w:trPr>
          <w:trHeight w:val="567"/>
        </w:trPr>
        <w:tc>
          <w:tcPr>
            <w:tcW w:w="633" w:type="pct"/>
          </w:tcPr>
          <w:p w14:paraId="7D68673C" w14:textId="77777777" w:rsidR="00575351" w:rsidRPr="00182922" w:rsidRDefault="00575351" w:rsidP="00182922">
            <w:pPr>
              <w:pStyle w:val="PwCNormal"/>
              <w:numPr>
                <w:ilvl w:val="0"/>
                <w:numId w:val="0"/>
              </w:numPr>
            </w:pPr>
            <w:r w:rsidRPr="00182922">
              <w:t>44</w:t>
            </w:r>
          </w:p>
        </w:tc>
        <w:tc>
          <w:tcPr>
            <w:tcW w:w="3299" w:type="pct"/>
          </w:tcPr>
          <w:p w14:paraId="294D6554" w14:textId="77777777" w:rsidR="00575351" w:rsidRPr="00182922" w:rsidRDefault="00575351" w:rsidP="00182922">
            <w:pPr>
              <w:pStyle w:val="PwCNormal"/>
              <w:numPr>
                <w:ilvl w:val="0"/>
                <w:numId w:val="0"/>
              </w:numPr>
            </w:pPr>
            <w:r w:rsidRPr="00182922">
              <w:t>Office of the Public Guardian</w:t>
            </w:r>
          </w:p>
        </w:tc>
        <w:tc>
          <w:tcPr>
            <w:tcW w:w="1068" w:type="pct"/>
          </w:tcPr>
          <w:p w14:paraId="19351D29" w14:textId="77777777" w:rsidR="00575351" w:rsidRPr="00182922" w:rsidRDefault="00575351" w:rsidP="00182922">
            <w:pPr>
              <w:pStyle w:val="PwCNormal"/>
              <w:numPr>
                <w:ilvl w:val="0"/>
                <w:numId w:val="0"/>
              </w:numPr>
            </w:pPr>
            <w:r w:rsidRPr="00182922">
              <w:t>26 November 2019</w:t>
            </w:r>
          </w:p>
        </w:tc>
      </w:tr>
      <w:tr w:rsidR="00575351" w:rsidRPr="00182922" w14:paraId="2886077E" w14:textId="77777777" w:rsidTr="00D71BA8">
        <w:trPr>
          <w:trHeight w:val="567"/>
        </w:trPr>
        <w:tc>
          <w:tcPr>
            <w:tcW w:w="633" w:type="pct"/>
          </w:tcPr>
          <w:p w14:paraId="64A9C272" w14:textId="77777777" w:rsidR="00575351" w:rsidRPr="00182922" w:rsidRDefault="00575351" w:rsidP="00182922">
            <w:pPr>
              <w:pStyle w:val="PwCNormal"/>
              <w:numPr>
                <w:ilvl w:val="0"/>
                <w:numId w:val="0"/>
              </w:numPr>
            </w:pPr>
            <w:r w:rsidRPr="00182922">
              <w:t>45</w:t>
            </w:r>
          </w:p>
        </w:tc>
        <w:tc>
          <w:tcPr>
            <w:tcW w:w="3299" w:type="pct"/>
          </w:tcPr>
          <w:p w14:paraId="5F956F05" w14:textId="77777777" w:rsidR="00575351" w:rsidRPr="00182922" w:rsidRDefault="00575351" w:rsidP="00182922">
            <w:pPr>
              <w:pStyle w:val="PwCNormal"/>
              <w:numPr>
                <w:ilvl w:val="0"/>
                <w:numId w:val="0"/>
              </w:numPr>
            </w:pPr>
            <w:r w:rsidRPr="00182922">
              <w:t>The Commissioner for Children and Young People</w:t>
            </w:r>
          </w:p>
        </w:tc>
        <w:tc>
          <w:tcPr>
            <w:tcW w:w="1068" w:type="pct"/>
          </w:tcPr>
          <w:p w14:paraId="02D10A55" w14:textId="77777777" w:rsidR="00575351" w:rsidRPr="00182922" w:rsidRDefault="00575351" w:rsidP="00182922">
            <w:pPr>
              <w:pStyle w:val="PwCNormal"/>
              <w:numPr>
                <w:ilvl w:val="0"/>
                <w:numId w:val="0"/>
              </w:numPr>
            </w:pPr>
            <w:r w:rsidRPr="00182922">
              <w:t>22 November 2019</w:t>
            </w:r>
          </w:p>
        </w:tc>
      </w:tr>
      <w:tr w:rsidR="00575351" w:rsidRPr="00182922" w14:paraId="2562E7EC" w14:textId="77777777" w:rsidTr="00D71BA8">
        <w:trPr>
          <w:trHeight w:val="567"/>
        </w:trPr>
        <w:tc>
          <w:tcPr>
            <w:tcW w:w="633" w:type="pct"/>
          </w:tcPr>
          <w:p w14:paraId="38DA317C" w14:textId="77777777" w:rsidR="00575351" w:rsidRPr="00182922" w:rsidRDefault="00575351" w:rsidP="00182922">
            <w:pPr>
              <w:pStyle w:val="PwCNormal"/>
              <w:numPr>
                <w:ilvl w:val="0"/>
                <w:numId w:val="0"/>
              </w:numPr>
            </w:pPr>
            <w:r w:rsidRPr="00182922">
              <w:t>46</w:t>
            </w:r>
          </w:p>
        </w:tc>
        <w:tc>
          <w:tcPr>
            <w:tcW w:w="3299" w:type="pct"/>
          </w:tcPr>
          <w:p w14:paraId="25A9422F" w14:textId="77777777" w:rsidR="00575351" w:rsidRPr="00182922" w:rsidRDefault="00575351" w:rsidP="00182922">
            <w:pPr>
              <w:pStyle w:val="PwCNormal"/>
              <w:numPr>
                <w:ilvl w:val="0"/>
                <w:numId w:val="0"/>
              </w:numPr>
            </w:pPr>
            <w:r w:rsidRPr="00182922">
              <w:t>The Guardian for Children and Young People</w:t>
            </w:r>
          </w:p>
        </w:tc>
        <w:tc>
          <w:tcPr>
            <w:tcW w:w="1068" w:type="pct"/>
          </w:tcPr>
          <w:p w14:paraId="695CBA45" w14:textId="77777777" w:rsidR="00575351" w:rsidRPr="00182922" w:rsidRDefault="00575351" w:rsidP="00182922">
            <w:pPr>
              <w:pStyle w:val="PwCNormal"/>
              <w:numPr>
                <w:ilvl w:val="0"/>
                <w:numId w:val="0"/>
              </w:numPr>
            </w:pPr>
            <w:r w:rsidRPr="00182922">
              <w:t>22 November 2019</w:t>
            </w:r>
          </w:p>
        </w:tc>
      </w:tr>
      <w:tr w:rsidR="00575351" w:rsidRPr="00182922" w14:paraId="3DC05E63" w14:textId="77777777" w:rsidTr="00D71BA8">
        <w:trPr>
          <w:trHeight w:val="567"/>
        </w:trPr>
        <w:tc>
          <w:tcPr>
            <w:tcW w:w="633" w:type="pct"/>
          </w:tcPr>
          <w:p w14:paraId="5E681011" w14:textId="77777777" w:rsidR="00575351" w:rsidRPr="00182922" w:rsidRDefault="00575351" w:rsidP="00182922">
            <w:pPr>
              <w:pStyle w:val="PwCNormal"/>
              <w:numPr>
                <w:ilvl w:val="0"/>
                <w:numId w:val="0"/>
              </w:numPr>
            </w:pPr>
            <w:r w:rsidRPr="00182922">
              <w:t>47</w:t>
            </w:r>
          </w:p>
        </w:tc>
        <w:tc>
          <w:tcPr>
            <w:tcW w:w="3299" w:type="pct"/>
          </w:tcPr>
          <w:p w14:paraId="593D3304" w14:textId="77777777" w:rsidR="00575351" w:rsidRPr="00182922" w:rsidRDefault="00575351" w:rsidP="00182922">
            <w:pPr>
              <w:pStyle w:val="PwCNormal"/>
              <w:numPr>
                <w:ilvl w:val="0"/>
                <w:numId w:val="0"/>
              </w:numPr>
            </w:pPr>
            <w:r w:rsidRPr="00182922">
              <w:t>The Commissioner for Children and Young People</w:t>
            </w:r>
          </w:p>
        </w:tc>
        <w:tc>
          <w:tcPr>
            <w:tcW w:w="1068" w:type="pct"/>
          </w:tcPr>
          <w:p w14:paraId="1BDB0E4D" w14:textId="77777777" w:rsidR="00575351" w:rsidRPr="00182922" w:rsidRDefault="00575351" w:rsidP="00182922">
            <w:pPr>
              <w:pStyle w:val="PwCNormal"/>
              <w:numPr>
                <w:ilvl w:val="0"/>
                <w:numId w:val="0"/>
              </w:numPr>
            </w:pPr>
            <w:r w:rsidRPr="00182922">
              <w:t>29 November 2019</w:t>
            </w:r>
          </w:p>
        </w:tc>
      </w:tr>
      <w:tr w:rsidR="00575351" w:rsidRPr="00182922" w14:paraId="23868876" w14:textId="77777777" w:rsidTr="00D71BA8">
        <w:trPr>
          <w:trHeight w:val="567"/>
        </w:trPr>
        <w:tc>
          <w:tcPr>
            <w:tcW w:w="633" w:type="pct"/>
          </w:tcPr>
          <w:p w14:paraId="17F1E192" w14:textId="77777777" w:rsidR="00575351" w:rsidRPr="00182922" w:rsidRDefault="00575351" w:rsidP="00182922">
            <w:pPr>
              <w:pStyle w:val="PwCNormal"/>
              <w:numPr>
                <w:ilvl w:val="0"/>
                <w:numId w:val="0"/>
              </w:numPr>
            </w:pPr>
            <w:r w:rsidRPr="00182922">
              <w:t>48</w:t>
            </w:r>
          </w:p>
        </w:tc>
        <w:tc>
          <w:tcPr>
            <w:tcW w:w="3299" w:type="pct"/>
          </w:tcPr>
          <w:p w14:paraId="35675D34" w14:textId="77777777" w:rsidR="00575351" w:rsidRPr="00182922" w:rsidRDefault="00575351" w:rsidP="00182922">
            <w:pPr>
              <w:pStyle w:val="PwCNormal"/>
              <w:numPr>
                <w:ilvl w:val="0"/>
                <w:numId w:val="0"/>
              </w:numPr>
            </w:pPr>
            <w:r w:rsidRPr="00182922">
              <w:t>The Principal Commissioner for Children and Young People, and The Commissioner for Aboriginal Children and Young People</w:t>
            </w:r>
          </w:p>
        </w:tc>
        <w:tc>
          <w:tcPr>
            <w:tcW w:w="1068" w:type="pct"/>
          </w:tcPr>
          <w:p w14:paraId="596F7273" w14:textId="77777777" w:rsidR="00575351" w:rsidRPr="00182922" w:rsidRDefault="00575351" w:rsidP="00182922">
            <w:pPr>
              <w:pStyle w:val="PwCNormal"/>
              <w:numPr>
                <w:ilvl w:val="0"/>
                <w:numId w:val="0"/>
              </w:numPr>
            </w:pPr>
            <w:r w:rsidRPr="00182922">
              <w:t>9 December 2019</w:t>
            </w:r>
          </w:p>
        </w:tc>
      </w:tr>
      <w:tr w:rsidR="00575351" w:rsidRPr="00182922" w14:paraId="5F61361A" w14:textId="77777777" w:rsidTr="00D71BA8">
        <w:trPr>
          <w:trHeight w:val="567"/>
        </w:trPr>
        <w:tc>
          <w:tcPr>
            <w:tcW w:w="633" w:type="pct"/>
          </w:tcPr>
          <w:p w14:paraId="7B2DD2CE" w14:textId="77777777" w:rsidR="00575351" w:rsidRPr="00182922" w:rsidRDefault="00575351" w:rsidP="00182922">
            <w:pPr>
              <w:pStyle w:val="PwCNormal"/>
              <w:numPr>
                <w:ilvl w:val="0"/>
                <w:numId w:val="0"/>
              </w:numPr>
            </w:pPr>
            <w:r w:rsidRPr="00182922">
              <w:t>49</w:t>
            </w:r>
          </w:p>
        </w:tc>
        <w:tc>
          <w:tcPr>
            <w:tcW w:w="3299" w:type="pct"/>
          </w:tcPr>
          <w:p w14:paraId="27FD3507" w14:textId="77777777" w:rsidR="00575351" w:rsidRPr="00182922" w:rsidRDefault="00575351" w:rsidP="00182922">
            <w:pPr>
              <w:pStyle w:val="PwCNormal"/>
              <w:numPr>
                <w:ilvl w:val="0"/>
                <w:numId w:val="0"/>
              </w:numPr>
            </w:pPr>
            <w:r w:rsidRPr="00182922">
              <w:t>Commissioner for Children and Young People</w:t>
            </w:r>
          </w:p>
        </w:tc>
        <w:tc>
          <w:tcPr>
            <w:tcW w:w="1068" w:type="pct"/>
          </w:tcPr>
          <w:p w14:paraId="37E821B0" w14:textId="77777777" w:rsidR="00575351" w:rsidRPr="00182922" w:rsidRDefault="00575351" w:rsidP="00182922">
            <w:pPr>
              <w:pStyle w:val="PwCNormal"/>
              <w:numPr>
                <w:ilvl w:val="0"/>
                <w:numId w:val="0"/>
              </w:numPr>
            </w:pPr>
            <w:r w:rsidRPr="00182922">
              <w:t>18 November 2019</w:t>
            </w:r>
          </w:p>
        </w:tc>
      </w:tr>
    </w:tbl>
    <w:p w14:paraId="2F656321" w14:textId="77777777" w:rsidR="00D07AE4" w:rsidRDefault="00D07AE4" w:rsidP="007A6E98">
      <w:pPr>
        <w:pStyle w:val="PwCNormal"/>
      </w:pPr>
    </w:p>
    <w:p w14:paraId="5F98C11A" w14:textId="77777777" w:rsidR="00D07AE4" w:rsidRDefault="00D07AE4" w:rsidP="00D07AE4">
      <w:pPr>
        <w:pStyle w:val="PwCNormal"/>
        <w:sectPr w:rsidR="00D07AE4" w:rsidSect="007A6E98">
          <w:pgSz w:w="11907" w:h="16840" w:code="9"/>
          <w:pgMar w:top="1588" w:right="1021" w:bottom="1418" w:left="1021" w:header="567" w:footer="567" w:gutter="0"/>
          <w:cols w:space="227"/>
          <w:titlePg/>
          <w:docGrid w:linePitch="360"/>
        </w:sectPr>
      </w:pPr>
    </w:p>
    <w:p w14:paraId="0234F3AB" w14:textId="77777777" w:rsidR="000874BA" w:rsidRPr="000874BA" w:rsidRDefault="000874BA" w:rsidP="000874BA">
      <w:pPr>
        <w:pStyle w:val="PwCNormal-Single"/>
      </w:pPr>
    </w:p>
    <w:p w14:paraId="447485D7" w14:textId="77777777" w:rsidR="005236F7" w:rsidRPr="006842FF" w:rsidRDefault="005236F7" w:rsidP="000874BA">
      <w:pPr>
        <w:pStyle w:val="PwCNormal-Single"/>
      </w:pPr>
    </w:p>
    <w:sectPr w:rsidR="005236F7" w:rsidRPr="006842FF" w:rsidSect="008A3C08">
      <w:headerReference w:type="even" r:id="rId115"/>
      <w:headerReference w:type="default" r:id="rId116"/>
      <w:footerReference w:type="even" r:id="rId117"/>
      <w:footerReference w:type="default" r:id="rId118"/>
      <w:headerReference w:type="first" r:id="rId119"/>
      <w:footerReference w:type="first" r:id="rId120"/>
      <w:type w:val="evenPage"/>
      <w:pgSz w:w="11907" w:h="16840" w:code="9"/>
      <w:pgMar w:top="1701" w:right="1021" w:bottom="1418" w:left="102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95D91D" w14:textId="77777777" w:rsidR="001321C9" w:rsidRDefault="001321C9" w:rsidP="004343B3">
      <w:pPr>
        <w:pStyle w:val="Separator"/>
      </w:pPr>
      <w:r>
        <w:separator/>
      </w:r>
    </w:p>
    <w:p w14:paraId="3DB6F2FF" w14:textId="77777777" w:rsidR="001321C9" w:rsidRDefault="001321C9"/>
  </w:endnote>
  <w:endnote w:type="continuationSeparator" w:id="0">
    <w:p w14:paraId="20CAB4FE" w14:textId="77777777" w:rsidR="001321C9" w:rsidRDefault="001321C9" w:rsidP="004343B3">
      <w:pPr>
        <w:pStyle w:val="Separator"/>
      </w:pPr>
      <w:r>
        <w:continuationSeparator/>
      </w:r>
    </w:p>
    <w:p w14:paraId="1B8E2953" w14:textId="77777777" w:rsidR="001321C9" w:rsidRDefault="001321C9"/>
  </w:endnote>
  <w:endnote w:type="continuationNotice" w:id="1">
    <w:p w14:paraId="5FD13253" w14:textId="77777777" w:rsidR="001321C9" w:rsidRDefault="001321C9" w:rsidP="004343B3">
      <w:pPr>
        <w:pStyle w:val="Separator"/>
      </w:pPr>
    </w:p>
    <w:p w14:paraId="7784969B" w14:textId="77777777" w:rsidR="001321C9" w:rsidRDefault="001321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heSansLight-Plain">
    <w:altName w:val="Calibri"/>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New Roman (Body CS)">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24AEC" w14:textId="77777777" w:rsidR="008400BD" w:rsidRDefault="008400B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31DC4" w14:textId="0D495173" w:rsidR="0080000B" w:rsidRDefault="0080000B" w:rsidP="00361597">
    <w:pPr>
      <w:pStyle w:val="Footer"/>
    </w:pPr>
    <w:r>
      <w:rPr>
        <w:noProof/>
      </w:rPr>
      <w:fldChar w:fldCharType="begin"/>
    </w:r>
    <w:r>
      <w:rPr>
        <w:noProof/>
      </w:rPr>
      <w:instrText xml:space="preserve"> STYLEREF "Cover Outcome Headline" </w:instrText>
    </w:r>
    <w:r>
      <w:rPr>
        <w:noProof/>
      </w:rPr>
      <w:fldChar w:fldCharType="separate"/>
    </w:r>
    <w:r>
      <w:rPr>
        <w:noProof/>
      </w:rPr>
      <w:t>Department of Social Services</w:t>
    </w:r>
    <w:r>
      <w:rPr>
        <w:noProof/>
      </w:rPr>
      <w:fldChar w:fldCharType="end"/>
    </w:r>
  </w:p>
  <w:p w14:paraId="7449E40F" w14:textId="77777777" w:rsidR="0080000B" w:rsidRPr="006650EF" w:rsidRDefault="0080000B" w:rsidP="00361597">
    <w:pPr>
      <w:pStyle w:val="Footer"/>
    </w:pPr>
    <w:r>
      <w:t>PwC</w:t>
    </w:r>
    <w:r>
      <w:ptab w:relativeTo="margin" w:alignment="right" w:leader="none"/>
    </w:r>
    <w:r>
      <w:fldChar w:fldCharType="begin"/>
    </w:r>
    <w:r>
      <w:instrText xml:space="preserve"> PAGE  \* MERGEFORMAT </w:instrText>
    </w:r>
    <w:r>
      <w:fldChar w:fldCharType="separate"/>
    </w:r>
    <w:r>
      <w:rPr>
        <w:noProof/>
      </w:rPr>
      <w:t>6</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7B0D2" w14:textId="568D01BF" w:rsidR="0080000B" w:rsidRPr="008C6722" w:rsidRDefault="0080000B" w:rsidP="006650EF">
    <w:pPr>
      <w:pStyle w:val="Footer"/>
    </w:pPr>
    <w:r>
      <w:rPr>
        <w:noProof/>
      </w:rPr>
      <w:fldChar w:fldCharType="begin"/>
    </w:r>
    <w:r>
      <w:rPr>
        <w:noProof/>
      </w:rPr>
      <w:instrText xml:space="preserve"> STYLEREF "Cover Outcome Headline" </w:instrText>
    </w:r>
    <w:r>
      <w:rPr>
        <w:noProof/>
      </w:rPr>
      <w:fldChar w:fldCharType="separate"/>
    </w:r>
    <w:r w:rsidR="002E4FA6">
      <w:rPr>
        <w:noProof/>
      </w:rPr>
      <w:t>Department of Social Services</w:t>
    </w:r>
    <w:r>
      <w:rPr>
        <w:noProof/>
      </w:rPr>
      <w:fldChar w:fldCharType="end"/>
    </w:r>
  </w:p>
  <w:p w14:paraId="75E723A1" w14:textId="700D8F8A" w:rsidR="0080000B" w:rsidRPr="008C6722" w:rsidRDefault="0080000B" w:rsidP="006650EF">
    <w:pPr>
      <w:pStyle w:val="Footer"/>
    </w:pPr>
    <w:r w:rsidRPr="008C6722">
      <w:t>PwC</w:t>
    </w:r>
    <w:r>
      <w:ptab w:relativeTo="margin" w:alignment="right" w:leader="none"/>
    </w:r>
    <w:r>
      <w:fldChar w:fldCharType="begin"/>
    </w:r>
    <w:r>
      <w:instrText xml:space="preserve"> PAGE  \* MERGEFORMAT </w:instrText>
    </w:r>
    <w:r>
      <w:fldChar w:fldCharType="separate"/>
    </w:r>
    <w:r w:rsidR="002E4FA6">
      <w:rPr>
        <w:noProof/>
      </w:rPr>
      <w:t>12</w:t>
    </w:r>
    <w:r>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C9559" w14:textId="609C9F73" w:rsidR="0080000B" w:rsidRDefault="0080000B" w:rsidP="00361597">
    <w:pPr>
      <w:pStyle w:val="Footer"/>
    </w:pPr>
    <w:r>
      <w:rPr>
        <w:noProof/>
      </w:rPr>
      <w:fldChar w:fldCharType="begin"/>
    </w:r>
    <w:r>
      <w:rPr>
        <w:noProof/>
      </w:rPr>
      <w:instrText xml:space="preserve"> STYLEREF "Cover Outcome Headline" </w:instrText>
    </w:r>
    <w:r>
      <w:rPr>
        <w:noProof/>
      </w:rPr>
      <w:fldChar w:fldCharType="separate"/>
    </w:r>
    <w:r>
      <w:rPr>
        <w:noProof/>
      </w:rPr>
      <w:t>Department of Social Services</w:t>
    </w:r>
    <w:r>
      <w:rPr>
        <w:noProof/>
      </w:rPr>
      <w:fldChar w:fldCharType="end"/>
    </w:r>
  </w:p>
  <w:p w14:paraId="152A5AD7" w14:textId="77777777" w:rsidR="0080000B" w:rsidRPr="006650EF" w:rsidRDefault="0080000B" w:rsidP="00361597">
    <w:pPr>
      <w:pStyle w:val="Footer"/>
    </w:pPr>
    <w:r>
      <w:t>PwC</w:t>
    </w:r>
    <w:r>
      <w:ptab w:relativeTo="margin" w:alignment="right" w:leader="none"/>
    </w:r>
    <w:r>
      <w:fldChar w:fldCharType="begin"/>
    </w:r>
    <w:r>
      <w:instrText xml:space="preserve"> PAGE  \* MERGEFORMAT </w:instrText>
    </w:r>
    <w:r>
      <w:fldChar w:fldCharType="separate"/>
    </w:r>
    <w:r>
      <w:rPr>
        <w:noProof/>
      </w:rPr>
      <w:t>7</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98977" w14:textId="0E94B14B" w:rsidR="0080000B" w:rsidRDefault="0080000B" w:rsidP="008B29D9">
    <w:pPr>
      <w:pStyle w:val="Footer-Landscape"/>
    </w:pPr>
    <w:r>
      <w:rPr>
        <w:noProof/>
      </w:rPr>
      <w:fldChar w:fldCharType="begin"/>
    </w:r>
    <w:r>
      <w:rPr>
        <w:noProof/>
      </w:rPr>
      <w:instrText xml:space="preserve"> STYLEREF "Cover Outcome Headline" </w:instrText>
    </w:r>
    <w:r>
      <w:rPr>
        <w:noProof/>
      </w:rPr>
      <w:fldChar w:fldCharType="separate"/>
    </w:r>
    <w:r>
      <w:rPr>
        <w:noProof/>
      </w:rPr>
      <w:t>Department of Social Services</w:t>
    </w:r>
    <w:r>
      <w:rPr>
        <w:noProof/>
      </w:rPr>
      <w:fldChar w:fldCharType="end"/>
    </w:r>
  </w:p>
  <w:p w14:paraId="1A5B8D19" w14:textId="77777777" w:rsidR="0080000B" w:rsidRPr="006650EF" w:rsidRDefault="0080000B" w:rsidP="008B29D9">
    <w:pPr>
      <w:pStyle w:val="Footer-Landscape"/>
    </w:pPr>
    <w:r>
      <w:t>PwC</w:t>
    </w:r>
    <w:r>
      <w:ptab w:relativeTo="margin" w:alignment="right" w:leader="none"/>
    </w:r>
    <w:r>
      <w:fldChar w:fldCharType="begin"/>
    </w:r>
    <w:r>
      <w:instrText xml:space="preserve"> PAGE  \* MERGEFORMAT </w:instrText>
    </w:r>
    <w:r>
      <w:fldChar w:fldCharType="separate"/>
    </w:r>
    <w:r>
      <w:rPr>
        <w:noProof/>
      </w:rPr>
      <w:t>6</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0207D" w14:textId="48FBD890" w:rsidR="0080000B" w:rsidRPr="008C6722" w:rsidRDefault="0080000B" w:rsidP="008B29D9">
    <w:pPr>
      <w:pStyle w:val="Footer-Landscape"/>
    </w:pPr>
    <w:r>
      <w:rPr>
        <w:noProof/>
      </w:rPr>
      <w:fldChar w:fldCharType="begin"/>
    </w:r>
    <w:r>
      <w:rPr>
        <w:noProof/>
      </w:rPr>
      <w:instrText xml:space="preserve"> STYLEREF "Cover Outcome Headline" </w:instrText>
    </w:r>
    <w:r>
      <w:rPr>
        <w:noProof/>
      </w:rPr>
      <w:fldChar w:fldCharType="separate"/>
    </w:r>
    <w:r w:rsidR="002E4FA6">
      <w:rPr>
        <w:noProof/>
      </w:rPr>
      <w:t>Department of Social Services</w:t>
    </w:r>
    <w:r>
      <w:rPr>
        <w:noProof/>
      </w:rPr>
      <w:fldChar w:fldCharType="end"/>
    </w:r>
  </w:p>
  <w:p w14:paraId="1D0B33AE" w14:textId="769EBD87" w:rsidR="0080000B" w:rsidRPr="008C6722" w:rsidRDefault="0080000B" w:rsidP="008B29D9">
    <w:pPr>
      <w:pStyle w:val="Footer-Landscape"/>
    </w:pPr>
    <w:r w:rsidRPr="008C6722">
      <w:t>PwC</w:t>
    </w:r>
    <w:r>
      <w:ptab w:relativeTo="margin" w:alignment="right" w:leader="none"/>
    </w:r>
    <w:r>
      <w:fldChar w:fldCharType="begin"/>
    </w:r>
    <w:r>
      <w:instrText xml:space="preserve"> PAGE  \* MERGEFORMAT </w:instrText>
    </w:r>
    <w:r>
      <w:fldChar w:fldCharType="separate"/>
    </w:r>
    <w:r w:rsidR="002E4FA6">
      <w:rPr>
        <w:noProof/>
      </w:rPr>
      <w:t>31</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5DD34" w14:textId="609F6C9C" w:rsidR="0080000B" w:rsidRDefault="0080000B" w:rsidP="008B29D9">
    <w:pPr>
      <w:pStyle w:val="Footer-Landscape"/>
    </w:pPr>
    <w:r>
      <w:rPr>
        <w:noProof/>
      </w:rPr>
      <w:fldChar w:fldCharType="begin"/>
    </w:r>
    <w:r>
      <w:rPr>
        <w:noProof/>
      </w:rPr>
      <w:instrText xml:space="preserve"> STYLEREF "Cover Outcome Headline" </w:instrText>
    </w:r>
    <w:r>
      <w:rPr>
        <w:noProof/>
      </w:rPr>
      <w:fldChar w:fldCharType="separate"/>
    </w:r>
    <w:r w:rsidR="002E4FA6">
      <w:rPr>
        <w:noProof/>
      </w:rPr>
      <w:t>Department of Social Services</w:t>
    </w:r>
    <w:r>
      <w:rPr>
        <w:noProof/>
      </w:rPr>
      <w:fldChar w:fldCharType="end"/>
    </w:r>
  </w:p>
  <w:p w14:paraId="7CF3C437" w14:textId="7F8D6610" w:rsidR="0080000B" w:rsidRPr="006650EF" w:rsidRDefault="0080000B" w:rsidP="008B29D9">
    <w:pPr>
      <w:pStyle w:val="Footer-Landscape"/>
    </w:pPr>
    <w:r>
      <w:t>PwC</w:t>
    </w:r>
    <w:r>
      <w:ptab w:relativeTo="margin" w:alignment="right" w:leader="none"/>
    </w:r>
    <w:r>
      <w:fldChar w:fldCharType="begin"/>
    </w:r>
    <w:r>
      <w:instrText xml:space="preserve"> PAGE  \* MERGEFORMAT </w:instrText>
    </w:r>
    <w:r>
      <w:fldChar w:fldCharType="separate"/>
    </w:r>
    <w:r w:rsidR="002E4FA6">
      <w:rPr>
        <w:noProof/>
      </w:rPr>
      <w:t>19</w:t>
    </w:r>
    <w:r>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C59F0" w14:textId="77777777" w:rsidR="0080000B" w:rsidRDefault="0080000B" w:rsidP="00361597">
    <w:pPr>
      <w:pStyle w:val="Footer"/>
    </w:pPr>
    <w:r>
      <w:rPr>
        <w:noProof/>
      </w:rPr>
      <w:t>Department of Social Services</w:t>
    </w:r>
  </w:p>
  <w:p w14:paraId="40E32B59" w14:textId="77777777" w:rsidR="0080000B" w:rsidRPr="006650EF" w:rsidRDefault="0080000B" w:rsidP="00361597">
    <w:pPr>
      <w:pStyle w:val="Footer"/>
    </w:pPr>
    <w:r>
      <w:t>PwC</w:t>
    </w:r>
    <w:r>
      <w:ptab w:relativeTo="margin" w:alignment="right" w:leader="none"/>
    </w:r>
    <w:r>
      <w:rPr>
        <w:noProof/>
      </w:rPr>
      <w:t>6</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0F19C" w14:textId="67685103" w:rsidR="0080000B" w:rsidRPr="008C6722" w:rsidRDefault="0080000B" w:rsidP="00E74A46">
    <w:pPr>
      <w:pStyle w:val="Footer-Landscape"/>
    </w:pPr>
    <w:r>
      <w:rPr>
        <w:noProof/>
      </w:rPr>
      <w:fldChar w:fldCharType="begin"/>
    </w:r>
    <w:r>
      <w:rPr>
        <w:noProof/>
      </w:rPr>
      <w:instrText xml:space="preserve"> STYLEREF "Cover Outcome Headline" </w:instrText>
    </w:r>
    <w:r>
      <w:rPr>
        <w:noProof/>
      </w:rPr>
      <w:fldChar w:fldCharType="separate"/>
    </w:r>
    <w:r w:rsidR="002E4FA6">
      <w:rPr>
        <w:noProof/>
      </w:rPr>
      <w:t>Department of Social Services</w:t>
    </w:r>
    <w:r>
      <w:rPr>
        <w:noProof/>
      </w:rPr>
      <w:fldChar w:fldCharType="end"/>
    </w:r>
  </w:p>
  <w:p w14:paraId="2641B023" w14:textId="0ECA9110" w:rsidR="0080000B" w:rsidRPr="008C6722" w:rsidRDefault="0080000B" w:rsidP="00E74A46">
    <w:pPr>
      <w:pStyle w:val="Footer-Landscape"/>
    </w:pPr>
    <w:r w:rsidRPr="008C6722">
      <w:t>PwC</w:t>
    </w:r>
    <w:r>
      <w:ptab w:relativeTo="margin" w:alignment="right" w:leader="none"/>
    </w:r>
    <w:r>
      <w:fldChar w:fldCharType="begin"/>
    </w:r>
    <w:r>
      <w:instrText xml:space="preserve"> PAGE  \* MERGEFORMAT </w:instrText>
    </w:r>
    <w:r>
      <w:fldChar w:fldCharType="separate"/>
    </w:r>
    <w:r w:rsidR="002E4FA6">
      <w:rPr>
        <w:noProof/>
      </w:rPr>
      <w:t>40</w:t>
    </w:r>
    <w:r>
      <w:rPr>
        <w:noProof/>
      </w:rPr>
      <w:fldChar w:fldCharType="end"/>
    </w:r>
  </w:p>
  <w:p w14:paraId="410EE69D" w14:textId="77777777" w:rsidR="0080000B" w:rsidRPr="008C6722" w:rsidRDefault="0080000B" w:rsidP="006650E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E5279" w14:textId="736CD83B" w:rsidR="0080000B" w:rsidRPr="008C6722" w:rsidRDefault="0080000B" w:rsidP="00E74A46">
    <w:pPr>
      <w:pStyle w:val="Footer-Landscape"/>
    </w:pPr>
    <w:r>
      <w:rPr>
        <w:noProof/>
      </w:rPr>
      <w:fldChar w:fldCharType="begin"/>
    </w:r>
    <w:r>
      <w:rPr>
        <w:noProof/>
      </w:rPr>
      <w:instrText xml:space="preserve"> STYLEREF "Cover Outcome Headline" </w:instrText>
    </w:r>
    <w:r>
      <w:rPr>
        <w:noProof/>
      </w:rPr>
      <w:fldChar w:fldCharType="separate"/>
    </w:r>
    <w:r w:rsidR="002E4FA6">
      <w:rPr>
        <w:noProof/>
      </w:rPr>
      <w:t>Department of Social Services</w:t>
    </w:r>
    <w:r>
      <w:rPr>
        <w:noProof/>
      </w:rPr>
      <w:fldChar w:fldCharType="end"/>
    </w:r>
  </w:p>
  <w:p w14:paraId="641EC3D9" w14:textId="527C0284" w:rsidR="0080000B" w:rsidRPr="008C6722" w:rsidRDefault="0080000B" w:rsidP="00E74A46">
    <w:pPr>
      <w:pStyle w:val="Footer-Landscape"/>
    </w:pPr>
    <w:r w:rsidRPr="008C6722">
      <w:t>PwC</w:t>
    </w:r>
    <w:r>
      <w:ptab w:relativeTo="margin" w:alignment="right" w:leader="none"/>
    </w:r>
    <w:r>
      <w:fldChar w:fldCharType="begin"/>
    </w:r>
    <w:r>
      <w:instrText xml:space="preserve"> PAGE  \* MERGEFORMAT </w:instrText>
    </w:r>
    <w:r>
      <w:fldChar w:fldCharType="separate"/>
    </w:r>
    <w:r w:rsidR="002E4FA6">
      <w:rPr>
        <w:noProof/>
      </w:rPr>
      <w:t>35</w:t>
    </w:r>
    <w:r>
      <w:rPr>
        <w:noProof/>
      </w:rPr>
      <w:fldChar w:fldCharType="end"/>
    </w:r>
  </w:p>
  <w:p w14:paraId="0B4C3826" w14:textId="77777777" w:rsidR="0080000B" w:rsidRPr="006650EF" w:rsidRDefault="0080000B" w:rsidP="0036159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8CB25" w14:textId="231F83D3" w:rsidR="0080000B" w:rsidRDefault="0080000B" w:rsidP="008B29D9">
    <w:pPr>
      <w:pStyle w:val="Footer-Landscape"/>
    </w:pPr>
    <w:r>
      <w:rPr>
        <w:noProof/>
      </w:rPr>
      <w:fldChar w:fldCharType="begin"/>
    </w:r>
    <w:r>
      <w:rPr>
        <w:noProof/>
      </w:rPr>
      <w:instrText xml:space="preserve"> STYLEREF "Cover Outcome Headline" </w:instrText>
    </w:r>
    <w:r>
      <w:rPr>
        <w:noProof/>
      </w:rPr>
      <w:fldChar w:fldCharType="separate"/>
    </w:r>
    <w:r>
      <w:rPr>
        <w:noProof/>
      </w:rPr>
      <w:t>Department of Social Services</w:t>
    </w:r>
    <w:r>
      <w:rPr>
        <w:noProof/>
      </w:rPr>
      <w:fldChar w:fldCharType="end"/>
    </w:r>
  </w:p>
  <w:p w14:paraId="5AC5F2FA" w14:textId="77777777" w:rsidR="0080000B" w:rsidRPr="006650EF" w:rsidRDefault="0080000B" w:rsidP="008B29D9">
    <w:pPr>
      <w:pStyle w:val="Footer-Landscape"/>
    </w:pPr>
    <w:r>
      <w:t>PwC</w:t>
    </w:r>
    <w:r>
      <w:ptab w:relativeTo="margin" w:alignment="right" w:leader="none"/>
    </w:r>
    <w:r>
      <w:fldChar w:fldCharType="begin"/>
    </w:r>
    <w:r>
      <w:instrText xml:space="preserve"> PAGE  \* MERGEFORMAT </w:instrText>
    </w:r>
    <w:r>
      <w:fldChar w:fldCharType="separate"/>
    </w:r>
    <w:r>
      <w:rPr>
        <w:noProof/>
      </w:rPr>
      <w:t>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88231" w14:textId="77777777" w:rsidR="008400BD" w:rsidRDefault="008400B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C1C59" w14:textId="6E38ED54" w:rsidR="0080000B" w:rsidRPr="008C6722" w:rsidRDefault="0080000B" w:rsidP="008B29D9">
    <w:pPr>
      <w:pStyle w:val="Footer-Landscape"/>
    </w:pPr>
    <w:r>
      <w:rPr>
        <w:noProof/>
      </w:rPr>
      <w:fldChar w:fldCharType="begin"/>
    </w:r>
    <w:r>
      <w:rPr>
        <w:noProof/>
      </w:rPr>
      <w:instrText xml:space="preserve"> STYLEREF "Cover Outcome Headline" </w:instrText>
    </w:r>
    <w:r>
      <w:rPr>
        <w:noProof/>
      </w:rPr>
      <w:fldChar w:fldCharType="separate"/>
    </w:r>
    <w:r w:rsidR="002E4FA6">
      <w:rPr>
        <w:noProof/>
      </w:rPr>
      <w:t>Department of Social Services</w:t>
    </w:r>
    <w:r>
      <w:rPr>
        <w:noProof/>
      </w:rPr>
      <w:fldChar w:fldCharType="end"/>
    </w:r>
  </w:p>
  <w:p w14:paraId="39088409" w14:textId="2094835C" w:rsidR="0080000B" w:rsidRPr="008C6722" w:rsidRDefault="0080000B" w:rsidP="008B29D9">
    <w:pPr>
      <w:pStyle w:val="Footer-Landscape"/>
    </w:pPr>
    <w:r w:rsidRPr="008C6722">
      <w:t>PwC</w:t>
    </w:r>
    <w:r>
      <w:ptab w:relativeTo="margin" w:alignment="right" w:leader="none"/>
    </w:r>
    <w:r>
      <w:fldChar w:fldCharType="begin"/>
    </w:r>
    <w:r>
      <w:instrText xml:space="preserve"> PAGE  \* MERGEFORMAT </w:instrText>
    </w:r>
    <w:r>
      <w:fldChar w:fldCharType="separate"/>
    </w:r>
    <w:r w:rsidR="002E4FA6">
      <w:rPr>
        <w:noProof/>
      </w:rPr>
      <w:t>57</w:t>
    </w:r>
    <w:r>
      <w:rPr>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92322" w14:textId="08627F8A" w:rsidR="0080000B" w:rsidRDefault="0080000B" w:rsidP="008B29D9">
    <w:pPr>
      <w:pStyle w:val="Footer-Landscape"/>
    </w:pPr>
    <w:r>
      <w:rPr>
        <w:noProof/>
      </w:rPr>
      <w:fldChar w:fldCharType="begin"/>
    </w:r>
    <w:r>
      <w:rPr>
        <w:noProof/>
      </w:rPr>
      <w:instrText xml:space="preserve"> STYLEREF "Cover Outcome Headline" </w:instrText>
    </w:r>
    <w:r>
      <w:rPr>
        <w:noProof/>
      </w:rPr>
      <w:fldChar w:fldCharType="separate"/>
    </w:r>
    <w:r w:rsidR="002E4FA6">
      <w:rPr>
        <w:noProof/>
      </w:rPr>
      <w:t>Department of Social Services</w:t>
    </w:r>
    <w:r>
      <w:rPr>
        <w:noProof/>
      </w:rPr>
      <w:fldChar w:fldCharType="end"/>
    </w:r>
  </w:p>
  <w:p w14:paraId="1AD57B56" w14:textId="77FFAF23" w:rsidR="0080000B" w:rsidRPr="006650EF" w:rsidRDefault="0080000B" w:rsidP="008B29D9">
    <w:pPr>
      <w:pStyle w:val="Footer-Landscape"/>
    </w:pPr>
    <w:r>
      <w:t>PwC</w:t>
    </w:r>
    <w:r>
      <w:ptab w:relativeTo="margin" w:alignment="right" w:leader="none"/>
    </w:r>
    <w:r>
      <w:fldChar w:fldCharType="begin"/>
    </w:r>
    <w:r>
      <w:instrText xml:space="preserve"> PAGE  \* MERGEFORMAT </w:instrText>
    </w:r>
    <w:r>
      <w:fldChar w:fldCharType="separate"/>
    </w:r>
    <w:r w:rsidR="002E4FA6">
      <w:rPr>
        <w:noProof/>
      </w:rPr>
      <w:t>41</w:t>
    </w:r>
    <w:r>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1FFA8" w14:textId="330BC4F5" w:rsidR="0080000B" w:rsidRDefault="0080000B" w:rsidP="00894B3D">
    <w:pPr>
      <w:pStyle w:val="Footer-Landscape"/>
    </w:pPr>
    <w:r>
      <w:rPr>
        <w:noProof/>
      </w:rPr>
      <w:fldChar w:fldCharType="begin"/>
    </w:r>
    <w:r>
      <w:rPr>
        <w:noProof/>
      </w:rPr>
      <w:instrText xml:space="preserve"> STYLEREF "Cover Outcome Headline" </w:instrText>
    </w:r>
    <w:r>
      <w:rPr>
        <w:noProof/>
      </w:rPr>
      <w:fldChar w:fldCharType="separate"/>
    </w:r>
    <w:r>
      <w:rPr>
        <w:noProof/>
      </w:rPr>
      <w:t>Department of Social Services</w:t>
    </w:r>
    <w:r>
      <w:rPr>
        <w:noProof/>
      </w:rPr>
      <w:fldChar w:fldCharType="end"/>
    </w:r>
  </w:p>
  <w:p w14:paraId="7CB9884D" w14:textId="77777777" w:rsidR="0080000B" w:rsidRPr="006650EF" w:rsidRDefault="0080000B" w:rsidP="00894B3D">
    <w:pPr>
      <w:pStyle w:val="Footer-Landscape"/>
    </w:pPr>
    <w:r>
      <w:t>PwC</w:t>
    </w:r>
    <w:r>
      <w:ptab w:relativeTo="margin" w:alignment="right" w:leader="none"/>
    </w:r>
    <w:r>
      <w:fldChar w:fldCharType="begin"/>
    </w:r>
    <w:r>
      <w:instrText xml:space="preserve"> PAGE  \* MERGEFORMAT </w:instrText>
    </w:r>
    <w:r>
      <w:fldChar w:fldCharType="separate"/>
    </w:r>
    <w:r>
      <w:rPr>
        <w:noProof/>
      </w:rPr>
      <w:t>6</w:t>
    </w:r>
    <w:r>
      <w:rPr>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C4118" w14:textId="68ED3383" w:rsidR="0080000B" w:rsidRPr="008C6722" w:rsidRDefault="0080000B" w:rsidP="00894B3D">
    <w:pPr>
      <w:pStyle w:val="Footer-Landscape"/>
    </w:pPr>
    <w:r>
      <w:rPr>
        <w:noProof/>
      </w:rPr>
      <w:fldChar w:fldCharType="begin"/>
    </w:r>
    <w:r>
      <w:rPr>
        <w:noProof/>
      </w:rPr>
      <w:instrText xml:space="preserve"> STYLEREF "Cover Outcome Headline" </w:instrText>
    </w:r>
    <w:r>
      <w:rPr>
        <w:noProof/>
      </w:rPr>
      <w:fldChar w:fldCharType="separate"/>
    </w:r>
    <w:r w:rsidR="002E4FA6">
      <w:rPr>
        <w:noProof/>
      </w:rPr>
      <w:t>Department of Social Services</w:t>
    </w:r>
    <w:r>
      <w:rPr>
        <w:noProof/>
      </w:rPr>
      <w:fldChar w:fldCharType="end"/>
    </w:r>
  </w:p>
  <w:p w14:paraId="03CA29F0" w14:textId="597CC030" w:rsidR="0080000B" w:rsidRPr="008C6722" w:rsidRDefault="0080000B" w:rsidP="00894B3D">
    <w:pPr>
      <w:pStyle w:val="Footer-Landscape"/>
    </w:pPr>
    <w:r w:rsidRPr="008C6722">
      <w:t>PwC</w:t>
    </w:r>
    <w:r>
      <w:ptab w:relativeTo="margin" w:alignment="right" w:leader="none"/>
    </w:r>
    <w:r>
      <w:fldChar w:fldCharType="begin"/>
    </w:r>
    <w:r>
      <w:instrText xml:space="preserve"> PAGE  \* MERGEFORMAT </w:instrText>
    </w:r>
    <w:r>
      <w:fldChar w:fldCharType="separate"/>
    </w:r>
    <w:r w:rsidR="002E4FA6">
      <w:rPr>
        <w:noProof/>
      </w:rPr>
      <w:t>61</w:t>
    </w:r>
    <w:r>
      <w:rPr>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7BD46" w14:textId="5923DA3B" w:rsidR="0080000B" w:rsidRDefault="0080000B" w:rsidP="00894B3D">
    <w:pPr>
      <w:pStyle w:val="Footer-Landscape"/>
    </w:pPr>
    <w:r>
      <w:rPr>
        <w:noProof/>
      </w:rPr>
      <w:fldChar w:fldCharType="begin"/>
    </w:r>
    <w:r>
      <w:rPr>
        <w:noProof/>
      </w:rPr>
      <w:instrText xml:space="preserve"> STYLEREF "Cover Outcome Headline" </w:instrText>
    </w:r>
    <w:r>
      <w:rPr>
        <w:noProof/>
      </w:rPr>
      <w:fldChar w:fldCharType="separate"/>
    </w:r>
    <w:r>
      <w:rPr>
        <w:noProof/>
      </w:rPr>
      <w:t>Department of Social Services</w:t>
    </w:r>
    <w:r>
      <w:rPr>
        <w:noProof/>
      </w:rPr>
      <w:fldChar w:fldCharType="end"/>
    </w:r>
  </w:p>
  <w:p w14:paraId="14D50A9D" w14:textId="77777777" w:rsidR="0080000B" w:rsidRPr="006650EF" w:rsidRDefault="0080000B" w:rsidP="00894B3D">
    <w:pPr>
      <w:pStyle w:val="Footer-Landscape"/>
    </w:pPr>
    <w:r>
      <w:t>PwC</w:t>
    </w:r>
    <w:r>
      <w:ptab w:relativeTo="margin" w:alignment="right" w:leader="none"/>
    </w:r>
    <w:r>
      <w:fldChar w:fldCharType="begin"/>
    </w:r>
    <w:r>
      <w:instrText xml:space="preserve"> PAGE  \* MERGEFORMAT </w:instrText>
    </w:r>
    <w:r>
      <w:fldChar w:fldCharType="separate"/>
    </w:r>
    <w:r>
      <w:rPr>
        <w:noProof/>
      </w:rPr>
      <w:t>38</w:t>
    </w:r>
    <w:r>
      <w:rPr>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D8815" w14:textId="09A2DB22" w:rsidR="0080000B" w:rsidRDefault="0080000B" w:rsidP="008B29D9">
    <w:pPr>
      <w:pStyle w:val="Footer-Landscape"/>
    </w:pPr>
    <w:r>
      <w:rPr>
        <w:noProof/>
      </w:rPr>
      <w:fldChar w:fldCharType="begin"/>
    </w:r>
    <w:r>
      <w:rPr>
        <w:noProof/>
      </w:rPr>
      <w:instrText xml:space="preserve"> STYLEREF "Cover Outcome Headline" </w:instrText>
    </w:r>
    <w:r>
      <w:rPr>
        <w:noProof/>
      </w:rPr>
      <w:fldChar w:fldCharType="separate"/>
    </w:r>
    <w:r>
      <w:rPr>
        <w:noProof/>
      </w:rPr>
      <w:t>Department of Social Services</w:t>
    </w:r>
    <w:r>
      <w:rPr>
        <w:noProof/>
      </w:rPr>
      <w:fldChar w:fldCharType="end"/>
    </w:r>
  </w:p>
  <w:p w14:paraId="770A55DB" w14:textId="77777777" w:rsidR="0080000B" w:rsidRPr="006650EF" w:rsidRDefault="0080000B" w:rsidP="008B29D9">
    <w:pPr>
      <w:pStyle w:val="Footer-Landscape"/>
    </w:pPr>
    <w:r>
      <w:t>PwC</w:t>
    </w:r>
    <w:r>
      <w:ptab w:relativeTo="margin" w:alignment="right" w:leader="none"/>
    </w:r>
    <w:r>
      <w:fldChar w:fldCharType="begin"/>
    </w:r>
    <w:r>
      <w:instrText xml:space="preserve"> PAGE  \* MERGEFORMAT </w:instrText>
    </w:r>
    <w:r>
      <w:fldChar w:fldCharType="separate"/>
    </w:r>
    <w:r>
      <w:rPr>
        <w:noProof/>
      </w:rPr>
      <w:t>6</w:t>
    </w:r>
    <w:r>
      <w:rPr>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82DDC" w14:textId="44F39877" w:rsidR="0080000B" w:rsidRPr="008C6722" w:rsidRDefault="0080000B" w:rsidP="008B29D9">
    <w:pPr>
      <w:pStyle w:val="Footer-Landscape"/>
    </w:pPr>
    <w:r>
      <w:rPr>
        <w:noProof/>
      </w:rPr>
      <w:fldChar w:fldCharType="begin"/>
    </w:r>
    <w:r>
      <w:rPr>
        <w:noProof/>
      </w:rPr>
      <w:instrText xml:space="preserve"> STYLEREF "Cover Outcome Headline" </w:instrText>
    </w:r>
    <w:r>
      <w:rPr>
        <w:noProof/>
      </w:rPr>
      <w:fldChar w:fldCharType="separate"/>
    </w:r>
    <w:r>
      <w:rPr>
        <w:noProof/>
      </w:rPr>
      <w:t>Department of Social Services</w:t>
    </w:r>
    <w:r>
      <w:rPr>
        <w:noProof/>
      </w:rPr>
      <w:fldChar w:fldCharType="end"/>
    </w:r>
  </w:p>
  <w:p w14:paraId="2B14412B" w14:textId="77777777" w:rsidR="0080000B" w:rsidRPr="008C6722" w:rsidRDefault="0080000B" w:rsidP="008B29D9">
    <w:pPr>
      <w:pStyle w:val="Footer-Landscape"/>
    </w:pPr>
    <w:r w:rsidRPr="008C6722">
      <w:t>PwC</w:t>
    </w:r>
    <w:r>
      <w:ptab w:relativeTo="margin" w:alignment="right" w:leader="none"/>
    </w:r>
    <w:r>
      <w:fldChar w:fldCharType="begin"/>
    </w:r>
    <w:r>
      <w:instrText xml:space="preserve"> PAGE  \* MERGEFORMAT </w:instrText>
    </w:r>
    <w:r>
      <w:fldChar w:fldCharType="separate"/>
    </w:r>
    <w:r>
      <w:rPr>
        <w:noProof/>
      </w:rPr>
      <w:t>68</w:t>
    </w:r>
    <w:r>
      <w:rPr>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B383A" w14:textId="0901A577" w:rsidR="0080000B" w:rsidRDefault="0080000B" w:rsidP="008B29D9">
    <w:pPr>
      <w:pStyle w:val="Footer-Landscape"/>
    </w:pPr>
    <w:r>
      <w:rPr>
        <w:noProof/>
      </w:rPr>
      <w:fldChar w:fldCharType="begin"/>
    </w:r>
    <w:r>
      <w:rPr>
        <w:noProof/>
      </w:rPr>
      <w:instrText xml:space="preserve"> STYLEREF "Cover Outcome Headline" </w:instrText>
    </w:r>
    <w:r>
      <w:rPr>
        <w:noProof/>
      </w:rPr>
      <w:fldChar w:fldCharType="separate"/>
    </w:r>
    <w:r w:rsidR="002E4FA6">
      <w:rPr>
        <w:noProof/>
      </w:rPr>
      <w:t>Department of Social Services</w:t>
    </w:r>
    <w:r>
      <w:rPr>
        <w:noProof/>
      </w:rPr>
      <w:fldChar w:fldCharType="end"/>
    </w:r>
  </w:p>
  <w:p w14:paraId="3168E48F" w14:textId="64930381" w:rsidR="0080000B" w:rsidRPr="006650EF" w:rsidRDefault="0080000B" w:rsidP="008B29D9">
    <w:pPr>
      <w:pStyle w:val="Footer-Landscape"/>
    </w:pPr>
    <w:r>
      <w:t>PwC</w:t>
    </w:r>
    <w:r>
      <w:ptab w:relativeTo="margin" w:alignment="right" w:leader="none"/>
    </w:r>
    <w:r>
      <w:fldChar w:fldCharType="begin"/>
    </w:r>
    <w:r>
      <w:instrText xml:space="preserve"> PAGE  \* MERGEFORMAT </w:instrText>
    </w:r>
    <w:r>
      <w:fldChar w:fldCharType="separate"/>
    </w:r>
    <w:r w:rsidR="002E4FA6">
      <w:rPr>
        <w:noProof/>
      </w:rPr>
      <w:t>62</w:t>
    </w:r>
    <w:r>
      <w:rPr>
        <w:noProof/>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6E444" w14:textId="46E3DBEF" w:rsidR="0080000B" w:rsidRDefault="0080000B" w:rsidP="008E1742">
    <w:pPr>
      <w:pStyle w:val="Footer-ToCEven"/>
    </w:pPr>
    <w:r>
      <w:rPr>
        <w:noProof/>
      </w:rPr>
      <w:fldChar w:fldCharType="begin"/>
    </w:r>
    <w:r>
      <w:rPr>
        <w:noProof/>
      </w:rPr>
      <w:instrText xml:space="preserve"> STYLEREF "Cover Outcome Headline" </w:instrText>
    </w:r>
    <w:r>
      <w:rPr>
        <w:noProof/>
      </w:rPr>
      <w:fldChar w:fldCharType="separate"/>
    </w:r>
    <w:r>
      <w:rPr>
        <w:noProof/>
      </w:rPr>
      <w:t>Department of Social Services</w:t>
    </w:r>
    <w:r>
      <w:rPr>
        <w:noProof/>
      </w:rPr>
      <w:fldChar w:fldCharType="end"/>
    </w:r>
  </w:p>
  <w:p w14:paraId="6CAFF7B7" w14:textId="77777777" w:rsidR="0080000B" w:rsidRPr="002628D1" w:rsidRDefault="0080000B" w:rsidP="008E1742">
    <w:pPr>
      <w:pStyle w:val="Footer-ToCEven"/>
    </w:pPr>
    <w:r>
      <w:t>PwC</w:t>
    </w:r>
    <w:r>
      <w:tab/>
    </w:r>
    <w:r>
      <w:fldChar w:fldCharType="begin"/>
    </w:r>
    <w:r>
      <w:instrText xml:space="preserve"> PAGE  \* MERGEFORMAT </w:instrText>
    </w:r>
    <w:r>
      <w:fldChar w:fldCharType="separate"/>
    </w:r>
    <w:r>
      <w:rPr>
        <w:noProof/>
      </w:rPr>
      <w:t>6</w:t>
    </w:r>
    <w:r>
      <w:rPr>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6E26D" w14:textId="7A588F6E" w:rsidR="0080000B" w:rsidRPr="008C6722" w:rsidRDefault="0080000B" w:rsidP="008E1742">
    <w:pPr>
      <w:pStyle w:val="Footer-ToC"/>
    </w:pPr>
    <w:r>
      <w:rPr>
        <w:noProof/>
      </w:rPr>
      <w:fldChar w:fldCharType="begin"/>
    </w:r>
    <w:r>
      <w:rPr>
        <w:noProof/>
      </w:rPr>
      <w:instrText xml:space="preserve"> STYLEREF "Cover Outcome Headline" </w:instrText>
    </w:r>
    <w:r>
      <w:rPr>
        <w:noProof/>
      </w:rPr>
      <w:fldChar w:fldCharType="separate"/>
    </w:r>
    <w:r>
      <w:rPr>
        <w:noProof/>
      </w:rPr>
      <w:t>Department of Social Services</w:t>
    </w:r>
    <w:r>
      <w:rPr>
        <w:noProof/>
      </w:rPr>
      <w:fldChar w:fldCharType="end"/>
    </w:r>
  </w:p>
  <w:p w14:paraId="20393030" w14:textId="77777777" w:rsidR="0080000B" w:rsidRPr="008C6722" w:rsidRDefault="0080000B" w:rsidP="008E1742">
    <w:pPr>
      <w:pStyle w:val="Footer-ToC"/>
    </w:pPr>
    <w:r w:rsidRPr="008C6722">
      <w:t>PwC</w:t>
    </w:r>
    <w:r w:rsidRPr="008C6722">
      <w:tab/>
    </w:r>
    <w:r>
      <w:fldChar w:fldCharType="begin"/>
    </w:r>
    <w:r>
      <w:instrText xml:space="preserve"> PAGE  \* MERGEFORMAT </w:instrText>
    </w:r>
    <w:r>
      <w:fldChar w:fldCharType="separate"/>
    </w:r>
    <w:r>
      <w:rPr>
        <w:noProof/>
      </w:rPr>
      <w:t>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46D78" w14:textId="77777777" w:rsidR="0080000B" w:rsidRDefault="0080000B" w:rsidP="00D152CF">
    <w:pPr>
      <w:pStyle w:val="Footer"/>
      <w:jc w:val="right"/>
    </w:pPr>
    <w:r w:rsidRPr="00E0161D">
      <w:rPr>
        <w:b/>
        <w:sz w:val="18"/>
      </w:rPr>
      <w:t>Strictly private and confidentia</w:t>
    </w:r>
    <w:r>
      <w:rPr>
        <w:b/>
        <w:sz w:val="18"/>
      </w:rPr>
      <w:t>l</w: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93ACA" w14:textId="7FF99AE1" w:rsidR="0080000B" w:rsidRDefault="0080000B" w:rsidP="008B29D9">
    <w:pPr>
      <w:pStyle w:val="Footer-ToC"/>
      <w:ind w:left="0"/>
    </w:pPr>
    <w:r>
      <w:rPr>
        <w:noProof/>
      </w:rPr>
      <w:fldChar w:fldCharType="begin"/>
    </w:r>
    <w:r>
      <w:rPr>
        <w:noProof/>
      </w:rPr>
      <w:instrText xml:space="preserve"> STYLEREF "Cover Outcome Headline" </w:instrText>
    </w:r>
    <w:r>
      <w:rPr>
        <w:noProof/>
      </w:rPr>
      <w:fldChar w:fldCharType="separate"/>
    </w:r>
    <w:r w:rsidR="002E4FA6">
      <w:rPr>
        <w:noProof/>
      </w:rPr>
      <w:t>Department of Social Services</w:t>
    </w:r>
    <w:r>
      <w:rPr>
        <w:noProof/>
      </w:rPr>
      <w:fldChar w:fldCharType="end"/>
    </w:r>
  </w:p>
  <w:p w14:paraId="49114527" w14:textId="1124DE21" w:rsidR="0080000B" w:rsidRPr="006650EF" w:rsidRDefault="0080000B" w:rsidP="008E1742">
    <w:pPr>
      <w:pStyle w:val="Footer-ToC"/>
    </w:pPr>
    <w:r>
      <w:t>PwC</w:t>
    </w:r>
    <w:r>
      <w:ptab w:relativeTo="margin" w:alignment="right" w:leader="none"/>
    </w:r>
    <w:r>
      <w:fldChar w:fldCharType="begin"/>
    </w:r>
    <w:r>
      <w:instrText xml:space="preserve"> PAGE  \* MERGEFORMAT </w:instrText>
    </w:r>
    <w:r>
      <w:fldChar w:fldCharType="separate"/>
    </w:r>
    <w:r w:rsidR="002E4FA6">
      <w:rPr>
        <w:noProof/>
      </w:rPr>
      <w:t>63</w:t>
    </w:r>
    <w:r>
      <w:rPr>
        <w:noProof/>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C11D9" w14:textId="28D685B1" w:rsidR="0080000B" w:rsidRDefault="0080000B" w:rsidP="00361597">
    <w:pPr>
      <w:pStyle w:val="Footer"/>
    </w:pPr>
    <w:r>
      <w:rPr>
        <w:noProof/>
      </w:rPr>
      <w:fldChar w:fldCharType="begin"/>
    </w:r>
    <w:r>
      <w:rPr>
        <w:noProof/>
      </w:rPr>
      <w:instrText xml:space="preserve"> STYLEREF "Cover Outcome Headline" </w:instrText>
    </w:r>
    <w:r>
      <w:rPr>
        <w:noProof/>
      </w:rPr>
      <w:fldChar w:fldCharType="separate"/>
    </w:r>
    <w:r>
      <w:rPr>
        <w:noProof/>
      </w:rPr>
      <w:t>Department of Social Services</w:t>
    </w:r>
    <w:r>
      <w:rPr>
        <w:noProof/>
      </w:rPr>
      <w:fldChar w:fldCharType="end"/>
    </w:r>
  </w:p>
  <w:p w14:paraId="306599FC" w14:textId="77777777" w:rsidR="0080000B" w:rsidRPr="002628D1" w:rsidRDefault="0080000B" w:rsidP="006650EF">
    <w:pPr>
      <w:pStyle w:val="Footer-Even"/>
    </w:pPr>
    <w:r>
      <w:t>PwC</w:t>
    </w:r>
    <w:r>
      <w:ptab w:relativeTo="margin" w:alignment="right" w:leader="none"/>
    </w:r>
    <w:r>
      <w:fldChar w:fldCharType="begin"/>
    </w:r>
    <w:r>
      <w:instrText xml:space="preserve"> PAGE  \* MERGEFORMAT </w:instrText>
    </w:r>
    <w:r>
      <w:fldChar w:fldCharType="separate"/>
    </w:r>
    <w:r>
      <w:rPr>
        <w:noProof/>
      </w:rPr>
      <w:t>18</w:t>
    </w:r>
    <w:r>
      <w:rPr>
        <w:noProof/>
      </w:rPr>
      <w:fldChar w:fldCharType="end"/>
    </w:r>
  </w:p>
  <w:p w14:paraId="44D11E74" w14:textId="77777777" w:rsidR="0080000B" w:rsidRDefault="0080000B"/>
  <w:p w14:paraId="258A340A" w14:textId="77777777" w:rsidR="0080000B" w:rsidRDefault="0080000B"/>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E3999" w14:textId="3680A930" w:rsidR="0080000B" w:rsidRPr="008C6722" w:rsidRDefault="0080000B" w:rsidP="006650EF">
    <w:pPr>
      <w:pStyle w:val="Footer"/>
    </w:pPr>
    <w:r>
      <w:rPr>
        <w:noProof/>
      </w:rPr>
      <w:fldChar w:fldCharType="begin"/>
    </w:r>
    <w:r>
      <w:rPr>
        <w:noProof/>
      </w:rPr>
      <w:instrText xml:space="preserve"> STYLEREF "Cover Outcome Headline" </w:instrText>
    </w:r>
    <w:r>
      <w:rPr>
        <w:noProof/>
      </w:rPr>
      <w:fldChar w:fldCharType="separate"/>
    </w:r>
    <w:r w:rsidR="002E4FA6">
      <w:rPr>
        <w:noProof/>
      </w:rPr>
      <w:t>Department of Social Services</w:t>
    </w:r>
    <w:r>
      <w:rPr>
        <w:noProof/>
      </w:rPr>
      <w:fldChar w:fldCharType="end"/>
    </w:r>
  </w:p>
  <w:p w14:paraId="5D247E5E" w14:textId="47332357" w:rsidR="0080000B" w:rsidRPr="008C6722" w:rsidRDefault="0080000B" w:rsidP="006650EF">
    <w:pPr>
      <w:pStyle w:val="Footer"/>
    </w:pPr>
    <w:r w:rsidRPr="008C6722">
      <w:t>PwC</w:t>
    </w:r>
    <w:r>
      <w:ptab w:relativeTo="margin" w:alignment="right" w:leader="none"/>
    </w:r>
    <w:r>
      <w:fldChar w:fldCharType="begin"/>
    </w:r>
    <w:r>
      <w:instrText xml:space="preserve"> PAGE  \* MERGEFORMAT </w:instrText>
    </w:r>
    <w:r>
      <w:fldChar w:fldCharType="separate"/>
    </w:r>
    <w:r w:rsidR="002E4FA6">
      <w:rPr>
        <w:noProof/>
      </w:rPr>
      <w:t>65</w:t>
    </w:r>
    <w:r>
      <w:rPr>
        <w:noProof/>
      </w:rPr>
      <w:fldChar w:fldCharType="end"/>
    </w:r>
  </w:p>
  <w:p w14:paraId="5C10C98B" w14:textId="77777777" w:rsidR="0080000B" w:rsidRDefault="0080000B"/>
  <w:p w14:paraId="0B10BAD5" w14:textId="77777777" w:rsidR="0080000B" w:rsidRDefault="0080000B"/>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37B18" w14:textId="635FE72C" w:rsidR="0080000B" w:rsidRDefault="0080000B" w:rsidP="00361597">
    <w:pPr>
      <w:pStyle w:val="Footer"/>
    </w:pPr>
    <w:r>
      <w:rPr>
        <w:noProof/>
      </w:rPr>
      <w:fldChar w:fldCharType="begin"/>
    </w:r>
    <w:r>
      <w:rPr>
        <w:noProof/>
      </w:rPr>
      <w:instrText xml:space="preserve"> STYLEREF "Cover Outcome Headline" </w:instrText>
    </w:r>
    <w:r>
      <w:rPr>
        <w:noProof/>
      </w:rPr>
      <w:fldChar w:fldCharType="separate"/>
    </w:r>
    <w:r w:rsidR="002E4FA6">
      <w:rPr>
        <w:noProof/>
      </w:rPr>
      <w:t>Department of Social Services</w:t>
    </w:r>
    <w:r>
      <w:rPr>
        <w:noProof/>
      </w:rPr>
      <w:fldChar w:fldCharType="end"/>
    </w:r>
  </w:p>
  <w:p w14:paraId="2CC5F9C6" w14:textId="03EA9906" w:rsidR="0080000B" w:rsidRPr="006650EF" w:rsidRDefault="0080000B" w:rsidP="00776578">
    <w:pPr>
      <w:pStyle w:val="Footer-Even"/>
    </w:pPr>
    <w:r>
      <w:t>PwC</w:t>
    </w:r>
    <w:r>
      <w:ptab w:relativeTo="margin" w:alignment="right" w:leader="none"/>
    </w:r>
    <w:r>
      <w:fldChar w:fldCharType="begin"/>
    </w:r>
    <w:r>
      <w:instrText xml:space="preserve"> PAGE  \* MERGEFORMAT </w:instrText>
    </w:r>
    <w:r>
      <w:fldChar w:fldCharType="separate"/>
    </w:r>
    <w:r w:rsidR="002E4FA6">
      <w:rPr>
        <w:noProof/>
      </w:rPr>
      <w:t>64</w:t>
    </w:r>
    <w:r>
      <w:rPr>
        <w:noProof/>
      </w:rPr>
      <w:fldChar w:fldCharType="end"/>
    </w:r>
  </w:p>
  <w:p w14:paraId="420BE14B" w14:textId="77777777" w:rsidR="0080000B" w:rsidRDefault="0080000B"/>
  <w:p w14:paraId="5CCED535" w14:textId="77777777" w:rsidR="0080000B" w:rsidRDefault="0080000B"/>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B60F4" w14:textId="67E25BD3" w:rsidR="0080000B" w:rsidRDefault="0080000B" w:rsidP="006C5146">
    <w:pPr>
      <w:pStyle w:val="Footer-Landscape"/>
    </w:pPr>
    <w:r>
      <w:rPr>
        <w:noProof/>
      </w:rPr>
      <w:fldChar w:fldCharType="begin"/>
    </w:r>
    <w:r>
      <w:rPr>
        <w:noProof/>
      </w:rPr>
      <w:instrText xml:space="preserve"> STYLEREF "Cover Outcome Headline" </w:instrText>
    </w:r>
    <w:r>
      <w:rPr>
        <w:noProof/>
      </w:rPr>
      <w:fldChar w:fldCharType="separate"/>
    </w:r>
    <w:r>
      <w:rPr>
        <w:noProof/>
      </w:rPr>
      <w:t>Department of Social Services</w:t>
    </w:r>
    <w:r>
      <w:rPr>
        <w:noProof/>
      </w:rPr>
      <w:fldChar w:fldCharType="end"/>
    </w:r>
  </w:p>
  <w:p w14:paraId="0223404B" w14:textId="77777777" w:rsidR="0080000B" w:rsidRPr="002628D1" w:rsidRDefault="0080000B" w:rsidP="006C5146">
    <w:pPr>
      <w:pStyle w:val="Footer-Landscape"/>
    </w:pPr>
    <w:r>
      <w:t>PwC</w:t>
    </w:r>
    <w:r>
      <w:ptab w:relativeTo="margin" w:alignment="right" w:leader="none"/>
    </w:r>
    <w:r>
      <w:fldChar w:fldCharType="begin"/>
    </w:r>
    <w:r>
      <w:instrText xml:space="preserve"> PAGE  \* MERGEFORMAT </w:instrText>
    </w:r>
    <w:r>
      <w:fldChar w:fldCharType="separate"/>
    </w:r>
    <w:r>
      <w:rPr>
        <w:noProof/>
      </w:rPr>
      <w:t>18</w:t>
    </w:r>
    <w:r>
      <w:rPr>
        <w:noProof/>
      </w:rPr>
      <w:fldChar w:fldCharType="end"/>
    </w:r>
  </w:p>
  <w:p w14:paraId="1D6633F2" w14:textId="77777777" w:rsidR="0080000B" w:rsidRDefault="0080000B" w:rsidP="006C5146">
    <w:pPr>
      <w:pStyle w:val="Footer-Landscape"/>
    </w:pPr>
  </w:p>
  <w:p w14:paraId="74E39551" w14:textId="77777777" w:rsidR="0080000B" w:rsidRDefault="0080000B" w:rsidP="006C5146">
    <w:pPr>
      <w:pStyle w:val="Footer-Landscape"/>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BA84E" w14:textId="76341963" w:rsidR="0080000B" w:rsidRPr="008C6722" w:rsidRDefault="0080000B" w:rsidP="006C5146">
    <w:pPr>
      <w:pStyle w:val="Footer-Landscape"/>
    </w:pPr>
    <w:r>
      <w:rPr>
        <w:noProof/>
      </w:rPr>
      <w:fldChar w:fldCharType="begin"/>
    </w:r>
    <w:r>
      <w:rPr>
        <w:noProof/>
      </w:rPr>
      <w:instrText xml:space="preserve"> STYLEREF "Cover Outcome Headline" </w:instrText>
    </w:r>
    <w:r>
      <w:rPr>
        <w:noProof/>
      </w:rPr>
      <w:fldChar w:fldCharType="separate"/>
    </w:r>
    <w:r w:rsidR="002E4FA6">
      <w:rPr>
        <w:noProof/>
      </w:rPr>
      <w:t>Department of Social Services</w:t>
    </w:r>
    <w:r>
      <w:rPr>
        <w:noProof/>
      </w:rPr>
      <w:fldChar w:fldCharType="end"/>
    </w:r>
  </w:p>
  <w:p w14:paraId="65748DE7" w14:textId="032558CD" w:rsidR="0080000B" w:rsidRPr="008C6722" w:rsidRDefault="0080000B" w:rsidP="006C5146">
    <w:pPr>
      <w:pStyle w:val="Footer-Landscape"/>
    </w:pPr>
    <w:r w:rsidRPr="008C6722">
      <w:t>PwC</w:t>
    </w:r>
    <w:r>
      <w:ptab w:relativeTo="margin" w:alignment="right" w:leader="none"/>
    </w:r>
    <w:r>
      <w:fldChar w:fldCharType="begin"/>
    </w:r>
    <w:r>
      <w:instrText xml:space="preserve"> PAGE  \* MERGEFORMAT </w:instrText>
    </w:r>
    <w:r>
      <w:fldChar w:fldCharType="separate"/>
    </w:r>
    <w:r w:rsidR="002E4FA6">
      <w:rPr>
        <w:noProof/>
      </w:rPr>
      <w:t>66</w:t>
    </w:r>
    <w:r>
      <w:rPr>
        <w:noProof/>
      </w:rPr>
      <w:fldChar w:fldCharType="end"/>
    </w:r>
  </w:p>
  <w:p w14:paraId="4374C164" w14:textId="77777777" w:rsidR="0080000B" w:rsidRDefault="0080000B" w:rsidP="006C5146">
    <w:pPr>
      <w:pStyle w:val="Footer-Landscape"/>
    </w:pPr>
  </w:p>
  <w:p w14:paraId="712BF76F" w14:textId="77777777" w:rsidR="0080000B" w:rsidRDefault="0080000B" w:rsidP="006C5146">
    <w:pPr>
      <w:pStyle w:val="Footer-Landscape"/>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42B66" w14:textId="521B9B29" w:rsidR="0080000B" w:rsidRDefault="0080000B" w:rsidP="006C5146">
    <w:pPr>
      <w:pStyle w:val="Footer-Landscape"/>
    </w:pPr>
    <w:r>
      <w:rPr>
        <w:noProof/>
      </w:rPr>
      <w:fldChar w:fldCharType="begin"/>
    </w:r>
    <w:r>
      <w:rPr>
        <w:noProof/>
      </w:rPr>
      <w:instrText xml:space="preserve"> STYLEREF "Cover Outcome Headline" </w:instrText>
    </w:r>
    <w:r>
      <w:rPr>
        <w:noProof/>
      </w:rPr>
      <w:fldChar w:fldCharType="separate"/>
    </w:r>
    <w:r>
      <w:rPr>
        <w:noProof/>
      </w:rPr>
      <w:t>Department of Social Services</w:t>
    </w:r>
    <w:r>
      <w:rPr>
        <w:noProof/>
      </w:rPr>
      <w:fldChar w:fldCharType="end"/>
    </w:r>
  </w:p>
  <w:p w14:paraId="3091C8DD" w14:textId="77777777" w:rsidR="0080000B" w:rsidRPr="006650EF" w:rsidRDefault="0080000B" w:rsidP="006C5146">
    <w:pPr>
      <w:pStyle w:val="Footer-Landscape"/>
    </w:pPr>
    <w:r>
      <w:t>PwC</w:t>
    </w:r>
    <w:r>
      <w:ptab w:relativeTo="margin" w:alignment="right" w:leader="none"/>
    </w:r>
    <w:r>
      <w:fldChar w:fldCharType="begin"/>
    </w:r>
    <w:r>
      <w:instrText xml:space="preserve"> PAGE  \* MERGEFORMAT </w:instrText>
    </w:r>
    <w:r>
      <w:fldChar w:fldCharType="separate"/>
    </w:r>
    <w:r>
      <w:rPr>
        <w:noProof/>
      </w:rPr>
      <w:t>11</w:t>
    </w:r>
    <w:r>
      <w:rPr>
        <w:noProof/>
      </w:rPr>
      <w:fldChar w:fldCharType="end"/>
    </w:r>
  </w:p>
  <w:p w14:paraId="63D393D6" w14:textId="77777777" w:rsidR="0080000B" w:rsidRDefault="0080000B" w:rsidP="006C5146">
    <w:pPr>
      <w:pStyle w:val="Footer-Landscape"/>
    </w:pPr>
  </w:p>
  <w:p w14:paraId="46DB5282" w14:textId="77777777" w:rsidR="0080000B" w:rsidRDefault="0080000B" w:rsidP="006C5146">
    <w:pPr>
      <w:pStyle w:val="Footer-Landscape"/>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50018" w14:textId="2570EF92" w:rsidR="0080000B" w:rsidRDefault="0080000B" w:rsidP="00361597">
    <w:pPr>
      <w:pStyle w:val="Footer"/>
    </w:pPr>
    <w:r>
      <w:rPr>
        <w:noProof/>
      </w:rPr>
      <w:fldChar w:fldCharType="begin"/>
    </w:r>
    <w:r>
      <w:rPr>
        <w:noProof/>
      </w:rPr>
      <w:instrText xml:space="preserve"> STYLEREF "Cover Outcome Headline" </w:instrText>
    </w:r>
    <w:r>
      <w:rPr>
        <w:noProof/>
      </w:rPr>
      <w:fldChar w:fldCharType="separate"/>
    </w:r>
    <w:r>
      <w:rPr>
        <w:noProof/>
      </w:rPr>
      <w:t>Department of Social Services</w:t>
    </w:r>
    <w:r>
      <w:rPr>
        <w:noProof/>
      </w:rPr>
      <w:fldChar w:fldCharType="end"/>
    </w:r>
  </w:p>
  <w:p w14:paraId="06F19D7F" w14:textId="77777777" w:rsidR="0080000B" w:rsidRPr="002628D1" w:rsidRDefault="0080000B" w:rsidP="006650EF">
    <w:pPr>
      <w:pStyle w:val="Footer-Even"/>
    </w:pPr>
    <w:r>
      <w:t>PwC</w:t>
    </w:r>
    <w:r>
      <w:ptab w:relativeTo="margin" w:alignment="right" w:leader="none"/>
    </w:r>
    <w:r>
      <w:fldChar w:fldCharType="begin"/>
    </w:r>
    <w:r>
      <w:instrText xml:space="preserve"> PAGE  \* MERGEFORMAT </w:instrText>
    </w:r>
    <w:r>
      <w:fldChar w:fldCharType="separate"/>
    </w:r>
    <w:r>
      <w:rPr>
        <w:noProof/>
      </w:rPr>
      <w:t>18</w:t>
    </w:r>
    <w:r>
      <w:rPr>
        <w:noProof/>
      </w:rPr>
      <w:fldChar w:fldCharType="end"/>
    </w:r>
  </w:p>
  <w:p w14:paraId="7E33BF84" w14:textId="77777777" w:rsidR="0080000B" w:rsidRDefault="0080000B"/>
  <w:p w14:paraId="22471581" w14:textId="77777777" w:rsidR="0080000B" w:rsidRDefault="0080000B"/>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22C9F" w14:textId="7110B1CA" w:rsidR="0080000B" w:rsidRPr="008C6722" w:rsidRDefault="0080000B" w:rsidP="006650EF">
    <w:pPr>
      <w:pStyle w:val="Footer"/>
    </w:pPr>
    <w:r>
      <w:rPr>
        <w:noProof/>
      </w:rPr>
      <w:fldChar w:fldCharType="begin"/>
    </w:r>
    <w:r>
      <w:rPr>
        <w:noProof/>
      </w:rPr>
      <w:instrText xml:space="preserve"> STYLEREF "Cover Outcome Headline" </w:instrText>
    </w:r>
    <w:r>
      <w:rPr>
        <w:noProof/>
      </w:rPr>
      <w:fldChar w:fldCharType="separate"/>
    </w:r>
    <w:r w:rsidR="002E4FA6">
      <w:rPr>
        <w:noProof/>
      </w:rPr>
      <w:t>Department of Social Services</w:t>
    </w:r>
    <w:r>
      <w:rPr>
        <w:noProof/>
      </w:rPr>
      <w:fldChar w:fldCharType="end"/>
    </w:r>
  </w:p>
  <w:p w14:paraId="30A69C91" w14:textId="0BC4EE8E" w:rsidR="0080000B" w:rsidRPr="008C6722" w:rsidRDefault="0080000B" w:rsidP="006650EF">
    <w:pPr>
      <w:pStyle w:val="Footer"/>
    </w:pPr>
    <w:r w:rsidRPr="008C6722">
      <w:t>PwC</w:t>
    </w:r>
    <w:r>
      <w:ptab w:relativeTo="margin" w:alignment="right" w:leader="none"/>
    </w:r>
    <w:r>
      <w:fldChar w:fldCharType="begin"/>
    </w:r>
    <w:r>
      <w:instrText xml:space="preserve"> PAGE  \* MERGEFORMAT </w:instrText>
    </w:r>
    <w:r>
      <w:fldChar w:fldCharType="separate"/>
    </w:r>
    <w:r w:rsidR="002E4FA6">
      <w:rPr>
        <w:noProof/>
      </w:rPr>
      <w:t>71</w:t>
    </w:r>
    <w:r>
      <w:rPr>
        <w:noProof/>
      </w:rPr>
      <w:fldChar w:fldCharType="end"/>
    </w:r>
  </w:p>
  <w:p w14:paraId="02D12120" w14:textId="77777777" w:rsidR="0080000B" w:rsidRDefault="0080000B"/>
  <w:p w14:paraId="2BF06FD0" w14:textId="77777777" w:rsidR="0080000B" w:rsidRDefault="0080000B"/>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3337B" w14:textId="37999628" w:rsidR="0080000B" w:rsidRDefault="0080000B" w:rsidP="00361597">
    <w:pPr>
      <w:pStyle w:val="Footer"/>
    </w:pPr>
    <w:r>
      <w:rPr>
        <w:noProof/>
      </w:rPr>
      <w:fldChar w:fldCharType="begin"/>
    </w:r>
    <w:r>
      <w:rPr>
        <w:noProof/>
      </w:rPr>
      <w:instrText xml:space="preserve"> STYLEREF "Cover Outcome Headline" </w:instrText>
    </w:r>
    <w:r>
      <w:rPr>
        <w:noProof/>
      </w:rPr>
      <w:fldChar w:fldCharType="separate"/>
    </w:r>
    <w:r>
      <w:rPr>
        <w:noProof/>
      </w:rPr>
      <w:t>Department of Social Services</w:t>
    </w:r>
    <w:r>
      <w:rPr>
        <w:noProof/>
      </w:rPr>
      <w:fldChar w:fldCharType="end"/>
    </w:r>
  </w:p>
  <w:p w14:paraId="7B1AAA34" w14:textId="77777777" w:rsidR="0080000B" w:rsidRPr="006650EF" w:rsidRDefault="0080000B" w:rsidP="00776578">
    <w:pPr>
      <w:pStyle w:val="Footer-Even"/>
    </w:pPr>
    <w:r>
      <w:t>PwC</w:t>
    </w:r>
    <w:r>
      <w:ptab w:relativeTo="margin" w:alignment="right" w:leader="none"/>
    </w:r>
    <w:r>
      <w:fldChar w:fldCharType="begin"/>
    </w:r>
    <w:r>
      <w:instrText xml:space="preserve"> PAGE  \* MERGEFORMAT </w:instrText>
    </w:r>
    <w:r>
      <w:fldChar w:fldCharType="separate"/>
    </w:r>
    <w:r>
      <w:rPr>
        <w:noProof/>
      </w:rPr>
      <w:t>11</w:t>
    </w:r>
    <w:r>
      <w:rPr>
        <w:noProof/>
      </w:rPr>
      <w:fldChar w:fldCharType="end"/>
    </w:r>
  </w:p>
  <w:p w14:paraId="490099C1" w14:textId="77777777" w:rsidR="0080000B" w:rsidRDefault="0080000B"/>
  <w:p w14:paraId="37176D89" w14:textId="77777777" w:rsidR="0080000B" w:rsidRDefault="0080000B"/>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D257E" w14:textId="5D341DCB" w:rsidR="0080000B" w:rsidRDefault="0080000B" w:rsidP="006650EF">
    <w:pPr>
      <w:pStyle w:val="Footer-Even"/>
    </w:pPr>
    <w:r>
      <w:rPr>
        <w:noProof/>
      </w:rPr>
      <w:fldChar w:fldCharType="begin"/>
    </w:r>
    <w:r>
      <w:rPr>
        <w:noProof/>
      </w:rPr>
      <w:instrText xml:space="preserve"> STYLEREF "Cover Outcome Headline" </w:instrText>
    </w:r>
    <w:r>
      <w:rPr>
        <w:noProof/>
      </w:rPr>
      <w:fldChar w:fldCharType="separate"/>
    </w:r>
    <w:r>
      <w:rPr>
        <w:noProof/>
      </w:rPr>
      <w:t>Department of Social Services</w:t>
    </w:r>
    <w:r>
      <w:rPr>
        <w:noProof/>
      </w:rPr>
      <w:fldChar w:fldCharType="end"/>
    </w:r>
  </w:p>
  <w:p w14:paraId="61443C32" w14:textId="77777777" w:rsidR="0080000B" w:rsidRPr="006650EF" w:rsidRDefault="0080000B" w:rsidP="006650EF">
    <w:pPr>
      <w:pStyle w:val="Footer-Even"/>
    </w:pPr>
    <w:r>
      <w:t>PwC</w:t>
    </w:r>
    <w:r>
      <w:tab/>
    </w:r>
    <w:r>
      <w:fldChar w:fldCharType="begin"/>
    </w:r>
    <w:r>
      <w:instrText xml:space="preserve"> PAGE  \* MERGEFORMAT </w:instrText>
    </w:r>
    <w:r>
      <w:fldChar w:fldCharType="separate"/>
    </w:r>
    <w:r>
      <w:rPr>
        <w:noProof/>
      </w:rPr>
      <w:t>ii</w:t>
    </w:r>
    <w:r>
      <w:rPr>
        <w:noProof/>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E55B0" w14:textId="0239180F" w:rsidR="0080000B" w:rsidRDefault="0080000B" w:rsidP="00DD0C3E">
    <w:pPr>
      <w:pStyle w:val="Footer-Landscape"/>
    </w:pPr>
    <w:r>
      <w:rPr>
        <w:noProof/>
      </w:rPr>
      <w:fldChar w:fldCharType="begin"/>
    </w:r>
    <w:r>
      <w:rPr>
        <w:noProof/>
      </w:rPr>
      <w:instrText xml:space="preserve"> STYLEREF "Cover Outcome Headline" </w:instrText>
    </w:r>
    <w:r>
      <w:rPr>
        <w:noProof/>
      </w:rPr>
      <w:fldChar w:fldCharType="separate"/>
    </w:r>
    <w:r>
      <w:rPr>
        <w:noProof/>
      </w:rPr>
      <w:t>Department of Social Services</w:t>
    </w:r>
    <w:r>
      <w:rPr>
        <w:noProof/>
      </w:rPr>
      <w:fldChar w:fldCharType="end"/>
    </w:r>
  </w:p>
  <w:p w14:paraId="1139FD7C" w14:textId="77777777" w:rsidR="0080000B" w:rsidRPr="002628D1" w:rsidRDefault="0080000B" w:rsidP="00DD0C3E">
    <w:pPr>
      <w:pStyle w:val="Footer-Landscape"/>
    </w:pPr>
    <w:r>
      <w:t>PwC</w:t>
    </w:r>
    <w:r>
      <w:ptab w:relativeTo="margin" w:alignment="right" w:leader="none"/>
    </w:r>
    <w:r>
      <w:fldChar w:fldCharType="begin"/>
    </w:r>
    <w:r>
      <w:instrText xml:space="preserve"> PAGE  \* MERGEFORMAT </w:instrText>
    </w:r>
    <w:r>
      <w:fldChar w:fldCharType="separate"/>
    </w:r>
    <w:r>
      <w:rPr>
        <w:noProof/>
      </w:rPr>
      <w:t>18</w:t>
    </w:r>
    <w:r>
      <w:rPr>
        <w:noProof/>
      </w:rPr>
      <w:fldChar w:fldCharType="end"/>
    </w:r>
  </w:p>
  <w:p w14:paraId="78BE2887" w14:textId="77777777" w:rsidR="0080000B" w:rsidRDefault="0080000B" w:rsidP="00DD0C3E">
    <w:pPr>
      <w:pStyle w:val="Footer-Landscape"/>
    </w:pPr>
  </w:p>
  <w:p w14:paraId="3225C2DF" w14:textId="77777777" w:rsidR="0080000B" w:rsidRDefault="0080000B" w:rsidP="00DD0C3E">
    <w:pPr>
      <w:pStyle w:val="Footer-Landscape"/>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70AA0" w14:textId="76A3BD9A" w:rsidR="0080000B" w:rsidRPr="008C6722" w:rsidRDefault="0080000B" w:rsidP="00DD0C3E">
    <w:pPr>
      <w:pStyle w:val="Footer-Landscape"/>
    </w:pPr>
    <w:r>
      <w:rPr>
        <w:noProof/>
      </w:rPr>
      <w:fldChar w:fldCharType="begin"/>
    </w:r>
    <w:r>
      <w:rPr>
        <w:noProof/>
      </w:rPr>
      <w:instrText xml:space="preserve"> STYLEREF "Cover Outcome Headline" </w:instrText>
    </w:r>
    <w:r>
      <w:rPr>
        <w:noProof/>
      </w:rPr>
      <w:fldChar w:fldCharType="separate"/>
    </w:r>
    <w:r w:rsidR="002E4FA6">
      <w:rPr>
        <w:noProof/>
      </w:rPr>
      <w:t>Department of Social Services</w:t>
    </w:r>
    <w:r>
      <w:rPr>
        <w:noProof/>
      </w:rPr>
      <w:fldChar w:fldCharType="end"/>
    </w:r>
  </w:p>
  <w:p w14:paraId="7E6F86BF" w14:textId="5C1EE511" w:rsidR="0080000B" w:rsidRPr="008C6722" w:rsidRDefault="0080000B" w:rsidP="00DD0C3E">
    <w:pPr>
      <w:pStyle w:val="Footer-Landscape"/>
    </w:pPr>
    <w:r w:rsidRPr="008C6722">
      <w:t>PwC</w:t>
    </w:r>
    <w:r>
      <w:ptab w:relativeTo="margin" w:alignment="right" w:leader="none"/>
    </w:r>
    <w:r>
      <w:fldChar w:fldCharType="begin"/>
    </w:r>
    <w:r>
      <w:instrText xml:space="preserve"> PAGE  \* MERGEFORMAT </w:instrText>
    </w:r>
    <w:r>
      <w:fldChar w:fldCharType="separate"/>
    </w:r>
    <w:r w:rsidR="002E4FA6">
      <w:rPr>
        <w:noProof/>
      </w:rPr>
      <w:t>95</w:t>
    </w:r>
    <w:r>
      <w:rPr>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B0EB3" w14:textId="3DEAF118" w:rsidR="0080000B" w:rsidRDefault="0080000B" w:rsidP="00DD0C3E">
    <w:pPr>
      <w:pStyle w:val="Footer-Landscape"/>
    </w:pPr>
    <w:r>
      <w:rPr>
        <w:noProof/>
      </w:rPr>
      <w:fldChar w:fldCharType="begin"/>
    </w:r>
    <w:r>
      <w:rPr>
        <w:noProof/>
      </w:rPr>
      <w:instrText xml:space="preserve"> STYLEREF "Cover Outcome Headline" </w:instrText>
    </w:r>
    <w:r>
      <w:rPr>
        <w:noProof/>
      </w:rPr>
      <w:fldChar w:fldCharType="separate"/>
    </w:r>
    <w:r w:rsidR="002E4FA6">
      <w:rPr>
        <w:noProof/>
      </w:rPr>
      <w:t>Department of Social Services</w:t>
    </w:r>
    <w:r>
      <w:rPr>
        <w:noProof/>
      </w:rPr>
      <w:fldChar w:fldCharType="end"/>
    </w:r>
  </w:p>
  <w:p w14:paraId="677FE841" w14:textId="3F74D941" w:rsidR="0080000B" w:rsidRPr="006650EF" w:rsidRDefault="0080000B" w:rsidP="00DD0C3E">
    <w:pPr>
      <w:pStyle w:val="Footer-Landscape"/>
    </w:pPr>
    <w:r>
      <w:t>PwC</w:t>
    </w:r>
    <w:r>
      <w:ptab w:relativeTo="margin" w:alignment="right" w:leader="none"/>
    </w:r>
    <w:r>
      <w:fldChar w:fldCharType="begin"/>
    </w:r>
    <w:r>
      <w:instrText xml:space="preserve"> PAGE  \* MERGEFORMAT </w:instrText>
    </w:r>
    <w:r>
      <w:fldChar w:fldCharType="separate"/>
    </w:r>
    <w:r w:rsidR="002E4FA6">
      <w:rPr>
        <w:noProof/>
      </w:rPr>
      <w:t>93</w:t>
    </w:r>
    <w:r>
      <w:rPr>
        <w:noProof/>
      </w:rPr>
      <w:fldChar w:fldCharType="end"/>
    </w:r>
  </w:p>
  <w:p w14:paraId="30FDEFF0" w14:textId="77777777" w:rsidR="0080000B" w:rsidRDefault="0080000B" w:rsidP="00DD0C3E">
    <w:pPr>
      <w:pStyle w:val="Footer-Landscape"/>
    </w:pPr>
  </w:p>
  <w:p w14:paraId="18EA9A5D" w14:textId="77777777" w:rsidR="0080000B" w:rsidRDefault="0080000B" w:rsidP="00DD0C3E">
    <w:pPr>
      <w:pStyle w:val="Footer-Landscape"/>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9A950" w14:textId="77777777" w:rsidR="0080000B" w:rsidRPr="00A84ADF" w:rsidRDefault="0080000B" w:rsidP="00721660">
    <w:pPr>
      <w:pStyle w:val="Copyright"/>
    </w:pPr>
    <w:bookmarkStart w:id="315" w:name="DisclaimerEven"/>
    <w:r>
      <w:t>© 2020 PricewaterhouseCoopers. All rights reserved. PwC refers to the Australian member firm, and may sometimes refer to the PwC network. Each member firm is a separate legal entity. Please see www.pwc.com/structure for further details. Liability limited by a scheme approved under Professional Standards Legislation.</w:t>
    </w:r>
    <w:bookmarkEnd w:id="315"/>
  </w:p>
  <w:p w14:paraId="46213981" w14:textId="77777777" w:rsidR="0080000B" w:rsidRDefault="0080000B" w:rsidP="00776578">
    <w:pPr>
      <w:pStyle w:val="URL"/>
      <w:framePr w:wrap="around"/>
    </w:pPr>
    <w:bookmarkStart w:id="316" w:name="URLEven"/>
    <w:r>
      <w:t>www.pwc.com.au</w:t>
    </w:r>
    <w:bookmarkEnd w:id="316"/>
  </w:p>
  <w:p w14:paraId="03A7E2BB" w14:textId="77777777" w:rsidR="0080000B" w:rsidRDefault="0080000B" w:rsidP="00C57A6A">
    <w:pPr>
      <w:pStyle w:val="LastPageFooter"/>
    </w:pPr>
    <w:bookmarkStart w:id="317" w:name="WLNumber1"/>
    <w:r>
      <w:t xml:space="preserve"> </w:t>
    </w:r>
    <w:bookmarkEnd w:id="317"/>
    <w: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AD89F" w14:textId="77777777" w:rsidR="0080000B" w:rsidRPr="00A84ADF" w:rsidRDefault="0080000B" w:rsidP="00721660">
    <w:pPr>
      <w:pStyle w:val="Copyright"/>
    </w:pPr>
    <w:bookmarkStart w:id="318" w:name="DisclaimerOdd"/>
    <w:r>
      <w:t>© 2020 PricewaterhouseCoopers. All rights reserved. PwC refers to the Australian member firm, and may sometimes refer to the PwC network. Each member firm is a separate legal entity. Please see www.pwc.com/structure for further details. Liability limited by a scheme approved under Professional Standards Legislation.</w:t>
    </w:r>
    <w:bookmarkEnd w:id="318"/>
  </w:p>
  <w:p w14:paraId="04D53B7C" w14:textId="77777777" w:rsidR="0080000B" w:rsidRDefault="0080000B" w:rsidP="00776578">
    <w:pPr>
      <w:pStyle w:val="URL"/>
      <w:framePr w:wrap="around"/>
    </w:pPr>
    <w:bookmarkStart w:id="319" w:name="URLOdd"/>
    <w:r>
      <w:t>www.pwc.com.au</w:t>
    </w:r>
    <w:bookmarkEnd w:id="319"/>
  </w:p>
  <w:p w14:paraId="0357B0EF" w14:textId="1C937DFF" w:rsidR="0080000B" w:rsidRDefault="0080000B" w:rsidP="00C57A6A">
    <w:pPr>
      <w:pStyle w:val="LastPageFoo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1242B" w14:textId="77777777" w:rsidR="0080000B" w:rsidRDefault="0080000B" w:rsidP="00776578">
    <w:pPr>
      <w:pStyle w:val="URL"/>
      <w:framePr w:wrap="around"/>
    </w:pPr>
    <w:r>
      <w:t>www.pwc.com.au</w:t>
    </w:r>
  </w:p>
  <w:p w14:paraId="32B5417D" w14:textId="77777777" w:rsidR="0080000B" w:rsidRPr="00A84ADF" w:rsidRDefault="0080000B" w:rsidP="00721660">
    <w:pPr>
      <w:pStyle w:val="Copyright"/>
    </w:pPr>
    <w:r>
      <w:t>© 2014 PricewaterhouseCoopers. All rights reserved.</w:t>
    </w:r>
    <w:r>
      <w:br/>
      <w:t>PwC refers to the Australian member firm, and may sometimes refer to the PwC network.</w:t>
    </w:r>
    <w:r>
      <w:br/>
      <w:t xml:space="preserve">Each member firm is a separate legal entity. Please see </w:t>
    </w:r>
    <w:r w:rsidRPr="00B95011">
      <w:t>www.pwc.com/structure</w:t>
    </w:r>
    <w:r>
      <w:t xml:space="preserve"> for further details.</w:t>
    </w:r>
    <w:r>
      <w:br/>
    </w:r>
    <w:r>
      <w:br/>
    </w:r>
    <w:r w:rsidRPr="00A75868">
      <w:t>Liability limited by a scheme approved under Professional Standards Legislation</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48666" w14:textId="22D5D794" w:rsidR="0080000B" w:rsidRDefault="0080000B" w:rsidP="006650EF">
    <w:pPr>
      <w:pStyle w:val="Footer"/>
    </w:pPr>
    <w:r>
      <w:rPr>
        <w:noProof/>
      </w:rPr>
      <w:fldChar w:fldCharType="begin"/>
    </w:r>
    <w:r>
      <w:rPr>
        <w:noProof/>
      </w:rPr>
      <w:instrText xml:space="preserve"> STYLEREF "Cover Outcome Headline" </w:instrText>
    </w:r>
    <w:r>
      <w:rPr>
        <w:noProof/>
      </w:rPr>
      <w:fldChar w:fldCharType="separate"/>
    </w:r>
    <w:r w:rsidR="002E4FA6">
      <w:rPr>
        <w:noProof/>
      </w:rPr>
      <w:t>Department of Social Services</w:t>
    </w:r>
    <w:r>
      <w:rPr>
        <w:noProof/>
      </w:rPr>
      <w:fldChar w:fldCharType="end"/>
    </w:r>
  </w:p>
  <w:p w14:paraId="4EC4ECD7" w14:textId="496F09AD" w:rsidR="0080000B" w:rsidRPr="00A84ADF" w:rsidRDefault="0080000B" w:rsidP="006650EF">
    <w:pPr>
      <w:pStyle w:val="Footer"/>
    </w:pPr>
    <w:r>
      <w:t>PwC</w:t>
    </w:r>
    <w:r>
      <w:tab/>
    </w:r>
    <w:r>
      <w:fldChar w:fldCharType="begin"/>
    </w:r>
    <w:r>
      <w:instrText xml:space="preserve"> PAGE  \* MERGEFORMAT </w:instrText>
    </w:r>
    <w:r>
      <w:fldChar w:fldCharType="separate"/>
    </w:r>
    <w:r w:rsidR="002E4FA6">
      <w:rPr>
        <w:noProof/>
      </w:rPr>
      <w:t>iii</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E891B" w14:textId="28BC2E95" w:rsidR="0080000B" w:rsidRDefault="0080000B" w:rsidP="00240985">
    <w:pPr>
      <w:pStyle w:val="Footer"/>
    </w:pPr>
    <w:r>
      <w:rPr>
        <w:noProof/>
      </w:rPr>
      <w:fldChar w:fldCharType="begin"/>
    </w:r>
    <w:r>
      <w:rPr>
        <w:noProof/>
      </w:rPr>
      <w:instrText xml:space="preserve"> STYLEREF "Cover Outcome Headline" </w:instrText>
    </w:r>
    <w:r>
      <w:rPr>
        <w:noProof/>
      </w:rPr>
      <w:fldChar w:fldCharType="separate"/>
    </w:r>
    <w:r w:rsidR="002E4FA6">
      <w:rPr>
        <w:noProof/>
      </w:rPr>
      <w:t>Department of Social Services</w:t>
    </w:r>
    <w:r>
      <w:rPr>
        <w:noProof/>
      </w:rPr>
      <w:fldChar w:fldCharType="end"/>
    </w:r>
  </w:p>
  <w:p w14:paraId="4D2EB4C3" w14:textId="6B1875DE" w:rsidR="0080000B" w:rsidRPr="006650EF" w:rsidRDefault="0080000B" w:rsidP="00240985">
    <w:pPr>
      <w:pStyle w:val="Footer"/>
    </w:pPr>
    <w:r>
      <w:t>PwC</w:t>
    </w:r>
    <w:r>
      <w:ptab w:relativeTo="margin" w:alignment="right" w:leader="none"/>
    </w:r>
    <w:r>
      <w:fldChar w:fldCharType="begin"/>
    </w:r>
    <w:r>
      <w:instrText xml:space="preserve"> PAGE  \* MERGEFORMAT </w:instrText>
    </w:r>
    <w:r>
      <w:fldChar w:fldCharType="separate"/>
    </w:r>
    <w:r w:rsidR="002E4FA6">
      <w:rPr>
        <w:noProof/>
      </w:rPr>
      <w:t>i</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DA70C" w14:textId="7B919026" w:rsidR="0080000B" w:rsidRDefault="0080000B" w:rsidP="008E1742">
    <w:pPr>
      <w:pStyle w:val="Footer-ToCEven"/>
    </w:pPr>
    <w:r>
      <w:rPr>
        <w:noProof/>
      </w:rPr>
      <w:fldChar w:fldCharType="begin"/>
    </w:r>
    <w:r>
      <w:rPr>
        <w:noProof/>
      </w:rPr>
      <w:instrText xml:space="preserve"> STYLEREF "Cover Outcome Headline" </w:instrText>
    </w:r>
    <w:r>
      <w:rPr>
        <w:noProof/>
      </w:rPr>
      <w:fldChar w:fldCharType="separate"/>
    </w:r>
    <w:r>
      <w:rPr>
        <w:noProof/>
      </w:rPr>
      <w:t>Department of Social Services</w:t>
    </w:r>
    <w:r>
      <w:rPr>
        <w:noProof/>
      </w:rPr>
      <w:fldChar w:fldCharType="end"/>
    </w:r>
  </w:p>
  <w:p w14:paraId="703E6B6C" w14:textId="77777777" w:rsidR="0080000B" w:rsidRPr="006650EF" w:rsidRDefault="0080000B" w:rsidP="008E1742">
    <w:pPr>
      <w:pStyle w:val="Footer-ToCEven"/>
    </w:pPr>
    <w:r>
      <w:t>PwC</w:t>
    </w:r>
    <w:r>
      <w:tab/>
    </w:r>
    <w:r>
      <w:fldChar w:fldCharType="begin"/>
    </w:r>
    <w:r>
      <w:instrText xml:space="preserve"> PAGE  \* MERGEFORMAT </w:instrText>
    </w:r>
    <w:r>
      <w:fldChar w:fldCharType="separate"/>
    </w:r>
    <w:r>
      <w:rPr>
        <w:noProof/>
      </w:rPr>
      <w:t>ii</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99A98" w14:textId="6C8737D6" w:rsidR="0080000B" w:rsidRDefault="0080000B" w:rsidP="007E4349">
    <w:pPr>
      <w:pStyle w:val="Footer-ToC"/>
      <w:ind w:left="0"/>
    </w:pPr>
    <w:r>
      <w:rPr>
        <w:noProof/>
      </w:rPr>
      <w:fldChar w:fldCharType="begin"/>
    </w:r>
    <w:r>
      <w:rPr>
        <w:noProof/>
      </w:rPr>
      <w:instrText xml:space="preserve"> STYLEREF "Cover Outcome Headline" </w:instrText>
    </w:r>
    <w:r>
      <w:rPr>
        <w:noProof/>
      </w:rPr>
      <w:fldChar w:fldCharType="separate"/>
    </w:r>
    <w:r w:rsidR="002E4FA6">
      <w:rPr>
        <w:noProof/>
      </w:rPr>
      <w:t>Department of Social Services</w:t>
    </w:r>
    <w:r>
      <w:rPr>
        <w:noProof/>
      </w:rPr>
      <w:fldChar w:fldCharType="end"/>
    </w:r>
  </w:p>
  <w:p w14:paraId="787C9A53" w14:textId="3915C8B3" w:rsidR="0080000B" w:rsidRPr="00A84ADF" w:rsidRDefault="0080000B" w:rsidP="007E4349">
    <w:pPr>
      <w:pStyle w:val="Footer-ToC"/>
      <w:ind w:left="0"/>
    </w:pPr>
    <w:r>
      <w:t>PwC</w:t>
    </w:r>
    <w:r>
      <w:tab/>
    </w:r>
    <w:r>
      <w:fldChar w:fldCharType="begin"/>
    </w:r>
    <w:r>
      <w:instrText xml:space="preserve"> PAGE  \* MERGEFORMAT </w:instrText>
    </w:r>
    <w:r>
      <w:fldChar w:fldCharType="separate"/>
    </w:r>
    <w:r w:rsidR="002E4FA6">
      <w:rPr>
        <w:noProof/>
      </w:rPr>
      <w:t>ii</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B6BA0" w14:textId="75A44980" w:rsidR="0080000B" w:rsidRDefault="0080000B" w:rsidP="007E4349">
    <w:pPr>
      <w:pStyle w:val="Footer-ToC"/>
      <w:ind w:left="0"/>
    </w:pPr>
    <w:r>
      <w:rPr>
        <w:noProof/>
      </w:rPr>
      <w:fldChar w:fldCharType="begin"/>
    </w:r>
    <w:r>
      <w:rPr>
        <w:noProof/>
      </w:rPr>
      <w:instrText xml:space="preserve"> STYLEREF "Cover Outcome Headline" </w:instrText>
    </w:r>
    <w:r>
      <w:rPr>
        <w:noProof/>
      </w:rPr>
      <w:fldChar w:fldCharType="separate"/>
    </w:r>
    <w:r w:rsidR="002E4FA6">
      <w:rPr>
        <w:noProof/>
      </w:rPr>
      <w:t>Department of Social Services</w:t>
    </w:r>
    <w:r>
      <w:rPr>
        <w:noProof/>
      </w:rPr>
      <w:fldChar w:fldCharType="end"/>
    </w:r>
  </w:p>
  <w:p w14:paraId="19ECC806" w14:textId="587575D5" w:rsidR="0080000B" w:rsidRPr="006650EF" w:rsidRDefault="0080000B" w:rsidP="007E4349">
    <w:pPr>
      <w:pStyle w:val="Footer-ToC"/>
      <w:ind w:left="0"/>
    </w:pPr>
    <w:r>
      <w:t>PwC</w:t>
    </w:r>
    <w:r>
      <w:ptab w:relativeTo="margin" w:alignment="right" w:leader="none"/>
    </w:r>
    <w:r>
      <w:fldChar w:fldCharType="begin"/>
    </w:r>
    <w:r>
      <w:instrText xml:space="preserve"> PAGE  \* MERGEFORMAT </w:instrText>
    </w:r>
    <w:r>
      <w:fldChar w:fldCharType="separate"/>
    </w:r>
    <w:r w:rsidR="002E4FA6">
      <w:rPr>
        <w:noProof/>
      </w:rPr>
      <w:t>i</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B1D626" w14:textId="77777777" w:rsidR="001321C9" w:rsidRDefault="001321C9" w:rsidP="004343B3">
      <w:pPr>
        <w:pStyle w:val="Separator"/>
      </w:pPr>
      <w:r>
        <w:separator/>
      </w:r>
    </w:p>
  </w:footnote>
  <w:footnote w:type="continuationSeparator" w:id="0">
    <w:p w14:paraId="3A9E2886" w14:textId="77777777" w:rsidR="001321C9" w:rsidRDefault="001321C9" w:rsidP="004343B3">
      <w:pPr>
        <w:pStyle w:val="Separator"/>
      </w:pPr>
      <w:r>
        <w:continuationSeparator/>
      </w:r>
    </w:p>
  </w:footnote>
  <w:footnote w:type="continuationNotice" w:id="1">
    <w:p w14:paraId="7954B2AD" w14:textId="77777777" w:rsidR="001321C9" w:rsidRPr="00F20B7D" w:rsidRDefault="001321C9" w:rsidP="00F20B7D">
      <w:pPr>
        <w:pStyle w:val="Footer"/>
        <w:rPr>
          <w:sz w:val="2"/>
          <w:szCs w:val="2"/>
        </w:rPr>
      </w:pPr>
    </w:p>
    <w:p w14:paraId="41579DCB" w14:textId="77777777" w:rsidR="001321C9" w:rsidRDefault="001321C9"/>
  </w:footnote>
  <w:footnote w:id="2">
    <w:p w14:paraId="2A676C83" w14:textId="77777777" w:rsidR="0080000B" w:rsidRPr="00DB32F4" w:rsidRDefault="0080000B" w:rsidP="000F3EF8">
      <w:pPr>
        <w:pStyle w:val="FootnoteText"/>
        <w:rPr>
          <w:lang w:val="en-US"/>
        </w:rPr>
      </w:pPr>
      <w:r>
        <w:rPr>
          <w:rStyle w:val="FootnoteReference"/>
        </w:rPr>
        <w:footnoteRef/>
      </w:r>
      <w:r>
        <w:t xml:space="preserve"> </w:t>
      </w:r>
      <w:r>
        <w:rPr>
          <w:lang w:val="en-US"/>
        </w:rPr>
        <w:t xml:space="preserve">Commonwealth of Australia, </w:t>
      </w:r>
      <w:r w:rsidRPr="00D1114E">
        <w:rPr>
          <w:i/>
          <w:iCs/>
          <w:lang w:val="en-US"/>
        </w:rPr>
        <w:t>Protecting Children is Everyone’s Business: National Framework for Protecting Australia’s Children 2009-2020</w:t>
      </w:r>
      <w:r>
        <w:rPr>
          <w:lang w:val="en-US"/>
        </w:rPr>
        <w:t xml:space="preserve">, 2009, page 8. </w:t>
      </w:r>
    </w:p>
  </w:footnote>
  <w:footnote w:id="3">
    <w:p w14:paraId="5CBAA572" w14:textId="77777777" w:rsidR="0080000B" w:rsidRPr="00807A85" w:rsidRDefault="0080000B" w:rsidP="000F3EF8">
      <w:pPr>
        <w:pStyle w:val="FootnoteText"/>
        <w:rPr>
          <w:lang w:val="en-US"/>
        </w:rPr>
      </w:pPr>
      <w:r>
        <w:rPr>
          <w:rStyle w:val="FootnoteReference"/>
        </w:rPr>
        <w:footnoteRef/>
      </w:r>
      <w:r>
        <w:t xml:space="preserve"> </w:t>
      </w:r>
      <w:r>
        <w:rPr>
          <w:lang w:val="en-US"/>
        </w:rPr>
        <w:t xml:space="preserve">Commonwealth of Australia, </w:t>
      </w:r>
      <w:r w:rsidRPr="00D1114E">
        <w:rPr>
          <w:i/>
          <w:iCs/>
          <w:lang w:val="en-US"/>
        </w:rPr>
        <w:t>Protecting Children is Everyone’s Business: National Framework for Protecting Australia’s Children 2009-2020</w:t>
      </w:r>
      <w:r>
        <w:rPr>
          <w:lang w:val="en-US"/>
        </w:rPr>
        <w:t>, 2009, page 8.</w:t>
      </w:r>
    </w:p>
  </w:footnote>
  <w:footnote w:id="4">
    <w:p w14:paraId="7F69E7AB" w14:textId="77777777" w:rsidR="0080000B" w:rsidRPr="001848F0" w:rsidRDefault="0080000B" w:rsidP="000F3EF8">
      <w:pPr>
        <w:pStyle w:val="FootnoteText"/>
        <w:rPr>
          <w:lang w:val="en-US"/>
        </w:rPr>
      </w:pPr>
      <w:r>
        <w:rPr>
          <w:rStyle w:val="FootnoteReference"/>
        </w:rPr>
        <w:footnoteRef/>
      </w:r>
      <w:r>
        <w:t xml:space="preserve"> </w:t>
      </w:r>
      <w:r>
        <w:rPr>
          <w:lang w:val="en-US"/>
        </w:rPr>
        <w:t xml:space="preserve">Commonwealth of Australia, </w:t>
      </w:r>
      <w:r w:rsidRPr="00D1114E">
        <w:rPr>
          <w:i/>
          <w:iCs/>
          <w:lang w:val="en-US"/>
        </w:rPr>
        <w:t>Protecting Children is Everyone’s Business: National Framework for Protecting Australia’s Children 2009-2020</w:t>
      </w:r>
      <w:r>
        <w:rPr>
          <w:lang w:val="en-US"/>
        </w:rPr>
        <w:t>, 2009, page 11.</w:t>
      </w:r>
    </w:p>
  </w:footnote>
  <w:footnote w:id="5">
    <w:p w14:paraId="1CE9827C" w14:textId="77777777" w:rsidR="0080000B" w:rsidRPr="00094A35" w:rsidRDefault="0080000B" w:rsidP="000F3EF8">
      <w:pPr>
        <w:pStyle w:val="FootnoteText"/>
        <w:rPr>
          <w:lang w:val="en-US"/>
        </w:rPr>
      </w:pPr>
      <w:r>
        <w:rPr>
          <w:rStyle w:val="FootnoteReference"/>
        </w:rPr>
        <w:footnoteRef/>
      </w:r>
      <w:r>
        <w:t xml:space="preserve"> </w:t>
      </w:r>
      <w:r>
        <w:rPr>
          <w:lang w:val="en-US"/>
        </w:rPr>
        <w:t xml:space="preserve">Commonwealth of Australia, </w:t>
      </w:r>
      <w:r w:rsidRPr="00D1114E">
        <w:rPr>
          <w:i/>
          <w:iCs/>
          <w:lang w:val="en-US"/>
        </w:rPr>
        <w:t>Protecting Children is Everyone’s Business: National Framework for Protecting Australia’s Children 2009-2020</w:t>
      </w:r>
      <w:r>
        <w:rPr>
          <w:lang w:val="en-US"/>
        </w:rPr>
        <w:t>, 2009, page 11.</w:t>
      </w:r>
    </w:p>
  </w:footnote>
  <w:footnote w:id="6">
    <w:p w14:paraId="453F9029" w14:textId="682375AD" w:rsidR="0080000B" w:rsidRPr="00BB6ECC" w:rsidRDefault="0080000B" w:rsidP="000F3EF8">
      <w:pPr>
        <w:pStyle w:val="FootnoteText"/>
        <w:rPr>
          <w:lang w:val="en-US"/>
        </w:rPr>
      </w:pPr>
      <w:r>
        <w:rPr>
          <w:rStyle w:val="FootnoteReference"/>
        </w:rPr>
        <w:footnoteRef/>
      </w:r>
      <w:r>
        <w:t xml:space="preserve"> </w:t>
      </w:r>
      <w:r>
        <w:tab/>
      </w:r>
      <w:r>
        <w:rPr>
          <w:lang w:val="en-US"/>
        </w:rPr>
        <w:t xml:space="preserve">ACIL Allen Consulting, </w:t>
      </w:r>
      <w:r w:rsidRPr="00F137BE">
        <w:rPr>
          <w:i/>
          <w:iCs/>
          <w:lang w:val="en-US"/>
        </w:rPr>
        <w:t>Measuring Progress under the National Framework: Evaluation of progress under the National Framework for Protecting Australia’s Children,</w:t>
      </w:r>
      <w:r>
        <w:rPr>
          <w:lang w:val="en-US"/>
        </w:rPr>
        <w:t xml:space="preserve"> June 2015. </w:t>
      </w:r>
    </w:p>
  </w:footnote>
  <w:footnote w:id="7">
    <w:p w14:paraId="328A48D1" w14:textId="77777777" w:rsidR="0080000B" w:rsidRDefault="0080000B" w:rsidP="000F3EF8">
      <w:pPr>
        <w:pStyle w:val="FootnoteText"/>
        <w:rPr>
          <w:lang w:val="en-US"/>
        </w:rPr>
      </w:pPr>
      <w:r>
        <w:rPr>
          <w:rStyle w:val="FootnoteReference"/>
          <w:rFonts w:eastAsiaTheme="majorEastAsia"/>
        </w:rPr>
        <w:footnoteRef/>
      </w:r>
      <w:r>
        <w:t xml:space="preserve"> </w:t>
      </w:r>
      <w:r>
        <w:rPr>
          <w:lang w:val="en-US"/>
        </w:rPr>
        <w:t xml:space="preserve">Commonwealth of Australia, </w:t>
      </w:r>
      <w:r w:rsidRPr="00D1114E">
        <w:rPr>
          <w:i/>
          <w:iCs/>
          <w:lang w:val="en-US"/>
        </w:rPr>
        <w:t>Protecting Children is Everyone’s Business: National Framework for Protecting Australia’s Children 2009-2020</w:t>
      </w:r>
      <w:r>
        <w:rPr>
          <w:lang w:val="en-US"/>
        </w:rPr>
        <w:t>, 2009, page 11.</w:t>
      </w:r>
    </w:p>
  </w:footnote>
  <w:footnote w:id="8">
    <w:p w14:paraId="7E183E2F" w14:textId="77777777" w:rsidR="0080000B" w:rsidRDefault="0080000B" w:rsidP="000F3EF8">
      <w:pPr>
        <w:pStyle w:val="FootnoteText"/>
        <w:rPr>
          <w:lang w:val="en-US"/>
        </w:rPr>
      </w:pPr>
      <w:r>
        <w:rPr>
          <w:rStyle w:val="FootnoteReference"/>
          <w:rFonts w:eastAsiaTheme="majorEastAsia"/>
        </w:rPr>
        <w:footnoteRef/>
      </w:r>
      <w:r>
        <w:t xml:space="preserve"> </w:t>
      </w:r>
      <w:r>
        <w:rPr>
          <w:lang w:val="en-US"/>
        </w:rPr>
        <w:t xml:space="preserve">Australian Institute of Health and Welfare, </w:t>
      </w:r>
      <w:r w:rsidRPr="00ED18F1">
        <w:rPr>
          <w:i/>
          <w:iCs/>
          <w:lang w:val="en-US"/>
        </w:rPr>
        <w:t>National framework for protecting Australia's children indicators</w:t>
      </w:r>
      <w:r>
        <w:rPr>
          <w:lang w:val="en-US"/>
        </w:rPr>
        <w:t>, June 2019.</w:t>
      </w:r>
    </w:p>
  </w:footnote>
  <w:footnote w:id="9">
    <w:p w14:paraId="0BF87D66" w14:textId="77777777" w:rsidR="0080000B" w:rsidRPr="00727498" w:rsidRDefault="0080000B" w:rsidP="005C4AF1">
      <w:pPr>
        <w:pStyle w:val="FootnoteText"/>
        <w:ind w:left="284" w:hanging="284"/>
        <w:rPr>
          <w:lang w:val="en-US"/>
        </w:rPr>
      </w:pPr>
      <w:r w:rsidRPr="00DC7CF2">
        <w:rPr>
          <w:rStyle w:val="FootnoteReference"/>
          <w:sz w:val="14"/>
          <w:szCs w:val="14"/>
        </w:rPr>
        <w:footnoteRef/>
      </w:r>
      <w:r w:rsidRPr="00DC7CF2">
        <w:rPr>
          <w:szCs w:val="14"/>
        </w:rPr>
        <w:t xml:space="preserve"> </w:t>
      </w:r>
      <w:r w:rsidRPr="00DC7CF2">
        <w:rPr>
          <w:szCs w:val="14"/>
          <w:lang w:val="en-US"/>
        </w:rPr>
        <w:t xml:space="preserve"> </w:t>
      </w:r>
      <w:r w:rsidRPr="00DC7CF2">
        <w:rPr>
          <w:szCs w:val="14"/>
          <w:lang w:val="en-US"/>
        </w:rPr>
        <w:tab/>
      </w:r>
      <w:r w:rsidRPr="00DC7CF2">
        <w:rPr>
          <w:szCs w:val="14"/>
        </w:rPr>
        <w:t>ACIL Allen Consulting 2015, Measuring Progress Under the National Framework: An evaluation of progress under the National Framework for Protecting Australia’s</w:t>
      </w:r>
      <w:r w:rsidRPr="00F065BC">
        <w:rPr>
          <w:szCs w:val="14"/>
        </w:rPr>
        <w:t xml:space="preserve"> Children, Melbourne</w:t>
      </w:r>
    </w:p>
  </w:footnote>
  <w:footnote w:id="10">
    <w:p w14:paraId="56EF78C9" w14:textId="77777777" w:rsidR="0080000B" w:rsidRDefault="0080000B" w:rsidP="009D204E">
      <w:pPr>
        <w:pStyle w:val="FootnoteText"/>
        <w:spacing w:line="240" w:lineRule="auto"/>
      </w:pPr>
      <w:r>
        <w:rPr>
          <w:rStyle w:val="FootnoteReference"/>
        </w:rPr>
        <w:footnoteRef/>
      </w:r>
      <w:r>
        <w:t xml:space="preserve"> </w:t>
      </w:r>
      <w:r>
        <w:tab/>
        <w:t xml:space="preserve">Australian Research Alliance for Children and Youth (2008) Inverting the pyramid: Enhancing systems for protecting children, accessed: </w:t>
      </w:r>
      <w:hyperlink r:id="rId1" w:history="1">
        <w:r>
          <w:rPr>
            <w:rStyle w:val="Hyperlink"/>
          </w:rPr>
          <w:t>https://www.aracy.org.au/publications-resources/command/download_file/id/107/filename/Inverting_the_pyramid_-_Enhancing_systems_for_protecting_children.pdf</w:t>
        </w:r>
      </w:hyperlink>
      <w:r>
        <w:t>, 28/01/2020</w:t>
      </w:r>
    </w:p>
  </w:footnote>
  <w:footnote w:id="11">
    <w:p w14:paraId="3BF9A2D8" w14:textId="52D0943D" w:rsidR="0080000B" w:rsidRPr="007E18CD" w:rsidRDefault="0080000B">
      <w:pPr>
        <w:pStyle w:val="FootnoteText"/>
        <w:rPr>
          <w:lang w:val="en-US"/>
        </w:rPr>
      </w:pPr>
      <w:r>
        <w:rPr>
          <w:rStyle w:val="FootnoteReference"/>
        </w:rPr>
        <w:footnoteRef/>
      </w:r>
      <w:r>
        <w:t xml:space="preserve"> </w:t>
      </w:r>
      <w:r>
        <w:rPr>
          <w:lang w:val="en-US"/>
        </w:rPr>
        <w:t xml:space="preserve"> </w:t>
      </w:r>
      <w:r>
        <w:rPr>
          <w:lang w:val="en-US"/>
        </w:rPr>
        <w:tab/>
      </w:r>
      <w:r w:rsidRPr="001C72A5">
        <w:rPr>
          <w:szCs w:val="14"/>
          <w:lang w:val="en-US"/>
        </w:rPr>
        <w:t xml:space="preserve">Department of Social Services, ‘Third Action Plan 2015-2018 Governance Structure’, </w:t>
      </w:r>
      <w:r>
        <w:rPr>
          <w:szCs w:val="14"/>
          <w:lang w:val="en-US"/>
        </w:rPr>
        <w:t xml:space="preserve">emailed on 2 December 2019, </w:t>
      </w:r>
      <w:r w:rsidRPr="00E4045C">
        <w:rPr>
          <w:szCs w:val="14"/>
          <w:lang w:val="en-US"/>
        </w:rPr>
        <w:t>p</w:t>
      </w:r>
      <w:r>
        <w:rPr>
          <w:szCs w:val="14"/>
          <w:lang w:val="en-US"/>
        </w:rPr>
        <w:t xml:space="preserve">1, </w:t>
      </w:r>
      <w:r w:rsidRPr="001C72A5">
        <w:rPr>
          <w:szCs w:val="14"/>
          <w:lang w:val="en-US"/>
        </w:rPr>
        <w:t>Department of Social Services, ‘Fourth Action Plan Governance structure – draft</w:t>
      </w:r>
      <w:r>
        <w:rPr>
          <w:szCs w:val="14"/>
          <w:lang w:val="en-US"/>
        </w:rPr>
        <w:t>’ emailed 2 December 2019,</w:t>
      </w:r>
      <w:r w:rsidRPr="001C72A5">
        <w:rPr>
          <w:szCs w:val="14"/>
          <w:lang w:val="en-US"/>
        </w:rPr>
        <w:t xml:space="preserve"> p. 1.</w:t>
      </w:r>
    </w:p>
  </w:footnote>
  <w:footnote w:id="12">
    <w:p w14:paraId="72E8FA8D" w14:textId="77777777" w:rsidR="0080000B" w:rsidRDefault="0080000B"/>
    <w:p w14:paraId="6EE0FB5D" w14:textId="77777777" w:rsidR="0080000B" w:rsidRDefault="0080000B" w:rsidP="007E18CD">
      <w:pPr>
        <w:pStyle w:val="FootnoteText"/>
        <w:ind w:left="0" w:firstLine="0"/>
      </w:pPr>
    </w:p>
  </w:footnote>
  <w:footnote w:id="13">
    <w:p w14:paraId="481820A3" w14:textId="7662021C" w:rsidR="0080000B" w:rsidRPr="00B033D2" w:rsidRDefault="0080000B" w:rsidP="00BF2793">
      <w:pPr>
        <w:pStyle w:val="FootnoteText"/>
        <w:rPr>
          <w:lang w:val="en-US"/>
        </w:rPr>
      </w:pPr>
      <w:r>
        <w:rPr>
          <w:rStyle w:val="FootnoteReference"/>
        </w:rPr>
        <w:footnoteRef/>
      </w:r>
      <w:r>
        <w:t xml:space="preserve"> </w:t>
      </w:r>
      <w:r>
        <w:tab/>
      </w:r>
      <w:r>
        <w:rPr>
          <w:lang w:val="en-US"/>
        </w:rPr>
        <w:t>RoGS 2019, Chapter 16 Child Protection, Table 16A.7.</w:t>
      </w:r>
    </w:p>
  </w:footnote>
  <w:footnote w:id="14">
    <w:p w14:paraId="60A8DECF" w14:textId="479BEE6C" w:rsidR="0080000B" w:rsidRDefault="0080000B" w:rsidP="00BF2793">
      <w:pPr>
        <w:pStyle w:val="FootnoteText"/>
      </w:pPr>
      <w:r>
        <w:rPr>
          <w:rStyle w:val="FootnoteReference"/>
        </w:rPr>
        <w:footnoteRef/>
      </w:r>
      <w:r>
        <w:t xml:space="preserve"> </w:t>
      </w:r>
      <w:r>
        <w:tab/>
        <w:t xml:space="preserve">RoGS 2019, Chapter 16 Child Protection. Table 16A.1, Non-Indigenous children on a care and protection order is 6.8 per 1000 compared to Indigenous children 67.2 per 1000. </w:t>
      </w:r>
    </w:p>
  </w:footnote>
  <w:footnote w:id="15">
    <w:p w14:paraId="4978A3FC" w14:textId="44167781" w:rsidR="0080000B" w:rsidRPr="00B033D2" w:rsidRDefault="0080000B" w:rsidP="00BF2793">
      <w:pPr>
        <w:pStyle w:val="FootnoteText"/>
        <w:rPr>
          <w:lang w:val="en-US"/>
        </w:rPr>
      </w:pPr>
      <w:r>
        <w:rPr>
          <w:rStyle w:val="FootnoteReference"/>
        </w:rPr>
        <w:footnoteRef/>
      </w:r>
      <w:r>
        <w:t xml:space="preserve"> </w:t>
      </w:r>
      <w:r>
        <w:tab/>
        <w:t>RoGS</w:t>
      </w:r>
      <w:r>
        <w:rPr>
          <w:lang w:val="en-US"/>
        </w:rPr>
        <w:t xml:space="preserve"> 2019, Chapter 16 Child Protection, Table 16A.7.</w:t>
      </w:r>
    </w:p>
  </w:footnote>
  <w:footnote w:id="16">
    <w:p w14:paraId="3437CCE5" w14:textId="2CF37AA3" w:rsidR="0080000B" w:rsidRDefault="0080000B" w:rsidP="00BF2793">
      <w:pPr>
        <w:pStyle w:val="FootnoteText"/>
      </w:pPr>
      <w:r>
        <w:rPr>
          <w:rStyle w:val="FootnoteReference"/>
        </w:rPr>
        <w:footnoteRef/>
      </w:r>
      <w:r>
        <w:t xml:space="preserve"> </w:t>
      </w:r>
      <w:r>
        <w:tab/>
        <w:t xml:space="preserve">RoGS 2019, Chapter 16 Child Protection. Table 16A.1, Non-Indigenous children on a care and protection order is 6.8 per 1000 compared to Indigenous children 67.2 per 1000. </w:t>
      </w:r>
    </w:p>
  </w:footnote>
  <w:footnote w:id="17">
    <w:p w14:paraId="5BBC3891" w14:textId="13B492D6" w:rsidR="0080000B" w:rsidRPr="00E22E23" w:rsidRDefault="0080000B" w:rsidP="00BF2793">
      <w:pPr>
        <w:pStyle w:val="FootnoteText"/>
        <w:rPr>
          <w:lang w:val="en-US"/>
        </w:rPr>
      </w:pPr>
      <w:r>
        <w:rPr>
          <w:rStyle w:val="FootnoteReference"/>
        </w:rPr>
        <w:footnoteRef/>
      </w:r>
      <w:r>
        <w:t xml:space="preserve"> </w:t>
      </w:r>
      <w:r>
        <w:tab/>
      </w:r>
      <w:r>
        <w:rPr>
          <w:lang w:val="en-US"/>
        </w:rPr>
        <w:t>RoGS 2019, Chapter 16 Child Protection, Table 16A.1.</w:t>
      </w:r>
    </w:p>
  </w:footnote>
  <w:footnote w:id="18">
    <w:p w14:paraId="5ED30889" w14:textId="1171EA7F" w:rsidR="0080000B" w:rsidRDefault="0080000B" w:rsidP="00BF2793">
      <w:pPr>
        <w:pStyle w:val="FootnoteText"/>
      </w:pPr>
      <w:r>
        <w:rPr>
          <w:rStyle w:val="FootnoteReference"/>
        </w:rPr>
        <w:footnoteRef/>
      </w:r>
      <w:r>
        <w:t xml:space="preserve"> </w:t>
      </w:r>
      <w:r>
        <w:tab/>
      </w:r>
      <w:r>
        <w:rPr>
          <w:lang w:val="en-US"/>
        </w:rPr>
        <w:t>RoGS 2019, Chapter 16 Child Protection, Table 16A.1.</w:t>
      </w:r>
    </w:p>
  </w:footnote>
  <w:footnote w:id="19">
    <w:p w14:paraId="60FB6541" w14:textId="77777777" w:rsidR="0080000B" w:rsidRPr="0009264F" w:rsidRDefault="0080000B" w:rsidP="00BF2793">
      <w:pPr>
        <w:pStyle w:val="FootnoteText"/>
        <w:rPr>
          <w:lang w:val="en-US"/>
        </w:rPr>
      </w:pPr>
      <w:r>
        <w:rPr>
          <w:rStyle w:val="FootnoteReference"/>
        </w:rPr>
        <w:footnoteRef/>
      </w:r>
      <w:r>
        <w:t xml:space="preserve"> </w:t>
      </w:r>
      <w:r>
        <w:rPr>
          <w:lang w:val="en-US"/>
        </w:rPr>
        <w:t xml:space="preserve">Please refer to </w:t>
      </w:r>
      <w:hyperlink r:id="rId2" w:history="1">
        <w:r w:rsidRPr="00C924DF">
          <w:rPr>
            <w:rStyle w:val="Hyperlink"/>
            <w:lang w:val="en-US"/>
          </w:rPr>
          <w:t>https://www.aihw.gov.au/reports/child-protection/nfpac/contents/national-framework-indicators-data-visualisations</w:t>
        </w:r>
      </w:hyperlink>
      <w:r>
        <w:rPr>
          <w:lang w:val="en-US"/>
        </w:rPr>
        <w:t xml:space="preserve"> for the full list of data indicators.</w:t>
      </w:r>
    </w:p>
  </w:footnote>
  <w:footnote w:id="20">
    <w:p w14:paraId="276867A0" w14:textId="77777777" w:rsidR="0080000B" w:rsidRDefault="0080000B" w:rsidP="00BF2793">
      <w:pPr>
        <w:pStyle w:val="FootnoteText"/>
      </w:pPr>
      <w:r>
        <w:rPr>
          <w:rStyle w:val="FootnoteReference"/>
        </w:rPr>
        <w:footnoteRef/>
      </w:r>
      <w:r>
        <w:t xml:space="preserve"> </w:t>
      </w:r>
      <w:r>
        <w:tab/>
        <w:t xml:space="preserve">Australian Institute of Health and Welfare, 2019, National Framework Indicators, </w:t>
      </w:r>
      <w:hyperlink r:id="rId3" w:history="1">
        <w:r w:rsidRPr="002C4C23">
          <w:rPr>
            <w:rStyle w:val="Hyperlink"/>
          </w:rPr>
          <w:t>https://www.aihw.gov.au/reports/child-protection/nfpac/contents/national-framework-indicators</w:t>
        </w:r>
      </w:hyperlink>
      <w:r>
        <w:t>, accessed: 21/01/2020</w:t>
      </w:r>
    </w:p>
  </w:footnote>
  <w:footnote w:id="21">
    <w:p w14:paraId="176F9A4B" w14:textId="1EF92BA8" w:rsidR="0080000B" w:rsidRPr="00E74391" w:rsidRDefault="0080000B" w:rsidP="00D36A99">
      <w:pPr>
        <w:pStyle w:val="FootnoteText"/>
        <w:rPr>
          <w:lang w:val="en-US"/>
        </w:rPr>
      </w:pPr>
      <w:r>
        <w:rPr>
          <w:rStyle w:val="FootnoteReference"/>
        </w:rPr>
        <w:footnoteRef/>
      </w:r>
      <w:r>
        <w:t xml:space="preserve"> </w:t>
      </w:r>
      <w:r>
        <w:rPr>
          <w:lang w:val="en-US"/>
        </w:rPr>
        <w:t xml:space="preserve"> </w:t>
      </w:r>
      <w:r>
        <w:rPr>
          <w:lang w:val="en-US"/>
        </w:rPr>
        <w:tab/>
        <w:t xml:space="preserve">The ATSICPP seeks to prioritise the placement of Aboriginal and Torres Strait Islander children with their family, community or other Aboriginal and Torres Strait Islander families. It also requires consultation with Aboriginal and Torres Strait Islander families, communities and organisations regarding child protection interventions, placement and care, in addition to ensuring that Aboriginal and Torres Strait Islander children are supported to maintain their connection to family, community and culture. Further information can be found at: </w:t>
      </w:r>
      <w:hyperlink r:id="rId4" w:history="1">
        <w:r>
          <w:rPr>
            <w:rStyle w:val="Hyperlink"/>
          </w:rPr>
          <w:t>https://www.snaicc.org.au/understanding-applying-aboriginal-torres-strait-islander-child-placement-principle/</w:t>
        </w:r>
      </w:hyperlink>
    </w:p>
  </w:footnote>
  <w:footnote w:id="22">
    <w:p w14:paraId="1E9180DE" w14:textId="24A9A49C" w:rsidR="0080000B" w:rsidRPr="008552A8" w:rsidRDefault="0080000B">
      <w:pPr>
        <w:pStyle w:val="FootnoteText"/>
        <w:rPr>
          <w:lang w:val="en-US"/>
        </w:rPr>
      </w:pPr>
      <w:r>
        <w:rPr>
          <w:rStyle w:val="FootnoteReference"/>
        </w:rPr>
        <w:footnoteRef/>
      </w:r>
      <w:r>
        <w:t xml:space="preserve"> OECD, 2019, Children paying a high price for inequality, accessed: </w:t>
      </w:r>
      <w:hyperlink r:id="rId5" w:history="1">
        <w:r w:rsidRPr="002C4C23">
          <w:rPr>
            <w:rStyle w:val="Hyperlink"/>
          </w:rPr>
          <w:t>http://www.oecd.org/social/children-paying-a-high-price-for-inequality.htm</w:t>
        </w:r>
      </w:hyperlink>
      <w:r>
        <w:t>, 21/01/2020</w:t>
      </w:r>
    </w:p>
  </w:footnote>
  <w:footnote w:id="23">
    <w:p w14:paraId="3685000D" w14:textId="77777777" w:rsidR="0080000B" w:rsidRDefault="0080000B" w:rsidP="004162C3">
      <w:pPr>
        <w:pStyle w:val="FootnoteText"/>
      </w:pPr>
      <w:r>
        <w:rPr>
          <w:rStyle w:val="FootnoteReference"/>
        </w:rPr>
        <w:footnoteRef/>
      </w:r>
      <w:r>
        <w:t xml:space="preserve"> </w:t>
      </w:r>
      <w:r>
        <w:tab/>
        <w:t xml:space="preserve">BetterStart, 2017, Child Protection in South Australia, </w:t>
      </w:r>
      <w:hyperlink r:id="rId6" w:history="1">
        <w:r>
          <w:rPr>
            <w:rStyle w:val="Hyperlink"/>
          </w:rPr>
          <w:t>https://health.adelaide.edu.au/betterstart/publications/reports/child-protection-in-south-australia.pdf</w:t>
        </w:r>
      </w:hyperlink>
      <w:r>
        <w:t>, accessed: 21/01/2020</w:t>
      </w:r>
    </w:p>
  </w:footnote>
  <w:footnote w:id="24">
    <w:p w14:paraId="252C6C84" w14:textId="77777777" w:rsidR="0080000B" w:rsidRDefault="0080000B" w:rsidP="008520C2">
      <w:pPr>
        <w:pStyle w:val="FootnoteText"/>
      </w:pPr>
      <w:r>
        <w:rPr>
          <w:rStyle w:val="FootnoteReference"/>
        </w:rPr>
        <w:footnoteRef/>
      </w:r>
      <w:r>
        <w:t xml:space="preserve"> </w:t>
      </w:r>
      <w:r>
        <w:tab/>
        <w:t xml:space="preserve">Australian Parliament House, Reform of Ministerial Councils, </w:t>
      </w:r>
      <w:hyperlink r:id="rId7" w:history="1">
        <w:r w:rsidRPr="00E74676">
          <w:rPr>
            <w:rStyle w:val="Hyperlink"/>
          </w:rPr>
          <w:t>https://www.aph.gov.au/About_Parliament/Parliamentary_Departments/Parliamentary_Library/FlagPost/2011/March/Reform_of_Ministerial_Councils</w:t>
        </w:r>
      </w:hyperlink>
      <w:r>
        <w:t>, accessed: 13 January 2020</w:t>
      </w:r>
    </w:p>
  </w:footnote>
  <w:footnote w:id="25">
    <w:p w14:paraId="344BC943" w14:textId="77777777" w:rsidR="0080000B" w:rsidRDefault="0080000B" w:rsidP="008520C2">
      <w:pPr>
        <w:pStyle w:val="FootnoteText"/>
      </w:pPr>
      <w:r>
        <w:rPr>
          <w:rStyle w:val="FootnoteReference"/>
        </w:rPr>
        <w:footnoteRef/>
      </w:r>
      <w:r>
        <w:t xml:space="preserve"> </w:t>
      </w:r>
      <w:r>
        <w:tab/>
        <w:t xml:space="preserve">Productivity Commission, Performance Reporting Dashboard, </w:t>
      </w:r>
      <w:hyperlink r:id="rId8" w:history="1">
        <w:r w:rsidRPr="00E74676">
          <w:rPr>
            <w:rStyle w:val="Hyperlink"/>
          </w:rPr>
          <w:t>https://performancedashboard.d61.io/aus</w:t>
        </w:r>
      </w:hyperlink>
      <w:r>
        <w:t>, accessed: 13 January 2020</w:t>
      </w:r>
    </w:p>
  </w:footnote>
  <w:footnote w:id="26">
    <w:p w14:paraId="4F71E42E" w14:textId="77777777" w:rsidR="0080000B" w:rsidRDefault="0080000B" w:rsidP="00D36A99">
      <w:pPr>
        <w:pStyle w:val="FootnoteText"/>
      </w:pPr>
      <w:r>
        <w:rPr>
          <w:rStyle w:val="FootnoteReference"/>
        </w:rPr>
        <w:footnoteRef/>
      </w:r>
      <w:r>
        <w:t xml:space="preserve"> Fourth Action Plan 2018-2020, Supporting families, communities and organisations to keep children safe. </w:t>
      </w:r>
    </w:p>
  </w:footnote>
  <w:footnote w:id="27">
    <w:p w14:paraId="5F4B9B3D" w14:textId="77777777" w:rsidR="0080000B" w:rsidRDefault="0080000B" w:rsidP="00D36A99">
      <w:pPr>
        <w:pStyle w:val="FootnoteText"/>
      </w:pPr>
      <w:r>
        <w:rPr>
          <w:rStyle w:val="FootnoteReference"/>
        </w:rPr>
        <w:footnoteRef/>
      </w:r>
      <w:r>
        <w:t xml:space="preserve"> </w:t>
      </w:r>
      <w:r>
        <w:tab/>
        <w:t xml:space="preserve">Department of Social Services, 5 March 2019, Our Investment in Women’s Safety, </w:t>
      </w:r>
      <w:hyperlink r:id="rId9" w:history="1">
        <w:r>
          <w:rPr>
            <w:rStyle w:val="Hyperlink"/>
          </w:rPr>
          <w:t>https://www.dss.gov.au/sites/default/files/documents/03_2019/our-investment-womens-safety-5-march-2019.pdf</w:t>
        </w:r>
      </w:hyperlink>
      <w:r>
        <w:t>, accessed: 29/01/2019</w:t>
      </w:r>
    </w:p>
  </w:footnote>
  <w:footnote w:id="28">
    <w:p w14:paraId="728F6DE4" w14:textId="77777777" w:rsidR="0080000B" w:rsidRDefault="0080000B" w:rsidP="00D36A99">
      <w:pPr>
        <w:pStyle w:val="FootnoteText"/>
      </w:pPr>
      <w:r>
        <w:rPr>
          <w:rStyle w:val="FootnoteReference"/>
        </w:rPr>
        <w:footnoteRef/>
      </w:r>
      <w:r>
        <w:t xml:space="preserve"> </w:t>
      </w:r>
      <w:r>
        <w:tab/>
        <w:t xml:space="preserve">Berry Street, Stand By Me article, </w:t>
      </w:r>
      <w:hyperlink r:id="rId10" w:history="1">
        <w:r w:rsidRPr="00E74676">
          <w:rPr>
            <w:rStyle w:val="Hyperlink"/>
          </w:rPr>
          <w:t>https://www.berrystreet.org.au/news/2017/stand-me</w:t>
        </w:r>
      </w:hyperlink>
    </w:p>
  </w:footnote>
  <w:footnote w:id="29">
    <w:p w14:paraId="0377B1E7" w14:textId="77777777" w:rsidR="0080000B" w:rsidRPr="00FA3E74" w:rsidRDefault="0080000B">
      <w:pPr>
        <w:pStyle w:val="FootnoteText"/>
        <w:rPr>
          <w:lang w:val="en-US"/>
        </w:rPr>
      </w:pPr>
      <w:r>
        <w:rPr>
          <w:rStyle w:val="FootnoteReference"/>
        </w:rPr>
        <w:footnoteRef/>
      </w:r>
      <w:r>
        <w:t xml:space="preserve"> </w:t>
      </w:r>
      <w:r>
        <w:tab/>
        <w:t xml:space="preserve">Funding for the First Action Plan reported in ACIL Allen Consulting – Evaluation of Progress under the National Framework for Protecting Australia’s Children 2015. </w:t>
      </w:r>
      <w:r w:rsidRPr="0059469D">
        <w:t xml:space="preserve">Funding and activity information provided by DSS </w:t>
      </w:r>
      <w:r>
        <w:t xml:space="preserve">for the Third and Fourth Action Plan </w:t>
      </w:r>
      <w:r w:rsidRPr="0059469D">
        <w:t>in emails dated; 9 December 2019 and 21 January 2020</w:t>
      </w:r>
      <w:r>
        <w:t>.</w:t>
      </w:r>
    </w:p>
  </w:footnote>
  <w:footnote w:id="30">
    <w:p w14:paraId="21F097F4" w14:textId="77777777" w:rsidR="0080000B" w:rsidRPr="00FA3E74" w:rsidRDefault="0080000B">
      <w:pPr>
        <w:pStyle w:val="FootnoteText"/>
        <w:rPr>
          <w:lang w:val="en-US"/>
        </w:rPr>
      </w:pPr>
      <w:r>
        <w:rPr>
          <w:rStyle w:val="FootnoteReference"/>
        </w:rPr>
        <w:footnoteRef/>
      </w:r>
      <w:r>
        <w:t xml:space="preserve"> </w:t>
      </w:r>
      <w:r w:rsidRPr="007256CC">
        <w:t>Funding and activity information provided by DSS in emails dated; 9 December 2019 and 21 January 2020</w:t>
      </w:r>
    </w:p>
  </w:footnote>
  <w:footnote w:id="31">
    <w:p w14:paraId="2602257D" w14:textId="77777777" w:rsidR="0080000B" w:rsidRDefault="0080000B" w:rsidP="00D36A99">
      <w:pPr>
        <w:pStyle w:val="FootnoteText"/>
      </w:pPr>
      <w:r>
        <w:rPr>
          <w:rStyle w:val="FootnoteReference"/>
        </w:rPr>
        <w:footnoteRef/>
      </w:r>
      <w:r>
        <w:t xml:space="preserve"> </w:t>
      </w:r>
      <w:r>
        <w:tab/>
        <w:t xml:space="preserve">PwC analysis of Australian institute of Health and Welfare, National Framework for Protecting Australia’s Children: Indicator quick reference guide. Accessed: </w:t>
      </w:r>
      <w:hyperlink r:id="rId11" w:history="1">
        <w:r>
          <w:rPr>
            <w:rStyle w:val="Hyperlink"/>
          </w:rPr>
          <w:t>https://www.aihw.gov.au/reports/child-protection/nfpac/contents/national-framework-indicators</w:t>
        </w:r>
      </w:hyperlink>
    </w:p>
  </w:footnote>
  <w:footnote w:id="32">
    <w:p w14:paraId="293B4A23" w14:textId="77777777" w:rsidR="0080000B" w:rsidRDefault="0080000B" w:rsidP="00D36A99">
      <w:pPr>
        <w:pStyle w:val="FootnoteText"/>
      </w:pPr>
      <w:r>
        <w:rPr>
          <w:rStyle w:val="FootnoteReference"/>
        </w:rPr>
        <w:footnoteRef/>
      </w:r>
      <w:r>
        <w:t xml:space="preserve"> </w:t>
      </w:r>
      <w:r>
        <w:tab/>
        <w:t xml:space="preserve">UN Declaration on the Rights of Indigenous Peoples, 2007, accessed: </w:t>
      </w:r>
      <w:hyperlink r:id="rId12" w:history="1">
        <w:r w:rsidRPr="00D21FBF">
          <w:rPr>
            <w:rStyle w:val="Hyperlink"/>
          </w:rPr>
          <w:t>https://www.un.org/development/desa/indigenouspeoples/declaration-on-the-rights-of-indigenous-peoples.html</w:t>
        </w:r>
      </w:hyperlink>
      <w:r>
        <w:t>, 29/01/2020</w:t>
      </w:r>
    </w:p>
  </w:footnote>
  <w:footnote w:id="33">
    <w:p w14:paraId="6297E86B" w14:textId="77777777" w:rsidR="0080000B" w:rsidRDefault="0080000B" w:rsidP="00D36A99">
      <w:pPr>
        <w:pStyle w:val="FootnoteText"/>
      </w:pPr>
      <w:r>
        <w:rPr>
          <w:rStyle w:val="FootnoteReference"/>
        </w:rPr>
        <w:footnoteRef/>
      </w:r>
      <w:r>
        <w:t xml:space="preserve"> </w:t>
      </w:r>
      <w:r>
        <w:tab/>
        <w:t>SNAICC, 2019,</w:t>
      </w:r>
      <w:r w:rsidRPr="00B2465F">
        <w:t xml:space="preserve"> Baseline analyses of Child Placement Principle</w:t>
      </w:r>
      <w:r>
        <w:t xml:space="preserve">,  </w:t>
      </w:r>
      <w:hyperlink r:id="rId13" w:history="1">
        <w:r>
          <w:rPr>
            <w:rStyle w:val="Hyperlink"/>
          </w:rPr>
          <w:t>https://www.snaicc.org.au/policy-and-research/child-safety-and-wellbeing/baseline-analyses-of-child-placement-principle/</w:t>
        </w:r>
      </w:hyperlink>
    </w:p>
  </w:footnote>
  <w:footnote w:id="34">
    <w:p w14:paraId="78BC4A8D" w14:textId="77777777" w:rsidR="0080000B" w:rsidRDefault="0080000B" w:rsidP="00D36A99">
      <w:pPr>
        <w:pStyle w:val="FootnoteText"/>
      </w:pPr>
      <w:r>
        <w:rPr>
          <w:rStyle w:val="FootnoteReference"/>
        </w:rPr>
        <w:footnoteRef/>
      </w:r>
      <w:r>
        <w:t xml:space="preserve"> </w:t>
      </w:r>
      <w:r>
        <w:tab/>
        <w:t xml:space="preserve">Ibid. </w:t>
      </w:r>
    </w:p>
  </w:footnote>
  <w:footnote w:id="35">
    <w:p w14:paraId="6A8502D3" w14:textId="77777777" w:rsidR="0080000B" w:rsidRDefault="0080000B" w:rsidP="00D36A99">
      <w:pPr>
        <w:pStyle w:val="FootnoteText"/>
      </w:pPr>
      <w:r>
        <w:rPr>
          <w:rStyle w:val="FootnoteReference"/>
        </w:rPr>
        <w:footnoteRef/>
      </w:r>
      <w:r>
        <w:t xml:space="preserve"> </w:t>
      </w:r>
      <w:r>
        <w:tab/>
        <w:t xml:space="preserve">Australian Institute of Family Studies, 2015, </w:t>
      </w:r>
      <w:r w:rsidRPr="00E0641D">
        <w:t>Enhancing the implementation of the Aboriginal and Torres Strait Islander Child Placement Principle</w:t>
      </w:r>
      <w:r>
        <w:t xml:space="preserve">, accessed: </w:t>
      </w:r>
      <w:hyperlink r:id="rId14" w:history="1">
        <w:r w:rsidRPr="00006A22">
          <w:rPr>
            <w:rStyle w:val="Hyperlink"/>
          </w:rPr>
          <w:t>https://aifs.gov.au/cfca/publications/enhancing-implementation-aboriginal-and-torres-strait-islander-child/export</w:t>
        </w:r>
      </w:hyperlink>
      <w:r>
        <w:t>, 20/01/2020</w:t>
      </w:r>
    </w:p>
  </w:footnote>
  <w:footnote w:id="36">
    <w:p w14:paraId="0BCA3F62" w14:textId="5A3DB9F1" w:rsidR="0080000B" w:rsidRPr="00B45566" w:rsidRDefault="0080000B">
      <w:pPr>
        <w:pStyle w:val="FootnoteText"/>
        <w:rPr>
          <w:lang w:val="en-US"/>
        </w:rPr>
      </w:pPr>
      <w:r>
        <w:rPr>
          <w:rStyle w:val="FootnoteReference"/>
        </w:rPr>
        <w:footnoteRef/>
      </w:r>
      <w:r>
        <w:t xml:space="preserve"> </w:t>
      </w:r>
      <w:r>
        <w:rPr>
          <w:lang w:val="en-US"/>
        </w:rPr>
        <w:t xml:space="preserve"> </w:t>
      </w:r>
      <w:r>
        <w:rPr>
          <w:lang w:val="en-US"/>
        </w:rPr>
        <w:tab/>
        <w:t>Note: r</w:t>
      </w:r>
      <w:r w:rsidRPr="007E18CD">
        <w:rPr>
          <w:iCs/>
        </w:rPr>
        <w:t>apid review of jurisdictional inquiries and reforms relating to child protection</w:t>
      </w:r>
      <w:r>
        <w:rPr>
          <w:iCs/>
        </w:rPr>
        <w:t>, based on desktop research.</w:t>
      </w:r>
    </w:p>
  </w:footnote>
  <w:footnote w:id="37">
    <w:p w14:paraId="68EE4733" w14:textId="77777777" w:rsidR="0080000B" w:rsidRPr="00B02826" w:rsidRDefault="0080000B" w:rsidP="00043881">
      <w:pPr>
        <w:pStyle w:val="FootnoteText"/>
        <w:rPr>
          <w:szCs w:val="14"/>
          <w:lang w:val="en-US"/>
        </w:rPr>
      </w:pPr>
      <w:r w:rsidRPr="003B6146">
        <w:rPr>
          <w:rStyle w:val="FootnoteReference"/>
          <w:sz w:val="14"/>
          <w:szCs w:val="14"/>
        </w:rPr>
        <w:footnoteRef/>
      </w:r>
      <w:r w:rsidRPr="003B6146">
        <w:rPr>
          <w:szCs w:val="14"/>
        </w:rPr>
        <w:t xml:space="preserve"> </w:t>
      </w:r>
      <w:r w:rsidRPr="003B6146">
        <w:rPr>
          <w:szCs w:val="14"/>
          <w:lang w:val="en-US"/>
        </w:rPr>
        <w:tab/>
        <w:t>Parliament of Australia, ‘Royal Commission into</w:t>
      </w:r>
      <w:r w:rsidRPr="003B6146">
        <w:rPr>
          <w:szCs w:val="14"/>
        </w:rPr>
        <w:t xml:space="preserve"> Institutional Responses to Child Sexual Abuse’</w:t>
      </w:r>
      <w:r w:rsidRPr="003B6146">
        <w:rPr>
          <w:szCs w:val="14"/>
          <w:lang w:val="en-US"/>
        </w:rPr>
        <w:t>, accessed at:</w:t>
      </w:r>
      <w:r w:rsidRPr="003B6146">
        <w:rPr>
          <w:szCs w:val="14"/>
        </w:rPr>
        <w:t xml:space="preserve"> </w:t>
      </w:r>
      <w:hyperlink r:id="rId15" w:history="1">
        <w:r w:rsidRPr="003B6146">
          <w:rPr>
            <w:szCs w:val="14"/>
            <w:u w:val="single"/>
          </w:rPr>
          <w:t>https://www.childabuseroyalcommission.gov.au/preface-and-executive-summary</w:t>
        </w:r>
      </w:hyperlink>
      <w:r w:rsidRPr="003B6146">
        <w:rPr>
          <w:szCs w:val="14"/>
        </w:rPr>
        <w:t>, 2 December 2019</w:t>
      </w:r>
      <w:r w:rsidRPr="00B02826">
        <w:rPr>
          <w:szCs w:val="14"/>
        </w:rPr>
        <w:t>.</w:t>
      </w:r>
    </w:p>
  </w:footnote>
  <w:footnote w:id="38">
    <w:p w14:paraId="182E5D00" w14:textId="77777777" w:rsidR="0080000B" w:rsidRPr="00B02826" w:rsidRDefault="0080000B" w:rsidP="00043881">
      <w:pPr>
        <w:pStyle w:val="FootnoteText"/>
        <w:rPr>
          <w:lang w:val="en-US"/>
        </w:rPr>
      </w:pPr>
      <w:r w:rsidRPr="00B02826">
        <w:rPr>
          <w:rStyle w:val="FootnoteReference"/>
          <w:sz w:val="14"/>
          <w:szCs w:val="14"/>
        </w:rPr>
        <w:footnoteRef/>
      </w:r>
      <w:r w:rsidRPr="00B02826">
        <w:rPr>
          <w:szCs w:val="14"/>
        </w:rPr>
        <w:t xml:space="preserve"> </w:t>
      </w:r>
      <w:r w:rsidRPr="00B02826">
        <w:rPr>
          <w:szCs w:val="14"/>
          <w:lang w:val="en-US"/>
        </w:rPr>
        <w:tab/>
        <w:t xml:space="preserve">Parliament of Australia, ‘Royal Commission into </w:t>
      </w:r>
      <w:r w:rsidRPr="00B02826">
        <w:rPr>
          <w:szCs w:val="14"/>
        </w:rPr>
        <w:t>the Protection and Detention of Children in the Northern Territory’</w:t>
      </w:r>
      <w:r w:rsidRPr="00B02826">
        <w:rPr>
          <w:szCs w:val="14"/>
          <w:lang w:val="en-US"/>
        </w:rPr>
        <w:t>, accessed at:</w:t>
      </w:r>
      <w:r w:rsidRPr="003B6146">
        <w:t xml:space="preserve"> </w:t>
      </w:r>
      <w:hyperlink r:id="rId16" w:history="1">
        <w:r w:rsidRPr="003B6146">
          <w:rPr>
            <w:szCs w:val="14"/>
            <w:u w:val="single"/>
          </w:rPr>
          <w:t>https://www.royalcommission.gov.au/sites/default/files/2019-01/rcnt-royal-commission-nt-report-overview.pdf</w:t>
        </w:r>
      </w:hyperlink>
      <w:r w:rsidRPr="003B6146">
        <w:rPr>
          <w:szCs w:val="14"/>
        </w:rPr>
        <w:t xml:space="preserve">, 2 </w:t>
      </w:r>
      <w:r w:rsidRPr="00B02826">
        <w:rPr>
          <w:szCs w:val="14"/>
        </w:rPr>
        <w:t>December 2019</w:t>
      </w:r>
    </w:p>
  </w:footnote>
  <w:footnote w:id="39">
    <w:p w14:paraId="45B28AF0" w14:textId="77777777" w:rsidR="0080000B" w:rsidRDefault="0080000B" w:rsidP="00043881">
      <w:pPr>
        <w:pStyle w:val="FootnoteText"/>
      </w:pPr>
      <w:r>
        <w:rPr>
          <w:rStyle w:val="FootnoteReference"/>
        </w:rPr>
        <w:footnoteRef/>
      </w:r>
      <w:r>
        <w:t xml:space="preserve"> </w:t>
      </w:r>
      <w:r>
        <w:tab/>
      </w:r>
      <w:r w:rsidRPr="00975701">
        <w:t>Department of Social Services, ‘DRAFT – NFPAC Annual Report 2016-2017 and 2017-2018.DOCX’, emailed 2 December 2019.</w:t>
      </w:r>
    </w:p>
  </w:footnote>
  <w:footnote w:id="40">
    <w:p w14:paraId="6D88ED08" w14:textId="77777777" w:rsidR="0080000B" w:rsidRPr="00B45566" w:rsidRDefault="0080000B">
      <w:pPr>
        <w:pStyle w:val="FootnoteText"/>
        <w:rPr>
          <w:lang w:val="en-US"/>
        </w:rPr>
      </w:pPr>
      <w:r>
        <w:rPr>
          <w:rStyle w:val="FootnoteReference"/>
        </w:rPr>
        <w:footnoteRef/>
      </w:r>
      <w:r>
        <w:t xml:space="preserve"> </w:t>
      </w:r>
      <w:r>
        <w:rPr>
          <w:lang w:val="en-US"/>
        </w:rPr>
        <w:t xml:space="preserve"> </w:t>
      </w:r>
      <w:r>
        <w:rPr>
          <w:lang w:val="en-US"/>
        </w:rPr>
        <w:tab/>
      </w:r>
      <w:r w:rsidRPr="00B45566">
        <w:t xml:space="preserve">DRAFT- NFPAC Annual Report 2016-17 and 2017-18. </w:t>
      </w:r>
    </w:p>
  </w:footnote>
  <w:footnote w:id="41">
    <w:p w14:paraId="38FA2F90" w14:textId="77777777" w:rsidR="0080000B" w:rsidRPr="001610E8" w:rsidRDefault="0080000B" w:rsidP="00043881">
      <w:pPr>
        <w:pStyle w:val="FootnoteText"/>
        <w:rPr>
          <w:lang w:val="en-US"/>
        </w:rPr>
      </w:pPr>
      <w:r>
        <w:rPr>
          <w:rStyle w:val="FootnoteReference"/>
        </w:rPr>
        <w:footnoteRef/>
      </w:r>
      <w:r>
        <w:t xml:space="preserve"> </w:t>
      </w:r>
      <w:r>
        <w:rPr>
          <w:lang w:val="en-US"/>
        </w:rPr>
        <w:tab/>
        <w:t>Paraphrased from the National Framework for Protecting Australia’s Children 2009-2020</w:t>
      </w:r>
    </w:p>
  </w:footnote>
  <w:footnote w:id="42">
    <w:p w14:paraId="70FF7144" w14:textId="70543872" w:rsidR="0080000B" w:rsidRPr="001610E8" w:rsidRDefault="0080000B" w:rsidP="00043881">
      <w:pPr>
        <w:pStyle w:val="FootnoteText"/>
        <w:rPr>
          <w:lang w:val="en-US"/>
        </w:rPr>
      </w:pPr>
      <w:r>
        <w:rPr>
          <w:rStyle w:val="FootnoteReference"/>
        </w:rPr>
        <w:footnoteRef/>
      </w:r>
      <w:r>
        <w:t xml:space="preserve"> </w:t>
      </w:r>
      <w:r>
        <w:rPr>
          <w:lang w:val="en-US"/>
        </w:rPr>
        <w:t xml:space="preserve"> </w:t>
      </w:r>
      <w:r>
        <w:rPr>
          <w:lang w:val="en-US"/>
        </w:rPr>
        <w:tab/>
        <w:t>Parkinson S, Bromfield L, McDougall S, Salveron M (2017) Child Neglect: Key Concept and Risk Factors, A report to the NSW Department of Family and Community Services Office of the Senior Practitioner, Australian Centre for Child Protection</w:t>
      </w:r>
    </w:p>
  </w:footnote>
  <w:footnote w:id="43">
    <w:p w14:paraId="12A92243" w14:textId="77777777" w:rsidR="0080000B" w:rsidRPr="001610E8" w:rsidRDefault="0080000B" w:rsidP="00043881">
      <w:pPr>
        <w:pStyle w:val="FootnoteText"/>
        <w:rPr>
          <w:lang w:val="en-US"/>
        </w:rPr>
      </w:pPr>
      <w:r>
        <w:rPr>
          <w:rStyle w:val="FootnoteReference"/>
        </w:rPr>
        <w:footnoteRef/>
      </w:r>
      <w:r>
        <w:t xml:space="preserve"> </w:t>
      </w:r>
      <w:r>
        <w:rPr>
          <w:lang w:val="en-US"/>
        </w:rPr>
        <w:tab/>
        <w:t>Cumulative harm: Best interests case practice model (2012) Specialist practice resource, Department of Health and Human Services Victoria</w:t>
      </w:r>
    </w:p>
  </w:footnote>
  <w:footnote w:id="44">
    <w:p w14:paraId="7D940ED2" w14:textId="77777777" w:rsidR="0080000B" w:rsidRPr="00B45566" w:rsidRDefault="0080000B" w:rsidP="00B45566">
      <w:pPr>
        <w:rPr>
          <w:i/>
          <w:sz w:val="14"/>
        </w:rPr>
      </w:pPr>
      <w:r>
        <w:rPr>
          <w:rStyle w:val="FootnoteReference"/>
        </w:rPr>
        <w:footnoteRef/>
      </w:r>
      <w:r>
        <w:t xml:space="preserve"> </w:t>
      </w:r>
      <w:r>
        <w:rPr>
          <w:lang w:val="en-US"/>
        </w:rPr>
        <w:t xml:space="preserve"> </w:t>
      </w:r>
      <w:r w:rsidRPr="00B45566">
        <w:rPr>
          <w:sz w:val="14"/>
        </w:rPr>
        <w:t>DRAFT- NFPAC Annual Report 2016-17 and 2017-18 and rapid scan of government websites. Note, child protection reforms not represented here</w:t>
      </w:r>
    </w:p>
  </w:footnote>
  <w:footnote w:id="45">
    <w:p w14:paraId="34098E1E" w14:textId="578C530C" w:rsidR="0080000B" w:rsidRPr="00B45566" w:rsidRDefault="0080000B">
      <w:pPr>
        <w:pStyle w:val="FootnoteText"/>
        <w:rPr>
          <w:lang w:val="en-US"/>
        </w:rPr>
      </w:pPr>
      <w:r>
        <w:rPr>
          <w:rStyle w:val="FootnoteReference"/>
        </w:rPr>
        <w:footnoteRef/>
      </w:r>
      <w:r>
        <w:t xml:space="preserve"> </w:t>
      </w:r>
      <w:r>
        <w:rPr>
          <w:lang w:val="en-US"/>
        </w:rPr>
        <w:t xml:space="preserve"> </w:t>
      </w:r>
      <w:r>
        <w:rPr>
          <w:lang w:val="en-US"/>
        </w:rPr>
        <w:tab/>
      </w:r>
      <w:r w:rsidRPr="00A83B94">
        <w:t xml:space="preserve">Lawton, B., Brandon, P.R., Cicchinelli, L., </w:t>
      </w:r>
      <w:r>
        <w:t>and</w:t>
      </w:r>
      <w:r w:rsidRPr="00A83B94">
        <w:t xml:space="preserve"> Kekahio, W. (2014). Logic models: A tool for designing and monitoring program evaluations. (REL 2014–007). Washington, DC: U.S. Department of Education, Institute of Education Sciences, National Center for Education Evaluation and Regional Assistance, Regional Educational Laboratory Pacific. Retrieved from http://ies.ed.gov/ncee/edlabs.</w:t>
      </w:r>
    </w:p>
  </w:footnote>
  <w:footnote w:id="46">
    <w:p w14:paraId="6D9DEA3D" w14:textId="77777777" w:rsidR="0080000B" w:rsidRPr="00B45566" w:rsidRDefault="0080000B">
      <w:pPr>
        <w:pStyle w:val="FootnoteText"/>
        <w:rPr>
          <w:lang w:val="en-US"/>
        </w:rPr>
      </w:pPr>
      <w:r>
        <w:rPr>
          <w:rStyle w:val="FootnoteReference"/>
        </w:rPr>
        <w:footnoteRef/>
      </w:r>
      <w:r>
        <w:t xml:space="preserve"> </w:t>
      </w:r>
      <w:r>
        <w:rPr>
          <w:lang w:val="en-US"/>
        </w:rPr>
        <w:t xml:space="preserve"> </w:t>
      </w:r>
      <w:r>
        <w:rPr>
          <w:lang w:val="en-US"/>
        </w:rPr>
        <w:tab/>
      </w:r>
      <w:r>
        <w:t>PwC analysis</w:t>
      </w:r>
    </w:p>
  </w:footnote>
  <w:footnote w:id="47">
    <w:p w14:paraId="5E302217" w14:textId="77777777" w:rsidR="0080000B" w:rsidRPr="00EF4C51" w:rsidRDefault="0080000B" w:rsidP="005137CB">
      <w:pPr>
        <w:pStyle w:val="FootnoteText"/>
        <w:rPr>
          <w:lang w:val="en-US"/>
        </w:rPr>
      </w:pPr>
      <w:r>
        <w:rPr>
          <w:rStyle w:val="FootnoteReference"/>
        </w:rPr>
        <w:footnoteRef/>
      </w:r>
      <w:r>
        <w:t xml:space="preserve"> </w:t>
      </w:r>
      <w:r>
        <w:tab/>
        <w:t xml:space="preserve">Prime Minister of Australia (media release) Record Funding to Reduce Domestic Violence, </w:t>
      </w:r>
      <w:hyperlink r:id="rId17" w:history="1">
        <w:r w:rsidRPr="00E74676">
          <w:rPr>
            <w:rStyle w:val="Hyperlink"/>
          </w:rPr>
          <w:t>https://www.pm.gov.au/media/record-funding-reduce-domestic-violence</w:t>
        </w:r>
      </w:hyperlink>
      <w:r>
        <w:t xml:space="preserve"> </w:t>
      </w:r>
    </w:p>
  </w:footnote>
  <w:footnote w:id="48">
    <w:p w14:paraId="7798B6FA" w14:textId="77777777" w:rsidR="0080000B" w:rsidRPr="007C76FD" w:rsidRDefault="0080000B" w:rsidP="005137CB">
      <w:pPr>
        <w:pStyle w:val="FootnoteText"/>
        <w:rPr>
          <w:lang w:val="en-US"/>
        </w:rPr>
      </w:pPr>
      <w:r>
        <w:rPr>
          <w:rStyle w:val="FootnoteReference"/>
        </w:rPr>
        <w:footnoteRef/>
      </w:r>
      <w:r>
        <w:t xml:space="preserve"> </w:t>
      </w:r>
      <w:r>
        <w:tab/>
      </w:r>
      <w:r w:rsidRPr="007C76FD">
        <w:t>The United Nations Convention on the Rights of the Child is an international legal framework to protect the rights of every child.</w:t>
      </w:r>
      <w:r w:rsidRPr="007C76FD">
        <w:rPr>
          <w:rFonts w:eastAsia="Arial"/>
        </w:rPr>
        <w:t xml:space="preserve"> </w:t>
      </w:r>
      <w:r w:rsidRPr="002B7285">
        <w:rPr>
          <w:rFonts w:eastAsia="Arial"/>
        </w:rPr>
        <w:t>The Convention provides a universal set of standards to be adhered to by all countries in the treatment of all children. These are outlined in 54 articles, which are underpinned by a selection of guiding principles including:</w:t>
      </w:r>
      <w:r>
        <w:rPr>
          <w:rFonts w:eastAsia="Arial"/>
        </w:rPr>
        <w:t xml:space="preserve"> </w:t>
      </w:r>
      <w:r w:rsidRPr="002B7285">
        <w:rPr>
          <w:rFonts w:eastAsia="Arial"/>
        </w:rPr>
        <w:t>non-discrimination</w:t>
      </w:r>
      <w:r>
        <w:rPr>
          <w:rFonts w:eastAsia="Arial"/>
        </w:rPr>
        <w:t xml:space="preserve">, </w:t>
      </w:r>
      <w:r w:rsidRPr="002B7285">
        <w:rPr>
          <w:rFonts w:eastAsia="Arial"/>
        </w:rPr>
        <w:t>adherence to the best interests of the child</w:t>
      </w:r>
      <w:r>
        <w:rPr>
          <w:rFonts w:eastAsia="Arial"/>
        </w:rPr>
        <w:t xml:space="preserve">, </w:t>
      </w:r>
      <w:r w:rsidRPr="002B7285">
        <w:rPr>
          <w:rFonts w:eastAsia="Arial"/>
        </w:rPr>
        <w:t>the right to life</w:t>
      </w:r>
      <w:r>
        <w:rPr>
          <w:rFonts w:eastAsia="Arial"/>
        </w:rPr>
        <w:t xml:space="preserve">, </w:t>
      </w:r>
      <w:r w:rsidRPr="002B7285">
        <w:rPr>
          <w:rFonts w:eastAsia="Arial"/>
        </w:rPr>
        <w:t>survival and development</w:t>
      </w:r>
      <w:r>
        <w:rPr>
          <w:rFonts w:eastAsia="Arial"/>
        </w:rPr>
        <w:t xml:space="preserve">, </w:t>
      </w:r>
      <w:r w:rsidRPr="002B7285">
        <w:rPr>
          <w:rFonts w:eastAsia="Arial"/>
        </w:rPr>
        <w:t>and the right to participate.</w:t>
      </w:r>
      <w:r>
        <w:rPr>
          <w:rFonts w:eastAsia="Arial"/>
        </w:rPr>
        <w:t xml:space="preserve"> </w:t>
      </w:r>
      <w:r w:rsidRPr="002B7285">
        <w:rPr>
          <w:rFonts w:eastAsia="Arial"/>
        </w:rPr>
        <w:t>The Convention</w:t>
      </w:r>
      <w:r>
        <w:rPr>
          <w:rFonts w:eastAsia="Arial"/>
        </w:rPr>
        <w:t xml:space="preserve">, its status and relevant reports can be accessed at: </w:t>
      </w:r>
      <w:hyperlink r:id="rId18" w:history="1">
        <w:r w:rsidRPr="00DA6875">
          <w:rPr>
            <w:rStyle w:val="Hyperlink"/>
            <w:rFonts w:eastAsia="Arial"/>
          </w:rPr>
          <w:t>https://www.ohchr.org/en/professionalinterest/pages/crc.aspx</w:t>
        </w:r>
      </w:hyperlink>
    </w:p>
  </w:footnote>
  <w:footnote w:id="49">
    <w:p w14:paraId="38B080DE" w14:textId="77777777" w:rsidR="0080000B" w:rsidRPr="00613758" w:rsidRDefault="0080000B">
      <w:pPr>
        <w:pStyle w:val="FootnoteText"/>
        <w:rPr>
          <w:lang w:val="en-US"/>
        </w:rPr>
      </w:pPr>
      <w:r>
        <w:rPr>
          <w:rStyle w:val="FootnoteReference"/>
        </w:rPr>
        <w:footnoteRef/>
      </w:r>
      <w:r>
        <w:t xml:space="preserve"> </w:t>
      </w:r>
      <w:r>
        <w:rPr>
          <w:lang w:val="en-US"/>
        </w:rPr>
        <w:t xml:space="preserve"> </w:t>
      </w:r>
      <w:r>
        <w:rPr>
          <w:lang w:val="en-US"/>
        </w:rPr>
        <w:tab/>
      </w:r>
      <w:r>
        <w:t xml:space="preserve">BetterStart, 2017, Child Protection in South Australia, </w:t>
      </w:r>
      <w:hyperlink r:id="rId19" w:history="1">
        <w:r>
          <w:rPr>
            <w:rStyle w:val="Hyperlink"/>
          </w:rPr>
          <w:t>https://health.adelaide.edu.au/betterstart/publications/reports/child-protection-in-south-australia.pdf</w:t>
        </w:r>
      </w:hyperlink>
      <w:r>
        <w:t>, accessed: 21/01/2020</w:t>
      </w:r>
    </w:p>
  </w:footnote>
  <w:footnote w:id="50">
    <w:p w14:paraId="664C9BCA" w14:textId="77777777" w:rsidR="0080000B" w:rsidRDefault="0080000B" w:rsidP="00A55EEB">
      <w:pPr>
        <w:pStyle w:val="FootnoteText"/>
        <w:rPr>
          <w:lang w:val="en-US"/>
        </w:rPr>
      </w:pPr>
      <w:r>
        <w:rPr>
          <w:rStyle w:val="FootnoteReference"/>
          <w:rFonts w:eastAsiaTheme="majorEastAsia"/>
        </w:rPr>
        <w:footnoteRef/>
      </w:r>
      <w:r>
        <w:t xml:space="preserve"> </w:t>
      </w:r>
      <w:r>
        <w:rPr>
          <w:lang w:val="en-US"/>
        </w:rPr>
        <w:t xml:space="preserve">Commonwealth of Australia, </w:t>
      </w:r>
      <w:r w:rsidRPr="00D1114E">
        <w:rPr>
          <w:i/>
          <w:iCs/>
          <w:lang w:val="en-US"/>
        </w:rPr>
        <w:t>Protecting Children is Everyone’s Business: National Framework for Protecting Australia’s Children 2009-2020</w:t>
      </w:r>
      <w:r>
        <w:rPr>
          <w:lang w:val="en-US"/>
        </w:rPr>
        <w:t>, 2009, page 11.</w:t>
      </w:r>
    </w:p>
  </w:footnote>
  <w:footnote w:id="51">
    <w:p w14:paraId="240177BD" w14:textId="77777777" w:rsidR="0080000B" w:rsidRDefault="0080000B" w:rsidP="00A55EEB">
      <w:pPr>
        <w:pStyle w:val="FootnoteText"/>
        <w:rPr>
          <w:lang w:val="en-US"/>
        </w:rPr>
      </w:pPr>
      <w:r>
        <w:rPr>
          <w:rStyle w:val="FootnoteReference"/>
          <w:rFonts w:eastAsiaTheme="majorEastAsia"/>
        </w:rPr>
        <w:footnoteRef/>
      </w:r>
      <w:r>
        <w:t xml:space="preserve"> </w:t>
      </w:r>
      <w:r>
        <w:rPr>
          <w:lang w:val="en-US"/>
        </w:rPr>
        <w:t xml:space="preserve">Australian Institute of Health and Welfare, </w:t>
      </w:r>
      <w:r w:rsidRPr="00ED18F1">
        <w:rPr>
          <w:i/>
          <w:iCs/>
          <w:lang w:val="en-US"/>
        </w:rPr>
        <w:t>National framework for protecting Australia's children indicators</w:t>
      </w:r>
      <w:r>
        <w:rPr>
          <w:lang w:val="en-US"/>
        </w:rPr>
        <w:t>, June 2019.</w:t>
      </w:r>
    </w:p>
  </w:footnote>
  <w:footnote w:id="52">
    <w:p w14:paraId="675B61F4" w14:textId="77777777" w:rsidR="0080000B" w:rsidRPr="0046767C" w:rsidRDefault="0080000B" w:rsidP="0013767E">
      <w:pPr>
        <w:pStyle w:val="FootnoteText"/>
        <w:rPr>
          <w:lang w:val="en-US"/>
        </w:rPr>
      </w:pPr>
      <w:r>
        <w:rPr>
          <w:rStyle w:val="FootnoteReference"/>
        </w:rPr>
        <w:footnoteRef/>
      </w:r>
      <w:r>
        <w:t xml:space="preserve"> </w:t>
      </w:r>
      <w:r>
        <w:rPr>
          <w:lang w:val="en-US"/>
        </w:rPr>
        <w:t xml:space="preserve">Commonwealth of Australia, </w:t>
      </w:r>
      <w:r w:rsidRPr="00D1114E">
        <w:rPr>
          <w:i/>
          <w:iCs/>
          <w:lang w:val="en-US"/>
        </w:rPr>
        <w:t>Protecting Children is Everyone’s Business: National Framework for Protecting Australia’s Children 2009-2020</w:t>
      </w:r>
      <w:r>
        <w:rPr>
          <w:lang w:val="en-US"/>
        </w:rPr>
        <w:t>, 2009, page 6.</w:t>
      </w:r>
    </w:p>
  </w:footnote>
  <w:footnote w:id="53">
    <w:p w14:paraId="37C9B4BE" w14:textId="77777777" w:rsidR="0080000B" w:rsidRPr="0046767C" w:rsidRDefault="0080000B" w:rsidP="0013767E">
      <w:pPr>
        <w:pStyle w:val="FootnoteText"/>
        <w:rPr>
          <w:lang w:val="en-US"/>
        </w:rPr>
      </w:pPr>
      <w:r>
        <w:rPr>
          <w:rStyle w:val="FootnoteReference"/>
        </w:rPr>
        <w:footnoteRef/>
      </w:r>
      <w:r>
        <w:t xml:space="preserve"> </w:t>
      </w:r>
      <w:r>
        <w:rPr>
          <w:lang w:val="en-US"/>
        </w:rPr>
        <w:t xml:space="preserve">Commonwealth of Australia, </w:t>
      </w:r>
      <w:r w:rsidRPr="00D1114E">
        <w:rPr>
          <w:i/>
          <w:iCs/>
          <w:lang w:val="en-US"/>
        </w:rPr>
        <w:t>Protecting Children is Everyone’s Business: National Framework for Protecting Australia’s Children 2009-2020</w:t>
      </w:r>
      <w:r>
        <w:rPr>
          <w:lang w:val="en-US"/>
        </w:rPr>
        <w:t>, 2009, page 6.</w:t>
      </w:r>
    </w:p>
  </w:footnote>
  <w:footnote w:id="54">
    <w:p w14:paraId="5027B477" w14:textId="77777777" w:rsidR="0080000B" w:rsidRPr="00FC11DE" w:rsidRDefault="0080000B" w:rsidP="0013767E">
      <w:pPr>
        <w:pStyle w:val="FootnoteText"/>
        <w:rPr>
          <w:lang w:val="en-US"/>
        </w:rPr>
      </w:pPr>
      <w:r>
        <w:rPr>
          <w:rStyle w:val="FootnoteReference"/>
        </w:rPr>
        <w:footnoteRef/>
      </w:r>
      <w:r>
        <w:t xml:space="preserve"> See for example Productivity Commission, </w:t>
      </w:r>
      <w:r w:rsidRPr="004A68F7">
        <w:rPr>
          <w:i/>
          <w:iCs/>
        </w:rPr>
        <w:t>Expenditure on Children in the Northern Territory</w:t>
      </w:r>
      <w:r>
        <w:t xml:space="preserve">, Draft Report, November 2019. </w:t>
      </w:r>
    </w:p>
  </w:footnote>
  <w:footnote w:id="55">
    <w:p w14:paraId="1E431219" w14:textId="77777777" w:rsidR="0080000B" w:rsidRPr="00373D69" w:rsidRDefault="0080000B" w:rsidP="0013767E">
      <w:pPr>
        <w:pStyle w:val="FootnoteText"/>
        <w:rPr>
          <w:i/>
          <w:iCs/>
          <w:lang w:val="en-US"/>
        </w:rPr>
      </w:pPr>
      <w:r>
        <w:rPr>
          <w:rStyle w:val="FootnoteReference"/>
        </w:rPr>
        <w:footnoteRef/>
      </w:r>
      <w:r>
        <w:t xml:space="preserve"> We note that some research was commissioned under the Third Action Plan which involved discussions with young people: </w:t>
      </w:r>
      <w:r>
        <w:rPr>
          <w:lang w:val="en-US"/>
        </w:rPr>
        <w:t xml:space="preserve">Alasdair Roy, </w:t>
      </w:r>
      <w:r w:rsidRPr="00F751FA">
        <w:rPr>
          <w:i/>
          <w:iCs/>
          <w:lang w:val="en-US"/>
        </w:rPr>
        <w:t>Talking with young people about the National Framework: Outcomes of conversations with young people about the</w:t>
      </w:r>
      <w:r>
        <w:rPr>
          <w:i/>
          <w:iCs/>
          <w:lang w:val="en-US"/>
        </w:rPr>
        <w:t xml:space="preserve"> </w:t>
      </w:r>
      <w:r w:rsidRPr="00F751FA">
        <w:rPr>
          <w:i/>
          <w:iCs/>
          <w:lang w:val="en-US"/>
        </w:rPr>
        <w:t>National Framework for Protecting Australia’s Children</w:t>
      </w:r>
      <w:r>
        <w:rPr>
          <w:lang w:val="en-US"/>
        </w:rPr>
        <w:t xml:space="preserve">, June 2017. </w:t>
      </w:r>
    </w:p>
  </w:footnote>
  <w:footnote w:id="56">
    <w:p w14:paraId="0E1A0CE5" w14:textId="77777777" w:rsidR="0080000B" w:rsidRPr="007E2A6D" w:rsidRDefault="0080000B">
      <w:pPr>
        <w:pStyle w:val="FootnoteText"/>
        <w:rPr>
          <w:lang w:val="en-US"/>
        </w:rPr>
      </w:pPr>
      <w:r>
        <w:rPr>
          <w:rStyle w:val="FootnoteReference"/>
        </w:rPr>
        <w:footnoteRef/>
      </w:r>
      <w:r>
        <w:t xml:space="preserve"> </w:t>
      </w:r>
      <w:r>
        <w:rPr>
          <w:lang w:val="en-US"/>
        </w:rPr>
        <w:t xml:space="preserve"> </w:t>
      </w:r>
      <w:r>
        <w:t>Note that, for the purposes of presentation, evaluation question numbering has been reordered as compared to the original contract with DSS to improve readability</w:t>
      </w:r>
    </w:p>
  </w:footnote>
  <w:footnote w:id="57">
    <w:p w14:paraId="186D6F6E" w14:textId="670695B0" w:rsidR="0080000B" w:rsidRPr="005B277F" w:rsidRDefault="0080000B" w:rsidP="008B29D9">
      <w:pPr>
        <w:pStyle w:val="FootnoteText"/>
        <w:rPr>
          <w:lang w:val="en-US"/>
        </w:rPr>
      </w:pPr>
      <w:r>
        <w:rPr>
          <w:rStyle w:val="FootnoteReference"/>
        </w:rPr>
        <w:footnoteRef/>
      </w:r>
      <w:r>
        <w:t xml:space="preserve"> </w:t>
      </w:r>
      <w:r>
        <w:tab/>
      </w:r>
      <w:r w:rsidRPr="005B277F">
        <w:t>Lawton, B., Brandon, P.R., Cicchinelli, L., &amp; Kekahio, W. (2014). Logic models: A tool for designing and monitoring program evaluations. (REL 2014–007). Washington, DC: U.S. Department of Education, Institute of Education Sciences, National Center for Education Evaluation and Regional Assistance, Regional Educational Laboratory Pacific. Retrieved from http://ies.ed.gov/ncee/edlabs.</w:t>
      </w:r>
    </w:p>
  </w:footnote>
  <w:footnote w:id="58">
    <w:p w14:paraId="39589851" w14:textId="77777777" w:rsidR="0080000B" w:rsidRDefault="0080000B" w:rsidP="00CB555B">
      <w:pPr>
        <w:pStyle w:val="FootnoteText"/>
      </w:pPr>
      <w:r>
        <w:rPr>
          <w:rStyle w:val="FootnoteReference"/>
        </w:rPr>
        <w:footnoteRef/>
      </w:r>
      <w:r>
        <w:t xml:space="preserve"> Note: this is a high level assessment of whether membership includes all State/Territories, Commonwealth and the National Coalition as the three key parties to the National Framework. </w:t>
      </w:r>
    </w:p>
  </w:footnote>
  <w:footnote w:id="59">
    <w:p w14:paraId="16D82E99" w14:textId="77777777" w:rsidR="0080000B" w:rsidRDefault="0080000B" w:rsidP="00CB555B">
      <w:pPr>
        <w:pStyle w:val="FootnoteText"/>
      </w:pPr>
      <w:r>
        <w:rPr>
          <w:rStyle w:val="FootnoteReference"/>
        </w:rPr>
        <w:footnoteRef/>
      </w:r>
      <w:r>
        <w:t xml:space="preserve"> </w:t>
      </w:r>
      <w:r w:rsidRPr="0021484F">
        <w:t>Children and Families Secretaries, ‘Terms of Reference’, document titled ‘Item 2 - Att A_TOR.DOC’, emailed on 2 December 2019.</w:t>
      </w:r>
    </w:p>
  </w:footnote>
  <w:footnote w:id="60">
    <w:p w14:paraId="7E806EE2" w14:textId="77777777" w:rsidR="0080000B" w:rsidRDefault="0080000B" w:rsidP="00CB555B">
      <w:pPr>
        <w:pStyle w:val="FootnoteText"/>
      </w:pPr>
      <w:r>
        <w:rPr>
          <w:rStyle w:val="FootnoteReference"/>
        </w:rPr>
        <w:footnoteRef/>
      </w:r>
      <w:r>
        <w:t xml:space="preserve"> </w:t>
      </w:r>
      <w:r w:rsidRPr="003D41B6">
        <w:rPr>
          <w:szCs w:val="14"/>
          <w:lang w:val="en-US"/>
        </w:rPr>
        <w:t>National Forum for Protecting Australia’s Children, ‘Terms of Reference’, 201</w:t>
      </w:r>
      <w:r>
        <w:rPr>
          <w:szCs w:val="14"/>
          <w:lang w:val="en-US"/>
        </w:rPr>
        <w:t>9</w:t>
      </w:r>
      <w:r w:rsidRPr="003D41B6">
        <w:rPr>
          <w:szCs w:val="14"/>
          <w:lang w:val="en-US"/>
        </w:rPr>
        <w:t>, document titled ‘</w:t>
      </w:r>
      <w:r>
        <w:rPr>
          <w:szCs w:val="14"/>
          <w:lang w:val="en-US"/>
        </w:rPr>
        <w:t xml:space="preserve">Agenda Item 7 – National Forum Terms of Reference.pdf’ emailed 2 December 2019. </w:t>
      </w:r>
    </w:p>
  </w:footnote>
  <w:footnote w:id="61">
    <w:p w14:paraId="202AC2FF" w14:textId="77777777" w:rsidR="0080000B" w:rsidRDefault="0080000B" w:rsidP="00CB555B">
      <w:pPr>
        <w:pStyle w:val="FootnoteText"/>
      </w:pPr>
      <w:r>
        <w:rPr>
          <w:rStyle w:val="FootnoteReference"/>
        </w:rPr>
        <w:footnoteRef/>
      </w:r>
      <w:r>
        <w:t xml:space="preserve"> </w:t>
      </w:r>
      <w:r w:rsidRPr="003D41B6">
        <w:rPr>
          <w:szCs w:val="14"/>
          <w:lang w:val="en-US"/>
        </w:rPr>
        <w:t>Department of Social Services, ‘Third Action Plan 2015-2018’, October 2015, p. 14.</w:t>
      </w:r>
    </w:p>
  </w:footnote>
  <w:footnote w:id="62">
    <w:p w14:paraId="238783E2" w14:textId="77777777" w:rsidR="0080000B" w:rsidRPr="004B0308" w:rsidRDefault="0080000B" w:rsidP="00CB555B">
      <w:pPr>
        <w:pStyle w:val="FootnoteText"/>
        <w:rPr>
          <w:szCs w:val="14"/>
          <w:lang w:val="en-US"/>
        </w:rPr>
      </w:pPr>
      <w:r>
        <w:rPr>
          <w:rStyle w:val="FootnoteReference"/>
        </w:rPr>
        <w:footnoteRef/>
      </w:r>
      <w:r>
        <w:t xml:space="preserve"> </w:t>
      </w:r>
      <w:r w:rsidRPr="003D41B6">
        <w:rPr>
          <w:szCs w:val="14"/>
          <w:lang w:val="en-US"/>
        </w:rPr>
        <w:t>Children and Families Secretaries, ‘Terms of Reference’, document titled, ‘Agenda item 3 - Attachment A Terms of Reference - Aboriginal and Torres Strait Islander .PDF’, emailed on 2 December 2019.</w:t>
      </w:r>
    </w:p>
  </w:footnote>
  <w:footnote w:id="63">
    <w:p w14:paraId="20DB4760" w14:textId="77777777" w:rsidR="0080000B" w:rsidRDefault="0080000B" w:rsidP="00CB555B">
      <w:pPr>
        <w:pStyle w:val="FootnoteText"/>
      </w:pPr>
      <w:r>
        <w:rPr>
          <w:rStyle w:val="FootnoteReference"/>
        </w:rPr>
        <w:footnoteRef/>
      </w:r>
      <w:r>
        <w:t xml:space="preserve"> Note: this is a high level assessment of whether membership includes all State/Territories, Commonwealth and the National Coalition as the three key parties to the National Framework. </w:t>
      </w:r>
    </w:p>
  </w:footnote>
  <w:footnote w:id="64">
    <w:p w14:paraId="174DF24A" w14:textId="77777777" w:rsidR="0080000B" w:rsidRDefault="0080000B" w:rsidP="00CB555B">
      <w:pPr>
        <w:pStyle w:val="FootnoteText"/>
      </w:pPr>
      <w:r>
        <w:rPr>
          <w:rStyle w:val="FootnoteReference"/>
        </w:rPr>
        <w:footnoteRef/>
      </w:r>
      <w:r>
        <w:t xml:space="preserve"> </w:t>
      </w:r>
      <w:r w:rsidRPr="0021484F">
        <w:t>Children and Families Secretaries, ‘Terms of Reference’, document titled ‘Item 2 - Att A_TOR.DOC’, emailed on 2 December 2019.</w:t>
      </w:r>
    </w:p>
  </w:footnote>
  <w:footnote w:id="65">
    <w:p w14:paraId="2454AE24" w14:textId="77777777" w:rsidR="0080000B" w:rsidRDefault="0080000B" w:rsidP="00CB555B">
      <w:pPr>
        <w:pStyle w:val="FootnoteText"/>
      </w:pPr>
      <w:r>
        <w:rPr>
          <w:rStyle w:val="FootnoteReference"/>
        </w:rPr>
        <w:footnoteRef/>
      </w:r>
      <w:r>
        <w:t xml:space="preserve"> </w:t>
      </w:r>
      <w:r w:rsidRPr="003D41B6">
        <w:rPr>
          <w:szCs w:val="14"/>
          <w:lang w:val="en-US"/>
        </w:rPr>
        <w:t>National Forum for Protecting Australia’s Children, ‘Terms of Reference’, 2014, document titled ‘216_Att_A.PDF’, accessed 12 December 2019</w:t>
      </w:r>
    </w:p>
  </w:footnote>
  <w:footnote w:id="66">
    <w:p w14:paraId="5FA969D3" w14:textId="77777777" w:rsidR="0080000B" w:rsidRDefault="0080000B" w:rsidP="00CB555B">
      <w:pPr>
        <w:pStyle w:val="FootnoteText"/>
      </w:pPr>
      <w:r>
        <w:rPr>
          <w:rStyle w:val="FootnoteReference"/>
        </w:rPr>
        <w:footnoteRef/>
      </w:r>
      <w:r>
        <w:t xml:space="preserve"> </w:t>
      </w:r>
      <w:r w:rsidRPr="003D41B6">
        <w:rPr>
          <w:szCs w:val="14"/>
          <w:lang w:val="en-US"/>
        </w:rPr>
        <w:t>Children and Families Secretaries, ‘</w:t>
      </w:r>
      <w:r w:rsidRPr="003E2FAF">
        <w:rPr>
          <w:szCs w:val="14"/>
          <w:lang w:val="en-US"/>
        </w:rPr>
        <w:t>Children and Families Data Network (CAFDaN)</w:t>
      </w:r>
      <w:r>
        <w:rPr>
          <w:szCs w:val="14"/>
          <w:lang w:val="en-US"/>
        </w:rPr>
        <w:t>’</w:t>
      </w:r>
      <w:r w:rsidRPr="003D41B6">
        <w:rPr>
          <w:szCs w:val="14"/>
          <w:lang w:val="en-US"/>
        </w:rPr>
        <w:t>, document titled</w:t>
      </w:r>
      <w:r w:rsidRPr="003D41B6">
        <w:rPr>
          <w:szCs w:val="14"/>
        </w:rPr>
        <w:t xml:space="preserve"> ‘15 February 2019 CAFS - Item 4 - Attachment </w:t>
      </w:r>
      <w:r>
        <w:rPr>
          <w:szCs w:val="14"/>
        </w:rPr>
        <w:t>F</w:t>
      </w:r>
      <w:r w:rsidRPr="003D41B6">
        <w:rPr>
          <w:szCs w:val="14"/>
        </w:rPr>
        <w:t xml:space="preserve"> - Terms of Reference for </w:t>
      </w:r>
      <w:r>
        <w:rPr>
          <w:szCs w:val="14"/>
        </w:rPr>
        <w:t>CAFDaN</w:t>
      </w:r>
      <w:r w:rsidRPr="003D41B6">
        <w:rPr>
          <w:szCs w:val="14"/>
        </w:rPr>
        <w:t xml:space="preserve">.DOCX’, </w:t>
      </w:r>
      <w:r w:rsidRPr="003D41B6">
        <w:rPr>
          <w:szCs w:val="14"/>
          <w:lang w:val="en-US"/>
        </w:rPr>
        <w:t>emailed 2 December 2019</w:t>
      </w:r>
    </w:p>
  </w:footnote>
  <w:footnote w:id="67">
    <w:p w14:paraId="014DC030" w14:textId="77777777" w:rsidR="0080000B" w:rsidRDefault="0080000B" w:rsidP="00CB555B">
      <w:pPr>
        <w:pStyle w:val="FootnoteText"/>
      </w:pPr>
      <w:r>
        <w:rPr>
          <w:rStyle w:val="FootnoteReference"/>
        </w:rPr>
        <w:footnoteRef/>
      </w:r>
      <w:r>
        <w:t xml:space="preserve"> </w:t>
      </w:r>
      <w:r w:rsidRPr="00915EDF">
        <w:t>Children and Families Secretaries, ‘Aboriginal and Torres Strait Islander Working Group (Priority One) Terms of Reference’, document titled, ‘6.2 - Att 1 - Priority One Working Group Terms of Reference.docx’, emailed 2 December 2019.</w:t>
      </w:r>
    </w:p>
  </w:footnote>
  <w:footnote w:id="68">
    <w:p w14:paraId="1ED2A092" w14:textId="77777777" w:rsidR="0080000B" w:rsidRDefault="0080000B" w:rsidP="00CB555B">
      <w:pPr>
        <w:pStyle w:val="FootnoteText"/>
      </w:pPr>
      <w:r>
        <w:rPr>
          <w:rStyle w:val="FootnoteReference"/>
        </w:rPr>
        <w:footnoteRef/>
      </w:r>
      <w:r>
        <w:t xml:space="preserve"> Children and Families secretaries, ‘ Early Intervention and Prevention Working Group  (Priority Two) Terms of Reference’, document titled, ‘6.3 attachment A: P2WG Terms of Reference.DOCX’, emailed 2 December 2019. </w:t>
      </w:r>
    </w:p>
  </w:footnote>
  <w:footnote w:id="69">
    <w:p w14:paraId="1166BE2F" w14:textId="77777777" w:rsidR="0080000B" w:rsidRDefault="0080000B" w:rsidP="00CB555B">
      <w:pPr>
        <w:pStyle w:val="FootnoteText"/>
      </w:pPr>
      <w:r>
        <w:rPr>
          <w:rStyle w:val="FootnoteReference"/>
        </w:rPr>
        <w:footnoteRef/>
      </w:r>
      <w:r>
        <w:t xml:space="preserve"> </w:t>
      </w:r>
      <w:r w:rsidRPr="00915EDF">
        <w:t>Children and Families Secretaries, ‘Permanency Working Group (Priority Three) Terms of Reference’, document titled, ‘15 February 2019 CAFS - Item 4 - Attachment C - Permanency Working Group.DOCX’, emailed 2 December 2019.</w:t>
      </w:r>
    </w:p>
  </w:footnote>
  <w:footnote w:id="70">
    <w:p w14:paraId="2D9AD872" w14:textId="77777777" w:rsidR="0080000B" w:rsidRPr="004B0308" w:rsidRDefault="0080000B" w:rsidP="00CB555B">
      <w:pPr>
        <w:pStyle w:val="FootnoteText"/>
        <w:rPr>
          <w:szCs w:val="14"/>
          <w:lang w:val="en-US"/>
        </w:rPr>
      </w:pPr>
      <w:r>
        <w:rPr>
          <w:rStyle w:val="FootnoteReference"/>
        </w:rPr>
        <w:footnoteRef/>
      </w:r>
      <w:r>
        <w:t xml:space="preserve"> </w:t>
      </w:r>
      <w:r w:rsidRPr="003D41B6">
        <w:rPr>
          <w:szCs w:val="14"/>
          <w:lang w:val="en-US"/>
        </w:rPr>
        <w:t>Children and Families Secretaries, ‘Terms of Reference’, document titled, ‘Agenda item 3 - Attachment A Terms of Reference - Aboriginal and Torres Strait Islander .PDF’, emailed on 2 December 2019.</w:t>
      </w:r>
    </w:p>
  </w:footnote>
  <w:footnote w:id="71">
    <w:p w14:paraId="286E548F" w14:textId="77777777" w:rsidR="0080000B" w:rsidRPr="008B518A" w:rsidRDefault="0080000B" w:rsidP="00E007A4">
      <w:pPr>
        <w:pStyle w:val="FootnoteText"/>
        <w:rPr>
          <w:lang w:val="en-US"/>
        </w:rPr>
      </w:pPr>
      <w:r>
        <w:rPr>
          <w:rStyle w:val="FootnoteReference"/>
        </w:rPr>
        <w:footnoteRef/>
      </w:r>
      <w:r>
        <w:t xml:space="preserve"> </w:t>
      </w:r>
      <w:r w:rsidRPr="0003619F">
        <w:rPr>
          <w:szCs w:val="14"/>
        </w:rPr>
        <w:t xml:space="preserve">UN General Assembly, </w:t>
      </w:r>
      <w:r w:rsidRPr="0003619F">
        <w:rPr>
          <w:i/>
          <w:iCs/>
          <w:szCs w:val="14"/>
        </w:rPr>
        <w:t>United Nations Declaration on the Rights of Indigenous Peoples</w:t>
      </w:r>
      <w:r w:rsidRPr="0003619F">
        <w:rPr>
          <w:szCs w:val="14"/>
        </w:rPr>
        <w:t>, 13 September 2007,United Nations, Art 1 and 7, available at:</w:t>
      </w:r>
      <w:r w:rsidRPr="004A4C71">
        <w:t xml:space="preserve"> </w:t>
      </w:r>
      <w:hyperlink r:id="rId20" w:history="1">
        <w:r w:rsidRPr="004A4C71">
          <w:rPr>
            <w:rStyle w:val="Hyperlink1"/>
            <w:color w:val="auto"/>
          </w:rPr>
          <w:t>https://www.un.org/development/desa/indigenouspeoples/wp-content/uploads/sites/19/2018/11/UNDRIP_E_web.pdf</w:t>
        </w:r>
      </w:hyperlink>
      <w:r w:rsidRPr="0003619F">
        <w:rPr>
          <w:szCs w:val="14"/>
        </w:rPr>
        <w:t xml:space="preserve"> [accessed 12 December 2019]</w:t>
      </w:r>
    </w:p>
  </w:footnote>
  <w:footnote w:id="72">
    <w:p w14:paraId="2BAECA8E" w14:textId="77777777" w:rsidR="0080000B" w:rsidRPr="008B518A" w:rsidRDefault="0080000B" w:rsidP="00E007A4">
      <w:pPr>
        <w:pStyle w:val="FootnoteText"/>
        <w:rPr>
          <w:lang w:val="en-US"/>
        </w:rPr>
      </w:pPr>
      <w:r>
        <w:rPr>
          <w:rStyle w:val="FootnoteReference"/>
        </w:rPr>
        <w:footnoteRef/>
      </w:r>
      <w:r>
        <w:t xml:space="preserve"> </w:t>
      </w:r>
      <w:r w:rsidRPr="0003619F">
        <w:rPr>
          <w:szCs w:val="14"/>
        </w:rPr>
        <w:t xml:space="preserve">UN General Assembly, </w:t>
      </w:r>
      <w:r w:rsidRPr="0003619F">
        <w:rPr>
          <w:i/>
          <w:iCs/>
          <w:szCs w:val="14"/>
        </w:rPr>
        <w:t>United Nations Declaration on the Rights of Indigenous Peoples</w:t>
      </w:r>
      <w:r w:rsidRPr="0003619F">
        <w:rPr>
          <w:szCs w:val="14"/>
        </w:rPr>
        <w:t>, 13 September 2007,United Nations, Art 21 and 24, available at:</w:t>
      </w:r>
      <w:r w:rsidRPr="004A4C71">
        <w:t xml:space="preserve"> </w:t>
      </w:r>
      <w:hyperlink r:id="rId21" w:history="1">
        <w:r w:rsidRPr="004A4C71">
          <w:rPr>
            <w:rStyle w:val="Hyperlink1"/>
            <w:color w:val="auto"/>
          </w:rPr>
          <w:t>https://www.un.org/development/desa/indigenouspeoples/wp-content/uploads/sites/19/2018/11/UNDRIP_E_web.pdf</w:t>
        </w:r>
      </w:hyperlink>
      <w:r w:rsidRPr="0003619F">
        <w:rPr>
          <w:szCs w:val="14"/>
        </w:rPr>
        <w:t xml:space="preserve"> [accessed 12 December 2019]</w:t>
      </w:r>
    </w:p>
  </w:footnote>
  <w:footnote w:id="73">
    <w:p w14:paraId="6B9D6830" w14:textId="77777777" w:rsidR="0080000B" w:rsidRPr="007901EB" w:rsidRDefault="0080000B" w:rsidP="00E007A4">
      <w:pPr>
        <w:pStyle w:val="FootnoteText"/>
        <w:rPr>
          <w:lang w:val="en-US"/>
        </w:rPr>
      </w:pPr>
      <w:r>
        <w:rPr>
          <w:rStyle w:val="FootnoteReference"/>
        </w:rPr>
        <w:footnoteRef/>
      </w:r>
      <w:r>
        <w:t xml:space="preserve"> </w:t>
      </w:r>
      <w:r>
        <w:rPr>
          <w:lang w:val="en-US"/>
        </w:rPr>
        <w:t xml:space="preserve">AIHW, Family, domestic and sexual violence in Australia 2018, </w:t>
      </w:r>
      <w:r w:rsidRPr="007901EB">
        <w:rPr>
          <w:i/>
          <w:lang w:val="en-US"/>
        </w:rPr>
        <w:t>Family violence is worse for Aboriginal and Torres Strait Islander people</w:t>
      </w:r>
      <w:r>
        <w:rPr>
          <w:lang w:val="en-US"/>
        </w:rPr>
        <w:t xml:space="preserve">, 28 February 2018, available </w:t>
      </w:r>
      <w:r w:rsidRPr="007901EB">
        <w:rPr>
          <w:lang w:val="en-US"/>
        </w:rPr>
        <w:t xml:space="preserve">at: </w:t>
      </w:r>
      <w:hyperlink r:id="rId22" w:history="1">
        <w:r w:rsidRPr="007901EB">
          <w:rPr>
            <w:rStyle w:val="Hyperlink1"/>
            <w:color w:val="auto"/>
          </w:rPr>
          <w:t>https://www.aihw.gov.au/reports/domestic-violence/family-domestic-sexual-violence-in-australia-2018/contents/summary</w:t>
        </w:r>
      </w:hyperlink>
      <w:r w:rsidRPr="007901EB">
        <w:t xml:space="preserve"> [accessed 12 December 2019]</w:t>
      </w:r>
    </w:p>
  </w:footnote>
  <w:footnote w:id="74">
    <w:p w14:paraId="10B2DD48" w14:textId="77777777" w:rsidR="0080000B" w:rsidRPr="008B518A" w:rsidRDefault="0080000B" w:rsidP="00E007A4">
      <w:pPr>
        <w:pStyle w:val="FootnoteText"/>
        <w:rPr>
          <w:lang w:val="en-US"/>
        </w:rPr>
      </w:pPr>
      <w:r>
        <w:rPr>
          <w:rStyle w:val="FootnoteReference"/>
        </w:rPr>
        <w:footnoteRef/>
      </w:r>
      <w:r>
        <w:t xml:space="preserve"> </w:t>
      </w:r>
      <w:r w:rsidRPr="0003619F">
        <w:rPr>
          <w:szCs w:val="14"/>
        </w:rPr>
        <w:t xml:space="preserve">UN General Assembly, </w:t>
      </w:r>
      <w:r w:rsidRPr="0003619F">
        <w:rPr>
          <w:i/>
          <w:iCs/>
          <w:szCs w:val="14"/>
        </w:rPr>
        <w:t>United Nations Declaration on the Rights of Indigenous Peoples</w:t>
      </w:r>
      <w:r w:rsidRPr="0003619F">
        <w:rPr>
          <w:szCs w:val="14"/>
        </w:rPr>
        <w:t>, 13 September 2007,United Nations, Art 22, available at:</w:t>
      </w:r>
      <w:r w:rsidRPr="004A4C71">
        <w:t xml:space="preserve"> </w:t>
      </w:r>
      <w:hyperlink r:id="rId23" w:history="1">
        <w:r w:rsidRPr="004A4C71">
          <w:rPr>
            <w:rStyle w:val="Hyperlink1"/>
            <w:color w:val="auto"/>
          </w:rPr>
          <w:t>https://www.un.org/development/desa/indigenouspeoples/wp-content/uploads/sites/19/2018/11/UNDRIP_E_web.pdf</w:t>
        </w:r>
      </w:hyperlink>
      <w:r w:rsidRPr="0003619F">
        <w:rPr>
          <w:szCs w:val="14"/>
        </w:rPr>
        <w:t xml:space="preserve"> [accessed 12 December 2019]</w:t>
      </w:r>
    </w:p>
  </w:footnote>
  <w:footnote w:id="75">
    <w:p w14:paraId="38DFDB50" w14:textId="77777777" w:rsidR="0080000B" w:rsidRPr="00DE1B51" w:rsidRDefault="0080000B" w:rsidP="00E007A4">
      <w:pPr>
        <w:pStyle w:val="FootnoteText"/>
        <w:rPr>
          <w:lang w:val="en-US"/>
        </w:rPr>
      </w:pPr>
      <w:r>
        <w:rPr>
          <w:rStyle w:val="FootnoteReference"/>
        </w:rPr>
        <w:footnoteRef/>
      </w:r>
      <w:r>
        <w:t xml:space="preserve"> </w:t>
      </w:r>
      <w:r w:rsidRPr="0003619F">
        <w:rPr>
          <w:szCs w:val="14"/>
        </w:rPr>
        <w:t xml:space="preserve">UN General Assembly, </w:t>
      </w:r>
      <w:r w:rsidRPr="0003619F">
        <w:rPr>
          <w:i/>
          <w:iCs/>
          <w:szCs w:val="14"/>
        </w:rPr>
        <w:t>United Nations Declaration on the Rights of Indigenous Peoples</w:t>
      </w:r>
      <w:r w:rsidRPr="0003619F">
        <w:rPr>
          <w:szCs w:val="14"/>
        </w:rPr>
        <w:t>, 13 September 2007,United Nations, Art 3, 4, 5 and 8, available at:</w:t>
      </w:r>
      <w:r w:rsidRPr="004A4C71">
        <w:t xml:space="preserve"> </w:t>
      </w:r>
      <w:hyperlink r:id="rId24" w:history="1">
        <w:r w:rsidRPr="004A4C71">
          <w:rPr>
            <w:rStyle w:val="Hyperlink1"/>
            <w:color w:val="auto"/>
          </w:rPr>
          <w:t>https://www.un.org/development/desa/indigenouspeoples/wp-content/uploads/sites/19/2018/11/UNDRIP_E_web.pdf</w:t>
        </w:r>
      </w:hyperlink>
      <w:r w:rsidRPr="0003619F">
        <w:rPr>
          <w:szCs w:val="14"/>
        </w:rPr>
        <w:t xml:space="preserve"> [accessed 12 December 2019]</w:t>
      </w:r>
    </w:p>
  </w:footnote>
  <w:footnote w:id="76">
    <w:p w14:paraId="7EED62D3" w14:textId="77777777" w:rsidR="0080000B" w:rsidRPr="00DE1B51" w:rsidRDefault="0080000B" w:rsidP="00E007A4">
      <w:pPr>
        <w:pStyle w:val="FootnoteText"/>
        <w:rPr>
          <w:lang w:val="en-US"/>
        </w:rPr>
      </w:pPr>
      <w:r>
        <w:rPr>
          <w:rStyle w:val="FootnoteReference"/>
        </w:rPr>
        <w:footnoteRef/>
      </w:r>
      <w:r>
        <w:t xml:space="preserve"> </w:t>
      </w:r>
      <w:r w:rsidRPr="001C72A5">
        <w:rPr>
          <w:szCs w:val="14"/>
          <w:lang w:val="en-US"/>
        </w:rPr>
        <w:t xml:space="preserve">Department of Social Services, ‘National Framework for Protecting Australia’s Children 2009-2020’, p. </w:t>
      </w:r>
      <w:r>
        <w:rPr>
          <w:szCs w:val="14"/>
          <w:lang w:val="en-US"/>
        </w:rPr>
        <w:t>29.</w:t>
      </w:r>
    </w:p>
  </w:footnote>
  <w:footnote w:id="77">
    <w:p w14:paraId="73F545E4" w14:textId="77777777" w:rsidR="0080000B" w:rsidRDefault="0080000B" w:rsidP="00080744">
      <w:pPr>
        <w:pStyle w:val="FootnoteText"/>
      </w:pPr>
      <w:r>
        <w:rPr>
          <w:rStyle w:val="FootnoteReference"/>
        </w:rPr>
        <w:footnoteRef/>
      </w:r>
      <w:r>
        <w:t xml:space="preserve"> </w:t>
      </w:r>
      <w:r>
        <w:tab/>
        <w:t xml:space="preserve">Funding and activity information provided by DSS in emails dated; 9 December 2019 and 21 January 2020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7E657" w14:textId="77777777" w:rsidR="008400BD" w:rsidRDefault="008400B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0A715" w14:textId="76312BD9" w:rsidR="0080000B" w:rsidRPr="008E1742" w:rsidRDefault="0080000B" w:rsidP="008E1742">
    <w:pPr>
      <w:pStyle w:val="Header-Even"/>
    </w:pPr>
    <w:r>
      <w:rPr>
        <w:noProof/>
        <w:snapToGrid/>
        <w:lang w:eastAsia="en-AU"/>
      </w:rPr>
      <w:fldChar w:fldCharType="begin"/>
    </w:r>
    <w:r>
      <w:rPr>
        <w:noProof/>
        <w:snapToGrid/>
        <w:lang w:eastAsia="en-AU"/>
      </w:rPr>
      <w:instrText xml:space="preserve"> STYLEREF "Heading 2" </w:instrText>
    </w:r>
    <w:r>
      <w:rPr>
        <w:noProof/>
        <w:snapToGrid/>
        <w:lang w:eastAsia="en-AU"/>
      </w:rPr>
      <w:fldChar w:fldCharType="separate"/>
    </w:r>
    <w:r>
      <w:rPr>
        <w:noProof/>
        <w:snapToGrid/>
        <w:lang w:eastAsia="en-AU"/>
      </w:rPr>
      <w:t>This evaluation</w:t>
    </w:r>
    <w:r>
      <w:rPr>
        <w:noProof/>
        <w:snapToGrid/>
        <w:lang w:eastAsia="en-AU"/>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0320A" w14:textId="0A91F66C" w:rsidR="0080000B" w:rsidRPr="00787C2E" w:rsidRDefault="0080000B" w:rsidP="008E1742">
    <w:pPr>
      <w:pStyle w:val="Header"/>
    </w:pPr>
    <w:r w:rsidRPr="00787C2E">
      <w:rPr>
        <w:noProof/>
        <w:snapToGrid/>
        <w:lang w:eastAsia="en-AU"/>
      </w:rPr>
      <w:fldChar w:fldCharType="begin"/>
    </w:r>
    <w:r w:rsidRPr="00787C2E">
      <w:rPr>
        <w:noProof/>
        <w:snapToGrid/>
        <w:lang w:eastAsia="en-AU"/>
      </w:rPr>
      <w:instrText xml:space="preserve"> STYLEREF "Heading 2" </w:instrText>
    </w:r>
    <w:r w:rsidRPr="00787C2E">
      <w:rPr>
        <w:noProof/>
        <w:snapToGrid/>
        <w:lang w:eastAsia="en-AU"/>
      </w:rPr>
      <w:fldChar w:fldCharType="separate"/>
    </w:r>
    <w:r w:rsidR="002E4FA6">
      <w:rPr>
        <w:noProof/>
        <w:snapToGrid/>
        <w:lang w:eastAsia="en-AU"/>
      </w:rPr>
      <w:t>Background</w:t>
    </w:r>
    <w:r w:rsidRPr="00787C2E">
      <w:rPr>
        <w:noProof/>
        <w:snapToGrid/>
        <w:lang w:eastAsia="en-AU"/>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67C5C" w14:textId="77777777" w:rsidR="0080000B" w:rsidRDefault="0080000B" w:rsidP="00564AF1">
    <w:pPr>
      <w:pStyle w:val="Header-FirstPag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B2051" w14:textId="0B2144D7" w:rsidR="0080000B" w:rsidRPr="008E1742" w:rsidRDefault="001321C9" w:rsidP="008B29D9">
    <w:pPr>
      <w:pStyle w:val="Header-Landscape"/>
    </w:pPr>
    <w:r>
      <w:rPr>
        <w:noProof/>
      </w:rPr>
      <w:pict w14:anchorId="5605D8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5" type="#_x0000_t136" style="position:absolute;margin-left:0;margin-top:0;width:412.4pt;height:247.45pt;rotation:315;z-index:-251529728;mso-position-horizontal:center;mso-position-horizontal-relative:margin;mso-position-vertical:center;mso-position-vertical-relative:margin" o:allowincell="f" fillcolor="#d8d8d8" stroked="f">
          <v:textpath style="font-family:&quot;Calibri&quot;;font-size:1pt" string="DRAFT"/>
          <w10:wrap anchorx="margin" anchory="margin"/>
        </v:shape>
      </w:pict>
    </w:r>
    <w:r w:rsidR="0080000B">
      <w:rPr>
        <w:noProof/>
        <w:snapToGrid/>
        <w:lang w:eastAsia="en-AU"/>
      </w:rPr>
      <w:fldChar w:fldCharType="begin"/>
    </w:r>
    <w:r w:rsidR="0080000B">
      <w:rPr>
        <w:noProof/>
        <w:snapToGrid/>
        <w:lang w:eastAsia="en-AU"/>
      </w:rPr>
      <w:instrText xml:space="preserve"> STYLEREF "Heading 2" </w:instrText>
    </w:r>
    <w:r w:rsidR="0080000B">
      <w:rPr>
        <w:noProof/>
        <w:snapToGrid/>
        <w:lang w:eastAsia="en-AU"/>
      </w:rPr>
      <w:fldChar w:fldCharType="separate"/>
    </w:r>
    <w:r w:rsidR="0080000B">
      <w:rPr>
        <w:noProof/>
        <w:snapToGrid/>
        <w:lang w:eastAsia="en-AU"/>
      </w:rPr>
      <w:t>Background</w:t>
    </w:r>
    <w:r w:rsidR="0080000B">
      <w:rPr>
        <w:noProof/>
        <w:snapToGrid/>
        <w:lang w:eastAsia="en-AU"/>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5CE39" w14:textId="21FFCEFE" w:rsidR="0080000B" w:rsidRPr="007A6E98" w:rsidRDefault="0080000B" w:rsidP="008B29D9">
    <w:pPr>
      <w:pStyle w:val="Header-Landscape"/>
    </w:pPr>
    <w:r w:rsidRPr="007A6E98">
      <w:rPr>
        <w:noProof/>
        <w:snapToGrid/>
        <w:lang w:eastAsia="en-AU"/>
      </w:rPr>
      <w:fldChar w:fldCharType="begin"/>
    </w:r>
    <w:r w:rsidRPr="007A6E98">
      <w:rPr>
        <w:noProof/>
        <w:snapToGrid/>
        <w:lang w:eastAsia="en-AU"/>
      </w:rPr>
      <w:instrText xml:space="preserve"> STYLEREF "Heading 2" </w:instrText>
    </w:r>
    <w:r w:rsidRPr="007A6E98">
      <w:rPr>
        <w:noProof/>
        <w:snapToGrid/>
        <w:lang w:eastAsia="en-AU"/>
      </w:rPr>
      <w:fldChar w:fldCharType="separate"/>
    </w:r>
    <w:r w:rsidR="002E4FA6">
      <w:rPr>
        <w:noProof/>
        <w:snapToGrid/>
        <w:lang w:eastAsia="en-AU"/>
      </w:rPr>
      <w:t>Evaluation question 1: To what extent did the National Framework achieve its intended outcomes and what factors supported or inhibited outcomes?</w:t>
    </w:r>
    <w:r w:rsidRPr="007A6E98">
      <w:rPr>
        <w:noProof/>
        <w:snapToGrid/>
        <w:lang w:eastAsia="en-AU"/>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AEC6B" w14:textId="77777777" w:rsidR="0080000B" w:rsidRDefault="0080000B" w:rsidP="008B29D9">
    <w:pPr>
      <w:pStyle w:val="Header-Landscape"/>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11C45" w14:textId="77777777" w:rsidR="0080000B" w:rsidRPr="008E1742" w:rsidRDefault="0080000B" w:rsidP="008E1742">
    <w:pPr>
      <w:pStyle w:val="Header-Even"/>
    </w:pPr>
    <w:r>
      <w:rPr>
        <w:noProof/>
        <w:lang w:eastAsia="en-AU"/>
      </w:rPr>
      <mc:AlternateContent>
        <mc:Choice Requires="wps">
          <w:drawing>
            <wp:anchor distT="0" distB="0" distL="114300" distR="114300" simplePos="0" relativeHeight="251796992" behindDoc="1" locked="0" layoutInCell="0" allowOverlap="1" wp14:anchorId="3947AB55" wp14:editId="0D84BFE9">
              <wp:simplePos x="0" y="0"/>
              <wp:positionH relativeFrom="margin">
                <wp:align>center</wp:align>
              </wp:positionH>
              <wp:positionV relativeFrom="margin">
                <wp:align>center</wp:align>
              </wp:positionV>
              <wp:extent cx="5237480" cy="3142615"/>
              <wp:effectExtent l="0" t="1143000" r="0" b="65786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7A9030" w14:textId="77777777" w:rsidR="0080000B" w:rsidRDefault="0080000B" w:rsidP="004631E7">
                          <w:pPr>
                            <w:jc w:val="center"/>
                            <w:rPr>
                              <w:sz w:val="24"/>
                              <w:szCs w:val="24"/>
                            </w:rPr>
                          </w:pPr>
                          <w:r>
                            <w:rPr>
                              <w:rFonts w:ascii="Calibri" w:hAnsi="Calibri" w:cs="Calibri"/>
                              <w:color w:val="D8D8D8"/>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947AB55" id="_x0000_t202" coordsize="21600,21600" o:spt="202" path="m,l,21600r21600,l21600,xe">
              <v:stroke joinstyle="miter"/>
              <v:path gradientshapeok="t" o:connecttype="rect"/>
            </v:shapetype>
            <v:shape id="Text Box 15" o:spid="_x0000_s1032" type="#_x0000_t202" style="position:absolute;margin-left:0;margin-top:0;width:412.4pt;height:247.45pt;rotation:-45;z-index:-2515194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" o:allowincell="f" filled="f" stroked="f">
              <v:stroke joinstyle="round"/>
              <o:lock v:ext="edit" shapetype="t"/>
              <v:textbox style="mso-fit-shape-to-text:t">
                <w:txbxContent>
                  <w:p w14:paraId="3A7A9030" w14:textId="77777777" w:rsidR="0080000B" w:rsidRDefault="0080000B" w:rsidP="004631E7">
                    <w:pPr>
                      <w:jc w:val="center"/>
                      <w:rPr>
                        <w:sz w:val="24"/>
                        <w:szCs w:val="24"/>
                      </w:rPr>
                    </w:pPr>
                    <w:r>
                      <w:rPr>
                        <w:rFonts w:ascii="Calibri" w:hAnsi="Calibri" w:cs="Calibri"/>
                        <w:color w:val="D8D8D8"/>
                        <w:sz w:val="2"/>
                        <w:szCs w:val="2"/>
                      </w:rPr>
                      <w:t>DRAFT</w:t>
                    </w:r>
                  </w:p>
                </w:txbxContent>
              </v:textbox>
              <w10:wrap anchorx="margin" anchory="margin"/>
            </v:shape>
          </w:pict>
        </mc:Fallback>
      </mc:AlternateContent>
    </w:r>
    <w:r>
      <w:rPr>
        <w:noProof/>
        <w:snapToGrid/>
        <w:lang w:eastAsia="en-AU"/>
      </w:rPr>
      <w:t>Chapter heading 1</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D8EF2" w14:textId="77777777" w:rsidR="0080000B" w:rsidRPr="007A6E98" w:rsidRDefault="0080000B" w:rsidP="008E1742">
    <w:pPr>
      <w:pStyle w:val="Header"/>
    </w:pPr>
    <w:r>
      <w:rPr>
        <w:noProof/>
        <w:snapToGrid/>
        <w:lang w:eastAsia="en-AU"/>
      </w:rPr>
      <w:t>Evaluation domain 2: How well did the National Framework support the policy agenda for children and young people?</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BB9E6" w14:textId="77777777" w:rsidR="0080000B" w:rsidRDefault="0080000B" w:rsidP="00564AF1">
    <w:pPr>
      <w:pStyle w:val="Header-FirstPage"/>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25351" w14:textId="40877E0A" w:rsidR="0080000B" w:rsidRPr="008E1742" w:rsidRDefault="001321C9" w:rsidP="008B29D9">
    <w:pPr>
      <w:pStyle w:val="Header-Landscape"/>
    </w:pPr>
    <w:r>
      <w:rPr>
        <w:noProof/>
      </w:rPr>
      <w:pict w14:anchorId="38C313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70" type="#_x0000_t136" style="position:absolute;margin-left:0;margin-top:0;width:412.4pt;height:247.45pt;rotation:315;z-index:-251658240;mso-position-horizontal:center;mso-position-horizontal-relative:margin;mso-position-vertical:center;mso-position-vertical-relative:margin" o:allowincell="f" fillcolor="#d8d8d8" stroked="f">
          <v:textpath style="font-family:&quot;Calibri&quot;;font-size:1pt" string="DRAFT"/>
          <w10:wrap anchorx="margin" anchory="margin"/>
        </v:shape>
      </w:pict>
    </w:r>
    <w:r w:rsidR="0080000B">
      <w:rPr>
        <w:noProof/>
        <w:snapToGrid/>
        <w:lang w:eastAsia="en-AU"/>
      </w:rPr>
      <w:fldChar w:fldCharType="begin"/>
    </w:r>
    <w:r w:rsidR="0080000B">
      <w:rPr>
        <w:noProof/>
        <w:snapToGrid/>
        <w:lang w:eastAsia="en-AU"/>
      </w:rPr>
      <w:instrText xml:space="preserve"> STYLEREF "Heading 2" </w:instrText>
    </w:r>
    <w:r w:rsidR="0080000B">
      <w:rPr>
        <w:noProof/>
        <w:snapToGrid/>
        <w:lang w:eastAsia="en-AU"/>
      </w:rPr>
      <w:fldChar w:fldCharType="separate"/>
    </w:r>
    <w:r w:rsidR="0080000B">
      <w:rPr>
        <w:noProof/>
        <w:snapToGrid/>
        <w:lang w:eastAsia="en-AU"/>
      </w:rPr>
      <w:t>Evaluation question 2: How well did the National Framework support the policy agenda for children and young people?</w:t>
    </w:r>
    <w:r w:rsidR="0080000B">
      <w:rPr>
        <w:noProof/>
        <w:snapToGrid/>
        <w:lang w:eastAsia="en-AU"/>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8D922" w14:textId="77777777" w:rsidR="008400BD" w:rsidRDefault="008400B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0174D" w14:textId="47B1C651" w:rsidR="0080000B" w:rsidRPr="007A6E98" w:rsidRDefault="0080000B" w:rsidP="008B29D9">
    <w:pPr>
      <w:pStyle w:val="Header-Landscape"/>
    </w:pPr>
    <w:r w:rsidRPr="007A6E98">
      <w:rPr>
        <w:noProof/>
        <w:snapToGrid/>
        <w:lang w:eastAsia="en-AU"/>
      </w:rPr>
      <w:fldChar w:fldCharType="begin"/>
    </w:r>
    <w:r w:rsidRPr="007A6E98">
      <w:rPr>
        <w:noProof/>
        <w:snapToGrid/>
        <w:lang w:eastAsia="en-AU"/>
      </w:rPr>
      <w:instrText xml:space="preserve"> STYLEREF "Heading 2" </w:instrText>
    </w:r>
    <w:r w:rsidRPr="007A6E98">
      <w:rPr>
        <w:noProof/>
        <w:snapToGrid/>
        <w:lang w:eastAsia="en-AU"/>
      </w:rPr>
      <w:fldChar w:fldCharType="separate"/>
    </w:r>
    <w:r w:rsidR="002E4FA6">
      <w:rPr>
        <w:noProof/>
        <w:snapToGrid/>
        <w:lang w:eastAsia="en-AU"/>
      </w:rPr>
      <w:t>Findings and opportunities</w:t>
    </w:r>
    <w:r w:rsidRPr="007A6E98">
      <w:rPr>
        <w:noProof/>
        <w:snapToGrid/>
        <w:lang w:eastAsia="en-AU"/>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C5521" w14:textId="77777777" w:rsidR="0080000B" w:rsidRDefault="0080000B" w:rsidP="008B29D9">
    <w:pPr>
      <w:pStyle w:val="Header-Landscape"/>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96C43" w14:textId="3838D2F9" w:rsidR="0080000B" w:rsidRPr="008E1742" w:rsidRDefault="0080000B" w:rsidP="00894B3D">
    <w:pPr>
      <w:pStyle w:val="Header-Landscape"/>
    </w:pPr>
    <w:r>
      <w:rPr>
        <w:noProof/>
        <w:lang w:eastAsia="en-AU"/>
      </w:rPr>
      <mc:AlternateContent>
        <mc:Choice Requires="wps">
          <w:drawing>
            <wp:anchor distT="0" distB="0" distL="114300" distR="114300" simplePos="0" relativeHeight="251903488" behindDoc="1" locked="0" layoutInCell="0" allowOverlap="1" wp14:anchorId="2EE05379" wp14:editId="6EEF23C5">
              <wp:simplePos x="0" y="0"/>
              <wp:positionH relativeFrom="margin">
                <wp:align>center</wp:align>
              </wp:positionH>
              <wp:positionV relativeFrom="margin">
                <wp:align>center</wp:align>
              </wp:positionV>
              <wp:extent cx="5237480" cy="3142615"/>
              <wp:effectExtent l="0" t="1143000" r="0" b="65786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38FCB5" w14:textId="77777777" w:rsidR="0080000B" w:rsidRDefault="0080000B" w:rsidP="00587A72">
                          <w:pPr>
                            <w:jc w:val="center"/>
                            <w:rPr>
                              <w:sz w:val="24"/>
                              <w:szCs w:val="24"/>
                            </w:rPr>
                          </w:pPr>
                          <w:r>
                            <w:rPr>
                              <w:rFonts w:ascii="Calibri" w:hAnsi="Calibri" w:cs="Calibri"/>
                              <w:color w:val="D8D8D8"/>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EE05379" id="_x0000_t202" coordsize="21600,21600" o:spt="202" path="m,l,21600r21600,l21600,xe">
              <v:stroke joinstyle="miter"/>
              <v:path gradientshapeok="t" o:connecttype="rect"/>
            </v:shapetype>
            <v:shape id="Text Box 51" o:spid="_x0000_s1033" type="#_x0000_t202" style="position:absolute;margin-left:0;margin-top:0;width:412.4pt;height:247.45pt;rotation:-45;z-index:-251412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" o:allowincell="f" filled="f" stroked="f">
              <v:stroke joinstyle="round"/>
              <o:lock v:ext="edit" shapetype="t"/>
              <v:textbox style="mso-fit-shape-to-text:t">
                <w:txbxContent>
                  <w:p w14:paraId="4238FCB5" w14:textId="77777777" w:rsidR="0080000B" w:rsidRDefault="0080000B" w:rsidP="00587A72">
                    <w:pPr>
                      <w:jc w:val="center"/>
                      <w:rPr>
                        <w:sz w:val="24"/>
                        <w:szCs w:val="24"/>
                      </w:rPr>
                    </w:pPr>
                    <w:r>
                      <w:rPr>
                        <w:rFonts w:ascii="Calibri" w:hAnsi="Calibri" w:cs="Calibri"/>
                        <w:color w:val="D8D8D8"/>
                        <w:sz w:val="2"/>
                        <w:szCs w:val="2"/>
                      </w:rPr>
                      <w:t>DRAFT</w:t>
                    </w:r>
                  </w:p>
                </w:txbxContent>
              </v:textbox>
              <w10:wrap anchorx="margin" anchory="margin"/>
            </v:shape>
          </w:pict>
        </mc:Fallback>
      </mc:AlternateContent>
    </w:r>
    <w:r>
      <w:rPr>
        <w:noProof/>
        <w:snapToGrid/>
        <w:lang w:eastAsia="en-AU"/>
      </w:rPr>
      <w:fldChar w:fldCharType="begin"/>
    </w:r>
    <w:r>
      <w:rPr>
        <w:noProof/>
        <w:snapToGrid/>
        <w:lang w:eastAsia="en-AU"/>
      </w:rPr>
      <w:instrText xml:space="preserve"> STYLEREF "Heading 2" </w:instrText>
    </w:r>
    <w:r>
      <w:rPr>
        <w:noProof/>
        <w:snapToGrid/>
        <w:lang w:eastAsia="en-AU"/>
      </w:rPr>
      <w:fldChar w:fldCharType="separate"/>
    </w:r>
    <w:r>
      <w:rPr>
        <w:noProof/>
        <w:snapToGrid/>
        <w:lang w:eastAsia="en-AU"/>
      </w:rPr>
      <w:t>Findings and opportunities</w:t>
    </w:r>
    <w:r>
      <w:rPr>
        <w:noProof/>
        <w:snapToGrid/>
        <w:lang w:eastAsia="en-AU"/>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348DF" w14:textId="06F3DC14" w:rsidR="0080000B" w:rsidRPr="007A6E98" w:rsidRDefault="0080000B" w:rsidP="00894B3D">
    <w:pPr>
      <w:pStyle w:val="Header-Landscape"/>
    </w:pPr>
    <w:r w:rsidRPr="007A6E98">
      <w:rPr>
        <w:noProof/>
        <w:snapToGrid/>
        <w:lang w:eastAsia="en-AU"/>
      </w:rPr>
      <w:fldChar w:fldCharType="begin"/>
    </w:r>
    <w:r w:rsidRPr="007A6E98">
      <w:rPr>
        <w:noProof/>
        <w:snapToGrid/>
        <w:lang w:eastAsia="en-AU"/>
      </w:rPr>
      <w:instrText xml:space="preserve"> STYLEREF "Heading 2" </w:instrText>
    </w:r>
    <w:r w:rsidRPr="007A6E98">
      <w:rPr>
        <w:noProof/>
        <w:snapToGrid/>
        <w:lang w:eastAsia="en-AU"/>
      </w:rPr>
      <w:fldChar w:fldCharType="separate"/>
    </w:r>
    <w:r w:rsidR="002E4FA6">
      <w:rPr>
        <w:noProof/>
        <w:snapToGrid/>
        <w:lang w:eastAsia="en-AU"/>
      </w:rPr>
      <w:t>Findings and opportunities</w:t>
    </w:r>
    <w:r w:rsidRPr="007A6E98">
      <w:rPr>
        <w:noProof/>
        <w:snapToGrid/>
        <w:lang w:eastAsia="en-AU"/>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CD08A" w14:textId="77777777" w:rsidR="0080000B" w:rsidRDefault="0080000B" w:rsidP="00894B3D">
    <w:pPr>
      <w:pStyle w:val="Header-Landscape"/>
    </w:pPr>
    <w:r>
      <w:rPr>
        <w:noProof/>
        <w:lang w:eastAsia="en-AU"/>
      </w:rPr>
      <mc:AlternateContent>
        <mc:Choice Requires="wps">
          <w:drawing>
            <wp:anchor distT="0" distB="0" distL="114300" distR="114300" simplePos="0" relativeHeight="251902464" behindDoc="1" locked="0" layoutInCell="0" allowOverlap="1" wp14:anchorId="673C1C19" wp14:editId="080EDBB4">
              <wp:simplePos x="0" y="0"/>
              <wp:positionH relativeFrom="margin">
                <wp:align>center</wp:align>
              </wp:positionH>
              <wp:positionV relativeFrom="margin">
                <wp:align>center</wp:align>
              </wp:positionV>
              <wp:extent cx="5237480" cy="3142615"/>
              <wp:effectExtent l="0" t="1143000" r="0" b="65786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C84826" w14:textId="77777777" w:rsidR="0080000B" w:rsidRDefault="0080000B" w:rsidP="00587A72">
                          <w:pPr>
                            <w:jc w:val="center"/>
                            <w:rPr>
                              <w:sz w:val="24"/>
                              <w:szCs w:val="24"/>
                            </w:rPr>
                          </w:pPr>
                          <w:r>
                            <w:rPr>
                              <w:rFonts w:ascii="Calibri" w:hAnsi="Calibri" w:cs="Calibri"/>
                              <w:color w:val="D8D8D8"/>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73C1C19" id="_x0000_t202" coordsize="21600,21600" o:spt="202" path="m,l,21600r21600,l21600,xe">
              <v:stroke joinstyle="miter"/>
              <v:path gradientshapeok="t" o:connecttype="rect"/>
            </v:shapetype>
            <v:shape id="Text Box 49" o:spid="_x0000_s1034" type="#_x0000_t202" style="position:absolute;margin-left:0;margin-top:0;width:412.4pt;height:247.45pt;rotation:-45;z-index:-251414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" o:allowincell="f" filled="f" stroked="f">
              <v:stroke joinstyle="round"/>
              <o:lock v:ext="edit" shapetype="t"/>
              <v:textbox style="mso-fit-shape-to-text:t">
                <w:txbxContent>
                  <w:p w14:paraId="79C84826" w14:textId="77777777" w:rsidR="0080000B" w:rsidRDefault="0080000B" w:rsidP="00587A72">
                    <w:pPr>
                      <w:jc w:val="center"/>
                      <w:rPr>
                        <w:sz w:val="24"/>
                        <w:szCs w:val="24"/>
                      </w:rPr>
                    </w:pPr>
                    <w:r>
                      <w:rPr>
                        <w:rFonts w:ascii="Calibri" w:hAnsi="Calibri" w:cs="Calibri"/>
                        <w:color w:val="D8D8D8"/>
                        <w:sz w:val="2"/>
                        <w:szCs w:val="2"/>
                      </w:rPr>
                      <w:t>DRAFT</w:t>
                    </w:r>
                  </w:p>
                </w:txbxContent>
              </v:textbox>
              <w10:wrap anchorx="margin" anchory="margin"/>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4C8F5" w14:textId="4961978B" w:rsidR="0080000B" w:rsidRPr="008E1742" w:rsidRDefault="0080000B" w:rsidP="008B29D9">
    <w:pPr>
      <w:pStyle w:val="Header-Landscape"/>
    </w:pPr>
    <w:r>
      <w:rPr>
        <w:noProof/>
        <w:snapToGrid/>
        <w:lang w:eastAsia="en-AU"/>
      </w:rPr>
      <w:fldChar w:fldCharType="begin"/>
    </w:r>
    <w:r>
      <w:rPr>
        <w:noProof/>
        <w:snapToGrid/>
        <w:lang w:eastAsia="en-AU"/>
      </w:rPr>
      <w:instrText xml:space="preserve"> STYLEREF "Heading 2" </w:instrText>
    </w:r>
    <w:r>
      <w:rPr>
        <w:noProof/>
        <w:snapToGrid/>
        <w:lang w:eastAsia="en-AU"/>
      </w:rPr>
      <w:fldChar w:fldCharType="separate"/>
    </w:r>
    <w:r>
      <w:rPr>
        <w:noProof/>
        <w:snapToGrid/>
        <w:lang w:eastAsia="en-AU"/>
      </w:rPr>
      <w:t>Findings and opportunities</w:t>
    </w:r>
    <w:r>
      <w:rPr>
        <w:noProof/>
        <w:snapToGrid/>
        <w:lang w:eastAsia="en-AU"/>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9631B" w14:textId="4B1624F6" w:rsidR="0080000B" w:rsidRPr="007A6E98" w:rsidRDefault="0080000B" w:rsidP="008B29D9">
    <w:pPr>
      <w:pStyle w:val="Header-Landscape"/>
    </w:pPr>
    <w:r w:rsidRPr="007A6E98">
      <w:rPr>
        <w:noProof/>
        <w:snapToGrid/>
        <w:lang w:eastAsia="en-AU"/>
      </w:rPr>
      <w:fldChar w:fldCharType="begin"/>
    </w:r>
    <w:r w:rsidRPr="007A6E98">
      <w:rPr>
        <w:noProof/>
        <w:snapToGrid/>
        <w:lang w:eastAsia="en-AU"/>
      </w:rPr>
      <w:instrText xml:space="preserve"> STYLEREF "Heading 2" </w:instrText>
    </w:r>
    <w:r w:rsidRPr="007A6E98">
      <w:rPr>
        <w:noProof/>
        <w:snapToGrid/>
        <w:lang w:eastAsia="en-AU"/>
      </w:rPr>
      <w:fldChar w:fldCharType="separate"/>
    </w:r>
    <w:r>
      <w:rPr>
        <w:noProof/>
        <w:snapToGrid/>
        <w:lang w:eastAsia="en-AU"/>
      </w:rPr>
      <w:t>Findings and opportunities</w:t>
    </w:r>
    <w:r w:rsidRPr="007A6E98">
      <w:rPr>
        <w:noProof/>
        <w:snapToGrid/>
        <w:lang w:eastAsia="en-AU"/>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6C44A" w14:textId="77777777" w:rsidR="0080000B" w:rsidRDefault="0080000B" w:rsidP="008B29D9">
    <w:pPr>
      <w:pStyle w:val="Header-Landscape"/>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8D468" w14:textId="65B8D8AF" w:rsidR="0080000B" w:rsidRPr="009B05E3" w:rsidRDefault="0080000B" w:rsidP="00574287">
    <w:pPr>
      <w:pStyle w:val="Header-Even"/>
    </w:pPr>
    <w:r>
      <w:rPr>
        <w:noProof/>
      </w:rPr>
      <w:fldChar w:fldCharType="begin"/>
    </w:r>
    <w:r>
      <w:rPr>
        <w:noProof/>
      </w:rPr>
      <w:instrText xml:space="preserve"> STYLEREF "Heading 4" </w:instrText>
    </w:r>
    <w:r>
      <w:rPr>
        <w:noProof/>
      </w:rPr>
      <w:fldChar w:fldCharType="separate"/>
    </w:r>
    <w:r>
      <w:rPr>
        <w:noProof/>
      </w:rPr>
      <w:t>Evaluation Approach</w:t>
    </w:r>
    <w:r>
      <w:rPr>
        <w:noProof/>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3D009" w14:textId="4407A42E" w:rsidR="0080000B" w:rsidRPr="009B05E3" w:rsidRDefault="0080000B" w:rsidP="009B05E3">
    <w:pPr>
      <w:pStyle w:val="Header"/>
    </w:pPr>
    <w:r>
      <w:rPr>
        <w:noProof/>
      </w:rPr>
      <w:fldChar w:fldCharType="begin"/>
    </w:r>
    <w:r>
      <w:rPr>
        <w:noProof/>
      </w:rPr>
      <w:instrText xml:space="preserve"> STYLEREF "Heading 4" </w:instrText>
    </w:r>
    <w:r>
      <w:rPr>
        <w:noProof/>
      </w:rPr>
      <w:fldChar w:fldCharType="separate"/>
    </w:r>
    <w:r>
      <w:rPr>
        <w:noProof/>
      </w:rPr>
      <w:t>Evaluation Approach</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DE0BC" w14:textId="02405E57" w:rsidR="0080000B" w:rsidRDefault="0080000B" w:rsidP="00E0691F">
    <w:pPr>
      <w:pStyle w:val="URLCover"/>
      <w:tabs>
        <w:tab w:val="left" w:pos="5860"/>
      </w:tabs>
    </w:pPr>
    <w:r>
      <w:t>www.pwc.com.au</w:t>
    </w:r>
    <w:r>
      <w:rPr>
        <w:noProof/>
        <w:snapToGrid/>
        <w:lang w:val="en-US"/>
      </w:rPr>
      <w:t xml:space="preserve"> </w:t>
    </w:r>
    <w:r>
      <w:rPr>
        <w:noProof/>
        <w:snapToGrid/>
        <w:lang w:eastAsia="en-AU"/>
      </w:rPr>
      <mc:AlternateContent>
        <mc:Choice Requires="wpg">
          <w:drawing>
            <wp:anchor distT="0" distB="0" distL="114300" distR="114300" simplePos="0" relativeHeight="251658752" behindDoc="1" locked="0" layoutInCell="1" allowOverlap="1" wp14:anchorId="1550F7E0" wp14:editId="62D5C1D3">
              <wp:simplePos x="0" y="0"/>
              <wp:positionH relativeFrom="page">
                <wp:posOffset>0</wp:posOffset>
              </wp:positionH>
              <wp:positionV relativeFrom="page">
                <wp:posOffset>-1</wp:posOffset>
              </wp:positionV>
              <wp:extent cx="7783195" cy="10207033"/>
              <wp:effectExtent l="0" t="0" r="8255" b="3810"/>
              <wp:wrapNone/>
              <wp:docPr id="265" name="CoverColorBlock" descr="There are three block colours in Brown, Orange, Rust and White.&#10;&#10;The Department of Social Services.&#10;Evaluation of the National Framework for Protecting Australia's Children 2009-2020.  Written in June 2020. " title="Description front cover"/>
              <wp:cNvGraphicFramePr/>
              <a:graphic xmlns:a="http://schemas.openxmlformats.org/drawingml/2006/main">
                <a:graphicData uri="http://schemas.microsoft.com/office/word/2010/wordprocessingGroup">
                  <wpg:wgp>
                    <wpg:cNvGrpSpPr/>
                    <wpg:grpSpPr>
                      <a:xfrm>
                        <a:off x="0" y="0"/>
                        <a:ext cx="7783195" cy="10207033"/>
                        <a:chOff x="0" y="-1"/>
                        <a:chExt cx="7783195" cy="10207033"/>
                      </a:xfrm>
                    </wpg:grpSpPr>
                    <pic:pic xmlns:pic="http://schemas.openxmlformats.org/drawingml/2006/picture">
                      <pic:nvPicPr>
                        <pic:cNvPr id="260" name="Picture 260" descr="PWC Logo" title="PWC Logo"/>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647699" y="9415145"/>
                          <a:ext cx="1033200" cy="791887"/>
                        </a:xfrm>
                        <a:prstGeom prst="rect">
                          <a:avLst/>
                        </a:prstGeom>
                      </pic:spPr>
                    </pic:pic>
                    <wpg:grpSp>
                      <wpg:cNvPr id="264" name="Group 264"/>
                      <wpg:cNvGrpSpPr/>
                      <wpg:grpSpPr>
                        <a:xfrm>
                          <a:off x="0" y="-1"/>
                          <a:ext cx="7783195" cy="5400001"/>
                          <a:chOff x="0" y="-1"/>
                          <a:chExt cx="7783195" cy="5400001"/>
                        </a:xfrm>
                      </wpg:grpSpPr>
                      <wps:wsp>
                        <wps:cNvPr id="251" name="Rectangle 251" descr="There are three block colours in Brown, Orange, Rust and White.&#10;&#10;The Department of Social Services.&#10;Evaluation of the National Framework for Protecting Australia's Children 2009-2020.  Written in June 2020. " title="Front page"/>
                        <wps:cNvSpPr/>
                        <wps:spPr>
                          <a:xfrm>
                            <a:off x="0" y="-1"/>
                            <a:ext cx="7783195" cy="540000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Rectangle 263" descr="Evaluation of theNational Framework for Protecting Australia's Children 2009 - 2020.  Produced June 2020" title="Department of Social Services"/>
                        <wps:cNvSpPr/>
                        <wps:spPr bwMode="ltGray">
                          <a:xfrm>
                            <a:off x="0" y="0"/>
                            <a:ext cx="5770800" cy="5400000"/>
                          </a:xfrm>
                          <a:prstGeom prst="rect">
                            <a:avLst/>
                          </a:prstGeom>
                          <a:solidFill>
                            <a:schemeClr val="accent6"/>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F3DE5C7" id="CoverColorBlock" o:spid="_x0000_s1026" alt="Title: Description front cover - Description: There are three block colours in Brown, Orange, Rust and White.&#10;&#10;The Department of Social Services.&#10;Evaluation of the National Framework for Protecting Australia's Children 2009-2020.  Written in June 2020. " style="position:absolute;margin-left:0;margin-top:0;width:612.85pt;height:803.7pt;z-index:-251657728;mso-position-horizontal-relative:page;mso-position-vertical-relative:page;mso-height-relative:margin" coordorigin="" coordsize="77831,10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0" o:spid="_x0000_s1027" type="#_x0000_t75" alt="PWC Logo" style="position:absolute;left:6476;top:94151;width:10332;height:79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">
                <v:imagedata r:id="rId2" o:title="PWC Logo"/>
                <v:path arrowok="t"/>
              </v:shape>
              <v:group id="Group 264" o:spid="_x0000_s1028" style="position:absolute;width:77831;height:54000" coordorigin="" coordsize="77831,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rect id="Rectangle 251" o:spid="_x0000_s1029" alt="There are three block colours in Brown, Orange, Rust and White.&#10;&#10;The Department of Social Services.&#10;Evaluation of the National Framework for Protecting Australia's Children 2009-2020.  Written in June 2020. " style="position:absolute;width:77831;height:53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" fillcolor="#eb8c00 [3207]" stroked="f" strokeweight="2pt"/>
                <v:rect id="Rectangle 263" o:spid="_x0000_s1030" alt="Evaluation of theNational Framework for Protecting Australia's Children 2009 - 2020.  Produced June 2020" style="position:absolute;width:57708;height:54000;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" fillcolor="#464646 [3209]" stroked="f" strokeweight=".25pt"/>
              </v:group>
              <w10:wrap anchorx="page" anchory="page"/>
            </v:group>
          </w:pict>
        </mc:Fallback>
      </mc:AlternateContent>
    </w:r>
    <w:r>
      <w:rPr>
        <w:noProof/>
        <w:snapToGrid/>
        <w:lang w:val="en-US"/>
      </w:rPr>
      <w:tab/>
    </w:r>
  </w:p>
  <w:p w14:paraId="53737A71" w14:textId="77777777" w:rsidR="0080000B" w:rsidRDefault="0080000B" w:rsidP="00D152CF">
    <w:pPr>
      <w:pStyle w:val="Header"/>
    </w:pPr>
    <w:r>
      <w:rPr>
        <w:noProof/>
        <w:lang w:eastAsia="en-AU"/>
      </w:rPr>
      <mc:AlternateContent>
        <mc:Choice Requires="wps">
          <w:drawing>
            <wp:anchor distT="0" distB="0" distL="114300" distR="114300" simplePos="0" relativeHeight="251652608" behindDoc="1" locked="0" layoutInCell="1" allowOverlap="1" wp14:anchorId="2811DC90" wp14:editId="50474D30">
              <wp:simplePos x="0" y="0"/>
              <wp:positionH relativeFrom="page">
                <wp:posOffset>0</wp:posOffset>
              </wp:positionH>
              <wp:positionV relativeFrom="page">
                <wp:posOffset>-43180</wp:posOffset>
              </wp:positionV>
              <wp:extent cx="5770800" cy="7902000"/>
              <wp:effectExtent l="0" t="0" r="1905" b="3810"/>
              <wp:wrapNone/>
              <wp:docPr id="253" name="CoverColorBlock" descr="Cover Color Block"/>
              <wp:cNvGraphicFramePr/>
              <a:graphic xmlns:a="http://schemas.openxmlformats.org/drawingml/2006/main">
                <a:graphicData uri="http://schemas.microsoft.com/office/word/2010/wordprocessingShape">
                  <wps:wsp>
                    <wps:cNvSpPr/>
                    <wps:spPr>
                      <a:xfrm>
                        <a:off x="0" y="0"/>
                        <a:ext cx="5770800" cy="790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7B8CDB5" id="CoverColorBlock" o:spid="_x0000_s1026" alt="Cover Color Block" style="position:absolute;margin-left:0;margin-top:-3.4pt;width:454.4pt;height:622.2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" fillcolor="#d04a02 [3204]" stroked="f" strokeweight="2pt">
              <w10:wrap anchorx="page" anchory="page"/>
            </v:rect>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58F0B" w14:textId="77777777" w:rsidR="0080000B" w:rsidRDefault="0080000B" w:rsidP="00267225">
    <w:pPr>
      <w:pStyle w:val="Header"/>
    </w:pPr>
    <w:r>
      <w:rPr>
        <w:noProof/>
        <w:snapToGrid/>
        <w:lang w:eastAsia="en-AU"/>
      </w:rPr>
      <mc:AlternateContent>
        <mc:Choice Requires="wps">
          <w:drawing>
            <wp:anchor distT="0" distB="0" distL="114300" distR="114300" simplePos="0" relativeHeight="251661824" behindDoc="0" locked="0" layoutInCell="1" allowOverlap="1" wp14:anchorId="3D0F3C17" wp14:editId="2F6DCF09">
              <wp:simplePos x="0" y="0"/>
              <wp:positionH relativeFrom="page">
                <wp:posOffset>-38100</wp:posOffset>
              </wp:positionH>
              <wp:positionV relativeFrom="page">
                <wp:posOffset>-19050</wp:posOffset>
              </wp:positionV>
              <wp:extent cx="720000" cy="10692000"/>
              <wp:effectExtent l="0" t="0" r="4445" b="0"/>
              <wp:wrapNone/>
              <wp:docPr id="3" name="Rectangle 3" descr="Yellowish banner on left hand side of the page" title="Banner"/>
              <wp:cNvGraphicFramePr/>
              <a:graphic xmlns:a="http://schemas.openxmlformats.org/drawingml/2006/main">
                <a:graphicData uri="http://schemas.microsoft.com/office/word/2010/wordprocessingShape">
                  <wps:wsp>
                    <wps:cNvSpPr/>
                    <wps:spPr>
                      <a:xfrm>
                        <a:off x="0" y="0"/>
                        <a:ext cx="720000" cy="10692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0D9F0" id="Rectangle 3" o:spid="_x0000_s1026" alt="Title: Banner - Description: Yellowish banner on left hand side of the page" style="position:absolute;margin-left:-3pt;margin-top:-1.5pt;width:56.7pt;height:841.9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" fillcolor="#ffb600 [3205]" stroked="f" strokeweight="2pt">
              <w10:wrap anchorx="page" anchory="page"/>
            </v:rect>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C4E8B" w14:textId="656B4821" w:rsidR="0080000B" w:rsidRPr="008E1742" w:rsidRDefault="0080000B" w:rsidP="008E1742">
    <w:pPr>
      <w:pStyle w:val="Header-Even"/>
    </w:pPr>
    <w:r>
      <w:rPr>
        <w:noProof/>
        <w:snapToGrid/>
        <w:lang w:eastAsia="en-AU"/>
      </w:rPr>
      <w:fldChar w:fldCharType="begin"/>
    </w:r>
    <w:r>
      <w:rPr>
        <w:noProof/>
        <w:snapToGrid/>
        <w:lang w:eastAsia="en-AU"/>
      </w:rPr>
      <w:instrText xml:space="preserve"> STYLEREF "Heading 4" </w:instrText>
    </w:r>
    <w:r>
      <w:rPr>
        <w:noProof/>
        <w:snapToGrid/>
        <w:lang w:eastAsia="en-AU"/>
      </w:rPr>
      <w:fldChar w:fldCharType="separate"/>
    </w:r>
    <w:r>
      <w:rPr>
        <w:noProof/>
        <w:snapToGrid/>
        <w:lang w:eastAsia="en-AU"/>
      </w:rPr>
      <w:t>Evaluation Approach</w:t>
    </w:r>
    <w:r>
      <w:rPr>
        <w:noProof/>
        <w:snapToGrid/>
        <w:lang w:eastAsia="en-AU"/>
      </w:rPr>
      <w:fldChar w:fldCharType="end"/>
    </w:r>
  </w:p>
  <w:p w14:paraId="5D3E0FA6" w14:textId="77777777" w:rsidR="0080000B" w:rsidRDefault="0080000B"/>
  <w:p w14:paraId="30EB3563" w14:textId="77777777" w:rsidR="0080000B" w:rsidRDefault="0080000B"/>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BCFE6" w14:textId="2E0522B6" w:rsidR="0080000B" w:rsidRPr="008E1742" w:rsidRDefault="0080000B" w:rsidP="008E1742">
    <w:pPr>
      <w:pStyle w:val="Header"/>
    </w:pPr>
    <w:r>
      <w:rPr>
        <w:noProof/>
        <w:snapToGrid/>
        <w:lang w:eastAsia="en-AU"/>
      </w:rPr>
      <w:fldChar w:fldCharType="begin"/>
    </w:r>
    <w:r>
      <w:rPr>
        <w:noProof/>
        <w:snapToGrid/>
        <w:lang w:eastAsia="en-AU"/>
      </w:rPr>
      <w:instrText xml:space="preserve"> STYLEREF "Heading 4" </w:instrText>
    </w:r>
    <w:r>
      <w:rPr>
        <w:noProof/>
        <w:snapToGrid/>
        <w:lang w:eastAsia="en-AU"/>
      </w:rPr>
      <w:fldChar w:fldCharType="separate"/>
    </w:r>
    <w:r w:rsidR="002E4FA6">
      <w:rPr>
        <w:noProof/>
        <w:snapToGrid/>
        <w:lang w:eastAsia="en-AU"/>
      </w:rPr>
      <w:t>Evaluation Approach</w:t>
    </w:r>
    <w:r>
      <w:rPr>
        <w:noProof/>
        <w:snapToGrid/>
        <w:lang w:eastAsia="en-AU"/>
      </w:rPr>
      <w:fldChar w:fldCharType="end"/>
    </w:r>
  </w:p>
  <w:p w14:paraId="62537BA0" w14:textId="77777777" w:rsidR="0080000B" w:rsidRDefault="0080000B"/>
  <w:p w14:paraId="37BA977F" w14:textId="77777777" w:rsidR="0080000B" w:rsidRDefault="0080000B"/>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33676" w14:textId="77777777" w:rsidR="0080000B" w:rsidRDefault="0080000B" w:rsidP="00564AF1">
    <w:pPr>
      <w:pStyle w:val="Header"/>
    </w:pPr>
  </w:p>
  <w:p w14:paraId="3B4D408F" w14:textId="77777777" w:rsidR="0080000B" w:rsidRDefault="0080000B"/>
  <w:p w14:paraId="1DB272D0" w14:textId="77777777" w:rsidR="0080000B" w:rsidRDefault="0080000B"/>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78483" w14:textId="6FF6B806" w:rsidR="0080000B" w:rsidRPr="008E1742" w:rsidRDefault="0080000B" w:rsidP="006C5146">
    <w:pPr>
      <w:pStyle w:val="Header-Landscape"/>
    </w:pPr>
    <w:r>
      <w:rPr>
        <w:noProof/>
        <w:snapToGrid/>
        <w:lang w:eastAsia="en-AU"/>
      </w:rPr>
      <w:fldChar w:fldCharType="begin"/>
    </w:r>
    <w:r>
      <w:rPr>
        <w:noProof/>
        <w:snapToGrid/>
        <w:lang w:eastAsia="en-AU"/>
      </w:rPr>
      <w:instrText xml:space="preserve"> STYLEREF "Heading 4" </w:instrText>
    </w:r>
    <w:r>
      <w:rPr>
        <w:noProof/>
        <w:snapToGrid/>
        <w:lang w:eastAsia="en-AU"/>
      </w:rPr>
      <w:fldChar w:fldCharType="separate"/>
    </w:r>
    <w:r>
      <w:rPr>
        <w:noProof/>
        <w:snapToGrid/>
        <w:lang w:eastAsia="en-AU"/>
      </w:rPr>
      <w:t>Evaluation Approach</w:t>
    </w:r>
    <w:r>
      <w:rPr>
        <w:noProof/>
        <w:snapToGrid/>
        <w:lang w:eastAsia="en-AU"/>
      </w:rPr>
      <w:fldChar w:fldCharType="end"/>
    </w:r>
  </w:p>
  <w:p w14:paraId="43834312" w14:textId="77777777" w:rsidR="0080000B" w:rsidRDefault="0080000B" w:rsidP="006C5146">
    <w:pPr>
      <w:pStyle w:val="Header-Landscape"/>
    </w:pPr>
  </w:p>
  <w:p w14:paraId="1DB0ED32" w14:textId="77777777" w:rsidR="0080000B" w:rsidRDefault="0080000B" w:rsidP="006C5146">
    <w:pPr>
      <w:pStyle w:val="Header-Landscape"/>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CE0B6" w14:textId="1528A529" w:rsidR="0080000B" w:rsidRPr="008E1742" w:rsidRDefault="0080000B" w:rsidP="006C5146">
    <w:pPr>
      <w:pStyle w:val="Header-Landscape"/>
    </w:pPr>
    <w:r>
      <w:rPr>
        <w:noProof/>
        <w:snapToGrid/>
        <w:lang w:eastAsia="en-AU"/>
      </w:rPr>
      <w:fldChar w:fldCharType="begin"/>
    </w:r>
    <w:r>
      <w:rPr>
        <w:noProof/>
        <w:snapToGrid/>
        <w:lang w:eastAsia="en-AU"/>
      </w:rPr>
      <w:instrText xml:space="preserve"> STYLEREF "Heading 4" </w:instrText>
    </w:r>
    <w:r>
      <w:rPr>
        <w:noProof/>
        <w:snapToGrid/>
        <w:lang w:eastAsia="en-AU"/>
      </w:rPr>
      <w:fldChar w:fldCharType="separate"/>
    </w:r>
    <w:r w:rsidR="002E4FA6">
      <w:rPr>
        <w:noProof/>
        <w:snapToGrid/>
        <w:lang w:eastAsia="en-AU"/>
      </w:rPr>
      <w:t>Evaluation Approach</w:t>
    </w:r>
    <w:r>
      <w:rPr>
        <w:noProof/>
        <w:snapToGrid/>
        <w:lang w:eastAsia="en-AU"/>
      </w:rPr>
      <w:fldChar w:fldCharType="end"/>
    </w:r>
  </w:p>
  <w:p w14:paraId="41457F0F" w14:textId="77777777" w:rsidR="0080000B" w:rsidRDefault="0080000B" w:rsidP="006C5146">
    <w:pPr>
      <w:pStyle w:val="Header-Landscape"/>
    </w:pPr>
  </w:p>
  <w:p w14:paraId="22282D3B" w14:textId="77777777" w:rsidR="0080000B" w:rsidRDefault="0080000B" w:rsidP="006C5146">
    <w:pPr>
      <w:pStyle w:val="Header-Landscape"/>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FCC7A" w14:textId="77777777" w:rsidR="0080000B" w:rsidRDefault="0080000B" w:rsidP="006C5146">
    <w:pPr>
      <w:pStyle w:val="Header-Landscape"/>
    </w:pPr>
  </w:p>
  <w:p w14:paraId="0E744EDF" w14:textId="77777777" w:rsidR="0080000B" w:rsidRDefault="0080000B" w:rsidP="006C5146">
    <w:pPr>
      <w:pStyle w:val="Header-Landscape"/>
    </w:pPr>
  </w:p>
  <w:p w14:paraId="1F027FE1" w14:textId="77777777" w:rsidR="0080000B" w:rsidRDefault="0080000B" w:rsidP="006C5146">
    <w:pPr>
      <w:pStyle w:val="Header-Landscape"/>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4FAF8" w14:textId="44C749F7" w:rsidR="0080000B" w:rsidRPr="008E1742" w:rsidRDefault="0080000B" w:rsidP="008E1742">
    <w:pPr>
      <w:pStyle w:val="Header-Even"/>
    </w:pPr>
    <w:r>
      <w:rPr>
        <w:noProof/>
        <w:snapToGrid/>
        <w:lang w:eastAsia="en-AU"/>
      </w:rPr>
      <w:fldChar w:fldCharType="begin"/>
    </w:r>
    <w:r>
      <w:rPr>
        <w:noProof/>
        <w:snapToGrid/>
        <w:lang w:eastAsia="en-AU"/>
      </w:rPr>
      <w:instrText xml:space="preserve"> STYLEREF "Heading 4" </w:instrText>
    </w:r>
    <w:r>
      <w:rPr>
        <w:noProof/>
        <w:snapToGrid/>
        <w:lang w:eastAsia="en-AU"/>
      </w:rPr>
      <w:fldChar w:fldCharType="separate"/>
    </w:r>
    <w:r>
      <w:rPr>
        <w:noProof/>
        <w:snapToGrid/>
        <w:lang w:eastAsia="en-AU"/>
      </w:rPr>
      <w:t>Evaluation Approach</w:t>
    </w:r>
    <w:r>
      <w:rPr>
        <w:noProof/>
        <w:snapToGrid/>
        <w:lang w:eastAsia="en-AU"/>
      </w:rPr>
      <w:fldChar w:fldCharType="end"/>
    </w:r>
  </w:p>
  <w:p w14:paraId="1A7CF04F" w14:textId="77777777" w:rsidR="0080000B" w:rsidRDefault="0080000B"/>
  <w:p w14:paraId="461BD60C" w14:textId="77777777" w:rsidR="0080000B" w:rsidRDefault="0080000B"/>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1D288" w14:textId="197EDAD6" w:rsidR="0080000B" w:rsidRPr="008E1742" w:rsidRDefault="0080000B" w:rsidP="008E1742">
    <w:pPr>
      <w:pStyle w:val="Header"/>
    </w:pPr>
    <w:r>
      <w:rPr>
        <w:noProof/>
        <w:snapToGrid/>
        <w:lang w:eastAsia="en-AU"/>
      </w:rPr>
      <w:fldChar w:fldCharType="begin"/>
    </w:r>
    <w:r>
      <w:rPr>
        <w:noProof/>
        <w:snapToGrid/>
        <w:lang w:eastAsia="en-AU"/>
      </w:rPr>
      <w:instrText xml:space="preserve"> STYLEREF "Heading 4" </w:instrText>
    </w:r>
    <w:r>
      <w:rPr>
        <w:noProof/>
        <w:snapToGrid/>
        <w:lang w:eastAsia="en-AU"/>
      </w:rPr>
      <w:fldChar w:fldCharType="separate"/>
    </w:r>
    <w:r w:rsidR="002E4FA6">
      <w:rPr>
        <w:noProof/>
        <w:snapToGrid/>
        <w:lang w:eastAsia="en-AU"/>
      </w:rPr>
      <w:t>Evaluation Approach</w:t>
    </w:r>
    <w:r>
      <w:rPr>
        <w:noProof/>
        <w:snapToGrid/>
        <w:lang w:eastAsia="en-AU"/>
      </w:rPr>
      <w:fldChar w:fldCharType="end"/>
    </w:r>
  </w:p>
  <w:p w14:paraId="382691E9" w14:textId="77777777" w:rsidR="0080000B" w:rsidRDefault="0080000B"/>
  <w:p w14:paraId="3AB85DB4" w14:textId="77777777" w:rsidR="0080000B" w:rsidRDefault="0080000B"/>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F7039" w14:textId="77777777" w:rsidR="0080000B" w:rsidRDefault="0080000B" w:rsidP="00564AF1">
    <w:pPr>
      <w:pStyle w:val="Header"/>
    </w:pPr>
  </w:p>
  <w:p w14:paraId="7AD10F26" w14:textId="77777777" w:rsidR="0080000B" w:rsidRDefault="0080000B"/>
  <w:p w14:paraId="413F19D8" w14:textId="77777777" w:rsidR="0080000B" w:rsidRDefault="0080000B"/>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F63AD" w14:textId="12444464" w:rsidR="0080000B" w:rsidRPr="005D1FC6" w:rsidRDefault="0080000B" w:rsidP="005D1FC6">
    <w:pPr>
      <w:pStyle w:val="Header"/>
    </w:pPr>
    <w:r>
      <w:rPr>
        <w:noProof/>
      </w:rPr>
      <w:fldChar w:fldCharType="begin"/>
    </w:r>
    <w:r>
      <w:rPr>
        <w:noProof/>
      </w:rPr>
      <w:instrText xml:space="preserve"> STYLEREF "Preface Title" </w:instrText>
    </w:r>
    <w:r>
      <w:rPr>
        <w:noProof/>
      </w:rPr>
      <w:fldChar w:fldCharType="separate"/>
    </w:r>
    <w:r>
      <w:rPr>
        <w:noProof/>
      </w:rPr>
      <w:t>Executive summary</w:t>
    </w:r>
    <w:r>
      <w:rPr>
        <w:noProof/>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3AF56" w14:textId="30C5DE4A" w:rsidR="0080000B" w:rsidRPr="008E1742" w:rsidRDefault="001321C9" w:rsidP="00DD0C3E">
    <w:pPr>
      <w:pStyle w:val="Header-Landscape"/>
    </w:pPr>
    <w:r>
      <w:rPr>
        <w:noProof/>
      </w:rPr>
      <w:pict w14:anchorId="5172B1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68" type="#_x0000_t136" style="position:absolute;margin-left:0;margin-top:0;width:412.4pt;height:247.45pt;rotation:315;z-index:-251420160;mso-position-horizontal:center;mso-position-horizontal-relative:margin;mso-position-vertical:center;mso-position-vertical-relative:margin" o:allowincell="f" fillcolor="#d8d8d8" stroked="f">
          <v:textpath style="font-family:&quot;Calibri&quot;;font-size:1pt" string="DRAFT"/>
          <w10:wrap anchorx="margin" anchory="margin"/>
        </v:shape>
      </w:pict>
    </w:r>
    <w:r w:rsidR="0080000B">
      <w:rPr>
        <w:noProof/>
        <w:snapToGrid/>
        <w:lang w:eastAsia="en-AU"/>
      </w:rPr>
      <w:fldChar w:fldCharType="begin"/>
    </w:r>
    <w:r w:rsidR="0080000B">
      <w:rPr>
        <w:noProof/>
        <w:snapToGrid/>
        <w:lang w:eastAsia="en-AU"/>
      </w:rPr>
      <w:instrText xml:space="preserve"> STYLEREF "Heading 4" </w:instrText>
    </w:r>
    <w:r w:rsidR="0080000B">
      <w:rPr>
        <w:noProof/>
        <w:snapToGrid/>
        <w:lang w:eastAsia="en-AU"/>
      </w:rPr>
      <w:fldChar w:fldCharType="separate"/>
    </w:r>
    <w:r w:rsidR="0080000B">
      <w:rPr>
        <w:noProof/>
        <w:snapToGrid/>
        <w:lang w:eastAsia="en-AU"/>
      </w:rPr>
      <w:t>Evaluation Approach</w:t>
    </w:r>
    <w:r w:rsidR="0080000B">
      <w:rPr>
        <w:noProof/>
        <w:snapToGrid/>
        <w:lang w:eastAsia="en-AU"/>
      </w:rPr>
      <w:fldChar w:fldCharType="end"/>
    </w:r>
  </w:p>
  <w:p w14:paraId="41BA54A7" w14:textId="77777777" w:rsidR="0080000B" w:rsidRDefault="0080000B" w:rsidP="00DD0C3E">
    <w:pPr>
      <w:pStyle w:val="Header-Landscape"/>
    </w:pPr>
  </w:p>
  <w:p w14:paraId="244E5F6A" w14:textId="77777777" w:rsidR="0080000B" w:rsidRDefault="0080000B" w:rsidP="00DD0C3E">
    <w:pPr>
      <w:pStyle w:val="Header-Landscape"/>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F5060" w14:textId="159FA2B0" w:rsidR="0080000B" w:rsidRPr="008E1742" w:rsidRDefault="0080000B" w:rsidP="00DD0C3E">
    <w:pPr>
      <w:pStyle w:val="Header-Landscape"/>
    </w:pPr>
    <w:r>
      <w:rPr>
        <w:noProof/>
        <w:snapToGrid/>
        <w:lang w:eastAsia="en-AU"/>
      </w:rPr>
      <w:fldChar w:fldCharType="begin"/>
    </w:r>
    <w:r>
      <w:rPr>
        <w:noProof/>
        <w:snapToGrid/>
        <w:lang w:eastAsia="en-AU"/>
      </w:rPr>
      <w:instrText xml:space="preserve"> STYLEREF "Heading 4" </w:instrText>
    </w:r>
    <w:r>
      <w:rPr>
        <w:noProof/>
        <w:snapToGrid/>
        <w:lang w:eastAsia="en-AU"/>
      </w:rPr>
      <w:fldChar w:fldCharType="separate"/>
    </w:r>
    <w:r w:rsidR="002E4FA6">
      <w:rPr>
        <w:noProof/>
        <w:snapToGrid/>
        <w:lang w:eastAsia="en-AU"/>
      </w:rPr>
      <w:t>Consulted stakeholders</w:t>
    </w:r>
    <w:r>
      <w:rPr>
        <w:noProof/>
        <w:snapToGrid/>
        <w:lang w:eastAsia="en-AU"/>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52E77" w14:textId="77777777" w:rsidR="0080000B" w:rsidRDefault="001321C9" w:rsidP="00DD0C3E">
    <w:pPr>
      <w:pStyle w:val="Header-Landscape"/>
    </w:pPr>
    <w:r>
      <w:rPr>
        <w:noProof/>
      </w:rPr>
      <w:pict w14:anchorId="381DC7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67" type="#_x0000_t136" style="position:absolute;margin-left:0;margin-top:0;width:412.4pt;height:247.45pt;rotation:315;z-index:-251422208;mso-position-horizontal:center;mso-position-horizontal-relative:margin;mso-position-vertical:center;mso-position-vertical-relative:margin" o:allowincell="f" fillcolor="#d8d8d8" stroked="f">
          <v:textpath style="font-family:&quot;Calibri&quot;;font-size:1pt" string="DRAFT"/>
          <w10:wrap anchorx="margin" anchory="margin"/>
        </v:shape>
      </w:pict>
    </w:r>
  </w:p>
  <w:p w14:paraId="13E46E97" w14:textId="77777777" w:rsidR="0080000B" w:rsidRDefault="0080000B" w:rsidP="00DD0C3E">
    <w:pPr>
      <w:pStyle w:val="Header-Landscape"/>
    </w:pPr>
  </w:p>
  <w:p w14:paraId="3D7344C9" w14:textId="77777777" w:rsidR="0080000B" w:rsidRDefault="0080000B" w:rsidP="00DD0C3E">
    <w:pPr>
      <w:pStyle w:val="Header-Landscape"/>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6257A" w14:textId="77777777" w:rsidR="0080000B" w:rsidRPr="00564AF1" w:rsidRDefault="0080000B" w:rsidP="00564AF1">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682D0" w14:textId="77777777" w:rsidR="0080000B" w:rsidRPr="005B4BF3" w:rsidRDefault="0080000B" w:rsidP="005B4BF3">
    <w:pPr>
      <w:pStyle w:val="Header"/>
    </w:pPr>
    <w:r w:rsidRPr="00B070F3">
      <w:rPr>
        <w:noProof/>
        <w:lang w:eastAsia="en-AU"/>
      </w:rPr>
      <mc:AlternateContent>
        <mc:Choice Requires="wps">
          <w:drawing>
            <wp:anchor distT="0" distB="0" distL="114300" distR="114300" simplePos="0" relativeHeight="251655168" behindDoc="1" locked="1" layoutInCell="1" allowOverlap="1" wp14:anchorId="697D070B" wp14:editId="7C84323E">
              <wp:simplePos x="0" y="0"/>
              <wp:positionH relativeFrom="page">
                <wp:posOffset>0</wp:posOffset>
              </wp:positionH>
              <wp:positionV relativeFrom="page">
                <wp:posOffset>8371490</wp:posOffset>
              </wp:positionV>
              <wp:extent cx="10692000" cy="2376000"/>
              <wp:effectExtent l="0" t="0" r="0" b="5715"/>
              <wp:wrapNone/>
              <wp:docPr id="2" name="LowerBackColorBlock" descr="Lower Back Cover Color Block"/>
              <wp:cNvGraphicFramePr/>
              <a:graphic xmlns:a="http://schemas.openxmlformats.org/drawingml/2006/main">
                <a:graphicData uri="http://schemas.microsoft.com/office/word/2010/wordprocessingShape">
                  <wps:wsp>
                    <wps:cNvSpPr/>
                    <wps:spPr bwMode="hidden">
                      <a:xfrm>
                        <a:off x="0" y="0"/>
                        <a:ext cx="10692000" cy="2376000"/>
                      </a:xfrm>
                      <a:prstGeom prst="rect">
                        <a:avLst/>
                      </a:prstGeom>
                      <a:solidFill>
                        <a:srgbClr val="D04A0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753ADE6" id="LowerBackColorBlock" o:spid="_x0000_s1026" alt="Lower Back Cover Color Block" style="position:absolute;margin-left:0;margin-top:659.15pt;width:841.9pt;height:187.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undraw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" fillcolor="#d04a02" stroked="f" strokeweight="2pt">
              <w10:wrap anchorx="page" anchory="page"/>
              <w10:anchorlock/>
            </v:rect>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6A8C0" w14:textId="77777777" w:rsidR="0080000B" w:rsidRPr="005B4BF3" w:rsidRDefault="0080000B" w:rsidP="00723652">
    <w:pPr>
      <w:pStyle w:val="Header"/>
    </w:pPr>
    <w:r w:rsidRPr="00B070F3">
      <w:rPr>
        <w:noProof/>
        <w:lang w:eastAsia="en-AU"/>
      </w:rPr>
      <mc:AlternateContent>
        <mc:Choice Requires="wps">
          <w:drawing>
            <wp:anchor distT="0" distB="0" distL="114300" distR="114300" simplePos="0" relativeHeight="251660288" behindDoc="1" locked="1" layoutInCell="1" allowOverlap="1" wp14:anchorId="76888163" wp14:editId="6DD89F62">
              <wp:simplePos x="0" y="0"/>
              <wp:positionH relativeFrom="page">
                <wp:posOffset>0</wp:posOffset>
              </wp:positionH>
              <wp:positionV relativeFrom="page">
                <wp:posOffset>8371490</wp:posOffset>
              </wp:positionV>
              <wp:extent cx="10692000" cy="2376000"/>
              <wp:effectExtent l="0" t="0" r="0" b="5715"/>
              <wp:wrapNone/>
              <wp:docPr id="4" name="LowerBackColorBlock" descr="Lower Back Cover Color Block"/>
              <wp:cNvGraphicFramePr/>
              <a:graphic xmlns:a="http://schemas.openxmlformats.org/drawingml/2006/main">
                <a:graphicData uri="http://schemas.microsoft.com/office/word/2010/wordprocessingShape">
                  <wps:wsp>
                    <wps:cNvSpPr/>
                    <wps:spPr bwMode="hidden">
                      <a:xfrm>
                        <a:off x="0" y="0"/>
                        <a:ext cx="10692000" cy="2376000"/>
                      </a:xfrm>
                      <a:prstGeom prst="rect">
                        <a:avLst/>
                      </a:prstGeom>
                      <a:solidFill>
                        <a:srgbClr val="D04A0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1793B3A" id="LowerBackColorBlock" o:spid="_x0000_s1026" alt="Lower Back Cover Color Block" style="position:absolute;margin-left:0;margin-top:659.15pt;width:841.9pt;height:187.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bwmode="undraw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" fillcolor="#d04a02" stroked="f" strokeweight="2pt">
              <w10:wrap anchorx="page" anchory="page"/>
              <w10:anchorlock/>
            </v:rect>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72CB5" w14:textId="77777777" w:rsidR="0080000B" w:rsidRDefault="0080000B" w:rsidP="005236F7">
    <w:pPr>
      <w:pStyle w:val="Header"/>
    </w:pPr>
  </w:p>
  <w:p w14:paraId="577AEF5F" w14:textId="77777777" w:rsidR="0080000B" w:rsidRDefault="0080000B" w:rsidP="005236F7">
    <w:pPr>
      <w:pStyle w:val="Header"/>
    </w:pPr>
  </w:p>
  <w:p w14:paraId="223E04A0" w14:textId="77777777" w:rsidR="0080000B" w:rsidRDefault="0080000B" w:rsidP="005236F7">
    <w:pPr>
      <w:pStyle w:val="Header"/>
    </w:pPr>
  </w:p>
  <w:p w14:paraId="4044444B" w14:textId="77777777" w:rsidR="0080000B" w:rsidRPr="005236F7" w:rsidRDefault="0080000B" w:rsidP="005236F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76155" w14:textId="11B46232" w:rsidR="0080000B" w:rsidRPr="005D1FC6" w:rsidRDefault="0080000B" w:rsidP="005D1FC6">
    <w:pPr>
      <w:pStyle w:val="Header"/>
    </w:pPr>
    <w:r>
      <w:rPr>
        <w:noProof/>
      </w:rPr>
      <w:fldChar w:fldCharType="begin"/>
    </w:r>
    <w:r>
      <w:rPr>
        <w:noProof/>
      </w:rPr>
      <w:instrText xml:space="preserve"> STYLEREF "Preface Title" </w:instrText>
    </w:r>
    <w:r>
      <w:rPr>
        <w:noProof/>
      </w:rPr>
      <w:fldChar w:fldCharType="separate"/>
    </w:r>
    <w:r w:rsidR="002E4FA6">
      <w:rPr>
        <w:noProof/>
      </w:rPr>
      <w:t>Executive summary</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8EAE3" w14:textId="77777777" w:rsidR="0080000B" w:rsidRPr="00D868D7" w:rsidRDefault="0080000B" w:rsidP="00D868D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0EE74" w14:textId="2BAAF4AD" w:rsidR="0080000B" w:rsidRPr="005D1FC6" w:rsidRDefault="00000493" w:rsidP="005D1FC6">
    <w:pPr>
      <w:pStyle w:val="Header"/>
    </w:pPr>
    <w:fldSimple w:instr=" STYLEREF &quot;TOC Title&quot; ">
      <w:r w:rsidR="0080000B">
        <w:rPr>
          <w:noProof/>
        </w:rPr>
        <w:t>Contents</w:t>
      </w:r>
    </w:fldSimple>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7FD0A" w14:textId="1525500C" w:rsidR="0080000B" w:rsidRPr="005D1FC6" w:rsidRDefault="0080000B" w:rsidP="005D1FC6">
    <w:pPr>
      <w:pStyle w:val="Header"/>
    </w:pPr>
    <w:r>
      <w:rPr>
        <w:noProof/>
        <w:snapToGrid/>
        <w:lang w:eastAsia="en-AU"/>
      </w:rPr>
      <mc:AlternateContent>
        <mc:Choice Requires="wps">
          <w:drawing>
            <wp:anchor distT="0" distB="0" distL="114300" distR="114300" simplePos="0" relativeHeight="251770368" behindDoc="0" locked="0" layoutInCell="1" allowOverlap="1" wp14:anchorId="5A691236" wp14:editId="3265573F">
              <wp:simplePos x="0" y="0"/>
              <wp:positionH relativeFrom="page">
                <wp:posOffset>-22225</wp:posOffset>
              </wp:positionH>
              <wp:positionV relativeFrom="page">
                <wp:posOffset>-1905</wp:posOffset>
              </wp:positionV>
              <wp:extent cx="720000" cy="10692000"/>
              <wp:effectExtent l="0" t="0" r="4445" b="0"/>
              <wp:wrapNone/>
              <wp:docPr id="25" name="Rectangle 25" descr="There is a colourful orange banner down the left had side" title="Description"/>
              <wp:cNvGraphicFramePr/>
              <a:graphic xmlns:a="http://schemas.openxmlformats.org/drawingml/2006/main">
                <a:graphicData uri="http://schemas.microsoft.com/office/word/2010/wordprocessingShape">
                  <wps:wsp>
                    <wps:cNvSpPr/>
                    <wps:spPr>
                      <a:xfrm>
                        <a:off x="0" y="0"/>
                        <a:ext cx="720000" cy="10692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AA169" id="Rectangle 25" o:spid="_x0000_s1026" alt="Title: Description - Description: There is a colourful orange banner down the left had side" style="position:absolute;margin-left:-1.75pt;margin-top:-.15pt;width:56.7pt;height:841.9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" fillcolor="#ffb600 [3205]" stroked="f" strokeweight="2pt">
              <w10:wrap anchorx="page" anchory="page"/>
            </v:rect>
          </w:pict>
        </mc:Fallback>
      </mc:AlternateContent>
    </w:r>
    <w:r>
      <w:fldChar w:fldCharType="begin"/>
    </w:r>
    <w:r>
      <w:instrText>STYLEREF "Heading 2"</w:instrText>
    </w:r>
    <w:r>
      <w:fldChar w:fldCharType="separate"/>
    </w:r>
    <w:r w:rsidR="002E4FA6">
      <w:rPr>
        <w:noProof/>
      </w:rPr>
      <w:t>This evaluation</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5361F" w14:textId="77777777" w:rsidR="0080000B" w:rsidRDefault="0080000B" w:rsidP="00F714D4">
    <w:pPr>
      <w:pStyle w:val="Header"/>
    </w:pPr>
    <w:r>
      <w:rPr>
        <w:noProof/>
        <w:snapToGrid/>
        <w:lang w:eastAsia="en-AU"/>
      </w:rPr>
      <mc:AlternateContent>
        <mc:Choice Requires="wps">
          <w:drawing>
            <wp:anchor distT="0" distB="0" distL="114300" distR="114300" simplePos="0" relativeHeight="251656704" behindDoc="0" locked="0" layoutInCell="1" allowOverlap="1" wp14:anchorId="0D934349" wp14:editId="3FB77CB1">
              <wp:simplePos x="0" y="0"/>
              <wp:positionH relativeFrom="page">
                <wp:posOffset>-38100</wp:posOffset>
              </wp:positionH>
              <wp:positionV relativeFrom="page">
                <wp:posOffset>-19050</wp:posOffset>
              </wp:positionV>
              <wp:extent cx="720000" cy="10692000"/>
              <wp:effectExtent l="0" t="0" r="4445" b="0"/>
              <wp:wrapNone/>
              <wp:docPr id="5" name="Rectangle 5" descr="There is a colourful orange banner down the left had side" title="Description"/>
              <wp:cNvGraphicFramePr/>
              <a:graphic xmlns:a="http://schemas.openxmlformats.org/drawingml/2006/main">
                <a:graphicData uri="http://schemas.microsoft.com/office/word/2010/wordprocessingShape">
                  <wps:wsp>
                    <wps:cNvSpPr/>
                    <wps:spPr>
                      <a:xfrm>
                        <a:off x="0" y="0"/>
                        <a:ext cx="720000" cy="10692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4E856" id="Rectangle 5" o:spid="_x0000_s1026" alt="Title: Description - Description: There is a colourful orange banner down the left had side" style="position:absolute;margin-left:-3pt;margin-top:-1.5pt;width:56.7pt;height:841.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" fillcolor="#ffb600 [3205]"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97751"/>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2B50B18"/>
    <w:multiLevelType w:val="hybridMultilevel"/>
    <w:tmpl w:val="A7723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31221B"/>
    <w:multiLevelType w:val="multilevel"/>
    <w:tmpl w:val="54B62ED8"/>
    <w:styleLink w:val="BulletList"/>
    <w:lvl w:ilvl="0">
      <w:start w:val="1"/>
      <w:numFmt w:val="bullet"/>
      <w:lvlRestart w:val="0"/>
      <w:lvlText w:val=""/>
      <w:lvlJc w:val="left"/>
      <w:pPr>
        <w:tabs>
          <w:tab w:val="num" w:pos="567"/>
        </w:tabs>
        <w:ind w:left="567" w:hanging="567"/>
      </w:pPr>
      <w:rPr>
        <w:rFonts w:ascii="Symbol" w:hAnsi="Symbol" w:hint="default"/>
        <w:b w:val="0"/>
        <w:i w:val="0"/>
        <w:color w:val="auto"/>
      </w:rPr>
    </w:lvl>
    <w:lvl w:ilvl="1">
      <w:start w:val="1"/>
      <w:numFmt w:val="bullet"/>
      <w:lvlText w:val="–"/>
      <w:lvlJc w:val="left"/>
      <w:pPr>
        <w:tabs>
          <w:tab w:val="num" w:pos="1134"/>
        </w:tabs>
        <w:ind w:left="1134" w:hanging="567"/>
      </w:pPr>
      <w:rPr>
        <w:rFonts w:ascii="Arial" w:hAnsi="Arial" w:hint="default"/>
        <w:b w:val="0"/>
        <w:i w:val="0"/>
        <w:color w:val="auto"/>
      </w:rPr>
    </w:lvl>
    <w:lvl w:ilvl="2">
      <w:start w:val="1"/>
      <w:numFmt w:val="bullet"/>
      <w:lvlText w:val="o"/>
      <w:lvlJc w:val="left"/>
      <w:pPr>
        <w:tabs>
          <w:tab w:val="num" w:pos="1701"/>
        </w:tabs>
        <w:ind w:left="1701" w:hanging="567"/>
      </w:pPr>
      <w:rPr>
        <w:rFonts w:ascii="Arial" w:hAnsi="Arial" w:hint="default"/>
        <w:b w:val="0"/>
        <w:i w:val="0"/>
        <w:color w:val="auto"/>
        <w:sz w:val="10"/>
        <w:szCs w:val="10"/>
      </w:rPr>
    </w:lvl>
    <w:lvl w:ilvl="3">
      <w:start w:val="1"/>
      <w:numFmt w:val="bullet"/>
      <w:lvlText w:val=""/>
      <w:lvlJc w:val="left"/>
      <w:pPr>
        <w:tabs>
          <w:tab w:val="num" w:pos="2268"/>
        </w:tabs>
        <w:ind w:left="2268" w:hanging="567"/>
      </w:pPr>
      <w:rPr>
        <w:rFonts w:ascii="Wingdings" w:hAnsi="Wingdings" w:hint="default"/>
        <w:b w:val="0"/>
        <w:i w:val="0"/>
        <w:color w:val="auto"/>
        <w:sz w:val="10"/>
        <w:szCs w:val="10"/>
      </w:rPr>
    </w:lvl>
    <w:lvl w:ilvl="4">
      <w:start w:val="1"/>
      <w:numFmt w:val="none"/>
      <w:lvlText w:val="%5"/>
      <w:lvlJc w:val="left"/>
      <w:pPr>
        <w:tabs>
          <w:tab w:val="num" w:pos="0"/>
        </w:tabs>
        <w:ind w:left="0" w:firstLine="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 w15:restartNumberingAfterBreak="0">
    <w:nsid w:val="08112352"/>
    <w:multiLevelType w:val="multilevel"/>
    <w:tmpl w:val="8CEA6DAA"/>
    <w:styleLink w:val="Bullets"/>
    <w:lvl w:ilvl="0">
      <w:start w:val="1"/>
      <w:numFmt w:val="bullet"/>
      <w:pStyle w:val="Bullet1"/>
      <w:lvlText w:val=""/>
      <w:lvlJc w:val="left"/>
      <w:pPr>
        <w:tabs>
          <w:tab w:val="num" w:pos="284"/>
        </w:tabs>
        <w:ind w:left="284" w:hanging="284"/>
      </w:pPr>
      <w:rPr>
        <w:rFonts w:ascii="Symbol" w:hAnsi="Symbol" w:hint="default"/>
        <w:color w:val="auto"/>
      </w:rPr>
    </w:lvl>
    <w:lvl w:ilvl="1">
      <w:start w:val="1"/>
      <w:numFmt w:val="bullet"/>
      <w:pStyle w:val="Bullet2"/>
      <w:lvlText w:val="–"/>
      <w:lvlJc w:val="left"/>
      <w:pPr>
        <w:tabs>
          <w:tab w:val="num" w:pos="567"/>
        </w:tabs>
        <w:ind w:left="568" w:hanging="284"/>
      </w:pPr>
      <w:rPr>
        <w:rFonts w:ascii="Arial" w:hAnsi="Arial" w:hint="default"/>
        <w:color w:val="auto"/>
      </w:rPr>
    </w:lvl>
    <w:lvl w:ilvl="2">
      <w:start w:val="1"/>
      <w:numFmt w:val="bullet"/>
      <w:pStyle w:val="Bullet3"/>
      <w:lvlText w:val="◦"/>
      <w:lvlJc w:val="left"/>
      <w:pPr>
        <w:tabs>
          <w:tab w:val="num" w:pos="851"/>
        </w:tabs>
        <w:ind w:left="852" w:hanging="284"/>
      </w:pPr>
      <w:rPr>
        <w:rFonts w:ascii="Georgia" w:hAnsi="Georgia" w:hint="default"/>
        <w:color w:val="auto"/>
      </w:rPr>
    </w:lvl>
    <w:lvl w:ilvl="3">
      <w:start w:val="1"/>
      <w:numFmt w:val="bullet"/>
      <w:pStyle w:val="Bullet4"/>
      <w:lvlText w:val=""/>
      <w:lvlJc w:val="left"/>
      <w:pPr>
        <w:tabs>
          <w:tab w:val="num" w:pos="1134"/>
        </w:tabs>
        <w:ind w:left="1136" w:hanging="284"/>
      </w:pPr>
      <w:rPr>
        <w:rFonts w:ascii="Symbol" w:hAnsi="Symbol" w:hint="default"/>
        <w:color w:val="auto"/>
      </w:rPr>
    </w:lvl>
    <w:lvl w:ilvl="4">
      <w:start w:val="1"/>
      <w:numFmt w:val="lowerLetter"/>
      <w:lvlText w:val="(%5)"/>
      <w:lvlJc w:val="left"/>
      <w:pPr>
        <w:tabs>
          <w:tab w:val="num" w:pos="1418"/>
        </w:tabs>
        <w:ind w:left="1420" w:hanging="284"/>
      </w:pPr>
      <w:rPr>
        <w:rFonts w:hint="default"/>
      </w:rPr>
    </w:lvl>
    <w:lvl w:ilvl="5">
      <w:start w:val="1"/>
      <w:numFmt w:val="lowerRoman"/>
      <w:lvlText w:val="(%6)"/>
      <w:lvlJc w:val="left"/>
      <w:pPr>
        <w:tabs>
          <w:tab w:val="num" w:pos="1701"/>
        </w:tabs>
        <w:ind w:left="1701" w:hanging="281"/>
      </w:pPr>
      <w:rPr>
        <w:rFonts w:hint="default"/>
      </w:rPr>
    </w:lvl>
    <w:lvl w:ilvl="6">
      <w:start w:val="1"/>
      <w:numFmt w:val="decimal"/>
      <w:lvlText w:val="%7."/>
      <w:lvlJc w:val="left"/>
      <w:pPr>
        <w:tabs>
          <w:tab w:val="num" w:pos="1985"/>
        </w:tabs>
        <w:ind w:left="1985" w:hanging="284"/>
      </w:pPr>
      <w:rPr>
        <w:rFonts w:hint="default"/>
      </w:rPr>
    </w:lvl>
    <w:lvl w:ilvl="7">
      <w:start w:val="1"/>
      <w:numFmt w:val="lowerLetter"/>
      <w:lvlText w:val="%8."/>
      <w:lvlJc w:val="left"/>
      <w:pPr>
        <w:tabs>
          <w:tab w:val="num" w:pos="2268"/>
        </w:tabs>
        <w:ind w:left="2268" w:hanging="283"/>
      </w:pPr>
      <w:rPr>
        <w:rFonts w:hint="default"/>
      </w:rPr>
    </w:lvl>
    <w:lvl w:ilvl="8">
      <w:start w:val="1"/>
      <w:numFmt w:val="lowerRoman"/>
      <w:lvlText w:val="%9."/>
      <w:lvlJc w:val="left"/>
      <w:pPr>
        <w:tabs>
          <w:tab w:val="num" w:pos="2552"/>
        </w:tabs>
        <w:ind w:left="2552" w:hanging="284"/>
      </w:pPr>
      <w:rPr>
        <w:rFonts w:hint="default"/>
      </w:rPr>
    </w:lvl>
  </w:abstractNum>
  <w:abstractNum w:abstractNumId="4" w15:restartNumberingAfterBreak="0">
    <w:nsid w:val="09257FF5"/>
    <w:multiLevelType w:val="multilevel"/>
    <w:tmpl w:val="585065D6"/>
    <w:lvl w:ilvl="0">
      <w:start w:val="1"/>
      <w:numFmt w:val="bullet"/>
      <w:pStyle w:val="CVBullet1"/>
      <w:lvlText w:val=""/>
      <w:lvlJc w:val="left"/>
      <w:pPr>
        <w:ind w:left="227" w:hanging="227"/>
      </w:pPr>
      <w:rPr>
        <w:rFonts w:ascii="Symbol" w:hAnsi="Symbol" w:hint="default"/>
        <w:color w:val="auto"/>
      </w:rPr>
    </w:lvl>
    <w:lvl w:ilvl="1">
      <w:start w:val="1"/>
      <w:numFmt w:val="bullet"/>
      <w:pStyle w:val="CVBullet2"/>
      <w:lvlText w:val="–"/>
      <w:lvlJc w:val="left"/>
      <w:pPr>
        <w:ind w:left="454" w:hanging="227"/>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84408E"/>
    <w:multiLevelType w:val="multilevel"/>
    <w:tmpl w:val="EE3860A0"/>
    <w:styleLink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6" w15:restartNumberingAfterBreak="0">
    <w:nsid w:val="0B086541"/>
    <w:multiLevelType w:val="multilevel"/>
    <w:tmpl w:val="572824AC"/>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decimal"/>
      <w:pStyle w:val="ListNumber4"/>
      <w:lvlText w:val="%4"/>
      <w:lvlJc w:val="left"/>
      <w:pPr>
        <w:tabs>
          <w:tab w:val="num" w:pos="2268"/>
        </w:tabs>
        <w:ind w:left="2268" w:hanging="567"/>
      </w:pPr>
      <w:rPr>
        <w:rFonts w:hint="default"/>
      </w:rPr>
    </w:lvl>
    <w:lvl w:ilvl="4">
      <w:start w:val="1"/>
      <w:numFmt w:val="lowerLetter"/>
      <w:pStyle w:val="ListNumber5"/>
      <w:lvlText w:val="%5"/>
      <w:lvlJc w:val="left"/>
      <w:pPr>
        <w:tabs>
          <w:tab w:val="num" w:pos="2835"/>
        </w:tabs>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13C4B44"/>
    <w:multiLevelType w:val="multilevel"/>
    <w:tmpl w:val="4E5C847A"/>
    <w:styleLink w:val="Indents"/>
    <w:lvl w:ilvl="0">
      <w:start w:val="1"/>
      <w:numFmt w:val="none"/>
      <w:suff w:val="nothing"/>
      <w:lvlText w:val=""/>
      <w:lvlJc w:val="left"/>
      <w:pPr>
        <w:ind w:left="0" w:firstLine="0"/>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835" w:firstLine="0"/>
      </w:pPr>
      <w:rPr>
        <w:rFonts w:hint="default"/>
      </w:rPr>
    </w:lvl>
    <w:lvl w:ilvl="6">
      <w:start w:val="1"/>
      <w:numFmt w:val="none"/>
      <w:suff w:val="nothing"/>
      <w:lvlText w:val=""/>
      <w:lvlJc w:val="left"/>
      <w:pPr>
        <w:ind w:left="3402" w:firstLine="0"/>
      </w:pPr>
      <w:rPr>
        <w:rFonts w:hint="default"/>
      </w:rPr>
    </w:lvl>
    <w:lvl w:ilvl="7">
      <w:start w:val="1"/>
      <w:numFmt w:val="none"/>
      <w:suff w:val="nothing"/>
      <w:lvlText w:val=""/>
      <w:lvlJc w:val="left"/>
      <w:pPr>
        <w:ind w:left="3969" w:firstLine="0"/>
      </w:pPr>
      <w:rPr>
        <w:rFonts w:hint="default"/>
      </w:rPr>
    </w:lvl>
    <w:lvl w:ilvl="8">
      <w:start w:val="1"/>
      <w:numFmt w:val="none"/>
      <w:suff w:val="nothing"/>
      <w:lvlText w:val=""/>
      <w:lvlJc w:val="left"/>
      <w:pPr>
        <w:ind w:left="4536" w:firstLine="0"/>
      </w:pPr>
      <w:rPr>
        <w:rFonts w:hint="default"/>
      </w:rPr>
    </w:lvl>
  </w:abstractNum>
  <w:abstractNum w:abstractNumId="8" w15:restartNumberingAfterBreak="0">
    <w:nsid w:val="16417FC4"/>
    <w:multiLevelType w:val="multilevel"/>
    <w:tmpl w:val="50B20D3A"/>
    <w:styleLink w:val="TableNumberedListSmall"/>
    <w:lvl w:ilvl="0">
      <w:start w:val="1"/>
      <w:numFmt w:val="decimal"/>
      <w:lvlRestart w:val="0"/>
      <w:pStyle w:val="TableNumberedListSmall1"/>
      <w:lvlText w:val="%1"/>
      <w:lvlJc w:val="left"/>
      <w:pPr>
        <w:tabs>
          <w:tab w:val="num" w:pos="283"/>
        </w:tabs>
        <w:ind w:left="284" w:hanging="284"/>
      </w:pPr>
      <w:rPr>
        <w:rFonts w:asciiTheme="minorHAnsi" w:hAnsiTheme="minorHAnsi" w:hint="default"/>
        <w:b w:val="0"/>
        <w:i w:val="0"/>
        <w:color w:val="auto"/>
        <w:sz w:val="20"/>
      </w:rPr>
    </w:lvl>
    <w:lvl w:ilvl="1">
      <w:start w:val="1"/>
      <w:numFmt w:val="lowerLetter"/>
      <w:lvlRestart w:val="0"/>
      <w:pStyle w:val="TableNumberedListSmall2"/>
      <w:lvlText w:val="%2"/>
      <w:lvlJc w:val="left"/>
      <w:pPr>
        <w:tabs>
          <w:tab w:val="num" w:pos="567"/>
        </w:tabs>
        <w:ind w:left="567" w:hanging="283"/>
      </w:pPr>
      <w:rPr>
        <w:rFonts w:hint="default"/>
        <w:b w:val="0"/>
        <w:i w:val="0"/>
        <w:color w:val="auto"/>
        <w:szCs w:val="10"/>
      </w:rPr>
    </w:lvl>
    <w:lvl w:ilvl="2">
      <w:start w:val="1"/>
      <w:numFmt w:val="lowerRoman"/>
      <w:lvlRestart w:val="0"/>
      <w:pStyle w:val="TableNumberedListSmall3"/>
      <w:lvlText w:val="%3"/>
      <w:lvlJc w:val="left"/>
      <w:pPr>
        <w:tabs>
          <w:tab w:val="num" w:pos="851"/>
        </w:tabs>
        <w:ind w:left="851" w:hanging="284"/>
      </w:pPr>
      <w:rPr>
        <w:rFonts w:asciiTheme="minorHAnsi" w:hAnsiTheme="minorHAnsi" w:hint="default"/>
        <w:b w:val="0"/>
        <w:i w:val="0"/>
        <w:color w:val="auto"/>
        <w:sz w:val="2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9" w15:restartNumberingAfterBreak="0">
    <w:nsid w:val="17C75EA4"/>
    <w:multiLevelType w:val="hybridMultilevel"/>
    <w:tmpl w:val="F154E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FA119E"/>
    <w:multiLevelType w:val="hybridMultilevel"/>
    <w:tmpl w:val="18DE63E8"/>
    <w:lvl w:ilvl="0" w:tplc="348E7F8C">
      <w:start w:val="1"/>
      <w:numFmt w:val="bullet"/>
      <w:lvlText w:val="•"/>
      <w:lvlJc w:val="left"/>
      <w:pPr>
        <w:tabs>
          <w:tab w:val="num" w:pos="720"/>
        </w:tabs>
        <w:ind w:left="720" w:hanging="360"/>
      </w:pPr>
      <w:rPr>
        <w:rFonts w:ascii="Arial" w:hAnsi="Arial" w:hint="default"/>
      </w:rPr>
    </w:lvl>
    <w:lvl w:ilvl="1" w:tplc="8A4E393E" w:tentative="1">
      <w:start w:val="1"/>
      <w:numFmt w:val="bullet"/>
      <w:lvlText w:val="•"/>
      <w:lvlJc w:val="left"/>
      <w:pPr>
        <w:tabs>
          <w:tab w:val="num" w:pos="1440"/>
        </w:tabs>
        <w:ind w:left="1440" w:hanging="360"/>
      </w:pPr>
      <w:rPr>
        <w:rFonts w:ascii="Arial" w:hAnsi="Arial" w:hint="default"/>
      </w:rPr>
    </w:lvl>
    <w:lvl w:ilvl="2" w:tplc="8B468A3E" w:tentative="1">
      <w:start w:val="1"/>
      <w:numFmt w:val="bullet"/>
      <w:lvlText w:val="•"/>
      <w:lvlJc w:val="left"/>
      <w:pPr>
        <w:tabs>
          <w:tab w:val="num" w:pos="2160"/>
        </w:tabs>
        <w:ind w:left="2160" w:hanging="360"/>
      </w:pPr>
      <w:rPr>
        <w:rFonts w:ascii="Arial" w:hAnsi="Arial" w:hint="default"/>
      </w:rPr>
    </w:lvl>
    <w:lvl w:ilvl="3" w:tplc="E9D08DD4" w:tentative="1">
      <w:start w:val="1"/>
      <w:numFmt w:val="bullet"/>
      <w:lvlText w:val="•"/>
      <w:lvlJc w:val="left"/>
      <w:pPr>
        <w:tabs>
          <w:tab w:val="num" w:pos="2880"/>
        </w:tabs>
        <w:ind w:left="2880" w:hanging="360"/>
      </w:pPr>
      <w:rPr>
        <w:rFonts w:ascii="Arial" w:hAnsi="Arial" w:hint="default"/>
      </w:rPr>
    </w:lvl>
    <w:lvl w:ilvl="4" w:tplc="A1A82952" w:tentative="1">
      <w:start w:val="1"/>
      <w:numFmt w:val="bullet"/>
      <w:lvlText w:val="•"/>
      <w:lvlJc w:val="left"/>
      <w:pPr>
        <w:tabs>
          <w:tab w:val="num" w:pos="3600"/>
        </w:tabs>
        <w:ind w:left="3600" w:hanging="360"/>
      </w:pPr>
      <w:rPr>
        <w:rFonts w:ascii="Arial" w:hAnsi="Arial" w:hint="default"/>
      </w:rPr>
    </w:lvl>
    <w:lvl w:ilvl="5" w:tplc="8E04AD8E" w:tentative="1">
      <w:start w:val="1"/>
      <w:numFmt w:val="bullet"/>
      <w:lvlText w:val="•"/>
      <w:lvlJc w:val="left"/>
      <w:pPr>
        <w:tabs>
          <w:tab w:val="num" w:pos="4320"/>
        </w:tabs>
        <w:ind w:left="4320" w:hanging="360"/>
      </w:pPr>
      <w:rPr>
        <w:rFonts w:ascii="Arial" w:hAnsi="Arial" w:hint="default"/>
      </w:rPr>
    </w:lvl>
    <w:lvl w:ilvl="6" w:tplc="982EC53E" w:tentative="1">
      <w:start w:val="1"/>
      <w:numFmt w:val="bullet"/>
      <w:lvlText w:val="•"/>
      <w:lvlJc w:val="left"/>
      <w:pPr>
        <w:tabs>
          <w:tab w:val="num" w:pos="5040"/>
        </w:tabs>
        <w:ind w:left="5040" w:hanging="360"/>
      </w:pPr>
      <w:rPr>
        <w:rFonts w:ascii="Arial" w:hAnsi="Arial" w:hint="default"/>
      </w:rPr>
    </w:lvl>
    <w:lvl w:ilvl="7" w:tplc="730CFAC6" w:tentative="1">
      <w:start w:val="1"/>
      <w:numFmt w:val="bullet"/>
      <w:lvlText w:val="•"/>
      <w:lvlJc w:val="left"/>
      <w:pPr>
        <w:tabs>
          <w:tab w:val="num" w:pos="5760"/>
        </w:tabs>
        <w:ind w:left="5760" w:hanging="360"/>
      </w:pPr>
      <w:rPr>
        <w:rFonts w:ascii="Arial" w:hAnsi="Arial" w:hint="default"/>
      </w:rPr>
    </w:lvl>
    <w:lvl w:ilvl="8" w:tplc="1AFA40A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84F5379"/>
    <w:multiLevelType w:val="multilevel"/>
    <w:tmpl w:val="1546630C"/>
    <w:styleLink w:val="ListNumberList"/>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righ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87E60D1"/>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987771D"/>
    <w:multiLevelType w:val="multilevel"/>
    <w:tmpl w:val="D3A87A58"/>
    <w:styleLink w:val="ListBullets"/>
    <w:lvl w:ilvl="0">
      <w:start w:val="1"/>
      <w:numFmt w:val="bullet"/>
      <w:pStyle w:val="ListBullet1"/>
      <w:lvlText w:val=""/>
      <w:lvlJc w:val="left"/>
      <w:pPr>
        <w:tabs>
          <w:tab w:val="num" w:pos="567"/>
        </w:tabs>
        <w:ind w:left="567" w:hanging="567"/>
      </w:pPr>
      <w:rPr>
        <w:rFonts w:ascii="Symbol" w:hAnsi="Symbol" w:hint="default"/>
        <w:b w:val="0"/>
        <w:i w:val="0"/>
        <w:color w:val="auto"/>
      </w:rPr>
    </w:lvl>
    <w:lvl w:ilvl="1">
      <w:start w:val="1"/>
      <w:numFmt w:val="bullet"/>
      <w:pStyle w:val="ListBullet2"/>
      <w:lvlText w:val="–"/>
      <w:lvlJc w:val="left"/>
      <w:pPr>
        <w:tabs>
          <w:tab w:val="num" w:pos="1134"/>
        </w:tabs>
        <w:ind w:left="1134" w:hanging="567"/>
      </w:pPr>
      <w:rPr>
        <w:rFonts w:ascii="Arial" w:hAnsi="Arial" w:hint="default"/>
        <w:b w:val="0"/>
        <w:i w:val="0"/>
        <w:color w:val="auto"/>
      </w:rPr>
    </w:lvl>
    <w:lvl w:ilvl="2">
      <w:start w:val="1"/>
      <w:numFmt w:val="bullet"/>
      <w:pStyle w:val="ListBullet3"/>
      <w:lvlText w:val="◦"/>
      <w:lvlJc w:val="left"/>
      <w:pPr>
        <w:tabs>
          <w:tab w:val="num" w:pos="1701"/>
        </w:tabs>
        <w:ind w:left="1701" w:hanging="567"/>
      </w:pPr>
      <w:rPr>
        <w:rFonts w:ascii="Georgia" w:hAnsi="Georgia" w:hint="default"/>
        <w:b w:val="0"/>
        <w:i w:val="0"/>
        <w:color w:val="auto"/>
        <w:sz w:val="18"/>
        <w:szCs w:val="10"/>
      </w:rPr>
    </w:lvl>
    <w:lvl w:ilvl="3">
      <w:start w:val="1"/>
      <w:numFmt w:val="bullet"/>
      <w:pStyle w:val="ListBullet4"/>
      <w:lvlText w:val=""/>
      <w:lvlJc w:val="left"/>
      <w:pPr>
        <w:tabs>
          <w:tab w:val="num" w:pos="2268"/>
        </w:tabs>
        <w:ind w:left="2268" w:hanging="567"/>
      </w:pPr>
      <w:rPr>
        <w:rFonts w:ascii="Symbol" w:hAnsi="Symbol" w:hint="default"/>
        <w:b w:val="0"/>
        <w:i w:val="0"/>
        <w:color w:val="auto"/>
        <w:sz w:val="20"/>
        <w:szCs w:val="10"/>
      </w:rPr>
    </w:lvl>
    <w:lvl w:ilvl="4">
      <w:start w:val="1"/>
      <w:numFmt w:val="bullet"/>
      <w:lvlText w:val="~"/>
      <w:lvlJc w:val="left"/>
      <w:pPr>
        <w:tabs>
          <w:tab w:val="num" w:pos="2552"/>
        </w:tabs>
        <w:ind w:left="2835" w:hanging="567"/>
      </w:pPr>
      <w:rPr>
        <w:rFonts w:ascii="Georgia" w:hAnsi="Georgia" w:hint="default"/>
        <w:color w:val="auto"/>
      </w:rPr>
    </w:lvl>
    <w:lvl w:ilvl="5">
      <w:start w:val="1"/>
      <w:numFmt w:val="lowerRoman"/>
      <w:lvlText w:val="%6"/>
      <w:lvlJc w:val="left"/>
      <w:pPr>
        <w:tabs>
          <w:tab w:val="num" w:pos="3119"/>
        </w:tabs>
        <w:ind w:left="3402" w:hanging="567"/>
      </w:pPr>
      <w:rPr>
        <w:rFonts w:hint="default"/>
      </w:rPr>
    </w:lvl>
    <w:lvl w:ilvl="6">
      <w:start w:val="1"/>
      <w:numFmt w:val="decimal"/>
      <w:lvlText w:val="%7"/>
      <w:lvlJc w:val="left"/>
      <w:pPr>
        <w:tabs>
          <w:tab w:val="num" w:pos="3686"/>
        </w:tabs>
        <w:ind w:left="3969" w:hanging="567"/>
      </w:pPr>
      <w:rPr>
        <w:rFonts w:hint="default"/>
      </w:rPr>
    </w:lvl>
    <w:lvl w:ilvl="7">
      <w:start w:val="1"/>
      <w:numFmt w:val="lowerLetter"/>
      <w:lvlText w:val="%8"/>
      <w:lvlJc w:val="left"/>
      <w:pPr>
        <w:tabs>
          <w:tab w:val="num" w:pos="4253"/>
        </w:tabs>
        <w:ind w:left="4536" w:hanging="567"/>
      </w:pPr>
      <w:rPr>
        <w:rFonts w:hint="default"/>
      </w:rPr>
    </w:lvl>
    <w:lvl w:ilvl="8">
      <w:start w:val="1"/>
      <w:numFmt w:val="lowerRoman"/>
      <w:lvlText w:val="%9"/>
      <w:lvlJc w:val="left"/>
      <w:pPr>
        <w:tabs>
          <w:tab w:val="num" w:pos="4820"/>
        </w:tabs>
        <w:ind w:left="5103" w:hanging="567"/>
      </w:pPr>
      <w:rPr>
        <w:rFonts w:hint="default"/>
      </w:rPr>
    </w:lvl>
  </w:abstractNum>
  <w:abstractNum w:abstractNumId="14" w15:restartNumberingAfterBreak="0">
    <w:nsid w:val="1D230827"/>
    <w:multiLevelType w:val="multilevel"/>
    <w:tmpl w:val="AF18B140"/>
    <w:styleLink w:val="TableNumberdListNormal"/>
    <w:lvl w:ilvl="0">
      <w:start w:val="1"/>
      <w:numFmt w:val="decimal"/>
      <w:lvlRestart w:val="0"/>
      <w:lvlText w:val="%1"/>
      <w:lvlJc w:val="left"/>
      <w:pPr>
        <w:tabs>
          <w:tab w:val="num" w:pos="283"/>
        </w:tabs>
        <w:ind w:left="284" w:hanging="284"/>
      </w:pPr>
      <w:rPr>
        <w:rFonts w:ascii="Times New Roman" w:hAnsi="Times New Roman" w:hint="default"/>
        <w:b w:val="0"/>
        <w:i w:val="0"/>
        <w:color w:val="auto"/>
      </w:rPr>
    </w:lvl>
    <w:lvl w:ilvl="1">
      <w:start w:val="1"/>
      <w:numFmt w:val="lowerLetter"/>
      <w:lvlRestart w:val="0"/>
      <w:lvlText w:val="%2"/>
      <w:lvlJc w:val="left"/>
      <w:pPr>
        <w:tabs>
          <w:tab w:val="num" w:pos="567"/>
        </w:tabs>
        <w:ind w:left="567" w:hanging="283"/>
      </w:pPr>
      <w:rPr>
        <w:rFonts w:hint="default"/>
        <w:b w:val="0"/>
        <w:i w:val="0"/>
        <w:color w:val="auto"/>
        <w:szCs w:val="10"/>
      </w:rPr>
    </w:lvl>
    <w:lvl w:ilvl="2">
      <w:start w:val="1"/>
      <w:numFmt w:val="lowerRoman"/>
      <w:lvlRestart w:val="0"/>
      <w:lvlText w:val="%3"/>
      <w:lvlJc w:val="left"/>
      <w:pPr>
        <w:tabs>
          <w:tab w:val="num" w:pos="851"/>
        </w:tabs>
        <w:ind w:left="851" w:hanging="284"/>
      </w:pPr>
      <w:rPr>
        <w:rFonts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5" w15:restartNumberingAfterBreak="0">
    <w:nsid w:val="1F7E5DBE"/>
    <w:multiLevelType w:val="hybridMultilevel"/>
    <w:tmpl w:val="2B4C5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2E3E0F"/>
    <w:multiLevelType w:val="multilevel"/>
    <w:tmpl w:val="BD888098"/>
    <w:styleLink w:val="Chapternumberinglist"/>
    <w:lvl w:ilvl="0">
      <w:start w:val="1"/>
      <w:numFmt w:val="decimal"/>
      <w:lvlRestart w:val="0"/>
      <w:suff w:val="nothing"/>
      <w:lvlText w:val="%1"/>
      <w:lvlJc w:val="left"/>
      <w:pPr>
        <w:ind w:left="0" w:firstLine="0"/>
      </w:pPr>
      <w:rPr>
        <w:rFonts w:hint="default"/>
      </w:rPr>
    </w:lvl>
    <w:lvl w:ilvl="1">
      <w:start w:val="1"/>
      <w:numFmt w:val="decimal"/>
      <w:lvlRestart w:val="0"/>
      <w:lvlText w:val="%2"/>
      <w:lvlJc w:val="left"/>
      <w:pPr>
        <w:tabs>
          <w:tab w:val="num" w:pos="850"/>
        </w:tabs>
        <w:ind w:left="850" w:hanging="850"/>
      </w:pPr>
      <w:rPr>
        <w:rFonts w:hint="default"/>
      </w:rPr>
    </w:lvl>
    <w:lvl w:ilvl="2">
      <w:start w:val="1"/>
      <w:numFmt w:val="decimal"/>
      <w:lvlText w:val="%2.%3"/>
      <w:lvlJc w:val="left"/>
      <w:pPr>
        <w:tabs>
          <w:tab w:val="num" w:pos="850"/>
        </w:tabs>
        <w:ind w:left="850" w:hanging="850"/>
      </w:pPr>
      <w:rPr>
        <w:rFonts w:hint="default"/>
      </w:rPr>
    </w:lvl>
    <w:lvl w:ilvl="3">
      <w:start w:val="1"/>
      <w:numFmt w:val="decimal"/>
      <w:lvlText w:val="%2.%3.%4"/>
      <w:lvlJc w:val="left"/>
      <w:pPr>
        <w:tabs>
          <w:tab w:val="num" w:pos="850"/>
        </w:tabs>
        <w:ind w:left="850" w:hanging="850"/>
      </w:pPr>
      <w:rPr>
        <w:rFonts w:hint="default"/>
      </w:rPr>
    </w:lvl>
    <w:lvl w:ilvl="4">
      <w:start w:val="1"/>
      <w:numFmt w:val="upperLetter"/>
      <w:lvlRestart w:val="0"/>
      <w:lvlText w:val="Appendix %5"/>
      <w:lvlJc w:val="left"/>
      <w:pPr>
        <w:tabs>
          <w:tab w:val="num" w:pos="3685"/>
        </w:tabs>
        <w:ind w:left="0" w:firstLine="0"/>
      </w:pPr>
      <w:rPr>
        <w:rFonts w:hint="default"/>
      </w:rPr>
    </w:lvl>
    <w:lvl w:ilvl="5">
      <w:start w:val="1"/>
      <w:numFmt w:val="none"/>
      <w:lvlRestart w:val="0"/>
      <w:pStyle w:val="Heading3"/>
      <w:suff w:val="nothing"/>
      <w:lvlText w:val=""/>
      <w:lvlJc w:val="left"/>
      <w:pPr>
        <w:ind w:left="0" w:firstLine="0"/>
      </w:pPr>
      <w:rPr>
        <w:rFonts w:hint="default"/>
      </w:rPr>
    </w:lvl>
    <w:lvl w:ilvl="6">
      <w:start w:val="1"/>
      <w:numFmt w:val="decimal"/>
      <w:lvlText w:val="%7"/>
      <w:lvlJc w:val="left"/>
      <w:pPr>
        <w:tabs>
          <w:tab w:val="num" w:pos="567"/>
        </w:tabs>
        <w:ind w:left="567" w:hanging="567"/>
      </w:pPr>
      <w:rPr>
        <w:rFonts w:hint="default"/>
      </w:rPr>
    </w:lvl>
    <w:lvl w:ilvl="7">
      <w:start w:val="1"/>
      <w:numFmt w:val="decimal"/>
      <w:lvlText w:val="%8"/>
      <w:lvlJc w:val="left"/>
      <w:pPr>
        <w:tabs>
          <w:tab w:val="num" w:pos="567"/>
        </w:tabs>
        <w:ind w:left="567" w:hanging="567"/>
      </w:pPr>
      <w:rPr>
        <w:rFonts w:hint="default"/>
      </w:rPr>
    </w:lvl>
    <w:lvl w:ilvl="8">
      <w:start w:val="1"/>
      <w:numFmt w:val="lowerLetter"/>
      <w:lvlText w:val="%9"/>
      <w:lvlJc w:val="left"/>
      <w:pPr>
        <w:tabs>
          <w:tab w:val="num" w:pos="1134"/>
        </w:tabs>
        <w:ind w:left="1134" w:hanging="567"/>
      </w:pPr>
      <w:rPr>
        <w:rFonts w:hint="default"/>
      </w:rPr>
    </w:lvl>
  </w:abstractNum>
  <w:abstractNum w:abstractNumId="17" w15:restartNumberingAfterBreak="0">
    <w:nsid w:val="21E62B49"/>
    <w:multiLevelType w:val="hybridMultilevel"/>
    <w:tmpl w:val="A664F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8116B7"/>
    <w:multiLevelType w:val="hybridMultilevel"/>
    <w:tmpl w:val="36E674CA"/>
    <w:lvl w:ilvl="0" w:tplc="0C090001">
      <w:start w:val="1"/>
      <w:numFmt w:val="bullet"/>
      <w:lvlText w:val=""/>
      <w:lvlJc w:val="left"/>
      <w:pPr>
        <w:ind w:left="-1779" w:hanging="360"/>
      </w:pPr>
      <w:rPr>
        <w:rFonts w:ascii="Symbol" w:hAnsi="Symbol" w:hint="default"/>
      </w:rPr>
    </w:lvl>
    <w:lvl w:ilvl="1" w:tplc="0C090003" w:tentative="1">
      <w:start w:val="1"/>
      <w:numFmt w:val="bullet"/>
      <w:lvlText w:val="o"/>
      <w:lvlJc w:val="left"/>
      <w:pPr>
        <w:ind w:left="-1059" w:hanging="360"/>
      </w:pPr>
      <w:rPr>
        <w:rFonts w:ascii="Courier New" w:hAnsi="Courier New" w:cs="Courier New" w:hint="default"/>
      </w:rPr>
    </w:lvl>
    <w:lvl w:ilvl="2" w:tplc="0C090005" w:tentative="1">
      <w:start w:val="1"/>
      <w:numFmt w:val="bullet"/>
      <w:lvlText w:val=""/>
      <w:lvlJc w:val="left"/>
      <w:pPr>
        <w:ind w:left="-339" w:hanging="360"/>
      </w:pPr>
      <w:rPr>
        <w:rFonts w:ascii="Wingdings" w:hAnsi="Wingdings" w:hint="default"/>
      </w:rPr>
    </w:lvl>
    <w:lvl w:ilvl="3" w:tplc="0C090001" w:tentative="1">
      <w:start w:val="1"/>
      <w:numFmt w:val="bullet"/>
      <w:lvlText w:val=""/>
      <w:lvlJc w:val="left"/>
      <w:pPr>
        <w:ind w:left="381" w:hanging="360"/>
      </w:pPr>
      <w:rPr>
        <w:rFonts w:ascii="Symbol" w:hAnsi="Symbol" w:hint="default"/>
      </w:rPr>
    </w:lvl>
    <w:lvl w:ilvl="4" w:tplc="0C090003" w:tentative="1">
      <w:start w:val="1"/>
      <w:numFmt w:val="bullet"/>
      <w:lvlText w:val="o"/>
      <w:lvlJc w:val="left"/>
      <w:pPr>
        <w:ind w:left="1101" w:hanging="360"/>
      </w:pPr>
      <w:rPr>
        <w:rFonts w:ascii="Courier New" w:hAnsi="Courier New" w:cs="Courier New" w:hint="default"/>
      </w:rPr>
    </w:lvl>
    <w:lvl w:ilvl="5" w:tplc="0C090005" w:tentative="1">
      <w:start w:val="1"/>
      <w:numFmt w:val="bullet"/>
      <w:lvlText w:val=""/>
      <w:lvlJc w:val="left"/>
      <w:pPr>
        <w:ind w:left="1821" w:hanging="360"/>
      </w:pPr>
      <w:rPr>
        <w:rFonts w:ascii="Wingdings" w:hAnsi="Wingdings" w:hint="default"/>
      </w:rPr>
    </w:lvl>
    <w:lvl w:ilvl="6" w:tplc="0C090001" w:tentative="1">
      <w:start w:val="1"/>
      <w:numFmt w:val="bullet"/>
      <w:lvlText w:val=""/>
      <w:lvlJc w:val="left"/>
      <w:pPr>
        <w:ind w:left="2541" w:hanging="360"/>
      </w:pPr>
      <w:rPr>
        <w:rFonts w:ascii="Symbol" w:hAnsi="Symbol" w:hint="default"/>
      </w:rPr>
    </w:lvl>
    <w:lvl w:ilvl="7" w:tplc="0C090003" w:tentative="1">
      <w:start w:val="1"/>
      <w:numFmt w:val="bullet"/>
      <w:lvlText w:val="o"/>
      <w:lvlJc w:val="left"/>
      <w:pPr>
        <w:ind w:left="3261" w:hanging="360"/>
      </w:pPr>
      <w:rPr>
        <w:rFonts w:ascii="Courier New" w:hAnsi="Courier New" w:cs="Courier New" w:hint="default"/>
      </w:rPr>
    </w:lvl>
    <w:lvl w:ilvl="8" w:tplc="0C090005" w:tentative="1">
      <w:start w:val="1"/>
      <w:numFmt w:val="bullet"/>
      <w:lvlText w:val=""/>
      <w:lvlJc w:val="left"/>
      <w:pPr>
        <w:ind w:left="3981" w:hanging="360"/>
      </w:pPr>
      <w:rPr>
        <w:rFonts w:ascii="Wingdings" w:hAnsi="Wingdings" w:hint="default"/>
      </w:rPr>
    </w:lvl>
  </w:abstractNum>
  <w:abstractNum w:abstractNumId="19" w15:restartNumberingAfterBreak="0">
    <w:nsid w:val="25735821"/>
    <w:multiLevelType w:val="hybridMultilevel"/>
    <w:tmpl w:val="8780CCA6"/>
    <w:lvl w:ilvl="0" w:tplc="5C56D060">
      <w:numFmt w:val="bullet"/>
      <w:lvlText w:val="•"/>
      <w:lvlJc w:val="left"/>
      <w:pPr>
        <w:ind w:left="720" w:hanging="360"/>
      </w:pPr>
      <w:rPr>
        <w:rFonts w:ascii="TheSansLight-Plain" w:eastAsiaTheme="minorHAnsi" w:hAnsi="TheSansLight-Plain" w:cs="TheSansLight-Plain" w:hint="default"/>
        <w:sz w:val="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83947C2"/>
    <w:multiLevelType w:val="multilevel"/>
    <w:tmpl w:val="50B20D3A"/>
    <w:numStyleLink w:val="TableNumberedListSmall"/>
  </w:abstractNum>
  <w:abstractNum w:abstractNumId="21" w15:restartNumberingAfterBreak="0">
    <w:nsid w:val="29F60073"/>
    <w:multiLevelType w:val="multilevel"/>
    <w:tmpl w:val="0D7A3E7A"/>
    <w:lvl w:ilvl="0">
      <w:start w:val="1"/>
      <w:numFmt w:val="decimal"/>
      <w:lvlRestart w:val="0"/>
      <w:pStyle w:val="TableNumberedList1"/>
      <w:lvlText w:val="%1"/>
      <w:lvlJc w:val="left"/>
      <w:pPr>
        <w:tabs>
          <w:tab w:val="num" w:pos="283"/>
        </w:tabs>
        <w:ind w:left="284" w:hanging="284"/>
      </w:pPr>
      <w:rPr>
        <w:rFonts w:asciiTheme="minorHAnsi" w:hAnsiTheme="minorHAnsi" w:hint="default"/>
        <w:b w:val="0"/>
        <w:i w:val="0"/>
        <w:color w:val="auto"/>
        <w:sz w:val="18"/>
      </w:rPr>
    </w:lvl>
    <w:lvl w:ilvl="1">
      <w:start w:val="1"/>
      <w:numFmt w:val="lowerLetter"/>
      <w:lvlRestart w:val="0"/>
      <w:pStyle w:val="TableNumberedList2"/>
      <w:lvlText w:val="%2"/>
      <w:lvlJc w:val="left"/>
      <w:pPr>
        <w:tabs>
          <w:tab w:val="num" w:pos="567"/>
        </w:tabs>
        <w:ind w:left="567" w:hanging="283"/>
      </w:pPr>
      <w:rPr>
        <w:rFonts w:hint="default"/>
        <w:b w:val="0"/>
        <w:i w:val="0"/>
        <w:color w:val="auto"/>
        <w:szCs w:val="10"/>
      </w:rPr>
    </w:lvl>
    <w:lvl w:ilvl="2">
      <w:start w:val="1"/>
      <w:numFmt w:val="lowerRoman"/>
      <w:lvlRestart w:val="0"/>
      <w:pStyle w:val="TableNumberedList3"/>
      <w:lvlText w:val="%3"/>
      <w:lvlJc w:val="left"/>
      <w:pPr>
        <w:tabs>
          <w:tab w:val="num" w:pos="851"/>
        </w:tabs>
        <w:ind w:left="851" w:hanging="284"/>
      </w:pPr>
      <w:rPr>
        <w:rFonts w:asciiTheme="minorHAnsi" w:hAnsiTheme="minorHAnsi" w:hint="default"/>
        <w:b w:val="0"/>
        <w:i w:val="0"/>
        <w:color w:val="auto"/>
        <w:sz w:val="18"/>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2" w15:restartNumberingAfterBreak="0">
    <w:nsid w:val="2BF876DE"/>
    <w:multiLevelType w:val="multilevel"/>
    <w:tmpl w:val="B7F496D4"/>
    <w:lvl w:ilvl="0">
      <w:start w:val="1"/>
      <w:numFmt w:val="bullet"/>
      <w:lvlRestart w:val="0"/>
      <w:pStyle w:val="TableBullet1Small"/>
      <w:lvlText w:val=""/>
      <w:lvlJc w:val="left"/>
      <w:pPr>
        <w:tabs>
          <w:tab w:val="num" w:pos="284"/>
        </w:tabs>
        <w:ind w:left="170" w:hanging="170"/>
      </w:pPr>
      <w:rPr>
        <w:rFonts w:ascii="Symbol" w:hAnsi="Symbol" w:hint="default"/>
        <w:b w:val="0"/>
        <w:i w:val="0"/>
        <w:color w:val="auto"/>
      </w:rPr>
    </w:lvl>
    <w:lvl w:ilvl="1">
      <w:start w:val="1"/>
      <w:numFmt w:val="bullet"/>
      <w:lvlRestart w:val="0"/>
      <w:pStyle w:val="TableBullet2Small"/>
      <w:lvlText w:val="–"/>
      <w:lvlJc w:val="left"/>
      <w:pPr>
        <w:tabs>
          <w:tab w:val="num" w:pos="567"/>
        </w:tabs>
        <w:ind w:left="340" w:hanging="170"/>
      </w:pPr>
      <w:rPr>
        <w:rFonts w:ascii="Arial" w:hAnsi="Arial" w:hint="default"/>
        <w:b w:val="0"/>
        <w:i w:val="0"/>
        <w:color w:val="auto"/>
      </w:rPr>
    </w:lvl>
    <w:lvl w:ilvl="2">
      <w:start w:val="1"/>
      <w:numFmt w:val="bullet"/>
      <w:lvlRestart w:val="0"/>
      <w:pStyle w:val="TableBullet3Small"/>
      <w:lvlText w:val="o"/>
      <w:lvlJc w:val="left"/>
      <w:pPr>
        <w:tabs>
          <w:tab w:val="num" w:pos="851"/>
        </w:tabs>
        <w:ind w:left="510" w:hanging="170"/>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23" w15:restartNumberingAfterBreak="0">
    <w:nsid w:val="2E9243B1"/>
    <w:multiLevelType w:val="hybridMultilevel"/>
    <w:tmpl w:val="409C1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07E06FA"/>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30D10A32"/>
    <w:multiLevelType w:val="hybridMultilevel"/>
    <w:tmpl w:val="8FC64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2D7125E"/>
    <w:multiLevelType w:val="multilevel"/>
    <w:tmpl w:val="8E0CCD38"/>
    <w:styleLink w:val="CV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6260DFC"/>
    <w:multiLevelType w:val="hybridMultilevel"/>
    <w:tmpl w:val="55749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78D5E27"/>
    <w:multiLevelType w:val="hybridMultilevel"/>
    <w:tmpl w:val="6C1609A0"/>
    <w:name w:val="NumberedLists"/>
    <w:lvl w:ilvl="0" w:tplc="978EC44E">
      <w:start w:val="1"/>
      <w:numFmt w:val="bullet"/>
      <w:lvlText w:val="-"/>
      <w:lvlJc w:val="left"/>
      <w:pPr>
        <w:tabs>
          <w:tab w:val="num" w:pos="720"/>
        </w:tabs>
        <w:ind w:left="720" w:hanging="360"/>
      </w:pPr>
      <w:rPr>
        <w:rFonts w:ascii="Times New Roman" w:hAnsi="Times New Roman" w:hint="default"/>
      </w:rPr>
    </w:lvl>
    <w:lvl w:ilvl="1" w:tplc="642E94AA" w:tentative="1">
      <w:start w:val="1"/>
      <w:numFmt w:val="bullet"/>
      <w:lvlText w:val="-"/>
      <w:lvlJc w:val="left"/>
      <w:pPr>
        <w:tabs>
          <w:tab w:val="num" w:pos="1440"/>
        </w:tabs>
        <w:ind w:left="1440" w:hanging="360"/>
      </w:pPr>
      <w:rPr>
        <w:rFonts w:ascii="Times New Roman" w:hAnsi="Times New Roman" w:hint="default"/>
      </w:rPr>
    </w:lvl>
    <w:lvl w:ilvl="2" w:tplc="DAC44BAE" w:tentative="1">
      <w:start w:val="1"/>
      <w:numFmt w:val="bullet"/>
      <w:lvlText w:val="-"/>
      <w:lvlJc w:val="left"/>
      <w:pPr>
        <w:tabs>
          <w:tab w:val="num" w:pos="2160"/>
        </w:tabs>
        <w:ind w:left="2160" w:hanging="360"/>
      </w:pPr>
      <w:rPr>
        <w:rFonts w:ascii="Times New Roman" w:hAnsi="Times New Roman" w:hint="default"/>
      </w:rPr>
    </w:lvl>
    <w:lvl w:ilvl="3" w:tplc="C792D91A" w:tentative="1">
      <w:start w:val="1"/>
      <w:numFmt w:val="bullet"/>
      <w:lvlText w:val="-"/>
      <w:lvlJc w:val="left"/>
      <w:pPr>
        <w:tabs>
          <w:tab w:val="num" w:pos="2880"/>
        </w:tabs>
        <w:ind w:left="2880" w:hanging="360"/>
      </w:pPr>
      <w:rPr>
        <w:rFonts w:ascii="Times New Roman" w:hAnsi="Times New Roman" w:hint="default"/>
      </w:rPr>
    </w:lvl>
    <w:lvl w:ilvl="4" w:tplc="414C920C" w:tentative="1">
      <w:start w:val="1"/>
      <w:numFmt w:val="bullet"/>
      <w:lvlText w:val="-"/>
      <w:lvlJc w:val="left"/>
      <w:pPr>
        <w:tabs>
          <w:tab w:val="num" w:pos="3600"/>
        </w:tabs>
        <w:ind w:left="3600" w:hanging="360"/>
      </w:pPr>
      <w:rPr>
        <w:rFonts w:ascii="Times New Roman" w:hAnsi="Times New Roman" w:hint="default"/>
      </w:rPr>
    </w:lvl>
    <w:lvl w:ilvl="5" w:tplc="531A9BB8" w:tentative="1">
      <w:start w:val="1"/>
      <w:numFmt w:val="bullet"/>
      <w:lvlText w:val="-"/>
      <w:lvlJc w:val="left"/>
      <w:pPr>
        <w:tabs>
          <w:tab w:val="num" w:pos="4320"/>
        </w:tabs>
        <w:ind w:left="4320" w:hanging="360"/>
      </w:pPr>
      <w:rPr>
        <w:rFonts w:ascii="Times New Roman" w:hAnsi="Times New Roman" w:hint="default"/>
      </w:rPr>
    </w:lvl>
    <w:lvl w:ilvl="6" w:tplc="8D7C4DA8" w:tentative="1">
      <w:start w:val="1"/>
      <w:numFmt w:val="bullet"/>
      <w:lvlText w:val="-"/>
      <w:lvlJc w:val="left"/>
      <w:pPr>
        <w:tabs>
          <w:tab w:val="num" w:pos="5040"/>
        </w:tabs>
        <w:ind w:left="5040" w:hanging="360"/>
      </w:pPr>
      <w:rPr>
        <w:rFonts w:ascii="Times New Roman" w:hAnsi="Times New Roman" w:hint="default"/>
      </w:rPr>
    </w:lvl>
    <w:lvl w:ilvl="7" w:tplc="8150675A" w:tentative="1">
      <w:start w:val="1"/>
      <w:numFmt w:val="bullet"/>
      <w:lvlText w:val="-"/>
      <w:lvlJc w:val="left"/>
      <w:pPr>
        <w:tabs>
          <w:tab w:val="num" w:pos="5760"/>
        </w:tabs>
        <w:ind w:left="5760" w:hanging="360"/>
      </w:pPr>
      <w:rPr>
        <w:rFonts w:ascii="Times New Roman" w:hAnsi="Times New Roman" w:hint="default"/>
      </w:rPr>
    </w:lvl>
    <w:lvl w:ilvl="8" w:tplc="454A8D4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394D0ACB"/>
    <w:multiLevelType w:val="multilevel"/>
    <w:tmpl w:val="87BA7002"/>
    <w:lvl w:ilvl="0">
      <w:start w:val="1"/>
      <w:numFmt w:val="bullet"/>
      <w:lvlText w:val=""/>
      <w:lvlJc w:val="left"/>
      <w:pPr>
        <w:ind w:left="0" w:firstLine="0"/>
      </w:pPr>
      <w:rPr>
        <w:rFonts w:ascii="Symbol" w:hAnsi="Symbol" w:hint="default"/>
        <w:color w:val="auto"/>
      </w:rPr>
    </w:lvl>
    <w:lvl w:ilvl="1">
      <w:start w:val="1"/>
      <w:numFmt w:val="none"/>
      <w:suff w:val="nothing"/>
      <w:lvlText w:val=""/>
      <w:lvlJc w:val="left"/>
      <w:pPr>
        <w:ind w:left="284" w:firstLine="0"/>
      </w:pPr>
      <w:rPr>
        <w:rFonts w:hint="default"/>
      </w:rPr>
    </w:lvl>
    <w:lvl w:ilvl="2">
      <w:start w:val="1"/>
      <w:numFmt w:val="none"/>
      <w:suff w:val="nothing"/>
      <w:lvlText w:val=""/>
      <w:lvlJc w:val="left"/>
      <w:pPr>
        <w:ind w:left="568" w:firstLine="0"/>
      </w:pPr>
      <w:rPr>
        <w:rFonts w:hint="default"/>
      </w:rPr>
    </w:lvl>
    <w:lvl w:ilvl="3">
      <w:start w:val="1"/>
      <w:numFmt w:val="none"/>
      <w:suff w:val="nothing"/>
      <w:lvlText w:val=""/>
      <w:lvlJc w:val="left"/>
      <w:pPr>
        <w:ind w:left="852" w:firstLine="0"/>
      </w:pPr>
      <w:rPr>
        <w:rFonts w:hint="default"/>
      </w:rPr>
    </w:lvl>
    <w:lvl w:ilvl="4">
      <w:start w:val="1"/>
      <w:numFmt w:val="none"/>
      <w:suff w:val="nothing"/>
      <w:lvlText w:val=""/>
      <w:lvlJc w:val="left"/>
      <w:pPr>
        <w:ind w:left="1136" w:firstLine="0"/>
      </w:pPr>
      <w:rPr>
        <w:rFonts w:hint="default"/>
      </w:rPr>
    </w:lvl>
    <w:lvl w:ilvl="5">
      <w:start w:val="1"/>
      <w:numFmt w:val="none"/>
      <w:suff w:val="nothing"/>
      <w:lvlText w:val=""/>
      <w:lvlJc w:val="left"/>
      <w:pPr>
        <w:ind w:left="1420" w:firstLine="0"/>
      </w:pPr>
      <w:rPr>
        <w:rFonts w:hint="default"/>
      </w:rPr>
    </w:lvl>
    <w:lvl w:ilvl="6">
      <w:start w:val="1"/>
      <w:numFmt w:val="none"/>
      <w:suff w:val="nothing"/>
      <w:lvlText w:val=""/>
      <w:lvlJc w:val="left"/>
      <w:pPr>
        <w:ind w:left="1704" w:firstLine="0"/>
      </w:pPr>
      <w:rPr>
        <w:rFonts w:hint="default"/>
      </w:rPr>
    </w:lvl>
    <w:lvl w:ilvl="7">
      <w:start w:val="1"/>
      <w:numFmt w:val="none"/>
      <w:suff w:val="nothing"/>
      <w:lvlText w:val=""/>
      <w:lvlJc w:val="left"/>
      <w:pPr>
        <w:ind w:left="1988" w:firstLine="0"/>
      </w:pPr>
      <w:rPr>
        <w:rFonts w:hint="default"/>
      </w:rPr>
    </w:lvl>
    <w:lvl w:ilvl="8">
      <w:start w:val="1"/>
      <w:numFmt w:val="none"/>
      <w:suff w:val="nothing"/>
      <w:lvlText w:val=""/>
      <w:lvlJc w:val="left"/>
      <w:pPr>
        <w:ind w:left="2272" w:firstLine="0"/>
      </w:pPr>
      <w:rPr>
        <w:rFonts w:hint="default"/>
      </w:rPr>
    </w:lvl>
  </w:abstractNum>
  <w:abstractNum w:abstractNumId="30" w15:restartNumberingAfterBreak="0">
    <w:nsid w:val="3A6C7244"/>
    <w:multiLevelType w:val="hybridMultilevel"/>
    <w:tmpl w:val="5FB29FB6"/>
    <w:lvl w:ilvl="0" w:tplc="9DD2FC9E">
      <w:start w:val="1"/>
      <w:numFmt w:val="bullet"/>
      <w:lvlText w:val=""/>
      <w:lvlJc w:val="left"/>
      <w:pPr>
        <w:ind w:left="72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C0E36A0"/>
    <w:multiLevelType w:val="hybridMultilevel"/>
    <w:tmpl w:val="19646536"/>
    <w:lvl w:ilvl="0" w:tplc="0C090001">
      <w:start w:val="1"/>
      <w:numFmt w:val="bullet"/>
      <w:lvlText w:val=""/>
      <w:lvlJc w:val="left"/>
      <w:pPr>
        <w:ind w:left="720" w:hanging="360"/>
      </w:pPr>
      <w:rPr>
        <w:rFonts w:ascii="Symbol" w:hAnsi="Symbol" w:hint="default"/>
      </w:rPr>
    </w:lvl>
    <w:lvl w:ilvl="1" w:tplc="325EAC78">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DA11BE0"/>
    <w:multiLevelType w:val="hybridMultilevel"/>
    <w:tmpl w:val="47CE2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E4F29E4"/>
    <w:multiLevelType w:val="multilevel"/>
    <w:tmpl w:val="C9904664"/>
    <w:styleLink w:val="ChapterNumberingList0"/>
    <w:lvl w:ilvl="0">
      <w:start w:val="1"/>
      <w:numFmt w:val="decimal"/>
      <w:lvlRestart w:val="0"/>
      <w:suff w:val="nothing"/>
      <w:lvlText w:val="%1"/>
      <w:lvlJc w:val="left"/>
      <w:pPr>
        <w:ind w:left="0" w:firstLine="0"/>
      </w:pPr>
      <w:rPr>
        <w:rFonts w:hint="default"/>
      </w:rPr>
    </w:lvl>
    <w:lvl w:ilvl="1">
      <w:start w:val="1"/>
      <w:numFmt w:val="decimal"/>
      <w:lvlRestart w:val="0"/>
      <w:lvlText w:val="%2"/>
      <w:lvlJc w:val="left"/>
      <w:pPr>
        <w:tabs>
          <w:tab w:val="num" w:pos="850"/>
        </w:tabs>
        <w:ind w:left="850" w:hanging="850"/>
      </w:pPr>
      <w:rPr>
        <w:rFonts w:hint="default"/>
      </w:rPr>
    </w:lvl>
    <w:lvl w:ilvl="2">
      <w:start w:val="1"/>
      <w:numFmt w:val="decimal"/>
      <w:lvlText w:val="%2.%3"/>
      <w:lvlJc w:val="left"/>
      <w:pPr>
        <w:tabs>
          <w:tab w:val="num" w:pos="850"/>
        </w:tabs>
        <w:ind w:left="850" w:hanging="850"/>
      </w:pPr>
      <w:rPr>
        <w:rFonts w:hint="default"/>
      </w:rPr>
    </w:lvl>
    <w:lvl w:ilvl="3">
      <w:start w:val="1"/>
      <w:numFmt w:val="decimal"/>
      <w:lvlText w:val="%2.%3.%4"/>
      <w:lvlJc w:val="left"/>
      <w:pPr>
        <w:tabs>
          <w:tab w:val="num" w:pos="850"/>
        </w:tabs>
        <w:ind w:left="850" w:hanging="850"/>
      </w:pPr>
      <w:rPr>
        <w:rFonts w:hint="default"/>
      </w:rPr>
    </w:lvl>
    <w:lvl w:ilvl="4">
      <w:start w:val="1"/>
      <w:numFmt w:val="upperLetter"/>
      <w:lvlRestart w:val="0"/>
      <w:lvlText w:val="Appendix %5"/>
      <w:lvlJc w:val="left"/>
      <w:pPr>
        <w:tabs>
          <w:tab w:val="num" w:pos="3685"/>
        </w:tabs>
        <w:ind w:left="0" w:firstLine="0"/>
      </w:pPr>
      <w:rPr>
        <w:rFonts w:hint="default"/>
      </w:rPr>
    </w:lvl>
    <w:lvl w:ilvl="5">
      <w:start w:val="1"/>
      <w:numFmt w:val="upperLetter"/>
      <w:lvlRestart w:val="0"/>
      <w:suff w:val="nothing"/>
      <w:lvlText w:val="Appendix %6"/>
      <w:lvlJc w:val="left"/>
      <w:pPr>
        <w:ind w:left="0" w:firstLine="0"/>
      </w:pPr>
      <w:rPr>
        <w:rFonts w:hint="default"/>
      </w:rPr>
    </w:lvl>
    <w:lvl w:ilvl="6">
      <w:start w:val="1"/>
      <w:numFmt w:val="decimal"/>
      <w:lvlText w:val="%7"/>
      <w:lvlJc w:val="left"/>
      <w:pPr>
        <w:tabs>
          <w:tab w:val="num" w:pos="567"/>
        </w:tabs>
        <w:ind w:left="567" w:hanging="567"/>
      </w:pPr>
      <w:rPr>
        <w:rFonts w:hint="default"/>
        <w:b/>
        <w:i/>
      </w:rPr>
    </w:lvl>
    <w:lvl w:ilvl="7">
      <w:start w:val="1"/>
      <w:numFmt w:val="decimal"/>
      <w:lvlText w:val="%8"/>
      <w:lvlJc w:val="left"/>
      <w:pPr>
        <w:tabs>
          <w:tab w:val="num" w:pos="284"/>
        </w:tabs>
        <w:ind w:left="284" w:hanging="284"/>
      </w:pPr>
      <w:rPr>
        <w:rFonts w:hint="default"/>
        <w:b w:val="0"/>
        <w:i w:val="0"/>
        <w:color w:val="auto"/>
      </w:rPr>
    </w:lvl>
    <w:lvl w:ilvl="8">
      <w:start w:val="1"/>
      <w:numFmt w:val="lowerLetter"/>
      <w:lvlText w:val="%9"/>
      <w:lvlJc w:val="left"/>
      <w:pPr>
        <w:tabs>
          <w:tab w:val="num" w:pos="567"/>
        </w:tabs>
        <w:ind w:left="567" w:hanging="283"/>
      </w:pPr>
      <w:rPr>
        <w:rFonts w:hint="default"/>
        <w:b w:val="0"/>
        <w:i w:val="0"/>
        <w:color w:val="auto"/>
      </w:rPr>
    </w:lvl>
  </w:abstractNum>
  <w:abstractNum w:abstractNumId="34" w15:restartNumberingAfterBreak="0">
    <w:nsid w:val="3EE52A50"/>
    <w:multiLevelType w:val="multilevel"/>
    <w:tmpl w:val="EE12AE72"/>
    <w:styleLink w:val="PwCAppendixList1"/>
    <w:lvl w:ilvl="0">
      <w:start w:val="1"/>
      <w:numFmt w:val="upperLetter"/>
      <w:pStyle w:val="Appendix"/>
      <w:lvlText w:val="Appendix %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460B564E"/>
    <w:multiLevelType w:val="multilevel"/>
    <w:tmpl w:val="D5EA105E"/>
    <w:styleLink w:val="TableBulletSmallList"/>
    <w:lvl w:ilvl="0">
      <w:start w:val="1"/>
      <w:numFmt w:val="bullet"/>
      <w:lvlRestart w:val="0"/>
      <w:lvlText w:val=""/>
      <w:lvlJc w:val="left"/>
      <w:pPr>
        <w:tabs>
          <w:tab w:val="num" w:pos="284"/>
        </w:tabs>
        <w:ind w:left="284" w:hanging="284"/>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2880"/>
        </w:tabs>
        <w:ind w:left="2880" w:hanging="720"/>
      </w:pPr>
      <w:rPr>
        <w:rFonts w:hint="default"/>
        <w:b w:val="0"/>
        <w:i w:val="0"/>
        <w:color w:val="auto"/>
        <w:sz w:val="10"/>
        <w:szCs w:val="10"/>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36" w15:restartNumberingAfterBreak="0">
    <w:nsid w:val="46310048"/>
    <w:multiLevelType w:val="hybridMultilevel"/>
    <w:tmpl w:val="E766E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6AF6038"/>
    <w:multiLevelType w:val="hybridMultilevel"/>
    <w:tmpl w:val="2618E1BC"/>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AAB5470"/>
    <w:multiLevelType w:val="multilevel"/>
    <w:tmpl w:val="540E0A8E"/>
    <w:lvl w:ilvl="0">
      <w:start w:val="1"/>
      <w:numFmt w:val="bullet"/>
      <w:lvlRestart w:val="0"/>
      <w:pStyle w:val="ListBullet"/>
      <w:lvlText w:val=""/>
      <w:lvlJc w:val="left"/>
      <w:pPr>
        <w:tabs>
          <w:tab w:val="num" w:pos="284"/>
        </w:tabs>
        <w:ind w:left="284" w:hanging="284"/>
      </w:pPr>
      <w:rPr>
        <w:rFonts w:ascii="Symbol" w:hAnsi="Symbol" w:hint="default"/>
        <w:b w:val="0"/>
        <w:i w:val="0"/>
        <w:color w:val="auto"/>
      </w:rPr>
    </w:lvl>
    <w:lvl w:ilvl="1">
      <w:start w:val="1"/>
      <w:numFmt w:val="bullet"/>
      <w:lvlText w:val="–"/>
      <w:lvlJc w:val="left"/>
      <w:pPr>
        <w:tabs>
          <w:tab w:val="num" w:pos="567"/>
        </w:tabs>
        <w:ind w:left="568" w:hanging="284"/>
      </w:pPr>
      <w:rPr>
        <w:rFonts w:ascii="Arial" w:hAnsi="Arial" w:hint="default"/>
        <w:b w:val="0"/>
        <w:i w:val="0"/>
        <w:color w:val="auto"/>
      </w:rPr>
    </w:lvl>
    <w:lvl w:ilvl="2">
      <w:start w:val="1"/>
      <w:numFmt w:val="bullet"/>
      <w:lvlText w:val="◦"/>
      <w:lvlJc w:val="left"/>
      <w:pPr>
        <w:tabs>
          <w:tab w:val="num" w:pos="851"/>
        </w:tabs>
        <w:ind w:left="852" w:hanging="284"/>
      </w:pPr>
      <w:rPr>
        <w:rFonts w:ascii="Georgia" w:hAnsi="Georgia" w:hint="default"/>
        <w:b w:val="0"/>
        <w:i w:val="0"/>
        <w:color w:val="auto"/>
        <w:sz w:val="18"/>
        <w:szCs w:val="10"/>
      </w:rPr>
    </w:lvl>
    <w:lvl w:ilvl="3">
      <w:start w:val="1"/>
      <w:numFmt w:val="bullet"/>
      <w:lvlText w:val=""/>
      <w:lvlJc w:val="left"/>
      <w:pPr>
        <w:tabs>
          <w:tab w:val="num" w:pos="1134"/>
        </w:tabs>
        <w:ind w:left="1136" w:hanging="284"/>
      </w:pPr>
      <w:rPr>
        <w:rFonts w:ascii="Symbol" w:hAnsi="Symbol" w:hint="default"/>
        <w:b w:val="0"/>
        <w:i w:val="0"/>
        <w:color w:val="auto"/>
        <w:sz w:val="20"/>
        <w:szCs w:val="10"/>
      </w:rPr>
    </w:lvl>
    <w:lvl w:ilvl="4">
      <w:start w:val="1"/>
      <w:numFmt w:val="bullet"/>
      <w:lvlText w:val="~"/>
      <w:lvlJc w:val="left"/>
      <w:pPr>
        <w:tabs>
          <w:tab w:val="num" w:pos="1418"/>
        </w:tabs>
        <w:ind w:left="1420" w:hanging="284"/>
      </w:pPr>
      <w:rPr>
        <w:rFonts w:ascii="Georgia" w:hAnsi="Georgia" w:hint="default"/>
        <w:color w:val="auto"/>
      </w:rPr>
    </w:lvl>
    <w:lvl w:ilvl="5">
      <w:start w:val="1"/>
      <w:numFmt w:val="lowerRoman"/>
      <w:lvlText w:val="%6"/>
      <w:lvlJc w:val="left"/>
      <w:pPr>
        <w:tabs>
          <w:tab w:val="num" w:pos="1701"/>
        </w:tabs>
        <w:ind w:left="1361" w:firstLine="59"/>
      </w:pPr>
      <w:rPr>
        <w:rFonts w:hint="default"/>
      </w:rPr>
    </w:lvl>
    <w:lvl w:ilvl="6">
      <w:start w:val="1"/>
      <w:numFmt w:val="decimal"/>
      <w:lvlText w:val="%7"/>
      <w:lvlJc w:val="left"/>
      <w:pPr>
        <w:tabs>
          <w:tab w:val="num" w:pos="1985"/>
        </w:tabs>
        <w:ind w:left="1985" w:hanging="964"/>
      </w:pPr>
      <w:rPr>
        <w:rFonts w:hint="default"/>
      </w:rPr>
    </w:lvl>
    <w:lvl w:ilvl="7">
      <w:start w:val="1"/>
      <w:numFmt w:val="lowerLetter"/>
      <w:lvlText w:val="%8"/>
      <w:lvlJc w:val="left"/>
      <w:pPr>
        <w:tabs>
          <w:tab w:val="num" w:pos="2268"/>
        </w:tabs>
        <w:ind w:left="2211" w:hanging="226"/>
      </w:pPr>
      <w:rPr>
        <w:rFonts w:hint="default"/>
      </w:rPr>
    </w:lvl>
    <w:lvl w:ilvl="8">
      <w:start w:val="1"/>
      <w:numFmt w:val="lowerRoman"/>
      <w:lvlText w:val="%9"/>
      <w:lvlJc w:val="left"/>
      <w:pPr>
        <w:tabs>
          <w:tab w:val="num" w:pos="2552"/>
        </w:tabs>
        <w:ind w:left="2552" w:hanging="284"/>
      </w:pPr>
      <w:rPr>
        <w:rFonts w:hint="default"/>
      </w:rPr>
    </w:lvl>
  </w:abstractNum>
  <w:abstractNum w:abstractNumId="39" w15:restartNumberingAfterBreak="0">
    <w:nsid w:val="4D8C2F25"/>
    <w:multiLevelType w:val="multilevel"/>
    <w:tmpl w:val="6E008996"/>
    <w:lvl w:ilvl="0">
      <w:start w:val="1"/>
      <w:numFmt w:val="bullet"/>
      <w:lvlRestart w:val="0"/>
      <w:pStyle w:val="TableBullet1Normal"/>
      <w:lvlText w:val=""/>
      <w:lvlJc w:val="left"/>
      <w:pPr>
        <w:tabs>
          <w:tab w:val="num" w:pos="283"/>
        </w:tabs>
        <w:ind w:left="284" w:hanging="284"/>
      </w:pPr>
      <w:rPr>
        <w:rFonts w:ascii="Symbol" w:hAnsi="Symbol" w:hint="default"/>
        <w:b w:val="0"/>
        <w:i w:val="0"/>
        <w:color w:val="auto"/>
      </w:rPr>
    </w:lvl>
    <w:lvl w:ilvl="1">
      <w:start w:val="1"/>
      <w:numFmt w:val="bullet"/>
      <w:lvlRestart w:val="0"/>
      <w:pStyle w:val="TableBullet2Normal"/>
      <w:lvlText w:val="–"/>
      <w:lvlJc w:val="left"/>
      <w:pPr>
        <w:tabs>
          <w:tab w:val="num" w:pos="567"/>
        </w:tabs>
        <w:ind w:left="567" w:hanging="283"/>
      </w:pPr>
      <w:rPr>
        <w:rFonts w:ascii="Arial" w:hAnsi="Arial" w:hint="default"/>
        <w:b w:val="0"/>
        <w:i w:val="0"/>
        <w:color w:val="auto"/>
        <w:szCs w:val="10"/>
      </w:rPr>
    </w:lvl>
    <w:lvl w:ilvl="2">
      <w:start w:val="1"/>
      <w:numFmt w:val="bullet"/>
      <w:lvlRestart w:val="0"/>
      <w:pStyle w:val="TableBullet3Normal"/>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40" w15:restartNumberingAfterBreak="0">
    <w:nsid w:val="518C39C9"/>
    <w:multiLevelType w:val="multilevel"/>
    <w:tmpl w:val="D93463A2"/>
    <w:styleLink w:val="Style1"/>
    <w:lvl w:ilvl="0">
      <w:start w:val="1"/>
      <w:numFmt w:val="decimal"/>
      <w:pStyle w:val="TOC1"/>
      <w:lvlText w:val="%1"/>
      <w:lvlJc w:val="left"/>
      <w:pPr>
        <w:tabs>
          <w:tab w:val="num" w:pos="567"/>
        </w:tabs>
        <w:ind w:left="567" w:hanging="567"/>
      </w:pPr>
      <w:rPr>
        <w:rFonts w:hint="default"/>
      </w:rPr>
    </w:lvl>
    <w:lvl w:ilvl="1">
      <w:start w:val="1"/>
      <w:numFmt w:val="none"/>
      <w:pStyle w:val="Appendicestitle"/>
      <w:suff w:val="nothing"/>
      <w:lvlText w:val=""/>
      <w:lvlJc w:val="left"/>
      <w:pPr>
        <w:ind w:left="0" w:firstLine="0"/>
      </w:pPr>
      <w:rPr>
        <w:rFonts w:hint="default"/>
      </w:rPr>
    </w:lvl>
    <w:lvl w:ilvl="2">
      <w:start w:val="1"/>
      <w:numFmt w:val="upperLetter"/>
      <w:pStyle w:val="TOC3"/>
      <w:lvlText w:val="Appendix %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52B11EBF"/>
    <w:multiLevelType w:val="hybridMultilevel"/>
    <w:tmpl w:val="7DBAA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49C299D"/>
    <w:multiLevelType w:val="hybridMultilevel"/>
    <w:tmpl w:val="6AB4D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DB000E1"/>
    <w:multiLevelType w:val="multilevel"/>
    <w:tmpl w:val="1AC41378"/>
    <w:name w:val="Chapter numbering list"/>
    <w:lvl w:ilvl="0">
      <w:start w:val="1"/>
      <w:numFmt w:val="decimal"/>
      <w:lvlRestart w:val="0"/>
      <w:pStyle w:val="ChapterNumberLong"/>
      <w:suff w:val="nothing"/>
      <w:lvlText w:val="%1"/>
      <w:lvlJc w:val="left"/>
      <w:pPr>
        <w:ind w:left="0" w:firstLine="0"/>
      </w:pPr>
      <w:rPr>
        <w:rFonts w:hint="default"/>
      </w:rPr>
    </w:lvl>
    <w:lvl w:ilvl="1">
      <w:start w:val="1"/>
      <w:numFmt w:val="decimal"/>
      <w:lvlRestart w:val="0"/>
      <w:pStyle w:val="Heading2"/>
      <w:lvlText w:val="%2"/>
      <w:lvlJc w:val="left"/>
      <w:pPr>
        <w:tabs>
          <w:tab w:val="num" w:pos="850"/>
        </w:tabs>
        <w:ind w:left="850" w:hanging="850"/>
      </w:pPr>
      <w:rPr>
        <w:rFonts w:hint="default"/>
      </w:rPr>
    </w:lvl>
    <w:lvl w:ilvl="2">
      <w:start w:val="1"/>
      <w:numFmt w:val="decimal"/>
      <w:pStyle w:val="Heading6"/>
      <w:lvlText w:val="%2.%3"/>
      <w:lvlJc w:val="left"/>
      <w:pPr>
        <w:tabs>
          <w:tab w:val="num" w:pos="850"/>
        </w:tabs>
        <w:ind w:left="850" w:hanging="850"/>
      </w:pPr>
      <w:rPr>
        <w:rFonts w:hint="default"/>
      </w:rPr>
    </w:lvl>
    <w:lvl w:ilvl="3">
      <w:start w:val="1"/>
      <w:numFmt w:val="decimal"/>
      <w:pStyle w:val="Heading7"/>
      <w:lvlText w:val="%2.%3.%4"/>
      <w:lvlJc w:val="left"/>
      <w:pPr>
        <w:tabs>
          <w:tab w:val="num" w:pos="850"/>
        </w:tabs>
        <w:ind w:left="850" w:hanging="850"/>
      </w:pPr>
      <w:rPr>
        <w:rFonts w:hint="default"/>
      </w:rPr>
    </w:lvl>
    <w:lvl w:ilvl="4">
      <w:start w:val="1"/>
      <w:numFmt w:val="upperLetter"/>
      <w:lvlRestart w:val="0"/>
      <w:pStyle w:val="Heading4"/>
      <w:lvlText w:val="Appendix %5"/>
      <w:lvlJc w:val="left"/>
      <w:pPr>
        <w:tabs>
          <w:tab w:val="num" w:pos="3685"/>
        </w:tabs>
        <w:ind w:left="0" w:firstLine="0"/>
      </w:pPr>
      <w:rPr>
        <w:rFonts w:hint="default"/>
      </w:rPr>
    </w:lvl>
    <w:lvl w:ilvl="5">
      <w:start w:val="1"/>
      <w:numFmt w:val="upperLetter"/>
      <w:lvlRestart w:val="0"/>
      <w:pStyle w:val="AppendixNumberLong"/>
      <w:suff w:val="nothing"/>
      <w:lvlText w:val="%6"/>
      <w:lvlJc w:val="left"/>
      <w:pPr>
        <w:ind w:left="0" w:firstLine="0"/>
      </w:pPr>
      <w:rPr>
        <w:rFonts w:hint="default"/>
      </w:rPr>
    </w:lvl>
    <w:lvl w:ilvl="6">
      <w:start w:val="1"/>
      <w:numFmt w:val="decimal"/>
      <w:pStyle w:val="Heading8"/>
      <w:lvlText w:val="%7"/>
      <w:lvlJc w:val="left"/>
      <w:pPr>
        <w:tabs>
          <w:tab w:val="num" w:pos="567"/>
        </w:tabs>
        <w:ind w:left="567" w:hanging="567"/>
      </w:pPr>
      <w:rPr>
        <w:rFonts w:hint="default"/>
      </w:rPr>
    </w:lvl>
    <w:lvl w:ilvl="7">
      <w:start w:val="1"/>
      <w:numFmt w:val="decimal"/>
      <w:pStyle w:val="ChapterNumberedList1"/>
      <w:lvlText w:val="%8"/>
      <w:lvlJc w:val="left"/>
      <w:pPr>
        <w:tabs>
          <w:tab w:val="num" w:pos="567"/>
        </w:tabs>
        <w:ind w:left="567" w:hanging="567"/>
      </w:pPr>
      <w:rPr>
        <w:rFonts w:hint="default"/>
        <w:color w:val="D04A02" w:themeColor="accent1"/>
      </w:rPr>
    </w:lvl>
    <w:lvl w:ilvl="8">
      <w:start w:val="1"/>
      <w:numFmt w:val="lowerLetter"/>
      <w:pStyle w:val="ChapterNumberedList2"/>
      <w:lvlText w:val="%9"/>
      <w:lvlJc w:val="left"/>
      <w:pPr>
        <w:tabs>
          <w:tab w:val="num" w:pos="1134"/>
        </w:tabs>
        <w:ind w:left="1134" w:hanging="567"/>
      </w:pPr>
      <w:rPr>
        <w:rFonts w:hint="default"/>
      </w:rPr>
    </w:lvl>
  </w:abstractNum>
  <w:abstractNum w:abstractNumId="44" w15:restartNumberingAfterBreak="0">
    <w:nsid w:val="63917BB9"/>
    <w:multiLevelType w:val="multilevel"/>
    <w:tmpl w:val="C63A1C26"/>
    <w:lvl w:ilvl="0">
      <w:start w:val="1"/>
      <w:numFmt w:val="none"/>
      <w:pStyle w:val="PwCNormal"/>
      <w:suff w:val="nothing"/>
      <w:lvlText w:val=""/>
      <w:lvlJc w:val="left"/>
      <w:pPr>
        <w:ind w:left="0" w:firstLine="0"/>
      </w:pPr>
      <w:rPr>
        <w:rFonts w:hint="default"/>
        <w:color w:val="auto"/>
      </w:rPr>
    </w:lvl>
    <w:lvl w:ilvl="1">
      <w:start w:val="1"/>
      <w:numFmt w:val="none"/>
      <w:pStyle w:val="Indent1"/>
      <w:suff w:val="nothing"/>
      <w:lvlText w:val=""/>
      <w:lvlJc w:val="left"/>
      <w:pPr>
        <w:ind w:left="284" w:firstLine="0"/>
      </w:pPr>
      <w:rPr>
        <w:rFonts w:hint="default"/>
      </w:rPr>
    </w:lvl>
    <w:lvl w:ilvl="2">
      <w:start w:val="1"/>
      <w:numFmt w:val="none"/>
      <w:pStyle w:val="Indent2"/>
      <w:suff w:val="nothing"/>
      <w:lvlText w:val=""/>
      <w:lvlJc w:val="left"/>
      <w:pPr>
        <w:ind w:left="568" w:firstLine="0"/>
      </w:pPr>
      <w:rPr>
        <w:rFonts w:hint="default"/>
      </w:rPr>
    </w:lvl>
    <w:lvl w:ilvl="3">
      <w:start w:val="1"/>
      <w:numFmt w:val="none"/>
      <w:pStyle w:val="Indent3"/>
      <w:suff w:val="nothing"/>
      <w:lvlText w:val=""/>
      <w:lvlJc w:val="left"/>
      <w:pPr>
        <w:ind w:left="852" w:firstLine="0"/>
      </w:pPr>
      <w:rPr>
        <w:rFonts w:hint="default"/>
      </w:rPr>
    </w:lvl>
    <w:lvl w:ilvl="4">
      <w:start w:val="1"/>
      <w:numFmt w:val="none"/>
      <w:pStyle w:val="Indent4"/>
      <w:suff w:val="nothing"/>
      <w:lvlText w:val=""/>
      <w:lvlJc w:val="left"/>
      <w:pPr>
        <w:ind w:left="1136" w:firstLine="0"/>
      </w:pPr>
      <w:rPr>
        <w:rFonts w:hint="default"/>
      </w:rPr>
    </w:lvl>
    <w:lvl w:ilvl="5">
      <w:start w:val="1"/>
      <w:numFmt w:val="none"/>
      <w:pStyle w:val="Indent5"/>
      <w:suff w:val="nothing"/>
      <w:lvlText w:val=""/>
      <w:lvlJc w:val="left"/>
      <w:pPr>
        <w:ind w:left="1420" w:firstLine="0"/>
      </w:pPr>
      <w:rPr>
        <w:rFonts w:hint="default"/>
      </w:rPr>
    </w:lvl>
    <w:lvl w:ilvl="6">
      <w:start w:val="1"/>
      <w:numFmt w:val="none"/>
      <w:pStyle w:val="Indent6"/>
      <w:suff w:val="nothing"/>
      <w:lvlText w:val=""/>
      <w:lvlJc w:val="left"/>
      <w:pPr>
        <w:ind w:left="1704" w:firstLine="0"/>
      </w:pPr>
      <w:rPr>
        <w:rFonts w:hint="default"/>
      </w:rPr>
    </w:lvl>
    <w:lvl w:ilvl="7">
      <w:start w:val="1"/>
      <w:numFmt w:val="none"/>
      <w:pStyle w:val="Indent7"/>
      <w:suff w:val="nothing"/>
      <w:lvlText w:val=""/>
      <w:lvlJc w:val="left"/>
      <w:pPr>
        <w:ind w:left="1988" w:firstLine="0"/>
      </w:pPr>
      <w:rPr>
        <w:rFonts w:hint="default"/>
      </w:rPr>
    </w:lvl>
    <w:lvl w:ilvl="8">
      <w:start w:val="1"/>
      <w:numFmt w:val="none"/>
      <w:pStyle w:val="Indent8"/>
      <w:suff w:val="nothing"/>
      <w:lvlText w:val=""/>
      <w:lvlJc w:val="left"/>
      <w:pPr>
        <w:ind w:left="2272" w:firstLine="0"/>
      </w:pPr>
      <w:rPr>
        <w:rFonts w:hint="default"/>
      </w:rPr>
    </w:lvl>
  </w:abstractNum>
  <w:abstractNum w:abstractNumId="45" w15:restartNumberingAfterBreak="0">
    <w:nsid w:val="63DD6653"/>
    <w:multiLevelType w:val="hybridMultilevel"/>
    <w:tmpl w:val="8DE02D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612059C"/>
    <w:multiLevelType w:val="hybridMultilevel"/>
    <w:tmpl w:val="9D66EE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81D7B9E"/>
    <w:multiLevelType w:val="hybridMultilevel"/>
    <w:tmpl w:val="49803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C8A32D2"/>
    <w:multiLevelType w:val="multilevel"/>
    <w:tmpl w:val="25800BE4"/>
    <w:styleLink w:val="TableBulletNormalList"/>
    <w:lvl w:ilvl="0">
      <w:start w:val="1"/>
      <w:numFmt w:val="bullet"/>
      <w:lvlRestart w:val="0"/>
      <w:lvlText w:val=""/>
      <w:lvlJc w:val="left"/>
      <w:pPr>
        <w:tabs>
          <w:tab w:val="num" w:pos="283"/>
        </w:tabs>
        <w:ind w:left="283" w:hanging="283"/>
      </w:pPr>
      <w:rPr>
        <w:rFonts w:ascii="Symbol" w:hAnsi="Symbol" w:hint="default"/>
        <w:b w:val="0"/>
        <w:i w:val="0"/>
        <w:color w:val="auto"/>
      </w:rPr>
    </w:lvl>
    <w:lvl w:ilvl="1">
      <w:start w:val="1"/>
      <w:numFmt w:val="bullet"/>
      <w:lvlRestart w:val="0"/>
      <w:lvlText w:val="–"/>
      <w:lvlJc w:val="left"/>
      <w:pPr>
        <w:tabs>
          <w:tab w:val="num" w:pos="567"/>
        </w:tabs>
        <w:ind w:left="567" w:hanging="283"/>
      </w:pPr>
      <w:rPr>
        <w:rFonts w:ascii="Arial" w:hAnsi="Arial" w:hint="default"/>
        <w:b w:val="0"/>
        <w:i w:val="0"/>
        <w:color w:val="auto"/>
        <w:szCs w:val="10"/>
      </w:rPr>
    </w:lvl>
    <w:lvl w:ilvl="2">
      <w:start w:val="1"/>
      <w:numFmt w:val="bullet"/>
      <w:lvlRestart w:val="0"/>
      <w:lvlText w:val="o"/>
      <w:lvlJc w:val="left"/>
      <w:pPr>
        <w:tabs>
          <w:tab w:val="num" w:pos="851"/>
        </w:tabs>
        <w:ind w:left="851" w:hanging="284"/>
      </w:pPr>
      <w:rPr>
        <w:rFonts w:ascii="Arial" w:hAnsi="Arial" w:hint="default"/>
        <w:b w:val="0"/>
        <w:i w:val="0"/>
        <w:color w:val="auto"/>
        <w:sz w:val="10"/>
        <w:szCs w:val="10"/>
      </w:rPr>
    </w:lvl>
    <w:lvl w:ilvl="3">
      <w:start w:val="1"/>
      <w:numFmt w:val="none"/>
      <w:lvlRestart w:val="0"/>
      <w:lvlText w:val=""/>
      <w:lvlJc w:val="left"/>
      <w:pPr>
        <w:tabs>
          <w:tab w:val="num" w:pos="0"/>
        </w:tabs>
        <w:ind w:left="0" w:firstLine="0"/>
      </w:pPr>
      <w:rPr>
        <w:rFonts w:hint="default"/>
        <w:color w:val="auto"/>
        <w:sz w:val="10"/>
        <w:szCs w:val="10"/>
      </w:rPr>
    </w:lvl>
    <w:lvl w:ilvl="4">
      <w:start w:val="1"/>
      <w:numFmt w:val="none"/>
      <w:lvlText w:val="%5"/>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49" w15:restartNumberingAfterBreak="0">
    <w:nsid w:val="6D9D75A0"/>
    <w:multiLevelType w:val="hybridMultilevel"/>
    <w:tmpl w:val="9CD4EF68"/>
    <w:lvl w:ilvl="0" w:tplc="5C56D060">
      <w:numFmt w:val="bullet"/>
      <w:lvlText w:val="•"/>
      <w:lvlJc w:val="left"/>
      <w:pPr>
        <w:ind w:left="720" w:hanging="360"/>
      </w:pPr>
      <w:rPr>
        <w:rFonts w:ascii="TheSansLight-Plain" w:eastAsiaTheme="minorHAnsi" w:hAnsi="TheSansLight-Plain" w:cs="TheSansLight-Plain" w:hint="default"/>
        <w:sz w:val="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46801BC"/>
    <w:multiLevelType w:val="multilevel"/>
    <w:tmpl w:val="D3A87A58"/>
    <w:numStyleLink w:val="ListBullets"/>
  </w:abstractNum>
  <w:abstractNum w:abstractNumId="51" w15:restartNumberingAfterBreak="0">
    <w:nsid w:val="74727C90"/>
    <w:multiLevelType w:val="hybridMultilevel"/>
    <w:tmpl w:val="D480C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7F65AEF"/>
    <w:multiLevelType w:val="hybridMultilevel"/>
    <w:tmpl w:val="A6E05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D7135B9"/>
    <w:multiLevelType w:val="multilevel"/>
    <w:tmpl w:val="87BA7002"/>
    <w:lvl w:ilvl="0">
      <w:start w:val="1"/>
      <w:numFmt w:val="bullet"/>
      <w:lvlText w:val=""/>
      <w:lvlJc w:val="left"/>
      <w:pPr>
        <w:ind w:left="0" w:firstLine="0"/>
      </w:pPr>
      <w:rPr>
        <w:rFonts w:ascii="Symbol" w:hAnsi="Symbol" w:hint="default"/>
        <w:color w:val="auto"/>
      </w:rPr>
    </w:lvl>
    <w:lvl w:ilvl="1">
      <w:start w:val="1"/>
      <w:numFmt w:val="none"/>
      <w:suff w:val="nothing"/>
      <w:lvlText w:val=""/>
      <w:lvlJc w:val="left"/>
      <w:pPr>
        <w:ind w:left="284" w:firstLine="0"/>
      </w:pPr>
      <w:rPr>
        <w:rFonts w:hint="default"/>
      </w:rPr>
    </w:lvl>
    <w:lvl w:ilvl="2">
      <w:start w:val="1"/>
      <w:numFmt w:val="none"/>
      <w:suff w:val="nothing"/>
      <w:lvlText w:val=""/>
      <w:lvlJc w:val="left"/>
      <w:pPr>
        <w:ind w:left="568" w:firstLine="0"/>
      </w:pPr>
      <w:rPr>
        <w:rFonts w:hint="default"/>
      </w:rPr>
    </w:lvl>
    <w:lvl w:ilvl="3">
      <w:start w:val="1"/>
      <w:numFmt w:val="none"/>
      <w:suff w:val="nothing"/>
      <w:lvlText w:val=""/>
      <w:lvlJc w:val="left"/>
      <w:pPr>
        <w:ind w:left="852" w:firstLine="0"/>
      </w:pPr>
      <w:rPr>
        <w:rFonts w:hint="default"/>
      </w:rPr>
    </w:lvl>
    <w:lvl w:ilvl="4">
      <w:start w:val="1"/>
      <w:numFmt w:val="none"/>
      <w:suff w:val="nothing"/>
      <w:lvlText w:val=""/>
      <w:lvlJc w:val="left"/>
      <w:pPr>
        <w:ind w:left="1136" w:firstLine="0"/>
      </w:pPr>
      <w:rPr>
        <w:rFonts w:hint="default"/>
      </w:rPr>
    </w:lvl>
    <w:lvl w:ilvl="5">
      <w:start w:val="1"/>
      <w:numFmt w:val="none"/>
      <w:suff w:val="nothing"/>
      <w:lvlText w:val=""/>
      <w:lvlJc w:val="left"/>
      <w:pPr>
        <w:ind w:left="1420" w:firstLine="0"/>
      </w:pPr>
      <w:rPr>
        <w:rFonts w:hint="default"/>
      </w:rPr>
    </w:lvl>
    <w:lvl w:ilvl="6">
      <w:start w:val="1"/>
      <w:numFmt w:val="none"/>
      <w:suff w:val="nothing"/>
      <w:lvlText w:val=""/>
      <w:lvlJc w:val="left"/>
      <w:pPr>
        <w:ind w:left="1704" w:firstLine="0"/>
      </w:pPr>
      <w:rPr>
        <w:rFonts w:hint="default"/>
      </w:rPr>
    </w:lvl>
    <w:lvl w:ilvl="7">
      <w:start w:val="1"/>
      <w:numFmt w:val="none"/>
      <w:suff w:val="nothing"/>
      <w:lvlText w:val=""/>
      <w:lvlJc w:val="left"/>
      <w:pPr>
        <w:ind w:left="1988" w:firstLine="0"/>
      </w:pPr>
      <w:rPr>
        <w:rFonts w:hint="default"/>
      </w:rPr>
    </w:lvl>
    <w:lvl w:ilvl="8">
      <w:start w:val="1"/>
      <w:numFmt w:val="none"/>
      <w:suff w:val="nothing"/>
      <w:lvlText w:val=""/>
      <w:lvlJc w:val="left"/>
      <w:pPr>
        <w:ind w:left="2272" w:firstLine="0"/>
      </w:pPr>
      <w:rPr>
        <w:rFonts w:hint="default"/>
      </w:rPr>
    </w:lvl>
  </w:abstractNum>
  <w:num w:numId="1">
    <w:abstractNumId w:val="12"/>
  </w:num>
  <w:num w:numId="2">
    <w:abstractNumId w:val="0"/>
  </w:num>
  <w:num w:numId="3">
    <w:abstractNumId w:val="24"/>
  </w:num>
  <w:num w:numId="4">
    <w:abstractNumId w:val="2"/>
  </w:num>
  <w:num w:numId="5">
    <w:abstractNumId w:val="3"/>
  </w:num>
  <w:num w:numId="6">
    <w:abstractNumId w:val="33"/>
  </w:num>
  <w:num w:numId="7">
    <w:abstractNumId w:val="4"/>
  </w:num>
  <w:num w:numId="8">
    <w:abstractNumId w:val="26"/>
  </w:num>
  <w:num w:numId="9">
    <w:abstractNumId w:val="7"/>
  </w:num>
  <w:num w:numId="10">
    <w:abstractNumId w:val="38"/>
  </w:num>
  <w:num w:numId="11">
    <w:abstractNumId w:val="6"/>
  </w:num>
  <w:num w:numId="12">
    <w:abstractNumId w:val="11"/>
  </w:num>
  <w:num w:numId="13">
    <w:abstractNumId w:val="34"/>
  </w:num>
  <w:num w:numId="14">
    <w:abstractNumId w:val="5"/>
  </w:num>
  <w:num w:numId="15">
    <w:abstractNumId w:val="40"/>
  </w:num>
  <w:num w:numId="16">
    <w:abstractNumId w:val="44"/>
  </w:num>
  <w:num w:numId="17">
    <w:abstractNumId w:val="39"/>
  </w:num>
  <w:num w:numId="18">
    <w:abstractNumId w:val="22"/>
  </w:num>
  <w:num w:numId="19">
    <w:abstractNumId w:val="48"/>
  </w:num>
  <w:num w:numId="20">
    <w:abstractNumId w:val="35"/>
  </w:num>
  <w:num w:numId="21">
    <w:abstractNumId w:val="14"/>
  </w:num>
  <w:num w:numId="22">
    <w:abstractNumId w:val="21"/>
  </w:num>
  <w:num w:numId="23">
    <w:abstractNumId w:val="8"/>
  </w:num>
  <w:num w:numId="24">
    <w:abstractNumId w:val="20"/>
  </w:num>
  <w:num w:numId="25">
    <w:abstractNumId w:val="40"/>
  </w:num>
  <w:num w:numId="26">
    <w:abstractNumId w:val="13"/>
  </w:num>
  <w:num w:numId="27">
    <w:abstractNumId w:val="50"/>
  </w:num>
  <w:num w:numId="28">
    <w:abstractNumId w:val="16"/>
  </w:num>
  <w:num w:numId="29">
    <w:abstractNumId w:val="43"/>
  </w:num>
  <w:num w:numId="30">
    <w:abstractNumId w:val="19"/>
  </w:num>
  <w:num w:numId="31">
    <w:abstractNumId w:val="49"/>
  </w:num>
  <w:num w:numId="32">
    <w:abstractNumId w:val="46"/>
  </w:num>
  <w:num w:numId="33">
    <w:abstractNumId w:val="36"/>
  </w:num>
  <w:num w:numId="34">
    <w:abstractNumId w:val="51"/>
  </w:num>
  <w:num w:numId="35">
    <w:abstractNumId w:val="27"/>
  </w:num>
  <w:num w:numId="36">
    <w:abstractNumId w:val="52"/>
  </w:num>
  <w:num w:numId="37">
    <w:abstractNumId w:val="9"/>
  </w:num>
  <w:num w:numId="38">
    <w:abstractNumId w:val="41"/>
  </w:num>
  <w:num w:numId="39">
    <w:abstractNumId w:val="23"/>
  </w:num>
  <w:num w:numId="40">
    <w:abstractNumId w:val="47"/>
  </w:num>
  <w:num w:numId="41">
    <w:abstractNumId w:val="32"/>
  </w:num>
  <w:num w:numId="42">
    <w:abstractNumId w:val="37"/>
  </w:num>
  <w:num w:numId="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num>
  <w:num w:numId="46">
    <w:abstractNumId w:val="1"/>
  </w:num>
  <w:num w:numId="47">
    <w:abstractNumId w:val="45"/>
  </w:num>
  <w:num w:numId="48">
    <w:abstractNumId w:val="15"/>
  </w:num>
  <w:num w:numId="49">
    <w:abstractNumId w:val="10"/>
  </w:num>
  <w:num w:numId="50">
    <w:abstractNumId w:val="42"/>
  </w:num>
  <w:num w:numId="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
  </w:num>
  <w:num w:numId="5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1"/>
  </w:num>
  <w:num w:numId="55">
    <w:abstractNumId w:val="29"/>
  </w:num>
  <w:num w:numId="56">
    <w:abstractNumId w:val="53"/>
  </w:num>
  <w:num w:numId="57">
    <w:abstractNumId w:val="18"/>
  </w:num>
  <w:num w:numId="58">
    <w:abstractNumId w:val="25"/>
  </w:num>
  <w:num w:numId="59">
    <w:abstractNumId w:val="4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removePersonalInformation/>
  <w:removeDateAndTim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hdrShapeDefaults>
    <o:shapedefaults v:ext="edit" spidmax="2171" fillcolor="none [3215]" stroke="f">
      <v:fill color="none [3215]"/>
      <v:stroke on="f"/>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742"/>
    <w:rsid w:val="00000267"/>
    <w:rsid w:val="00000493"/>
    <w:rsid w:val="00000A6F"/>
    <w:rsid w:val="00000E07"/>
    <w:rsid w:val="000010DC"/>
    <w:rsid w:val="00001404"/>
    <w:rsid w:val="00002F7F"/>
    <w:rsid w:val="00002F85"/>
    <w:rsid w:val="000046CA"/>
    <w:rsid w:val="00004F6D"/>
    <w:rsid w:val="000054FD"/>
    <w:rsid w:val="00005CEB"/>
    <w:rsid w:val="00006115"/>
    <w:rsid w:val="00006B9F"/>
    <w:rsid w:val="00006DC6"/>
    <w:rsid w:val="00007086"/>
    <w:rsid w:val="00007348"/>
    <w:rsid w:val="00007406"/>
    <w:rsid w:val="0000749A"/>
    <w:rsid w:val="00007EFD"/>
    <w:rsid w:val="00010BF5"/>
    <w:rsid w:val="00011B56"/>
    <w:rsid w:val="00011D9F"/>
    <w:rsid w:val="00011F1F"/>
    <w:rsid w:val="00012E28"/>
    <w:rsid w:val="000148A7"/>
    <w:rsid w:val="00014A51"/>
    <w:rsid w:val="00015271"/>
    <w:rsid w:val="00015598"/>
    <w:rsid w:val="00015F3F"/>
    <w:rsid w:val="000165FF"/>
    <w:rsid w:val="00016DD6"/>
    <w:rsid w:val="00017DFC"/>
    <w:rsid w:val="000203C2"/>
    <w:rsid w:val="00020F7F"/>
    <w:rsid w:val="00020F8D"/>
    <w:rsid w:val="000219D0"/>
    <w:rsid w:val="00022D33"/>
    <w:rsid w:val="000236F8"/>
    <w:rsid w:val="00023712"/>
    <w:rsid w:val="0002400B"/>
    <w:rsid w:val="00025387"/>
    <w:rsid w:val="00027688"/>
    <w:rsid w:val="00027B5F"/>
    <w:rsid w:val="0003004A"/>
    <w:rsid w:val="000308DC"/>
    <w:rsid w:val="000311BF"/>
    <w:rsid w:val="00031309"/>
    <w:rsid w:val="000317A6"/>
    <w:rsid w:val="00031C8F"/>
    <w:rsid w:val="000324F8"/>
    <w:rsid w:val="00033BFA"/>
    <w:rsid w:val="00033E5E"/>
    <w:rsid w:val="00034417"/>
    <w:rsid w:val="00035288"/>
    <w:rsid w:val="00035549"/>
    <w:rsid w:val="00035573"/>
    <w:rsid w:val="000355EC"/>
    <w:rsid w:val="0003687B"/>
    <w:rsid w:val="000377D1"/>
    <w:rsid w:val="00040BC7"/>
    <w:rsid w:val="00041787"/>
    <w:rsid w:val="00041E14"/>
    <w:rsid w:val="00042109"/>
    <w:rsid w:val="00042815"/>
    <w:rsid w:val="00043650"/>
    <w:rsid w:val="00043881"/>
    <w:rsid w:val="000440E7"/>
    <w:rsid w:val="00044237"/>
    <w:rsid w:val="000444FF"/>
    <w:rsid w:val="00045467"/>
    <w:rsid w:val="00045816"/>
    <w:rsid w:val="000472C3"/>
    <w:rsid w:val="000473AE"/>
    <w:rsid w:val="00047714"/>
    <w:rsid w:val="00047A9F"/>
    <w:rsid w:val="000506A5"/>
    <w:rsid w:val="00050ACB"/>
    <w:rsid w:val="00051862"/>
    <w:rsid w:val="0005222A"/>
    <w:rsid w:val="00053B82"/>
    <w:rsid w:val="00054C40"/>
    <w:rsid w:val="00055A6A"/>
    <w:rsid w:val="00055BAE"/>
    <w:rsid w:val="0005674C"/>
    <w:rsid w:val="000606D1"/>
    <w:rsid w:val="0006084A"/>
    <w:rsid w:val="00061068"/>
    <w:rsid w:val="000619A2"/>
    <w:rsid w:val="00061DA1"/>
    <w:rsid w:val="00063503"/>
    <w:rsid w:val="000635B0"/>
    <w:rsid w:val="00063BE4"/>
    <w:rsid w:val="000641C4"/>
    <w:rsid w:val="00064A4C"/>
    <w:rsid w:val="00064B40"/>
    <w:rsid w:val="00064EB8"/>
    <w:rsid w:val="0006530A"/>
    <w:rsid w:val="00066917"/>
    <w:rsid w:val="00066BD4"/>
    <w:rsid w:val="0006740D"/>
    <w:rsid w:val="0006794E"/>
    <w:rsid w:val="000679F1"/>
    <w:rsid w:val="00067C30"/>
    <w:rsid w:val="00067EC5"/>
    <w:rsid w:val="00070164"/>
    <w:rsid w:val="00070486"/>
    <w:rsid w:val="0007064A"/>
    <w:rsid w:val="00070875"/>
    <w:rsid w:val="000713BA"/>
    <w:rsid w:val="000715F0"/>
    <w:rsid w:val="000761A6"/>
    <w:rsid w:val="00076984"/>
    <w:rsid w:val="00076C97"/>
    <w:rsid w:val="000778D4"/>
    <w:rsid w:val="00077EBF"/>
    <w:rsid w:val="00080744"/>
    <w:rsid w:val="00080A48"/>
    <w:rsid w:val="00080AF8"/>
    <w:rsid w:val="0008139D"/>
    <w:rsid w:val="0008151C"/>
    <w:rsid w:val="00081A57"/>
    <w:rsid w:val="00081A58"/>
    <w:rsid w:val="00082461"/>
    <w:rsid w:val="00082CD9"/>
    <w:rsid w:val="00083051"/>
    <w:rsid w:val="000847B3"/>
    <w:rsid w:val="000848B5"/>
    <w:rsid w:val="00085291"/>
    <w:rsid w:val="00086666"/>
    <w:rsid w:val="000870A4"/>
    <w:rsid w:val="000874BA"/>
    <w:rsid w:val="00087C5B"/>
    <w:rsid w:val="00090132"/>
    <w:rsid w:val="000905BA"/>
    <w:rsid w:val="00090AAB"/>
    <w:rsid w:val="00091458"/>
    <w:rsid w:val="00091C06"/>
    <w:rsid w:val="00092C24"/>
    <w:rsid w:val="0009340E"/>
    <w:rsid w:val="00093E98"/>
    <w:rsid w:val="00094408"/>
    <w:rsid w:val="00094EC7"/>
    <w:rsid w:val="00095358"/>
    <w:rsid w:val="00096CDD"/>
    <w:rsid w:val="00096CE6"/>
    <w:rsid w:val="00096F31"/>
    <w:rsid w:val="000A0570"/>
    <w:rsid w:val="000A0836"/>
    <w:rsid w:val="000A0877"/>
    <w:rsid w:val="000A1B37"/>
    <w:rsid w:val="000A1F3F"/>
    <w:rsid w:val="000A2EBE"/>
    <w:rsid w:val="000A32C2"/>
    <w:rsid w:val="000A38AA"/>
    <w:rsid w:val="000A3FAC"/>
    <w:rsid w:val="000A4154"/>
    <w:rsid w:val="000A4352"/>
    <w:rsid w:val="000A4B90"/>
    <w:rsid w:val="000A51EE"/>
    <w:rsid w:val="000A6014"/>
    <w:rsid w:val="000A6F12"/>
    <w:rsid w:val="000A744F"/>
    <w:rsid w:val="000A78A2"/>
    <w:rsid w:val="000B0862"/>
    <w:rsid w:val="000B1068"/>
    <w:rsid w:val="000B319E"/>
    <w:rsid w:val="000B510F"/>
    <w:rsid w:val="000B58C9"/>
    <w:rsid w:val="000B5AFD"/>
    <w:rsid w:val="000B61EE"/>
    <w:rsid w:val="000B62A0"/>
    <w:rsid w:val="000B65CE"/>
    <w:rsid w:val="000B741C"/>
    <w:rsid w:val="000B7AC9"/>
    <w:rsid w:val="000B7E22"/>
    <w:rsid w:val="000C009C"/>
    <w:rsid w:val="000C0DC8"/>
    <w:rsid w:val="000C10E3"/>
    <w:rsid w:val="000C242B"/>
    <w:rsid w:val="000C2647"/>
    <w:rsid w:val="000C2FA7"/>
    <w:rsid w:val="000C312A"/>
    <w:rsid w:val="000C31A6"/>
    <w:rsid w:val="000C3423"/>
    <w:rsid w:val="000C4821"/>
    <w:rsid w:val="000C56BD"/>
    <w:rsid w:val="000C5717"/>
    <w:rsid w:val="000C5D73"/>
    <w:rsid w:val="000C5EEC"/>
    <w:rsid w:val="000C6A15"/>
    <w:rsid w:val="000C6DF8"/>
    <w:rsid w:val="000C6F10"/>
    <w:rsid w:val="000C7FD3"/>
    <w:rsid w:val="000D180F"/>
    <w:rsid w:val="000D21C3"/>
    <w:rsid w:val="000D3B7B"/>
    <w:rsid w:val="000D3C42"/>
    <w:rsid w:val="000D3C62"/>
    <w:rsid w:val="000D447A"/>
    <w:rsid w:val="000D4527"/>
    <w:rsid w:val="000D7837"/>
    <w:rsid w:val="000E0D62"/>
    <w:rsid w:val="000E0E16"/>
    <w:rsid w:val="000E126D"/>
    <w:rsid w:val="000E14AD"/>
    <w:rsid w:val="000E2F96"/>
    <w:rsid w:val="000E3318"/>
    <w:rsid w:val="000E3802"/>
    <w:rsid w:val="000E38BD"/>
    <w:rsid w:val="000E45FB"/>
    <w:rsid w:val="000E5D59"/>
    <w:rsid w:val="000E6525"/>
    <w:rsid w:val="000E65B2"/>
    <w:rsid w:val="000E751E"/>
    <w:rsid w:val="000E7917"/>
    <w:rsid w:val="000E7BB5"/>
    <w:rsid w:val="000E7BF4"/>
    <w:rsid w:val="000F0022"/>
    <w:rsid w:val="000F0EDA"/>
    <w:rsid w:val="000F118B"/>
    <w:rsid w:val="000F183D"/>
    <w:rsid w:val="000F1BB0"/>
    <w:rsid w:val="000F2AF6"/>
    <w:rsid w:val="000F3EF8"/>
    <w:rsid w:val="000F4700"/>
    <w:rsid w:val="000F4E57"/>
    <w:rsid w:val="000F4EB8"/>
    <w:rsid w:val="000F583F"/>
    <w:rsid w:val="000F5BBE"/>
    <w:rsid w:val="000F675F"/>
    <w:rsid w:val="000F76FF"/>
    <w:rsid w:val="000F77C6"/>
    <w:rsid w:val="000F7C5A"/>
    <w:rsid w:val="001002E4"/>
    <w:rsid w:val="00100753"/>
    <w:rsid w:val="001013F4"/>
    <w:rsid w:val="001015D1"/>
    <w:rsid w:val="00101E7E"/>
    <w:rsid w:val="001026F1"/>
    <w:rsid w:val="00103591"/>
    <w:rsid w:val="00104D77"/>
    <w:rsid w:val="00105AA9"/>
    <w:rsid w:val="00105D29"/>
    <w:rsid w:val="00106911"/>
    <w:rsid w:val="001074A4"/>
    <w:rsid w:val="0010794F"/>
    <w:rsid w:val="00111324"/>
    <w:rsid w:val="00111544"/>
    <w:rsid w:val="001115BC"/>
    <w:rsid w:val="00112A1C"/>
    <w:rsid w:val="00113D7F"/>
    <w:rsid w:val="0011421B"/>
    <w:rsid w:val="00116C85"/>
    <w:rsid w:val="001173BD"/>
    <w:rsid w:val="0011786B"/>
    <w:rsid w:val="001179B7"/>
    <w:rsid w:val="00117D9C"/>
    <w:rsid w:val="0012019C"/>
    <w:rsid w:val="00120EBF"/>
    <w:rsid w:val="001226BE"/>
    <w:rsid w:val="0012271C"/>
    <w:rsid w:val="00122A52"/>
    <w:rsid w:val="00123EF1"/>
    <w:rsid w:val="00124E9B"/>
    <w:rsid w:val="0012557C"/>
    <w:rsid w:val="00125AFC"/>
    <w:rsid w:val="00125D74"/>
    <w:rsid w:val="001267D4"/>
    <w:rsid w:val="00126AFF"/>
    <w:rsid w:val="00126DC3"/>
    <w:rsid w:val="00127187"/>
    <w:rsid w:val="0012755D"/>
    <w:rsid w:val="00127829"/>
    <w:rsid w:val="00130007"/>
    <w:rsid w:val="00130727"/>
    <w:rsid w:val="00130745"/>
    <w:rsid w:val="001319B8"/>
    <w:rsid w:val="001321C9"/>
    <w:rsid w:val="00132EED"/>
    <w:rsid w:val="001333F9"/>
    <w:rsid w:val="00134B74"/>
    <w:rsid w:val="00134D83"/>
    <w:rsid w:val="00135137"/>
    <w:rsid w:val="00135200"/>
    <w:rsid w:val="00135AE9"/>
    <w:rsid w:val="0013767E"/>
    <w:rsid w:val="00137B03"/>
    <w:rsid w:val="0014062F"/>
    <w:rsid w:val="00141153"/>
    <w:rsid w:val="001412E5"/>
    <w:rsid w:val="00141457"/>
    <w:rsid w:val="001415DD"/>
    <w:rsid w:val="00141EA1"/>
    <w:rsid w:val="001420B0"/>
    <w:rsid w:val="00142F9D"/>
    <w:rsid w:val="00143567"/>
    <w:rsid w:val="001436B6"/>
    <w:rsid w:val="00143FAD"/>
    <w:rsid w:val="00144864"/>
    <w:rsid w:val="00145205"/>
    <w:rsid w:val="00145CC6"/>
    <w:rsid w:val="001469D4"/>
    <w:rsid w:val="00146E85"/>
    <w:rsid w:val="0014703A"/>
    <w:rsid w:val="001476BD"/>
    <w:rsid w:val="001476BE"/>
    <w:rsid w:val="0015001A"/>
    <w:rsid w:val="00151C20"/>
    <w:rsid w:val="0015303F"/>
    <w:rsid w:val="00153DDD"/>
    <w:rsid w:val="00153EC4"/>
    <w:rsid w:val="00154BE1"/>
    <w:rsid w:val="00155FE3"/>
    <w:rsid w:val="00156279"/>
    <w:rsid w:val="00156CD9"/>
    <w:rsid w:val="00157444"/>
    <w:rsid w:val="001604B6"/>
    <w:rsid w:val="00161B7C"/>
    <w:rsid w:val="00161BDF"/>
    <w:rsid w:val="00162902"/>
    <w:rsid w:val="0016313E"/>
    <w:rsid w:val="0016454D"/>
    <w:rsid w:val="00164A8D"/>
    <w:rsid w:val="00165AC0"/>
    <w:rsid w:val="00166AE4"/>
    <w:rsid w:val="00166F4F"/>
    <w:rsid w:val="00167EE0"/>
    <w:rsid w:val="00167F7E"/>
    <w:rsid w:val="00170238"/>
    <w:rsid w:val="001708CB"/>
    <w:rsid w:val="00170DF6"/>
    <w:rsid w:val="0017222D"/>
    <w:rsid w:val="00174043"/>
    <w:rsid w:val="001748AB"/>
    <w:rsid w:val="00175FCF"/>
    <w:rsid w:val="001761FD"/>
    <w:rsid w:val="00176A16"/>
    <w:rsid w:val="00176D38"/>
    <w:rsid w:val="00180895"/>
    <w:rsid w:val="00181DBC"/>
    <w:rsid w:val="00181EAE"/>
    <w:rsid w:val="001824CB"/>
    <w:rsid w:val="00182598"/>
    <w:rsid w:val="001827F1"/>
    <w:rsid w:val="00182922"/>
    <w:rsid w:val="00182E85"/>
    <w:rsid w:val="00183599"/>
    <w:rsid w:val="0018445A"/>
    <w:rsid w:val="00184855"/>
    <w:rsid w:val="0018512B"/>
    <w:rsid w:val="00185379"/>
    <w:rsid w:val="001854AB"/>
    <w:rsid w:val="001856FB"/>
    <w:rsid w:val="00185720"/>
    <w:rsid w:val="00185788"/>
    <w:rsid w:val="00185E01"/>
    <w:rsid w:val="00185F6F"/>
    <w:rsid w:val="001861C1"/>
    <w:rsid w:val="00187218"/>
    <w:rsid w:val="00190483"/>
    <w:rsid w:val="00192161"/>
    <w:rsid w:val="00192241"/>
    <w:rsid w:val="00192A42"/>
    <w:rsid w:val="00192F51"/>
    <w:rsid w:val="00193397"/>
    <w:rsid w:val="00196D37"/>
    <w:rsid w:val="00197937"/>
    <w:rsid w:val="00197C7A"/>
    <w:rsid w:val="001A0166"/>
    <w:rsid w:val="001A01CF"/>
    <w:rsid w:val="001A129B"/>
    <w:rsid w:val="001A1C17"/>
    <w:rsid w:val="001A24EE"/>
    <w:rsid w:val="001A2696"/>
    <w:rsid w:val="001A529E"/>
    <w:rsid w:val="001A6378"/>
    <w:rsid w:val="001A69DB"/>
    <w:rsid w:val="001A710E"/>
    <w:rsid w:val="001B0E94"/>
    <w:rsid w:val="001B154C"/>
    <w:rsid w:val="001B1E72"/>
    <w:rsid w:val="001B2382"/>
    <w:rsid w:val="001B3327"/>
    <w:rsid w:val="001B334D"/>
    <w:rsid w:val="001B34FF"/>
    <w:rsid w:val="001B3C7F"/>
    <w:rsid w:val="001B471A"/>
    <w:rsid w:val="001B47FE"/>
    <w:rsid w:val="001B58F2"/>
    <w:rsid w:val="001B5B13"/>
    <w:rsid w:val="001B5BD9"/>
    <w:rsid w:val="001B678D"/>
    <w:rsid w:val="001B773B"/>
    <w:rsid w:val="001C2061"/>
    <w:rsid w:val="001C28BE"/>
    <w:rsid w:val="001C32F9"/>
    <w:rsid w:val="001C3BC2"/>
    <w:rsid w:val="001C3FBA"/>
    <w:rsid w:val="001C415D"/>
    <w:rsid w:val="001C447B"/>
    <w:rsid w:val="001C47A5"/>
    <w:rsid w:val="001C4FE3"/>
    <w:rsid w:val="001C59EC"/>
    <w:rsid w:val="001C5F00"/>
    <w:rsid w:val="001C6473"/>
    <w:rsid w:val="001C6506"/>
    <w:rsid w:val="001C66E9"/>
    <w:rsid w:val="001C688E"/>
    <w:rsid w:val="001C6C6B"/>
    <w:rsid w:val="001C6D16"/>
    <w:rsid w:val="001D0A91"/>
    <w:rsid w:val="001D11DC"/>
    <w:rsid w:val="001D1AF5"/>
    <w:rsid w:val="001D1EDF"/>
    <w:rsid w:val="001D1FE6"/>
    <w:rsid w:val="001D2237"/>
    <w:rsid w:val="001D29AE"/>
    <w:rsid w:val="001D3D1F"/>
    <w:rsid w:val="001D3DD1"/>
    <w:rsid w:val="001D4003"/>
    <w:rsid w:val="001D4D60"/>
    <w:rsid w:val="001D523B"/>
    <w:rsid w:val="001D65CA"/>
    <w:rsid w:val="001D6C9E"/>
    <w:rsid w:val="001D7FDB"/>
    <w:rsid w:val="001E0137"/>
    <w:rsid w:val="001E019F"/>
    <w:rsid w:val="001E03BC"/>
    <w:rsid w:val="001E06FE"/>
    <w:rsid w:val="001E154A"/>
    <w:rsid w:val="001E2F91"/>
    <w:rsid w:val="001E31A4"/>
    <w:rsid w:val="001E3351"/>
    <w:rsid w:val="001E3EA7"/>
    <w:rsid w:val="001E41D9"/>
    <w:rsid w:val="001E476A"/>
    <w:rsid w:val="001E4CC4"/>
    <w:rsid w:val="001E5304"/>
    <w:rsid w:val="001E57D6"/>
    <w:rsid w:val="001E620F"/>
    <w:rsid w:val="001E62C4"/>
    <w:rsid w:val="001E6A5E"/>
    <w:rsid w:val="001E6CE0"/>
    <w:rsid w:val="001E725C"/>
    <w:rsid w:val="001E7349"/>
    <w:rsid w:val="001F0210"/>
    <w:rsid w:val="001F0793"/>
    <w:rsid w:val="001F0DAD"/>
    <w:rsid w:val="001F1B69"/>
    <w:rsid w:val="001F2BB2"/>
    <w:rsid w:val="001F2C4E"/>
    <w:rsid w:val="001F30E6"/>
    <w:rsid w:val="001F3220"/>
    <w:rsid w:val="001F55E5"/>
    <w:rsid w:val="001F55EB"/>
    <w:rsid w:val="001F59B3"/>
    <w:rsid w:val="001F71F1"/>
    <w:rsid w:val="001F7587"/>
    <w:rsid w:val="001F75E0"/>
    <w:rsid w:val="001F765D"/>
    <w:rsid w:val="001F798F"/>
    <w:rsid w:val="001F7EF5"/>
    <w:rsid w:val="002014CF"/>
    <w:rsid w:val="00202810"/>
    <w:rsid w:val="00202C76"/>
    <w:rsid w:val="002030A3"/>
    <w:rsid w:val="00203710"/>
    <w:rsid w:val="00204F10"/>
    <w:rsid w:val="00205D40"/>
    <w:rsid w:val="00207E36"/>
    <w:rsid w:val="00210620"/>
    <w:rsid w:val="002108D1"/>
    <w:rsid w:val="0021094E"/>
    <w:rsid w:val="00211621"/>
    <w:rsid w:val="00211991"/>
    <w:rsid w:val="00211F49"/>
    <w:rsid w:val="002137AA"/>
    <w:rsid w:val="00213C42"/>
    <w:rsid w:val="002140A5"/>
    <w:rsid w:val="00214686"/>
    <w:rsid w:val="00214A89"/>
    <w:rsid w:val="0021543C"/>
    <w:rsid w:val="002154FD"/>
    <w:rsid w:val="0021583D"/>
    <w:rsid w:val="00215AF5"/>
    <w:rsid w:val="00215D7C"/>
    <w:rsid w:val="00215DBA"/>
    <w:rsid w:val="00215E7D"/>
    <w:rsid w:val="00217154"/>
    <w:rsid w:val="00220D0E"/>
    <w:rsid w:val="0022180A"/>
    <w:rsid w:val="002219F5"/>
    <w:rsid w:val="00221B74"/>
    <w:rsid w:val="002228B6"/>
    <w:rsid w:val="00222EC0"/>
    <w:rsid w:val="002233BE"/>
    <w:rsid w:val="00224BA5"/>
    <w:rsid w:val="00230266"/>
    <w:rsid w:val="00231135"/>
    <w:rsid w:val="002330A0"/>
    <w:rsid w:val="002333D1"/>
    <w:rsid w:val="00233739"/>
    <w:rsid w:val="00233EB0"/>
    <w:rsid w:val="00234809"/>
    <w:rsid w:val="00234835"/>
    <w:rsid w:val="00234979"/>
    <w:rsid w:val="00234F3A"/>
    <w:rsid w:val="0023514D"/>
    <w:rsid w:val="002353A9"/>
    <w:rsid w:val="00235653"/>
    <w:rsid w:val="0023597B"/>
    <w:rsid w:val="00235E6E"/>
    <w:rsid w:val="00235FA1"/>
    <w:rsid w:val="0023607D"/>
    <w:rsid w:val="0023617D"/>
    <w:rsid w:val="00236445"/>
    <w:rsid w:val="00236CFB"/>
    <w:rsid w:val="00237BCC"/>
    <w:rsid w:val="00240667"/>
    <w:rsid w:val="002407B2"/>
    <w:rsid w:val="00240985"/>
    <w:rsid w:val="00240FCD"/>
    <w:rsid w:val="00241695"/>
    <w:rsid w:val="00243644"/>
    <w:rsid w:val="002445FF"/>
    <w:rsid w:val="0024482C"/>
    <w:rsid w:val="00245400"/>
    <w:rsid w:val="00245473"/>
    <w:rsid w:val="00245C02"/>
    <w:rsid w:val="00245E7F"/>
    <w:rsid w:val="00245E84"/>
    <w:rsid w:val="00247067"/>
    <w:rsid w:val="00247954"/>
    <w:rsid w:val="002504DF"/>
    <w:rsid w:val="002534B3"/>
    <w:rsid w:val="00253651"/>
    <w:rsid w:val="0025400E"/>
    <w:rsid w:val="002542AB"/>
    <w:rsid w:val="0025481F"/>
    <w:rsid w:val="00255792"/>
    <w:rsid w:val="00255ECC"/>
    <w:rsid w:val="00256B17"/>
    <w:rsid w:val="00257062"/>
    <w:rsid w:val="002570A9"/>
    <w:rsid w:val="002573B7"/>
    <w:rsid w:val="00257526"/>
    <w:rsid w:val="00257794"/>
    <w:rsid w:val="00260B1B"/>
    <w:rsid w:val="00260CA3"/>
    <w:rsid w:val="002627A5"/>
    <w:rsid w:val="002628D1"/>
    <w:rsid w:val="0026337A"/>
    <w:rsid w:val="0026363C"/>
    <w:rsid w:val="002639CC"/>
    <w:rsid w:val="00263A7D"/>
    <w:rsid w:val="00263AE9"/>
    <w:rsid w:val="00264D31"/>
    <w:rsid w:val="0026533A"/>
    <w:rsid w:val="0026608B"/>
    <w:rsid w:val="00266277"/>
    <w:rsid w:val="0026632D"/>
    <w:rsid w:val="00266A04"/>
    <w:rsid w:val="00267225"/>
    <w:rsid w:val="00270109"/>
    <w:rsid w:val="00270144"/>
    <w:rsid w:val="0027021B"/>
    <w:rsid w:val="00270322"/>
    <w:rsid w:val="002709D2"/>
    <w:rsid w:val="00270F4B"/>
    <w:rsid w:val="002718AF"/>
    <w:rsid w:val="00273234"/>
    <w:rsid w:val="002736C6"/>
    <w:rsid w:val="00273D52"/>
    <w:rsid w:val="002745E9"/>
    <w:rsid w:val="0027472A"/>
    <w:rsid w:val="00274B3D"/>
    <w:rsid w:val="00274BD5"/>
    <w:rsid w:val="00275248"/>
    <w:rsid w:val="00275813"/>
    <w:rsid w:val="00276630"/>
    <w:rsid w:val="00276748"/>
    <w:rsid w:val="00276DF5"/>
    <w:rsid w:val="00277441"/>
    <w:rsid w:val="00277725"/>
    <w:rsid w:val="00280476"/>
    <w:rsid w:val="00280B10"/>
    <w:rsid w:val="002812A6"/>
    <w:rsid w:val="0028199C"/>
    <w:rsid w:val="00281EAB"/>
    <w:rsid w:val="00281F92"/>
    <w:rsid w:val="002825BF"/>
    <w:rsid w:val="00282E52"/>
    <w:rsid w:val="00282F45"/>
    <w:rsid w:val="00283175"/>
    <w:rsid w:val="002833F5"/>
    <w:rsid w:val="0028394B"/>
    <w:rsid w:val="00284134"/>
    <w:rsid w:val="002850FC"/>
    <w:rsid w:val="0028516D"/>
    <w:rsid w:val="00285547"/>
    <w:rsid w:val="0028561C"/>
    <w:rsid w:val="0028576C"/>
    <w:rsid w:val="00285AAD"/>
    <w:rsid w:val="0028639C"/>
    <w:rsid w:val="00287BBC"/>
    <w:rsid w:val="00287C17"/>
    <w:rsid w:val="002903FC"/>
    <w:rsid w:val="002908C9"/>
    <w:rsid w:val="00292BF1"/>
    <w:rsid w:val="00292FFB"/>
    <w:rsid w:val="00293EF5"/>
    <w:rsid w:val="00293FDA"/>
    <w:rsid w:val="00294DF1"/>
    <w:rsid w:val="002960CE"/>
    <w:rsid w:val="00296433"/>
    <w:rsid w:val="00296814"/>
    <w:rsid w:val="00297157"/>
    <w:rsid w:val="00297CF4"/>
    <w:rsid w:val="002A07D8"/>
    <w:rsid w:val="002A0C42"/>
    <w:rsid w:val="002A1724"/>
    <w:rsid w:val="002A34AE"/>
    <w:rsid w:val="002A3761"/>
    <w:rsid w:val="002A4114"/>
    <w:rsid w:val="002A4D6F"/>
    <w:rsid w:val="002A4E44"/>
    <w:rsid w:val="002A5354"/>
    <w:rsid w:val="002A7864"/>
    <w:rsid w:val="002B10D1"/>
    <w:rsid w:val="002B1624"/>
    <w:rsid w:val="002B1CD2"/>
    <w:rsid w:val="002B2426"/>
    <w:rsid w:val="002B2462"/>
    <w:rsid w:val="002B27CC"/>
    <w:rsid w:val="002B298D"/>
    <w:rsid w:val="002B2CC9"/>
    <w:rsid w:val="002B3373"/>
    <w:rsid w:val="002B4C2E"/>
    <w:rsid w:val="002B4C86"/>
    <w:rsid w:val="002B5288"/>
    <w:rsid w:val="002B53AE"/>
    <w:rsid w:val="002B60B6"/>
    <w:rsid w:val="002B6176"/>
    <w:rsid w:val="002B6BEC"/>
    <w:rsid w:val="002B7285"/>
    <w:rsid w:val="002B75DA"/>
    <w:rsid w:val="002B7A82"/>
    <w:rsid w:val="002B7C8E"/>
    <w:rsid w:val="002C0004"/>
    <w:rsid w:val="002C016F"/>
    <w:rsid w:val="002C0347"/>
    <w:rsid w:val="002C1024"/>
    <w:rsid w:val="002C29F8"/>
    <w:rsid w:val="002C3ABA"/>
    <w:rsid w:val="002C4763"/>
    <w:rsid w:val="002C5790"/>
    <w:rsid w:val="002C6FB3"/>
    <w:rsid w:val="002D0A6D"/>
    <w:rsid w:val="002D1144"/>
    <w:rsid w:val="002D1B11"/>
    <w:rsid w:val="002D2514"/>
    <w:rsid w:val="002D38DD"/>
    <w:rsid w:val="002D4F4C"/>
    <w:rsid w:val="002D5AC7"/>
    <w:rsid w:val="002D5CE4"/>
    <w:rsid w:val="002D5DC3"/>
    <w:rsid w:val="002D6498"/>
    <w:rsid w:val="002D6616"/>
    <w:rsid w:val="002D6FED"/>
    <w:rsid w:val="002D7341"/>
    <w:rsid w:val="002D79BD"/>
    <w:rsid w:val="002E02BA"/>
    <w:rsid w:val="002E0737"/>
    <w:rsid w:val="002E1123"/>
    <w:rsid w:val="002E11FC"/>
    <w:rsid w:val="002E1E04"/>
    <w:rsid w:val="002E23A1"/>
    <w:rsid w:val="002E2AA4"/>
    <w:rsid w:val="002E30BC"/>
    <w:rsid w:val="002E481F"/>
    <w:rsid w:val="002E4B69"/>
    <w:rsid w:val="002E4FA6"/>
    <w:rsid w:val="002E5B95"/>
    <w:rsid w:val="002E6590"/>
    <w:rsid w:val="002E7455"/>
    <w:rsid w:val="002F02A4"/>
    <w:rsid w:val="002F0B07"/>
    <w:rsid w:val="002F1C35"/>
    <w:rsid w:val="002F323F"/>
    <w:rsid w:val="002F3B91"/>
    <w:rsid w:val="002F5BB2"/>
    <w:rsid w:val="002F6082"/>
    <w:rsid w:val="002F6BF5"/>
    <w:rsid w:val="002F7A8E"/>
    <w:rsid w:val="002F7CF0"/>
    <w:rsid w:val="0030011D"/>
    <w:rsid w:val="00300603"/>
    <w:rsid w:val="00301469"/>
    <w:rsid w:val="00301999"/>
    <w:rsid w:val="00301CB7"/>
    <w:rsid w:val="0030231F"/>
    <w:rsid w:val="00302B41"/>
    <w:rsid w:val="00302BCF"/>
    <w:rsid w:val="00303067"/>
    <w:rsid w:val="003036D5"/>
    <w:rsid w:val="00303EFF"/>
    <w:rsid w:val="0030412C"/>
    <w:rsid w:val="00304820"/>
    <w:rsid w:val="00304ABE"/>
    <w:rsid w:val="00304D67"/>
    <w:rsid w:val="003052E2"/>
    <w:rsid w:val="00306AA1"/>
    <w:rsid w:val="00306F4B"/>
    <w:rsid w:val="00310381"/>
    <w:rsid w:val="003103E1"/>
    <w:rsid w:val="0031090D"/>
    <w:rsid w:val="00310CB2"/>
    <w:rsid w:val="00313D7F"/>
    <w:rsid w:val="003146EB"/>
    <w:rsid w:val="00314AE5"/>
    <w:rsid w:val="003152EB"/>
    <w:rsid w:val="00315CD9"/>
    <w:rsid w:val="00317710"/>
    <w:rsid w:val="00320124"/>
    <w:rsid w:val="00321252"/>
    <w:rsid w:val="003217A6"/>
    <w:rsid w:val="00321F4F"/>
    <w:rsid w:val="00324AB4"/>
    <w:rsid w:val="00324F7E"/>
    <w:rsid w:val="003250F7"/>
    <w:rsid w:val="00325697"/>
    <w:rsid w:val="00325C37"/>
    <w:rsid w:val="00325FD3"/>
    <w:rsid w:val="0032654B"/>
    <w:rsid w:val="0032675F"/>
    <w:rsid w:val="003270A5"/>
    <w:rsid w:val="00327C6B"/>
    <w:rsid w:val="00330EAA"/>
    <w:rsid w:val="0033155D"/>
    <w:rsid w:val="003318BA"/>
    <w:rsid w:val="00331DAA"/>
    <w:rsid w:val="0033247A"/>
    <w:rsid w:val="003327BE"/>
    <w:rsid w:val="00332C5F"/>
    <w:rsid w:val="003333C5"/>
    <w:rsid w:val="003335F0"/>
    <w:rsid w:val="003343D7"/>
    <w:rsid w:val="00334973"/>
    <w:rsid w:val="00334CDC"/>
    <w:rsid w:val="003356E3"/>
    <w:rsid w:val="003358E3"/>
    <w:rsid w:val="003364E5"/>
    <w:rsid w:val="0033673C"/>
    <w:rsid w:val="0033680C"/>
    <w:rsid w:val="00336D78"/>
    <w:rsid w:val="003404A9"/>
    <w:rsid w:val="00340545"/>
    <w:rsid w:val="00340549"/>
    <w:rsid w:val="00340838"/>
    <w:rsid w:val="00342477"/>
    <w:rsid w:val="003425CD"/>
    <w:rsid w:val="0034289D"/>
    <w:rsid w:val="00342966"/>
    <w:rsid w:val="003445FC"/>
    <w:rsid w:val="00344BE8"/>
    <w:rsid w:val="00344D91"/>
    <w:rsid w:val="00345343"/>
    <w:rsid w:val="00345E44"/>
    <w:rsid w:val="003461C8"/>
    <w:rsid w:val="00346235"/>
    <w:rsid w:val="00350B99"/>
    <w:rsid w:val="00351218"/>
    <w:rsid w:val="00351241"/>
    <w:rsid w:val="00351DE1"/>
    <w:rsid w:val="00351FA6"/>
    <w:rsid w:val="003522D8"/>
    <w:rsid w:val="00352966"/>
    <w:rsid w:val="003529FD"/>
    <w:rsid w:val="0035350F"/>
    <w:rsid w:val="00353B1B"/>
    <w:rsid w:val="0035429F"/>
    <w:rsid w:val="003542AE"/>
    <w:rsid w:val="00354ADA"/>
    <w:rsid w:val="003556CE"/>
    <w:rsid w:val="003557B2"/>
    <w:rsid w:val="00357046"/>
    <w:rsid w:val="00357088"/>
    <w:rsid w:val="00357E89"/>
    <w:rsid w:val="00360109"/>
    <w:rsid w:val="00360615"/>
    <w:rsid w:val="003611C4"/>
    <w:rsid w:val="0036123B"/>
    <w:rsid w:val="003613F0"/>
    <w:rsid w:val="00361597"/>
    <w:rsid w:val="00362A2D"/>
    <w:rsid w:val="0036495A"/>
    <w:rsid w:val="00365734"/>
    <w:rsid w:val="00366205"/>
    <w:rsid w:val="00366D84"/>
    <w:rsid w:val="00367142"/>
    <w:rsid w:val="00367462"/>
    <w:rsid w:val="00367555"/>
    <w:rsid w:val="00367708"/>
    <w:rsid w:val="00367B96"/>
    <w:rsid w:val="00370EB5"/>
    <w:rsid w:val="00371785"/>
    <w:rsid w:val="00371B6C"/>
    <w:rsid w:val="00372217"/>
    <w:rsid w:val="00373B4F"/>
    <w:rsid w:val="00373EC7"/>
    <w:rsid w:val="0037402C"/>
    <w:rsid w:val="003744B9"/>
    <w:rsid w:val="0037541D"/>
    <w:rsid w:val="0037694D"/>
    <w:rsid w:val="0037696F"/>
    <w:rsid w:val="003769C7"/>
    <w:rsid w:val="00377556"/>
    <w:rsid w:val="003779E0"/>
    <w:rsid w:val="0038008F"/>
    <w:rsid w:val="0038033A"/>
    <w:rsid w:val="0038079A"/>
    <w:rsid w:val="00380C58"/>
    <w:rsid w:val="00380F77"/>
    <w:rsid w:val="00381350"/>
    <w:rsid w:val="0038213B"/>
    <w:rsid w:val="00382461"/>
    <w:rsid w:val="00382A9D"/>
    <w:rsid w:val="003836F7"/>
    <w:rsid w:val="00384AB2"/>
    <w:rsid w:val="003854AB"/>
    <w:rsid w:val="00385B5F"/>
    <w:rsid w:val="00392250"/>
    <w:rsid w:val="00392372"/>
    <w:rsid w:val="00392564"/>
    <w:rsid w:val="003929DD"/>
    <w:rsid w:val="003946EC"/>
    <w:rsid w:val="003950F9"/>
    <w:rsid w:val="003955B3"/>
    <w:rsid w:val="00396422"/>
    <w:rsid w:val="003A046D"/>
    <w:rsid w:val="003A0783"/>
    <w:rsid w:val="003A0957"/>
    <w:rsid w:val="003A10D3"/>
    <w:rsid w:val="003A1137"/>
    <w:rsid w:val="003A1173"/>
    <w:rsid w:val="003A1DD5"/>
    <w:rsid w:val="003A2E2A"/>
    <w:rsid w:val="003A30EB"/>
    <w:rsid w:val="003A3C92"/>
    <w:rsid w:val="003A4A6F"/>
    <w:rsid w:val="003A4CDC"/>
    <w:rsid w:val="003A797E"/>
    <w:rsid w:val="003A7B63"/>
    <w:rsid w:val="003B00CD"/>
    <w:rsid w:val="003B0E84"/>
    <w:rsid w:val="003B1871"/>
    <w:rsid w:val="003B1B8B"/>
    <w:rsid w:val="003B326B"/>
    <w:rsid w:val="003B38FD"/>
    <w:rsid w:val="003B429A"/>
    <w:rsid w:val="003B4719"/>
    <w:rsid w:val="003B5296"/>
    <w:rsid w:val="003B5733"/>
    <w:rsid w:val="003B5AAE"/>
    <w:rsid w:val="003B5B5F"/>
    <w:rsid w:val="003B5C06"/>
    <w:rsid w:val="003B6018"/>
    <w:rsid w:val="003B6AA0"/>
    <w:rsid w:val="003B752C"/>
    <w:rsid w:val="003B7938"/>
    <w:rsid w:val="003C08A5"/>
    <w:rsid w:val="003C08C9"/>
    <w:rsid w:val="003C0EFE"/>
    <w:rsid w:val="003C1655"/>
    <w:rsid w:val="003C1B0D"/>
    <w:rsid w:val="003C29CB"/>
    <w:rsid w:val="003C3D9B"/>
    <w:rsid w:val="003C42CF"/>
    <w:rsid w:val="003C50A5"/>
    <w:rsid w:val="003C52DC"/>
    <w:rsid w:val="003C71A5"/>
    <w:rsid w:val="003C7710"/>
    <w:rsid w:val="003C7E3E"/>
    <w:rsid w:val="003D06E6"/>
    <w:rsid w:val="003D1A8A"/>
    <w:rsid w:val="003D1F66"/>
    <w:rsid w:val="003D20AF"/>
    <w:rsid w:val="003D28AE"/>
    <w:rsid w:val="003D3282"/>
    <w:rsid w:val="003D3C6C"/>
    <w:rsid w:val="003D41CD"/>
    <w:rsid w:val="003D429E"/>
    <w:rsid w:val="003D51A5"/>
    <w:rsid w:val="003D5331"/>
    <w:rsid w:val="003D54AD"/>
    <w:rsid w:val="003D55E0"/>
    <w:rsid w:val="003D5E9D"/>
    <w:rsid w:val="003D708E"/>
    <w:rsid w:val="003D72D3"/>
    <w:rsid w:val="003E0A22"/>
    <w:rsid w:val="003E1085"/>
    <w:rsid w:val="003E1EAF"/>
    <w:rsid w:val="003E275F"/>
    <w:rsid w:val="003E3D8E"/>
    <w:rsid w:val="003E4C68"/>
    <w:rsid w:val="003E5C6E"/>
    <w:rsid w:val="003E6FC9"/>
    <w:rsid w:val="003F0189"/>
    <w:rsid w:val="003F1BDC"/>
    <w:rsid w:val="003F2926"/>
    <w:rsid w:val="003F2A12"/>
    <w:rsid w:val="003F3731"/>
    <w:rsid w:val="003F4C35"/>
    <w:rsid w:val="003F4D67"/>
    <w:rsid w:val="003F567C"/>
    <w:rsid w:val="003F56F2"/>
    <w:rsid w:val="003F7046"/>
    <w:rsid w:val="003F70F7"/>
    <w:rsid w:val="003F7436"/>
    <w:rsid w:val="004007E3"/>
    <w:rsid w:val="00400C5B"/>
    <w:rsid w:val="00400D4D"/>
    <w:rsid w:val="00401162"/>
    <w:rsid w:val="00402031"/>
    <w:rsid w:val="004025C2"/>
    <w:rsid w:val="00402A1E"/>
    <w:rsid w:val="00403848"/>
    <w:rsid w:val="0040384E"/>
    <w:rsid w:val="004038BD"/>
    <w:rsid w:val="0040394D"/>
    <w:rsid w:val="00404399"/>
    <w:rsid w:val="00404528"/>
    <w:rsid w:val="00404ADC"/>
    <w:rsid w:val="004059BA"/>
    <w:rsid w:val="00405C3C"/>
    <w:rsid w:val="0040648C"/>
    <w:rsid w:val="00406928"/>
    <w:rsid w:val="00406BD8"/>
    <w:rsid w:val="00406C59"/>
    <w:rsid w:val="00406ECF"/>
    <w:rsid w:val="00410435"/>
    <w:rsid w:val="00410D4B"/>
    <w:rsid w:val="00410FEA"/>
    <w:rsid w:val="00411104"/>
    <w:rsid w:val="00411662"/>
    <w:rsid w:val="00412140"/>
    <w:rsid w:val="00412358"/>
    <w:rsid w:val="004127DC"/>
    <w:rsid w:val="004138E6"/>
    <w:rsid w:val="00414067"/>
    <w:rsid w:val="00414885"/>
    <w:rsid w:val="00414F9B"/>
    <w:rsid w:val="0041517E"/>
    <w:rsid w:val="00415D8B"/>
    <w:rsid w:val="00416280"/>
    <w:rsid w:val="004162C3"/>
    <w:rsid w:val="0041685B"/>
    <w:rsid w:val="00416B9F"/>
    <w:rsid w:val="0041762D"/>
    <w:rsid w:val="00417CA1"/>
    <w:rsid w:val="0042103E"/>
    <w:rsid w:val="00421227"/>
    <w:rsid w:val="00421D22"/>
    <w:rsid w:val="00422095"/>
    <w:rsid w:val="00422C34"/>
    <w:rsid w:val="00423054"/>
    <w:rsid w:val="004256E9"/>
    <w:rsid w:val="00425923"/>
    <w:rsid w:val="00425FC5"/>
    <w:rsid w:val="004266BE"/>
    <w:rsid w:val="00427AEB"/>
    <w:rsid w:val="00430ECA"/>
    <w:rsid w:val="00431FCD"/>
    <w:rsid w:val="00432309"/>
    <w:rsid w:val="00432A28"/>
    <w:rsid w:val="00432DF8"/>
    <w:rsid w:val="00433033"/>
    <w:rsid w:val="00433066"/>
    <w:rsid w:val="0043341B"/>
    <w:rsid w:val="0043415D"/>
    <w:rsid w:val="004343B3"/>
    <w:rsid w:val="004346D6"/>
    <w:rsid w:val="004348F0"/>
    <w:rsid w:val="00434BBF"/>
    <w:rsid w:val="00434F97"/>
    <w:rsid w:val="00435286"/>
    <w:rsid w:val="00436418"/>
    <w:rsid w:val="0043647C"/>
    <w:rsid w:val="00437DC1"/>
    <w:rsid w:val="0044104E"/>
    <w:rsid w:val="0044108D"/>
    <w:rsid w:val="004413F0"/>
    <w:rsid w:val="0044161D"/>
    <w:rsid w:val="00441864"/>
    <w:rsid w:val="004419A5"/>
    <w:rsid w:val="004425FD"/>
    <w:rsid w:val="00442DFE"/>
    <w:rsid w:val="00442F25"/>
    <w:rsid w:val="004435DF"/>
    <w:rsid w:val="004438FA"/>
    <w:rsid w:val="00443F56"/>
    <w:rsid w:val="00444430"/>
    <w:rsid w:val="00444FA5"/>
    <w:rsid w:val="004465CA"/>
    <w:rsid w:val="00446AAF"/>
    <w:rsid w:val="00447C73"/>
    <w:rsid w:val="00450038"/>
    <w:rsid w:val="00450239"/>
    <w:rsid w:val="00450818"/>
    <w:rsid w:val="00450840"/>
    <w:rsid w:val="00450E38"/>
    <w:rsid w:val="00452188"/>
    <w:rsid w:val="004521EC"/>
    <w:rsid w:val="00453A75"/>
    <w:rsid w:val="0045450B"/>
    <w:rsid w:val="004546E4"/>
    <w:rsid w:val="00455847"/>
    <w:rsid w:val="00455C8F"/>
    <w:rsid w:val="00455EDD"/>
    <w:rsid w:val="004563B5"/>
    <w:rsid w:val="00456E8B"/>
    <w:rsid w:val="004574EC"/>
    <w:rsid w:val="00460052"/>
    <w:rsid w:val="00461AF8"/>
    <w:rsid w:val="00462400"/>
    <w:rsid w:val="0046265A"/>
    <w:rsid w:val="004631E7"/>
    <w:rsid w:val="00463277"/>
    <w:rsid w:val="00463454"/>
    <w:rsid w:val="00463D3D"/>
    <w:rsid w:val="004641B2"/>
    <w:rsid w:val="00464CD3"/>
    <w:rsid w:val="0046531E"/>
    <w:rsid w:val="0046540E"/>
    <w:rsid w:val="0046561B"/>
    <w:rsid w:val="00465A6D"/>
    <w:rsid w:val="00465D73"/>
    <w:rsid w:val="00466C53"/>
    <w:rsid w:val="00467226"/>
    <w:rsid w:val="0047015C"/>
    <w:rsid w:val="00470697"/>
    <w:rsid w:val="00471E7F"/>
    <w:rsid w:val="004726F1"/>
    <w:rsid w:val="00473580"/>
    <w:rsid w:val="0047382B"/>
    <w:rsid w:val="004743B2"/>
    <w:rsid w:val="004744DB"/>
    <w:rsid w:val="00474597"/>
    <w:rsid w:val="004746D2"/>
    <w:rsid w:val="00474A08"/>
    <w:rsid w:val="00475CE4"/>
    <w:rsid w:val="00477D62"/>
    <w:rsid w:val="004806E1"/>
    <w:rsid w:val="00480BDE"/>
    <w:rsid w:val="00480C7A"/>
    <w:rsid w:val="00481213"/>
    <w:rsid w:val="00482B86"/>
    <w:rsid w:val="00483E95"/>
    <w:rsid w:val="0048436D"/>
    <w:rsid w:val="0048481D"/>
    <w:rsid w:val="00484B76"/>
    <w:rsid w:val="004860A4"/>
    <w:rsid w:val="0048701E"/>
    <w:rsid w:val="00487907"/>
    <w:rsid w:val="004900AE"/>
    <w:rsid w:val="00490157"/>
    <w:rsid w:val="0049074E"/>
    <w:rsid w:val="004938B4"/>
    <w:rsid w:val="00493BC2"/>
    <w:rsid w:val="00493C5B"/>
    <w:rsid w:val="004943C2"/>
    <w:rsid w:val="00494C5D"/>
    <w:rsid w:val="004954CF"/>
    <w:rsid w:val="00495E6A"/>
    <w:rsid w:val="00496610"/>
    <w:rsid w:val="004977E5"/>
    <w:rsid w:val="00497C68"/>
    <w:rsid w:val="004A0652"/>
    <w:rsid w:val="004A0693"/>
    <w:rsid w:val="004A0AF2"/>
    <w:rsid w:val="004A0B36"/>
    <w:rsid w:val="004A1CC0"/>
    <w:rsid w:val="004A1FCE"/>
    <w:rsid w:val="004A304E"/>
    <w:rsid w:val="004A3296"/>
    <w:rsid w:val="004A33C6"/>
    <w:rsid w:val="004A3749"/>
    <w:rsid w:val="004A381F"/>
    <w:rsid w:val="004A4A59"/>
    <w:rsid w:val="004A4C81"/>
    <w:rsid w:val="004A59AA"/>
    <w:rsid w:val="004A5FE8"/>
    <w:rsid w:val="004A766A"/>
    <w:rsid w:val="004A7D50"/>
    <w:rsid w:val="004B0245"/>
    <w:rsid w:val="004B02C4"/>
    <w:rsid w:val="004B0AF5"/>
    <w:rsid w:val="004B1012"/>
    <w:rsid w:val="004B1E27"/>
    <w:rsid w:val="004B24C5"/>
    <w:rsid w:val="004B3A6E"/>
    <w:rsid w:val="004B40D9"/>
    <w:rsid w:val="004B439F"/>
    <w:rsid w:val="004B4B04"/>
    <w:rsid w:val="004B6036"/>
    <w:rsid w:val="004B7602"/>
    <w:rsid w:val="004B7BD0"/>
    <w:rsid w:val="004B7C65"/>
    <w:rsid w:val="004B7D70"/>
    <w:rsid w:val="004B7E73"/>
    <w:rsid w:val="004C0466"/>
    <w:rsid w:val="004C09AF"/>
    <w:rsid w:val="004C1F04"/>
    <w:rsid w:val="004C2A9C"/>
    <w:rsid w:val="004C315F"/>
    <w:rsid w:val="004C3B2E"/>
    <w:rsid w:val="004C4433"/>
    <w:rsid w:val="004C496F"/>
    <w:rsid w:val="004C4CC4"/>
    <w:rsid w:val="004C5873"/>
    <w:rsid w:val="004C5B61"/>
    <w:rsid w:val="004C5D6B"/>
    <w:rsid w:val="004C5FE6"/>
    <w:rsid w:val="004C6C16"/>
    <w:rsid w:val="004C6C6D"/>
    <w:rsid w:val="004C7A29"/>
    <w:rsid w:val="004D01E2"/>
    <w:rsid w:val="004D03AF"/>
    <w:rsid w:val="004D0CEB"/>
    <w:rsid w:val="004D0D77"/>
    <w:rsid w:val="004D10AA"/>
    <w:rsid w:val="004D23CD"/>
    <w:rsid w:val="004D2632"/>
    <w:rsid w:val="004D3163"/>
    <w:rsid w:val="004D31EA"/>
    <w:rsid w:val="004D3CB2"/>
    <w:rsid w:val="004D49A0"/>
    <w:rsid w:val="004D4B5B"/>
    <w:rsid w:val="004D4FD8"/>
    <w:rsid w:val="004D59B5"/>
    <w:rsid w:val="004D5FF3"/>
    <w:rsid w:val="004D69DD"/>
    <w:rsid w:val="004D73E5"/>
    <w:rsid w:val="004E0593"/>
    <w:rsid w:val="004E0740"/>
    <w:rsid w:val="004E0B72"/>
    <w:rsid w:val="004E1283"/>
    <w:rsid w:val="004E35A7"/>
    <w:rsid w:val="004E3ABF"/>
    <w:rsid w:val="004E41EF"/>
    <w:rsid w:val="004E42F0"/>
    <w:rsid w:val="004E43C1"/>
    <w:rsid w:val="004E4F9D"/>
    <w:rsid w:val="004E50DB"/>
    <w:rsid w:val="004E558B"/>
    <w:rsid w:val="004E623E"/>
    <w:rsid w:val="004E64C3"/>
    <w:rsid w:val="004F0878"/>
    <w:rsid w:val="004F0B10"/>
    <w:rsid w:val="004F1B48"/>
    <w:rsid w:val="004F261E"/>
    <w:rsid w:val="004F263E"/>
    <w:rsid w:val="004F28E6"/>
    <w:rsid w:val="004F3702"/>
    <w:rsid w:val="004F417E"/>
    <w:rsid w:val="004F4AE7"/>
    <w:rsid w:val="004F4B75"/>
    <w:rsid w:val="004F4C9D"/>
    <w:rsid w:val="004F5021"/>
    <w:rsid w:val="004F5E57"/>
    <w:rsid w:val="004F6CD9"/>
    <w:rsid w:val="004F6F12"/>
    <w:rsid w:val="004F78E9"/>
    <w:rsid w:val="004F7A4C"/>
    <w:rsid w:val="00500B0F"/>
    <w:rsid w:val="0050120A"/>
    <w:rsid w:val="00502800"/>
    <w:rsid w:val="00502886"/>
    <w:rsid w:val="00503844"/>
    <w:rsid w:val="00503A1D"/>
    <w:rsid w:val="00505891"/>
    <w:rsid w:val="00505A11"/>
    <w:rsid w:val="005066D3"/>
    <w:rsid w:val="005068D9"/>
    <w:rsid w:val="0050706C"/>
    <w:rsid w:val="00507278"/>
    <w:rsid w:val="0050770A"/>
    <w:rsid w:val="005105CE"/>
    <w:rsid w:val="00510814"/>
    <w:rsid w:val="00510B83"/>
    <w:rsid w:val="0051141E"/>
    <w:rsid w:val="00511843"/>
    <w:rsid w:val="00511B4C"/>
    <w:rsid w:val="00512541"/>
    <w:rsid w:val="005137CB"/>
    <w:rsid w:val="005137DE"/>
    <w:rsid w:val="00514109"/>
    <w:rsid w:val="00514AC7"/>
    <w:rsid w:val="00515817"/>
    <w:rsid w:val="00516747"/>
    <w:rsid w:val="00520519"/>
    <w:rsid w:val="00520F1E"/>
    <w:rsid w:val="00521990"/>
    <w:rsid w:val="0052254D"/>
    <w:rsid w:val="005228B8"/>
    <w:rsid w:val="005236F7"/>
    <w:rsid w:val="0052386D"/>
    <w:rsid w:val="00524384"/>
    <w:rsid w:val="00524531"/>
    <w:rsid w:val="00524862"/>
    <w:rsid w:val="0052509C"/>
    <w:rsid w:val="00525163"/>
    <w:rsid w:val="005270AE"/>
    <w:rsid w:val="00527E76"/>
    <w:rsid w:val="00527FCE"/>
    <w:rsid w:val="00530A80"/>
    <w:rsid w:val="00531214"/>
    <w:rsid w:val="0053229F"/>
    <w:rsid w:val="005326F6"/>
    <w:rsid w:val="00532F99"/>
    <w:rsid w:val="00534558"/>
    <w:rsid w:val="00534898"/>
    <w:rsid w:val="00535141"/>
    <w:rsid w:val="00535AE8"/>
    <w:rsid w:val="00535CEA"/>
    <w:rsid w:val="005360DD"/>
    <w:rsid w:val="00536994"/>
    <w:rsid w:val="00537FB3"/>
    <w:rsid w:val="0054034A"/>
    <w:rsid w:val="0054082B"/>
    <w:rsid w:val="005414DA"/>
    <w:rsid w:val="00542596"/>
    <w:rsid w:val="005428AF"/>
    <w:rsid w:val="00544D91"/>
    <w:rsid w:val="00544DB6"/>
    <w:rsid w:val="00544EFD"/>
    <w:rsid w:val="0054515C"/>
    <w:rsid w:val="005454EC"/>
    <w:rsid w:val="005478F4"/>
    <w:rsid w:val="00547AE6"/>
    <w:rsid w:val="005518F9"/>
    <w:rsid w:val="00551B85"/>
    <w:rsid w:val="0055267F"/>
    <w:rsid w:val="0055268D"/>
    <w:rsid w:val="00552D1C"/>
    <w:rsid w:val="00553010"/>
    <w:rsid w:val="00553472"/>
    <w:rsid w:val="0055347D"/>
    <w:rsid w:val="0055372B"/>
    <w:rsid w:val="005542BF"/>
    <w:rsid w:val="00554C90"/>
    <w:rsid w:val="00555705"/>
    <w:rsid w:val="0055582B"/>
    <w:rsid w:val="005570A4"/>
    <w:rsid w:val="00557215"/>
    <w:rsid w:val="00557F72"/>
    <w:rsid w:val="0056000D"/>
    <w:rsid w:val="00561328"/>
    <w:rsid w:val="00561DDC"/>
    <w:rsid w:val="00561E91"/>
    <w:rsid w:val="005627BE"/>
    <w:rsid w:val="005628A2"/>
    <w:rsid w:val="00562967"/>
    <w:rsid w:val="00562B48"/>
    <w:rsid w:val="00562C36"/>
    <w:rsid w:val="00562CF9"/>
    <w:rsid w:val="00562DFA"/>
    <w:rsid w:val="005632D1"/>
    <w:rsid w:val="005633D2"/>
    <w:rsid w:val="00563609"/>
    <w:rsid w:val="00563941"/>
    <w:rsid w:val="005644B1"/>
    <w:rsid w:val="005647FB"/>
    <w:rsid w:val="00564AF1"/>
    <w:rsid w:val="005661C8"/>
    <w:rsid w:val="005668AE"/>
    <w:rsid w:val="00567009"/>
    <w:rsid w:val="005678D4"/>
    <w:rsid w:val="005700DB"/>
    <w:rsid w:val="00570AA9"/>
    <w:rsid w:val="00570B39"/>
    <w:rsid w:val="00570C99"/>
    <w:rsid w:val="00571AAD"/>
    <w:rsid w:val="00571AF2"/>
    <w:rsid w:val="00571EAB"/>
    <w:rsid w:val="00572B01"/>
    <w:rsid w:val="00572B9E"/>
    <w:rsid w:val="0057302E"/>
    <w:rsid w:val="00573518"/>
    <w:rsid w:val="00573529"/>
    <w:rsid w:val="005735ED"/>
    <w:rsid w:val="005737E9"/>
    <w:rsid w:val="00573915"/>
    <w:rsid w:val="00573C15"/>
    <w:rsid w:val="00573F30"/>
    <w:rsid w:val="00574287"/>
    <w:rsid w:val="0057523A"/>
    <w:rsid w:val="00575351"/>
    <w:rsid w:val="005779A7"/>
    <w:rsid w:val="005800CD"/>
    <w:rsid w:val="00582B60"/>
    <w:rsid w:val="0058390B"/>
    <w:rsid w:val="005861D4"/>
    <w:rsid w:val="0058664A"/>
    <w:rsid w:val="005869A1"/>
    <w:rsid w:val="00586BEE"/>
    <w:rsid w:val="00587A72"/>
    <w:rsid w:val="00587A84"/>
    <w:rsid w:val="005902A1"/>
    <w:rsid w:val="0059196D"/>
    <w:rsid w:val="00591FCE"/>
    <w:rsid w:val="00592DE3"/>
    <w:rsid w:val="00592F39"/>
    <w:rsid w:val="0059469D"/>
    <w:rsid w:val="00594876"/>
    <w:rsid w:val="00594D4F"/>
    <w:rsid w:val="00595141"/>
    <w:rsid w:val="00595E2D"/>
    <w:rsid w:val="0059630D"/>
    <w:rsid w:val="00596311"/>
    <w:rsid w:val="00596893"/>
    <w:rsid w:val="005970F9"/>
    <w:rsid w:val="005974CD"/>
    <w:rsid w:val="005A0E0F"/>
    <w:rsid w:val="005A2566"/>
    <w:rsid w:val="005A2ADD"/>
    <w:rsid w:val="005A3234"/>
    <w:rsid w:val="005A3A30"/>
    <w:rsid w:val="005A3BE1"/>
    <w:rsid w:val="005A670C"/>
    <w:rsid w:val="005A69E4"/>
    <w:rsid w:val="005A6E4D"/>
    <w:rsid w:val="005A7C39"/>
    <w:rsid w:val="005A7F00"/>
    <w:rsid w:val="005B0B0E"/>
    <w:rsid w:val="005B0B5E"/>
    <w:rsid w:val="005B176D"/>
    <w:rsid w:val="005B2536"/>
    <w:rsid w:val="005B25AF"/>
    <w:rsid w:val="005B2673"/>
    <w:rsid w:val="005B4BF3"/>
    <w:rsid w:val="005B5B97"/>
    <w:rsid w:val="005B615E"/>
    <w:rsid w:val="005B6A2C"/>
    <w:rsid w:val="005B6E0E"/>
    <w:rsid w:val="005B735B"/>
    <w:rsid w:val="005B7998"/>
    <w:rsid w:val="005B79C6"/>
    <w:rsid w:val="005B7FDD"/>
    <w:rsid w:val="005C0346"/>
    <w:rsid w:val="005C0DFC"/>
    <w:rsid w:val="005C16A0"/>
    <w:rsid w:val="005C1925"/>
    <w:rsid w:val="005C25D5"/>
    <w:rsid w:val="005C2EC6"/>
    <w:rsid w:val="005C31F9"/>
    <w:rsid w:val="005C471B"/>
    <w:rsid w:val="005C4AF1"/>
    <w:rsid w:val="005C5F81"/>
    <w:rsid w:val="005C6197"/>
    <w:rsid w:val="005C63F7"/>
    <w:rsid w:val="005C6E53"/>
    <w:rsid w:val="005C6ECC"/>
    <w:rsid w:val="005C7AB1"/>
    <w:rsid w:val="005D032E"/>
    <w:rsid w:val="005D0331"/>
    <w:rsid w:val="005D0C51"/>
    <w:rsid w:val="005D1123"/>
    <w:rsid w:val="005D160B"/>
    <w:rsid w:val="005D1FC6"/>
    <w:rsid w:val="005D2A48"/>
    <w:rsid w:val="005D2E8C"/>
    <w:rsid w:val="005D35CE"/>
    <w:rsid w:val="005D3EA4"/>
    <w:rsid w:val="005D409A"/>
    <w:rsid w:val="005D5AF6"/>
    <w:rsid w:val="005D6191"/>
    <w:rsid w:val="005D6424"/>
    <w:rsid w:val="005E08F2"/>
    <w:rsid w:val="005E09BD"/>
    <w:rsid w:val="005E146A"/>
    <w:rsid w:val="005E1AE0"/>
    <w:rsid w:val="005E2106"/>
    <w:rsid w:val="005E2460"/>
    <w:rsid w:val="005E2815"/>
    <w:rsid w:val="005E3034"/>
    <w:rsid w:val="005E3A69"/>
    <w:rsid w:val="005E3B2E"/>
    <w:rsid w:val="005E3C65"/>
    <w:rsid w:val="005E3E42"/>
    <w:rsid w:val="005E3F8B"/>
    <w:rsid w:val="005E446F"/>
    <w:rsid w:val="005E548D"/>
    <w:rsid w:val="005E58A5"/>
    <w:rsid w:val="005E65B4"/>
    <w:rsid w:val="005E70C2"/>
    <w:rsid w:val="005E79DD"/>
    <w:rsid w:val="005E7E15"/>
    <w:rsid w:val="005F018B"/>
    <w:rsid w:val="005F07CE"/>
    <w:rsid w:val="005F11E9"/>
    <w:rsid w:val="005F1607"/>
    <w:rsid w:val="005F16AA"/>
    <w:rsid w:val="005F331F"/>
    <w:rsid w:val="005F6323"/>
    <w:rsid w:val="005F66AA"/>
    <w:rsid w:val="005F7794"/>
    <w:rsid w:val="00601476"/>
    <w:rsid w:val="006028C4"/>
    <w:rsid w:val="00603F80"/>
    <w:rsid w:val="006050E2"/>
    <w:rsid w:val="0060612D"/>
    <w:rsid w:val="00606B14"/>
    <w:rsid w:val="00606BE8"/>
    <w:rsid w:val="00606D96"/>
    <w:rsid w:val="00606DFC"/>
    <w:rsid w:val="00606ED7"/>
    <w:rsid w:val="00606FC1"/>
    <w:rsid w:val="0060780E"/>
    <w:rsid w:val="00607B15"/>
    <w:rsid w:val="00610381"/>
    <w:rsid w:val="0061050D"/>
    <w:rsid w:val="0061064E"/>
    <w:rsid w:val="00610A70"/>
    <w:rsid w:val="006112D9"/>
    <w:rsid w:val="0061276C"/>
    <w:rsid w:val="00612A9E"/>
    <w:rsid w:val="00613758"/>
    <w:rsid w:val="00613D97"/>
    <w:rsid w:val="00616298"/>
    <w:rsid w:val="006170EB"/>
    <w:rsid w:val="0061750F"/>
    <w:rsid w:val="00617CBF"/>
    <w:rsid w:val="00620228"/>
    <w:rsid w:val="0062076C"/>
    <w:rsid w:val="00620786"/>
    <w:rsid w:val="00620DB1"/>
    <w:rsid w:val="00620DC8"/>
    <w:rsid w:val="00621CB3"/>
    <w:rsid w:val="00621F91"/>
    <w:rsid w:val="00623950"/>
    <w:rsid w:val="00623B12"/>
    <w:rsid w:val="00623EBB"/>
    <w:rsid w:val="006245CA"/>
    <w:rsid w:val="00624916"/>
    <w:rsid w:val="00624DFB"/>
    <w:rsid w:val="00626A34"/>
    <w:rsid w:val="00627214"/>
    <w:rsid w:val="006304C7"/>
    <w:rsid w:val="006310FE"/>
    <w:rsid w:val="00632311"/>
    <w:rsid w:val="00632677"/>
    <w:rsid w:val="00632D21"/>
    <w:rsid w:val="00633B33"/>
    <w:rsid w:val="006340DF"/>
    <w:rsid w:val="006344C3"/>
    <w:rsid w:val="006357F1"/>
    <w:rsid w:val="00635CCF"/>
    <w:rsid w:val="00635F94"/>
    <w:rsid w:val="00637353"/>
    <w:rsid w:val="00640F80"/>
    <w:rsid w:val="006415CB"/>
    <w:rsid w:val="00641D31"/>
    <w:rsid w:val="006424EC"/>
    <w:rsid w:val="0064358E"/>
    <w:rsid w:val="006446F3"/>
    <w:rsid w:val="0064516F"/>
    <w:rsid w:val="00645418"/>
    <w:rsid w:val="00646584"/>
    <w:rsid w:val="00646809"/>
    <w:rsid w:val="006476D4"/>
    <w:rsid w:val="00650CCD"/>
    <w:rsid w:val="00652397"/>
    <w:rsid w:val="00652A42"/>
    <w:rsid w:val="00655490"/>
    <w:rsid w:val="00656801"/>
    <w:rsid w:val="00656BE5"/>
    <w:rsid w:val="006579EA"/>
    <w:rsid w:val="00657D8D"/>
    <w:rsid w:val="00657E4D"/>
    <w:rsid w:val="00660DAC"/>
    <w:rsid w:val="00661604"/>
    <w:rsid w:val="00661E4A"/>
    <w:rsid w:val="00662F50"/>
    <w:rsid w:val="00663019"/>
    <w:rsid w:val="0066363F"/>
    <w:rsid w:val="00663775"/>
    <w:rsid w:val="00663B5E"/>
    <w:rsid w:val="00663FE2"/>
    <w:rsid w:val="00664768"/>
    <w:rsid w:val="00664BD4"/>
    <w:rsid w:val="006650EF"/>
    <w:rsid w:val="0066525F"/>
    <w:rsid w:val="006656F3"/>
    <w:rsid w:val="006657FB"/>
    <w:rsid w:val="00665BD6"/>
    <w:rsid w:val="006662E5"/>
    <w:rsid w:val="006673A9"/>
    <w:rsid w:val="006706B5"/>
    <w:rsid w:val="0067238C"/>
    <w:rsid w:val="00673894"/>
    <w:rsid w:val="00673A1A"/>
    <w:rsid w:val="006742E0"/>
    <w:rsid w:val="006746ED"/>
    <w:rsid w:val="00674C02"/>
    <w:rsid w:val="0067593C"/>
    <w:rsid w:val="00676D42"/>
    <w:rsid w:val="00680F21"/>
    <w:rsid w:val="006818CB"/>
    <w:rsid w:val="006819C0"/>
    <w:rsid w:val="0068249B"/>
    <w:rsid w:val="006841F4"/>
    <w:rsid w:val="006842FF"/>
    <w:rsid w:val="00684846"/>
    <w:rsid w:val="006848AB"/>
    <w:rsid w:val="00684FAE"/>
    <w:rsid w:val="00685194"/>
    <w:rsid w:val="006852CC"/>
    <w:rsid w:val="00687829"/>
    <w:rsid w:val="00687A30"/>
    <w:rsid w:val="00687B54"/>
    <w:rsid w:val="00690E62"/>
    <w:rsid w:val="00691D03"/>
    <w:rsid w:val="00692BD3"/>
    <w:rsid w:val="00692E57"/>
    <w:rsid w:val="00694ED0"/>
    <w:rsid w:val="00694ED3"/>
    <w:rsid w:val="00695761"/>
    <w:rsid w:val="00695B02"/>
    <w:rsid w:val="00696937"/>
    <w:rsid w:val="0069728F"/>
    <w:rsid w:val="006A011A"/>
    <w:rsid w:val="006A0244"/>
    <w:rsid w:val="006A0645"/>
    <w:rsid w:val="006A112C"/>
    <w:rsid w:val="006A21BB"/>
    <w:rsid w:val="006A2857"/>
    <w:rsid w:val="006A2923"/>
    <w:rsid w:val="006A3160"/>
    <w:rsid w:val="006A36F2"/>
    <w:rsid w:val="006A3CC0"/>
    <w:rsid w:val="006A3F4F"/>
    <w:rsid w:val="006A4A0B"/>
    <w:rsid w:val="006A4C35"/>
    <w:rsid w:val="006A58A3"/>
    <w:rsid w:val="006A5AEC"/>
    <w:rsid w:val="006A61F5"/>
    <w:rsid w:val="006A6622"/>
    <w:rsid w:val="006A699F"/>
    <w:rsid w:val="006A70C0"/>
    <w:rsid w:val="006A773D"/>
    <w:rsid w:val="006B02C1"/>
    <w:rsid w:val="006B0BA8"/>
    <w:rsid w:val="006B0F21"/>
    <w:rsid w:val="006B13FE"/>
    <w:rsid w:val="006B1B51"/>
    <w:rsid w:val="006B2636"/>
    <w:rsid w:val="006B2B5A"/>
    <w:rsid w:val="006B3321"/>
    <w:rsid w:val="006B3376"/>
    <w:rsid w:val="006B38CA"/>
    <w:rsid w:val="006B4002"/>
    <w:rsid w:val="006B44E4"/>
    <w:rsid w:val="006B4719"/>
    <w:rsid w:val="006B4937"/>
    <w:rsid w:val="006B51D0"/>
    <w:rsid w:val="006B6F5A"/>
    <w:rsid w:val="006C1783"/>
    <w:rsid w:val="006C1EC2"/>
    <w:rsid w:val="006C1EE6"/>
    <w:rsid w:val="006C21B8"/>
    <w:rsid w:val="006C2544"/>
    <w:rsid w:val="006C2A0E"/>
    <w:rsid w:val="006C2FAD"/>
    <w:rsid w:val="006C42A4"/>
    <w:rsid w:val="006C5146"/>
    <w:rsid w:val="006C5E97"/>
    <w:rsid w:val="006C6200"/>
    <w:rsid w:val="006C69AC"/>
    <w:rsid w:val="006C72C4"/>
    <w:rsid w:val="006D0491"/>
    <w:rsid w:val="006D0650"/>
    <w:rsid w:val="006D09CE"/>
    <w:rsid w:val="006D1BE3"/>
    <w:rsid w:val="006D22E1"/>
    <w:rsid w:val="006D5FE5"/>
    <w:rsid w:val="006D690B"/>
    <w:rsid w:val="006D709A"/>
    <w:rsid w:val="006D70E7"/>
    <w:rsid w:val="006D7FC4"/>
    <w:rsid w:val="006E205E"/>
    <w:rsid w:val="006E2235"/>
    <w:rsid w:val="006E2523"/>
    <w:rsid w:val="006E32DA"/>
    <w:rsid w:val="006E35E8"/>
    <w:rsid w:val="006E3FB3"/>
    <w:rsid w:val="006E5264"/>
    <w:rsid w:val="006E6111"/>
    <w:rsid w:val="006E6D25"/>
    <w:rsid w:val="006F057B"/>
    <w:rsid w:val="006F0B66"/>
    <w:rsid w:val="006F1A61"/>
    <w:rsid w:val="006F2D7B"/>
    <w:rsid w:val="006F4A97"/>
    <w:rsid w:val="006F4B02"/>
    <w:rsid w:val="006F5AC6"/>
    <w:rsid w:val="006F5C81"/>
    <w:rsid w:val="006F6117"/>
    <w:rsid w:val="006F62BF"/>
    <w:rsid w:val="006F70BE"/>
    <w:rsid w:val="006F760D"/>
    <w:rsid w:val="006F771E"/>
    <w:rsid w:val="006F7FFE"/>
    <w:rsid w:val="007006DB"/>
    <w:rsid w:val="007014B4"/>
    <w:rsid w:val="00702354"/>
    <w:rsid w:val="00702835"/>
    <w:rsid w:val="007028DC"/>
    <w:rsid w:val="00702C0C"/>
    <w:rsid w:val="00706579"/>
    <w:rsid w:val="0070673A"/>
    <w:rsid w:val="00706D9E"/>
    <w:rsid w:val="0070717F"/>
    <w:rsid w:val="007103FF"/>
    <w:rsid w:val="00710980"/>
    <w:rsid w:val="007115C7"/>
    <w:rsid w:val="00711724"/>
    <w:rsid w:val="0071186F"/>
    <w:rsid w:val="00711E1A"/>
    <w:rsid w:val="007122A7"/>
    <w:rsid w:val="00712666"/>
    <w:rsid w:val="00713A51"/>
    <w:rsid w:val="00713FDF"/>
    <w:rsid w:val="007141F6"/>
    <w:rsid w:val="00715364"/>
    <w:rsid w:val="00716535"/>
    <w:rsid w:val="007167DF"/>
    <w:rsid w:val="00716B1D"/>
    <w:rsid w:val="00716C29"/>
    <w:rsid w:val="00717604"/>
    <w:rsid w:val="00717D4B"/>
    <w:rsid w:val="0072039F"/>
    <w:rsid w:val="007205E5"/>
    <w:rsid w:val="007215FA"/>
    <w:rsid w:val="00721660"/>
    <w:rsid w:val="00721C39"/>
    <w:rsid w:val="00722C67"/>
    <w:rsid w:val="00723595"/>
    <w:rsid w:val="00723652"/>
    <w:rsid w:val="00724332"/>
    <w:rsid w:val="007256CC"/>
    <w:rsid w:val="007257A7"/>
    <w:rsid w:val="007261FA"/>
    <w:rsid w:val="007267F4"/>
    <w:rsid w:val="00726A4E"/>
    <w:rsid w:val="00726AB8"/>
    <w:rsid w:val="00726D14"/>
    <w:rsid w:val="00727CE0"/>
    <w:rsid w:val="0073035B"/>
    <w:rsid w:val="00730A5F"/>
    <w:rsid w:val="00731184"/>
    <w:rsid w:val="00731196"/>
    <w:rsid w:val="00731606"/>
    <w:rsid w:val="007324B7"/>
    <w:rsid w:val="00733C7B"/>
    <w:rsid w:val="00733F9A"/>
    <w:rsid w:val="00734043"/>
    <w:rsid w:val="007345E0"/>
    <w:rsid w:val="00734EFF"/>
    <w:rsid w:val="00735084"/>
    <w:rsid w:val="00735194"/>
    <w:rsid w:val="0073539F"/>
    <w:rsid w:val="00737873"/>
    <w:rsid w:val="0074002B"/>
    <w:rsid w:val="00741AF4"/>
    <w:rsid w:val="00741ECD"/>
    <w:rsid w:val="00742423"/>
    <w:rsid w:val="007429AF"/>
    <w:rsid w:val="0074309D"/>
    <w:rsid w:val="007430E3"/>
    <w:rsid w:val="007434DF"/>
    <w:rsid w:val="00743679"/>
    <w:rsid w:val="00743DD2"/>
    <w:rsid w:val="00744AAF"/>
    <w:rsid w:val="0074577D"/>
    <w:rsid w:val="00745BD8"/>
    <w:rsid w:val="007460B4"/>
    <w:rsid w:val="007460CB"/>
    <w:rsid w:val="007461ED"/>
    <w:rsid w:val="00746316"/>
    <w:rsid w:val="00746A19"/>
    <w:rsid w:val="00746FC9"/>
    <w:rsid w:val="00747F87"/>
    <w:rsid w:val="00750082"/>
    <w:rsid w:val="0075024A"/>
    <w:rsid w:val="00750782"/>
    <w:rsid w:val="00751797"/>
    <w:rsid w:val="00751BE1"/>
    <w:rsid w:val="00751C1F"/>
    <w:rsid w:val="00751EF4"/>
    <w:rsid w:val="00753350"/>
    <w:rsid w:val="00753947"/>
    <w:rsid w:val="0075490D"/>
    <w:rsid w:val="00755627"/>
    <w:rsid w:val="007560B3"/>
    <w:rsid w:val="00757056"/>
    <w:rsid w:val="007575D9"/>
    <w:rsid w:val="00760610"/>
    <w:rsid w:val="00760EDA"/>
    <w:rsid w:val="007625E6"/>
    <w:rsid w:val="007628A0"/>
    <w:rsid w:val="0076395D"/>
    <w:rsid w:val="00763ACB"/>
    <w:rsid w:val="007641CF"/>
    <w:rsid w:val="007655DE"/>
    <w:rsid w:val="0076586A"/>
    <w:rsid w:val="00766727"/>
    <w:rsid w:val="00766961"/>
    <w:rsid w:val="00766DE8"/>
    <w:rsid w:val="00770178"/>
    <w:rsid w:val="00770598"/>
    <w:rsid w:val="00771DD4"/>
    <w:rsid w:val="00771FB0"/>
    <w:rsid w:val="00773610"/>
    <w:rsid w:val="00773622"/>
    <w:rsid w:val="0077432E"/>
    <w:rsid w:val="007743C0"/>
    <w:rsid w:val="00774905"/>
    <w:rsid w:val="00774F3C"/>
    <w:rsid w:val="00775B7B"/>
    <w:rsid w:val="00776578"/>
    <w:rsid w:val="00776829"/>
    <w:rsid w:val="0077716D"/>
    <w:rsid w:val="00777650"/>
    <w:rsid w:val="00777852"/>
    <w:rsid w:val="00777C3A"/>
    <w:rsid w:val="007801A9"/>
    <w:rsid w:val="00780EC1"/>
    <w:rsid w:val="007823D9"/>
    <w:rsid w:val="007834C3"/>
    <w:rsid w:val="007840E3"/>
    <w:rsid w:val="007844EB"/>
    <w:rsid w:val="00785392"/>
    <w:rsid w:val="00786363"/>
    <w:rsid w:val="00787C2E"/>
    <w:rsid w:val="0079053E"/>
    <w:rsid w:val="007905D9"/>
    <w:rsid w:val="007905E6"/>
    <w:rsid w:val="00790E5F"/>
    <w:rsid w:val="007923A8"/>
    <w:rsid w:val="00792BBE"/>
    <w:rsid w:val="00792CC0"/>
    <w:rsid w:val="007930CE"/>
    <w:rsid w:val="00793E5A"/>
    <w:rsid w:val="00794483"/>
    <w:rsid w:val="00794E6F"/>
    <w:rsid w:val="007953B5"/>
    <w:rsid w:val="0079543A"/>
    <w:rsid w:val="00795B27"/>
    <w:rsid w:val="00795C7A"/>
    <w:rsid w:val="00796160"/>
    <w:rsid w:val="007961D1"/>
    <w:rsid w:val="00796ABF"/>
    <w:rsid w:val="00797CF4"/>
    <w:rsid w:val="007A1010"/>
    <w:rsid w:val="007A11FB"/>
    <w:rsid w:val="007A1451"/>
    <w:rsid w:val="007A1919"/>
    <w:rsid w:val="007A1B38"/>
    <w:rsid w:val="007A24D3"/>
    <w:rsid w:val="007A3912"/>
    <w:rsid w:val="007A4F13"/>
    <w:rsid w:val="007A6CEF"/>
    <w:rsid w:val="007A6E98"/>
    <w:rsid w:val="007A6EC6"/>
    <w:rsid w:val="007A7033"/>
    <w:rsid w:val="007B0448"/>
    <w:rsid w:val="007B0FF0"/>
    <w:rsid w:val="007B3269"/>
    <w:rsid w:val="007B3848"/>
    <w:rsid w:val="007B4628"/>
    <w:rsid w:val="007B6743"/>
    <w:rsid w:val="007B692F"/>
    <w:rsid w:val="007B6B78"/>
    <w:rsid w:val="007B793C"/>
    <w:rsid w:val="007B7E8B"/>
    <w:rsid w:val="007C0BC8"/>
    <w:rsid w:val="007C1C41"/>
    <w:rsid w:val="007C247D"/>
    <w:rsid w:val="007C2E8A"/>
    <w:rsid w:val="007C30DF"/>
    <w:rsid w:val="007C38BF"/>
    <w:rsid w:val="007C3AA1"/>
    <w:rsid w:val="007C519D"/>
    <w:rsid w:val="007C5EDD"/>
    <w:rsid w:val="007C61EF"/>
    <w:rsid w:val="007C649B"/>
    <w:rsid w:val="007D04AC"/>
    <w:rsid w:val="007D0619"/>
    <w:rsid w:val="007D0D57"/>
    <w:rsid w:val="007D1C0E"/>
    <w:rsid w:val="007D1C4E"/>
    <w:rsid w:val="007D35EF"/>
    <w:rsid w:val="007D44AB"/>
    <w:rsid w:val="007D630B"/>
    <w:rsid w:val="007D6560"/>
    <w:rsid w:val="007D65B4"/>
    <w:rsid w:val="007D707E"/>
    <w:rsid w:val="007D713A"/>
    <w:rsid w:val="007E037B"/>
    <w:rsid w:val="007E0B9A"/>
    <w:rsid w:val="007E18CD"/>
    <w:rsid w:val="007E2117"/>
    <w:rsid w:val="007E25F5"/>
    <w:rsid w:val="007E2A6D"/>
    <w:rsid w:val="007E3953"/>
    <w:rsid w:val="007E4349"/>
    <w:rsid w:val="007E5215"/>
    <w:rsid w:val="007E5E70"/>
    <w:rsid w:val="007E5EA3"/>
    <w:rsid w:val="007E63BB"/>
    <w:rsid w:val="007E6D6D"/>
    <w:rsid w:val="007E714D"/>
    <w:rsid w:val="007E78AB"/>
    <w:rsid w:val="007F1118"/>
    <w:rsid w:val="007F1B0D"/>
    <w:rsid w:val="007F2123"/>
    <w:rsid w:val="007F32C3"/>
    <w:rsid w:val="007F3813"/>
    <w:rsid w:val="007F4D8D"/>
    <w:rsid w:val="007F5220"/>
    <w:rsid w:val="007F5257"/>
    <w:rsid w:val="007F5A5F"/>
    <w:rsid w:val="007F6AAF"/>
    <w:rsid w:val="007F7653"/>
    <w:rsid w:val="007F7C45"/>
    <w:rsid w:val="0080000B"/>
    <w:rsid w:val="00800780"/>
    <w:rsid w:val="00801D2B"/>
    <w:rsid w:val="008020FB"/>
    <w:rsid w:val="00802604"/>
    <w:rsid w:val="008032CF"/>
    <w:rsid w:val="00804442"/>
    <w:rsid w:val="00804FBB"/>
    <w:rsid w:val="00805111"/>
    <w:rsid w:val="008056A7"/>
    <w:rsid w:val="00805857"/>
    <w:rsid w:val="00805A20"/>
    <w:rsid w:val="00805D4C"/>
    <w:rsid w:val="00806421"/>
    <w:rsid w:val="008073A9"/>
    <w:rsid w:val="00807B4A"/>
    <w:rsid w:val="00807BE9"/>
    <w:rsid w:val="00807D20"/>
    <w:rsid w:val="00810280"/>
    <w:rsid w:val="008109E4"/>
    <w:rsid w:val="00811AEE"/>
    <w:rsid w:val="0081232E"/>
    <w:rsid w:val="00812F72"/>
    <w:rsid w:val="00813172"/>
    <w:rsid w:val="00816620"/>
    <w:rsid w:val="00816C60"/>
    <w:rsid w:val="00817D72"/>
    <w:rsid w:val="00817EFD"/>
    <w:rsid w:val="00820F58"/>
    <w:rsid w:val="00821087"/>
    <w:rsid w:val="0082144F"/>
    <w:rsid w:val="00822702"/>
    <w:rsid w:val="00823100"/>
    <w:rsid w:val="008232C7"/>
    <w:rsid w:val="00824D72"/>
    <w:rsid w:val="0082744D"/>
    <w:rsid w:val="00827BD0"/>
    <w:rsid w:val="008305B1"/>
    <w:rsid w:val="0083071C"/>
    <w:rsid w:val="00830810"/>
    <w:rsid w:val="00830E46"/>
    <w:rsid w:val="0083192A"/>
    <w:rsid w:val="00831B3B"/>
    <w:rsid w:val="00831EAF"/>
    <w:rsid w:val="00831FAE"/>
    <w:rsid w:val="0083203A"/>
    <w:rsid w:val="00832B42"/>
    <w:rsid w:val="00832D01"/>
    <w:rsid w:val="0083342B"/>
    <w:rsid w:val="008348B5"/>
    <w:rsid w:val="00834B39"/>
    <w:rsid w:val="0083547C"/>
    <w:rsid w:val="0083579F"/>
    <w:rsid w:val="0083596F"/>
    <w:rsid w:val="00835DA2"/>
    <w:rsid w:val="008371DC"/>
    <w:rsid w:val="00837D42"/>
    <w:rsid w:val="008400BD"/>
    <w:rsid w:val="008401A8"/>
    <w:rsid w:val="0084022E"/>
    <w:rsid w:val="0084080C"/>
    <w:rsid w:val="008411BC"/>
    <w:rsid w:val="00841521"/>
    <w:rsid w:val="00842371"/>
    <w:rsid w:val="008426CF"/>
    <w:rsid w:val="00842A36"/>
    <w:rsid w:val="008433EE"/>
    <w:rsid w:val="00844394"/>
    <w:rsid w:val="008448C8"/>
    <w:rsid w:val="00845250"/>
    <w:rsid w:val="00845DAA"/>
    <w:rsid w:val="00846689"/>
    <w:rsid w:val="00846702"/>
    <w:rsid w:val="008471B8"/>
    <w:rsid w:val="0084748B"/>
    <w:rsid w:val="00847AEA"/>
    <w:rsid w:val="00847C95"/>
    <w:rsid w:val="00847F1A"/>
    <w:rsid w:val="008501D5"/>
    <w:rsid w:val="0085029E"/>
    <w:rsid w:val="00850FEE"/>
    <w:rsid w:val="00851A7B"/>
    <w:rsid w:val="0085203E"/>
    <w:rsid w:val="008520C2"/>
    <w:rsid w:val="0085286B"/>
    <w:rsid w:val="00852E5C"/>
    <w:rsid w:val="008532E1"/>
    <w:rsid w:val="008535AA"/>
    <w:rsid w:val="00853630"/>
    <w:rsid w:val="00853955"/>
    <w:rsid w:val="00854109"/>
    <w:rsid w:val="0085438A"/>
    <w:rsid w:val="008547DE"/>
    <w:rsid w:val="00854E22"/>
    <w:rsid w:val="008552A8"/>
    <w:rsid w:val="008556C0"/>
    <w:rsid w:val="00856F85"/>
    <w:rsid w:val="00857D9D"/>
    <w:rsid w:val="00857F4A"/>
    <w:rsid w:val="0086126A"/>
    <w:rsid w:val="00861774"/>
    <w:rsid w:val="0086272C"/>
    <w:rsid w:val="00862CAC"/>
    <w:rsid w:val="008635CD"/>
    <w:rsid w:val="0086363B"/>
    <w:rsid w:val="008637F7"/>
    <w:rsid w:val="008647CA"/>
    <w:rsid w:val="00864A3F"/>
    <w:rsid w:val="00865063"/>
    <w:rsid w:val="00865C8C"/>
    <w:rsid w:val="00866936"/>
    <w:rsid w:val="008679A5"/>
    <w:rsid w:val="008679C4"/>
    <w:rsid w:val="00867AC6"/>
    <w:rsid w:val="00870239"/>
    <w:rsid w:val="0087094B"/>
    <w:rsid w:val="00870C81"/>
    <w:rsid w:val="00871054"/>
    <w:rsid w:val="0087209D"/>
    <w:rsid w:val="008729A7"/>
    <w:rsid w:val="008730A8"/>
    <w:rsid w:val="008732CB"/>
    <w:rsid w:val="008737B1"/>
    <w:rsid w:val="00873DF2"/>
    <w:rsid w:val="008741CD"/>
    <w:rsid w:val="00874795"/>
    <w:rsid w:val="00875144"/>
    <w:rsid w:val="00875C24"/>
    <w:rsid w:val="00876814"/>
    <w:rsid w:val="00876B12"/>
    <w:rsid w:val="00876BDD"/>
    <w:rsid w:val="008775F4"/>
    <w:rsid w:val="00877E93"/>
    <w:rsid w:val="0088117E"/>
    <w:rsid w:val="00881203"/>
    <w:rsid w:val="00881B15"/>
    <w:rsid w:val="00882813"/>
    <w:rsid w:val="00882D01"/>
    <w:rsid w:val="0088304B"/>
    <w:rsid w:val="00883DDA"/>
    <w:rsid w:val="0088409F"/>
    <w:rsid w:val="0088486A"/>
    <w:rsid w:val="00884E4A"/>
    <w:rsid w:val="0088594C"/>
    <w:rsid w:val="00885B79"/>
    <w:rsid w:val="00886058"/>
    <w:rsid w:val="00886286"/>
    <w:rsid w:val="0088646B"/>
    <w:rsid w:val="0088712E"/>
    <w:rsid w:val="00887282"/>
    <w:rsid w:val="00887535"/>
    <w:rsid w:val="008876E7"/>
    <w:rsid w:val="008901BA"/>
    <w:rsid w:val="00890FB4"/>
    <w:rsid w:val="00891766"/>
    <w:rsid w:val="008922C6"/>
    <w:rsid w:val="00893E29"/>
    <w:rsid w:val="00893F62"/>
    <w:rsid w:val="00894B3D"/>
    <w:rsid w:val="008951AE"/>
    <w:rsid w:val="008951E1"/>
    <w:rsid w:val="00895447"/>
    <w:rsid w:val="0089579C"/>
    <w:rsid w:val="00895CCF"/>
    <w:rsid w:val="008977FB"/>
    <w:rsid w:val="00897924"/>
    <w:rsid w:val="00897F50"/>
    <w:rsid w:val="008A00F2"/>
    <w:rsid w:val="008A05DC"/>
    <w:rsid w:val="008A084F"/>
    <w:rsid w:val="008A09C0"/>
    <w:rsid w:val="008A0B4C"/>
    <w:rsid w:val="008A0C5A"/>
    <w:rsid w:val="008A0CA6"/>
    <w:rsid w:val="008A11D1"/>
    <w:rsid w:val="008A16CC"/>
    <w:rsid w:val="008A1AF9"/>
    <w:rsid w:val="008A238F"/>
    <w:rsid w:val="008A2509"/>
    <w:rsid w:val="008A2638"/>
    <w:rsid w:val="008A3683"/>
    <w:rsid w:val="008A3A2F"/>
    <w:rsid w:val="008A3C08"/>
    <w:rsid w:val="008A3D59"/>
    <w:rsid w:val="008A46E9"/>
    <w:rsid w:val="008A4CCC"/>
    <w:rsid w:val="008A4F4E"/>
    <w:rsid w:val="008A5295"/>
    <w:rsid w:val="008A630A"/>
    <w:rsid w:val="008A6A78"/>
    <w:rsid w:val="008A6C5C"/>
    <w:rsid w:val="008A70D3"/>
    <w:rsid w:val="008A737F"/>
    <w:rsid w:val="008A73EC"/>
    <w:rsid w:val="008A78FD"/>
    <w:rsid w:val="008A791E"/>
    <w:rsid w:val="008A7947"/>
    <w:rsid w:val="008A7AF7"/>
    <w:rsid w:val="008B0EF8"/>
    <w:rsid w:val="008B1125"/>
    <w:rsid w:val="008B1250"/>
    <w:rsid w:val="008B17C0"/>
    <w:rsid w:val="008B1A61"/>
    <w:rsid w:val="008B1E08"/>
    <w:rsid w:val="008B1EA5"/>
    <w:rsid w:val="008B22C7"/>
    <w:rsid w:val="008B25B5"/>
    <w:rsid w:val="008B29D9"/>
    <w:rsid w:val="008B3F6B"/>
    <w:rsid w:val="008B4032"/>
    <w:rsid w:val="008B40AA"/>
    <w:rsid w:val="008B45DC"/>
    <w:rsid w:val="008B53FB"/>
    <w:rsid w:val="008B596A"/>
    <w:rsid w:val="008B59D1"/>
    <w:rsid w:val="008B5C64"/>
    <w:rsid w:val="008B61D6"/>
    <w:rsid w:val="008B6397"/>
    <w:rsid w:val="008B6653"/>
    <w:rsid w:val="008B6A5E"/>
    <w:rsid w:val="008B6F9F"/>
    <w:rsid w:val="008B7110"/>
    <w:rsid w:val="008B7773"/>
    <w:rsid w:val="008B7F93"/>
    <w:rsid w:val="008C072B"/>
    <w:rsid w:val="008C0A84"/>
    <w:rsid w:val="008C0F2E"/>
    <w:rsid w:val="008C1B15"/>
    <w:rsid w:val="008C2B82"/>
    <w:rsid w:val="008C2D4F"/>
    <w:rsid w:val="008C3BE1"/>
    <w:rsid w:val="008C5198"/>
    <w:rsid w:val="008C52D3"/>
    <w:rsid w:val="008C575A"/>
    <w:rsid w:val="008C5A39"/>
    <w:rsid w:val="008C5A84"/>
    <w:rsid w:val="008C5B5D"/>
    <w:rsid w:val="008C5F44"/>
    <w:rsid w:val="008C6722"/>
    <w:rsid w:val="008C6ADB"/>
    <w:rsid w:val="008C7B0F"/>
    <w:rsid w:val="008D07E6"/>
    <w:rsid w:val="008D1F3A"/>
    <w:rsid w:val="008D261F"/>
    <w:rsid w:val="008D2A10"/>
    <w:rsid w:val="008D3914"/>
    <w:rsid w:val="008D4477"/>
    <w:rsid w:val="008D4B93"/>
    <w:rsid w:val="008D4EBC"/>
    <w:rsid w:val="008D4EEE"/>
    <w:rsid w:val="008D562C"/>
    <w:rsid w:val="008D60DE"/>
    <w:rsid w:val="008D7118"/>
    <w:rsid w:val="008D7BC4"/>
    <w:rsid w:val="008E1537"/>
    <w:rsid w:val="008E1742"/>
    <w:rsid w:val="008E2612"/>
    <w:rsid w:val="008E269D"/>
    <w:rsid w:val="008E3858"/>
    <w:rsid w:val="008E3905"/>
    <w:rsid w:val="008E5D22"/>
    <w:rsid w:val="008E64F8"/>
    <w:rsid w:val="008E66E8"/>
    <w:rsid w:val="008E7013"/>
    <w:rsid w:val="008E710D"/>
    <w:rsid w:val="008E731C"/>
    <w:rsid w:val="008E75A3"/>
    <w:rsid w:val="008E7FB6"/>
    <w:rsid w:val="008F0566"/>
    <w:rsid w:val="008F09B0"/>
    <w:rsid w:val="008F1823"/>
    <w:rsid w:val="008F2C41"/>
    <w:rsid w:val="008F2D92"/>
    <w:rsid w:val="008F2DB8"/>
    <w:rsid w:val="008F3976"/>
    <w:rsid w:val="008F418A"/>
    <w:rsid w:val="008F46CE"/>
    <w:rsid w:val="008F4D4F"/>
    <w:rsid w:val="008F4F1A"/>
    <w:rsid w:val="008F5BF8"/>
    <w:rsid w:val="008F6076"/>
    <w:rsid w:val="008F6E81"/>
    <w:rsid w:val="008F7DA1"/>
    <w:rsid w:val="009001A9"/>
    <w:rsid w:val="00900ACE"/>
    <w:rsid w:val="009010C6"/>
    <w:rsid w:val="00901109"/>
    <w:rsid w:val="00901BB4"/>
    <w:rsid w:val="00901CCB"/>
    <w:rsid w:val="00901DED"/>
    <w:rsid w:val="009025BF"/>
    <w:rsid w:val="00902D49"/>
    <w:rsid w:val="00903479"/>
    <w:rsid w:val="009035FD"/>
    <w:rsid w:val="00903C14"/>
    <w:rsid w:val="00904C82"/>
    <w:rsid w:val="00904E74"/>
    <w:rsid w:val="0090634D"/>
    <w:rsid w:val="0090724C"/>
    <w:rsid w:val="0090731B"/>
    <w:rsid w:val="00907819"/>
    <w:rsid w:val="0091006E"/>
    <w:rsid w:val="0091050E"/>
    <w:rsid w:val="009108B3"/>
    <w:rsid w:val="009111B1"/>
    <w:rsid w:val="00911D6C"/>
    <w:rsid w:val="00912417"/>
    <w:rsid w:val="00913136"/>
    <w:rsid w:val="0091332D"/>
    <w:rsid w:val="00913921"/>
    <w:rsid w:val="00914A66"/>
    <w:rsid w:val="00914D09"/>
    <w:rsid w:val="00914F3F"/>
    <w:rsid w:val="009153C4"/>
    <w:rsid w:val="00915A38"/>
    <w:rsid w:val="00915F2F"/>
    <w:rsid w:val="00920ED3"/>
    <w:rsid w:val="00921C47"/>
    <w:rsid w:val="009225A4"/>
    <w:rsid w:val="009227BD"/>
    <w:rsid w:val="009231BC"/>
    <w:rsid w:val="009235C1"/>
    <w:rsid w:val="00923A80"/>
    <w:rsid w:val="009249CC"/>
    <w:rsid w:val="00924CA6"/>
    <w:rsid w:val="009254FD"/>
    <w:rsid w:val="00926C9A"/>
    <w:rsid w:val="009273B8"/>
    <w:rsid w:val="009278D4"/>
    <w:rsid w:val="00927EEB"/>
    <w:rsid w:val="00927F9F"/>
    <w:rsid w:val="009301DC"/>
    <w:rsid w:val="00930277"/>
    <w:rsid w:val="00930AB8"/>
    <w:rsid w:val="00930D3B"/>
    <w:rsid w:val="00931257"/>
    <w:rsid w:val="009312BB"/>
    <w:rsid w:val="009315A4"/>
    <w:rsid w:val="009315F2"/>
    <w:rsid w:val="00931F8A"/>
    <w:rsid w:val="009328F3"/>
    <w:rsid w:val="00933433"/>
    <w:rsid w:val="009339DA"/>
    <w:rsid w:val="009340D0"/>
    <w:rsid w:val="00934226"/>
    <w:rsid w:val="00934425"/>
    <w:rsid w:val="00934644"/>
    <w:rsid w:val="00935358"/>
    <w:rsid w:val="00935AC0"/>
    <w:rsid w:val="00935B3F"/>
    <w:rsid w:val="00935CC9"/>
    <w:rsid w:val="00936DC8"/>
    <w:rsid w:val="00936FB8"/>
    <w:rsid w:val="00937568"/>
    <w:rsid w:val="00940040"/>
    <w:rsid w:val="009415BE"/>
    <w:rsid w:val="009419A4"/>
    <w:rsid w:val="009422F7"/>
    <w:rsid w:val="00942F4D"/>
    <w:rsid w:val="00943B19"/>
    <w:rsid w:val="0094491C"/>
    <w:rsid w:val="0094617E"/>
    <w:rsid w:val="009471D4"/>
    <w:rsid w:val="00947BDB"/>
    <w:rsid w:val="00947C03"/>
    <w:rsid w:val="00947D69"/>
    <w:rsid w:val="00950ADF"/>
    <w:rsid w:val="009523C9"/>
    <w:rsid w:val="009526F9"/>
    <w:rsid w:val="0095290F"/>
    <w:rsid w:val="00953C78"/>
    <w:rsid w:val="00953D71"/>
    <w:rsid w:val="009544F8"/>
    <w:rsid w:val="00954713"/>
    <w:rsid w:val="00954AF7"/>
    <w:rsid w:val="00955216"/>
    <w:rsid w:val="00956CF1"/>
    <w:rsid w:val="00956CFA"/>
    <w:rsid w:val="009575BB"/>
    <w:rsid w:val="009605AD"/>
    <w:rsid w:val="00960746"/>
    <w:rsid w:val="00960A66"/>
    <w:rsid w:val="00961CB3"/>
    <w:rsid w:val="00962465"/>
    <w:rsid w:val="00962770"/>
    <w:rsid w:val="00962C37"/>
    <w:rsid w:val="00962D16"/>
    <w:rsid w:val="0096532B"/>
    <w:rsid w:val="009672F6"/>
    <w:rsid w:val="00967C0A"/>
    <w:rsid w:val="00971CD3"/>
    <w:rsid w:val="00972C26"/>
    <w:rsid w:val="00972D54"/>
    <w:rsid w:val="009747DF"/>
    <w:rsid w:val="00974A4D"/>
    <w:rsid w:val="00975188"/>
    <w:rsid w:val="00975419"/>
    <w:rsid w:val="009760EC"/>
    <w:rsid w:val="00976504"/>
    <w:rsid w:val="00976D38"/>
    <w:rsid w:val="0097760A"/>
    <w:rsid w:val="00977D67"/>
    <w:rsid w:val="0098057D"/>
    <w:rsid w:val="00981F00"/>
    <w:rsid w:val="00982793"/>
    <w:rsid w:val="00982C1A"/>
    <w:rsid w:val="00983B56"/>
    <w:rsid w:val="0098403B"/>
    <w:rsid w:val="00984F02"/>
    <w:rsid w:val="0098524A"/>
    <w:rsid w:val="00985C82"/>
    <w:rsid w:val="00985CAB"/>
    <w:rsid w:val="00985DA3"/>
    <w:rsid w:val="00986DF4"/>
    <w:rsid w:val="00991BCC"/>
    <w:rsid w:val="00992B0A"/>
    <w:rsid w:val="009938FE"/>
    <w:rsid w:val="00993DB1"/>
    <w:rsid w:val="00993DBB"/>
    <w:rsid w:val="00994402"/>
    <w:rsid w:val="00994616"/>
    <w:rsid w:val="00994A0F"/>
    <w:rsid w:val="009953FD"/>
    <w:rsid w:val="00996E96"/>
    <w:rsid w:val="00997345"/>
    <w:rsid w:val="0099767E"/>
    <w:rsid w:val="0099777A"/>
    <w:rsid w:val="009A0CB3"/>
    <w:rsid w:val="009A2D15"/>
    <w:rsid w:val="009A2E69"/>
    <w:rsid w:val="009A3B2E"/>
    <w:rsid w:val="009A46B7"/>
    <w:rsid w:val="009A4C9E"/>
    <w:rsid w:val="009A5A92"/>
    <w:rsid w:val="009A5C1D"/>
    <w:rsid w:val="009A6174"/>
    <w:rsid w:val="009A646C"/>
    <w:rsid w:val="009A709D"/>
    <w:rsid w:val="009A7A6E"/>
    <w:rsid w:val="009B0527"/>
    <w:rsid w:val="009B05E3"/>
    <w:rsid w:val="009B0675"/>
    <w:rsid w:val="009B09DB"/>
    <w:rsid w:val="009B0D8E"/>
    <w:rsid w:val="009B162F"/>
    <w:rsid w:val="009B1C2B"/>
    <w:rsid w:val="009B26C9"/>
    <w:rsid w:val="009B3D70"/>
    <w:rsid w:val="009B3E02"/>
    <w:rsid w:val="009B4ED6"/>
    <w:rsid w:val="009B5164"/>
    <w:rsid w:val="009B62E6"/>
    <w:rsid w:val="009B69BD"/>
    <w:rsid w:val="009B6C06"/>
    <w:rsid w:val="009B6C17"/>
    <w:rsid w:val="009B7099"/>
    <w:rsid w:val="009B77D4"/>
    <w:rsid w:val="009B7AE7"/>
    <w:rsid w:val="009C097B"/>
    <w:rsid w:val="009C372F"/>
    <w:rsid w:val="009C3BE3"/>
    <w:rsid w:val="009C447B"/>
    <w:rsid w:val="009C475F"/>
    <w:rsid w:val="009C60B9"/>
    <w:rsid w:val="009C619E"/>
    <w:rsid w:val="009C65E6"/>
    <w:rsid w:val="009C6E1A"/>
    <w:rsid w:val="009C7186"/>
    <w:rsid w:val="009D05C9"/>
    <w:rsid w:val="009D1354"/>
    <w:rsid w:val="009D18AB"/>
    <w:rsid w:val="009D204E"/>
    <w:rsid w:val="009D213A"/>
    <w:rsid w:val="009D2FB0"/>
    <w:rsid w:val="009D33C1"/>
    <w:rsid w:val="009D34FF"/>
    <w:rsid w:val="009D36A6"/>
    <w:rsid w:val="009D3AAD"/>
    <w:rsid w:val="009D42CA"/>
    <w:rsid w:val="009D4453"/>
    <w:rsid w:val="009D5534"/>
    <w:rsid w:val="009D55F1"/>
    <w:rsid w:val="009D5935"/>
    <w:rsid w:val="009D5B6B"/>
    <w:rsid w:val="009D719E"/>
    <w:rsid w:val="009D7202"/>
    <w:rsid w:val="009D7CE3"/>
    <w:rsid w:val="009E0C12"/>
    <w:rsid w:val="009E1011"/>
    <w:rsid w:val="009E19C8"/>
    <w:rsid w:val="009E1AC2"/>
    <w:rsid w:val="009E21AE"/>
    <w:rsid w:val="009E2D62"/>
    <w:rsid w:val="009E3B43"/>
    <w:rsid w:val="009E40EE"/>
    <w:rsid w:val="009E4334"/>
    <w:rsid w:val="009E4832"/>
    <w:rsid w:val="009E5218"/>
    <w:rsid w:val="009E54C5"/>
    <w:rsid w:val="009E5A0D"/>
    <w:rsid w:val="009E6FAD"/>
    <w:rsid w:val="009F049E"/>
    <w:rsid w:val="009F0715"/>
    <w:rsid w:val="009F08BE"/>
    <w:rsid w:val="009F15D4"/>
    <w:rsid w:val="009F16D4"/>
    <w:rsid w:val="009F1CBC"/>
    <w:rsid w:val="009F2334"/>
    <w:rsid w:val="009F2751"/>
    <w:rsid w:val="009F2BEA"/>
    <w:rsid w:val="009F2D50"/>
    <w:rsid w:val="009F30BD"/>
    <w:rsid w:val="009F36D7"/>
    <w:rsid w:val="009F38AA"/>
    <w:rsid w:val="009F3E4A"/>
    <w:rsid w:val="009F4661"/>
    <w:rsid w:val="009F4ED9"/>
    <w:rsid w:val="009F574D"/>
    <w:rsid w:val="009F5B9F"/>
    <w:rsid w:val="009F6109"/>
    <w:rsid w:val="009F64F4"/>
    <w:rsid w:val="009F7A49"/>
    <w:rsid w:val="009F7AAA"/>
    <w:rsid w:val="00A0089B"/>
    <w:rsid w:val="00A0133F"/>
    <w:rsid w:val="00A01E30"/>
    <w:rsid w:val="00A02B3B"/>
    <w:rsid w:val="00A02EFE"/>
    <w:rsid w:val="00A033DD"/>
    <w:rsid w:val="00A0449D"/>
    <w:rsid w:val="00A04736"/>
    <w:rsid w:val="00A05B67"/>
    <w:rsid w:val="00A05D6B"/>
    <w:rsid w:val="00A0655E"/>
    <w:rsid w:val="00A06B12"/>
    <w:rsid w:val="00A06EE5"/>
    <w:rsid w:val="00A07C5F"/>
    <w:rsid w:val="00A1193C"/>
    <w:rsid w:val="00A11A59"/>
    <w:rsid w:val="00A11BE0"/>
    <w:rsid w:val="00A12B15"/>
    <w:rsid w:val="00A133B6"/>
    <w:rsid w:val="00A133D8"/>
    <w:rsid w:val="00A137E4"/>
    <w:rsid w:val="00A13AF7"/>
    <w:rsid w:val="00A145DF"/>
    <w:rsid w:val="00A14944"/>
    <w:rsid w:val="00A1672F"/>
    <w:rsid w:val="00A22386"/>
    <w:rsid w:val="00A224C4"/>
    <w:rsid w:val="00A2266F"/>
    <w:rsid w:val="00A22822"/>
    <w:rsid w:val="00A2289D"/>
    <w:rsid w:val="00A22C13"/>
    <w:rsid w:val="00A23BBC"/>
    <w:rsid w:val="00A2469A"/>
    <w:rsid w:val="00A24B44"/>
    <w:rsid w:val="00A24F9B"/>
    <w:rsid w:val="00A25AE2"/>
    <w:rsid w:val="00A26023"/>
    <w:rsid w:val="00A2666A"/>
    <w:rsid w:val="00A30F4E"/>
    <w:rsid w:val="00A313AC"/>
    <w:rsid w:val="00A31904"/>
    <w:rsid w:val="00A31F6E"/>
    <w:rsid w:val="00A3213F"/>
    <w:rsid w:val="00A322DD"/>
    <w:rsid w:val="00A327F2"/>
    <w:rsid w:val="00A3322A"/>
    <w:rsid w:val="00A33A53"/>
    <w:rsid w:val="00A34128"/>
    <w:rsid w:val="00A3488A"/>
    <w:rsid w:val="00A34A9D"/>
    <w:rsid w:val="00A35270"/>
    <w:rsid w:val="00A3575D"/>
    <w:rsid w:val="00A3584A"/>
    <w:rsid w:val="00A36255"/>
    <w:rsid w:val="00A3701E"/>
    <w:rsid w:val="00A37C17"/>
    <w:rsid w:val="00A40166"/>
    <w:rsid w:val="00A406EB"/>
    <w:rsid w:val="00A41280"/>
    <w:rsid w:val="00A42E8B"/>
    <w:rsid w:val="00A44D17"/>
    <w:rsid w:val="00A454DB"/>
    <w:rsid w:val="00A45668"/>
    <w:rsid w:val="00A459A2"/>
    <w:rsid w:val="00A46671"/>
    <w:rsid w:val="00A47B98"/>
    <w:rsid w:val="00A47BC7"/>
    <w:rsid w:val="00A516AD"/>
    <w:rsid w:val="00A51793"/>
    <w:rsid w:val="00A51D36"/>
    <w:rsid w:val="00A51EBB"/>
    <w:rsid w:val="00A523D9"/>
    <w:rsid w:val="00A52B3A"/>
    <w:rsid w:val="00A530C1"/>
    <w:rsid w:val="00A53E19"/>
    <w:rsid w:val="00A5432D"/>
    <w:rsid w:val="00A54549"/>
    <w:rsid w:val="00A54698"/>
    <w:rsid w:val="00A54F36"/>
    <w:rsid w:val="00A55654"/>
    <w:rsid w:val="00A55EEB"/>
    <w:rsid w:val="00A562EF"/>
    <w:rsid w:val="00A57322"/>
    <w:rsid w:val="00A5745C"/>
    <w:rsid w:val="00A578F3"/>
    <w:rsid w:val="00A5791E"/>
    <w:rsid w:val="00A57C2A"/>
    <w:rsid w:val="00A60DDC"/>
    <w:rsid w:val="00A60E2A"/>
    <w:rsid w:val="00A6152C"/>
    <w:rsid w:val="00A61A20"/>
    <w:rsid w:val="00A623ED"/>
    <w:rsid w:val="00A63E2F"/>
    <w:rsid w:val="00A641FF"/>
    <w:rsid w:val="00A6496B"/>
    <w:rsid w:val="00A64F09"/>
    <w:rsid w:val="00A65A6F"/>
    <w:rsid w:val="00A6668E"/>
    <w:rsid w:val="00A674BE"/>
    <w:rsid w:val="00A67953"/>
    <w:rsid w:val="00A67E9D"/>
    <w:rsid w:val="00A70291"/>
    <w:rsid w:val="00A703B9"/>
    <w:rsid w:val="00A70B76"/>
    <w:rsid w:val="00A70C5D"/>
    <w:rsid w:val="00A70DFF"/>
    <w:rsid w:val="00A71892"/>
    <w:rsid w:val="00A71A66"/>
    <w:rsid w:val="00A7254A"/>
    <w:rsid w:val="00A7255B"/>
    <w:rsid w:val="00A7277F"/>
    <w:rsid w:val="00A734B5"/>
    <w:rsid w:val="00A749B8"/>
    <w:rsid w:val="00A74AD1"/>
    <w:rsid w:val="00A74B4B"/>
    <w:rsid w:val="00A74D02"/>
    <w:rsid w:val="00A75868"/>
    <w:rsid w:val="00A75DBD"/>
    <w:rsid w:val="00A7605F"/>
    <w:rsid w:val="00A76ED7"/>
    <w:rsid w:val="00A773AE"/>
    <w:rsid w:val="00A81040"/>
    <w:rsid w:val="00A81110"/>
    <w:rsid w:val="00A81767"/>
    <w:rsid w:val="00A81C28"/>
    <w:rsid w:val="00A824C3"/>
    <w:rsid w:val="00A82A24"/>
    <w:rsid w:val="00A83B94"/>
    <w:rsid w:val="00A83F3C"/>
    <w:rsid w:val="00A8487B"/>
    <w:rsid w:val="00A84ADF"/>
    <w:rsid w:val="00A85824"/>
    <w:rsid w:val="00A861AF"/>
    <w:rsid w:val="00A863ED"/>
    <w:rsid w:val="00A864C4"/>
    <w:rsid w:val="00A8670D"/>
    <w:rsid w:val="00A86844"/>
    <w:rsid w:val="00A87097"/>
    <w:rsid w:val="00A870DA"/>
    <w:rsid w:val="00A8729E"/>
    <w:rsid w:val="00A87947"/>
    <w:rsid w:val="00A879EE"/>
    <w:rsid w:val="00A87F28"/>
    <w:rsid w:val="00A9004E"/>
    <w:rsid w:val="00A911F9"/>
    <w:rsid w:val="00A91A7F"/>
    <w:rsid w:val="00A924AD"/>
    <w:rsid w:val="00A92563"/>
    <w:rsid w:val="00A925C6"/>
    <w:rsid w:val="00A925D9"/>
    <w:rsid w:val="00A92FA2"/>
    <w:rsid w:val="00A931EF"/>
    <w:rsid w:val="00A9383A"/>
    <w:rsid w:val="00A93A63"/>
    <w:rsid w:val="00A93DA8"/>
    <w:rsid w:val="00A96D1E"/>
    <w:rsid w:val="00A974C7"/>
    <w:rsid w:val="00AA07F6"/>
    <w:rsid w:val="00AA0A20"/>
    <w:rsid w:val="00AA3606"/>
    <w:rsid w:val="00AA4431"/>
    <w:rsid w:val="00AA58CF"/>
    <w:rsid w:val="00AA59E7"/>
    <w:rsid w:val="00AA755C"/>
    <w:rsid w:val="00AA787D"/>
    <w:rsid w:val="00AB03A9"/>
    <w:rsid w:val="00AB0550"/>
    <w:rsid w:val="00AB2036"/>
    <w:rsid w:val="00AB2FAD"/>
    <w:rsid w:val="00AB2FB2"/>
    <w:rsid w:val="00AB394F"/>
    <w:rsid w:val="00AB3977"/>
    <w:rsid w:val="00AB4898"/>
    <w:rsid w:val="00AB65E8"/>
    <w:rsid w:val="00AC16E0"/>
    <w:rsid w:val="00AC17DE"/>
    <w:rsid w:val="00AC1E05"/>
    <w:rsid w:val="00AC26E4"/>
    <w:rsid w:val="00AC3460"/>
    <w:rsid w:val="00AC47C9"/>
    <w:rsid w:val="00AC4AC4"/>
    <w:rsid w:val="00AC4ADC"/>
    <w:rsid w:val="00AC55A3"/>
    <w:rsid w:val="00AC6681"/>
    <w:rsid w:val="00AC697E"/>
    <w:rsid w:val="00AC69AA"/>
    <w:rsid w:val="00AC7862"/>
    <w:rsid w:val="00AC7A97"/>
    <w:rsid w:val="00AD01A3"/>
    <w:rsid w:val="00AD0991"/>
    <w:rsid w:val="00AD0EE6"/>
    <w:rsid w:val="00AD1CCC"/>
    <w:rsid w:val="00AD34A3"/>
    <w:rsid w:val="00AD3762"/>
    <w:rsid w:val="00AD470A"/>
    <w:rsid w:val="00AD4713"/>
    <w:rsid w:val="00AD49F4"/>
    <w:rsid w:val="00AD5092"/>
    <w:rsid w:val="00AD5112"/>
    <w:rsid w:val="00AD5699"/>
    <w:rsid w:val="00AD5726"/>
    <w:rsid w:val="00AD5890"/>
    <w:rsid w:val="00AD63D8"/>
    <w:rsid w:val="00AD6C46"/>
    <w:rsid w:val="00AD73AE"/>
    <w:rsid w:val="00AD767C"/>
    <w:rsid w:val="00AE070F"/>
    <w:rsid w:val="00AE0ACE"/>
    <w:rsid w:val="00AE1DB6"/>
    <w:rsid w:val="00AE250B"/>
    <w:rsid w:val="00AE30C1"/>
    <w:rsid w:val="00AE35FE"/>
    <w:rsid w:val="00AE3EF0"/>
    <w:rsid w:val="00AE41B3"/>
    <w:rsid w:val="00AE506B"/>
    <w:rsid w:val="00AE5D33"/>
    <w:rsid w:val="00AE62CC"/>
    <w:rsid w:val="00AE6422"/>
    <w:rsid w:val="00AE65B6"/>
    <w:rsid w:val="00AE71B1"/>
    <w:rsid w:val="00AE729B"/>
    <w:rsid w:val="00AE7740"/>
    <w:rsid w:val="00AF0305"/>
    <w:rsid w:val="00AF0EEE"/>
    <w:rsid w:val="00AF1326"/>
    <w:rsid w:val="00AF175C"/>
    <w:rsid w:val="00AF1A70"/>
    <w:rsid w:val="00AF24DC"/>
    <w:rsid w:val="00AF294B"/>
    <w:rsid w:val="00AF2C0B"/>
    <w:rsid w:val="00AF5205"/>
    <w:rsid w:val="00AF6069"/>
    <w:rsid w:val="00AF685F"/>
    <w:rsid w:val="00AF690C"/>
    <w:rsid w:val="00AF6D17"/>
    <w:rsid w:val="00B0094C"/>
    <w:rsid w:val="00B00B8D"/>
    <w:rsid w:val="00B0235B"/>
    <w:rsid w:val="00B03AF8"/>
    <w:rsid w:val="00B0614F"/>
    <w:rsid w:val="00B06B54"/>
    <w:rsid w:val="00B06E1E"/>
    <w:rsid w:val="00B07965"/>
    <w:rsid w:val="00B07F76"/>
    <w:rsid w:val="00B10122"/>
    <w:rsid w:val="00B10425"/>
    <w:rsid w:val="00B11003"/>
    <w:rsid w:val="00B11C5E"/>
    <w:rsid w:val="00B126D9"/>
    <w:rsid w:val="00B13720"/>
    <w:rsid w:val="00B13BC9"/>
    <w:rsid w:val="00B14943"/>
    <w:rsid w:val="00B155F1"/>
    <w:rsid w:val="00B1695E"/>
    <w:rsid w:val="00B17E2F"/>
    <w:rsid w:val="00B21573"/>
    <w:rsid w:val="00B21C7E"/>
    <w:rsid w:val="00B21E85"/>
    <w:rsid w:val="00B22774"/>
    <w:rsid w:val="00B229CC"/>
    <w:rsid w:val="00B22A98"/>
    <w:rsid w:val="00B23C38"/>
    <w:rsid w:val="00B23E6D"/>
    <w:rsid w:val="00B23EFD"/>
    <w:rsid w:val="00B2465F"/>
    <w:rsid w:val="00B246EF"/>
    <w:rsid w:val="00B24D83"/>
    <w:rsid w:val="00B25820"/>
    <w:rsid w:val="00B2669E"/>
    <w:rsid w:val="00B27285"/>
    <w:rsid w:val="00B27C47"/>
    <w:rsid w:val="00B27F2D"/>
    <w:rsid w:val="00B308A1"/>
    <w:rsid w:val="00B32CE2"/>
    <w:rsid w:val="00B32D8E"/>
    <w:rsid w:val="00B33C29"/>
    <w:rsid w:val="00B345CE"/>
    <w:rsid w:val="00B3637F"/>
    <w:rsid w:val="00B3665D"/>
    <w:rsid w:val="00B3701B"/>
    <w:rsid w:val="00B376A6"/>
    <w:rsid w:val="00B407BE"/>
    <w:rsid w:val="00B40BC2"/>
    <w:rsid w:val="00B4148E"/>
    <w:rsid w:val="00B42253"/>
    <w:rsid w:val="00B42303"/>
    <w:rsid w:val="00B42A7C"/>
    <w:rsid w:val="00B42F10"/>
    <w:rsid w:val="00B43591"/>
    <w:rsid w:val="00B43929"/>
    <w:rsid w:val="00B44799"/>
    <w:rsid w:val="00B44AF8"/>
    <w:rsid w:val="00B45566"/>
    <w:rsid w:val="00B45EB8"/>
    <w:rsid w:val="00B471DA"/>
    <w:rsid w:val="00B512C1"/>
    <w:rsid w:val="00B51CCB"/>
    <w:rsid w:val="00B53964"/>
    <w:rsid w:val="00B54C20"/>
    <w:rsid w:val="00B5502A"/>
    <w:rsid w:val="00B5585C"/>
    <w:rsid w:val="00B56785"/>
    <w:rsid w:val="00B56F49"/>
    <w:rsid w:val="00B57854"/>
    <w:rsid w:val="00B57E21"/>
    <w:rsid w:val="00B603A6"/>
    <w:rsid w:val="00B61105"/>
    <w:rsid w:val="00B616D8"/>
    <w:rsid w:val="00B62683"/>
    <w:rsid w:val="00B62F89"/>
    <w:rsid w:val="00B6335A"/>
    <w:rsid w:val="00B6427D"/>
    <w:rsid w:val="00B6456D"/>
    <w:rsid w:val="00B64706"/>
    <w:rsid w:val="00B64E69"/>
    <w:rsid w:val="00B65456"/>
    <w:rsid w:val="00B66119"/>
    <w:rsid w:val="00B66542"/>
    <w:rsid w:val="00B669F4"/>
    <w:rsid w:val="00B66D36"/>
    <w:rsid w:val="00B67207"/>
    <w:rsid w:val="00B67258"/>
    <w:rsid w:val="00B67B08"/>
    <w:rsid w:val="00B70AEF"/>
    <w:rsid w:val="00B70C40"/>
    <w:rsid w:val="00B70D7D"/>
    <w:rsid w:val="00B7137F"/>
    <w:rsid w:val="00B72649"/>
    <w:rsid w:val="00B72657"/>
    <w:rsid w:val="00B7271A"/>
    <w:rsid w:val="00B73DF4"/>
    <w:rsid w:val="00B75379"/>
    <w:rsid w:val="00B757B6"/>
    <w:rsid w:val="00B75AF5"/>
    <w:rsid w:val="00B75F35"/>
    <w:rsid w:val="00B764CF"/>
    <w:rsid w:val="00B76797"/>
    <w:rsid w:val="00B76A14"/>
    <w:rsid w:val="00B76C7F"/>
    <w:rsid w:val="00B777F7"/>
    <w:rsid w:val="00B77B4E"/>
    <w:rsid w:val="00B77F80"/>
    <w:rsid w:val="00B77FBE"/>
    <w:rsid w:val="00B8056A"/>
    <w:rsid w:val="00B81008"/>
    <w:rsid w:val="00B81331"/>
    <w:rsid w:val="00B829EC"/>
    <w:rsid w:val="00B82C96"/>
    <w:rsid w:val="00B82CDD"/>
    <w:rsid w:val="00B831E1"/>
    <w:rsid w:val="00B83549"/>
    <w:rsid w:val="00B86725"/>
    <w:rsid w:val="00B86DCC"/>
    <w:rsid w:val="00B87E35"/>
    <w:rsid w:val="00B902D7"/>
    <w:rsid w:val="00B90C5A"/>
    <w:rsid w:val="00B9401B"/>
    <w:rsid w:val="00B94892"/>
    <w:rsid w:val="00B95011"/>
    <w:rsid w:val="00B95734"/>
    <w:rsid w:val="00B958A1"/>
    <w:rsid w:val="00B96C7D"/>
    <w:rsid w:val="00B97163"/>
    <w:rsid w:val="00B97288"/>
    <w:rsid w:val="00BA0036"/>
    <w:rsid w:val="00BA07F5"/>
    <w:rsid w:val="00BA2614"/>
    <w:rsid w:val="00BA360C"/>
    <w:rsid w:val="00BA3C6B"/>
    <w:rsid w:val="00BA3EA8"/>
    <w:rsid w:val="00BA459F"/>
    <w:rsid w:val="00BA45D6"/>
    <w:rsid w:val="00BA4C09"/>
    <w:rsid w:val="00BA5316"/>
    <w:rsid w:val="00BA58B0"/>
    <w:rsid w:val="00BA596E"/>
    <w:rsid w:val="00BA5D8D"/>
    <w:rsid w:val="00BA62F4"/>
    <w:rsid w:val="00BA6510"/>
    <w:rsid w:val="00BA66E6"/>
    <w:rsid w:val="00BA6968"/>
    <w:rsid w:val="00BA6B01"/>
    <w:rsid w:val="00BA7B87"/>
    <w:rsid w:val="00BB0138"/>
    <w:rsid w:val="00BB02E7"/>
    <w:rsid w:val="00BB1B02"/>
    <w:rsid w:val="00BB1DD4"/>
    <w:rsid w:val="00BB21B4"/>
    <w:rsid w:val="00BB2A0E"/>
    <w:rsid w:val="00BB2C67"/>
    <w:rsid w:val="00BB33DD"/>
    <w:rsid w:val="00BB3BF2"/>
    <w:rsid w:val="00BB4286"/>
    <w:rsid w:val="00BB59B3"/>
    <w:rsid w:val="00BB5CD3"/>
    <w:rsid w:val="00BB6489"/>
    <w:rsid w:val="00BB6866"/>
    <w:rsid w:val="00BB700E"/>
    <w:rsid w:val="00BB74EB"/>
    <w:rsid w:val="00BB7806"/>
    <w:rsid w:val="00BB7C47"/>
    <w:rsid w:val="00BC006D"/>
    <w:rsid w:val="00BC0260"/>
    <w:rsid w:val="00BC086C"/>
    <w:rsid w:val="00BC0A43"/>
    <w:rsid w:val="00BC0B32"/>
    <w:rsid w:val="00BC1DBF"/>
    <w:rsid w:val="00BC407A"/>
    <w:rsid w:val="00BC4080"/>
    <w:rsid w:val="00BC447F"/>
    <w:rsid w:val="00BC4C41"/>
    <w:rsid w:val="00BC4C97"/>
    <w:rsid w:val="00BC51A5"/>
    <w:rsid w:val="00BC5284"/>
    <w:rsid w:val="00BC5553"/>
    <w:rsid w:val="00BC576D"/>
    <w:rsid w:val="00BC6218"/>
    <w:rsid w:val="00BC7251"/>
    <w:rsid w:val="00BC733E"/>
    <w:rsid w:val="00BC7E51"/>
    <w:rsid w:val="00BD0123"/>
    <w:rsid w:val="00BD01CA"/>
    <w:rsid w:val="00BD03B8"/>
    <w:rsid w:val="00BD1A3A"/>
    <w:rsid w:val="00BD1F5F"/>
    <w:rsid w:val="00BD2651"/>
    <w:rsid w:val="00BD271E"/>
    <w:rsid w:val="00BD4C98"/>
    <w:rsid w:val="00BD5601"/>
    <w:rsid w:val="00BD5ECE"/>
    <w:rsid w:val="00BD7021"/>
    <w:rsid w:val="00BE0261"/>
    <w:rsid w:val="00BE0E80"/>
    <w:rsid w:val="00BE0FC7"/>
    <w:rsid w:val="00BE1162"/>
    <w:rsid w:val="00BE13A6"/>
    <w:rsid w:val="00BE14C5"/>
    <w:rsid w:val="00BE1E66"/>
    <w:rsid w:val="00BE3841"/>
    <w:rsid w:val="00BE3B3A"/>
    <w:rsid w:val="00BE4533"/>
    <w:rsid w:val="00BE4F03"/>
    <w:rsid w:val="00BE5E86"/>
    <w:rsid w:val="00BE601B"/>
    <w:rsid w:val="00BE60F0"/>
    <w:rsid w:val="00BE64F6"/>
    <w:rsid w:val="00BE6757"/>
    <w:rsid w:val="00BE7D98"/>
    <w:rsid w:val="00BF0598"/>
    <w:rsid w:val="00BF0860"/>
    <w:rsid w:val="00BF0C63"/>
    <w:rsid w:val="00BF1834"/>
    <w:rsid w:val="00BF19BD"/>
    <w:rsid w:val="00BF243E"/>
    <w:rsid w:val="00BF2793"/>
    <w:rsid w:val="00BF2CD7"/>
    <w:rsid w:val="00BF30A4"/>
    <w:rsid w:val="00BF4F00"/>
    <w:rsid w:val="00BF5C7E"/>
    <w:rsid w:val="00BF721C"/>
    <w:rsid w:val="00C00578"/>
    <w:rsid w:val="00C00A66"/>
    <w:rsid w:val="00C00B62"/>
    <w:rsid w:val="00C00D5F"/>
    <w:rsid w:val="00C0168D"/>
    <w:rsid w:val="00C023E7"/>
    <w:rsid w:val="00C02702"/>
    <w:rsid w:val="00C02AF3"/>
    <w:rsid w:val="00C030DC"/>
    <w:rsid w:val="00C039AD"/>
    <w:rsid w:val="00C04E7A"/>
    <w:rsid w:val="00C053C1"/>
    <w:rsid w:val="00C062B3"/>
    <w:rsid w:val="00C066C5"/>
    <w:rsid w:val="00C1076E"/>
    <w:rsid w:val="00C119FC"/>
    <w:rsid w:val="00C11A48"/>
    <w:rsid w:val="00C120CE"/>
    <w:rsid w:val="00C122D7"/>
    <w:rsid w:val="00C12D1D"/>
    <w:rsid w:val="00C13C88"/>
    <w:rsid w:val="00C14118"/>
    <w:rsid w:val="00C14FC5"/>
    <w:rsid w:val="00C16193"/>
    <w:rsid w:val="00C16E26"/>
    <w:rsid w:val="00C17FD5"/>
    <w:rsid w:val="00C20810"/>
    <w:rsid w:val="00C20C7C"/>
    <w:rsid w:val="00C20F96"/>
    <w:rsid w:val="00C21013"/>
    <w:rsid w:val="00C214A3"/>
    <w:rsid w:val="00C220C3"/>
    <w:rsid w:val="00C2257E"/>
    <w:rsid w:val="00C225CC"/>
    <w:rsid w:val="00C22724"/>
    <w:rsid w:val="00C23202"/>
    <w:rsid w:val="00C24185"/>
    <w:rsid w:val="00C25DC4"/>
    <w:rsid w:val="00C26361"/>
    <w:rsid w:val="00C267F9"/>
    <w:rsid w:val="00C26982"/>
    <w:rsid w:val="00C26E62"/>
    <w:rsid w:val="00C270FB"/>
    <w:rsid w:val="00C27113"/>
    <w:rsid w:val="00C3184A"/>
    <w:rsid w:val="00C33A57"/>
    <w:rsid w:val="00C34027"/>
    <w:rsid w:val="00C35182"/>
    <w:rsid w:val="00C3527B"/>
    <w:rsid w:val="00C35538"/>
    <w:rsid w:val="00C36725"/>
    <w:rsid w:val="00C36814"/>
    <w:rsid w:val="00C36D61"/>
    <w:rsid w:val="00C373F4"/>
    <w:rsid w:val="00C37975"/>
    <w:rsid w:val="00C37DDB"/>
    <w:rsid w:val="00C40406"/>
    <w:rsid w:val="00C40AAE"/>
    <w:rsid w:val="00C40BCC"/>
    <w:rsid w:val="00C40CD2"/>
    <w:rsid w:val="00C4108A"/>
    <w:rsid w:val="00C41CC5"/>
    <w:rsid w:val="00C42722"/>
    <w:rsid w:val="00C42841"/>
    <w:rsid w:val="00C42C32"/>
    <w:rsid w:val="00C42E7D"/>
    <w:rsid w:val="00C44032"/>
    <w:rsid w:val="00C443B8"/>
    <w:rsid w:val="00C44537"/>
    <w:rsid w:val="00C45333"/>
    <w:rsid w:val="00C462DA"/>
    <w:rsid w:val="00C465FF"/>
    <w:rsid w:val="00C4669F"/>
    <w:rsid w:val="00C46E17"/>
    <w:rsid w:val="00C47F52"/>
    <w:rsid w:val="00C50C93"/>
    <w:rsid w:val="00C50FAD"/>
    <w:rsid w:val="00C519E5"/>
    <w:rsid w:val="00C51FCA"/>
    <w:rsid w:val="00C520E1"/>
    <w:rsid w:val="00C52D4A"/>
    <w:rsid w:val="00C530ED"/>
    <w:rsid w:val="00C54F7B"/>
    <w:rsid w:val="00C55100"/>
    <w:rsid w:val="00C553B2"/>
    <w:rsid w:val="00C5540D"/>
    <w:rsid w:val="00C563C1"/>
    <w:rsid w:val="00C5685A"/>
    <w:rsid w:val="00C57A6A"/>
    <w:rsid w:val="00C604F4"/>
    <w:rsid w:val="00C616B3"/>
    <w:rsid w:val="00C62334"/>
    <w:rsid w:val="00C62691"/>
    <w:rsid w:val="00C63531"/>
    <w:rsid w:val="00C63A37"/>
    <w:rsid w:val="00C63D32"/>
    <w:rsid w:val="00C64042"/>
    <w:rsid w:val="00C642A4"/>
    <w:rsid w:val="00C65141"/>
    <w:rsid w:val="00C65184"/>
    <w:rsid w:val="00C66E73"/>
    <w:rsid w:val="00C66EAD"/>
    <w:rsid w:val="00C7066B"/>
    <w:rsid w:val="00C7091D"/>
    <w:rsid w:val="00C70961"/>
    <w:rsid w:val="00C70AB2"/>
    <w:rsid w:val="00C70C50"/>
    <w:rsid w:val="00C70C88"/>
    <w:rsid w:val="00C712EC"/>
    <w:rsid w:val="00C72147"/>
    <w:rsid w:val="00C7246A"/>
    <w:rsid w:val="00C72DA8"/>
    <w:rsid w:val="00C72F31"/>
    <w:rsid w:val="00C72F94"/>
    <w:rsid w:val="00C730AC"/>
    <w:rsid w:val="00C732FF"/>
    <w:rsid w:val="00C74DD5"/>
    <w:rsid w:val="00C74EBE"/>
    <w:rsid w:val="00C75673"/>
    <w:rsid w:val="00C75E06"/>
    <w:rsid w:val="00C75E30"/>
    <w:rsid w:val="00C75F36"/>
    <w:rsid w:val="00C76457"/>
    <w:rsid w:val="00C7673F"/>
    <w:rsid w:val="00C77BCF"/>
    <w:rsid w:val="00C80C01"/>
    <w:rsid w:val="00C80D60"/>
    <w:rsid w:val="00C81861"/>
    <w:rsid w:val="00C82E15"/>
    <w:rsid w:val="00C831F2"/>
    <w:rsid w:val="00C838A9"/>
    <w:rsid w:val="00C83991"/>
    <w:rsid w:val="00C84196"/>
    <w:rsid w:val="00C85A89"/>
    <w:rsid w:val="00C86F84"/>
    <w:rsid w:val="00C903B5"/>
    <w:rsid w:val="00C903BB"/>
    <w:rsid w:val="00C90C26"/>
    <w:rsid w:val="00C90CD4"/>
    <w:rsid w:val="00C90DE6"/>
    <w:rsid w:val="00C91209"/>
    <w:rsid w:val="00C92BDC"/>
    <w:rsid w:val="00C92C27"/>
    <w:rsid w:val="00C942CF"/>
    <w:rsid w:val="00C94668"/>
    <w:rsid w:val="00C9488F"/>
    <w:rsid w:val="00C949DE"/>
    <w:rsid w:val="00C94C93"/>
    <w:rsid w:val="00C9513A"/>
    <w:rsid w:val="00C955A4"/>
    <w:rsid w:val="00C959A0"/>
    <w:rsid w:val="00C96512"/>
    <w:rsid w:val="00C96642"/>
    <w:rsid w:val="00C97F60"/>
    <w:rsid w:val="00CA05B1"/>
    <w:rsid w:val="00CA1A2B"/>
    <w:rsid w:val="00CA288D"/>
    <w:rsid w:val="00CA36B5"/>
    <w:rsid w:val="00CA3DFB"/>
    <w:rsid w:val="00CA4A00"/>
    <w:rsid w:val="00CA4E32"/>
    <w:rsid w:val="00CA5CB2"/>
    <w:rsid w:val="00CA5EEC"/>
    <w:rsid w:val="00CA65EC"/>
    <w:rsid w:val="00CA6873"/>
    <w:rsid w:val="00CA751B"/>
    <w:rsid w:val="00CA758E"/>
    <w:rsid w:val="00CA7B4B"/>
    <w:rsid w:val="00CA7DCA"/>
    <w:rsid w:val="00CB0477"/>
    <w:rsid w:val="00CB2055"/>
    <w:rsid w:val="00CB2955"/>
    <w:rsid w:val="00CB329C"/>
    <w:rsid w:val="00CB3489"/>
    <w:rsid w:val="00CB3939"/>
    <w:rsid w:val="00CB396C"/>
    <w:rsid w:val="00CB3ABF"/>
    <w:rsid w:val="00CB3F65"/>
    <w:rsid w:val="00CB4088"/>
    <w:rsid w:val="00CB46D2"/>
    <w:rsid w:val="00CB4AD8"/>
    <w:rsid w:val="00CB4C8B"/>
    <w:rsid w:val="00CB555B"/>
    <w:rsid w:val="00CB5807"/>
    <w:rsid w:val="00CB62A4"/>
    <w:rsid w:val="00CB6B80"/>
    <w:rsid w:val="00CB7193"/>
    <w:rsid w:val="00CB73C3"/>
    <w:rsid w:val="00CB7603"/>
    <w:rsid w:val="00CC09BC"/>
    <w:rsid w:val="00CC0FEB"/>
    <w:rsid w:val="00CC15CB"/>
    <w:rsid w:val="00CC1CE1"/>
    <w:rsid w:val="00CC1D52"/>
    <w:rsid w:val="00CC25DA"/>
    <w:rsid w:val="00CC28E8"/>
    <w:rsid w:val="00CC2A58"/>
    <w:rsid w:val="00CC3434"/>
    <w:rsid w:val="00CC3626"/>
    <w:rsid w:val="00CC378A"/>
    <w:rsid w:val="00CC3934"/>
    <w:rsid w:val="00CC3F79"/>
    <w:rsid w:val="00CC5FC2"/>
    <w:rsid w:val="00CD0396"/>
    <w:rsid w:val="00CD1548"/>
    <w:rsid w:val="00CD17C4"/>
    <w:rsid w:val="00CD28D1"/>
    <w:rsid w:val="00CD3243"/>
    <w:rsid w:val="00CD564E"/>
    <w:rsid w:val="00CD56CF"/>
    <w:rsid w:val="00CD57AA"/>
    <w:rsid w:val="00CD66C3"/>
    <w:rsid w:val="00CD66DF"/>
    <w:rsid w:val="00CD6D65"/>
    <w:rsid w:val="00CD7B07"/>
    <w:rsid w:val="00CE05D6"/>
    <w:rsid w:val="00CE2493"/>
    <w:rsid w:val="00CE3996"/>
    <w:rsid w:val="00CE3CFA"/>
    <w:rsid w:val="00CE45AE"/>
    <w:rsid w:val="00CE4910"/>
    <w:rsid w:val="00CE4C6B"/>
    <w:rsid w:val="00CE514B"/>
    <w:rsid w:val="00CE5275"/>
    <w:rsid w:val="00CE648A"/>
    <w:rsid w:val="00CE674D"/>
    <w:rsid w:val="00CE7C32"/>
    <w:rsid w:val="00CE7F6F"/>
    <w:rsid w:val="00CF132C"/>
    <w:rsid w:val="00CF229B"/>
    <w:rsid w:val="00CF27FC"/>
    <w:rsid w:val="00CF2819"/>
    <w:rsid w:val="00CF28FE"/>
    <w:rsid w:val="00CF2C63"/>
    <w:rsid w:val="00CF306E"/>
    <w:rsid w:val="00CF3273"/>
    <w:rsid w:val="00CF3483"/>
    <w:rsid w:val="00CF348B"/>
    <w:rsid w:val="00CF47FA"/>
    <w:rsid w:val="00CF5003"/>
    <w:rsid w:val="00CF59FA"/>
    <w:rsid w:val="00CF5AC7"/>
    <w:rsid w:val="00CF625E"/>
    <w:rsid w:val="00CF67A1"/>
    <w:rsid w:val="00CF6B94"/>
    <w:rsid w:val="00CF7070"/>
    <w:rsid w:val="00D004ED"/>
    <w:rsid w:val="00D00FAE"/>
    <w:rsid w:val="00D020E7"/>
    <w:rsid w:val="00D02678"/>
    <w:rsid w:val="00D02811"/>
    <w:rsid w:val="00D02A8A"/>
    <w:rsid w:val="00D03F29"/>
    <w:rsid w:val="00D04AA5"/>
    <w:rsid w:val="00D061D5"/>
    <w:rsid w:val="00D065E0"/>
    <w:rsid w:val="00D06EF9"/>
    <w:rsid w:val="00D07AE4"/>
    <w:rsid w:val="00D07E4C"/>
    <w:rsid w:val="00D10B53"/>
    <w:rsid w:val="00D11473"/>
    <w:rsid w:val="00D11EFB"/>
    <w:rsid w:val="00D12175"/>
    <w:rsid w:val="00D12532"/>
    <w:rsid w:val="00D12AA0"/>
    <w:rsid w:val="00D1444E"/>
    <w:rsid w:val="00D152CF"/>
    <w:rsid w:val="00D15647"/>
    <w:rsid w:val="00D16954"/>
    <w:rsid w:val="00D169C3"/>
    <w:rsid w:val="00D17983"/>
    <w:rsid w:val="00D20CD4"/>
    <w:rsid w:val="00D21439"/>
    <w:rsid w:val="00D21F29"/>
    <w:rsid w:val="00D22D75"/>
    <w:rsid w:val="00D235CC"/>
    <w:rsid w:val="00D23DA8"/>
    <w:rsid w:val="00D24714"/>
    <w:rsid w:val="00D25370"/>
    <w:rsid w:val="00D274E6"/>
    <w:rsid w:val="00D2756F"/>
    <w:rsid w:val="00D27B44"/>
    <w:rsid w:val="00D27DA9"/>
    <w:rsid w:val="00D31AE5"/>
    <w:rsid w:val="00D32D19"/>
    <w:rsid w:val="00D334A9"/>
    <w:rsid w:val="00D334F1"/>
    <w:rsid w:val="00D34095"/>
    <w:rsid w:val="00D343B5"/>
    <w:rsid w:val="00D345E9"/>
    <w:rsid w:val="00D34A28"/>
    <w:rsid w:val="00D36A99"/>
    <w:rsid w:val="00D36C6A"/>
    <w:rsid w:val="00D36CBB"/>
    <w:rsid w:val="00D370B3"/>
    <w:rsid w:val="00D37E36"/>
    <w:rsid w:val="00D424C7"/>
    <w:rsid w:val="00D424F3"/>
    <w:rsid w:val="00D42603"/>
    <w:rsid w:val="00D42687"/>
    <w:rsid w:val="00D42939"/>
    <w:rsid w:val="00D42991"/>
    <w:rsid w:val="00D42A51"/>
    <w:rsid w:val="00D43991"/>
    <w:rsid w:val="00D44475"/>
    <w:rsid w:val="00D4470D"/>
    <w:rsid w:val="00D447EE"/>
    <w:rsid w:val="00D45049"/>
    <w:rsid w:val="00D45CDB"/>
    <w:rsid w:val="00D45D16"/>
    <w:rsid w:val="00D46609"/>
    <w:rsid w:val="00D479C7"/>
    <w:rsid w:val="00D47A9C"/>
    <w:rsid w:val="00D47D4E"/>
    <w:rsid w:val="00D508F8"/>
    <w:rsid w:val="00D522D7"/>
    <w:rsid w:val="00D527C8"/>
    <w:rsid w:val="00D53CEA"/>
    <w:rsid w:val="00D540ED"/>
    <w:rsid w:val="00D5515A"/>
    <w:rsid w:val="00D57D96"/>
    <w:rsid w:val="00D60B6A"/>
    <w:rsid w:val="00D614AC"/>
    <w:rsid w:val="00D617C4"/>
    <w:rsid w:val="00D61B32"/>
    <w:rsid w:val="00D61BF2"/>
    <w:rsid w:val="00D64DE8"/>
    <w:rsid w:val="00D65230"/>
    <w:rsid w:val="00D6534D"/>
    <w:rsid w:val="00D65553"/>
    <w:rsid w:val="00D657FC"/>
    <w:rsid w:val="00D67083"/>
    <w:rsid w:val="00D703B8"/>
    <w:rsid w:val="00D70589"/>
    <w:rsid w:val="00D71044"/>
    <w:rsid w:val="00D719A5"/>
    <w:rsid w:val="00D71BA8"/>
    <w:rsid w:val="00D7247D"/>
    <w:rsid w:val="00D73594"/>
    <w:rsid w:val="00D73A6D"/>
    <w:rsid w:val="00D73A86"/>
    <w:rsid w:val="00D74936"/>
    <w:rsid w:val="00D75056"/>
    <w:rsid w:val="00D75351"/>
    <w:rsid w:val="00D77E00"/>
    <w:rsid w:val="00D77EE9"/>
    <w:rsid w:val="00D802F5"/>
    <w:rsid w:val="00D80370"/>
    <w:rsid w:val="00D80BCF"/>
    <w:rsid w:val="00D823C0"/>
    <w:rsid w:val="00D82A82"/>
    <w:rsid w:val="00D83447"/>
    <w:rsid w:val="00D85F9C"/>
    <w:rsid w:val="00D868D7"/>
    <w:rsid w:val="00D8766E"/>
    <w:rsid w:val="00D9090B"/>
    <w:rsid w:val="00D90F47"/>
    <w:rsid w:val="00D90FCE"/>
    <w:rsid w:val="00D938A7"/>
    <w:rsid w:val="00D93BF7"/>
    <w:rsid w:val="00D94287"/>
    <w:rsid w:val="00D9436A"/>
    <w:rsid w:val="00D953AB"/>
    <w:rsid w:val="00D96AA6"/>
    <w:rsid w:val="00D977F0"/>
    <w:rsid w:val="00D97F5B"/>
    <w:rsid w:val="00DA247F"/>
    <w:rsid w:val="00DA4090"/>
    <w:rsid w:val="00DA4D95"/>
    <w:rsid w:val="00DA5507"/>
    <w:rsid w:val="00DA7ACD"/>
    <w:rsid w:val="00DB0517"/>
    <w:rsid w:val="00DB1A08"/>
    <w:rsid w:val="00DB2079"/>
    <w:rsid w:val="00DB26BB"/>
    <w:rsid w:val="00DB37D1"/>
    <w:rsid w:val="00DB3DF7"/>
    <w:rsid w:val="00DB42C6"/>
    <w:rsid w:val="00DB5060"/>
    <w:rsid w:val="00DB5AAB"/>
    <w:rsid w:val="00DB5C54"/>
    <w:rsid w:val="00DB5FC5"/>
    <w:rsid w:val="00DB6EB5"/>
    <w:rsid w:val="00DB7773"/>
    <w:rsid w:val="00DC048A"/>
    <w:rsid w:val="00DC0BB7"/>
    <w:rsid w:val="00DC209C"/>
    <w:rsid w:val="00DC271F"/>
    <w:rsid w:val="00DC2819"/>
    <w:rsid w:val="00DC3DE1"/>
    <w:rsid w:val="00DC4649"/>
    <w:rsid w:val="00DC49E0"/>
    <w:rsid w:val="00DC5060"/>
    <w:rsid w:val="00DC5E24"/>
    <w:rsid w:val="00DC7677"/>
    <w:rsid w:val="00DD063A"/>
    <w:rsid w:val="00DD06BF"/>
    <w:rsid w:val="00DD0730"/>
    <w:rsid w:val="00DD0976"/>
    <w:rsid w:val="00DD0C3E"/>
    <w:rsid w:val="00DD1596"/>
    <w:rsid w:val="00DD1831"/>
    <w:rsid w:val="00DD26D2"/>
    <w:rsid w:val="00DD310D"/>
    <w:rsid w:val="00DD3585"/>
    <w:rsid w:val="00DD3EB6"/>
    <w:rsid w:val="00DD4447"/>
    <w:rsid w:val="00DD4E21"/>
    <w:rsid w:val="00DD59F9"/>
    <w:rsid w:val="00DD5BED"/>
    <w:rsid w:val="00DD67BC"/>
    <w:rsid w:val="00DD6F1E"/>
    <w:rsid w:val="00DD79B9"/>
    <w:rsid w:val="00DE00BA"/>
    <w:rsid w:val="00DE1088"/>
    <w:rsid w:val="00DE139A"/>
    <w:rsid w:val="00DE26F3"/>
    <w:rsid w:val="00DE2844"/>
    <w:rsid w:val="00DE2A83"/>
    <w:rsid w:val="00DE2A95"/>
    <w:rsid w:val="00DE48A0"/>
    <w:rsid w:val="00DE561D"/>
    <w:rsid w:val="00DE5C85"/>
    <w:rsid w:val="00DE6DB9"/>
    <w:rsid w:val="00DE7003"/>
    <w:rsid w:val="00DE7083"/>
    <w:rsid w:val="00DE763A"/>
    <w:rsid w:val="00DE7AF3"/>
    <w:rsid w:val="00DF0232"/>
    <w:rsid w:val="00DF22D7"/>
    <w:rsid w:val="00DF34EB"/>
    <w:rsid w:val="00DF4837"/>
    <w:rsid w:val="00DF653D"/>
    <w:rsid w:val="00DF7050"/>
    <w:rsid w:val="00DF74A8"/>
    <w:rsid w:val="00DF7ED4"/>
    <w:rsid w:val="00E007A4"/>
    <w:rsid w:val="00E00895"/>
    <w:rsid w:val="00E01F44"/>
    <w:rsid w:val="00E022B7"/>
    <w:rsid w:val="00E02D3C"/>
    <w:rsid w:val="00E0353D"/>
    <w:rsid w:val="00E03C05"/>
    <w:rsid w:val="00E0423F"/>
    <w:rsid w:val="00E04C16"/>
    <w:rsid w:val="00E04E9E"/>
    <w:rsid w:val="00E0531F"/>
    <w:rsid w:val="00E054F1"/>
    <w:rsid w:val="00E056A6"/>
    <w:rsid w:val="00E061E9"/>
    <w:rsid w:val="00E0691F"/>
    <w:rsid w:val="00E07A31"/>
    <w:rsid w:val="00E119D9"/>
    <w:rsid w:val="00E11E27"/>
    <w:rsid w:val="00E11F9F"/>
    <w:rsid w:val="00E13CBB"/>
    <w:rsid w:val="00E141E6"/>
    <w:rsid w:val="00E1467B"/>
    <w:rsid w:val="00E1529F"/>
    <w:rsid w:val="00E1581D"/>
    <w:rsid w:val="00E15B91"/>
    <w:rsid w:val="00E15E91"/>
    <w:rsid w:val="00E16EBA"/>
    <w:rsid w:val="00E17274"/>
    <w:rsid w:val="00E179AB"/>
    <w:rsid w:val="00E17BC7"/>
    <w:rsid w:val="00E205FB"/>
    <w:rsid w:val="00E207BA"/>
    <w:rsid w:val="00E20979"/>
    <w:rsid w:val="00E20D69"/>
    <w:rsid w:val="00E20DA0"/>
    <w:rsid w:val="00E21101"/>
    <w:rsid w:val="00E225F2"/>
    <w:rsid w:val="00E22A14"/>
    <w:rsid w:val="00E23CF1"/>
    <w:rsid w:val="00E24974"/>
    <w:rsid w:val="00E249CC"/>
    <w:rsid w:val="00E249ED"/>
    <w:rsid w:val="00E24A98"/>
    <w:rsid w:val="00E25646"/>
    <w:rsid w:val="00E25AE4"/>
    <w:rsid w:val="00E25DD0"/>
    <w:rsid w:val="00E25F2D"/>
    <w:rsid w:val="00E27E5B"/>
    <w:rsid w:val="00E30F3F"/>
    <w:rsid w:val="00E3102F"/>
    <w:rsid w:val="00E31137"/>
    <w:rsid w:val="00E3242F"/>
    <w:rsid w:val="00E35F96"/>
    <w:rsid w:val="00E36D60"/>
    <w:rsid w:val="00E40E95"/>
    <w:rsid w:val="00E41920"/>
    <w:rsid w:val="00E4198E"/>
    <w:rsid w:val="00E425DA"/>
    <w:rsid w:val="00E425E4"/>
    <w:rsid w:val="00E43B4B"/>
    <w:rsid w:val="00E4591F"/>
    <w:rsid w:val="00E45BDA"/>
    <w:rsid w:val="00E45EA0"/>
    <w:rsid w:val="00E471BA"/>
    <w:rsid w:val="00E5020C"/>
    <w:rsid w:val="00E522F5"/>
    <w:rsid w:val="00E523EF"/>
    <w:rsid w:val="00E528FB"/>
    <w:rsid w:val="00E53C19"/>
    <w:rsid w:val="00E55044"/>
    <w:rsid w:val="00E550EC"/>
    <w:rsid w:val="00E5569E"/>
    <w:rsid w:val="00E55EB2"/>
    <w:rsid w:val="00E568FB"/>
    <w:rsid w:val="00E60028"/>
    <w:rsid w:val="00E60152"/>
    <w:rsid w:val="00E60769"/>
    <w:rsid w:val="00E60B5A"/>
    <w:rsid w:val="00E60D67"/>
    <w:rsid w:val="00E61580"/>
    <w:rsid w:val="00E62037"/>
    <w:rsid w:val="00E62A6B"/>
    <w:rsid w:val="00E62BA9"/>
    <w:rsid w:val="00E63434"/>
    <w:rsid w:val="00E6361F"/>
    <w:rsid w:val="00E63712"/>
    <w:rsid w:val="00E63A6A"/>
    <w:rsid w:val="00E64403"/>
    <w:rsid w:val="00E6612E"/>
    <w:rsid w:val="00E665F8"/>
    <w:rsid w:val="00E66938"/>
    <w:rsid w:val="00E66EF5"/>
    <w:rsid w:val="00E67CEF"/>
    <w:rsid w:val="00E67D50"/>
    <w:rsid w:val="00E70287"/>
    <w:rsid w:val="00E71242"/>
    <w:rsid w:val="00E72353"/>
    <w:rsid w:val="00E7333F"/>
    <w:rsid w:val="00E73712"/>
    <w:rsid w:val="00E7401B"/>
    <w:rsid w:val="00E7403D"/>
    <w:rsid w:val="00E74391"/>
    <w:rsid w:val="00E74A46"/>
    <w:rsid w:val="00E75A8A"/>
    <w:rsid w:val="00E76CA1"/>
    <w:rsid w:val="00E77455"/>
    <w:rsid w:val="00E77BE4"/>
    <w:rsid w:val="00E8039F"/>
    <w:rsid w:val="00E8074F"/>
    <w:rsid w:val="00E80790"/>
    <w:rsid w:val="00E809C6"/>
    <w:rsid w:val="00E82397"/>
    <w:rsid w:val="00E827F9"/>
    <w:rsid w:val="00E8295F"/>
    <w:rsid w:val="00E82B2F"/>
    <w:rsid w:val="00E82E43"/>
    <w:rsid w:val="00E8374F"/>
    <w:rsid w:val="00E83BC5"/>
    <w:rsid w:val="00E84622"/>
    <w:rsid w:val="00E84E02"/>
    <w:rsid w:val="00E87206"/>
    <w:rsid w:val="00E879B3"/>
    <w:rsid w:val="00E87A5F"/>
    <w:rsid w:val="00E87C23"/>
    <w:rsid w:val="00E87E0A"/>
    <w:rsid w:val="00E907E0"/>
    <w:rsid w:val="00E90BFA"/>
    <w:rsid w:val="00E916DE"/>
    <w:rsid w:val="00E917AA"/>
    <w:rsid w:val="00E92094"/>
    <w:rsid w:val="00E920D0"/>
    <w:rsid w:val="00E9222C"/>
    <w:rsid w:val="00E9258A"/>
    <w:rsid w:val="00E930B7"/>
    <w:rsid w:val="00E93718"/>
    <w:rsid w:val="00E93C85"/>
    <w:rsid w:val="00E93F1F"/>
    <w:rsid w:val="00E9455B"/>
    <w:rsid w:val="00E95A1E"/>
    <w:rsid w:val="00E9628E"/>
    <w:rsid w:val="00E96AC0"/>
    <w:rsid w:val="00E96E2B"/>
    <w:rsid w:val="00E97058"/>
    <w:rsid w:val="00EA1E63"/>
    <w:rsid w:val="00EA2254"/>
    <w:rsid w:val="00EA2836"/>
    <w:rsid w:val="00EA4636"/>
    <w:rsid w:val="00EA47AB"/>
    <w:rsid w:val="00EA4DCF"/>
    <w:rsid w:val="00EA5248"/>
    <w:rsid w:val="00EA56E4"/>
    <w:rsid w:val="00EA582A"/>
    <w:rsid w:val="00EA63D3"/>
    <w:rsid w:val="00EA6623"/>
    <w:rsid w:val="00EA6A76"/>
    <w:rsid w:val="00EA6C53"/>
    <w:rsid w:val="00EA7526"/>
    <w:rsid w:val="00EB011D"/>
    <w:rsid w:val="00EB0584"/>
    <w:rsid w:val="00EB0C3A"/>
    <w:rsid w:val="00EB1102"/>
    <w:rsid w:val="00EB1724"/>
    <w:rsid w:val="00EB1E21"/>
    <w:rsid w:val="00EB1EC2"/>
    <w:rsid w:val="00EB2569"/>
    <w:rsid w:val="00EB281E"/>
    <w:rsid w:val="00EB2D1E"/>
    <w:rsid w:val="00EB3210"/>
    <w:rsid w:val="00EB4012"/>
    <w:rsid w:val="00EB4938"/>
    <w:rsid w:val="00EB5CB3"/>
    <w:rsid w:val="00EB6400"/>
    <w:rsid w:val="00EB6C3B"/>
    <w:rsid w:val="00EB709B"/>
    <w:rsid w:val="00EC0230"/>
    <w:rsid w:val="00EC03DD"/>
    <w:rsid w:val="00EC083B"/>
    <w:rsid w:val="00EC0F9A"/>
    <w:rsid w:val="00EC101E"/>
    <w:rsid w:val="00EC149C"/>
    <w:rsid w:val="00EC197F"/>
    <w:rsid w:val="00EC1E7F"/>
    <w:rsid w:val="00EC2915"/>
    <w:rsid w:val="00EC4100"/>
    <w:rsid w:val="00EC412E"/>
    <w:rsid w:val="00EC42C0"/>
    <w:rsid w:val="00EC453A"/>
    <w:rsid w:val="00EC4B51"/>
    <w:rsid w:val="00EC52A6"/>
    <w:rsid w:val="00EC63E6"/>
    <w:rsid w:val="00EC7B9F"/>
    <w:rsid w:val="00ED1911"/>
    <w:rsid w:val="00ED194F"/>
    <w:rsid w:val="00ED1ABD"/>
    <w:rsid w:val="00ED1E8B"/>
    <w:rsid w:val="00ED27EB"/>
    <w:rsid w:val="00ED280C"/>
    <w:rsid w:val="00ED41D6"/>
    <w:rsid w:val="00ED4751"/>
    <w:rsid w:val="00ED4D1C"/>
    <w:rsid w:val="00ED6AF2"/>
    <w:rsid w:val="00ED7079"/>
    <w:rsid w:val="00ED713D"/>
    <w:rsid w:val="00EE04CE"/>
    <w:rsid w:val="00EE0762"/>
    <w:rsid w:val="00EE1BA5"/>
    <w:rsid w:val="00EE37BB"/>
    <w:rsid w:val="00EE3858"/>
    <w:rsid w:val="00EE4A3E"/>
    <w:rsid w:val="00EE5576"/>
    <w:rsid w:val="00EE579C"/>
    <w:rsid w:val="00EE743C"/>
    <w:rsid w:val="00EE77EC"/>
    <w:rsid w:val="00EE7CA1"/>
    <w:rsid w:val="00EF0944"/>
    <w:rsid w:val="00EF1825"/>
    <w:rsid w:val="00EF1B5F"/>
    <w:rsid w:val="00EF52CF"/>
    <w:rsid w:val="00EF5647"/>
    <w:rsid w:val="00EF5722"/>
    <w:rsid w:val="00EF5E71"/>
    <w:rsid w:val="00EF66C6"/>
    <w:rsid w:val="00EF6A6C"/>
    <w:rsid w:val="00EF71C9"/>
    <w:rsid w:val="00EF7825"/>
    <w:rsid w:val="00EF787F"/>
    <w:rsid w:val="00EF7F33"/>
    <w:rsid w:val="00F00955"/>
    <w:rsid w:val="00F0147A"/>
    <w:rsid w:val="00F0184D"/>
    <w:rsid w:val="00F0228C"/>
    <w:rsid w:val="00F0231E"/>
    <w:rsid w:val="00F02747"/>
    <w:rsid w:val="00F034CF"/>
    <w:rsid w:val="00F03ACC"/>
    <w:rsid w:val="00F0487D"/>
    <w:rsid w:val="00F04A55"/>
    <w:rsid w:val="00F0509E"/>
    <w:rsid w:val="00F053B9"/>
    <w:rsid w:val="00F05CE5"/>
    <w:rsid w:val="00F06130"/>
    <w:rsid w:val="00F0658C"/>
    <w:rsid w:val="00F06BAE"/>
    <w:rsid w:val="00F1074D"/>
    <w:rsid w:val="00F1093E"/>
    <w:rsid w:val="00F11132"/>
    <w:rsid w:val="00F11598"/>
    <w:rsid w:val="00F1184F"/>
    <w:rsid w:val="00F11BB9"/>
    <w:rsid w:val="00F11E90"/>
    <w:rsid w:val="00F1274E"/>
    <w:rsid w:val="00F13726"/>
    <w:rsid w:val="00F13D27"/>
    <w:rsid w:val="00F1414F"/>
    <w:rsid w:val="00F15352"/>
    <w:rsid w:val="00F163AB"/>
    <w:rsid w:val="00F17413"/>
    <w:rsid w:val="00F1745D"/>
    <w:rsid w:val="00F178D8"/>
    <w:rsid w:val="00F17B07"/>
    <w:rsid w:val="00F20B7D"/>
    <w:rsid w:val="00F20E70"/>
    <w:rsid w:val="00F21627"/>
    <w:rsid w:val="00F21799"/>
    <w:rsid w:val="00F225B7"/>
    <w:rsid w:val="00F228A1"/>
    <w:rsid w:val="00F228CF"/>
    <w:rsid w:val="00F229A4"/>
    <w:rsid w:val="00F24ADA"/>
    <w:rsid w:val="00F24DE8"/>
    <w:rsid w:val="00F25180"/>
    <w:rsid w:val="00F25753"/>
    <w:rsid w:val="00F25796"/>
    <w:rsid w:val="00F25CF7"/>
    <w:rsid w:val="00F25F72"/>
    <w:rsid w:val="00F27FA9"/>
    <w:rsid w:val="00F30A70"/>
    <w:rsid w:val="00F31A22"/>
    <w:rsid w:val="00F31DED"/>
    <w:rsid w:val="00F3239E"/>
    <w:rsid w:val="00F323DC"/>
    <w:rsid w:val="00F3272C"/>
    <w:rsid w:val="00F32B71"/>
    <w:rsid w:val="00F33531"/>
    <w:rsid w:val="00F339AB"/>
    <w:rsid w:val="00F33B08"/>
    <w:rsid w:val="00F35893"/>
    <w:rsid w:val="00F367AC"/>
    <w:rsid w:val="00F36AAD"/>
    <w:rsid w:val="00F40526"/>
    <w:rsid w:val="00F40B0F"/>
    <w:rsid w:val="00F4190E"/>
    <w:rsid w:val="00F41DF9"/>
    <w:rsid w:val="00F42001"/>
    <w:rsid w:val="00F4206B"/>
    <w:rsid w:val="00F420A1"/>
    <w:rsid w:val="00F42171"/>
    <w:rsid w:val="00F43071"/>
    <w:rsid w:val="00F43461"/>
    <w:rsid w:val="00F43DBF"/>
    <w:rsid w:val="00F444E3"/>
    <w:rsid w:val="00F4501B"/>
    <w:rsid w:val="00F4509B"/>
    <w:rsid w:val="00F451A2"/>
    <w:rsid w:val="00F45253"/>
    <w:rsid w:val="00F45DBE"/>
    <w:rsid w:val="00F463C7"/>
    <w:rsid w:val="00F468D6"/>
    <w:rsid w:val="00F46F6D"/>
    <w:rsid w:val="00F47594"/>
    <w:rsid w:val="00F5172F"/>
    <w:rsid w:val="00F51B7D"/>
    <w:rsid w:val="00F52941"/>
    <w:rsid w:val="00F54775"/>
    <w:rsid w:val="00F5545A"/>
    <w:rsid w:val="00F56381"/>
    <w:rsid w:val="00F565D8"/>
    <w:rsid w:val="00F56C9F"/>
    <w:rsid w:val="00F56D27"/>
    <w:rsid w:val="00F56D88"/>
    <w:rsid w:val="00F57799"/>
    <w:rsid w:val="00F5795D"/>
    <w:rsid w:val="00F57AB0"/>
    <w:rsid w:val="00F57AB1"/>
    <w:rsid w:val="00F60BDC"/>
    <w:rsid w:val="00F60D39"/>
    <w:rsid w:val="00F614AA"/>
    <w:rsid w:val="00F61F50"/>
    <w:rsid w:val="00F6202C"/>
    <w:rsid w:val="00F6362D"/>
    <w:rsid w:val="00F645AC"/>
    <w:rsid w:val="00F66090"/>
    <w:rsid w:val="00F6695E"/>
    <w:rsid w:val="00F66D6C"/>
    <w:rsid w:val="00F67248"/>
    <w:rsid w:val="00F675BC"/>
    <w:rsid w:val="00F67B57"/>
    <w:rsid w:val="00F714D4"/>
    <w:rsid w:val="00F71C01"/>
    <w:rsid w:val="00F723A8"/>
    <w:rsid w:val="00F72E23"/>
    <w:rsid w:val="00F73FB9"/>
    <w:rsid w:val="00F7411C"/>
    <w:rsid w:val="00F74386"/>
    <w:rsid w:val="00F7494B"/>
    <w:rsid w:val="00F75C45"/>
    <w:rsid w:val="00F75E43"/>
    <w:rsid w:val="00F76649"/>
    <w:rsid w:val="00F76D9E"/>
    <w:rsid w:val="00F771A0"/>
    <w:rsid w:val="00F80616"/>
    <w:rsid w:val="00F806E4"/>
    <w:rsid w:val="00F80A6F"/>
    <w:rsid w:val="00F815AF"/>
    <w:rsid w:val="00F817C8"/>
    <w:rsid w:val="00F82771"/>
    <w:rsid w:val="00F8314A"/>
    <w:rsid w:val="00F832FE"/>
    <w:rsid w:val="00F83843"/>
    <w:rsid w:val="00F83C53"/>
    <w:rsid w:val="00F85483"/>
    <w:rsid w:val="00F85A30"/>
    <w:rsid w:val="00F85AE8"/>
    <w:rsid w:val="00F869D4"/>
    <w:rsid w:val="00F87DBF"/>
    <w:rsid w:val="00F90746"/>
    <w:rsid w:val="00F90A49"/>
    <w:rsid w:val="00F90FFB"/>
    <w:rsid w:val="00F92210"/>
    <w:rsid w:val="00F944CD"/>
    <w:rsid w:val="00F94BE7"/>
    <w:rsid w:val="00F9526B"/>
    <w:rsid w:val="00F95695"/>
    <w:rsid w:val="00F95761"/>
    <w:rsid w:val="00F9598E"/>
    <w:rsid w:val="00F96FDA"/>
    <w:rsid w:val="00F97124"/>
    <w:rsid w:val="00FA06E8"/>
    <w:rsid w:val="00FA0ECB"/>
    <w:rsid w:val="00FA0F8B"/>
    <w:rsid w:val="00FA1039"/>
    <w:rsid w:val="00FA2A78"/>
    <w:rsid w:val="00FA2EB6"/>
    <w:rsid w:val="00FA33A3"/>
    <w:rsid w:val="00FA3C06"/>
    <w:rsid w:val="00FA3D3D"/>
    <w:rsid w:val="00FA3E74"/>
    <w:rsid w:val="00FA46BC"/>
    <w:rsid w:val="00FA49DF"/>
    <w:rsid w:val="00FA523E"/>
    <w:rsid w:val="00FA58DE"/>
    <w:rsid w:val="00FA6878"/>
    <w:rsid w:val="00FA7700"/>
    <w:rsid w:val="00FA7755"/>
    <w:rsid w:val="00FA789F"/>
    <w:rsid w:val="00FA7B62"/>
    <w:rsid w:val="00FA7D34"/>
    <w:rsid w:val="00FB008E"/>
    <w:rsid w:val="00FB1147"/>
    <w:rsid w:val="00FB123B"/>
    <w:rsid w:val="00FB2466"/>
    <w:rsid w:val="00FB3D01"/>
    <w:rsid w:val="00FB4393"/>
    <w:rsid w:val="00FB456E"/>
    <w:rsid w:val="00FB5712"/>
    <w:rsid w:val="00FB679F"/>
    <w:rsid w:val="00FB6B92"/>
    <w:rsid w:val="00FB7060"/>
    <w:rsid w:val="00FB7F4D"/>
    <w:rsid w:val="00FC0194"/>
    <w:rsid w:val="00FC088C"/>
    <w:rsid w:val="00FC1352"/>
    <w:rsid w:val="00FC236E"/>
    <w:rsid w:val="00FC27A1"/>
    <w:rsid w:val="00FC2987"/>
    <w:rsid w:val="00FC30AF"/>
    <w:rsid w:val="00FC3233"/>
    <w:rsid w:val="00FC3BAC"/>
    <w:rsid w:val="00FC408A"/>
    <w:rsid w:val="00FC465D"/>
    <w:rsid w:val="00FC4DA8"/>
    <w:rsid w:val="00FC69CD"/>
    <w:rsid w:val="00FC73D9"/>
    <w:rsid w:val="00FC73DB"/>
    <w:rsid w:val="00FD0C77"/>
    <w:rsid w:val="00FD1CA8"/>
    <w:rsid w:val="00FD2D61"/>
    <w:rsid w:val="00FD37FA"/>
    <w:rsid w:val="00FD3F85"/>
    <w:rsid w:val="00FD40FA"/>
    <w:rsid w:val="00FD46A5"/>
    <w:rsid w:val="00FD46F5"/>
    <w:rsid w:val="00FD48D0"/>
    <w:rsid w:val="00FD525E"/>
    <w:rsid w:val="00FD600F"/>
    <w:rsid w:val="00FD60CD"/>
    <w:rsid w:val="00FD6C27"/>
    <w:rsid w:val="00FD7584"/>
    <w:rsid w:val="00FD76AC"/>
    <w:rsid w:val="00FE1A26"/>
    <w:rsid w:val="00FE1B44"/>
    <w:rsid w:val="00FE26D9"/>
    <w:rsid w:val="00FE3D02"/>
    <w:rsid w:val="00FE3E27"/>
    <w:rsid w:val="00FE3F9C"/>
    <w:rsid w:val="00FE4010"/>
    <w:rsid w:val="00FE4828"/>
    <w:rsid w:val="00FE63F2"/>
    <w:rsid w:val="00FE701E"/>
    <w:rsid w:val="00FE7495"/>
    <w:rsid w:val="00FE794C"/>
    <w:rsid w:val="00FE7984"/>
    <w:rsid w:val="00FE7DAA"/>
    <w:rsid w:val="00FF00A0"/>
    <w:rsid w:val="00FF03BE"/>
    <w:rsid w:val="00FF13C4"/>
    <w:rsid w:val="00FF1445"/>
    <w:rsid w:val="00FF1945"/>
    <w:rsid w:val="00FF1B92"/>
    <w:rsid w:val="00FF1D4E"/>
    <w:rsid w:val="00FF22EA"/>
    <w:rsid w:val="00FF296D"/>
    <w:rsid w:val="00FF2D23"/>
    <w:rsid w:val="00FF31AF"/>
    <w:rsid w:val="00FF37B1"/>
    <w:rsid w:val="00FF4126"/>
    <w:rsid w:val="00FF4242"/>
    <w:rsid w:val="00FF4360"/>
    <w:rsid w:val="00FF50D0"/>
    <w:rsid w:val="00FF5C61"/>
    <w:rsid w:val="00FF6A86"/>
    <w:rsid w:val="00FF707C"/>
    <w:rsid w:val="00FF77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71" fillcolor="none [3215]" stroke="f">
      <v:fill color="none [3215]"/>
      <v:stroke on="f"/>
    </o:shapedefaults>
    <o:shapelayout v:ext="edit">
      <o:idmap v:ext="edit" data="1"/>
    </o:shapelayout>
  </w:shapeDefaults>
  <w:decimalSymbol w:val="."/>
  <w:listSeparator w:val=","/>
  <w14:docId w14:val="6FBE3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en-AU" w:eastAsia="en-AU" w:bidi="ar-SA"/>
      </w:rPr>
    </w:rPrDefault>
    <w:pPrDefault/>
  </w:docDefaults>
  <w:latentStyles w:defLockedState="1" w:defUIPriority="0" w:defSemiHidden="0" w:defUnhideWhenUsed="0" w:defQFormat="0" w:count="371">
    <w:lsdException w:name="Normal" w:locked="0"/>
    <w:lsdException w:name="heading 1" w:locked="0" w:uiPriority="1"/>
    <w:lsdException w:name="heading 2" w:locked="0" w:uiPriority="1"/>
    <w:lsdException w:name="heading 3" w:locked="0" w:uiPriority="1"/>
    <w:lsdException w:name="heading 4" w:locked="0" w:uiPriority="1"/>
    <w:lsdException w:name="heading 5" w:locked="0" w:uiPriority="1"/>
    <w:lsdException w:name="heading 6" w:locked="0" w:uiPriority="1"/>
    <w:lsdException w:name="heading 7" w:locked="0" w:semiHidden="1" w:uiPriority="1" w:unhideWhenUsed="1"/>
    <w:lsdException w:name="heading 8" w:locked="0" w:semiHidden="1" w:uiPriority="1" w:unhideWhenUsed="1"/>
    <w:lsdException w:name="heading 9" w:locked="0" w:semiHidden="1" w:uiPriority="1" w:unhideWhenUsed="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49" w:unhideWhenUsed="1"/>
    <w:lsdException w:name="toc 6" w:locked="0" w:semiHidden="1" w:uiPriority="39" w:unhideWhenUsed="1"/>
    <w:lsdException w:name="toc 7" w:locked="0" w:semiHidden="1" w:uiPriority="39" w:unhideWhenUsed="1"/>
    <w:lsdException w:name="toc 8" w:locked="0" w:semiHidden="1" w:uiPriority="49" w:unhideWhenUsed="1"/>
    <w:lsdException w:name="toc 9" w:locked="0" w:semiHidden="1" w:uiPriority="39" w:unhideWhenUsed="1"/>
    <w:lsdException w:name="Normal Indent" w:locked="0" w:semiHidden="1" w:unhideWhenUsed="1"/>
    <w:lsdException w:name="footnote text" w:locked="0" w:semiHidden="1" w:uiPriority="39" w:unhideWhenUsed="1"/>
    <w:lsdException w:name="annotation text" w:locked="0" w:semiHidden="1" w:uiPriority="59" w:unhideWhenUsed="1"/>
    <w:lsdException w:name="header" w:locked="0" w:semiHidden="1" w:uiPriority="99" w:unhideWhenUsed="1"/>
    <w:lsdException w:name="footer" w:locked="0" w:semiHidden="1" w:uiPriority="99" w:unhideWhenUsed="1"/>
    <w:lsdException w:name="index heading" w:locked="0" w:semiHidden="1" w:unhideWhenUsed="1"/>
    <w:lsdException w:name="caption" w:locked="0" w:semiHidden="1" w:uiPriority="4"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39" w:unhideWhenUsed="1"/>
    <w:lsdException w:name="annotation reference" w:locked="0" w:semiHidden="1" w:uiPriority="59"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semiHidden="1" w:uiPriority="29" w:unhideWhenUsed="1"/>
    <w:lsdException w:name="toa heading" w:locked="0" w:semiHidden="1" w:unhideWhenUsed="1"/>
    <w:lsdException w:name="List" w:semiHidden="1" w:unhideWhenUsed="1"/>
    <w:lsdException w:name="List Bullet" w:semiHidden="1" w:uiPriority="2" w:unhideWhenUsed="1" w:qFormat="1"/>
    <w:lsdException w:name="List Number" w:semiHidden="1" w:uiPriority="13" w:qFormat="1"/>
    <w:lsdException w:name="List 2" w:semiHidden="1" w:unhideWhenUsed="1"/>
    <w:lsdException w:name="List 3" w:semiHidden="1" w:unhideWhenUsed="1"/>
    <w:lsdException w:name="List 4" w:semiHidden="1"/>
    <w:lsdException w:name="List 5" w:semiHidden="1"/>
    <w:lsdException w:name="List Bullet 2" w:semiHidden="1" w:uiPriority="2" w:unhideWhenUsed="1" w:qFormat="1"/>
    <w:lsdException w:name="List Bullet 3" w:semiHidden="1" w:uiPriority="2" w:unhideWhenUsed="1" w:qFormat="1"/>
    <w:lsdException w:name="List Bullet 4" w:semiHidden="1" w:uiPriority="2" w:unhideWhenUsed="1"/>
    <w:lsdException w:name="List Bullet 5" w:semiHidden="1" w:uiPriority="2"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locked="0" w:qFormat="1"/>
    <w:lsdException w:name="Closing" w:locked="0" w:semiHidden="1" w:uiPriority="59" w:unhideWhenUsed="1"/>
    <w:lsdException w:name="Signature" w:locked="0" w:semiHidden="1" w:unhideWhenUsed="1"/>
    <w:lsdException w:name="Default Paragraph Font" w:locked="0" w:semiHidden="1" w:uiPriority="1" w:unhideWhenUsed="1"/>
    <w:lsdException w:name="Body Text" w:semiHidden="1" w:uiPriority="59" w:unhideWhenUsed="1"/>
    <w:lsdException w:name="Body Text Indent" w:semiHidden="1" w:uiPriority="5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locked="0" w:semiHidden="1" w:qFormat="1"/>
    <w:lsdException w:name="Salutation" w:locked="0" w:semiHidden="1" w:unhideWhenUsed="1"/>
    <w:lsdException w:name="Date" w:locked="0" w:uiPriority="59"/>
    <w:lsdException w:name="Body Text First Indent" w:semiHidden="1" w:uiPriority="59"/>
    <w:lsdException w:name="Body Text First Indent 2" w:semiHidden="1" w:uiPriority="59" w:unhideWhenUsed="1"/>
    <w:lsdException w:name="Note Heading" w:locked="0" w:semiHidden="1" w:unhideWhenUsed="1"/>
    <w:lsdException w:name="Body Text 2" w:semiHidden="1" w:uiPriority="59" w:unhideWhenUsed="1"/>
    <w:lsdException w:name="Body Text 3" w:semiHidden="1" w:uiPriority="59" w:unhideWhenUsed="1"/>
    <w:lsdException w:name="Body Text Indent 2" w:semiHidden="1" w:uiPriority="59" w:unhideWhenUsed="1"/>
    <w:lsdException w:name="Body Text Indent 3" w:semiHidden="1" w:uiPriority="59" w:unhideWhenUsed="1"/>
    <w:lsdException w:name="Block Text" w:locked="0" w:semiHidden="1" w:uiPriority="19" w:unhideWhenUsed="1"/>
    <w:lsdException w:name="Hyperlink" w:locked="0" w:semiHidden="1" w:uiPriority="99" w:unhideWhenUsed="1"/>
    <w:lsdException w:name="FollowedHyperlink" w:locked="0" w:semiHidden="1" w:unhideWhenUsed="1"/>
    <w:lsdException w:name="Strong" w:locked="0" w:semiHidden="1" w:qFormat="1"/>
    <w:lsdException w:name="Emphasis" w:semiHidden="1" w:qFormat="1"/>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lsdException w:name="HTML Acronym" w:semiHidden="1" w:uiPriority="49" w:unhideWhenUsed="1"/>
    <w:lsdException w:name="HTML Address" w:semiHidden="1" w:uiPriority="49" w:unhideWhenUsed="1"/>
    <w:lsdException w:name="HTML Cite" w:semiHidden="1" w:uiPriority="49" w:unhideWhenUsed="1"/>
    <w:lsdException w:name="HTML Code" w:semiHidden="1" w:uiPriority="49" w:unhideWhenUsed="1"/>
    <w:lsdException w:name="HTML Definition" w:semiHidden="1" w:uiPriority="49" w:unhideWhenUsed="1"/>
    <w:lsdException w:name="HTML Keyboard" w:semiHidden="1" w:uiPriority="49" w:unhideWhenUsed="1"/>
    <w:lsdException w:name="HTML Preformatted" w:semiHidden="1" w:uiPriority="49" w:unhideWhenUsed="1"/>
    <w:lsdException w:name="HTML Sample" w:semiHidden="1" w:uiPriority="49" w:unhideWhenUsed="1"/>
    <w:lsdException w:name="HTML Typewriter" w:semiHidden="1" w:uiPriority="49" w:unhideWhenUsed="1"/>
    <w:lsdException w:name="HTML Variable" w:semiHidden="1" w:uiPriority="49" w:unhideWhenUsed="1"/>
    <w:lsdException w:name="Normal Table" w:locked="0" w:semiHidden="1" w:unhideWhenUsed="1"/>
    <w:lsdException w:name="annotation subject" w:locked="0" w:semiHidden="1" w:uiPriority="59" w:unhideWhenUsed="1"/>
    <w:lsdException w:name="No List" w:locked="0" w:semiHidden="1" w:uiPriority="99"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locked="0" w:semiHidden="1" w:unhideWhenUsed="1"/>
    <w:lsdException w:name="Placeholder Text" w:locked="0" w:semiHidden="1" w:uiPriority="99"/>
    <w:lsdException w:name="No Spacing" w:locked="0"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locked="0"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next w:val="PwCNormal"/>
    <w:uiPriority w:val="39"/>
    <w:rsid w:val="00B7137F"/>
    <w:pPr>
      <w:kinsoku w:val="0"/>
      <w:overflowPunct w:val="0"/>
      <w:autoSpaceDE w:val="0"/>
      <w:autoSpaceDN w:val="0"/>
      <w:adjustRightInd w:val="0"/>
      <w:snapToGrid w:val="0"/>
      <w:spacing w:line="281" w:lineRule="auto"/>
    </w:pPr>
    <w:rPr>
      <w:rFonts w:asciiTheme="minorHAnsi" w:hAnsiTheme="minorHAnsi" w:cs="Arial"/>
      <w:snapToGrid w:val="0"/>
      <w:sz w:val="18"/>
      <w:lang w:eastAsia="en-US"/>
    </w:rPr>
  </w:style>
  <w:style w:type="paragraph" w:styleId="Heading1">
    <w:name w:val="heading 1"/>
    <w:aliases w:val="Chapter Heading (Long)"/>
    <w:basedOn w:val="Normal"/>
    <w:next w:val="PwCNormal"/>
    <w:uiPriority w:val="1"/>
    <w:rsid w:val="00450239"/>
    <w:pPr>
      <w:framePr w:w="5103" w:wrap="around" w:vAnchor="page" w:hAnchor="page" w:x="5955" w:y="3687"/>
      <w:spacing w:line="640" w:lineRule="atLeast"/>
      <w:outlineLvl w:val="0"/>
    </w:pPr>
    <w:rPr>
      <w:bCs/>
      <w:color w:val="FFFFFF" w:themeColor="background1"/>
      <w:sz w:val="60"/>
      <w:szCs w:val="72"/>
    </w:rPr>
  </w:style>
  <w:style w:type="paragraph" w:styleId="Heading2">
    <w:name w:val="heading 2"/>
    <w:aliases w:val="Chapter Heading (Short)"/>
    <w:basedOn w:val="Normal"/>
    <w:next w:val="PwCNormal"/>
    <w:uiPriority w:val="1"/>
    <w:rsid w:val="00842A36"/>
    <w:pPr>
      <w:keepNext/>
      <w:keepLines/>
      <w:pageBreakBefore/>
      <w:numPr>
        <w:ilvl w:val="1"/>
        <w:numId w:val="29"/>
      </w:numPr>
      <w:spacing w:after="180" w:line="640" w:lineRule="atLeast"/>
      <w:outlineLvl w:val="1"/>
    </w:pPr>
    <w:rPr>
      <w:rFonts w:asciiTheme="majorHAnsi" w:hAnsiTheme="majorHAnsi"/>
      <w:bCs/>
      <w:iCs/>
      <w:color w:val="D04A02" w:themeColor="accent1"/>
      <w:sz w:val="60"/>
      <w:szCs w:val="36"/>
    </w:rPr>
  </w:style>
  <w:style w:type="paragraph" w:styleId="Heading3">
    <w:name w:val="heading 3"/>
    <w:aliases w:val="Appendix Heading (Long)"/>
    <w:basedOn w:val="Heading1"/>
    <w:next w:val="PwCNormal"/>
    <w:uiPriority w:val="1"/>
    <w:rsid w:val="007F7653"/>
    <w:pPr>
      <w:framePr w:wrap="around"/>
      <w:numPr>
        <w:ilvl w:val="5"/>
        <w:numId w:val="28"/>
      </w:numPr>
      <w:outlineLvl w:val="2"/>
    </w:pPr>
    <w:rPr>
      <w:bCs w:val="0"/>
    </w:rPr>
  </w:style>
  <w:style w:type="paragraph" w:styleId="Heading4">
    <w:name w:val="heading 4"/>
    <w:aliases w:val="Appendix Heading (Short)"/>
    <w:basedOn w:val="Heading2"/>
    <w:next w:val="PwCNormal"/>
    <w:uiPriority w:val="1"/>
    <w:rsid w:val="00842A36"/>
    <w:pPr>
      <w:pageBreakBefore w:val="0"/>
      <w:numPr>
        <w:ilvl w:val="4"/>
      </w:numPr>
      <w:outlineLvl w:val="3"/>
    </w:pPr>
    <w:rPr>
      <w:bCs w:val="0"/>
    </w:rPr>
  </w:style>
  <w:style w:type="paragraph" w:styleId="Heading5">
    <w:name w:val="heading 5"/>
    <w:basedOn w:val="Heading2"/>
    <w:next w:val="PwCNormal"/>
    <w:uiPriority w:val="1"/>
    <w:rsid w:val="00842A36"/>
    <w:pPr>
      <w:pageBreakBefore w:val="0"/>
      <w:numPr>
        <w:ilvl w:val="0"/>
        <w:numId w:val="0"/>
      </w:numPr>
      <w:spacing w:before="360" w:line="380" w:lineRule="atLeast"/>
      <w:outlineLvl w:val="4"/>
    </w:pPr>
    <w:rPr>
      <w:bCs w:val="0"/>
      <w:iCs w:val="0"/>
      <w:sz w:val="32"/>
      <w:szCs w:val="32"/>
    </w:rPr>
  </w:style>
  <w:style w:type="paragraph" w:styleId="Heading6">
    <w:name w:val="heading 6"/>
    <w:basedOn w:val="Heading2"/>
    <w:next w:val="PwCNormal"/>
    <w:uiPriority w:val="1"/>
    <w:rsid w:val="00842A36"/>
    <w:pPr>
      <w:pageBreakBefore w:val="0"/>
      <w:numPr>
        <w:ilvl w:val="2"/>
      </w:numPr>
      <w:spacing w:after="120" w:line="300" w:lineRule="atLeast"/>
      <w:outlineLvl w:val="5"/>
    </w:pPr>
    <w:rPr>
      <w:rFonts w:asciiTheme="minorHAnsi" w:hAnsiTheme="minorHAnsi"/>
      <w:b/>
      <w:bCs w:val="0"/>
      <w:color w:val="000000" w:themeColor="text1"/>
      <w:sz w:val="24"/>
    </w:rPr>
  </w:style>
  <w:style w:type="paragraph" w:styleId="Heading7">
    <w:name w:val="heading 7"/>
    <w:basedOn w:val="Heading6"/>
    <w:next w:val="PwCNormal"/>
    <w:uiPriority w:val="1"/>
    <w:rsid w:val="00E20979"/>
    <w:pPr>
      <w:numPr>
        <w:ilvl w:val="3"/>
      </w:numPr>
      <w:spacing w:after="0" w:line="260" w:lineRule="atLeast"/>
      <w:outlineLvl w:val="6"/>
    </w:pPr>
    <w:rPr>
      <w:sz w:val="18"/>
      <w:szCs w:val="28"/>
    </w:rPr>
  </w:style>
  <w:style w:type="paragraph" w:styleId="Heading8">
    <w:name w:val="heading 8"/>
    <w:basedOn w:val="Majorheading"/>
    <w:next w:val="PwCNormal"/>
    <w:uiPriority w:val="1"/>
    <w:rsid w:val="00842A36"/>
    <w:pPr>
      <w:numPr>
        <w:ilvl w:val="6"/>
        <w:numId w:val="29"/>
      </w:numPr>
      <w:outlineLvl w:val="7"/>
    </w:pPr>
    <w:rPr>
      <w:sz w:val="32"/>
      <w:szCs w:val="21"/>
    </w:rPr>
  </w:style>
  <w:style w:type="paragraph" w:styleId="Heading9">
    <w:name w:val="heading 9"/>
    <w:basedOn w:val="Heading8"/>
    <w:next w:val="PwCNormal"/>
    <w:uiPriority w:val="1"/>
    <w:rsid w:val="00842A36"/>
    <w:pPr>
      <w:numPr>
        <w:ilvl w:val="0"/>
        <w:numId w:val="0"/>
      </w:numPr>
      <w:outlineLvl w:val="8"/>
    </w:pPr>
    <w:rPr>
      <w:b w:val="0"/>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42A36"/>
    <w:pPr>
      <w:tabs>
        <w:tab w:val="right" w:pos="9865"/>
      </w:tabs>
    </w:pPr>
    <w:rPr>
      <w:rFonts w:ascii="Arial" w:hAnsi="Arial"/>
      <w:color w:val="000000" w:themeColor="text1"/>
      <w:sz w:val="19"/>
      <w:szCs w:val="18"/>
    </w:rPr>
  </w:style>
  <w:style w:type="paragraph" w:styleId="Footer">
    <w:name w:val="footer"/>
    <w:basedOn w:val="Normal"/>
    <w:link w:val="FooterChar"/>
    <w:uiPriority w:val="99"/>
    <w:rsid w:val="00842A36"/>
    <w:pPr>
      <w:tabs>
        <w:tab w:val="right" w:pos="9865"/>
      </w:tabs>
      <w:spacing w:line="0" w:lineRule="atLeast"/>
    </w:pPr>
    <w:rPr>
      <w:rFonts w:ascii="Arial" w:hAnsi="Arial"/>
      <w:color w:val="000000" w:themeColor="text1"/>
      <w:sz w:val="19"/>
      <w:szCs w:val="18"/>
    </w:rPr>
  </w:style>
  <w:style w:type="paragraph" w:customStyle="1" w:styleId="TOCtitle">
    <w:name w:val="TOC title"/>
    <w:basedOn w:val="Heading2"/>
    <w:next w:val="PwCNormal"/>
    <w:uiPriority w:val="49"/>
    <w:unhideWhenUsed/>
    <w:rsid w:val="00267225"/>
    <w:pPr>
      <w:numPr>
        <w:ilvl w:val="0"/>
        <w:numId w:val="0"/>
      </w:numPr>
      <w:spacing w:after="1200"/>
    </w:pPr>
    <w:rPr>
      <w:color w:val="EB8C00" w:themeColor="accent4"/>
    </w:rPr>
  </w:style>
  <w:style w:type="paragraph" w:customStyle="1" w:styleId="Covertitle">
    <w:name w:val="Cover title"/>
    <w:basedOn w:val="KeySentenceInside"/>
    <w:next w:val="Coversubtitle"/>
    <w:uiPriority w:val="19"/>
    <w:rsid w:val="00842A36"/>
    <w:pPr>
      <w:framePr w:w="2154" w:wrap="notBeside" w:vAnchor="page" w:hAnchor="page" w:x="928" w:y="8414"/>
      <w:spacing w:before="200"/>
      <w:ind w:left="113"/>
    </w:pPr>
    <w:rPr>
      <w:rFonts w:asciiTheme="majorHAnsi" w:hAnsiTheme="majorHAnsi"/>
      <w:color w:val="auto"/>
      <w:sz w:val="19"/>
      <w:lang w:val="en-GB"/>
    </w:rPr>
  </w:style>
  <w:style w:type="paragraph" w:customStyle="1" w:styleId="Coversubtitle">
    <w:name w:val="Cover subtitle"/>
    <w:basedOn w:val="Covertitle"/>
    <w:uiPriority w:val="19"/>
    <w:rsid w:val="00842A36"/>
    <w:pPr>
      <w:framePr w:wrap="notBeside"/>
      <w:spacing w:before="180"/>
    </w:pPr>
    <w:rPr>
      <w:bCs/>
      <w:szCs w:val="64"/>
    </w:rPr>
  </w:style>
  <w:style w:type="paragraph" w:customStyle="1" w:styleId="AppendixNumberLong">
    <w:name w:val="Appendix Number (Long)"/>
    <w:basedOn w:val="Heading3"/>
    <w:next w:val="Heading3"/>
    <w:uiPriority w:val="19"/>
    <w:rsid w:val="00450239"/>
    <w:pPr>
      <w:keepNext/>
      <w:keepLines/>
      <w:pageBreakBefore/>
      <w:framePr w:w="0" w:wrap="auto" w:vAnchor="margin" w:hAnchor="text" w:xAlign="left" w:yAlign="inline"/>
      <w:numPr>
        <w:numId w:val="29"/>
      </w:numPr>
    </w:pPr>
    <w:rPr>
      <w:sz w:val="760"/>
    </w:rPr>
  </w:style>
  <w:style w:type="paragraph" w:customStyle="1" w:styleId="ChapterNumberLong">
    <w:name w:val="Chapter Number (Long)"/>
    <w:basedOn w:val="Heading1"/>
    <w:next w:val="Heading1"/>
    <w:uiPriority w:val="19"/>
    <w:rsid w:val="00C72DA8"/>
    <w:pPr>
      <w:pageBreakBefore/>
      <w:framePr w:w="5670" w:wrap="around" w:vAnchor="text" w:hAnchor="text" w:xAlign="left" w:y="1"/>
      <w:numPr>
        <w:numId w:val="29"/>
      </w:numPr>
    </w:pPr>
    <w:rPr>
      <w:sz w:val="900"/>
    </w:rPr>
  </w:style>
  <w:style w:type="paragraph" w:customStyle="1" w:styleId="Footer-Even">
    <w:name w:val="Footer - Even"/>
    <w:basedOn w:val="Footer"/>
    <w:uiPriority w:val="39"/>
    <w:rsid w:val="00842A36"/>
  </w:style>
  <w:style w:type="paragraph" w:customStyle="1" w:styleId="URL">
    <w:name w:val="URL"/>
    <w:basedOn w:val="Copyright"/>
    <w:next w:val="PwCNormal"/>
    <w:uiPriority w:val="49"/>
    <w:rsid w:val="00842A36"/>
    <w:pPr>
      <w:framePr w:wrap="around" w:vAnchor="page" w:hAnchor="page" w:x="1030" w:y="12475"/>
      <w:spacing w:line="240" w:lineRule="auto"/>
    </w:pPr>
    <w:rPr>
      <w:color w:val="000000" w:themeColor="text1"/>
      <w:sz w:val="24"/>
      <w:szCs w:val="24"/>
    </w:rPr>
  </w:style>
  <w:style w:type="paragraph" w:customStyle="1" w:styleId="Indent1">
    <w:name w:val="Indent 1"/>
    <w:basedOn w:val="Normal"/>
    <w:uiPriority w:val="49"/>
    <w:qFormat/>
    <w:rsid w:val="00842A36"/>
    <w:pPr>
      <w:numPr>
        <w:ilvl w:val="1"/>
        <w:numId w:val="16"/>
      </w:numPr>
      <w:spacing w:before="100" w:after="100"/>
    </w:pPr>
    <w:rPr>
      <w:rFonts w:cs="Times New Roman"/>
    </w:rPr>
  </w:style>
  <w:style w:type="paragraph" w:customStyle="1" w:styleId="Indent2">
    <w:name w:val="Indent 2"/>
    <w:basedOn w:val="Indent1"/>
    <w:uiPriority w:val="49"/>
    <w:qFormat/>
    <w:rsid w:val="00842A36"/>
    <w:pPr>
      <w:numPr>
        <w:ilvl w:val="2"/>
      </w:numPr>
    </w:pPr>
  </w:style>
  <w:style w:type="paragraph" w:customStyle="1" w:styleId="Indent3">
    <w:name w:val="Indent 3"/>
    <w:basedOn w:val="Indent2"/>
    <w:uiPriority w:val="49"/>
    <w:qFormat/>
    <w:rsid w:val="00842A36"/>
    <w:pPr>
      <w:numPr>
        <w:ilvl w:val="3"/>
      </w:numPr>
    </w:pPr>
  </w:style>
  <w:style w:type="paragraph" w:customStyle="1" w:styleId="Indent5">
    <w:name w:val="Indent 5"/>
    <w:basedOn w:val="Indent4"/>
    <w:uiPriority w:val="49"/>
    <w:rsid w:val="00842A36"/>
    <w:pPr>
      <w:numPr>
        <w:ilvl w:val="5"/>
      </w:numPr>
    </w:pPr>
  </w:style>
  <w:style w:type="paragraph" w:customStyle="1" w:styleId="Indent6">
    <w:name w:val="Indent 6"/>
    <w:basedOn w:val="Indent5"/>
    <w:uiPriority w:val="49"/>
    <w:rsid w:val="00842A36"/>
    <w:pPr>
      <w:numPr>
        <w:ilvl w:val="6"/>
      </w:numPr>
    </w:pPr>
  </w:style>
  <w:style w:type="paragraph" w:customStyle="1" w:styleId="Indent7">
    <w:name w:val="Indent 7"/>
    <w:basedOn w:val="Indent6"/>
    <w:uiPriority w:val="49"/>
    <w:rsid w:val="00842A36"/>
    <w:pPr>
      <w:numPr>
        <w:ilvl w:val="7"/>
      </w:numPr>
    </w:pPr>
  </w:style>
  <w:style w:type="numbering" w:customStyle="1" w:styleId="Indents">
    <w:name w:val="Indents"/>
    <w:rsid w:val="00842A36"/>
    <w:pPr>
      <w:numPr>
        <w:numId w:val="9"/>
      </w:numPr>
    </w:pPr>
  </w:style>
  <w:style w:type="paragraph" w:customStyle="1" w:styleId="Copyright">
    <w:name w:val="Copyright"/>
    <w:basedOn w:val="Normal"/>
    <w:uiPriority w:val="19"/>
    <w:rsid w:val="00842A36"/>
    <w:rPr>
      <w:rFonts w:ascii="Arial" w:hAnsi="Arial"/>
      <w:color w:val="FFFFFF" w:themeColor="background1"/>
      <w:sz w:val="16"/>
      <w:lang w:val="en-US"/>
    </w:rPr>
  </w:style>
  <w:style w:type="paragraph" w:customStyle="1" w:styleId="Header-Even">
    <w:name w:val="Header - Even"/>
    <w:basedOn w:val="Header"/>
    <w:uiPriority w:val="39"/>
    <w:rsid w:val="00842A36"/>
  </w:style>
  <w:style w:type="paragraph" w:customStyle="1" w:styleId="PleaseNote">
    <w:name w:val="Please Note"/>
    <w:basedOn w:val="PrefaceTitle"/>
    <w:next w:val="PwCNormal"/>
    <w:uiPriority w:val="29"/>
    <w:rsid w:val="00842A36"/>
    <w:rPr>
      <w:iCs w:val="0"/>
    </w:rPr>
  </w:style>
  <w:style w:type="paragraph" w:customStyle="1" w:styleId="Indent4">
    <w:name w:val="Indent 4"/>
    <w:basedOn w:val="Indent3"/>
    <w:uiPriority w:val="49"/>
    <w:rsid w:val="00842A36"/>
    <w:pPr>
      <w:numPr>
        <w:ilvl w:val="4"/>
      </w:numPr>
    </w:pPr>
  </w:style>
  <w:style w:type="paragraph" w:styleId="TOC2">
    <w:name w:val="toc 2"/>
    <w:basedOn w:val="TOC1"/>
    <w:next w:val="PwCNormal"/>
    <w:uiPriority w:val="39"/>
    <w:rsid w:val="001F55E5"/>
    <w:pPr>
      <w:numPr>
        <w:numId w:val="0"/>
      </w:numPr>
      <w:spacing w:line="300" w:lineRule="atLeast"/>
      <w:ind w:left="567" w:hanging="567"/>
    </w:pPr>
    <w:rPr>
      <w:sz w:val="24"/>
    </w:rPr>
  </w:style>
  <w:style w:type="paragraph" w:styleId="TOC4">
    <w:name w:val="toc 4"/>
    <w:basedOn w:val="TOC2"/>
    <w:next w:val="PwCNormal"/>
    <w:uiPriority w:val="39"/>
    <w:rsid w:val="00842A36"/>
    <w:pPr>
      <w:tabs>
        <w:tab w:val="left" w:pos="1418"/>
      </w:tabs>
      <w:ind w:left="1418" w:hanging="1418"/>
    </w:pPr>
  </w:style>
  <w:style w:type="paragraph" w:styleId="TOC7">
    <w:name w:val="toc 7"/>
    <w:basedOn w:val="TOC6"/>
    <w:next w:val="PwCNormal"/>
    <w:uiPriority w:val="39"/>
    <w:rsid w:val="00842A36"/>
    <w:pPr>
      <w:tabs>
        <w:tab w:val="clear" w:pos="1134"/>
        <w:tab w:val="left" w:pos="1985"/>
      </w:tabs>
      <w:ind w:left="1985" w:hanging="851"/>
    </w:pPr>
  </w:style>
  <w:style w:type="paragraph" w:customStyle="1" w:styleId="KeySentenceInside">
    <w:name w:val="Key Sentence Inside"/>
    <w:basedOn w:val="KeySentence"/>
    <w:uiPriority w:val="39"/>
    <w:rsid w:val="00842A36"/>
    <w:pPr>
      <w:framePr w:w="2296" w:wrap="notBeside" w:vAnchor="text" w:hAnchor="margin" w:x="-2521" w:y="1" w:anchorLock="1"/>
    </w:pPr>
  </w:style>
  <w:style w:type="paragraph" w:customStyle="1" w:styleId="ChapterNumberedList1">
    <w:name w:val="Chapter Numbered List 1"/>
    <w:basedOn w:val="PwCNormal"/>
    <w:uiPriority w:val="19"/>
    <w:rsid w:val="00842A36"/>
    <w:pPr>
      <w:numPr>
        <w:ilvl w:val="7"/>
        <w:numId w:val="29"/>
      </w:numPr>
      <w:spacing w:before="120"/>
    </w:pPr>
  </w:style>
  <w:style w:type="paragraph" w:customStyle="1" w:styleId="ChapterNumberedList2">
    <w:name w:val="Chapter Numbered List 2"/>
    <w:basedOn w:val="ChapterNumberedList1"/>
    <w:uiPriority w:val="19"/>
    <w:rsid w:val="00842A36"/>
    <w:pPr>
      <w:numPr>
        <w:ilvl w:val="8"/>
      </w:numPr>
    </w:pPr>
  </w:style>
  <w:style w:type="paragraph" w:styleId="TOC6">
    <w:name w:val="toc 6"/>
    <w:basedOn w:val="TOC2"/>
    <w:next w:val="PwCNormal"/>
    <w:uiPriority w:val="39"/>
    <w:rsid w:val="00842A36"/>
    <w:pPr>
      <w:tabs>
        <w:tab w:val="left" w:pos="1134"/>
      </w:tabs>
      <w:ind w:left="1134"/>
    </w:pPr>
  </w:style>
  <w:style w:type="paragraph" w:customStyle="1" w:styleId="PwCNormal">
    <w:name w:val="PwC Normal"/>
    <w:aliases w:val="n,majNormal,note(text),cv teC Normal,note(text) + +Headings (Georgia),9 pt,Before:  3 pt,After:  3..."/>
    <w:basedOn w:val="Normal"/>
    <w:link w:val="PwCNormalChar"/>
    <w:qFormat/>
    <w:rsid w:val="00842A36"/>
    <w:pPr>
      <w:numPr>
        <w:numId w:val="16"/>
      </w:numPr>
      <w:spacing w:before="240" w:after="120"/>
    </w:pPr>
    <w:rPr>
      <w:color w:val="000000" w:themeColor="text1"/>
    </w:rPr>
  </w:style>
  <w:style w:type="paragraph" w:customStyle="1" w:styleId="CoverDate">
    <w:name w:val="Cover Date"/>
    <w:basedOn w:val="Coversubtitle"/>
    <w:uiPriority w:val="19"/>
    <w:rsid w:val="006E205E"/>
    <w:pPr>
      <w:framePr w:w="0" w:wrap="auto" w:vAnchor="margin" w:hAnchor="text" w:xAlign="left" w:yAlign="inline"/>
      <w:spacing w:before="240" w:after="0" w:line="320" w:lineRule="atLeast"/>
      <w:ind w:left="0"/>
    </w:pPr>
    <w:rPr>
      <w:rFonts w:asciiTheme="minorHAnsi" w:hAnsiTheme="minorHAnsi"/>
      <w:color w:val="FFFFFF"/>
      <w:sz w:val="20"/>
    </w:rPr>
  </w:style>
  <w:style w:type="paragraph" w:customStyle="1" w:styleId="KeySentenceOutside">
    <w:name w:val="Key Sentence Outside"/>
    <w:basedOn w:val="KeySentence"/>
    <w:uiPriority w:val="39"/>
    <w:rsid w:val="00842A36"/>
    <w:pPr>
      <w:framePr w:w="2410" w:wrap="around" w:vAnchor="text" w:hAnchor="margin" w:x="7909" w:y="1" w:anchorLock="1"/>
    </w:pPr>
  </w:style>
  <w:style w:type="character" w:customStyle="1" w:styleId="PwCNormalChar">
    <w:name w:val="PwC Normal Char"/>
    <w:aliases w:val="n Char Char,n Char,majNormal Char,note(text) Char,cv teC Normal Char,note(text) + +Headings (Georgia) Char,9 pt Char,Before:  3 pt Char,After:  3... Char"/>
    <w:basedOn w:val="DefaultParagraphFont"/>
    <w:link w:val="PwCNormal"/>
    <w:rsid w:val="00842A36"/>
    <w:rPr>
      <w:rFonts w:asciiTheme="minorHAnsi" w:hAnsiTheme="minorHAnsi" w:cs="Arial"/>
      <w:snapToGrid w:val="0"/>
      <w:color w:val="000000" w:themeColor="text1"/>
      <w:sz w:val="18"/>
      <w:lang w:eastAsia="en-US"/>
    </w:rPr>
  </w:style>
  <w:style w:type="paragraph" w:styleId="TOC1">
    <w:name w:val="toc 1"/>
    <w:basedOn w:val="Normal"/>
    <w:next w:val="PwCNormal"/>
    <w:uiPriority w:val="39"/>
    <w:rsid w:val="00E87E0A"/>
    <w:pPr>
      <w:numPr>
        <w:numId w:val="25"/>
      </w:numPr>
      <w:tabs>
        <w:tab w:val="right" w:pos="8675"/>
      </w:tabs>
      <w:spacing w:before="240" w:after="240" w:line="240" w:lineRule="atLeast"/>
      <w:ind w:right="851"/>
    </w:pPr>
  </w:style>
  <w:style w:type="paragraph" w:customStyle="1" w:styleId="CREATISID">
    <w:name w:val="CREATISID"/>
    <w:basedOn w:val="PwCNormal"/>
    <w:uiPriority w:val="19"/>
    <w:unhideWhenUsed/>
    <w:rsid w:val="00842A36"/>
    <w:pPr>
      <w:framePr w:w="227" w:h="539" w:wrap="notBeside" w:vAnchor="page" w:hAnchor="page" w:x="511" w:y="15594"/>
      <w:numPr>
        <w:numId w:val="0"/>
      </w:numPr>
      <w:spacing w:after="0"/>
      <w:textDirection w:val="btLr"/>
    </w:pPr>
    <w:rPr>
      <w:rFonts w:eastAsia="MS Mincho"/>
      <w:sz w:val="10"/>
      <w:szCs w:val="12"/>
      <w:lang w:eastAsia="ja-JP"/>
    </w:rPr>
  </w:style>
  <w:style w:type="numbering" w:customStyle="1" w:styleId="BulletList">
    <w:name w:val="Bullet List"/>
    <w:rsid w:val="00842A36"/>
    <w:pPr>
      <w:numPr>
        <w:numId w:val="4"/>
      </w:numPr>
    </w:pPr>
  </w:style>
  <w:style w:type="paragraph" w:customStyle="1" w:styleId="Footer-Landscape">
    <w:name w:val="Footer - Landscape"/>
    <w:basedOn w:val="Footer"/>
    <w:uiPriority w:val="39"/>
    <w:rsid w:val="00842A36"/>
    <w:pPr>
      <w:tabs>
        <w:tab w:val="clear" w:pos="9865"/>
        <w:tab w:val="right" w:pos="14797"/>
      </w:tabs>
    </w:pPr>
  </w:style>
  <w:style w:type="paragraph" w:customStyle="1" w:styleId="TableBullet1Normal">
    <w:name w:val="Table Bullet 1 Normal"/>
    <w:basedOn w:val="TableTextNormal"/>
    <w:rsid w:val="00842A36"/>
    <w:pPr>
      <w:numPr>
        <w:numId w:val="17"/>
      </w:numPr>
      <w:spacing w:before="40" w:after="40"/>
    </w:pPr>
  </w:style>
  <w:style w:type="paragraph" w:customStyle="1" w:styleId="TableTextNormal">
    <w:name w:val="Table Text Normal"/>
    <w:basedOn w:val="Normal"/>
    <w:rsid w:val="00842A36"/>
    <w:pPr>
      <w:spacing w:before="80" w:after="80"/>
    </w:pPr>
  </w:style>
  <w:style w:type="paragraph" w:customStyle="1" w:styleId="TableBullet1Small">
    <w:name w:val="Table Bullet 1 Small"/>
    <w:basedOn w:val="TableTextSmall"/>
    <w:rsid w:val="00842A36"/>
    <w:pPr>
      <w:numPr>
        <w:numId w:val="18"/>
      </w:numPr>
      <w:spacing w:before="20" w:after="20"/>
    </w:pPr>
  </w:style>
  <w:style w:type="paragraph" w:customStyle="1" w:styleId="TableTextSmall">
    <w:name w:val="Table Text Small"/>
    <w:basedOn w:val="Normal"/>
    <w:rsid w:val="00842A36"/>
    <w:pPr>
      <w:spacing w:before="40" w:after="40"/>
    </w:pPr>
    <w:rPr>
      <w:rFonts w:ascii="Arial" w:hAnsi="Arial"/>
      <w:sz w:val="16"/>
      <w:szCs w:val="18"/>
    </w:rPr>
  </w:style>
  <w:style w:type="paragraph" w:customStyle="1" w:styleId="TableBullet3Normal">
    <w:name w:val="Table Bullet 3 Normal"/>
    <w:basedOn w:val="TableBullet2Normal"/>
    <w:rsid w:val="00842A36"/>
    <w:pPr>
      <w:numPr>
        <w:ilvl w:val="2"/>
      </w:numPr>
    </w:pPr>
  </w:style>
  <w:style w:type="paragraph" w:customStyle="1" w:styleId="TableBullet3Small">
    <w:name w:val="Table Bullet 3 Small"/>
    <w:basedOn w:val="TableBullet2Small"/>
    <w:rsid w:val="00842A36"/>
    <w:pPr>
      <w:numPr>
        <w:ilvl w:val="2"/>
      </w:numPr>
    </w:pPr>
    <w:rPr>
      <w:szCs w:val="16"/>
    </w:rPr>
  </w:style>
  <w:style w:type="paragraph" w:customStyle="1" w:styleId="BlockText2">
    <w:name w:val="Block Text 2"/>
    <w:basedOn w:val="Normal"/>
    <w:uiPriority w:val="19"/>
    <w:rsid w:val="00842A36"/>
    <w:pPr>
      <w:pBdr>
        <w:top w:val="single" w:sz="2" w:space="10" w:color="464646" w:themeColor="accent6"/>
        <w:left w:val="single" w:sz="2" w:space="10" w:color="464646" w:themeColor="accent6"/>
        <w:bottom w:val="single" w:sz="2" w:space="10" w:color="464646" w:themeColor="accent6"/>
        <w:right w:val="single" w:sz="2" w:space="10" w:color="464646" w:themeColor="accent6"/>
      </w:pBdr>
      <w:shd w:val="clear" w:color="auto" w:fill="464646" w:themeFill="accent6"/>
      <w:kinsoku/>
      <w:overflowPunct/>
      <w:autoSpaceDE/>
      <w:autoSpaceDN/>
      <w:adjustRightInd/>
      <w:snapToGrid/>
      <w:spacing w:after="420" w:line="221" w:lineRule="auto"/>
      <w:ind w:left="227" w:right="227"/>
    </w:pPr>
    <w:rPr>
      <w:rFonts w:ascii="Georgia" w:eastAsiaTheme="minorHAnsi" w:hAnsi="Georgia" w:cstheme="minorBidi"/>
      <w:snapToGrid/>
      <w:color w:val="FFFFFF" w:themeColor="background1"/>
      <w:sz w:val="80"/>
      <w:szCs w:val="48"/>
      <w:lang w:val="en-GB"/>
    </w:rPr>
  </w:style>
  <w:style w:type="paragraph" w:customStyle="1" w:styleId="Appendix">
    <w:name w:val="Appendix"/>
    <w:basedOn w:val="Heading1"/>
    <w:next w:val="Normal"/>
    <w:uiPriority w:val="99"/>
    <w:rsid w:val="00842A36"/>
    <w:pPr>
      <w:keepNext/>
      <w:keepLines/>
      <w:framePr w:wrap="around"/>
      <w:numPr>
        <w:numId w:val="13"/>
      </w:numPr>
      <w:kinsoku/>
      <w:overflowPunct/>
      <w:autoSpaceDE/>
      <w:autoSpaceDN/>
      <w:adjustRightInd/>
      <w:snapToGrid/>
      <w:spacing w:after="480" w:line="600" w:lineRule="atLeast"/>
    </w:pPr>
    <w:rPr>
      <w:rFonts w:eastAsiaTheme="majorEastAsia" w:cstheme="majorBidi"/>
      <w:snapToGrid/>
      <w:szCs w:val="28"/>
      <w:lang w:val="en-GB"/>
    </w:rPr>
  </w:style>
  <w:style w:type="numbering" w:customStyle="1" w:styleId="PwCAppendixList1">
    <w:name w:val="PwC Appendix List 1"/>
    <w:uiPriority w:val="99"/>
    <w:rsid w:val="00842A36"/>
    <w:pPr>
      <w:numPr>
        <w:numId w:val="13"/>
      </w:numPr>
    </w:pPr>
  </w:style>
  <w:style w:type="paragraph" w:styleId="Caption">
    <w:name w:val="caption"/>
    <w:basedOn w:val="Normal"/>
    <w:next w:val="Normal"/>
    <w:uiPriority w:val="4"/>
    <w:unhideWhenUsed/>
    <w:qFormat/>
    <w:rsid w:val="00842A36"/>
    <w:pPr>
      <w:keepNext/>
      <w:keepLines/>
      <w:tabs>
        <w:tab w:val="left" w:pos="992"/>
      </w:tabs>
      <w:spacing w:before="240" w:after="120"/>
      <w:ind w:left="992" w:hanging="992"/>
    </w:pPr>
    <w:rPr>
      <w:bCs/>
      <w:color w:val="D04A02" w:themeColor="accent1"/>
      <w:szCs w:val="18"/>
    </w:rPr>
  </w:style>
  <w:style w:type="paragraph" w:customStyle="1" w:styleId="Majorheading">
    <w:name w:val="Major heading"/>
    <w:basedOn w:val="Normal"/>
    <w:next w:val="PwCNormal"/>
    <w:uiPriority w:val="1"/>
    <w:qFormat/>
    <w:rsid w:val="00842A36"/>
    <w:pPr>
      <w:keepNext/>
      <w:keepLines/>
      <w:spacing w:before="240" w:after="40"/>
    </w:pPr>
    <w:rPr>
      <w:b/>
      <w:color w:val="000000" w:themeColor="text1"/>
      <w:sz w:val="24"/>
      <w:szCs w:val="24"/>
    </w:rPr>
  </w:style>
  <w:style w:type="numbering" w:customStyle="1" w:styleId="TableBulletNormalList">
    <w:name w:val="Table Bullet Normal List"/>
    <w:rsid w:val="00842A36"/>
    <w:pPr>
      <w:numPr>
        <w:numId w:val="19"/>
      </w:numPr>
    </w:pPr>
  </w:style>
  <w:style w:type="paragraph" w:customStyle="1" w:styleId="Disclaimer">
    <w:name w:val="Disclaimer"/>
    <w:basedOn w:val="Normal"/>
    <w:uiPriority w:val="29"/>
    <w:unhideWhenUsed/>
    <w:rsid w:val="00842A36"/>
    <w:pPr>
      <w:spacing w:after="140"/>
    </w:pPr>
    <w:rPr>
      <w:rFonts w:ascii="Arial" w:hAnsi="Arial"/>
      <w:sz w:val="16"/>
    </w:rPr>
  </w:style>
  <w:style w:type="paragraph" w:customStyle="1" w:styleId="Footer-LandscapeEven">
    <w:name w:val="Footer - Landscape Even"/>
    <w:basedOn w:val="Footer-Landscape"/>
    <w:uiPriority w:val="39"/>
    <w:rsid w:val="00842A36"/>
  </w:style>
  <w:style w:type="paragraph" w:customStyle="1" w:styleId="PwCNormal-Single">
    <w:name w:val="PwC Normal - Single"/>
    <w:basedOn w:val="PwCNormal"/>
    <w:qFormat/>
    <w:rsid w:val="009D05C9"/>
    <w:pPr>
      <w:numPr>
        <w:numId w:val="0"/>
      </w:numPr>
      <w:spacing w:before="0" w:after="0" w:line="240" w:lineRule="auto"/>
    </w:pPr>
  </w:style>
  <w:style w:type="numbering" w:customStyle="1" w:styleId="TableNumberdListNormal">
    <w:name w:val="Table Numberd List Normal"/>
    <w:uiPriority w:val="99"/>
    <w:rsid w:val="00842A36"/>
    <w:pPr>
      <w:numPr>
        <w:numId w:val="21"/>
      </w:numPr>
    </w:pPr>
  </w:style>
  <w:style w:type="numbering" w:customStyle="1" w:styleId="TableNumberedListSmall">
    <w:name w:val="Table Numbered List Small"/>
    <w:uiPriority w:val="99"/>
    <w:rsid w:val="00842A36"/>
    <w:pPr>
      <w:numPr>
        <w:numId w:val="23"/>
      </w:numPr>
    </w:pPr>
  </w:style>
  <w:style w:type="paragraph" w:customStyle="1" w:styleId="TableIndent2Normal">
    <w:name w:val="Table Indent 2 Normal"/>
    <w:basedOn w:val="TableIndent1Normal"/>
    <w:rsid w:val="00842A36"/>
    <w:pPr>
      <w:ind w:left="567"/>
    </w:pPr>
  </w:style>
  <w:style w:type="paragraph" w:customStyle="1" w:styleId="TableIndent2Small">
    <w:name w:val="Table Indent 2 Small"/>
    <w:basedOn w:val="TableIndent1Small"/>
    <w:rsid w:val="00842A36"/>
    <w:pPr>
      <w:ind w:left="567"/>
    </w:pPr>
    <w:rPr>
      <w:szCs w:val="16"/>
    </w:rPr>
  </w:style>
  <w:style w:type="paragraph" w:customStyle="1" w:styleId="KeySentence">
    <w:name w:val="Key Sentence"/>
    <w:basedOn w:val="Normal"/>
    <w:uiPriority w:val="39"/>
    <w:rsid w:val="00842A36"/>
    <w:pPr>
      <w:spacing w:after="160" w:line="260" w:lineRule="atLeast"/>
    </w:pPr>
    <w:rPr>
      <w:color w:val="D04A02" w:themeColor="accent1"/>
      <w:sz w:val="16"/>
      <w:szCs w:val="18"/>
    </w:rPr>
  </w:style>
  <w:style w:type="numbering" w:customStyle="1" w:styleId="TableNumberedListS">
    <w:name w:val="Table Numbered List S"/>
    <w:rsid w:val="00842A36"/>
  </w:style>
  <w:style w:type="paragraph" w:customStyle="1" w:styleId="PrefaceTitle">
    <w:name w:val="Preface Title"/>
    <w:basedOn w:val="Heading2"/>
    <w:next w:val="PwCNormal"/>
    <w:uiPriority w:val="29"/>
    <w:rsid w:val="00842A36"/>
    <w:pPr>
      <w:numPr>
        <w:ilvl w:val="0"/>
        <w:numId w:val="0"/>
      </w:numPr>
    </w:pPr>
  </w:style>
  <w:style w:type="paragraph" w:customStyle="1" w:styleId="Sources">
    <w:name w:val="Sources"/>
    <w:basedOn w:val="Normal"/>
    <w:next w:val="PwCNormal"/>
    <w:rsid w:val="00842A36"/>
    <w:pPr>
      <w:spacing w:before="80" w:after="240" w:line="180" w:lineRule="atLeast"/>
    </w:pPr>
    <w:rPr>
      <w:color w:val="D04A02" w:themeColor="accent1"/>
      <w:sz w:val="16"/>
    </w:rPr>
  </w:style>
  <w:style w:type="paragraph" w:customStyle="1" w:styleId="Minorheading">
    <w:name w:val="Minor heading"/>
    <w:basedOn w:val="Majorheading"/>
    <w:next w:val="PwCNormal"/>
    <w:uiPriority w:val="1"/>
    <w:qFormat/>
    <w:rsid w:val="00E20979"/>
    <w:pPr>
      <w:spacing w:line="180" w:lineRule="atLeast"/>
    </w:pPr>
    <w:rPr>
      <w:sz w:val="18"/>
    </w:rPr>
  </w:style>
  <w:style w:type="paragraph" w:customStyle="1" w:styleId="Minorheading2">
    <w:name w:val="Minor heading 2"/>
    <w:basedOn w:val="Minorheading"/>
    <w:next w:val="PwCNormal"/>
    <w:uiPriority w:val="1"/>
    <w:qFormat/>
    <w:rsid w:val="00842A36"/>
    <w:pPr>
      <w:spacing w:line="240" w:lineRule="atLeast"/>
    </w:pPr>
    <w:rPr>
      <w:b w:val="0"/>
      <w:i/>
    </w:rPr>
  </w:style>
  <w:style w:type="numbering" w:customStyle="1" w:styleId="PwCListNumbers1">
    <w:name w:val="PwC List Numbers 1"/>
    <w:uiPriority w:val="99"/>
    <w:rsid w:val="00842A36"/>
    <w:pPr>
      <w:numPr>
        <w:numId w:val="14"/>
      </w:numPr>
    </w:pPr>
  </w:style>
  <w:style w:type="paragraph" w:customStyle="1" w:styleId="TableBullet2Normal">
    <w:name w:val="Table Bullet 2 Normal"/>
    <w:basedOn w:val="TableBullet1Normal"/>
    <w:rsid w:val="00842A36"/>
    <w:pPr>
      <w:numPr>
        <w:ilvl w:val="1"/>
      </w:numPr>
    </w:pPr>
  </w:style>
  <w:style w:type="paragraph" w:customStyle="1" w:styleId="TableBullet2Small">
    <w:name w:val="Table Bullet 2 Small"/>
    <w:basedOn w:val="TableBullet1Small"/>
    <w:rsid w:val="00842A36"/>
    <w:pPr>
      <w:numPr>
        <w:ilvl w:val="1"/>
      </w:numPr>
    </w:pPr>
  </w:style>
  <w:style w:type="paragraph" w:customStyle="1" w:styleId="TableIndent1Normal">
    <w:name w:val="Table Indent 1 Normal"/>
    <w:basedOn w:val="TableBullet1Normal"/>
    <w:rsid w:val="00842A36"/>
    <w:pPr>
      <w:numPr>
        <w:numId w:val="0"/>
      </w:numPr>
      <w:ind w:left="284"/>
    </w:pPr>
  </w:style>
  <w:style w:type="paragraph" w:customStyle="1" w:styleId="TableIndent1Small">
    <w:name w:val="Table Indent 1 Small"/>
    <w:basedOn w:val="TableBullet1Small"/>
    <w:rsid w:val="00842A36"/>
    <w:pPr>
      <w:numPr>
        <w:numId w:val="0"/>
      </w:numPr>
      <w:ind w:left="284"/>
    </w:pPr>
  </w:style>
  <w:style w:type="paragraph" w:customStyle="1" w:styleId="SubHeading">
    <w:name w:val="Sub Heading"/>
    <w:basedOn w:val="PwCNormal"/>
    <w:rsid w:val="00842A36"/>
    <w:pPr>
      <w:spacing w:after="480" w:line="600" w:lineRule="atLeast"/>
    </w:pPr>
    <w:rPr>
      <w:sz w:val="56"/>
    </w:rPr>
  </w:style>
  <w:style w:type="paragraph" w:styleId="FootnoteText">
    <w:name w:val="footnote text"/>
    <w:basedOn w:val="Normal"/>
    <w:link w:val="FootnoteTextChar"/>
    <w:uiPriority w:val="39"/>
    <w:rsid w:val="00842A36"/>
    <w:pPr>
      <w:tabs>
        <w:tab w:val="left" w:pos="284"/>
      </w:tabs>
      <w:spacing w:before="80" w:after="80"/>
      <w:ind w:left="227" w:hanging="227"/>
    </w:pPr>
    <w:rPr>
      <w:sz w:val="14"/>
    </w:rPr>
  </w:style>
  <w:style w:type="character" w:styleId="FootnoteReference">
    <w:name w:val="footnote reference"/>
    <w:basedOn w:val="DefaultParagraphFont"/>
    <w:uiPriority w:val="39"/>
    <w:rsid w:val="00842A36"/>
    <w:rPr>
      <w:rFonts w:cs="Arial"/>
      <w:sz w:val="21"/>
      <w:vertAlign w:val="superscript"/>
    </w:rPr>
  </w:style>
  <w:style w:type="character" w:styleId="EndnoteReference">
    <w:name w:val="endnote reference"/>
    <w:basedOn w:val="DefaultParagraphFont"/>
    <w:semiHidden/>
    <w:unhideWhenUsed/>
    <w:rsid w:val="00842A36"/>
    <w:rPr>
      <w:rFonts w:ascii="Arial" w:hAnsi="Arial" w:cs="Arial"/>
      <w:sz w:val="21"/>
      <w:vertAlign w:val="superscript"/>
    </w:rPr>
  </w:style>
  <w:style w:type="paragraph" w:styleId="EndnoteText">
    <w:name w:val="endnote text"/>
    <w:basedOn w:val="FootnoteText"/>
    <w:semiHidden/>
    <w:unhideWhenUsed/>
    <w:rsid w:val="00842A36"/>
  </w:style>
  <w:style w:type="paragraph" w:customStyle="1" w:styleId="Address">
    <w:name w:val="Address"/>
    <w:basedOn w:val="Normal"/>
    <w:uiPriority w:val="19"/>
    <w:rsid w:val="006A61F5"/>
    <w:pPr>
      <w:kinsoku/>
      <w:overflowPunct/>
      <w:autoSpaceDE/>
      <w:autoSpaceDN/>
      <w:adjustRightInd/>
      <w:snapToGrid/>
      <w:spacing w:line="200" w:lineRule="atLeast"/>
    </w:pPr>
    <w:rPr>
      <w:rFonts w:asciiTheme="majorHAnsi" w:eastAsiaTheme="minorHAnsi" w:hAnsiTheme="majorHAnsi" w:cstheme="minorBidi"/>
      <w:i/>
      <w:noProof/>
      <w:snapToGrid/>
      <w:szCs w:val="22"/>
      <w:lang w:val="en-GB" w:eastAsia="en-GB"/>
    </w:rPr>
  </w:style>
  <w:style w:type="table" w:styleId="TableGrid">
    <w:name w:val="Table Grid"/>
    <w:basedOn w:val="TableNormal"/>
    <w:semiHidden/>
    <w:locked/>
    <w:rsid w:val="00842A36"/>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TOC1"/>
    <w:next w:val="PwCNormal"/>
    <w:uiPriority w:val="39"/>
    <w:rsid w:val="00842A36"/>
    <w:pPr>
      <w:numPr>
        <w:ilvl w:val="2"/>
      </w:numPr>
    </w:pPr>
  </w:style>
  <w:style w:type="paragraph" w:styleId="TOC5">
    <w:name w:val="toc 5"/>
    <w:basedOn w:val="TOC2"/>
    <w:next w:val="PwCNormal"/>
    <w:uiPriority w:val="49"/>
    <w:rsid w:val="00842A36"/>
    <w:pPr>
      <w:tabs>
        <w:tab w:val="left" w:pos="567"/>
      </w:tabs>
    </w:pPr>
  </w:style>
  <w:style w:type="paragraph" w:styleId="TOC8">
    <w:name w:val="toc 8"/>
    <w:basedOn w:val="TOC7"/>
    <w:next w:val="PwCNormal"/>
    <w:uiPriority w:val="49"/>
    <w:rsid w:val="00842A36"/>
    <w:pPr>
      <w:tabs>
        <w:tab w:val="clear" w:pos="1985"/>
        <w:tab w:val="left" w:pos="3402"/>
      </w:tabs>
      <w:ind w:left="3403"/>
    </w:pPr>
  </w:style>
  <w:style w:type="paragraph" w:styleId="TOC9">
    <w:name w:val="toc 9"/>
    <w:basedOn w:val="TOC8"/>
    <w:next w:val="PwCNormal"/>
    <w:uiPriority w:val="39"/>
    <w:rsid w:val="00842A36"/>
    <w:pPr>
      <w:tabs>
        <w:tab w:val="clear" w:pos="3402"/>
        <w:tab w:val="left" w:pos="4253"/>
      </w:tabs>
      <w:ind w:left="4253"/>
    </w:pPr>
  </w:style>
  <w:style w:type="paragraph" w:customStyle="1" w:styleId="Separator">
    <w:name w:val="Separator"/>
    <w:basedOn w:val="Normal"/>
    <w:semiHidden/>
    <w:rsid w:val="00842A36"/>
    <w:pPr>
      <w:spacing w:before="240" w:after="120"/>
    </w:pPr>
    <w:rPr>
      <w:sz w:val="16"/>
    </w:rPr>
  </w:style>
  <w:style w:type="numbering" w:customStyle="1" w:styleId="TableNumberedListN">
    <w:name w:val="Table Numbered List N"/>
    <w:rsid w:val="00842A36"/>
  </w:style>
  <w:style w:type="paragraph" w:customStyle="1" w:styleId="TableColumnHeadingNormal">
    <w:name w:val="Table Column Heading Normal"/>
    <w:basedOn w:val="TableTextNormal"/>
    <w:rsid w:val="00842A36"/>
    <w:pPr>
      <w:keepNext/>
      <w:keepLines/>
    </w:pPr>
    <w:rPr>
      <w:b/>
      <w:color w:val="000000" w:themeColor="text1"/>
    </w:rPr>
  </w:style>
  <w:style w:type="paragraph" w:customStyle="1" w:styleId="TableColumnHeadingSmall">
    <w:name w:val="Table Column Heading Small"/>
    <w:basedOn w:val="TableTextSmall"/>
    <w:next w:val="TableTextSmall"/>
    <w:rsid w:val="00842A36"/>
    <w:pPr>
      <w:keepNext/>
      <w:keepLines/>
    </w:pPr>
    <w:rPr>
      <w:b/>
      <w:color w:val="7D7D7D" w:themeColor="text2"/>
      <w:szCs w:val="16"/>
    </w:rPr>
  </w:style>
  <w:style w:type="numbering" w:customStyle="1" w:styleId="TableBulletSmallList">
    <w:name w:val="Table Bullet Small List"/>
    <w:rsid w:val="00842A36"/>
    <w:pPr>
      <w:numPr>
        <w:numId w:val="20"/>
      </w:numPr>
    </w:pPr>
  </w:style>
  <w:style w:type="paragraph" w:customStyle="1" w:styleId="Header-Landscape">
    <w:name w:val="Header - Landscape"/>
    <w:basedOn w:val="Header"/>
    <w:uiPriority w:val="39"/>
    <w:rsid w:val="00842A36"/>
    <w:pPr>
      <w:tabs>
        <w:tab w:val="clear" w:pos="9865"/>
        <w:tab w:val="right" w:pos="14797"/>
      </w:tabs>
    </w:pPr>
  </w:style>
  <w:style w:type="character" w:styleId="PageNumber">
    <w:name w:val="page number"/>
    <w:semiHidden/>
    <w:unhideWhenUsed/>
    <w:rsid w:val="00842A36"/>
  </w:style>
  <w:style w:type="paragraph" w:styleId="Date">
    <w:name w:val="Date"/>
    <w:basedOn w:val="Normal"/>
    <w:next w:val="PwCNormal"/>
    <w:uiPriority w:val="59"/>
    <w:semiHidden/>
    <w:rsid w:val="00842A36"/>
  </w:style>
  <w:style w:type="paragraph" w:customStyle="1" w:styleId="Indent8">
    <w:name w:val="Indent 8"/>
    <w:basedOn w:val="Indent7"/>
    <w:uiPriority w:val="49"/>
    <w:rsid w:val="00842A36"/>
    <w:pPr>
      <w:numPr>
        <w:ilvl w:val="8"/>
      </w:numPr>
    </w:pPr>
  </w:style>
  <w:style w:type="paragraph" w:customStyle="1" w:styleId="Header-LandscapeEven">
    <w:name w:val="Header - Landscape Even"/>
    <w:basedOn w:val="Header-Landscape"/>
    <w:uiPriority w:val="39"/>
    <w:rsid w:val="00842A36"/>
    <w:pPr>
      <w:tabs>
        <w:tab w:val="right" w:pos="14661"/>
      </w:tabs>
    </w:pPr>
  </w:style>
  <w:style w:type="paragraph" w:customStyle="1" w:styleId="Footer-ToC">
    <w:name w:val="Footer - ToC"/>
    <w:basedOn w:val="Footer"/>
    <w:uiPriority w:val="39"/>
    <w:rsid w:val="00842A36"/>
    <w:pPr>
      <w:tabs>
        <w:tab w:val="clear" w:pos="9865"/>
        <w:tab w:val="right" w:pos="7342"/>
      </w:tabs>
      <w:ind w:left="-2523"/>
    </w:pPr>
  </w:style>
  <w:style w:type="paragraph" w:customStyle="1" w:styleId="Footer-ToCEven">
    <w:name w:val="Footer - ToC Even"/>
    <w:basedOn w:val="Footer-ToC"/>
    <w:uiPriority w:val="39"/>
    <w:rsid w:val="00842A36"/>
  </w:style>
  <w:style w:type="table" w:customStyle="1" w:styleId="PwCColour">
    <w:name w:val="PwC Colour"/>
    <w:basedOn w:val="TableNormal"/>
    <w:rsid w:val="001E019F"/>
    <w:tblPr>
      <w:tblStyleRowBandSize w:val="1"/>
      <w:tblStyleColBandSize w:val="1"/>
      <w:tblBorders>
        <w:top w:val="single" w:sz="4" w:space="0" w:color="FFFFFF"/>
        <w:left w:val="single" w:sz="4" w:space="0" w:color="FFFFFF"/>
        <w:bottom w:val="single" w:sz="6" w:space="0" w:color="7D7D7D" w:themeColor="text2"/>
        <w:right w:val="single" w:sz="4" w:space="0" w:color="FFFFFF"/>
        <w:insideH w:val="dotted" w:sz="8" w:space="0" w:color="7D7D7D" w:themeColor="text2"/>
        <w:insideV w:val="single" w:sz="4" w:space="0" w:color="FFFFFF"/>
      </w:tblBorders>
    </w:tblPr>
    <w:tcPr>
      <w:shd w:val="clear" w:color="auto" w:fill="auto"/>
      <w:tcMar>
        <w:top w:w="0" w:type="dxa"/>
        <w:left w:w="108" w:type="dxa"/>
        <w:bottom w:w="0" w:type="dxa"/>
        <w:right w:w="108" w:type="dxa"/>
      </w:tcMar>
    </w:tcPr>
    <w:tblStylePr w:type="firstRow">
      <w:pPr>
        <w:jc w:val="left"/>
      </w:pPr>
      <w:rPr>
        <w:rFonts w:ascii="Georgia" w:hAnsi="Georgia"/>
        <w:b w:val="0"/>
        <w:color w:val="auto"/>
      </w:rPr>
      <w:tblPr/>
      <w:trPr>
        <w:tblHeader/>
      </w:trPr>
      <w:tcPr>
        <w:tcBorders>
          <w:top w:val="single" w:sz="4" w:space="0" w:color="EB8C00" w:themeColor="accent4"/>
          <w:bottom w:val="single" w:sz="4" w:space="0" w:color="EB8C00" w:themeColor="accent4"/>
        </w:tcBorders>
      </w:tcPr>
    </w:tblStylePr>
    <w:tblStylePr w:type="lastRow">
      <w:rPr>
        <w:color w:val="auto"/>
      </w:rPr>
      <w:tblPr/>
      <w:tcPr>
        <w:tcBorders>
          <w:top w:val="single" w:sz="4" w:space="0" w:color="7D7D7D" w:themeColor="text2"/>
        </w:tcBorders>
        <w:shd w:val="clear" w:color="auto" w:fill="auto"/>
      </w:tcPr>
    </w:tblStylePr>
    <w:tblStylePr w:type="nwCell">
      <w:pPr>
        <w:jc w:val="left"/>
      </w:pPr>
      <w:tblPr/>
      <w:tcPr>
        <w:vAlign w:val="bottom"/>
      </w:tcPr>
    </w:tblStylePr>
  </w:style>
  <w:style w:type="paragraph" w:customStyle="1" w:styleId="CVRoleTitle">
    <w:name w:val="CV Role Title"/>
    <w:basedOn w:val="CVText"/>
    <w:uiPriority w:val="19"/>
    <w:qFormat/>
    <w:rsid w:val="00842A36"/>
    <w:pPr>
      <w:pBdr>
        <w:bottom w:val="none" w:sz="0" w:space="0" w:color="00457C"/>
      </w:pBdr>
    </w:pPr>
    <w:rPr>
      <w:i/>
      <w:color w:val="464646" w:themeColor="accent6"/>
      <w:sz w:val="24"/>
      <w:szCs w:val="24"/>
    </w:rPr>
  </w:style>
  <w:style w:type="paragraph" w:customStyle="1" w:styleId="ListBullet1">
    <w:name w:val="List Bullet 1"/>
    <w:basedOn w:val="Normal"/>
    <w:semiHidden/>
    <w:locked/>
    <w:rsid w:val="00E20979"/>
    <w:pPr>
      <w:numPr>
        <w:numId w:val="27"/>
      </w:numPr>
      <w:tabs>
        <w:tab w:val="num" w:pos="720"/>
      </w:tabs>
      <w:spacing w:before="100" w:after="100"/>
    </w:pPr>
  </w:style>
  <w:style w:type="paragraph" w:styleId="ListBullet2">
    <w:name w:val="List Bullet 2"/>
    <w:basedOn w:val="ListBullet1"/>
    <w:uiPriority w:val="2"/>
    <w:qFormat/>
    <w:locked/>
    <w:rsid w:val="00E20979"/>
    <w:pPr>
      <w:numPr>
        <w:ilvl w:val="1"/>
      </w:numPr>
      <w:tabs>
        <w:tab w:val="num" w:pos="720"/>
      </w:tabs>
      <w:spacing w:before="120" w:after="120"/>
    </w:pPr>
  </w:style>
  <w:style w:type="paragraph" w:styleId="ListBullet4">
    <w:name w:val="List Bullet 4"/>
    <w:basedOn w:val="ListBullet3"/>
    <w:uiPriority w:val="2"/>
    <w:unhideWhenUsed/>
    <w:locked/>
    <w:rsid w:val="00E20979"/>
    <w:pPr>
      <w:numPr>
        <w:ilvl w:val="3"/>
      </w:numPr>
      <w:tabs>
        <w:tab w:val="num" w:pos="1701"/>
      </w:tabs>
    </w:pPr>
  </w:style>
  <w:style w:type="paragraph" w:customStyle="1" w:styleId="CVBullet1">
    <w:name w:val="CV Bullet 1"/>
    <w:basedOn w:val="CVText"/>
    <w:uiPriority w:val="18"/>
    <w:qFormat/>
    <w:rsid w:val="00842A36"/>
    <w:pPr>
      <w:numPr>
        <w:numId w:val="7"/>
      </w:numPr>
      <w:spacing w:before="40" w:after="40"/>
    </w:pPr>
  </w:style>
  <w:style w:type="paragraph" w:customStyle="1" w:styleId="CVDetails">
    <w:name w:val="CV Details"/>
    <w:basedOn w:val="CVRoleTitle"/>
    <w:uiPriority w:val="19"/>
    <w:qFormat/>
    <w:rsid w:val="00842A36"/>
    <w:pPr>
      <w:spacing w:before="120" w:after="40"/>
    </w:pPr>
    <w:rPr>
      <w:sz w:val="14"/>
    </w:rPr>
  </w:style>
  <w:style w:type="paragraph" w:customStyle="1" w:styleId="CVHeading2">
    <w:name w:val="CV Heading 2"/>
    <w:basedOn w:val="CVHeading1"/>
    <w:next w:val="CVText"/>
    <w:uiPriority w:val="18"/>
    <w:qFormat/>
    <w:rsid w:val="00842A36"/>
    <w:pPr>
      <w:pBdr>
        <w:bottom w:val="none" w:sz="0" w:space="0" w:color="00457C"/>
      </w:pBdr>
    </w:pPr>
    <w:rPr>
      <w:b w:val="0"/>
      <w:sz w:val="18"/>
      <w:szCs w:val="24"/>
    </w:rPr>
  </w:style>
  <w:style w:type="paragraph" w:styleId="ListBullet3">
    <w:name w:val="List Bullet 3"/>
    <w:basedOn w:val="ListBullet2"/>
    <w:uiPriority w:val="2"/>
    <w:qFormat/>
    <w:locked/>
    <w:rsid w:val="00E20979"/>
    <w:pPr>
      <w:numPr>
        <w:ilvl w:val="2"/>
      </w:numPr>
      <w:tabs>
        <w:tab w:val="num" w:pos="1134"/>
      </w:tabs>
    </w:pPr>
  </w:style>
  <w:style w:type="paragraph" w:customStyle="1" w:styleId="CVHeading1">
    <w:name w:val="CV Heading 1"/>
    <w:basedOn w:val="CVText"/>
    <w:next w:val="CVText"/>
    <w:uiPriority w:val="18"/>
    <w:qFormat/>
    <w:rsid w:val="00842A36"/>
    <w:pPr>
      <w:keepNext/>
      <w:keepLines/>
      <w:spacing w:before="120"/>
    </w:pPr>
    <w:rPr>
      <w:b/>
      <w:color w:val="D04A02" w:themeColor="accent1"/>
      <w:sz w:val="20"/>
    </w:rPr>
  </w:style>
  <w:style w:type="paragraph" w:customStyle="1" w:styleId="CVPhoto">
    <w:name w:val="CV Photo"/>
    <w:basedOn w:val="CVHeading2"/>
    <w:uiPriority w:val="19"/>
    <w:rsid w:val="00842A36"/>
    <w:rPr>
      <w:i/>
      <w:sz w:val="21"/>
    </w:rPr>
  </w:style>
  <w:style w:type="paragraph" w:customStyle="1" w:styleId="CVText">
    <w:name w:val="CV Text"/>
    <w:basedOn w:val="PwCNormal"/>
    <w:uiPriority w:val="17"/>
    <w:qFormat/>
    <w:rsid w:val="00842A36"/>
    <w:pPr>
      <w:numPr>
        <w:numId w:val="0"/>
      </w:numPr>
      <w:spacing w:before="80" w:after="80"/>
    </w:pPr>
  </w:style>
  <w:style w:type="paragraph" w:customStyle="1" w:styleId="CVNamelarge">
    <w:name w:val="CV Name large"/>
    <w:basedOn w:val="CVText"/>
    <w:next w:val="CVRoleTitle"/>
    <w:uiPriority w:val="19"/>
    <w:qFormat/>
    <w:rsid w:val="00842A36"/>
    <w:pPr>
      <w:spacing w:before="0"/>
    </w:pPr>
    <w:rPr>
      <w:b/>
      <w:color w:val="D04A02" w:themeColor="accent1"/>
      <w:sz w:val="36"/>
      <w:szCs w:val="24"/>
    </w:rPr>
  </w:style>
  <w:style w:type="paragraph" w:customStyle="1" w:styleId="CVBullet2">
    <w:name w:val="CV Bullet 2"/>
    <w:basedOn w:val="CVBullet1"/>
    <w:uiPriority w:val="18"/>
    <w:qFormat/>
    <w:rsid w:val="00842A36"/>
    <w:pPr>
      <w:numPr>
        <w:ilvl w:val="1"/>
      </w:numPr>
    </w:pPr>
  </w:style>
  <w:style w:type="paragraph" w:styleId="Title">
    <w:name w:val="Title"/>
    <w:basedOn w:val="Normal"/>
    <w:semiHidden/>
    <w:qFormat/>
    <w:rsid w:val="00842A36"/>
    <w:pPr>
      <w:spacing w:before="240" w:after="60"/>
      <w:jc w:val="center"/>
      <w:outlineLvl w:val="0"/>
    </w:pPr>
    <w:rPr>
      <w:b/>
      <w:bCs/>
      <w:color w:val="7D7D7D" w:themeColor="text2"/>
      <w:kern w:val="28"/>
      <w:sz w:val="32"/>
      <w:szCs w:val="32"/>
    </w:rPr>
  </w:style>
  <w:style w:type="paragraph" w:styleId="BalloonText">
    <w:name w:val="Balloon Text"/>
    <w:basedOn w:val="Normal"/>
    <w:semiHidden/>
    <w:locked/>
    <w:rsid w:val="00842A36"/>
    <w:rPr>
      <w:rFonts w:ascii="Tahoma" w:hAnsi="Tahoma"/>
      <w:sz w:val="16"/>
      <w:szCs w:val="16"/>
    </w:rPr>
  </w:style>
  <w:style w:type="numbering" w:customStyle="1" w:styleId="Style1">
    <w:name w:val="Style1"/>
    <w:uiPriority w:val="99"/>
    <w:rsid w:val="00842A36"/>
    <w:pPr>
      <w:numPr>
        <w:numId w:val="15"/>
      </w:numPr>
    </w:pPr>
  </w:style>
  <w:style w:type="numbering" w:customStyle="1" w:styleId="IndentList">
    <w:name w:val="IndentList"/>
    <w:basedOn w:val="NoList"/>
    <w:rsid w:val="00842A36"/>
  </w:style>
  <w:style w:type="paragraph" w:customStyle="1" w:styleId="VersionControl">
    <w:name w:val="Version Control"/>
    <w:basedOn w:val="TOCtitle"/>
    <w:uiPriority w:val="49"/>
    <w:unhideWhenUsed/>
    <w:rsid w:val="00842A36"/>
    <w:pPr>
      <w:pageBreakBefore w:val="0"/>
      <w:framePr w:w="9923" w:wrap="around" w:vAnchor="text" w:hAnchor="page" w:x="1498" w:y="1"/>
      <w:spacing w:before="360" w:after="240"/>
    </w:pPr>
    <w:rPr>
      <w:sz w:val="28"/>
    </w:rPr>
  </w:style>
  <w:style w:type="paragraph" w:customStyle="1" w:styleId="VersionTableHeading">
    <w:name w:val="Version Table Heading"/>
    <w:basedOn w:val="VersionTableText"/>
    <w:uiPriority w:val="49"/>
    <w:unhideWhenUsed/>
    <w:rsid w:val="00842A36"/>
    <w:pPr>
      <w:framePr w:wrap="around"/>
    </w:pPr>
  </w:style>
  <w:style w:type="paragraph" w:customStyle="1" w:styleId="VersionTableText">
    <w:name w:val="Version Table Text"/>
    <w:basedOn w:val="VersionControl"/>
    <w:uiPriority w:val="49"/>
    <w:unhideWhenUsed/>
    <w:rsid w:val="00842A36"/>
    <w:pPr>
      <w:framePr w:wrap="around"/>
      <w:spacing w:before="80" w:after="80" w:line="240" w:lineRule="auto"/>
      <w:outlineLvl w:val="9"/>
    </w:pPr>
    <w:rPr>
      <w:rFonts w:asciiTheme="minorHAnsi" w:hAnsiTheme="minorHAnsi"/>
      <w:sz w:val="21"/>
      <w:szCs w:val="20"/>
    </w:rPr>
  </w:style>
  <w:style w:type="character" w:customStyle="1" w:styleId="HeaderChar">
    <w:name w:val="Header Char"/>
    <w:basedOn w:val="DefaultParagraphFont"/>
    <w:link w:val="Header"/>
    <w:uiPriority w:val="99"/>
    <w:locked/>
    <w:rsid w:val="00842A36"/>
    <w:rPr>
      <w:rFonts w:ascii="Arial" w:hAnsi="Arial" w:cs="Arial"/>
      <w:snapToGrid w:val="0"/>
      <w:color w:val="000000" w:themeColor="text1"/>
      <w:sz w:val="19"/>
      <w:szCs w:val="18"/>
      <w:lang w:eastAsia="en-US"/>
    </w:rPr>
  </w:style>
  <w:style w:type="character" w:customStyle="1" w:styleId="FooterChar">
    <w:name w:val="Footer Char"/>
    <w:basedOn w:val="DefaultParagraphFont"/>
    <w:link w:val="Footer"/>
    <w:uiPriority w:val="99"/>
    <w:locked/>
    <w:rsid w:val="00842A36"/>
    <w:rPr>
      <w:rFonts w:ascii="Arial" w:hAnsi="Arial" w:cs="Arial"/>
      <w:snapToGrid w:val="0"/>
      <w:color w:val="000000" w:themeColor="text1"/>
      <w:sz w:val="19"/>
      <w:szCs w:val="18"/>
      <w:lang w:eastAsia="en-US"/>
    </w:rPr>
  </w:style>
  <w:style w:type="paragraph" w:customStyle="1" w:styleId="Header-FirstPage">
    <w:name w:val="Header - First Page"/>
    <w:basedOn w:val="Header"/>
    <w:uiPriority w:val="39"/>
    <w:rsid w:val="00842A36"/>
  </w:style>
  <w:style w:type="paragraph" w:customStyle="1" w:styleId="Appendicestitle">
    <w:name w:val="Appendices title"/>
    <w:basedOn w:val="TOCtitle"/>
    <w:uiPriority w:val="19"/>
    <w:rsid w:val="00842A36"/>
    <w:pPr>
      <w:pageBreakBefore w:val="0"/>
      <w:numPr>
        <w:ilvl w:val="1"/>
        <w:numId w:val="25"/>
      </w:numPr>
    </w:pPr>
  </w:style>
  <w:style w:type="numbering" w:customStyle="1" w:styleId="CVBullets">
    <w:name w:val="CV Bullets"/>
    <w:uiPriority w:val="99"/>
    <w:rsid w:val="00842A36"/>
    <w:pPr>
      <w:numPr>
        <w:numId w:val="8"/>
      </w:numPr>
    </w:pPr>
  </w:style>
  <w:style w:type="paragraph" w:styleId="DocumentMap">
    <w:name w:val="Document Map"/>
    <w:basedOn w:val="Normal"/>
    <w:link w:val="DocumentMapChar"/>
    <w:semiHidden/>
    <w:rsid w:val="00842A36"/>
    <w:rPr>
      <w:rFonts w:ascii="Tahoma" w:hAnsi="Tahoma" w:cs="Tahoma"/>
      <w:sz w:val="16"/>
      <w:szCs w:val="16"/>
    </w:rPr>
  </w:style>
  <w:style w:type="character" w:customStyle="1" w:styleId="DocumentMapChar">
    <w:name w:val="Document Map Char"/>
    <w:basedOn w:val="DefaultParagraphFont"/>
    <w:link w:val="DocumentMap"/>
    <w:semiHidden/>
    <w:rsid w:val="00842A36"/>
    <w:rPr>
      <w:rFonts w:ascii="Tahoma" w:hAnsi="Tahoma" w:cs="Tahoma"/>
      <w:snapToGrid w:val="0"/>
      <w:sz w:val="16"/>
      <w:szCs w:val="16"/>
      <w:lang w:eastAsia="en-US"/>
    </w:rPr>
  </w:style>
  <w:style w:type="table" w:styleId="TableGrid1">
    <w:name w:val="Table Grid 1"/>
    <w:basedOn w:val="TableNormal"/>
    <w:semiHidden/>
    <w:locked/>
    <w:rsid w:val="00842A36"/>
    <w:pPr>
      <w:kinsoku w:val="0"/>
      <w:overflowPunct w:val="0"/>
      <w:autoSpaceDE w:val="0"/>
      <w:autoSpaceDN w:val="0"/>
      <w:adjustRightInd w:val="0"/>
      <w:snapToGri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842A36"/>
    <w:pPr>
      <w:kinsoku w:val="0"/>
      <w:overflowPunct w:val="0"/>
      <w:autoSpaceDE w:val="0"/>
      <w:autoSpaceDN w:val="0"/>
      <w:adjustRightInd w:val="0"/>
      <w:snapToGri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842A36"/>
    <w:pPr>
      <w:kinsoku w:val="0"/>
      <w:overflowPunct w:val="0"/>
      <w:autoSpaceDE w:val="0"/>
      <w:autoSpaceDN w:val="0"/>
      <w:adjustRightInd w:val="0"/>
      <w:snapToGri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842A36"/>
    <w:pPr>
      <w:kinsoku w:val="0"/>
      <w:overflowPunct w:val="0"/>
      <w:autoSpaceDE w:val="0"/>
      <w:autoSpaceDN w:val="0"/>
      <w:adjustRightInd w:val="0"/>
      <w:snapToGri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842A36"/>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842A36"/>
    <w:pPr>
      <w:kinsoku w:val="0"/>
      <w:overflowPunct w:val="0"/>
      <w:autoSpaceDE w:val="0"/>
      <w:autoSpaceDN w:val="0"/>
      <w:adjustRightInd w:val="0"/>
      <w:snapToGri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842A36"/>
    <w:pPr>
      <w:kinsoku w:val="0"/>
      <w:overflowPunct w:val="0"/>
      <w:autoSpaceDE w:val="0"/>
      <w:autoSpaceDN w:val="0"/>
      <w:adjustRightInd w:val="0"/>
      <w:snapToGri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842A36"/>
    <w:pPr>
      <w:kinsoku w:val="0"/>
      <w:overflowPunct w:val="0"/>
      <w:autoSpaceDE w:val="0"/>
      <w:autoSpaceDN w:val="0"/>
      <w:adjustRightInd w:val="0"/>
      <w:snapToGri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locked/>
    <w:rsid w:val="00842A36"/>
    <w:pPr>
      <w:kinsoku w:val="0"/>
      <w:overflowPunct w:val="0"/>
      <w:autoSpaceDE w:val="0"/>
      <w:autoSpaceDN w:val="0"/>
      <w:adjustRightInd w:val="0"/>
      <w:snapToGri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Theme">
    <w:name w:val="Table Theme"/>
    <w:basedOn w:val="TableNormal"/>
    <w:semiHidden/>
    <w:rsid w:val="00842A36"/>
    <w:pPr>
      <w:kinsoku w:val="0"/>
      <w:overflowPunct w:val="0"/>
      <w:autoSpaceDE w:val="0"/>
      <w:autoSpaceDN w:val="0"/>
      <w:adjustRightInd w:val="0"/>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croText">
    <w:name w:val="macro"/>
    <w:link w:val="MacroTextChar"/>
    <w:uiPriority w:val="29"/>
    <w:unhideWhenUsed/>
    <w:locked/>
    <w:rsid w:val="00842A36"/>
    <w:pPr>
      <w:tabs>
        <w:tab w:val="left" w:pos="567"/>
        <w:tab w:val="left" w:pos="1134"/>
        <w:tab w:val="left" w:pos="1701"/>
        <w:tab w:val="left" w:pos="2268"/>
        <w:tab w:val="left" w:pos="2835"/>
        <w:tab w:val="left" w:pos="3402"/>
        <w:tab w:val="left" w:pos="3969"/>
      </w:tabs>
      <w:kinsoku w:val="0"/>
      <w:overflowPunct w:val="0"/>
      <w:autoSpaceDE w:val="0"/>
      <w:autoSpaceDN w:val="0"/>
      <w:adjustRightInd w:val="0"/>
      <w:snapToGrid w:val="0"/>
    </w:pPr>
    <w:rPr>
      <w:rFonts w:ascii="Consolas" w:hAnsi="Consolas" w:cs="Arial"/>
      <w:snapToGrid w:val="0"/>
      <w:lang w:eastAsia="en-US"/>
    </w:rPr>
  </w:style>
  <w:style w:type="character" w:customStyle="1" w:styleId="MacroTextChar">
    <w:name w:val="Macro Text Char"/>
    <w:basedOn w:val="DefaultParagraphFont"/>
    <w:link w:val="MacroText"/>
    <w:uiPriority w:val="29"/>
    <w:rsid w:val="0036123B"/>
    <w:rPr>
      <w:rFonts w:ascii="Consolas" w:hAnsi="Consolas" w:cs="Arial"/>
      <w:snapToGrid w:val="0"/>
      <w:lang w:eastAsia="en-US"/>
    </w:rPr>
  </w:style>
  <w:style w:type="paragraph" w:styleId="Bibliography">
    <w:name w:val="Bibliography"/>
    <w:basedOn w:val="Normal"/>
    <w:next w:val="Normal"/>
    <w:uiPriority w:val="37"/>
    <w:semiHidden/>
    <w:locked/>
    <w:rsid w:val="00842A36"/>
  </w:style>
  <w:style w:type="paragraph" w:styleId="BlockText">
    <w:name w:val="Block Text"/>
    <w:basedOn w:val="Normal"/>
    <w:uiPriority w:val="19"/>
    <w:rsid w:val="001A0166"/>
    <w:pPr>
      <w:spacing w:before="240" w:after="120" w:line="340" w:lineRule="atLeast"/>
    </w:pPr>
    <w:rPr>
      <w:rFonts w:eastAsiaTheme="minorEastAsia" w:cstheme="minorBidi"/>
      <w:iCs/>
      <w:color w:val="D04A02" w:themeColor="accent1"/>
      <w:sz w:val="28"/>
    </w:rPr>
  </w:style>
  <w:style w:type="paragraph" w:styleId="BodyText">
    <w:name w:val="Body Text"/>
    <w:basedOn w:val="Normal"/>
    <w:link w:val="BodyTextChar"/>
    <w:uiPriority w:val="59"/>
    <w:semiHidden/>
    <w:locked/>
    <w:rsid w:val="00842A36"/>
    <w:pPr>
      <w:spacing w:after="120"/>
    </w:pPr>
  </w:style>
  <w:style w:type="character" w:customStyle="1" w:styleId="BodyTextChar">
    <w:name w:val="Body Text Char"/>
    <w:basedOn w:val="DefaultParagraphFont"/>
    <w:link w:val="BodyText"/>
    <w:uiPriority w:val="59"/>
    <w:semiHidden/>
    <w:rsid w:val="0036123B"/>
    <w:rPr>
      <w:rFonts w:asciiTheme="minorHAnsi" w:hAnsiTheme="minorHAnsi" w:cs="Arial"/>
      <w:snapToGrid w:val="0"/>
      <w:sz w:val="18"/>
      <w:lang w:eastAsia="en-US"/>
    </w:rPr>
  </w:style>
  <w:style w:type="paragraph" w:styleId="BodyText2">
    <w:name w:val="Body Text 2"/>
    <w:basedOn w:val="Normal"/>
    <w:link w:val="BodyText2Char"/>
    <w:uiPriority w:val="59"/>
    <w:semiHidden/>
    <w:locked/>
    <w:rsid w:val="00842A36"/>
    <w:pPr>
      <w:spacing w:after="120" w:line="480" w:lineRule="auto"/>
    </w:pPr>
  </w:style>
  <w:style w:type="character" w:customStyle="1" w:styleId="BodyText2Char">
    <w:name w:val="Body Text 2 Char"/>
    <w:basedOn w:val="DefaultParagraphFont"/>
    <w:link w:val="BodyText2"/>
    <w:uiPriority w:val="59"/>
    <w:semiHidden/>
    <w:rsid w:val="0036123B"/>
    <w:rPr>
      <w:rFonts w:asciiTheme="minorHAnsi" w:hAnsiTheme="minorHAnsi" w:cs="Arial"/>
      <w:snapToGrid w:val="0"/>
      <w:sz w:val="18"/>
      <w:lang w:eastAsia="en-US"/>
    </w:rPr>
  </w:style>
  <w:style w:type="paragraph" w:styleId="BodyText3">
    <w:name w:val="Body Text 3"/>
    <w:basedOn w:val="Normal"/>
    <w:link w:val="BodyText3Char"/>
    <w:uiPriority w:val="59"/>
    <w:semiHidden/>
    <w:locked/>
    <w:rsid w:val="00842A36"/>
    <w:pPr>
      <w:spacing w:after="120"/>
    </w:pPr>
    <w:rPr>
      <w:sz w:val="16"/>
      <w:szCs w:val="16"/>
    </w:rPr>
  </w:style>
  <w:style w:type="character" w:customStyle="1" w:styleId="BodyText3Char">
    <w:name w:val="Body Text 3 Char"/>
    <w:basedOn w:val="DefaultParagraphFont"/>
    <w:link w:val="BodyText3"/>
    <w:uiPriority w:val="59"/>
    <w:semiHidden/>
    <w:rsid w:val="0036123B"/>
    <w:rPr>
      <w:rFonts w:asciiTheme="minorHAnsi" w:hAnsiTheme="minorHAnsi" w:cs="Arial"/>
      <w:snapToGrid w:val="0"/>
      <w:sz w:val="16"/>
      <w:szCs w:val="16"/>
      <w:lang w:eastAsia="en-US"/>
    </w:rPr>
  </w:style>
  <w:style w:type="paragraph" w:styleId="BodyTextFirstIndent">
    <w:name w:val="Body Text First Indent"/>
    <w:basedOn w:val="BodyText"/>
    <w:link w:val="BodyTextFirstIndentChar"/>
    <w:uiPriority w:val="59"/>
    <w:semiHidden/>
    <w:locked/>
    <w:rsid w:val="00842A36"/>
    <w:pPr>
      <w:spacing w:after="0"/>
      <w:ind w:firstLine="360"/>
    </w:pPr>
  </w:style>
  <w:style w:type="character" w:customStyle="1" w:styleId="BodyTextFirstIndentChar">
    <w:name w:val="Body Text First Indent Char"/>
    <w:basedOn w:val="BodyTextChar"/>
    <w:link w:val="BodyTextFirstIndent"/>
    <w:uiPriority w:val="59"/>
    <w:semiHidden/>
    <w:rsid w:val="0036123B"/>
    <w:rPr>
      <w:rFonts w:asciiTheme="minorHAnsi" w:hAnsiTheme="minorHAnsi" w:cs="Arial"/>
      <w:snapToGrid w:val="0"/>
      <w:sz w:val="18"/>
      <w:lang w:eastAsia="en-US"/>
    </w:rPr>
  </w:style>
  <w:style w:type="paragraph" w:styleId="BodyTextIndent">
    <w:name w:val="Body Text Indent"/>
    <w:basedOn w:val="Normal"/>
    <w:link w:val="BodyTextIndentChar"/>
    <w:uiPriority w:val="59"/>
    <w:semiHidden/>
    <w:locked/>
    <w:rsid w:val="00842A36"/>
    <w:pPr>
      <w:spacing w:after="120"/>
      <w:ind w:left="283"/>
    </w:pPr>
  </w:style>
  <w:style w:type="character" w:customStyle="1" w:styleId="BodyTextIndentChar">
    <w:name w:val="Body Text Indent Char"/>
    <w:basedOn w:val="DefaultParagraphFont"/>
    <w:link w:val="BodyTextIndent"/>
    <w:uiPriority w:val="59"/>
    <w:semiHidden/>
    <w:rsid w:val="0036123B"/>
    <w:rPr>
      <w:rFonts w:asciiTheme="minorHAnsi" w:hAnsiTheme="minorHAnsi" w:cs="Arial"/>
      <w:snapToGrid w:val="0"/>
      <w:sz w:val="18"/>
      <w:lang w:eastAsia="en-US"/>
    </w:rPr>
  </w:style>
  <w:style w:type="paragraph" w:styleId="BodyTextFirstIndent2">
    <w:name w:val="Body Text First Indent 2"/>
    <w:basedOn w:val="BodyTextIndent"/>
    <w:link w:val="BodyTextFirstIndent2Char"/>
    <w:uiPriority w:val="59"/>
    <w:semiHidden/>
    <w:locked/>
    <w:rsid w:val="00842A36"/>
    <w:pPr>
      <w:spacing w:after="0"/>
      <w:ind w:left="360" w:firstLine="360"/>
    </w:pPr>
  </w:style>
  <w:style w:type="character" w:customStyle="1" w:styleId="BodyTextFirstIndent2Char">
    <w:name w:val="Body Text First Indent 2 Char"/>
    <w:basedOn w:val="BodyTextIndentChar"/>
    <w:link w:val="BodyTextFirstIndent2"/>
    <w:uiPriority w:val="59"/>
    <w:semiHidden/>
    <w:rsid w:val="0036123B"/>
    <w:rPr>
      <w:rFonts w:asciiTheme="minorHAnsi" w:hAnsiTheme="minorHAnsi" w:cs="Arial"/>
      <w:snapToGrid w:val="0"/>
      <w:sz w:val="18"/>
      <w:lang w:eastAsia="en-US"/>
    </w:rPr>
  </w:style>
  <w:style w:type="paragraph" w:styleId="BodyTextIndent2">
    <w:name w:val="Body Text Indent 2"/>
    <w:basedOn w:val="Normal"/>
    <w:link w:val="BodyTextIndent2Char"/>
    <w:uiPriority w:val="59"/>
    <w:semiHidden/>
    <w:locked/>
    <w:rsid w:val="00842A36"/>
    <w:pPr>
      <w:spacing w:after="120" w:line="480" w:lineRule="auto"/>
      <w:ind w:left="283"/>
    </w:pPr>
  </w:style>
  <w:style w:type="character" w:customStyle="1" w:styleId="BodyTextIndent2Char">
    <w:name w:val="Body Text Indent 2 Char"/>
    <w:basedOn w:val="DefaultParagraphFont"/>
    <w:link w:val="BodyTextIndent2"/>
    <w:uiPriority w:val="59"/>
    <w:semiHidden/>
    <w:rsid w:val="0036123B"/>
    <w:rPr>
      <w:rFonts w:asciiTheme="minorHAnsi" w:hAnsiTheme="minorHAnsi" w:cs="Arial"/>
      <w:snapToGrid w:val="0"/>
      <w:sz w:val="18"/>
      <w:lang w:eastAsia="en-US"/>
    </w:rPr>
  </w:style>
  <w:style w:type="paragraph" w:styleId="BodyTextIndent3">
    <w:name w:val="Body Text Indent 3"/>
    <w:basedOn w:val="Normal"/>
    <w:link w:val="BodyTextIndent3Char"/>
    <w:uiPriority w:val="59"/>
    <w:semiHidden/>
    <w:locked/>
    <w:rsid w:val="00842A36"/>
    <w:pPr>
      <w:spacing w:after="120"/>
      <w:ind w:left="283"/>
    </w:pPr>
    <w:rPr>
      <w:sz w:val="16"/>
      <w:szCs w:val="16"/>
    </w:rPr>
  </w:style>
  <w:style w:type="character" w:customStyle="1" w:styleId="BodyTextIndent3Char">
    <w:name w:val="Body Text Indent 3 Char"/>
    <w:basedOn w:val="DefaultParagraphFont"/>
    <w:link w:val="BodyTextIndent3"/>
    <w:uiPriority w:val="59"/>
    <w:semiHidden/>
    <w:rsid w:val="0036123B"/>
    <w:rPr>
      <w:rFonts w:asciiTheme="minorHAnsi" w:hAnsiTheme="minorHAnsi" w:cs="Arial"/>
      <w:snapToGrid w:val="0"/>
      <w:sz w:val="16"/>
      <w:szCs w:val="16"/>
      <w:lang w:eastAsia="en-US"/>
    </w:rPr>
  </w:style>
  <w:style w:type="character" w:styleId="BookTitle">
    <w:name w:val="Book Title"/>
    <w:basedOn w:val="DefaultParagraphFont"/>
    <w:uiPriority w:val="33"/>
    <w:semiHidden/>
    <w:qFormat/>
    <w:locked/>
    <w:rsid w:val="00842A36"/>
    <w:rPr>
      <w:rFonts w:ascii="Georgia" w:hAnsi="Georgia"/>
      <w:b/>
      <w:bCs/>
      <w:smallCaps/>
      <w:spacing w:val="5"/>
    </w:rPr>
  </w:style>
  <w:style w:type="paragraph" w:styleId="Closing">
    <w:name w:val="Closing"/>
    <w:basedOn w:val="Normal"/>
    <w:link w:val="ClosingChar"/>
    <w:uiPriority w:val="59"/>
    <w:semiHidden/>
    <w:unhideWhenUsed/>
    <w:rsid w:val="00842A36"/>
    <w:pPr>
      <w:ind w:left="4252"/>
    </w:pPr>
  </w:style>
  <w:style w:type="character" w:customStyle="1" w:styleId="ClosingChar">
    <w:name w:val="Closing Char"/>
    <w:basedOn w:val="DefaultParagraphFont"/>
    <w:link w:val="Closing"/>
    <w:uiPriority w:val="59"/>
    <w:semiHidden/>
    <w:rsid w:val="0036123B"/>
    <w:rPr>
      <w:rFonts w:asciiTheme="minorHAnsi" w:hAnsiTheme="minorHAnsi" w:cs="Arial"/>
      <w:snapToGrid w:val="0"/>
      <w:sz w:val="18"/>
      <w:lang w:eastAsia="en-US"/>
    </w:rPr>
  </w:style>
  <w:style w:type="character" w:styleId="CommentReference">
    <w:name w:val="annotation reference"/>
    <w:basedOn w:val="DefaultParagraphFont"/>
    <w:uiPriority w:val="59"/>
    <w:semiHidden/>
    <w:rsid w:val="00842A36"/>
    <w:rPr>
      <w:rFonts w:ascii="Georgia" w:hAnsi="Georgia"/>
      <w:sz w:val="16"/>
      <w:szCs w:val="16"/>
    </w:rPr>
  </w:style>
  <w:style w:type="paragraph" w:styleId="CommentText">
    <w:name w:val="annotation text"/>
    <w:basedOn w:val="Normal"/>
    <w:link w:val="CommentTextChar"/>
    <w:uiPriority w:val="59"/>
    <w:semiHidden/>
    <w:rsid w:val="00842A36"/>
  </w:style>
  <w:style w:type="character" w:customStyle="1" w:styleId="CommentTextChar">
    <w:name w:val="Comment Text Char"/>
    <w:basedOn w:val="DefaultParagraphFont"/>
    <w:link w:val="CommentText"/>
    <w:uiPriority w:val="59"/>
    <w:semiHidden/>
    <w:rsid w:val="0036123B"/>
    <w:rPr>
      <w:rFonts w:asciiTheme="minorHAnsi" w:hAnsiTheme="minorHAnsi" w:cs="Arial"/>
      <w:snapToGrid w:val="0"/>
      <w:sz w:val="18"/>
      <w:lang w:eastAsia="en-US"/>
    </w:rPr>
  </w:style>
  <w:style w:type="paragraph" w:styleId="CommentSubject">
    <w:name w:val="annotation subject"/>
    <w:basedOn w:val="CommentText"/>
    <w:next w:val="CommentText"/>
    <w:link w:val="CommentSubjectChar"/>
    <w:uiPriority w:val="59"/>
    <w:semiHidden/>
    <w:rsid w:val="00842A36"/>
    <w:rPr>
      <w:b/>
      <w:bCs/>
    </w:rPr>
  </w:style>
  <w:style w:type="character" w:customStyle="1" w:styleId="CommentSubjectChar">
    <w:name w:val="Comment Subject Char"/>
    <w:basedOn w:val="CommentTextChar"/>
    <w:link w:val="CommentSubject"/>
    <w:uiPriority w:val="59"/>
    <w:semiHidden/>
    <w:rsid w:val="0036123B"/>
    <w:rPr>
      <w:rFonts w:asciiTheme="minorHAnsi" w:hAnsiTheme="minorHAnsi" w:cs="Arial"/>
      <w:b/>
      <w:bCs/>
      <w:snapToGrid w:val="0"/>
      <w:sz w:val="18"/>
      <w:lang w:eastAsia="en-US"/>
    </w:rPr>
  </w:style>
  <w:style w:type="paragraph" w:styleId="EnvelopeAddress">
    <w:name w:val="envelope address"/>
    <w:basedOn w:val="Normal"/>
    <w:semiHidden/>
    <w:unhideWhenUsed/>
    <w:locked/>
    <w:rsid w:val="00842A36"/>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locked/>
    <w:rsid w:val="00842A36"/>
    <w:rPr>
      <w:rFonts w:asciiTheme="majorHAnsi" w:eastAsiaTheme="majorEastAsia" w:hAnsiTheme="majorHAnsi" w:cstheme="majorBidi"/>
    </w:rPr>
  </w:style>
  <w:style w:type="character" w:styleId="FollowedHyperlink">
    <w:name w:val="FollowedHyperlink"/>
    <w:basedOn w:val="DefaultParagraphFont"/>
    <w:semiHidden/>
    <w:rsid w:val="00842A36"/>
    <w:rPr>
      <w:color w:val="DB536A" w:themeColor="followedHyperlink"/>
      <w:u w:val="single"/>
    </w:rPr>
  </w:style>
  <w:style w:type="character" w:styleId="Hyperlink">
    <w:name w:val="Hyperlink"/>
    <w:basedOn w:val="DefaultParagraphFont"/>
    <w:uiPriority w:val="99"/>
    <w:rsid w:val="00842A36"/>
    <w:rPr>
      <w:color w:val="7D7D7D" w:themeColor="text2"/>
      <w:u w:val="single"/>
    </w:rPr>
  </w:style>
  <w:style w:type="paragraph" w:styleId="IndexHeading">
    <w:name w:val="index heading"/>
    <w:basedOn w:val="Normal"/>
    <w:next w:val="Normal"/>
    <w:semiHidden/>
    <w:rsid w:val="00842A36"/>
    <w:rPr>
      <w:rFonts w:asciiTheme="majorHAnsi" w:eastAsiaTheme="majorEastAsia" w:hAnsiTheme="majorHAnsi" w:cstheme="majorBidi"/>
      <w:b/>
      <w:bCs/>
    </w:rPr>
  </w:style>
  <w:style w:type="paragraph" w:customStyle="1" w:styleId="BlockTextClient">
    <w:name w:val="Block Text Client"/>
    <w:basedOn w:val="BlockText"/>
    <w:uiPriority w:val="39"/>
    <w:rsid w:val="00842A36"/>
    <w:pPr>
      <w:spacing w:line="200" w:lineRule="atLeast"/>
      <w:contextualSpacing/>
    </w:pPr>
    <w:rPr>
      <w:b/>
      <w:color w:val="auto"/>
      <w:sz w:val="15"/>
    </w:rPr>
  </w:style>
  <w:style w:type="paragraph" w:customStyle="1" w:styleId="BlockText2Client">
    <w:name w:val="Block Text 2 Client"/>
    <w:basedOn w:val="BlockText2"/>
    <w:uiPriority w:val="19"/>
    <w:rsid w:val="00842A36"/>
    <w:pPr>
      <w:spacing w:after="120" w:line="300" w:lineRule="atLeast"/>
      <w:contextualSpacing/>
    </w:pPr>
    <w:rPr>
      <w:rFonts w:asciiTheme="minorHAnsi" w:hAnsiTheme="minorHAnsi"/>
      <w:b/>
      <w:sz w:val="24"/>
      <w:szCs w:val="20"/>
    </w:rPr>
  </w:style>
  <w:style w:type="paragraph" w:customStyle="1" w:styleId="BlockText2Position">
    <w:name w:val="Block Text 2 Position"/>
    <w:basedOn w:val="BlockText2"/>
    <w:uiPriority w:val="19"/>
    <w:rsid w:val="00842A36"/>
    <w:rPr>
      <w:i/>
      <w:sz w:val="20"/>
      <w:szCs w:val="20"/>
    </w:rPr>
  </w:style>
  <w:style w:type="character" w:styleId="LineNumber">
    <w:name w:val="line number"/>
    <w:basedOn w:val="DefaultParagraphFont"/>
    <w:semiHidden/>
    <w:rsid w:val="00842A36"/>
  </w:style>
  <w:style w:type="paragraph" w:styleId="ListBullet">
    <w:name w:val="List Bullet"/>
    <w:basedOn w:val="Normal"/>
    <w:uiPriority w:val="2"/>
    <w:qFormat/>
    <w:locked/>
    <w:rsid w:val="00842A36"/>
    <w:pPr>
      <w:numPr>
        <w:numId w:val="10"/>
      </w:numPr>
      <w:spacing w:before="120" w:after="120"/>
    </w:pPr>
  </w:style>
  <w:style w:type="paragraph" w:styleId="ListBullet5">
    <w:name w:val="List Bullet 5"/>
    <w:basedOn w:val="ListBullet4"/>
    <w:uiPriority w:val="2"/>
    <w:unhideWhenUsed/>
    <w:locked/>
    <w:rsid w:val="00842A36"/>
    <w:pPr>
      <w:numPr>
        <w:ilvl w:val="4"/>
      </w:numPr>
      <w:tabs>
        <w:tab w:val="num" w:pos="2268"/>
      </w:tabs>
      <w:contextualSpacing/>
    </w:pPr>
  </w:style>
  <w:style w:type="paragraph" w:styleId="ListNumber">
    <w:name w:val="List Number"/>
    <w:basedOn w:val="Normal"/>
    <w:uiPriority w:val="13"/>
    <w:unhideWhenUsed/>
    <w:qFormat/>
    <w:locked/>
    <w:rsid w:val="00842A36"/>
    <w:pPr>
      <w:numPr>
        <w:numId w:val="11"/>
      </w:numPr>
      <w:contextualSpacing/>
    </w:pPr>
  </w:style>
  <w:style w:type="paragraph" w:styleId="ListNumber2">
    <w:name w:val="List Number 2"/>
    <w:basedOn w:val="ListNumber"/>
    <w:uiPriority w:val="13"/>
    <w:unhideWhenUsed/>
    <w:qFormat/>
    <w:locked/>
    <w:rsid w:val="00842A36"/>
    <w:pPr>
      <w:numPr>
        <w:ilvl w:val="1"/>
      </w:numPr>
    </w:pPr>
  </w:style>
  <w:style w:type="paragraph" w:styleId="ListNumber3">
    <w:name w:val="List Number 3"/>
    <w:basedOn w:val="ListNumber2"/>
    <w:uiPriority w:val="13"/>
    <w:unhideWhenUsed/>
    <w:qFormat/>
    <w:locked/>
    <w:rsid w:val="00842A36"/>
    <w:pPr>
      <w:numPr>
        <w:ilvl w:val="2"/>
      </w:numPr>
    </w:pPr>
  </w:style>
  <w:style w:type="paragraph" w:styleId="ListNumber4">
    <w:name w:val="List Number 4"/>
    <w:basedOn w:val="ListNumber3"/>
    <w:uiPriority w:val="13"/>
    <w:unhideWhenUsed/>
    <w:locked/>
    <w:rsid w:val="00842A36"/>
    <w:pPr>
      <w:numPr>
        <w:ilvl w:val="3"/>
      </w:numPr>
    </w:pPr>
  </w:style>
  <w:style w:type="paragraph" w:styleId="ListNumber5">
    <w:name w:val="List Number 5"/>
    <w:basedOn w:val="ListNumber4"/>
    <w:uiPriority w:val="13"/>
    <w:unhideWhenUsed/>
    <w:locked/>
    <w:rsid w:val="00842A36"/>
    <w:pPr>
      <w:numPr>
        <w:ilvl w:val="4"/>
      </w:numPr>
    </w:pPr>
  </w:style>
  <w:style w:type="paragraph" w:styleId="ListParagraph">
    <w:name w:val="List Paragraph"/>
    <w:aliases w:val="List Paragraph1,List Paragraph11,Recommendation,Bulleted Para,CV text,Dot pt,F5 List Paragraph,FooterText,L,List Paragraph111,List Paragraph2,Medium Grid 1 - Accent 21,NAST Quote,NFP GP Bulleted List,Numbered Paragraph,numbered,列出段落,列出段落1"/>
    <w:basedOn w:val="Normal"/>
    <w:link w:val="ListParagraphChar"/>
    <w:uiPriority w:val="34"/>
    <w:qFormat/>
    <w:locked/>
    <w:rsid w:val="00842A36"/>
    <w:pPr>
      <w:ind w:left="720"/>
      <w:contextualSpacing/>
    </w:pPr>
  </w:style>
  <w:style w:type="paragraph" w:styleId="MessageHeader">
    <w:name w:val="Message Header"/>
    <w:basedOn w:val="Normal"/>
    <w:link w:val="MessageHeaderChar"/>
    <w:semiHidden/>
    <w:rsid w:val="00842A3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842A36"/>
    <w:rPr>
      <w:rFonts w:asciiTheme="majorHAnsi" w:eastAsiaTheme="majorEastAsia" w:hAnsiTheme="majorHAnsi" w:cstheme="majorBidi"/>
      <w:snapToGrid w:val="0"/>
      <w:sz w:val="24"/>
      <w:szCs w:val="24"/>
      <w:shd w:val="pct20" w:color="auto" w:fill="auto"/>
      <w:lang w:eastAsia="en-US"/>
    </w:rPr>
  </w:style>
  <w:style w:type="paragraph" w:styleId="NoSpacing">
    <w:name w:val="No Spacing"/>
    <w:uiPriority w:val="1"/>
    <w:semiHidden/>
    <w:qFormat/>
    <w:rsid w:val="00842A36"/>
    <w:pPr>
      <w:kinsoku w:val="0"/>
      <w:overflowPunct w:val="0"/>
      <w:autoSpaceDE w:val="0"/>
      <w:autoSpaceDN w:val="0"/>
      <w:adjustRightInd w:val="0"/>
      <w:snapToGrid w:val="0"/>
    </w:pPr>
    <w:rPr>
      <w:rFonts w:cs="Arial"/>
      <w:snapToGrid w:val="0"/>
      <w:lang w:eastAsia="en-US"/>
    </w:rPr>
  </w:style>
  <w:style w:type="paragraph" w:styleId="NormalIndent">
    <w:name w:val="Normal Indent"/>
    <w:basedOn w:val="Normal"/>
    <w:semiHidden/>
    <w:rsid w:val="00842A36"/>
    <w:pPr>
      <w:ind w:left="720"/>
    </w:pPr>
  </w:style>
  <w:style w:type="paragraph" w:styleId="NoteHeading">
    <w:name w:val="Note Heading"/>
    <w:basedOn w:val="Normal"/>
    <w:next w:val="Normal"/>
    <w:link w:val="NoteHeadingChar"/>
    <w:semiHidden/>
    <w:unhideWhenUsed/>
    <w:rsid w:val="00842A36"/>
  </w:style>
  <w:style w:type="character" w:customStyle="1" w:styleId="NoteHeadingChar">
    <w:name w:val="Note Heading Char"/>
    <w:basedOn w:val="DefaultParagraphFont"/>
    <w:link w:val="NoteHeading"/>
    <w:semiHidden/>
    <w:rsid w:val="00842A36"/>
    <w:rPr>
      <w:rFonts w:asciiTheme="minorHAnsi" w:hAnsiTheme="minorHAnsi" w:cs="Arial"/>
      <w:snapToGrid w:val="0"/>
      <w:sz w:val="18"/>
      <w:lang w:eastAsia="en-US"/>
    </w:rPr>
  </w:style>
  <w:style w:type="character" w:styleId="PlaceholderText">
    <w:name w:val="Placeholder Text"/>
    <w:basedOn w:val="DefaultParagraphFont"/>
    <w:uiPriority w:val="99"/>
    <w:semiHidden/>
    <w:rsid w:val="00842A36"/>
    <w:rPr>
      <w:color w:val="808080"/>
    </w:rPr>
  </w:style>
  <w:style w:type="paragraph" w:styleId="PlainText">
    <w:name w:val="Plain Text"/>
    <w:basedOn w:val="Normal"/>
    <w:link w:val="PlainTextChar"/>
    <w:semiHidden/>
    <w:rsid w:val="00842A36"/>
    <w:rPr>
      <w:rFonts w:ascii="Consolas" w:hAnsi="Consolas"/>
    </w:rPr>
  </w:style>
  <w:style w:type="character" w:customStyle="1" w:styleId="PlainTextChar">
    <w:name w:val="Plain Text Char"/>
    <w:basedOn w:val="DefaultParagraphFont"/>
    <w:link w:val="PlainText"/>
    <w:semiHidden/>
    <w:rsid w:val="00842A36"/>
    <w:rPr>
      <w:rFonts w:ascii="Consolas" w:hAnsi="Consolas" w:cs="Arial"/>
      <w:snapToGrid w:val="0"/>
      <w:sz w:val="18"/>
      <w:lang w:eastAsia="en-US"/>
    </w:rPr>
  </w:style>
  <w:style w:type="paragraph" w:styleId="Quote">
    <w:name w:val="Quote"/>
    <w:basedOn w:val="Normal"/>
    <w:next w:val="Normal"/>
    <w:link w:val="QuoteChar"/>
    <w:uiPriority w:val="29"/>
    <w:semiHidden/>
    <w:qFormat/>
    <w:rsid w:val="00842A36"/>
    <w:rPr>
      <w:i/>
      <w:iCs/>
      <w:color w:val="000000" w:themeColor="text1"/>
    </w:rPr>
  </w:style>
  <w:style w:type="character" w:customStyle="1" w:styleId="QuoteChar">
    <w:name w:val="Quote Char"/>
    <w:basedOn w:val="DefaultParagraphFont"/>
    <w:link w:val="Quote"/>
    <w:uiPriority w:val="29"/>
    <w:semiHidden/>
    <w:rsid w:val="00842A36"/>
    <w:rPr>
      <w:rFonts w:asciiTheme="minorHAnsi" w:hAnsiTheme="minorHAnsi" w:cs="Arial"/>
      <w:i/>
      <w:iCs/>
      <w:snapToGrid w:val="0"/>
      <w:color w:val="000000" w:themeColor="text1"/>
      <w:sz w:val="18"/>
      <w:lang w:eastAsia="en-US"/>
    </w:rPr>
  </w:style>
  <w:style w:type="paragraph" w:styleId="Salutation">
    <w:name w:val="Salutation"/>
    <w:basedOn w:val="Normal"/>
    <w:next w:val="Normal"/>
    <w:link w:val="SalutationChar"/>
    <w:semiHidden/>
    <w:unhideWhenUsed/>
    <w:rsid w:val="00842A36"/>
  </w:style>
  <w:style w:type="character" w:customStyle="1" w:styleId="SalutationChar">
    <w:name w:val="Salutation Char"/>
    <w:basedOn w:val="DefaultParagraphFont"/>
    <w:link w:val="Salutation"/>
    <w:semiHidden/>
    <w:rsid w:val="00842A36"/>
    <w:rPr>
      <w:rFonts w:asciiTheme="minorHAnsi" w:hAnsiTheme="minorHAnsi" w:cs="Arial"/>
      <w:snapToGrid w:val="0"/>
      <w:sz w:val="18"/>
      <w:lang w:eastAsia="en-US"/>
    </w:rPr>
  </w:style>
  <w:style w:type="paragraph" w:styleId="Signature">
    <w:name w:val="Signature"/>
    <w:basedOn w:val="Normal"/>
    <w:link w:val="SignatureChar"/>
    <w:semiHidden/>
    <w:rsid w:val="00842A36"/>
    <w:pPr>
      <w:ind w:left="4252"/>
    </w:pPr>
  </w:style>
  <w:style w:type="character" w:customStyle="1" w:styleId="SignatureChar">
    <w:name w:val="Signature Char"/>
    <w:basedOn w:val="DefaultParagraphFont"/>
    <w:link w:val="Signature"/>
    <w:semiHidden/>
    <w:rsid w:val="00842A36"/>
    <w:rPr>
      <w:rFonts w:asciiTheme="minorHAnsi" w:hAnsiTheme="minorHAnsi" w:cs="Arial"/>
      <w:snapToGrid w:val="0"/>
      <w:sz w:val="18"/>
      <w:lang w:eastAsia="en-US"/>
    </w:rPr>
  </w:style>
  <w:style w:type="paragraph" w:styleId="TableofAuthorities">
    <w:name w:val="table of authorities"/>
    <w:basedOn w:val="Normal"/>
    <w:next w:val="Normal"/>
    <w:semiHidden/>
    <w:unhideWhenUsed/>
    <w:rsid w:val="00842A36"/>
    <w:pPr>
      <w:ind w:left="210" w:hanging="210"/>
    </w:pPr>
  </w:style>
  <w:style w:type="paragraph" w:styleId="TableofFigures">
    <w:name w:val="table of figures"/>
    <w:basedOn w:val="Normal"/>
    <w:next w:val="Normal"/>
    <w:semiHidden/>
    <w:unhideWhenUsed/>
    <w:rsid w:val="00842A36"/>
  </w:style>
  <w:style w:type="paragraph" w:styleId="TOAHeading">
    <w:name w:val="toa heading"/>
    <w:basedOn w:val="Normal"/>
    <w:next w:val="Normal"/>
    <w:semiHidden/>
    <w:unhideWhenUsed/>
    <w:rsid w:val="00842A36"/>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842A36"/>
    <w:pPr>
      <w:keepNext/>
      <w:keepLines/>
      <w:framePr w:wrap="around"/>
      <w:spacing w:before="480" w:line="240" w:lineRule="auto"/>
      <w:outlineLvl w:val="9"/>
    </w:pPr>
    <w:rPr>
      <w:rFonts w:eastAsiaTheme="majorEastAsia" w:cstheme="majorBidi"/>
      <w:color w:val="9B3701" w:themeColor="accent1" w:themeShade="BF"/>
      <w:sz w:val="28"/>
      <w:szCs w:val="28"/>
    </w:rPr>
  </w:style>
  <w:style w:type="paragraph" w:customStyle="1" w:styleId="URLCover">
    <w:name w:val="URL Cover"/>
    <w:basedOn w:val="Normal"/>
    <w:uiPriority w:val="49"/>
    <w:rsid w:val="00842A36"/>
    <w:rPr>
      <w:color w:val="FFFFFF"/>
      <w:sz w:val="19"/>
    </w:rPr>
  </w:style>
  <w:style w:type="paragraph" w:customStyle="1" w:styleId="CoverOutcomeHeadline">
    <w:name w:val="Cover Outcome Headline"/>
    <w:basedOn w:val="PwCNormal"/>
    <w:uiPriority w:val="9"/>
    <w:rsid w:val="00882D01"/>
    <w:pPr>
      <w:numPr>
        <w:numId w:val="0"/>
      </w:numPr>
      <w:spacing w:before="0"/>
      <w:ind w:right="2268"/>
    </w:pPr>
    <w:rPr>
      <w:rFonts w:asciiTheme="majorHAnsi" w:hAnsiTheme="majorHAnsi"/>
      <w:color w:val="FFFFFF"/>
      <w:sz w:val="72"/>
      <w:szCs w:val="88"/>
      <w:lang w:val="en-GB"/>
    </w:rPr>
  </w:style>
  <w:style w:type="paragraph" w:customStyle="1" w:styleId="CoverOutcomeSubtitle">
    <w:name w:val="Cover Outcome Subtitle"/>
    <w:basedOn w:val="CoverOutcomeHeadline"/>
    <w:uiPriority w:val="19"/>
    <w:rsid w:val="006E205E"/>
    <w:pPr>
      <w:spacing w:before="480" w:after="0" w:line="320" w:lineRule="atLeast"/>
      <w:contextualSpacing/>
    </w:pPr>
    <w:rPr>
      <w:rFonts w:asciiTheme="minorHAnsi" w:hAnsiTheme="minorHAnsi"/>
      <w:b/>
      <w:sz w:val="26"/>
    </w:rPr>
  </w:style>
  <w:style w:type="paragraph" w:customStyle="1" w:styleId="TableNumberedList1">
    <w:name w:val="Table Numbered List 1"/>
    <w:basedOn w:val="TableTextNormal"/>
    <w:rsid w:val="00842A36"/>
    <w:pPr>
      <w:numPr>
        <w:numId w:val="22"/>
      </w:numPr>
    </w:pPr>
  </w:style>
  <w:style w:type="paragraph" w:customStyle="1" w:styleId="TableNumberedList2">
    <w:name w:val="Table Numbered List 2"/>
    <w:basedOn w:val="TableNumberedList1"/>
    <w:rsid w:val="00842A36"/>
    <w:pPr>
      <w:numPr>
        <w:ilvl w:val="1"/>
      </w:numPr>
      <w:spacing w:before="40" w:after="40"/>
    </w:pPr>
  </w:style>
  <w:style w:type="paragraph" w:customStyle="1" w:styleId="TableNumberedList3">
    <w:name w:val="Table Numbered List 3"/>
    <w:basedOn w:val="TableNumberedList2"/>
    <w:rsid w:val="00842A36"/>
    <w:pPr>
      <w:numPr>
        <w:ilvl w:val="2"/>
      </w:numPr>
    </w:pPr>
  </w:style>
  <w:style w:type="paragraph" w:customStyle="1" w:styleId="TableNumberedListSmall1">
    <w:name w:val="Table Numbered List Small 1"/>
    <w:basedOn w:val="TableTextSmall"/>
    <w:rsid w:val="00842A36"/>
    <w:pPr>
      <w:numPr>
        <w:numId w:val="24"/>
      </w:numPr>
    </w:pPr>
  </w:style>
  <w:style w:type="paragraph" w:customStyle="1" w:styleId="TableNumberedListSmall2">
    <w:name w:val="Table Numbered List Small 2"/>
    <w:basedOn w:val="TableNumberedListSmall1"/>
    <w:rsid w:val="00842A36"/>
    <w:pPr>
      <w:numPr>
        <w:ilvl w:val="1"/>
      </w:numPr>
    </w:pPr>
    <w:rPr>
      <w:szCs w:val="21"/>
    </w:rPr>
  </w:style>
  <w:style w:type="paragraph" w:customStyle="1" w:styleId="TableNumberedListSmall3">
    <w:name w:val="Table Numbered List Small 3"/>
    <w:basedOn w:val="TableNumberedListSmall2"/>
    <w:rsid w:val="00842A36"/>
    <w:pPr>
      <w:numPr>
        <w:ilvl w:val="2"/>
      </w:numPr>
    </w:pPr>
  </w:style>
  <w:style w:type="numbering" w:customStyle="1" w:styleId="ListNumberList">
    <w:name w:val="List Number List"/>
    <w:uiPriority w:val="99"/>
    <w:rsid w:val="00842A36"/>
    <w:pPr>
      <w:numPr>
        <w:numId w:val="12"/>
      </w:numPr>
    </w:pPr>
  </w:style>
  <w:style w:type="numbering" w:styleId="111111">
    <w:name w:val="Outline List 2"/>
    <w:basedOn w:val="NoList"/>
    <w:rsid w:val="00842A36"/>
    <w:pPr>
      <w:numPr>
        <w:numId w:val="1"/>
      </w:numPr>
    </w:pPr>
  </w:style>
  <w:style w:type="numbering" w:styleId="1ai">
    <w:name w:val="Outline List 1"/>
    <w:basedOn w:val="NoList"/>
    <w:rsid w:val="00842A36"/>
    <w:pPr>
      <w:numPr>
        <w:numId w:val="2"/>
      </w:numPr>
    </w:pPr>
  </w:style>
  <w:style w:type="numbering" w:styleId="ArticleSection">
    <w:name w:val="Outline List 3"/>
    <w:basedOn w:val="NoList"/>
    <w:rsid w:val="00842A36"/>
    <w:pPr>
      <w:numPr>
        <w:numId w:val="3"/>
      </w:numPr>
    </w:pPr>
  </w:style>
  <w:style w:type="paragraph" w:customStyle="1" w:styleId="Minorheading3">
    <w:name w:val="Minor heading 3"/>
    <w:basedOn w:val="Minorheading2"/>
    <w:uiPriority w:val="1"/>
    <w:rsid w:val="00842A36"/>
    <w:rPr>
      <w:b/>
      <w:i w:val="0"/>
    </w:rPr>
  </w:style>
  <w:style w:type="paragraph" w:customStyle="1" w:styleId="Bullet1">
    <w:name w:val="Bullet 1"/>
    <w:basedOn w:val="PwCNormal"/>
    <w:uiPriority w:val="4"/>
    <w:rsid w:val="00842A36"/>
    <w:pPr>
      <w:numPr>
        <w:numId w:val="5"/>
      </w:numPr>
      <w:spacing w:before="120"/>
    </w:pPr>
  </w:style>
  <w:style w:type="paragraph" w:customStyle="1" w:styleId="Bullet2">
    <w:name w:val="Bullet 2"/>
    <w:basedOn w:val="Bullet1"/>
    <w:uiPriority w:val="4"/>
    <w:rsid w:val="00842A36"/>
    <w:pPr>
      <w:numPr>
        <w:ilvl w:val="1"/>
      </w:numPr>
    </w:pPr>
  </w:style>
  <w:style w:type="paragraph" w:customStyle="1" w:styleId="Bullet3">
    <w:name w:val="Bullet 3"/>
    <w:basedOn w:val="Bullet2"/>
    <w:uiPriority w:val="4"/>
    <w:rsid w:val="00842A36"/>
    <w:pPr>
      <w:numPr>
        <w:ilvl w:val="2"/>
      </w:numPr>
    </w:pPr>
  </w:style>
  <w:style w:type="paragraph" w:customStyle="1" w:styleId="Bullet4">
    <w:name w:val="Bullet 4"/>
    <w:basedOn w:val="Bullet3"/>
    <w:uiPriority w:val="4"/>
    <w:rsid w:val="00842A36"/>
    <w:pPr>
      <w:numPr>
        <w:ilvl w:val="3"/>
      </w:numPr>
    </w:pPr>
  </w:style>
  <w:style w:type="numbering" w:customStyle="1" w:styleId="Bullets">
    <w:name w:val="Bullets"/>
    <w:uiPriority w:val="99"/>
    <w:rsid w:val="00842A36"/>
    <w:pPr>
      <w:numPr>
        <w:numId w:val="5"/>
      </w:numPr>
    </w:pPr>
  </w:style>
  <w:style w:type="numbering" w:customStyle="1" w:styleId="ChapterNumberingList0">
    <w:name w:val="Chapter Numbering List"/>
    <w:uiPriority w:val="99"/>
    <w:rsid w:val="00842A36"/>
    <w:pPr>
      <w:numPr>
        <w:numId w:val="6"/>
      </w:numPr>
    </w:pPr>
  </w:style>
  <w:style w:type="paragraph" w:customStyle="1" w:styleId="Bodyheadline">
    <w:name w:val="Body headline"/>
    <w:basedOn w:val="Normal"/>
    <w:qFormat/>
    <w:rsid w:val="001F55E5"/>
    <w:pPr>
      <w:pBdr>
        <w:top w:val="single" w:sz="4" w:space="4" w:color="EB8C00" w:themeColor="accent4"/>
        <w:bottom w:val="single" w:sz="4" w:space="4" w:color="EB8C00" w:themeColor="accent4"/>
      </w:pBdr>
      <w:kinsoku/>
      <w:overflowPunct/>
      <w:autoSpaceDE/>
      <w:autoSpaceDN/>
      <w:adjustRightInd/>
      <w:snapToGrid/>
      <w:spacing w:before="240" w:after="240"/>
    </w:pPr>
    <w:rPr>
      <w:rFonts w:eastAsiaTheme="minorHAnsi" w:cstheme="minorBidi"/>
      <w:b/>
      <w:snapToGrid/>
      <w:color w:val="EB8C00" w:themeColor="accent4"/>
      <w:sz w:val="20"/>
      <w:szCs w:val="17"/>
      <w:lang w:val="en-GB"/>
    </w:rPr>
  </w:style>
  <w:style w:type="numbering" w:customStyle="1" w:styleId="ListBullets">
    <w:name w:val="List Bullets"/>
    <w:uiPriority w:val="99"/>
    <w:rsid w:val="00E20979"/>
    <w:pPr>
      <w:numPr>
        <w:numId w:val="26"/>
      </w:numPr>
    </w:pPr>
  </w:style>
  <w:style w:type="table" w:customStyle="1" w:styleId="PwCBasic">
    <w:name w:val="PwC Basic"/>
    <w:basedOn w:val="TableNormal"/>
    <w:uiPriority w:val="99"/>
    <w:rsid w:val="001E019F"/>
    <w:pPr>
      <w:spacing w:line="216" w:lineRule="auto"/>
      <w:contextualSpacing/>
    </w:pPr>
    <w:rPr>
      <w:rFonts w:asciiTheme="minorHAnsi" w:eastAsiaTheme="minorHAnsi" w:hAnsiTheme="minorHAnsi" w:cs="Times New Roman (Body CS)"/>
      <w:sz w:val="17"/>
      <w:szCs w:val="17"/>
      <w:lang w:val="en-GB" w:eastAsia="en-US"/>
    </w:rPr>
    <w:tblPr>
      <w:tblBorders>
        <w:top w:val="dotted" w:sz="4" w:space="0" w:color="auto"/>
        <w:bottom w:val="single" w:sz="4" w:space="0" w:color="auto"/>
        <w:insideH w:val="dotted" w:sz="4" w:space="0" w:color="auto"/>
      </w:tblBorders>
      <w:tblCellMar>
        <w:left w:w="0" w:type="dxa"/>
        <w:right w:w="0" w:type="dxa"/>
      </w:tblCellMar>
    </w:tblPr>
    <w:tcPr>
      <w:vAlign w:val="center"/>
    </w:tcPr>
    <w:tblStylePr w:type="firstRow">
      <w:rPr>
        <w:rFonts w:asciiTheme="minorHAnsi" w:hAnsiTheme="minorHAnsi"/>
        <w:b/>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LastPageFooter">
    <w:name w:val="Last Page Footer"/>
    <w:basedOn w:val="Normal"/>
    <w:uiPriority w:val="39"/>
    <w:rsid w:val="00C57A6A"/>
    <w:rPr>
      <w:color w:val="FFFFFF" w:themeColor="background1"/>
      <w:sz w:val="14"/>
    </w:rPr>
  </w:style>
  <w:style w:type="numbering" w:customStyle="1" w:styleId="Chapternumberinglist">
    <w:name w:val="Chapter numbering list"/>
    <w:uiPriority w:val="99"/>
    <w:rsid w:val="007F7653"/>
    <w:pPr>
      <w:numPr>
        <w:numId w:val="28"/>
      </w:numPr>
    </w:pPr>
  </w:style>
  <w:style w:type="paragraph" w:customStyle="1" w:styleId="AppendixNumberLongAlt">
    <w:name w:val="Appendix Number (Long) Alt"/>
    <w:basedOn w:val="AppendixNumberLong"/>
    <w:uiPriority w:val="39"/>
    <w:rsid w:val="006842FF"/>
    <w:pPr>
      <w:framePr w:w="1701" w:wrap="around" w:hAnchor="margin" w:x="1" w:y="1"/>
      <w:spacing w:line="240" w:lineRule="auto"/>
    </w:pPr>
    <w:rPr>
      <w:sz w:val="230"/>
    </w:rPr>
  </w:style>
  <w:style w:type="paragraph" w:customStyle="1" w:styleId="ChapterNumberLongAlt">
    <w:name w:val="Chapter Number (Long) Alt"/>
    <w:basedOn w:val="ChapterNumberLong"/>
    <w:uiPriority w:val="39"/>
    <w:rsid w:val="00DD4E21"/>
    <w:pPr>
      <w:framePr w:w="1701" w:wrap="around" w:vAnchor="margin" w:hAnchor="margin" w:x="1"/>
    </w:pPr>
    <w:rPr>
      <w:sz w:val="230"/>
    </w:rPr>
  </w:style>
  <w:style w:type="paragraph" w:customStyle="1" w:styleId="FilledFrame">
    <w:name w:val="Filled Frame"/>
    <w:basedOn w:val="PwCNormal"/>
    <w:uiPriority w:val="39"/>
    <w:rsid w:val="00081A57"/>
    <w:pPr>
      <w:framePr w:w="1701" w:wrap="around" w:vAnchor="text" w:hAnchor="text" w:y="1"/>
      <w:numPr>
        <w:numId w:val="0"/>
      </w:numPr>
      <w:shd w:val="clear" w:color="auto" w:fill="D04A02" w:themeFill="accent1"/>
      <w:spacing w:before="120" w:line="240" w:lineRule="auto"/>
    </w:pPr>
  </w:style>
  <w:style w:type="paragraph" w:customStyle="1" w:styleId="DividerOpt2">
    <w:name w:val="Divider Opt 2"/>
    <w:basedOn w:val="Normal"/>
    <w:uiPriority w:val="39"/>
    <w:rsid w:val="00081A57"/>
    <w:pPr>
      <w:spacing w:before="119" w:after="238" w:line="240" w:lineRule="auto"/>
      <w:ind w:left="539" w:right="539"/>
    </w:pPr>
    <w:rPr>
      <w:rFonts w:ascii="Georgia" w:hAnsi="Georgia"/>
      <w:color w:val="FFFFFF" w:themeColor="background1"/>
      <w:sz w:val="132"/>
    </w:rPr>
  </w:style>
  <w:style w:type="paragraph" w:customStyle="1" w:styleId="DividerOpt2paragraphspacing">
    <w:name w:val="Divider Opt 2 paragraph spacing"/>
    <w:basedOn w:val="PwCNormal"/>
    <w:uiPriority w:val="39"/>
    <w:rsid w:val="009D05C9"/>
    <w:pPr>
      <w:numPr>
        <w:numId w:val="0"/>
      </w:numPr>
      <w:tabs>
        <w:tab w:val="right" w:pos="3402"/>
        <w:tab w:val="right" w:pos="3969"/>
        <w:tab w:val="right" w:pos="4536"/>
        <w:tab w:val="right" w:pos="5103"/>
        <w:tab w:val="right" w:pos="5670"/>
        <w:tab w:val="right" w:pos="6237"/>
        <w:tab w:val="right" w:pos="6804"/>
        <w:tab w:val="right" w:pos="7371"/>
        <w:tab w:val="right" w:pos="7938"/>
        <w:tab w:val="right" w:pos="8505"/>
        <w:tab w:val="right" w:pos="9072"/>
        <w:tab w:val="right" w:pos="9639"/>
        <w:tab w:val="right" w:pos="10206"/>
      </w:tabs>
      <w:spacing w:before="0" w:after="0" w:line="1840" w:lineRule="exact"/>
      <w:ind w:right="-567"/>
    </w:pPr>
  </w:style>
  <w:style w:type="paragraph" w:customStyle="1" w:styleId="DividerOpt2paragraphspacing1st">
    <w:name w:val="Divider Opt 2 paragraph spacing 1st"/>
    <w:basedOn w:val="DividerOpt2paragraphspacing"/>
    <w:uiPriority w:val="39"/>
    <w:rsid w:val="009D05C9"/>
    <w:pPr>
      <w:tabs>
        <w:tab w:val="right" w:pos="1134"/>
        <w:tab w:val="right" w:pos="1701"/>
        <w:tab w:val="right" w:pos="2268"/>
        <w:tab w:val="right" w:pos="2835"/>
      </w:tabs>
    </w:pPr>
  </w:style>
  <w:style w:type="paragraph" w:styleId="NormalWeb">
    <w:name w:val="Normal (Web)"/>
    <w:basedOn w:val="Normal"/>
    <w:uiPriority w:val="99"/>
    <w:semiHidden/>
    <w:unhideWhenUsed/>
    <w:rsid w:val="006842FF"/>
    <w:pPr>
      <w:kinsoku/>
      <w:overflowPunct/>
      <w:autoSpaceDE/>
      <w:autoSpaceDN/>
      <w:adjustRightInd/>
      <w:snapToGrid/>
      <w:spacing w:before="100" w:beforeAutospacing="1" w:after="100" w:afterAutospacing="1" w:line="240" w:lineRule="auto"/>
    </w:pPr>
    <w:rPr>
      <w:rFonts w:ascii="Times New Roman" w:eastAsiaTheme="minorEastAsia" w:hAnsi="Times New Roman" w:cs="Times New Roman"/>
      <w:snapToGrid/>
      <w:sz w:val="24"/>
      <w:szCs w:val="24"/>
      <w:lang w:val="en-US"/>
    </w:rPr>
  </w:style>
  <w:style w:type="paragraph" w:customStyle="1" w:styleId="Footer-White">
    <w:name w:val="Footer - White"/>
    <w:basedOn w:val="Footer-Even"/>
    <w:uiPriority w:val="39"/>
    <w:rsid w:val="00361597"/>
    <w:rPr>
      <w:noProof/>
      <w:color w:val="FFFFFF" w:themeColor="background1"/>
    </w:rPr>
  </w:style>
  <w:style w:type="character" w:customStyle="1" w:styleId="FootnoteTextChar">
    <w:name w:val="Footnote Text Char"/>
    <w:basedOn w:val="DefaultParagraphFont"/>
    <w:link w:val="FootnoteText"/>
    <w:uiPriority w:val="39"/>
    <w:rsid w:val="007905E6"/>
    <w:rPr>
      <w:rFonts w:asciiTheme="minorHAnsi" w:hAnsiTheme="minorHAnsi" w:cs="Arial"/>
      <w:snapToGrid w:val="0"/>
      <w:sz w:val="14"/>
      <w:lang w:eastAsia="en-US"/>
    </w:rPr>
  </w:style>
  <w:style w:type="character" w:customStyle="1" w:styleId="ListParagraphChar">
    <w:name w:val="List Paragraph Char"/>
    <w:aliases w:val="List Paragraph1 Char,List Paragraph11 Char,Recommendation Char,Bulleted Para Char,CV text Char,Dot pt Char,F5 List Paragraph Char,FooterText Char,L Char,List Paragraph111 Char,List Paragraph2 Char,Medium Grid 1 - Accent 21 Char"/>
    <w:basedOn w:val="DefaultParagraphFont"/>
    <w:link w:val="ListParagraph"/>
    <w:uiPriority w:val="34"/>
    <w:qFormat/>
    <w:locked/>
    <w:rsid w:val="007905E6"/>
    <w:rPr>
      <w:rFonts w:asciiTheme="minorHAnsi" w:hAnsiTheme="minorHAnsi" w:cs="Arial"/>
      <w:snapToGrid w:val="0"/>
      <w:sz w:val="18"/>
      <w:lang w:eastAsia="en-US"/>
    </w:rPr>
  </w:style>
  <w:style w:type="paragraph" w:styleId="Subtitle">
    <w:name w:val="Subtitle"/>
    <w:basedOn w:val="Normal"/>
    <w:next w:val="Normal"/>
    <w:link w:val="SubtitleChar"/>
    <w:qFormat/>
    <w:rsid w:val="00A12B15"/>
    <w:pPr>
      <w:keepNext/>
      <w:keepLines/>
      <w:kinsoku/>
      <w:overflowPunct/>
      <w:autoSpaceDE/>
      <w:autoSpaceDN/>
      <w:adjustRightInd/>
      <w:snapToGrid/>
      <w:spacing w:after="320" w:line="276" w:lineRule="auto"/>
    </w:pPr>
    <w:rPr>
      <w:rFonts w:ascii="Arial" w:eastAsia="Arial" w:hAnsi="Arial"/>
      <w:snapToGrid/>
      <w:color w:val="666666"/>
      <w:sz w:val="30"/>
      <w:szCs w:val="30"/>
      <w:lang w:val="en"/>
    </w:rPr>
  </w:style>
  <w:style w:type="character" w:customStyle="1" w:styleId="SubtitleChar">
    <w:name w:val="Subtitle Char"/>
    <w:basedOn w:val="DefaultParagraphFont"/>
    <w:link w:val="Subtitle"/>
    <w:rsid w:val="00A12B15"/>
    <w:rPr>
      <w:rFonts w:ascii="Arial" w:eastAsia="Arial" w:hAnsi="Arial" w:cs="Arial"/>
      <w:color w:val="666666"/>
      <w:sz w:val="30"/>
      <w:szCs w:val="30"/>
      <w:lang w:val="en" w:eastAsia="en-US"/>
    </w:rPr>
  </w:style>
  <w:style w:type="paragraph" w:customStyle="1" w:styleId="PwCNormalGreen">
    <w:name w:val="PwC NormalGreen"/>
    <w:basedOn w:val="PwCNormal"/>
    <w:rsid w:val="00C604F4"/>
    <w:pPr>
      <w:numPr>
        <w:numId w:val="0"/>
      </w:numPr>
    </w:pPr>
    <w:rPr>
      <w:color w:val="00B050"/>
    </w:rPr>
  </w:style>
  <w:style w:type="paragraph" w:customStyle="1" w:styleId="TableTextSmall14pt">
    <w:name w:val="Table Text Small + 14 pt"/>
    <w:basedOn w:val="TableTextSmall"/>
    <w:rsid w:val="00365734"/>
    <w:rPr>
      <w:sz w:val="28"/>
      <w:szCs w:val="28"/>
    </w:rPr>
  </w:style>
  <w:style w:type="table" w:customStyle="1" w:styleId="TableGrid10">
    <w:name w:val="Table Grid1"/>
    <w:basedOn w:val="TableNormal"/>
    <w:next w:val="TableGrid"/>
    <w:uiPriority w:val="59"/>
    <w:rsid w:val="005D6191"/>
    <w:rPr>
      <w:rFonts w:asciiTheme="minorHAnsi" w:eastAsia="MS Mincho"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85A89"/>
    <w:rPr>
      <w:color w:val="605E5C"/>
      <w:shd w:val="clear" w:color="auto" w:fill="E1DFDD"/>
    </w:rPr>
  </w:style>
  <w:style w:type="paragraph" w:customStyle="1" w:styleId="Default">
    <w:name w:val="Default"/>
    <w:rsid w:val="00C85A89"/>
    <w:pPr>
      <w:autoSpaceDE w:val="0"/>
      <w:autoSpaceDN w:val="0"/>
      <w:adjustRightInd w:val="0"/>
    </w:pPr>
    <w:rPr>
      <w:rFonts w:ascii="Times New Roman" w:hAnsi="Times New Roman"/>
      <w:color w:val="000000"/>
      <w:sz w:val="24"/>
      <w:szCs w:val="24"/>
    </w:rPr>
  </w:style>
  <w:style w:type="character" w:customStyle="1" w:styleId="Hyperlink1">
    <w:name w:val="Hyperlink1"/>
    <w:basedOn w:val="DefaultParagraphFont"/>
    <w:uiPriority w:val="99"/>
    <w:rsid w:val="00E007A4"/>
    <w:rPr>
      <w:color w:val="7D7D7D"/>
      <w:u w:val="single"/>
    </w:rPr>
  </w:style>
  <w:style w:type="paragraph" w:styleId="Revision">
    <w:name w:val="Revision"/>
    <w:hidden/>
    <w:uiPriority w:val="99"/>
    <w:semiHidden/>
    <w:rsid w:val="000A78A2"/>
    <w:rPr>
      <w:rFonts w:asciiTheme="minorHAnsi" w:hAnsiTheme="minorHAnsi" w:cs="Arial"/>
      <w:snapToGrid w:val="0"/>
      <w:sz w:val="18"/>
      <w:lang w:eastAsia="en-US"/>
    </w:rPr>
  </w:style>
  <w:style w:type="table" w:styleId="GridTable1Light">
    <w:name w:val="Grid Table 1 Light"/>
    <w:basedOn w:val="TableNormal"/>
    <w:uiPriority w:val="46"/>
    <w:rsid w:val="00B76C7F"/>
    <w:rPr>
      <w:rFonts w:asciiTheme="minorHAnsi" w:eastAsiaTheme="minorHAnsi" w:hAnsiTheme="minorHAnsi" w:cstheme="minorBidi"/>
      <w:sz w:val="22"/>
      <w:szCs w:val="22"/>
      <w:lang w:eastAsia="en-US"/>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ivider1SubHeading">
    <w:name w:val="Divider1SubHeading"/>
    <w:basedOn w:val="Normal"/>
    <w:link w:val="Divider1SubHeadingChar"/>
    <w:rsid w:val="00663019"/>
    <w:pPr>
      <w:kinsoku/>
      <w:overflowPunct/>
      <w:autoSpaceDE/>
      <w:autoSpaceDN/>
      <w:adjustRightInd/>
      <w:snapToGrid/>
      <w:spacing w:line="240" w:lineRule="auto"/>
    </w:pPr>
    <w:rPr>
      <w:rFonts w:eastAsiaTheme="minorHAnsi" w:cstheme="minorBidi"/>
      <w:b/>
      <w:i/>
      <w:snapToGrid/>
      <w:color w:val="FFFFFF" w:themeColor="background1"/>
      <w:sz w:val="32"/>
    </w:rPr>
  </w:style>
  <w:style w:type="character" w:customStyle="1" w:styleId="Divider1SubHeadingChar">
    <w:name w:val="Divider1SubHeading Char"/>
    <w:basedOn w:val="DefaultParagraphFont"/>
    <w:link w:val="Divider1SubHeading"/>
    <w:rsid w:val="00663019"/>
    <w:rPr>
      <w:rFonts w:asciiTheme="minorHAnsi" w:eastAsiaTheme="minorHAnsi" w:hAnsiTheme="minorHAnsi" w:cstheme="minorBidi"/>
      <w:b/>
      <w:i/>
      <w:color w:val="FFFFFF" w:themeColor="background1"/>
      <w:sz w:val="32"/>
      <w:lang w:eastAsia="en-US"/>
    </w:rPr>
  </w:style>
  <w:style w:type="paragraph" w:customStyle="1" w:styleId="Divider1Text">
    <w:name w:val="Divider1Text"/>
    <w:basedOn w:val="Normal"/>
    <w:link w:val="Divider1TextChar"/>
    <w:rsid w:val="00663019"/>
    <w:pPr>
      <w:kinsoku/>
      <w:overflowPunct/>
      <w:autoSpaceDE/>
      <w:autoSpaceDN/>
      <w:adjustRightInd/>
      <w:snapToGrid/>
      <w:spacing w:line="240" w:lineRule="auto"/>
    </w:pPr>
    <w:rPr>
      <w:rFonts w:eastAsiaTheme="minorHAnsi" w:cstheme="minorBidi"/>
      <w:snapToGrid/>
      <w:color w:val="FFFFFF" w:themeColor="background1"/>
      <w:sz w:val="20"/>
    </w:rPr>
  </w:style>
  <w:style w:type="character" w:customStyle="1" w:styleId="Divider1TextChar">
    <w:name w:val="Divider1Text Char"/>
    <w:basedOn w:val="DefaultParagraphFont"/>
    <w:link w:val="Divider1Text"/>
    <w:rsid w:val="00663019"/>
    <w:rPr>
      <w:rFonts w:asciiTheme="minorHAnsi" w:eastAsiaTheme="minorHAnsi" w:hAnsiTheme="minorHAnsi" w:cstheme="minorBidi"/>
      <w:color w:val="FFFFFF" w:themeColor="background1"/>
      <w:lang w:eastAsia="en-US"/>
    </w:rPr>
  </w:style>
  <w:style w:type="paragraph" w:customStyle="1" w:styleId="Divider1Number">
    <w:name w:val="Divider1Number"/>
    <w:basedOn w:val="Normal"/>
    <w:link w:val="Divider1NumberChar"/>
    <w:rsid w:val="00663019"/>
    <w:pPr>
      <w:kinsoku/>
      <w:overflowPunct/>
      <w:autoSpaceDE/>
      <w:autoSpaceDN/>
      <w:adjustRightInd/>
      <w:snapToGrid/>
      <w:spacing w:line="240" w:lineRule="auto"/>
      <w:jc w:val="center"/>
    </w:pPr>
    <w:rPr>
      <w:rFonts w:eastAsiaTheme="minorHAnsi" w:cstheme="minorBidi"/>
      <w:b/>
      <w:i/>
      <w:snapToGrid/>
      <w:color w:val="FFFFFF" w:themeColor="background1"/>
      <w:sz w:val="56"/>
    </w:rPr>
  </w:style>
  <w:style w:type="character" w:customStyle="1" w:styleId="Divider1NumberChar">
    <w:name w:val="Divider1Number Char"/>
    <w:basedOn w:val="DefaultParagraphFont"/>
    <w:link w:val="Divider1Number"/>
    <w:rsid w:val="00663019"/>
    <w:rPr>
      <w:rFonts w:asciiTheme="minorHAnsi" w:eastAsiaTheme="minorHAnsi" w:hAnsiTheme="minorHAnsi" w:cstheme="minorBidi"/>
      <w:b/>
      <w:i/>
      <w:color w:val="FFFFFF" w:themeColor="background1"/>
      <w:sz w:val="56"/>
      <w:lang w:eastAsia="en-US"/>
    </w:rPr>
  </w:style>
  <w:style w:type="table" w:customStyle="1" w:styleId="PwCColour1">
    <w:name w:val="PwC Colour1"/>
    <w:basedOn w:val="TableNormal"/>
    <w:rsid w:val="000F3EF8"/>
    <w:tblPr>
      <w:tblStyleRowBandSize w:val="1"/>
      <w:tblStyleColBandSize w:val="1"/>
      <w:tblInd w:w="0" w:type="nil"/>
      <w:tblBorders>
        <w:top w:val="single" w:sz="4" w:space="0" w:color="FFFFFF"/>
        <w:left w:val="single" w:sz="4" w:space="0" w:color="FFFFFF"/>
        <w:bottom w:val="single" w:sz="6" w:space="0" w:color="7D7D7D"/>
        <w:right w:val="single" w:sz="4" w:space="0" w:color="FFFFFF"/>
        <w:insideH w:val="dotted" w:sz="8" w:space="0" w:color="7D7D7D"/>
        <w:insideV w:val="single" w:sz="4" w:space="0" w:color="FFFFFF"/>
      </w:tblBorders>
    </w:tblPr>
    <w:tblStylePr w:type="firstRow">
      <w:pPr>
        <w:jc w:val="left"/>
      </w:pPr>
      <w:rPr>
        <w:rFonts w:ascii="Georgia" w:hAnsi="Georgia" w:hint="default"/>
        <w:b w:val="0"/>
        <w:color w:val="auto"/>
      </w:rPr>
      <w:tblPr/>
      <w:tcPr>
        <w:tcBorders>
          <w:top w:val="single" w:sz="4" w:space="0" w:color="EB8C00"/>
          <w:bottom w:val="single" w:sz="4" w:space="0" w:color="EB8C00"/>
        </w:tcBorders>
      </w:tcPr>
    </w:tblStylePr>
    <w:tblStylePr w:type="lastRow">
      <w:rPr>
        <w:color w:val="auto"/>
      </w:rPr>
      <w:tblPr/>
      <w:tcPr>
        <w:tcBorders>
          <w:top w:val="single" w:sz="4" w:space="0" w:color="7D7D7D"/>
        </w:tcBorders>
      </w:tcPr>
    </w:tblStylePr>
    <w:tblStylePr w:type="nwCell">
      <w:pPr>
        <w:jc w:val="left"/>
      </w:pPr>
      <w:tblPr/>
      <w:tcPr>
        <w:vAlign w:val="bottom"/>
      </w:tcPr>
    </w:tblStylePr>
  </w:style>
  <w:style w:type="character" w:customStyle="1" w:styleId="UnresolvedMention2">
    <w:name w:val="Unresolved Mention2"/>
    <w:basedOn w:val="DefaultParagraphFont"/>
    <w:uiPriority w:val="99"/>
    <w:semiHidden/>
    <w:unhideWhenUsed/>
    <w:rsid w:val="007E18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08958">
      <w:bodyDiv w:val="1"/>
      <w:marLeft w:val="0"/>
      <w:marRight w:val="0"/>
      <w:marTop w:val="0"/>
      <w:marBottom w:val="0"/>
      <w:divBdr>
        <w:top w:val="none" w:sz="0" w:space="0" w:color="auto"/>
        <w:left w:val="none" w:sz="0" w:space="0" w:color="auto"/>
        <w:bottom w:val="none" w:sz="0" w:space="0" w:color="auto"/>
        <w:right w:val="none" w:sz="0" w:space="0" w:color="auto"/>
      </w:divBdr>
      <w:divsChild>
        <w:div w:id="42799475">
          <w:marLeft w:val="274"/>
          <w:marRight w:val="0"/>
          <w:marTop w:val="120"/>
          <w:marBottom w:val="120"/>
          <w:divBdr>
            <w:top w:val="none" w:sz="0" w:space="0" w:color="auto"/>
            <w:left w:val="none" w:sz="0" w:space="0" w:color="auto"/>
            <w:bottom w:val="none" w:sz="0" w:space="0" w:color="auto"/>
            <w:right w:val="none" w:sz="0" w:space="0" w:color="auto"/>
          </w:divBdr>
        </w:div>
        <w:div w:id="439378784">
          <w:marLeft w:val="274"/>
          <w:marRight w:val="0"/>
          <w:marTop w:val="120"/>
          <w:marBottom w:val="120"/>
          <w:divBdr>
            <w:top w:val="none" w:sz="0" w:space="0" w:color="auto"/>
            <w:left w:val="none" w:sz="0" w:space="0" w:color="auto"/>
            <w:bottom w:val="none" w:sz="0" w:space="0" w:color="auto"/>
            <w:right w:val="none" w:sz="0" w:space="0" w:color="auto"/>
          </w:divBdr>
        </w:div>
        <w:div w:id="624118407">
          <w:marLeft w:val="274"/>
          <w:marRight w:val="0"/>
          <w:marTop w:val="120"/>
          <w:marBottom w:val="120"/>
          <w:divBdr>
            <w:top w:val="none" w:sz="0" w:space="0" w:color="auto"/>
            <w:left w:val="none" w:sz="0" w:space="0" w:color="auto"/>
            <w:bottom w:val="none" w:sz="0" w:space="0" w:color="auto"/>
            <w:right w:val="none" w:sz="0" w:space="0" w:color="auto"/>
          </w:divBdr>
        </w:div>
        <w:div w:id="729621877">
          <w:marLeft w:val="274"/>
          <w:marRight w:val="0"/>
          <w:marTop w:val="120"/>
          <w:marBottom w:val="120"/>
          <w:divBdr>
            <w:top w:val="none" w:sz="0" w:space="0" w:color="auto"/>
            <w:left w:val="none" w:sz="0" w:space="0" w:color="auto"/>
            <w:bottom w:val="none" w:sz="0" w:space="0" w:color="auto"/>
            <w:right w:val="none" w:sz="0" w:space="0" w:color="auto"/>
          </w:divBdr>
        </w:div>
        <w:div w:id="1071004270">
          <w:marLeft w:val="274"/>
          <w:marRight w:val="0"/>
          <w:marTop w:val="120"/>
          <w:marBottom w:val="120"/>
          <w:divBdr>
            <w:top w:val="none" w:sz="0" w:space="0" w:color="auto"/>
            <w:left w:val="none" w:sz="0" w:space="0" w:color="auto"/>
            <w:bottom w:val="none" w:sz="0" w:space="0" w:color="auto"/>
            <w:right w:val="none" w:sz="0" w:space="0" w:color="auto"/>
          </w:divBdr>
        </w:div>
        <w:div w:id="1680691444">
          <w:marLeft w:val="274"/>
          <w:marRight w:val="0"/>
          <w:marTop w:val="120"/>
          <w:marBottom w:val="120"/>
          <w:divBdr>
            <w:top w:val="none" w:sz="0" w:space="0" w:color="auto"/>
            <w:left w:val="none" w:sz="0" w:space="0" w:color="auto"/>
            <w:bottom w:val="none" w:sz="0" w:space="0" w:color="auto"/>
            <w:right w:val="none" w:sz="0" w:space="0" w:color="auto"/>
          </w:divBdr>
        </w:div>
        <w:div w:id="1935358092">
          <w:marLeft w:val="274"/>
          <w:marRight w:val="0"/>
          <w:marTop w:val="120"/>
          <w:marBottom w:val="120"/>
          <w:divBdr>
            <w:top w:val="none" w:sz="0" w:space="0" w:color="auto"/>
            <w:left w:val="none" w:sz="0" w:space="0" w:color="auto"/>
            <w:bottom w:val="none" w:sz="0" w:space="0" w:color="auto"/>
            <w:right w:val="none" w:sz="0" w:space="0" w:color="auto"/>
          </w:divBdr>
        </w:div>
      </w:divsChild>
    </w:div>
    <w:div w:id="57749902">
      <w:bodyDiv w:val="1"/>
      <w:marLeft w:val="0"/>
      <w:marRight w:val="0"/>
      <w:marTop w:val="0"/>
      <w:marBottom w:val="0"/>
      <w:divBdr>
        <w:top w:val="none" w:sz="0" w:space="0" w:color="auto"/>
        <w:left w:val="none" w:sz="0" w:space="0" w:color="auto"/>
        <w:bottom w:val="none" w:sz="0" w:space="0" w:color="auto"/>
        <w:right w:val="none" w:sz="0" w:space="0" w:color="auto"/>
      </w:divBdr>
    </w:div>
    <w:div w:id="93792028">
      <w:bodyDiv w:val="1"/>
      <w:marLeft w:val="0"/>
      <w:marRight w:val="0"/>
      <w:marTop w:val="0"/>
      <w:marBottom w:val="0"/>
      <w:divBdr>
        <w:top w:val="none" w:sz="0" w:space="0" w:color="auto"/>
        <w:left w:val="none" w:sz="0" w:space="0" w:color="auto"/>
        <w:bottom w:val="none" w:sz="0" w:space="0" w:color="auto"/>
        <w:right w:val="none" w:sz="0" w:space="0" w:color="auto"/>
      </w:divBdr>
    </w:div>
    <w:div w:id="128254823">
      <w:bodyDiv w:val="1"/>
      <w:marLeft w:val="0"/>
      <w:marRight w:val="0"/>
      <w:marTop w:val="0"/>
      <w:marBottom w:val="0"/>
      <w:divBdr>
        <w:top w:val="none" w:sz="0" w:space="0" w:color="auto"/>
        <w:left w:val="none" w:sz="0" w:space="0" w:color="auto"/>
        <w:bottom w:val="none" w:sz="0" w:space="0" w:color="auto"/>
        <w:right w:val="none" w:sz="0" w:space="0" w:color="auto"/>
      </w:divBdr>
    </w:div>
    <w:div w:id="151725824">
      <w:bodyDiv w:val="1"/>
      <w:marLeft w:val="0"/>
      <w:marRight w:val="0"/>
      <w:marTop w:val="0"/>
      <w:marBottom w:val="0"/>
      <w:divBdr>
        <w:top w:val="none" w:sz="0" w:space="0" w:color="auto"/>
        <w:left w:val="none" w:sz="0" w:space="0" w:color="auto"/>
        <w:bottom w:val="none" w:sz="0" w:space="0" w:color="auto"/>
        <w:right w:val="none" w:sz="0" w:space="0" w:color="auto"/>
      </w:divBdr>
      <w:divsChild>
        <w:div w:id="563951897">
          <w:marLeft w:val="288"/>
          <w:marRight w:val="0"/>
          <w:marTop w:val="0"/>
          <w:marBottom w:val="120"/>
          <w:divBdr>
            <w:top w:val="none" w:sz="0" w:space="0" w:color="auto"/>
            <w:left w:val="none" w:sz="0" w:space="0" w:color="auto"/>
            <w:bottom w:val="none" w:sz="0" w:space="0" w:color="auto"/>
            <w:right w:val="none" w:sz="0" w:space="0" w:color="auto"/>
          </w:divBdr>
        </w:div>
        <w:div w:id="1255433642">
          <w:marLeft w:val="288"/>
          <w:marRight w:val="0"/>
          <w:marTop w:val="0"/>
          <w:marBottom w:val="120"/>
          <w:divBdr>
            <w:top w:val="none" w:sz="0" w:space="0" w:color="auto"/>
            <w:left w:val="none" w:sz="0" w:space="0" w:color="auto"/>
            <w:bottom w:val="none" w:sz="0" w:space="0" w:color="auto"/>
            <w:right w:val="none" w:sz="0" w:space="0" w:color="auto"/>
          </w:divBdr>
        </w:div>
        <w:div w:id="1263608295">
          <w:marLeft w:val="288"/>
          <w:marRight w:val="0"/>
          <w:marTop w:val="0"/>
          <w:marBottom w:val="120"/>
          <w:divBdr>
            <w:top w:val="none" w:sz="0" w:space="0" w:color="auto"/>
            <w:left w:val="none" w:sz="0" w:space="0" w:color="auto"/>
            <w:bottom w:val="none" w:sz="0" w:space="0" w:color="auto"/>
            <w:right w:val="none" w:sz="0" w:space="0" w:color="auto"/>
          </w:divBdr>
        </w:div>
        <w:div w:id="1751004737">
          <w:marLeft w:val="288"/>
          <w:marRight w:val="0"/>
          <w:marTop w:val="0"/>
          <w:marBottom w:val="120"/>
          <w:divBdr>
            <w:top w:val="none" w:sz="0" w:space="0" w:color="auto"/>
            <w:left w:val="none" w:sz="0" w:space="0" w:color="auto"/>
            <w:bottom w:val="none" w:sz="0" w:space="0" w:color="auto"/>
            <w:right w:val="none" w:sz="0" w:space="0" w:color="auto"/>
          </w:divBdr>
        </w:div>
      </w:divsChild>
    </w:div>
    <w:div w:id="241256377">
      <w:bodyDiv w:val="1"/>
      <w:marLeft w:val="0"/>
      <w:marRight w:val="0"/>
      <w:marTop w:val="0"/>
      <w:marBottom w:val="0"/>
      <w:divBdr>
        <w:top w:val="none" w:sz="0" w:space="0" w:color="auto"/>
        <w:left w:val="none" w:sz="0" w:space="0" w:color="auto"/>
        <w:bottom w:val="none" w:sz="0" w:space="0" w:color="auto"/>
        <w:right w:val="none" w:sz="0" w:space="0" w:color="auto"/>
      </w:divBdr>
    </w:div>
    <w:div w:id="323894877">
      <w:bodyDiv w:val="1"/>
      <w:marLeft w:val="0"/>
      <w:marRight w:val="0"/>
      <w:marTop w:val="0"/>
      <w:marBottom w:val="0"/>
      <w:divBdr>
        <w:top w:val="none" w:sz="0" w:space="0" w:color="auto"/>
        <w:left w:val="none" w:sz="0" w:space="0" w:color="auto"/>
        <w:bottom w:val="none" w:sz="0" w:space="0" w:color="auto"/>
        <w:right w:val="none" w:sz="0" w:space="0" w:color="auto"/>
      </w:divBdr>
    </w:div>
    <w:div w:id="368066738">
      <w:bodyDiv w:val="1"/>
      <w:marLeft w:val="0"/>
      <w:marRight w:val="0"/>
      <w:marTop w:val="0"/>
      <w:marBottom w:val="0"/>
      <w:divBdr>
        <w:top w:val="none" w:sz="0" w:space="0" w:color="auto"/>
        <w:left w:val="none" w:sz="0" w:space="0" w:color="auto"/>
        <w:bottom w:val="none" w:sz="0" w:space="0" w:color="auto"/>
        <w:right w:val="none" w:sz="0" w:space="0" w:color="auto"/>
      </w:divBdr>
    </w:div>
    <w:div w:id="445349347">
      <w:bodyDiv w:val="1"/>
      <w:marLeft w:val="0"/>
      <w:marRight w:val="0"/>
      <w:marTop w:val="0"/>
      <w:marBottom w:val="0"/>
      <w:divBdr>
        <w:top w:val="none" w:sz="0" w:space="0" w:color="auto"/>
        <w:left w:val="none" w:sz="0" w:space="0" w:color="auto"/>
        <w:bottom w:val="none" w:sz="0" w:space="0" w:color="auto"/>
        <w:right w:val="none" w:sz="0" w:space="0" w:color="auto"/>
      </w:divBdr>
    </w:div>
    <w:div w:id="480734919">
      <w:bodyDiv w:val="1"/>
      <w:marLeft w:val="0"/>
      <w:marRight w:val="0"/>
      <w:marTop w:val="0"/>
      <w:marBottom w:val="0"/>
      <w:divBdr>
        <w:top w:val="none" w:sz="0" w:space="0" w:color="auto"/>
        <w:left w:val="none" w:sz="0" w:space="0" w:color="auto"/>
        <w:bottom w:val="none" w:sz="0" w:space="0" w:color="auto"/>
        <w:right w:val="none" w:sz="0" w:space="0" w:color="auto"/>
      </w:divBdr>
    </w:div>
    <w:div w:id="497117658">
      <w:bodyDiv w:val="1"/>
      <w:marLeft w:val="0"/>
      <w:marRight w:val="0"/>
      <w:marTop w:val="0"/>
      <w:marBottom w:val="0"/>
      <w:divBdr>
        <w:top w:val="none" w:sz="0" w:space="0" w:color="auto"/>
        <w:left w:val="none" w:sz="0" w:space="0" w:color="auto"/>
        <w:bottom w:val="none" w:sz="0" w:space="0" w:color="auto"/>
        <w:right w:val="none" w:sz="0" w:space="0" w:color="auto"/>
      </w:divBdr>
    </w:div>
    <w:div w:id="501048557">
      <w:bodyDiv w:val="1"/>
      <w:marLeft w:val="0"/>
      <w:marRight w:val="0"/>
      <w:marTop w:val="0"/>
      <w:marBottom w:val="0"/>
      <w:divBdr>
        <w:top w:val="none" w:sz="0" w:space="0" w:color="auto"/>
        <w:left w:val="none" w:sz="0" w:space="0" w:color="auto"/>
        <w:bottom w:val="none" w:sz="0" w:space="0" w:color="auto"/>
        <w:right w:val="none" w:sz="0" w:space="0" w:color="auto"/>
      </w:divBdr>
    </w:div>
    <w:div w:id="546333749">
      <w:bodyDiv w:val="1"/>
      <w:marLeft w:val="0"/>
      <w:marRight w:val="0"/>
      <w:marTop w:val="0"/>
      <w:marBottom w:val="0"/>
      <w:divBdr>
        <w:top w:val="none" w:sz="0" w:space="0" w:color="auto"/>
        <w:left w:val="none" w:sz="0" w:space="0" w:color="auto"/>
        <w:bottom w:val="none" w:sz="0" w:space="0" w:color="auto"/>
        <w:right w:val="none" w:sz="0" w:space="0" w:color="auto"/>
      </w:divBdr>
    </w:div>
    <w:div w:id="638996099">
      <w:bodyDiv w:val="1"/>
      <w:marLeft w:val="0"/>
      <w:marRight w:val="0"/>
      <w:marTop w:val="0"/>
      <w:marBottom w:val="0"/>
      <w:divBdr>
        <w:top w:val="none" w:sz="0" w:space="0" w:color="auto"/>
        <w:left w:val="none" w:sz="0" w:space="0" w:color="auto"/>
        <w:bottom w:val="none" w:sz="0" w:space="0" w:color="auto"/>
        <w:right w:val="none" w:sz="0" w:space="0" w:color="auto"/>
      </w:divBdr>
    </w:div>
    <w:div w:id="674649755">
      <w:bodyDiv w:val="1"/>
      <w:marLeft w:val="0"/>
      <w:marRight w:val="0"/>
      <w:marTop w:val="0"/>
      <w:marBottom w:val="0"/>
      <w:divBdr>
        <w:top w:val="none" w:sz="0" w:space="0" w:color="auto"/>
        <w:left w:val="none" w:sz="0" w:space="0" w:color="auto"/>
        <w:bottom w:val="none" w:sz="0" w:space="0" w:color="auto"/>
        <w:right w:val="none" w:sz="0" w:space="0" w:color="auto"/>
      </w:divBdr>
    </w:div>
    <w:div w:id="733545552">
      <w:bodyDiv w:val="1"/>
      <w:marLeft w:val="0"/>
      <w:marRight w:val="0"/>
      <w:marTop w:val="0"/>
      <w:marBottom w:val="0"/>
      <w:divBdr>
        <w:top w:val="none" w:sz="0" w:space="0" w:color="auto"/>
        <w:left w:val="none" w:sz="0" w:space="0" w:color="auto"/>
        <w:bottom w:val="none" w:sz="0" w:space="0" w:color="auto"/>
        <w:right w:val="none" w:sz="0" w:space="0" w:color="auto"/>
      </w:divBdr>
    </w:div>
    <w:div w:id="769786607">
      <w:bodyDiv w:val="1"/>
      <w:marLeft w:val="0"/>
      <w:marRight w:val="0"/>
      <w:marTop w:val="0"/>
      <w:marBottom w:val="0"/>
      <w:divBdr>
        <w:top w:val="none" w:sz="0" w:space="0" w:color="auto"/>
        <w:left w:val="none" w:sz="0" w:space="0" w:color="auto"/>
        <w:bottom w:val="none" w:sz="0" w:space="0" w:color="auto"/>
        <w:right w:val="none" w:sz="0" w:space="0" w:color="auto"/>
      </w:divBdr>
    </w:div>
    <w:div w:id="804738326">
      <w:bodyDiv w:val="1"/>
      <w:marLeft w:val="0"/>
      <w:marRight w:val="0"/>
      <w:marTop w:val="0"/>
      <w:marBottom w:val="0"/>
      <w:divBdr>
        <w:top w:val="none" w:sz="0" w:space="0" w:color="auto"/>
        <w:left w:val="none" w:sz="0" w:space="0" w:color="auto"/>
        <w:bottom w:val="none" w:sz="0" w:space="0" w:color="auto"/>
        <w:right w:val="none" w:sz="0" w:space="0" w:color="auto"/>
      </w:divBdr>
    </w:div>
    <w:div w:id="833030406">
      <w:bodyDiv w:val="1"/>
      <w:marLeft w:val="0"/>
      <w:marRight w:val="0"/>
      <w:marTop w:val="0"/>
      <w:marBottom w:val="0"/>
      <w:divBdr>
        <w:top w:val="none" w:sz="0" w:space="0" w:color="auto"/>
        <w:left w:val="none" w:sz="0" w:space="0" w:color="auto"/>
        <w:bottom w:val="none" w:sz="0" w:space="0" w:color="auto"/>
        <w:right w:val="none" w:sz="0" w:space="0" w:color="auto"/>
      </w:divBdr>
    </w:div>
    <w:div w:id="875309711">
      <w:bodyDiv w:val="1"/>
      <w:marLeft w:val="0"/>
      <w:marRight w:val="0"/>
      <w:marTop w:val="0"/>
      <w:marBottom w:val="0"/>
      <w:divBdr>
        <w:top w:val="none" w:sz="0" w:space="0" w:color="auto"/>
        <w:left w:val="none" w:sz="0" w:space="0" w:color="auto"/>
        <w:bottom w:val="none" w:sz="0" w:space="0" w:color="auto"/>
        <w:right w:val="none" w:sz="0" w:space="0" w:color="auto"/>
      </w:divBdr>
    </w:div>
    <w:div w:id="876162434">
      <w:bodyDiv w:val="1"/>
      <w:marLeft w:val="0"/>
      <w:marRight w:val="0"/>
      <w:marTop w:val="0"/>
      <w:marBottom w:val="0"/>
      <w:divBdr>
        <w:top w:val="none" w:sz="0" w:space="0" w:color="auto"/>
        <w:left w:val="none" w:sz="0" w:space="0" w:color="auto"/>
        <w:bottom w:val="none" w:sz="0" w:space="0" w:color="auto"/>
        <w:right w:val="none" w:sz="0" w:space="0" w:color="auto"/>
      </w:divBdr>
    </w:div>
    <w:div w:id="1005934374">
      <w:bodyDiv w:val="1"/>
      <w:marLeft w:val="0"/>
      <w:marRight w:val="0"/>
      <w:marTop w:val="0"/>
      <w:marBottom w:val="0"/>
      <w:divBdr>
        <w:top w:val="none" w:sz="0" w:space="0" w:color="auto"/>
        <w:left w:val="none" w:sz="0" w:space="0" w:color="auto"/>
        <w:bottom w:val="none" w:sz="0" w:space="0" w:color="auto"/>
        <w:right w:val="none" w:sz="0" w:space="0" w:color="auto"/>
      </w:divBdr>
    </w:div>
    <w:div w:id="1029184049">
      <w:bodyDiv w:val="1"/>
      <w:marLeft w:val="0"/>
      <w:marRight w:val="0"/>
      <w:marTop w:val="0"/>
      <w:marBottom w:val="0"/>
      <w:divBdr>
        <w:top w:val="none" w:sz="0" w:space="0" w:color="auto"/>
        <w:left w:val="none" w:sz="0" w:space="0" w:color="auto"/>
        <w:bottom w:val="none" w:sz="0" w:space="0" w:color="auto"/>
        <w:right w:val="none" w:sz="0" w:space="0" w:color="auto"/>
      </w:divBdr>
    </w:div>
    <w:div w:id="1033849538">
      <w:bodyDiv w:val="1"/>
      <w:marLeft w:val="0"/>
      <w:marRight w:val="0"/>
      <w:marTop w:val="0"/>
      <w:marBottom w:val="0"/>
      <w:divBdr>
        <w:top w:val="none" w:sz="0" w:space="0" w:color="auto"/>
        <w:left w:val="none" w:sz="0" w:space="0" w:color="auto"/>
        <w:bottom w:val="none" w:sz="0" w:space="0" w:color="auto"/>
        <w:right w:val="none" w:sz="0" w:space="0" w:color="auto"/>
      </w:divBdr>
    </w:div>
    <w:div w:id="1034355588">
      <w:bodyDiv w:val="1"/>
      <w:marLeft w:val="0"/>
      <w:marRight w:val="0"/>
      <w:marTop w:val="0"/>
      <w:marBottom w:val="0"/>
      <w:divBdr>
        <w:top w:val="none" w:sz="0" w:space="0" w:color="auto"/>
        <w:left w:val="none" w:sz="0" w:space="0" w:color="auto"/>
        <w:bottom w:val="none" w:sz="0" w:space="0" w:color="auto"/>
        <w:right w:val="none" w:sz="0" w:space="0" w:color="auto"/>
      </w:divBdr>
    </w:div>
    <w:div w:id="1055935772">
      <w:bodyDiv w:val="1"/>
      <w:marLeft w:val="0"/>
      <w:marRight w:val="0"/>
      <w:marTop w:val="0"/>
      <w:marBottom w:val="0"/>
      <w:divBdr>
        <w:top w:val="none" w:sz="0" w:space="0" w:color="auto"/>
        <w:left w:val="none" w:sz="0" w:space="0" w:color="auto"/>
        <w:bottom w:val="none" w:sz="0" w:space="0" w:color="auto"/>
        <w:right w:val="none" w:sz="0" w:space="0" w:color="auto"/>
      </w:divBdr>
    </w:div>
    <w:div w:id="1097675139">
      <w:bodyDiv w:val="1"/>
      <w:marLeft w:val="0"/>
      <w:marRight w:val="0"/>
      <w:marTop w:val="0"/>
      <w:marBottom w:val="0"/>
      <w:divBdr>
        <w:top w:val="none" w:sz="0" w:space="0" w:color="auto"/>
        <w:left w:val="none" w:sz="0" w:space="0" w:color="auto"/>
        <w:bottom w:val="none" w:sz="0" w:space="0" w:color="auto"/>
        <w:right w:val="none" w:sz="0" w:space="0" w:color="auto"/>
      </w:divBdr>
    </w:div>
    <w:div w:id="1135219886">
      <w:bodyDiv w:val="1"/>
      <w:marLeft w:val="0"/>
      <w:marRight w:val="0"/>
      <w:marTop w:val="0"/>
      <w:marBottom w:val="0"/>
      <w:divBdr>
        <w:top w:val="none" w:sz="0" w:space="0" w:color="auto"/>
        <w:left w:val="none" w:sz="0" w:space="0" w:color="auto"/>
        <w:bottom w:val="none" w:sz="0" w:space="0" w:color="auto"/>
        <w:right w:val="none" w:sz="0" w:space="0" w:color="auto"/>
      </w:divBdr>
    </w:div>
    <w:div w:id="1254364790">
      <w:bodyDiv w:val="1"/>
      <w:marLeft w:val="0"/>
      <w:marRight w:val="0"/>
      <w:marTop w:val="0"/>
      <w:marBottom w:val="0"/>
      <w:divBdr>
        <w:top w:val="none" w:sz="0" w:space="0" w:color="auto"/>
        <w:left w:val="none" w:sz="0" w:space="0" w:color="auto"/>
        <w:bottom w:val="none" w:sz="0" w:space="0" w:color="auto"/>
        <w:right w:val="none" w:sz="0" w:space="0" w:color="auto"/>
      </w:divBdr>
    </w:div>
    <w:div w:id="1296717859">
      <w:bodyDiv w:val="1"/>
      <w:marLeft w:val="0"/>
      <w:marRight w:val="0"/>
      <w:marTop w:val="0"/>
      <w:marBottom w:val="0"/>
      <w:divBdr>
        <w:top w:val="none" w:sz="0" w:space="0" w:color="auto"/>
        <w:left w:val="none" w:sz="0" w:space="0" w:color="auto"/>
        <w:bottom w:val="none" w:sz="0" w:space="0" w:color="auto"/>
        <w:right w:val="none" w:sz="0" w:space="0" w:color="auto"/>
      </w:divBdr>
    </w:div>
    <w:div w:id="1346666454">
      <w:bodyDiv w:val="1"/>
      <w:marLeft w:val="0"/>
      <w:marRight w:val="0"/>
      <w:marTop w:val="0"/>
      <w:marBottom w:val="0"/>
      <w:divBdr>
        <w:top w:val="none" w:sz="0" w:space="0" w:color="auto"/>
        <w:left w:val="none" w:sz="0" w:space="0" w:color="auto"/>
        <w:bottom w:val="none" w:sz="0" w:space="0" w:color="auto"/>
        <w:right w:val="none" w:sz="0" w:space="0" w:color="auto"/>
      </w:divBdr>
    </w:div>
    <w:div w:id="1355424829">
      <w:bodyDiv w:val="1"/>
      <w:marLeft w:val="0"/>
      <w:marRight w:val="0"/>
      <w:marTop w:val="0"/>
      <w:marBottom w:val="0"/>
      <w:divBdr>
        <w:top w:val="none" w:sz="0" w:space="0" w:color="auto"/>
        <w:left w:val="none" w:sz="0" w:space="0" w:color="auto"/>
        <w:bottom w:val="none" w:sz="0" w:space="0" w:color="auto"/>
        <w:right w:val="none" w:sz="0" w:space="0" w:color="auto"/>
      </w:divBdr>
    </w:div>
    <w:div w:id="1402676774">
      <w:bodyDiv w:val="1"/>
      <w:marLeft w:val="0"/>
      <w:marRight w:val="0"/>
      <w:marTop w:val="0"/>
      <w:marBottom w:val="0"/>
      <w:divBdr>
        <w:top w:val="none" w:sz="0" w:space="0" w:color="auto"/>
        <w:left w:val="none" w:sz="0" w:space="0" w:color="auto"/>
        <w:bottom w:val="none" w:sz="0" w:space="0" w:color="auto"/>
        <w:right w:val="none" w:sz="0" w:space="0" w:color="auto"/>
      </w:divBdr>
    </w:div>
    <w:div w:id="1419713886">
      <w:bodyDiv w:val="1"/>
      <w:marLeft w:val="0"/>
      <w:marRight w:val="0"/>
      <w:marTop w:val="0"/>
      <w:marBottom w:val="0"/>
      <w:divBdr>
        <w:top w:val="none" w:sz="0" w:space="0" w:color="auto"/>
        <w:left w:val="none" w:sz="0" w:space="0" w:color="auto"/>
        <w:bottom w:val="none" w:sz="0" w:space="0" w:color="auto"/>
        <w:right w:val="none" w:sz="0" w:space="0" w:color="auto"/>
      </w:divBdr>
    </w:div>
    <w:div w:id="1507986428">
      <w:bodyDiv w:val="1"/>
      <w:marLeft w:val="0"/>
      <w:marRight w:val="0"/>
      <w:marTop w:val="0"/>
      <w:marBottom w:val="0"/>
      <w:divBdr>
        <w:top w:val="none" w:sz="0" w:space="0" w:color="auto"/>
        <w:left w:val="none" w:sz="0" w:space="0" w:color="auto"/>
        <w:bottom w:val="none" w:sz="0" w:space="0" w:color="auto"/>
        <w:right w:val="none" w:sz="0" w:space="0" w:color="auto"/>
      </w:divBdr>
    </w:div>
    <w:div w:id="1556160827">
      <w:bodyDiv w:val="1"/>
      <w:marLeft w:val="0"/>
      <w:marRight w:val="0"/>
      <w:marTop w:val="0"/>
      <w:marBottom w:val="0"/>
      <w:divBdr>
        <w:top w:val="none" w:sz="0" w:space="0" w:color="auto"/>
        <w:left w:val="none" w:sz="0" w:space="0" w:color="auto"/>
        <w:bottom w:val="none" w:sz="0" w:space="0" w:color="auto"/>
        <w:right w:val="none" w:sz="0" w:space="0" w:color="auto"/>
      </w:divBdr>
    </w:div>
    <w:div w:id="1676422160">
      <w:bodyDiv w:val="1"/>
      <w:marLeft w:val="0"/>
      <w:marRight w:val="0"/>
      <w:marTop w:val="0"/>
      <w:marBottom w:val="0"/>
      <w:divBdr>
        <w:top w:val="none" w:sz="0" w:space="0" w:color="auto"/>
        <w:left w:val="none" w:sz="0" w:space="0" w:color="auto"/>
        <w:bottom w:val="none" w:sz="0" w:space="0" w:color="auto"/>
        <w:right w:val="none" w:sz="0" w:space="0" w:color="auto"/>
      </w:divBdr>
    </w:div>
    <w:div w:id="1690331001">
      <w:bodyDiv w:val="1"/>
      <w:marLeft w:val="0"/>
      <w:marRight w:val="0"/>
      <w:marTop w:val="0"/>
      <w:marBottom w:val="0"/>
      <w:divBdr>
        <w:top w:val="none" w:sz="0" w:space="0" w:color="auto"/>
        <w:left w:val="none" w:sz="0" w:space="0" w:color="auto"/>
        <w:bottom w:val="none" w:sz="0" w:space="0" w:color="auto"/>
        <w:right w:val="none" w:sz="0" w:space="0" w:color="auto"/>
      </w:divBdr>
    </w:div>
    <w:div w:id="1798446020">
      <w:bodyDiv w:val="1"/>
      <w:marLeft w:val="0"/>
      <w:marRight w:val="0"/>
      <w:marTop w:val="0"/>
      <w:marBottom w:val="0"/>
      <w:divBdr>
        <w:top w:val="none" w:sz="0" w:space="0" w:color="auto"/>
        <w:left w:val="none" w:sz="0" w:space="0" w:color="auto"/>
        <w:bottom w:val="none" w:sz="0" w:space="0" w:color="auto"/>
        <w:right w:val="none" w:sz="0" w:space="0" w:color="auto"/>
      </w:divBdr>
    </w:div>
    <w:div w:id="1921938491">
      <w:bodyDiv w:val="1"/>
      <w:marLeft w:val="0"/>
      <w:marRight w:val="0"/>
      <w:marTop w:val="0"/>
      <w:marBottom w:val="0"/>
      <w:divBdr>
        <w:top w:val="none" w:sz="0" w:space="0" w:color="auto"/>
        <w:left w:val="none" w:sz="0" w:space="0" w:color="auto"/>
        <w:bottom w:val="none" w:sz="0" w:space="0" w:color="auto"/>
        <w:right w:val="none" w:sz="0" w:space="0" w:color="auto"/>
      </w:divBdr>
    </w:div>
    <w:div w:id="1923684579">
      <w:bodyDiv w:val="1"/>
      <w:marLeft w:val="0"/>
      <w:marRight w:val="0"/>
      <w:marTop w:val="0"/>
      <w:marBottom w:val="0"/>
      <w:divBdr>
        <w:top w:val="none" w:sz="0" w:space="0" w:color="auto"/>
        <w:left w:val="none" w:sz="0" w:space="0" w:color="auto"/>
        <w:bottom w:val="none" w:sz="0" w:space="0" w:color="auto"/>
        <w:right w:val="none" w:sz="0" w:space="0" w:color="auto"/>
      </w:divBdr>
    </w:div>
    <w:div w:id="1998262278">
      <w:bodyDiv w:val="1"/>
      <w:marLeft w:val="0"/>
      <w:marRight w:val="0"/>
      <w:marTop w:val="0"/>
      <w:marBottom w:val="0"/>
      <w:divBdr>
        <w:top w:val="none" w:sz="0" w:space="0" w:color="auto"/>
        <w:left w:val="none" w:sz="0" w:space="0" w:color="auto"/>
        <w:bottom w:val="none" w:sz="0" w:space="0" w:color="auto"/>
        <w:right w:val="none" w:sz="0" w:space="0" w:color="auto"/>
      </w:divBdr>
    </w:div>
    <w:div w:id="2032880191">
      <w:bodyDiv w:val="1"/>
      <w:marLeft w:val="0"/>
      <w:marRight w:val="0"/>
      <w:marTop w:val="0"/>
      <w:marBottom w:val="0"/>
      <w:divBdr>
        <w:top w:val="none" w:sz="0" w:space="0" w:color="auto"/>
        <w:left w:val="none" w:sz="0" w:space="0" w:color="auto"/>
        <w:bottom w:val="none" w:sz="0" w:space="0" w:color="auto"/>
        <w:right w:val="none" w:sz="0" w:space="0" w:color="auto"/>
      </w:divBdr>
    </w:div>
    <w:div w:id="2066250777">
      <w:bodyDiv w:val="1"/>
      <w:marLeft w:val="0"/>
      <w:marRight w:val="0"/>
      <w:marTop w:val="0"/>
      <w:marBottom w:val="0"/>
      <w:divBdr>
        <w:top w:val="none" w:sz="0" w:space="0" w:color="auto"/>
        <w:left w:val="none" w:sz="0" w:space="0" w:color="auto"/>
        <w:bottom w:val="none" w:sz="0" w:space="0" w:color="auto"/>
        <w:right w:val="none" w:sz="0" w:space="0" w:color="auto"/>
      </w:divBdr>
    </w:div>
    <w:div w:id="2099670704">
      <w:bodyDiv w:val="1"/>
      <w:marLeft w:val="0"/>
      <w:marRight w:val="0"/>
      <w:marTop w:val="0"/>
      <w:marBottom w:val="0"/>
      <w:divBdr>
        <w:top w:val="none" w:sz="0" w:space="0" w:color="auto"/>
        <w:left w:val="none" w:sz="0" w:space="0" w:color="auto"/>
        <w:bottom w:val="none" w:sz="0" w:space="0" w:color="auto"/>
        <w:right w:val="none" w:sz="0" w:space="0" w:color="auto"/>
      </w:divBdr>
    </w:div>
    <w:div w:id="2146703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footer" Target="footer43.xml"/><Relationship Id="rId21" Type="http://schemas.openxmlformats.org/officeDocument/2006/relationships/footer" Target="footer6.xml"/><Relationship Id="rId42" Type="http://schemas.openxmlformats.org/officeDocument/2006/relationships/header" Target="header12.xml"/><Relationship Id="rId47" Type="http://schemas.openxmlformats.org/officeDocument/2006/relationships/footer" Target="footer13.xml"/><Relationship Id="rId63" Type="http://schemas.openxmlformats.org/officeDocument/2006/relationships/header" Target="header20.xml"/><Relationship Id="rId68" Type="http://schemas.openxmlformats.org/officeDocument/2006/relationships/header" Target="header22.xml"/><Relationship Id="rId84" Type="http://schemas.openxmlformats.org/officeDocument/2006/relationships/header" Target="header30.xml"/><Relationship Id="rId89" Type="http://schemas.openxmlformats.org/officeDocument/2006/relationships/footer" Target="footer32.xml"/><Relationship Id="rId112" Type="http://schemas.openxmlformats.org/officeDocument/2006/relationships/header" Target="header42.xml"/><Relationship Id="rId16" Type="http://schemas.openxmlformats.org/officeDocument/2006/relationships/header" Target="header4.xml"/><Relationship Id="rId107" Type="http://schemas.openxmlformats.org/officeDocument/2006/relationships/footer" Target="footer39.xml"/><Relationship Id="rId11" Type="http://schemas.openxmlformats.org/officeDocument/2006/relationships/footer" Target="footer2.xml"/><Relationship Id="rId32" Type="http://schemas.openxmlformats.org/officeDocument/2006/relationships/image" Target="media/image8.emf"/><Relationship Id="rId37" Type="http://schemas.openxmlformats.org/officeDocument/2006/relationships/image" Target="media/image13.emf"/><Relationship Id="rId53" Type="http://schemas.openxmlformats.org/officeDocument/2006/relationships/footer" Target="footer16.xml"/><Relationship Id="rId58" Type="http://schemas.openxmlformats.org/officeDocument/2006/relationships/image" Target="media/image15.emf"/><Relationship Id="rId74" Type="http://schemas.openxmlformats.org/officeDocument/2006/relationships/header" Target="header25.xml"/><Relationship Id="rId79" Type="http://schemas.openxmlformats.org/officeDocument/2006/relationships/footer" Target="footer27.xml"/><Relationship Id="rId102" Type="http://schemas.openxmlformats.org/officeDocument/2006/relationships/header" Target="header37.xml"/><Relationship Id="rId5" Type="http://schemas.openxmlformats.org/officeDocument/2006/relationships/webSettings" Target="webSettings.xml"/><Relationship Id="rId61" Type="http://schemas.openxmlformats.org/officeDocument/2006/relationships/image" Target="media/image17.emf"/><Relationship Id="rId82" Type="http://schemas.openxmlformats.org/officeDocument/2006/relationships/footer" Target="footer28.xml"/><Relationship Id="rId90" Type="http://schemas.openxmlformats.org/officeDocument/2006/relationships/header" Target="header33.xml"/><Relationship Id="rId95" Type="http://schemas.openxmlformats.org/officeDocument/2006/relationships/footer" Target="footer35.xml"/><Relationship Id="rId19" Type="http://schemas.openxmlformats.org/officeDocument/2006/relationships/footer" Target="footer5.xml"/><Relationship Id="rId14" Type="http://schemas.openxmlformats.org/officeDocument/2006/relationships/image" Target="media/image2.emf"/><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6.png"/><Relationship Id="rId35" Type="http://schemas.openxmlformats.org/officeDocument/2006/relationships/image" Target="media/image11.emf"/><Relationship Id="rId43" Type="http://schemas.openxmlformats.org/officeDocument/2006/relationships/footer" Target="footer12.xml"/><Relationship Id="rId48" Type="http://schemas.openxmlformats.org/officeDocument/2006/relationships/footer" Target="footer14.xml"/><Relationship Id="rId56" Type="http://schemas.openxmlformats.org/officeDocument/2006/relationships/footer" Target="footer18.xml"/><Relationship Id="rId64" Type="http://schemas.openxmlformats.org/officeDocument/2006/relationships/footer" Target="footer19.xml"/><Relationship Id="rId69" Type="http://schemas.openxmlformats.org/officeDocument/2006/relationships/header" Target="header23.xml"/><Relationship Id="rId77" Type="http://schemas.openxmlformats.org/officeDocument/2006/relationships/footer" Target="footer26.xml"/><Relationship Id="rId100" Type="http://schemas.openxmlformats.org/officeDocument/2006/relationships/image" Target="media/image20.emf"/><Relationship Id="rId105" Type="http://schemas.openxmlformats.org/officeDocument/2006/relationships/footer" Target="footer38.xml"/><Relationship Id="rId113" Type="http://schemas.openxmlformats.org/officeDocument/2006/relationships/footer" Target="footer42.xml"/><Relationship Id="rId118" Type="http://schemas.openxmlformats.org/officeDocument/2006/relationships/footer" Target="footer44.xml"/><Relationship Id="rId8" Type="http://schemas.openxmlformats.org/officeDocument/2006/relationships/header" Target="header1.xml"/><Relationship Id="rId51" Type="http://schemas.openxmlformats.org/officeDocument/2006/relationships/header" Target="header16.xml"/><Relationship Id="rId72" Type="http://schemas.openxmlformats.org/officeDocument/2006/relationships/header" Target="header24.xml"/><Relationship Id="rId80" Type="http://schemas.openxmlformats.org/officeDocument/2006/relationships/header" Target="header28.xml"/><Relationship Id="rId85" Type="http://schemas.openxmlformats.org/officeDocument/2006/relationships/footer" Target="footer30.xml"/><Relationship Id="rId93" Type="http://schemas.openxmlformats.org/officeDocument/2006/relationships/header" Target="header35.xml"/><Relationship Id="rId98" Type="http://schemas.openxmlformats.org/officeDocument/2006/relationships/image" Target="media/image18.emf"/><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image" Target="media/image9.emf"/><Relationship Id="rId38" Type="http://schemas.openxmlformats.org/officeDocument/2006/relationships/header" Target="header10.xml"/><Relationship Id="rId46" Type="http://schemas.openxmlformats.org/officeDocument/2006/relationships/header" Target="header14.xml"/><Relationship Id="rId59" Type="http://schemas.openxmlformats.org/officeDocument/2006/relationships/image" Target="media/image16.emf"/><Relationship Id="rId67" Type="http://schemas.openxmlformats.org/officeDocument/2006/relationships/footer" Target="footer21.xml"/><Relationship Id="rId103" Type="http://schemas.openxmlformats.org/officeDocument/2006/relationships/header" Target="header38.xml"/><Relationship Id="rId108" Type="http://schemas.openxmlformats.org/officeDocument/2006/relationships/header" Target="header40.xml"/><Relationship Id="rId116" Type="http://schemas.openxmlformats.org/officeDocument/2006/relationships/header" Target="header45.xml"/><Relationship Id="rId20" Type="http://schemas.openxmlformats.org/officeDocument/2006/relationships/header" Target="header6.xml"/><Relationship Id="rId41" Type="http://schemas.openxmlformats.org/officeDocument/2006/relationships/footer" Target="footer11.xml"/><Relationship Id="rId54" Type="http://schemas.openxmlformats.org/officeDocument/2006/relationships/footer" Target="footer17.xml"/><Relationship Id="rId62" Type="http://schemas.openxmlformats.org/officeDocument/2006/relationships/header" Target="header19.xml"/><Relationship Id="rId70" Type="http://schemas.openxmlformats.org/officeDocument/2006/relationships/footer" Target="footer22.xml"/><Relationship Id="rId75" Type="http://schemas.openxmlformats.org/officeDocument/2006/relationships/header" Target="header26.xml"/><Relationship Id="rId83" Type="http://schemas.openxmlformats.org/officeDocument/2006/relationships/footer" Target="footer29.xml"/><Relationship Id="rId88" Type="http://schemas.openxmlformats.org/officeDocument/2006/relationships/footer" Target="footer31.xml"/><Relationship Id="rId91" Type="http://schemas.openxmlformats.org/officeDocument/2006/relationships/footer" Target="footer33.xml"/><Relationship Id="rId96" Type="http://schemas.openxmlformats.org/officeDocument/2006/relationships/header" Target="header36.xml"/><Relationship Id="rId111" Type="http://schemas.openxmlformats.org/officeDocument/2006/relationships/footer" Target="footer4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8.xml"/><Relationship Id="rId28" Type="http://schemas.openxmlformats.org/officeDocument/2006/relationships/image" Target="media/image4.png"/><Relationship Id="rId36" Type="http://schemas.openxmlformats.org/officeDocument/2006/relationships/image" Target="media/image12.emf"/><Relationship Id="rId49" Type="http://schemas.openxmlformats.org/officeDocument/2006/relationships/header" Target="header15.xml"/><Relationship Id="rId57" Type="http://schemas.openxmlformats.org/officeDocument/2006/relationships/image" Target="media/image14.emf"/><Relationship Id="rId106" Type="http://schemas.openxmlformats.org/officeDocument/2006/relationships/header" Target="header39.xml"/><Relationship Id="rId114" Type="http://schemas.openxmlformats.org/officeDocument/2006/relationships/header" Target="header43.xml"/><Relationship Id="rId119" Type="http://schemas.openxmlformats.org/officeDocument/2006/relationships/header" Target="header46.xml"/><Relationship Id="rId10" Type="http://schemas.openxmlformats.org/officeDocument/2006/relationships/footer" Target="footer1.xml"/><Relationship Id="rId31" Type="http://schemas.openxmlformats.org/officeDocument/2006/relationships/image" Target="media/image7.emf"/><Relationship Id="rId44" Type="http://schemas.openxmlformats.org/officeDocument/2006/relationships/hyperlink" Target="https://www.snaicc.org.au/understanding-applying-aboriginal-torres-strait-islander-child-placement-principle/" TargetMode="External"/><Relationship Id="rId52" Type="http://schemas.openxmlformats.org/officeDocument/2006/relationships/header" Target="header17.xml"/><Relationship Id="rId60" Type="http://schemas.openxmlformats.org/officeDocument/2006/relationships/hyperlink" Target="https://www.dss.gov.au/women/programs-services/reducing-violence/the-national-plan-to-reduce-violence-against-women-and-their-children-2010-2022" TargetMode="External"/><Relationship Id="rId65" Type="http://schemas.openxmlformats.org/officeDocument/2006/relationships/footer" Target="footer20.xml"/><Relationship Id="rId73" Type="http://schemas.openxmlformats.org/officeDocument/2006/relationships/footer" Target="footer24.xml"/><Relationship Id="rId78" Type="http://schemas.openxmlformats.org/officeDocument/2006/relationships/header" Target="header27.xml"/><Relationship Id="rId81" Type="http://schemas.openxmlformats.org/officeDocument/2006/relationships/header" Target="header29.xml"/><Relationship Id="rId86" Type="http://schemas.openxmlformats.org/officeDocument/2006/relationships/header" Target="header31.xml"/><Relationship Id="rId94" Type="http://schemas.openxmlformats.org/officeDocument/2006/relationships/footer" Target="footer34.xml"/><Relationship Id="rId99" Type="http://schemas.openxmlformats.org/officeDocument/2006/relationships/image" Target="media/image19.emf"/><Relationship Id="rId101" Type="http://schemas.openxmlformats.org/officeDocument/2006/relationships/image" Target="media/image21.emf"/><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header" Target="header11.xml"/><Relationship Id="rId109" Type="http://schemas.openxmlformats.org/officeDocument/2006/relationships/header" Target="header41.xml"/><Relationship Id="rId34" Type="http://schemas.openxmlformats.org/officeDocument/2006/relationships/image" Target="media/image10.emf"/><Relationship Id="rId50" Type="http://schemas.openxmlformats.org/officeDocument/2006/relationships/footer" Target="footer15.xml"/><Relationship Id="rId55" Type="http://schemas.openxmlformats.org/officeDocument/2006/relationships/header" Target="header18.xml"/><Relationship Id="rId76" Type="http://schemas.openxmlformats.org/officeDocument/2006/relationships/footer" Target="footer25.xml"/><Relationship Id="rId97" Type="http://schemas.openxmlformats.org/officeDocument/2006/relationships/footer" Target="footer36.xml"/><Relationship Id="rId104" Type="http://schemas.openxmlformats.org/officeDocument/2006/relationships/footer" Target="footer37.xml"/><Relationship Id="rId120" Type="http://schemas.openxmlformats.org/officeDocument/2006/relationships/footer" Target="footer45.xml"/><Relationship Id="rId7" Type="http://schemas.openxmlformats.org/officeDocument/2006/relationships/endnotes" Target="endnotes.xml"/><Relationship Id="rId71" Type="http://schemas.openxmlformats.org/officeDocument/2006/relationships/footer" Target="footer23.xml"/><Relationship Id="rId92" Type="http://schemas.openxmlformats.org/officeDocument/2006/relationships/header" Target="header34.xm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footer" Target="footer7.xml"/><Relationship Id="rId40" Type="http://schemas.openxmlformats.org/officeDocument/2006/relationships/footer" Target="footer10.xml"/><Relationship Id="rId45" Type="http://schemas.openxmlformats.org/officeDocument/2006/relationships/header" Target="header13.xml"/><Relationship Id="rId66" Type="http://schemas.openxmlformats.org/officeDocument/2006/relationships/header" Target="header21.xml"/><Relationship Id="rId87" Type="http://schemas.openxmlformats.org/officeDocument/2006/relationships/header" Target="header32.xml"/><Relationship Id="rId110" Type="http://schemas.openxmlformats.org/officeDocument/2006/relationships/footer" Target="footer40.xml"/><Relationship Id="rId115" Type="http://schemas.openxmlformats.org/officeDocument/2006/relationships/header" Target="header44.xml"/></Relationships>
</file>

<file path=word/_rels/footnotes.xml.rels><?xml version="1.0" encoding="UTF-8" standalone="yes"?>
<Relationships xmlns="http://schemas.openxmlformats.org/package/2006/relationships"><Relationship Id="rId8" Type="http://schemas.openxmlformats.org/officeDocument/2006/relationships/hyperlink" Target="https://performancedashboard.d61.io/aus" TargetMode="External"/><Relationship Id="rId13" Type="http://schemas.openxmlformats.org/officeDocument/2006/relationships/hyperlink" Target="https://www.snaicc.org.au/policy-and-research/child-safety-and-wellbeing/baseline-analyses-of-child-placement-principle/" TargetMode="External"/><Relationship Id="rId18" Type="http://schemas.openxmlformats.org/officeDocument/2006/relationships/hyperlink" Target="https://www.ohchr.org/en/professionalinterest/pages/crc.aspx" TargetMode="External"/><Relationship Id="rId3" Type="http://schemas.openxmlformats.org/officeDocument/2006/relationships/hyperlink" Target="https://www.aihw.gov.au/reports/child-protection/nfpac/contents/national-framework-indicators" TargetMode="External"/><Relationship Id="rId21" Type="http://schemas.openxmlformats.org/officeDocument/2006/relationships/hyperlink" Target="https://www.un.org/development/desa/indigenouspeoples/wp-content/uploads/sites/19/2018/11/UNDRIP_E_web.pdf" TargetMode="External"/><Relationship Id="rId7" Type="http://schemas.openxmlformats.org/officeDocument/2006/relationships/hyperlink" Target="https://www.aph.gov.au/About_Parliament/Parliamentary_Departments/Parliamentary_Library/FlagPost/2011/March/Reform_of_Ministerial_Councils" TargetMode="External"/><Relationship Id="rId12" Type="http://schemas.openxmlformats.org/officeDocument/2006/relationships/hyperlink" Target="https://www.un.org/development/desa/indigenouspeoples/declaration-on-the-rights-of-indigenous-peoples.html" TargetMode="External"/><Relationship Id="rId17" Type="http://schemas.openxmlformats.org/officeDocument/2006/relationships/hyperlink" Target="https://www.pm.gov.au/media/record-funding-reduce-domestic-violence" TargetMode="External"/><Relationship Id="rId2" Type="http://schemas.openxmlformats.org/officeDocument/2006/relationships/hyperlink" Target="https://www.aihw.gov.au/reports/child-protection/nfpac/contents/national-framework-indicators-data-visualisations" TargetMode="External"/><Relationship Id="rId16" Type="http://schemas.openxmlformats.org/officeDocument/2006/relationships/hyperlink" Target="https://www.royalcommission.gov.au/sites/default/files/2019-01/rcnt-royal-commission-nt-report-overview.pdf" TargetMode="External"/><Relationship Id="rId20" Type="http://schemas.openxmlformats.org/officeDocument/2006/relationships/hyperlink" Target="https://www.un.org/development/desa/indigenouspeoples/wp-content/uploads/sites/19/2018/11/UNDRIP_E_web.pdf" TargetMode="External"/><Relationship Id="rId1" Type="http://schemas.openxmlformats.org/officeDocument/2006/relationships/hyperlink" Target="https://www.aracy.org.au/publications-resources/command/download_file/id/107/filename/Inverting_the_pyramid_-_Enhancing_systems_for_protecting_children.pdf" TargetMode="External"/><Relationship Id="rId6" Type="http://schemas.openxmlformats.org/officeDocument/2006/relationships/hyperlink" Target="https://health.adelaide.edu.au/betterstart/publications/reports/child-protection-in-south-australia.pdf" TargetMode="External"/><Relationship Id="rId11" Type="http://schemas.openxmlformats.org/officeDocument/2006/relationships/hyperlink" Target="https://www.aihw.gov.au/reports/child-protection/nfpac/contents/national-framework-indicators" TargetMode="External"/><Relationship Id="rId24" Type="http://schemas.openxmlformats.org/officeDocument/2006/relationships/hyperlink" Target="https://www.un.org/development/desa/indigenouspeoples/wp-content/uploads/sites/19/2018/11/UNDRIP_E_web.pdf" TargetMode="External"/><Relationship Id="rId5" Type="http://schemas.openxmlformats.org/officeDocument/2006/relationships/hyperlink" Target="http://www.oecd.org/social/children-paying-a-high-price-for-inequality.htm" TargetMode="External"/><Relationship Id="rId15" Type="http://schemas.openxmlformats.org/officeDocument/2006/relationships/hyperlink" Target="https://www.childabuseroyalcommission.gov.au/preface-and-executive-summary" TargetMode="External"/><Relationship Id="rId23" Type="http://schemas.openxmlformats.org/officeDocument/2006/relationships/hyperlink" Target="https://www.un.org/development/desa/indigenouspeoples/wp-content/uploads/sites/19/2018/11/UNDRIP_E_web.pdf" TargetMode="External"/><Relationship Id="rId10" Type="http://schemas.openxmlformats.org/officeDocument/2006/relationships/hyperlink" Target="https://www.berrystreet.org.au/news/2017/stand-me" TargetMode="External"/><Relationship Id="rId19" Type="http://schemas.openxmlformats.org/officeDocument/2006/relationships/hyperlink" Target="https://health.adelaide.edu.au/betterstart/publications/reports/child-protection-in-south-australia.pdf" TargetMode="External"/><Relationship Id="rId4" Type="http://schemas.openxmlformats.org/officeDocument/2006/relationships/hyperlink" Target="https://www.snaicc.org.au/understanding-applying-aboriginal-torres-strait-islander-child-placement-principle/" TargetMode="External"/><Relationship Id="rId9" Type="http://schemas.openxmlformats.org/officeDocument/2006/relationships/hyperlink" Target="https://www.dss.gov.au/sites/default/files/documents/03_2019/our-investment-womens-safety-5-march-2019.pdf" TargetMode="External"/><Relationship Id="rId14" Type="http://schemas.openxmlformats.org/officeDocument/2006/relationships/hyperlink" Target="https://aifs.gov.au/cfca/publications/enhancing-implementation-aboriginal-and-torres-strait-islander-child/export" TargetMode="External"/><Relationship Id="rId22" Type="http://schemas.openxmlformats.org/officeDocument/2006/relationships/hyperlink" Target="https://www.aihw.gov.au/reports/domestic-violence/family-domestic-sexual-violence-in-australia-2018/contents/summary"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PwC">
  <a:themeElements>
    <a:clrScheme name="PwC Burgundy">
      <a:dk1>
        <a:srgbClr val="000000"/>
      </a:dk1>
      <a:lt1>
        <a:srgbClr val="FFFFFF"/>
      </a:lt1>
      <a:dk2>
        <a:srgbClr val="7D7D7D"/>
      </a:dk2>
      <a:lt2>
        <a:srgbClr val="DEDEDE"/>
      </a:lt2>
      <a:accent1>
        <a:srgbClr val="D04A02"/>
      </a:accent1>
      <a:accent2>
        <a:srgbClr val="FFB600"/>
      </a:accent2>
      <a:accent3>
        <a:srgbClr val="E0301E"/>
      </a:accent3>
      <a:accent4>
        <a:srgbClr val="EB8C00"/>
      </a:accent4>
      <a:accent5>
        <a:srgbClr val="DB536A"/>
      </a:accent5>
      <a:accent6>
        <a:srgbClr val="464646"/>
      </a:accent6>
      <a:hlink>
        <a:srgbClr val="D04A02"/>
      </a:hlink>
      <a:folHlink>
        <a:srgbClr val="DB536A"/>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nSpc>
            <a:spcPts val="2400"/>
          </a:lnSpc>
          <a:defRPr sz="2000" dirty="0" err="1" smtClean="0">
            <a:latin typeface="Georgia" pitchFamily="18"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51EFB-A7D3-4667-AF5C-FE652C2DF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105</Pages>
  <Words>39990</Words>
  <Characters>227944</Characters>
  <Application>Microsoft Office Word</Application>
  <DocSecurity>0</DocSecurity>
  <Lines>1899</Lines>
  <Paragraphs>534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2020-10-15T04:49:00Z</dcterms:created>
  <dcterms:modified xsi:type="dcterms:W3CDTF">2020-11-01T23:50:00Z</dcterms:modified>
</cp:coreProperties>
</file>