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F40AE" w14:textId="77777777" w:rsidR="005C673E" w:rsidRDefault="00A12A9A" w:rsidP="005C673E">
      <w:pPr>
        <w:spacing w:before="0" w:after="240"/>
      </w:pPr>
      <w:bookmarkStart w:id="0" w:name="_GoBack"/>
      <w:r>
        <w:rPr>
          <w:noProof/>
        </w:rPr>
        <w:drawing>
          <wp:anchor distT="0" distB="0" distL="114300" distR="114300" simplePos="0" relativeHeight="251664384" behindDoc="1" locked="0" layoutInCell="1" allowOverlap="1" wp14:anchorId="572C52D0" wp14:editId="3A563680">
            <wp:simplePos x="0" y="0"/>
            <wp:positionH relativeFrom="column">
              <wp:posOffset>-1270</wp:posOffset>
            </wp:positionH>
            <wp:positionV relativeFrom="paragraph">
              <wp:posOffset>-668020</wp:posOffset>
            </wp:positionV>
            <wp:extent cx="3060065" cy="901700"/>
            <wp:effectExtent l="0" t="0" r="6985" b="0"/>
            <wp:wrapNone/>
            <wp:docPr id="15" name="Picture 15" descr="Australian Government 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bookmarkEnd w:id="0"/>
      <w:r w:rsidR="000D3DC0">
        <w:rPr>
          <w:noProof/>
        </w:rPr>
        <w:softHyphen/>
      </w:r>
    </w:p>
    <w:p w14:paraId="49B117EB" w14:textId="77777777" w:rsidR="00B33D33" w:rsidRDefault="00A12A9A" w:rsidP="00B24420">
      <w:pPr>
        <w:pStyle w:val="Title"/>
      </w:pPr>
      <w:bookmarkStart w:id="1" w:name="_Toc391890680"/>
      <w:r>
        <w:br/>
      </w:r>
      <w:r w:rsidR="00786D10">
        <w:t>Try, Test and Learn Fund</w:t>
      </w:r>
    </w:p>
    <w:p w14:paraId="29EF81DE" w14:textId="77777777"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1"/>
    <w:p w14:paraId="6455DFE9" w14:textId="0502A70D" w:rsidR="00337CF6" w:rsidRPr="00270C78" w:rsidRDefault="0077453B" w:rsidP="00786D10">
      <w:pPr>
        <w:pStyle w:val="Subtitle"/>
        <w:rPr>
          <w:i/>
        </w:rPr>
      </w:pPr>
      <w:r>
        <w:rPr>
          <w:noProof/>
        </w:rPr>
        <mc:AlternateContent>
          <mc:Choice Requires="wps">
            <w:drawing>
              <wp:anchor distT="0" distB="0" distL="114300" distR="114300" simplePos="0" relativeHeight="251666432" behindDoc="0" locked="0" layoutInCell="1" allowOverlap="1" wp14:anchorId="5E2551F2" wp14:editId="58C5A2E1">
                <wp:simplePos x="0" y="0"/>
                <wp:positionH relativeFrom="column">
                  <wp:posOffset>-19685</wp:posOffset>
                </wp:positionH>
                <wp:positionV relativeFrom="paragraph">
                  <wp:posOffset>305435</wp:posOffset>
                </wp:positionV>
                <wp:extent cx="6781800" cy="1126490"/>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BB31F45" w14:textId="77777777"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14:paraId="51C38596"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2551F2" id="_x0000_t202" coordsize="21600,21600" o:spt="202" path="m,l,21600r21600,l21600,xe">
                <v:stroke joinstyle="miter"/>
                <v:path gradientshapeok="t" o:connecttype="rect"/>
              </v:shapetype>
              <v:shape id="Text Box 1" o:spid="_x0000_s1026" type="#_x0000_t202"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" fillcolor="white [3201]" strokecolor="#78be20 [3207]" strokeweight=".5pt">
                <v:textbox inset="2mm,2mm,2mm,2mm">
                  <w:txbxContent>
                    <w:p w14:paraId="6BB31F45" w14:textId="77777777"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14:paraId="51C38596"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v:shape>
            </w:pict>
          </mc:Fallback>
        </mc:AlternateContent>
      </w:r>
      <w:r w:rsidR="00E45B8F">
        <w:rPr>
          <w:i/>
        </w:rPr>
        <w:t>Mentoring to Work</w:t>
      </w:r>
    </w:p>
    <w:p w14:paraId="4D7BEBAC" w14:textId="77777777" w:rsidR="00337CF6" w:rsidRDefault="00337CF6" w:rsidP="00337CF6"/>
    <w:p w14:paraId="260D1342" w14:textId="77777777" w:rsidR="00337CF6" w:rsidRPr="00337CF6" w:rsidRDefault="00337CF6" w:rsidP="00337CF6"/>
    <w:p w14:paraId="5EA8826C" w14:textId="77777777" w:rsidR="00337CF6" w:rsidRDefault="00337CF6" w:rsidP="009B5C57">
      <w:pPr>
        <w:pStyle w:val="Heading1"/>
        <w:spacing w:before="0" w:after="0"/>
      </w:pPr>
    </w:p>
    <w:p w14:paraId="01A052F6" w14:textId="77777777" w:rsidR="0077453B" w:rsidRDefault="0077453B" w:rsidP="009B5C57">
      <w:pPr>
        <w:pStyle w:val="Heading1"/>
        <w:spacing w:before="0" w:after="0"/>
      </w:pPr>
    </w:p>
    <w:p w14:paraId="7E9B6627" w14:textId="77777777" w:rsidR="00DA13C8" w:rsidRDefault="00DA13C8" w:rsidP="00270C78">
      <w:pPr>
        <w:pStyle w:val="Heading1"/>
        <w:spacing w:before="0"/>
      </w:pPr>
      <w:r>
        <w:rPr>
          <w:noProof/>
        </w:rPr>
        <mc:AlternateContent>
          <mc:Choice Requires="wps">
            <w:drawing>
              <wp:anchor distT="0" distB="0" distL="114300" distR="114300" simplePos="0" relativeHeight="251668480" behindDoc="0" locked="0" layoutInCell="1" allowOverlap="1" wp14:anchorId="056E8023" wp14:editId="7B367556">
                <wp:simplePos x="0" y="0"/>
                <wp:positionH relativeFrom="column">
                  <wp:posOffset>4210050</wp:posOffset>
                </wp:positionH>
                <wp:positionV relativeFrom="paragraph">
                  <wp:posOffset>208915</wp:posOffset>
                </wp:positionV>
                <wp:extent cx="2548890" cy="5103495"/>
                <wp:effectExtent l="0" t="0" r="22860" b="20955"/>
                <wp:wrapSquare wrapText="bothSides"/>
                <wp:docPr id="4" name="Text Box 4"/>
                <wp:cNvGraphicFramePr/>
                <a:graphic xmlns:a="http://schemas.openxmlformats.org/drawingml/2006/main">
                  <a:graphicData uri="http://schemas.microsoft.com/office/word/2010/wordprocessingShape">
                    <wps:wsp>
                      <wps:cNvSpPr txBox="1"/>
                      <wps:spPr>
                        <a:xfrm>
                          <a:off x="0" y="0"/>
                          <a:ext cx="2548890" cy="510349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7FE15418" w14:textId="77777777" w:rsidR="0077453B" w:rsidRDefault="0077453B" w:rsidP="00DA13C8">
                            <w:pPr>
                              <w:pStyle w:val="Heading1"/>
                              <w:spacing w:before="0" w:after="0"/>
                              <w:jc w:val="center"/>
                            </w:pPr>
                            <w:r>
                              <w:t>Fast facts</w:t>
                            </w:r>
                          </w:p>
                          <w:p w14:paraId="026418E1" w14:textId="4ADB8805" w:rsidR="0077453B" w:rsidRDefault="0077453B" w:rsidP="0077453B">
                            <w:pPr>
                              <w:pStyle w:val="ListBullet"/>
                            </w:pPr>
                            <w:r w:rsidRPr="00337CF6">
                              <w:rPr>
                                <w:b/>
                              </w:rPr>
                              <w:t xml:space="preserve">Priority group: </w:t>
                            </w:r>
                            <w:r w:rsidR="00796B8F">
                              <w:t>Unemployed former students</w:t>
                            </w:r>
                          </w:p>
                          <w:p w14:paraId="551B2277" w14:textId="0C1A81C4" w:rsidR="0077453B" w:rsidRDefault="0077453B" w:rsidP="0077453B">
                            <w:pPr>
                              <w:pStyle w:val="ListBullet"/>
                            </w:pPr>
                            <w:r w:rsidRPr="00337CF6">
                              <w:rPr>
                                <w:b/>
                              </w:rPr>
                              <w:t xml:space="preserve">Recipient numbers: </w:t>
                            </w:r>
                            <w:r w:rsidR="00796B8F">
                              <w:t>360</w:t>
                            </w:r>
                          </w:p>
                          <w:p w14:paraId="0D0607F4" w14:textId="47FB77D1" w:rsidR="0077453B" w:rsidRDefault="00720423" w:rsidP="005B1F81">
                            <w:pPr>
                              <w:pStyle w:val="ListBullet"/>
                            </w:pPr>
                            <w:r>
                              <w:rPr>
                                <w:b/>
                              </w:rPr>
                              <w:t>Location</w:t>
                            </w:r>
                            <w:r w:rsidR="0077453B" w:rsidRPr="00337CF6">
                              <w:rPr>
                                <w:b/>
                              </w:rPr>
                              <w:t xml:space="preserve">: </w:t>
                            </w:r>
                            <w:r w:rsidR="00796B8F">
                              <w:t>Perth</w:t>
                            </w:r>
                          </w:p>
                          <w:p w14:paraId="3B6BC228" w14:textId="48C2B435" w:rsidR="0077453B" w:rsidRDefault="0077453B" w:rsidP="0077453B">
                            <w:pPr>
                              <w:pStyle w:val="ListBullet"/>
                            </w:pPr>
                            <w:r w:rsidRPr="00337CF6">
                              <w:rPr>
                                <w:b/>
                              </w:rPr>
                              <w:t xml:space="preserve">Trial period: </w:t>
                            </w:r>
                            <w:r w:rsidR="00796B8F">
                              <w:t>24 months</w:t>
                            </w:r>
                          </w:p>
                          <w:p w14:paraId="300439F2" w14:textId="45C468D5" w:rsidR="0077453B" w:rsidRDefault="0077453B" w:rsidP="0077453B">
                            <w:pPr>
                              <w:pStyle w:val="ListBullet"/>
                            </w:pPr>
                            <w:r w:rsidRPr="00337CF6">
                              <w:rPr>
                                <w:b/>
                              </w:rPr>
                              <w:t xml:space="preserve">Total funding: </w:t>
                            </w:r>
                            <w:r w:rsidR="00796B8F">
                              <w:t>$2 million</w:t>
                            </w:r>
                          </w:p>
                          <w:p w14:paraId="2D2FC258" w14:textId="07F83AEB" w:rsidR="00DA13C8" w:rsidRPr="005B1F81" w:rsidRDefault="00DA13C8" w:rsidP="00796B8F">
                            <w:pPr>
                              <w:pStyle w:val="ListBullet"/>
                            </w:pPr>
                            <w:r>
                              <w:rPr>
                                <w:b/>
                              </w:rPr>
                              <w:t>Co-designers:</w:t>
                            </w:r>
                            <w:r w:rsidRPr="00DA13C8">
                              <w:t xml:space="preserve"> </w:t>
                            </w:r>
                            <w:r w:rsidR="00796B8F" w:rsidRPr="00796B8F">
                              <w:t>COTA WA, United Way, Department of Training and Workforce Development, Wanslea, Anglicare WA, MercyCare, Volunteering WA, Chamber of Commerce and Industry WA, CSI UWA, ORS Group, AJ Grant Group, and Australian Childcare Alliance WA</w:t>
                            </w:r>
                          </w:p>
                          <w:p w14:paraId="1C3F841C" w14:textId="63DBD05E" w:rsidR="0077453B" w:rsidRDefault="0077453B" w:rsidP="00796B8F">
                            <w:pPr>
                              <w:pStyle w:val="ListBullet"/>
                            </w:pPr>
                            <w:r>
                              <w:rPr>
                                <w:b/>
                              </w:rPr>
                              <w:t>S</w:t>
                            </w:r>
                            <w:r w:rsidRPr="00337CF6">
                              <w:rPr>
                                <w:b/>
                              </w:rPr>
                              <w:t>ervice provider:</w:t>
                            </w:r>
                            <w:r>
                              <w:t xml:space="preserve"> </w:t>
                            </w:r>
                            <w:r w:rsidR="00796B8F" w:rsidRPr="00796B8F">
                              <w:t>COTA WA will be invited to apply for funding as part of a consortium</w:t>
                            </w:r>
                          </w:p>
                          <w:p w14:paraId="4BBBED5A" w14:textId="3CC9011D" w:rsidR="0077453B" w:rsidRDefault="0077453B" w:rsidP="00796B8F">
                            <w:pPr>
                              <w:pStyle w:val="ListBullet"/>
                            </w:pPr>
                            <w:r>
                              <w:rPr>
                                <w:b/>
                              </w:rPr>
                              <w:t xml:space="preserve">Potential future saving: </w:t>
                            </w:r>
                            <w:r w:rsidR="005B1F81" w:rsidRPr="005B1F81">
                              <w:t xml:space="preserve">The purpose of these initiatives is to test whether an intervention works to reduce long-term reliance on welfare. It is not possible to predict success rates in advance—this is the purpose of testing new approaches. </w:t>
                            </w:r>
                            <w:r w:rsidR="00796B8F" w:rsidRPr="00796B8F">
                              <w:t>If 9 per cent of participants (</w:t>
                            </w:r>
                            <w:r w:rsidR="00EF57DD">
                              <w:t>32</w:t>
                            </w:r>
                            <w:r w:rsidR="00796B8F" w:rsidRPr="00796B8F">
                              <w:t>) move off welfare, the savings to the welfare system are likely to outweigh the costs</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6E8023" id="Text Box 4" o:spid="_x0000_s1027" type="#_x0000_t202" style="position:absolute;margin-left:331.5pt;margin-top:16.45pt;width:200.7pt;height:40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" fillcolor="#e4f6cd [663]" strokecolor="#78be20 [3207]" strokeweight=".5pt">
                <v:textbox inset="2mm,2mm,2mm,2mm">
                  <w:txbxContent>
                    <w:p w14:paraId="7FE15418" w14:textId="77777777" w:rsidR="0077453B" w:rsidRDefault="0077453B" w:rsidP="00DA13C8">
                      <w:pPr>
                        <w:pStyle w:val="Heading1"/>
                        <w:spacing w:before="0" w:after="0"/>
                        <w:jc w:val="center"/>
                      </w:pPr>
                      <w:r>
                        <w:t>Fast facts</w:t>
                      </w:r>
                    </w:p>
                    <w:p w14:paraId="026418E1" w14:textId="4ADB8805" w:rsidR="0077453B" w:rsidRDefault="0077453B" w:rsidP="0077453B">
                      <w:pPr>
                        <w:pStyle w:val="ListBullet"/>
                      </w:pPr>
                      <w:r w:rsidRPr="00337CF6">
                        <w:rPr>
                          <w:b/>
                        </w:rPr>
                        <w:t xml:space="preserve">Priority group: </w:t>
                      </w:r>
                      <w:r w:rsidR="00796B8F">
                        <w:t>Unemployed former students</w:t>
                      </w:r>
                    </w:p>
                    <w:p w14:paraId="551B2277" w14:textId="0C1A81C4" w:rsidR="0077453B" w:rsidRDefault="0077453B" w:rsidP="0077453B">
                      <w:pPr>
                        <w:pStyle w:val="ListBullet"/>
                      </w:pPr>
                      <w:r w:rsidRPr="00337CF6">
                        <w:rPr>
                          <w:b/>
                        </w:rPr>
                        <w:t xml:space="preserve">Recipient numbers: </w:t>
                      </w:r>
                      <w:r w:rsidR="00796B8F">
                        <w:t>360</w:t>
                      </w:r>
                    </w:p>
                    <w:p w14:paraId="0D0607F4" w14:textId="47FB77D1" w:rsidR="0077453B" w:rsidRDefault="00720423" w:rsidP="005B1F81">
                      <w:pPr>
                        <w:pStyle w:val="ListBullet"/>
                      </w:pPr>
                      <w:r>
                        <w:rPr>
                          <w:b/>
                        </w:rPr>
                        <w:t>Location</w:t>
                      </w:r>
                      <w:r w:rsidR="0077453B" w:rsidRPr="00337CF6">
                        <w:rPr>
                          <w:b/>
                        </w:rPr>
                        <w:t xml:space="preserve">: </w:t>
                      </w:r>
                      <w:r w:rsidR="00796B8F">
                        <w:t>Perth</w:t>
                      </w:r>
                    </w:p>
                    <w:p w14:paraId="3B6BC228" w14:textId="48C2B435" w:rsidR="0077453B" w:rsidRDefault="0077453B" w:rsidP="0077453B">
                      <w:pPr>
                        <w:pStyle w:val="ListBullet"/>
                      </w:pPr>
                      <w:r w:rsidRPr="00337CF6">
                        <w:rPr>
                          <w:b/>
                        </w:rPr>
                        <w:t xml:space="preserve">Trial period: </w:t>
                      </w:r>
                      <w:r w:rsidR="00796B8F">
                        <w:t>24 months</w:t>
                      </w:r>
                    </w:p>
                    <w:p w14:paraId="300439F2" w14:textId="45C468D5" w:rsidR="0077453B" w:rsidRDefault="0077453B" w:rsidP="0077453B">
                      <w:pPr>
                        <w:pStyle w:val="ListBullet"/>
                      </w:pPr>
                      <w:r w:rsidRPr="00337CF6">
                        <w:rPr>
                          <w:b/>
                        </w:rPr>
                        <w:t xml:space="preserve">Total funding: </w:t>
                      </w:r>
                      <w:r w:rsidR="00796B8F">
                        <w:t>$2 million</w:t>
                      </w:r>
                    </w:p>
                    <w:p w14:paraId="2D2FC258" w14:textId="07F83AEB" w:rsidR="00DA13C8" w:rsidRPr="005B1F81" w:rsidRDefault="00DA13C8" w:rsidP="00796B8F">
                      <w:pPr>
                        <w:pStyle w:val="ListBullet"/>
                      </w:pPr>
                      <w:r>
                        <w:rPr>
                          <w:b/>
                        </w:rPr>
                        <w:t>Co-designers:</w:t>
                      </w:r>
                      <w:r w:rsidRPr="00DA13C8">
                        <w:t xml:space="preserve"> </w:t>
                      </w:r>
                      <w:r w:rsidR="00796B8F" w:rsidRPr="00796B8F">
                        <w:t>COTA WA, United Way, Department of Training and Workforce Development, Wanslea, Anglicare WA, MercyCare, Volunteering WA, Chamber of Commerce and Industry WA, CSI UWA, ORS Group, AJ Grant Group, and Australian Childcare Alliance WA</w:t>
                      </w:r>
                    </w:p>
                    <w:p w14:paraId="1C3F841C" w14:textId="63DBD05E" w:rsidR="0077453B" w:rsidRDefault="0077453B" w:rsidP="00796B8F">
                      <w:pPr>
                        <w:pStyle w:val="ListBullet"/>
                      </w:pPr>
                      <w:r>
                        <w:rPr>
                          <w:b/>
                        </w:rPr>
                        <w:t>S</w:t>
                      </w:r>
                      <w:r w:rsidRPr="00337CF6">
                        <w:rPr>
                          <w:b/>
                        </w:rPr>
                        <w:t>ervice provider:</w:t>
                      </w:r>
                      <w:r>
                        <w:t xml:space="preserve"> </w:t>
                      </w:r>
                      <w:r w:rsidR="00796B8F" w:rsidRPr="00796B8F">
                        <w:t>COTA WA will be invited to apply for funding as part of a consortium</w:t>
                      </w:r>
                    </w:p>
                    <w:p w14:paraId="4BBBED5A" w14:textId="3CC9011D" w:rsidR="0077453B" w:rsidRDefault="0077453B" w:rsidP="00796B8F">
                      <w:pPr>
                        <w:pStyle w:val="ListBullet"/>
                      </w:pPr>
                      <w:r>
                        <w:rPr>
                          <w:b/>
                        </w:rPr>
                        <w:t xml:space="preserve">Potential future saving: </w:t>
                      </w:r>
                      <w:r w:rsidR="005B1F81" w:rsidRPr="005B1F81">
                        <w:t xml:space="preserve">The purpose of these initiatives is to test whether an intervention works to reduce long-term reliance on welfare. It is not possible to predict success rates in advance—this is the purpose of testing new approaches. </w:t>
                      </w:r>
                      <w:r w:rsidR="00796B8F" w:rsidRPr="00796B8F">
                        <w:t>If 9 per cent of participants (</w:t>
                      </w:r>
                      <w:r w:rsidR="00EF57DD">
                        <w:t>32</w:t>
                      </w:r>
                      <w:r w:rsidR="00796B8F" w:rsidRPr="00796B8F">
                        <w:t>) move off welfare, the savings to the welfare system are likely to outweigh the costs</w:t>
                      </w:r>
                    </w:p>
                  </w:txbxContent>
                </v:textbox>
                <w10:wrap type="square"/>
              </v:shape>
            </w:pict>
          </mc:Fallback>
        </mc:AlternateContent>
      </w:r>
      <w:r>
        <w:t>What does the evidence tell us?</w:t>
      </w:r>
    </w:p>
    <w:p w14:paraId="06C599E9" w14:textId="77777777" w:rsidR="007C3ADA" w:rsidRDefault="007C3ADA" w:rsidP="007C3ADA">
      <w:pPr>
        <w:pStyle w:val="ListBullet"/>
        <w:numPr>
          <w:ilvl w:val="0"/>
          <w:numId w:val="61"/>
        </w:numPr>
        <w:spacing w:before="0" w:line="240" w:lineRule="auto"/>
      </w:pPr>
      <w:r>
        <w:t xml:space="preserve">22 per cent of all current 17-19 year olds receiving student payments are expected to be on income support in 10 years.  </w:t>
      </w:r>
    </w:p>
    <w:p w14:paraId="65AE2256" w14:textId="77777777" w:rsidR="007C3ADA" w:rsidRDefault="007C3ADA" w:rsidP="007C3ADA">
      <w:pPr>
        <w:pStyle w:val="ListBullet"/>
        <w:numPr>
          <w:ilvl w:val="0"/>
          <w:numId w:val="61"/>
        </w:numPr>
        <w:spacing w:before="0" w:line="240" w:lineRule="auto"/>
      </w:pPr>
      <w:r>
        <w:t>From 2003 to 2012, there were 7,160 vocational or university students who started receiving a student payment aged 17 to 19; then experienced more than 12 months on unemployment payments; and were receiving unemployment payments in 2015-16. On average, all of these former young students who transitioned directly to unemployment payments are expected to receive income support in 33 years of their future lifetimes.</w:t>
      </w:r>
    </w:p>
    <w:p w14:paraId="64681AE7" w14:textId="77777777" w:rsidR="007C3ADA" w:rsidRDefault="007C3ADA" w:rsidP="0089417D">
      <w:pPr>
        <w:pStyle w:val="ListBullet"/>
        <w:numPr>
          <w:ilvl w:val="0"/>
          <w:numId w:val="61"/>
        </w:numPr>
        <w:spacing w:before="0" w:after="120" w:line="240" w:lineRule="auto"/>
        <w:ind w:left="714" w:hanging="357"/>
      </w:pPr>
      <w:r>
        <w:t xml:space="preserve">If nothing changes for these former young students, 39 per cent will be receiving income support payments in 10 years, and 30 per cent will be receiving income support payments in 20 years. </w:t>
      </w:r>
    </w:p>
    <w:p w14:paraId="333786F7" w14:textId="500A3EDD" w:rsidR="001C6104" w:rsidRDefault="009B5C57" w:rsidP="001F4E41">
      <w:pPr>
        <w:pStyle w:val="Heading1"/>
      </w:pPr>
      <w:r>
        <w:t>What is</w:t>
      </w:r>
      <w:r w:rsidR="00270C78">
        <w:t xml:space="preserve"> </w:t>
      </w:r>
      <w:r w:rsidR="00E45B8F">
        <w:rPr>
          <w:i/>
        </w:rPr>
        <w:t>Mentoring to Work</w:t>
      </w:r>
      <w:r>
        <w:t>?</w:t>
      </w:r>
    </w:p>
    <w:p w14:paraId="26C440D8" w14:textId="77777777" w:rsidR="00796B8F" w:rsidRDefault="00796B8F" w:rsidP="00D6378B">
      <w:pPr>
        <w:spacing w:before="0" w:line="240" w:lineRule="auto"/>
      </w:pPr>
      <w:r w:rsidRPr="00796B8F">
        <w:t xml:space="preserve">Participants will be paired with a mature volunteer mentor with strong business and workplace connections. </w:t>
      </w:r>
    </w:p>
    <w:p w14:paraId="1358D888" w14:textId="54F3A21B" w:rsidR="00F318A3" w:rsidRDefault="00796B8F" w:rsidP="00D6378B">
      <w:pPr>
        <w:spacing w:before="0" w:line="240" w:lineRule="auto"/>
      </w:pPr>
      <w:r w:rsidRPr="00796B8F">
        <w:t>The mentoring will take place through both group sessions and one-on-one mentoring over a six-month period. Each week will</w:t>
      </w:r>
      <w:r w:rsidR="004326D1">
        <w:t xml:space="preserve"> </w:t>
      </w:r>
      <w:r w:rsidRPr="00796B8F">
        <w:t>focus on different activities t</w:t>
      </w:r>
      <w:r w:rsidR="008C45A3">
        <w:t>o</w:t>
      </w:r>
      <w:r w:rsidRPr="00796B8F">
        <w:t xml:space="preserve"> prepare participants for employment. Mentors will guide and support participants through the employment process.</w:t>
      </w:r>
    </w:p>
    <w:p w14:paraId="0E32F8A4" w14:textId="77777777" w:rsidR="009B5C57" w:rsidRDefault="00093570" w:rsidP="001F4E41">
      <w:pPr>
        <w:pStyle w:val="Heading1"/>
      </w:pPr>
      <w:r>
        <w:t>What are we trying to achieve</w:t>
      </w:r>
      <w:r w:rsidR="009B5C57">
        <w:t>?</w:t>
      </w:r>
      <w:r w:rsidR="0077453B" w:rsidRPr="0077453B">
        <w:rPr>
          <w:noProof/>
        </w:rPr>
        <w:t xml:space="preserve"> </w:t>
      </w:r>
    </w:p>
    <w:p w14:paraId="511D984A" w14:textId="3A9663C9" w:rsidR="00791672" w:rsidRDefault="00796B8F" w:rsidP="00791672">
      <w:pPr>
        <w:spacing w:before="0" w:line="240" w:lineRule="auto"/>
      </w:pPr>
      <w:r w:rsidRPr="00796B8F">
        <w:t>Improvement in participants’ job readiness and their chances of accessing and sustaining employment.</w:t>
      </w:r>
    </w:p>
    <w:p w14:paraId="367EF63A" w14:textId="7681CAB9" w:rsidR="00CD354C" w:rsidRDefault="00CD354C" w:rsidP="00791672">
      <w:pPr>
        <w:spacing w:before="0" w:line="240" w:lineRule="auto"/>
      </w:pPr>
    </w:p>
    <w:p w14:paraId="6C4B01EE" w14:textId="77777777" w:rsidR="00CD354C" w:rsidRDefault="00CD354C" w:rsidP="00791672">
      <w:pPr>
        <w:spacing w:before="0" w:line="240" w:lineRule="auto"/>
      </w:pPr>
    </w:p>
    <w:p w14:paraId="77682EB7" w14:textId="77777777" w:rsidR="009B5C57" w:rsidRDefault="00093570" w:rsidP="001F4E41">
      <w:pPr>
        <w:pStyle w:val="Heading1"/>
      </w:pPr>
      <w:r>
        <w:lastRenderedPageBreak/>
        <w:t>How is this initiative new and innovative?</w:t>
      </w:r>
    </w:p>
    <w:p w14:paraId="72D50888" w14:textId="50A89480" w:rsidR="00791672" w:rsidRDefault="00796B8F" w:rsidP="005B1F81">
      <w:pPr>
        <w:spacing w:before="0" w:line="240" w:lineRule="auto"/>
      </w:pPr>
      <w:r w:rsidRPr="00796B8F">
        <w:t>This initiative proposes a unique partnership model to create an ecosystem of support which assists participants to identify and address a diverse range of barriers and challenges in attaining and maintaining employment.</w:t>
      </w:r>
    </w:p>
    <w:p w14:paraId="4F605F40" w14:textId="77777777" w:rsidR="00F73B8A" w:rsidRDefault="00F73B8A" w:rsidP="00F73B8A">
      <w:pPr>
        <w:pStyle w:val="Heading1"/>
      </w:pPr>
      <w:r>
        <w:t>How will this initiative be evaluated?</w:t>
      </w:r>
    </w:p>
    <w:p w14:paraId="3F32FDFB" w14:textId="77777777" w:rsidR="003D4F76" w:rsidRDefault="005B1F81" w:rsidP="0077453B">
      <w:pPr>
        <w:spacing w:before="0" w:after="0" w:line="240" w:lineRule="auto"/>
      </w:pPr>
      <w:r w:rsidRPr="005B1F81">
        <w:t>This initiative will be tracked using a range of evaluation methods, such as surveys, participant interviews and actuarial analysis.</w:t>
      </w:r>
    </w:p>
    <w:p w14:paraId="224656F5" w14:textId="77777777" w:rsidR="003D4F76" w:rsidRDefault="003D4F76" w:rsidP="0077453B">
      <w:pPr>
        <w:spacing w:before="0" w:after="0" w:line="240" w:lineRule="auto"/>
      </w:pPr>
    </w:p>
    <w:p w14:paraId="7F82C77F" w14:textId="77777777" w:rsidR="003D4F76" w:rsidRDefault="003D4F76" w:rsidP="0077453B">
      <w:pPr>
        <w:spacing w:before="0" w:after="0" w:line="240" w:lineRule="auto"/>
      </w:pPr>
    </w:p>
    <w:sectPr w:rsidR="003D4F76" w:rsidSect="001C6104">
      <w:headerReference w:type="default" r:id="rId13"/>
      <w:footerReference w:type="default" r:id="rId14"/>
      <w:type w:val="continuous"/>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8D49B" w14:textId="77777777" w:rsidR="000C2782" w:rsidRDefault="000C2782">
      <w:r>
        <w:separator/>
      </w:r>
    </w:p>
  </w:endnote>
  <w:endnote w:type="continuationSeparator" w:id="0">
    <w:p w14:paraId="3BEBBD16" w14:textId="77777777" w:rsidR="000C2782" w:rsidRDefault="000C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A698"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997A" w14:textId="77777777" w:rsidR="00115D09" w:rsidRDefault="00CA4C7E">
    <w:pPr>
      <w:pStyle w:val="Footer"/>
    </w:pPr>
    <w:r w:rsidRPr="00496410">
      <w:rPr>
        <w:noProof/>
      </w:rPr>
      <w:drawing>
        <wp:anchor distT="0" distB="0" distL="114300" distR="114300" simplePos="0" relativeHeight="251659264" behindDoc="1" locked="0" layoutInCell="1" allowOverlap="1" wp14:anchorId="47CBCABE" wp14:editId="702DC1F9">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96BD" w14:textId="2D6507B5" w:rsidR="00A06C77" w:rsidRPr="00846C1D" w:rsidRDefault="00321148" w:rsidP="00846C1D">
    <w:pPr>
      <w:pStyle w:val="Footer"/>
    </w:pPr>
    <w:r>
      <w:tab/>
    </w:r>
    <w:r>
      <w:fldChar w:fldCharType="begin"/>
    </w:r>
    <w:r>
      <w:instrText xml:space="preserve"> PAGE   \* MERGEFORMAT </w:instrText>
    </w:r>
    <w:r>
      <w:fldChar w:fldCharType="separate"/>
    </w:r>
    <w:r w:rsidR="009C133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C803D" w14:textId="77777777" w:rsidR="000C2782" w:rsidRDefault="000C2782">
      <w:r>
        <w:separator/>
      </w:r>
    </w:p>
  </w:footnote>
  <w:footnote w:type="continuationSeparator" w:id="0">
    <w:p w14:paraId="7CD9EBA4" w14:textId="77777777" w:rsidR="000C2782" w:rsidRDefault="000C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FC89" w14:textId="77777777" w:rsidR="009D7E1A" w:rsidRDefault="00680F71">
    <w:pPr>
      <w:pStyle w:val="Header"/>
      <w:rPr>
        <w:noProof/>
      </w:rPr>
    </w:pPr>
    <w:r w:rsidRPr="00680F71">
      <w:rPr>
        <w:noProof/>
      </w:rPr>
      <w:t>Commonwealth Financial Counselling</w:t>
    </w:r>
  </w:p>
  <w:p w14:paraId="373FF2EE" w14:textId="77777777" w:rsidR="00214BA3" w:rsidRDefault="00214BA3">
    <w:pPr>
      <w:pStyle w:val="Header"/>
    </w:pPr>
    <w:r>
      <w:rPr>
        <w:noProof/>
      </w:rPr>
      <mc:AlternateContent>
        <mc:Choice Requires="wps">
          <w:drawing>
            <wp:inline distT="0" distB="0" distL="0" distR="0" wp14:anchorId="7A2F2C9C" wp14:editId="7ECF5275">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7D1C9F"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CA41" w14:textId="77777777" w:rsidR="00752C05" w:rsidRDefault="00752C05">
    <w:pPr>
      <w:pStyle w:val="Header"/>
      <w:rPr>
        <w:noProof/>
      </w:rPr>
    </w:pPr>
    <w:r>
      <w:rPr>
        <w:noProof/>
      </w:rPr>
      <w:drawing>
        <wp:anchor distT="0" distB="0" distL="114300" distR="114300" simplePos="0" relativeHeight="251661312" behindDoc="1" locked="0" layoutInCell="1" allowOverlap="1" wp14:anchorId="729B4F68" wp14:editId="4B424131">
          <wp:simplePos x="0" y="0"/>
          <wp:positionH relativeFrom="column">
            <wp:posOffset>138430</wp:posOffset>
          </wp:positionH>
          <wp:positionV relativeFrom="paragraph">
            <wp:posOffset>-248396</wp:posOffset>
          </wp:positionV>
          <wp:extent cx="6621780" cy="31330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E0CF0" w14:textId="77777777" w:rsidR="00CC2E8B" w:rsidRDefault="00752C05">
    <w:pPr>
      <w:pStyle w:val="Header"/>
      <w:rPr>
        <w:noProof/>
      </w:rPr>
    </w:pPr>
    <w:r>
      <w:rPr>
        <w:noProof/>
      </w:rPr>
      <w:softHyphen/>
    </w:r>
    <w:r>
      <w:rPr>
        <w:noProof/>
      </w:rPr>
      <w:softHyphen/>
    </w:r>
    <w:r>
      <w:rPr>
        <w:noProof/>
      </w:rPr>
      <w:softHyphen/>
    </w:r>
  </w:p>
  <w:p w14:paraId="66F30743" w14:textId="77777777"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E070" w14:textId="77777777" w:rsidR="001F4E41" w:rsidRDefault="001F4E41" w:rsidP="001F4E41">
    <w:pPr>
      <w:pStyle w:val="Header"/>
      <w:rPr>
        <w:noProof/>
      </w:rPr>
    </w:pPr>
    <w:r>
      <w:rPr>
        <w:noProof/>
      </w:rPr>
      <w:t>Try, Test and Learn Fund</w:t>
    </w:r>
  </w:p>
  <w:p w14:paraId="19FC0FA4" w14:textId="77777777" w:rsidR="00214BA3" w:rsidRDefault="00214BA3">
    <w:pPr>
      <w:pStyle w:val="Header"/>
    </w:pPr>
    <w:r>
      <w:rPr>
        <w:noProof/>
      </w:rPr>
      <mc:AlternateContent>
        <mc:Choice Requires="wps">
          <w:drawing>
            <wp:inline distT="0" distB="0" distL="0" distR="0" wp14:anchorId="26775D54" wp14:editId="4C441A55">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BEF994"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4"/>
  </w:num>
  <w:num w:numId="16">
    <w:abstractNumId w:val="13"/>
  </w:num>
  <w:num w:numId="17">
    <w:abstractNumId w:val="55"/>
  </w:num>
  <w:num w:numId="18">
    <w:abstractNumId w:val="48"/>
  </w:num>
  <w:num w:numId="19">
    <w:abstractNumId w:val="14"/>
  </w:num>
  <w:num w:numId="20">
    <w:abstractNumId w:val="3"/>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2"/>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 w:numId="62">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CE"/>
    <w:rsid w:val="00002C18"/>
    <w:rsid w:val="00010549"/>
    <w:rsid w:val="000124A1"/>
    <w:rsid w:val="00012F84"/>
    <w:rsid w:val="00025376"/>
    <w:rsid w:val="00027B26"/>
    <w:rsid w:val="0003104E"/>
    <w:rsid w:val="00031195"/>
    <w:rsid w:val="00032861"/>
    <w:rsid w:val="00035CA1"/>
    <w:rsid w:val="0003679F"/>
    <w:rsid w:val="000374E5"/>
    <w:rsid w:val="000435BB"/>
    <w:rsid w:val="00045CCD"/>
    <w:rsid w:val="00047524"/>
    <w:rsid w:val="00047ACD"/>
    <w:rsid w:val="000505B2"/>
    <w:rsid w:val="00050E5B"/>
    <w:rsid w:val="000547EF"/>
    <w:rsid w:val="00054B89"/>
    <w:rsid w:val="00055D03"/>
    <w:rsid w:val="00061FF2"/>
    <w:rsid w:val="00067CD0"/>
    <w:rsid w:val="00080F2E"/>
    <w:rsid w:val="00081CEB"/>
    <w:rsid w:val="00083791"/>
    <w:rsid w:val="00086E3C"/>
    <w:rsid w:val="00087B2C"/>
    <w:rsid w:val="00087DBD"/>
    <w:rsid w:val="00090570"/>
    <w:rsid w:val="00090753"/>
    <w:rsid w:val="00093570"/>
    <w:rsid w:val="00097BFF"/>
    <w:rsid w:val="000A669D"/>
    <w:rsid w:val="000A66A8"/>
    <w:rsid w:val="000C014D"/>
    <w:rsid w:val="000C2410"/>
    <w:rsid w:val="000C2782"/>
    <w:rsid w:val="000D3DC0"/>
    <w:rsid w:val="000D4703"/>
    <w:rsid w:val="000D64F9"/>
    <w:rsid w:val="000D693C"/>
    <w:rsid w:val="000E12D4"/>
    <w:rsid w:val="000E2CA6"/>
    <w:rsid w:val="000F2964"/>
    <w:rsid w:val="000F7198"/>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33BC"/>
    <w:rsid w:val="001939FF"/>
    <w:rsid w:val="001943DD"/>
    <w:rsid w:val="00195374"/>
    <w:rsid w:val="001A127F"/>
    <w:rsid w:val="001A3CA4"/>
    <w:rsid w:val="001A3EA4"/>
    <w:rsid w:val="001B3AEC"/>
    <w:rsid w:val="001B5000"/>
    <w:rsid w:val="001B6F28"/>
    <w:rsid w:val="001C5D30"/>
    <w:rsid w:val="001C6104"/>
    <w:rsid w:val="001D4585"/>
    <w:rsid w:val="001D5D54"/>
    <w:rsid w:val="001E41C8"/>
    <w:rsid w:val="001F3AD7"/>
    <w:rsid w:val="001F4E41"/>
    <w:rsid w:val="00207630"/>
    <w:rsid w:val="00213082"/>
    <w:rsid w:val="00214BA3"/>
    <w:rsid w:val="0021714E"/>
    <w:rsid w:val="00222187"/>
    <w:rsid w:val="00222C8D"/>
    <w:rsid w:val="00222E33"/>
    <w:rsid w:val="00227B95"/>
    <w:rsid w:val="0023523A"/>
    <w:rsid w:val="002353DF"/>
    <w:rsid w:val="00235F71"/>
    <w:rsid w:val="0025189B"/>
    <w:rsid w:val="0025272A"/>
    <w:rsid w:val="00262E09"/>
    <w:rsid w:val="00263E01"/>
    <w:rsid w:val="002659AC"/>
    <w:rsid w:val="00266985"/>
    <w:rsid w:val="00270C78"/>
    <w:rsid w:val="00271922"/>
    <w:rsid w:val="0027204E"/>
    <w:rsid w:val="00273412"/>
    <w:rsid w:val="00274ACF"/>
    <w:rsid w:val="00277B87"/>
    <w:rsid w:val="00282CD1"/>
    <w:rsid w:val="00285F1B"/>
    <w:rsid w:val="00295831"/>
    <w:rsid w:val="00296F1B"/>
    <w:rsid w:val="002A6DF5"/>
    <w:rsid w:val="002D00B0"/>
    <w:rsid w:val="002D2E16"/>
    <w:rsid w:val="002E6C4F"/>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7CF6"/>
    <w:rsid w:val="00347104"/>
    <w:rsid w:val="0034733F"/>
    <w:rsid w:val="0035213F"/>
    <w:rsid w:val="003555D2"/>
    <w:rsid w:val="00363DF3"/>
    <w:rsid w:val="003656B1"/>
    <w:rsid w:val="003703CE"/>
    <w:rsid w:val="0037056B"/>
    <w:rsid w:val="00374E56"/>
    <w:rsid w:val="00377173"/>
    <w:rsid w:val="003774DA"/>
    <w:rsid w:val="00392557"/>
    <w:rsid w:val="003945C0"/>
    <w:rsid w:val="003A0645"/>
    <w:rsid w:val="003A06C2"/>
    <w:rsid w:val="003B1D3E"/>
    <w:rsid w:val="003B55C8"/>
    <w:rsid w:val="003B6D2E"/>
    <w:rsid w:val="003C430D"/>
    <w:rsid w:val="003C7404"/>
    <w:rsid w:val="003D3C5A"/>
    <w:rsid w:val="003D404A"/>
    <w:rsid w:val="003D4F76"/>
    <w:rsid w:val="003E17A5"/>
    <w:rsid w:val="003E6FDA"/>
    <w:rsid w:val="003F3072"/>
    <w:rsid w:val="00401A2A"/>
    <w:rsid w:val="004103D7"/>
    <w:rsid w:val="0041307C"/>
    <w:rsid w:val="004167B4"/>
    <w:rsid w:val="00425843"/>
    <w:rsid w:val="0042734F"/>
    <w:rsid w:val="00430D7E"/>
    <w:rsid w:val="004326D1"/>
    <w:rsid w:val="00433B04"/>
    <w:rsid w:val="00440BD3"/>
    <w:rsid w:val="0044498E"/>
    <w:rsid w:val="00446F93"/>
    <w:rsid w:val="004649E2"/>
    <w:rsid w:val="00464E8C"/>
    <w:rsid w:val="00466D36"/>
    <w:rsid w:val="00467185"/>
    <w:rsid w:val="0047050C"/>
    <w:rsid w:val="00475504"/>
    <w:rsid w:val="00480F21"/>
    <w:rsid w:val="00484FED"/>
    <w:rsid w:val="00495AF1"/>
    <w:rsid w:val="00496410"/>
    <w:rsid w:val="004C5384"/>
    <w:rsid w:val="004F775C"/>
    <w:rsid w:val="005015E4"/>
    <w:rsid w:val="0050291D"/>
    <w:rsid w:val="0050697E"/>
    <w:rsid w:val="0052345C"/>
    <w:rsid w:val="00524B3C"/>
    <w:rsid w:val="005315A9"/>
    <w:rsid w:val="00532B56"/>
    <w:rsid w:val="00540AD0"/>
    <w:rsid w:val="0054322A"/>
    <w:rsid w:val="00543923"/>
    <w:rsid w:val="005519C9"/>
    <w:rsid w:val="005523D1"/>
    <w:rsid w:val="00554A9C"/>
    <w:rsid w:val="00557624"/>
    <w:rsid w:val="00557644"/>
    <w:rsid w:val="0056023E"/>
    <w:rsid w:val="005658EF"/>
    <w:rsid w:val="005822A3"/>
    <w:rsid w:val="005878D5"/>
    <w:rsid w:val="0059070B"/>
    <w:rsid w:val="005920C8"/>
    <w:rsid w:val="00594445"/>
    <w:rsid w:val="005B1225"/>
    <w:rsid w:val="005B1F81"/>
    <w:rsid w:val="005B2773"/>
    <w:rsid w:val="005B76B0"/>
    <w:rsid w:val="005C09F4"/>
    <w:rsid w:val="005C3E1F"/>
    <w:rsid w:val="005C561A"/>
    <w:rsid w:val="005C5B93"/>
    <w:rsid w:val="005C66FF"/>
    <w:rsid w:val="005C673E"/>
    <w:rsid w:val="005C785A"/>
    <w:rsid w:val="005D03CA"/>
    <w:rsid w:val="005D45AB"/>
    <w:rsid w:val="005E4662"/>
    <w:rsid w:val="005F093F"/>
    <w:rsid w:val="005F214A"/>
    <w:rsid w:val="005F6BD6"/>
    <w:rsid w:val="00601C99"/>
    <w:rsid w:val="00607597"/>
    <w:rsid w:val="0061547C"/>
    <w:rsid w:val="006255E4"/>
    <w:rsid w:val="00627728"/>
    <w:rsid w:val="00641020"/>
    <w:rsid w:val="006410C1"/>
    <w:rsid w:val="00647F05"/>
    <w:rsid w:val="006530EF"/>
    <w:rsid w:val="00654D06"/>
    <w:rsid w:val="00661536"/>
    <w:rsid w:val="00664BC9"/>
    <w:rsid w:val="00671B2B"/>
    <w:rsid w:val="00671E69"/>
    <w:rsid w:val="0067233D"/>
    <w:rsid w:val="006745AE"/>
    <w:rsid w:val="00675BEF"/>
    <w:rsid w:val="00676AF3"/>
    <w:rsid w:val="00676D10"/>
    <w:rsid w:val="00680F71"/>
    <w:rsid w:val="00682A53"/>
    <w:rsid w:val="0069174B"/>
    <w:rsid w:val="00693FA1"/>
    <w:rsid w:val="006B05E3"/>
    <w:rsid w:val="006B09BC"/>
    <w:rsid w:val="006B42A0"/>
    <w:rsid w:val="006B4E59"/>
    <w:rsid w:val="006C1382"/>
    <w:rsid w:val="006C281B"/>
    <w:rsid w:val="006C3402"/>
    <w:rsid w:val="006C3622"/>
    <w:rsid w:val="006C395C"/>
    <w:rsid w:val="006C45D4"/>
    <w:rsid w:val="006E1F3C"/>
    <w:rsid w:val="006E6073"/>
    <w:rsid w:val="006F7300"/>
    <w:rsid w:val="00703C09"/>
    <w:rsid w:val="00712300"/>
    <w:rsid w:val="00720423"/>
    <w:rsid w:val="00720739"/>
    <w:rsid w:val="00721695"/>
    <w:rsid w:val="007242B4"/>
    <w:rsid w:val="00725FB2"/>
    <w:rsid w:val="00730C64"/>
    <w:rsid w:val="007322AF"/>
    <w:rsid w:val="00735477"/>
    <w:rsid w:val="00736DCA"/>
    <w:rsid w:val="00742399"/>
    <w:rsid w:val="0074640C"/>
    <w:rsid w:val="0075003D"/>
    <w:rsid w:val="00751B37"/>
    <w:rsid w:val="00752C05"/>
    <w:rsid w:val="0075473C"/>
    <w:rsid w:val="00754D44"/>
    <w:rsid w:val="00766A05"/>
    <w:rsid w:val="00767B7E"/>
    <w:rsid w:val="0077453B"/>
    <w:rsid w:val="007746A9"/>
    <w:rsid w:val="007830F6"/>
    <w:rsid w:val="00785465"/>
    <w:rsid w:val="00786D10"/>
    <w:rsid w:val="00787656"/>
    <w:rsid w:val="00791672"/>
    <w:rsid w:val="00796B8F"/>
    <w:rsid w:val="007A67EA"/>
    <w:rsid w:val="007B15AF"/>
    <w:rsid w:val="007B7E83"/>
    <w:rsid w:val="007C1631"/>
    <w:rsid w:val="007C3ADA"/>
    <w:rsid w:val="007C636F"/>
    <w:rsid w:val="007C74DC"/>
    <w:rsid w:val="007D0EF8"/>
    <w:rsid w:val="007D39EB"/>
    <w:rsid w:val="008131E7"/>
    <w:rsid w:val="00813711"/>
    <w:rsid w:val="00814279"/>
    <w:rsid w:val="008263C2"/>
    <w:rsid w:val="00826E2E"/>
    <w:rsid w:val="00842959"/>
    <w:rsid w:val="00844E9F"/>
    <w:rsid w:val="008451FE"/>
    <w:rsid w:val="008466A1"/>
    <w:rsid w:val="00846C1D"/>
    <w:rsid w:val="00851758"/>
    <w:rsid w:val="0085673A"/>
    <w:rsid w:val="00856D5A"/>
    <w:rsid w:val="008609EB"/>
    <w:rsid w:val="00862D6D"/>
    <w:rsid w:val="008653E0"/>
    <w:rsid w:val="008657FB"/>
    <w:rsid w:val="00871D4F"/>
    <w:rsid w:val="00874FB3"/>
    <w:rsid w:val="00880BE3"/>
    <w:rsid w:val="00882588"/>
    <w:rsid w:val="0089417D"/>
    <w:rsid w:val="00895792"/>
    <w:rsid w:val="008A3738"/>
    <w:rsid w:val="008B645B"/>
    <w:rsid w:val="008B67B8"/>
    <w:rsid w:val="008B774D"/>
    <w:rsid w:val="008C123E"/>
    <w:rsid w:val="008C3ED0"/>
    <w:rsid w:val="008C45A3"/>
    <w:rsid w:val="008C4D0F"/>
    <w:rsid w:val="008C5585"/>
    <w:rsid w:val="008C5E94"/>
    <w:rsid w:val="008E6E9D"/>
    <w:rsid w:val="008F68F7"/>
    <w:rsid w:val="008F7480"/>
    <w:rsid w:val="009037B6"/>
    <w:rsid w:val="0090627A"/>
    <w:rsid w:val="00906CBE"/>
    <w:rsid w:val="00906FFA"/>
    <w:rsid w:val="00910384"/>
    <w:rsid w:val="009139C0"/>
    <w:rsid w:val="00913D79"/>
    <w:rsid w:val="009161C8"/>
    <w:rsid w:val="009164AD"/>
    <w:rsid w:val="00922289"/>
    <w:rsid w:val="00936F46"/>
    <w:rsid w:val="0094271E"/>
    <w:rsid w:val="00943142"/>
    <w:rsid w:val="00943A29"/>
    <w:rsid w:val="00945BCD"/>
    <w:rsid w:val="0095197E"/>
    <w:rsid w:val="00952AB2"/>
    <w:rsid w:val="009551E0"/>
    <w:rsid w:val="00955801"/>
    <w:rsid w:val="0095654E"/>
    <w:rsid w:val="00956F3C"/>
    <w:rsid w:val="0095729A"/>
    <w:rsid w:val="0095779B"/>
    <w:rsid w:val="009900F0"/>
    <w:rsid w:val="00991769"/>
    <w:rsid w:val="00994E9F"/>
    <w:rsid w:val="00996931"/>
    <w:rsid w:val="009A4CD8"/>
    <w:rsid w:val="009A4D4F"/>
    <w:rsid w:val="009B3ED1"/>
    <w:rsid w:val="009B5C57"/>
    <w:rsid w:val="009C1338"/>
    <w:rsid w:val="009C433C"/>
    <w:rsid w:val="009C49A3"/>
    <w:rsid w:val="009C4E71"/>
    <w:rsid w:val="009D28B7"/>
    <w:rsid w:val="009D7E1A"/>
    <w:rsid w:val="009E2162"/>
    <w:rsid w:val="009E517D"/>
    <w:rsid w:val="009E619B"/>
    <w:rsid w:val="009F65F9"/>
    <w:rsid w:val="00A006EB"/>
    <w:rsid w:val="00A03709"/>
    <w:rsid w:val="00A06C77"/>
    <w:rsid w:val="00A10147"/>
    <w:rsid w:val="00A12A9A"/>
    <w:rsid w:val="00A13D26"/>
    <w:rsid w:val="00A146A5"/>
    <w:rsid w:val="00A17411"/>
    <w:rsid w:val="00A2126A"/>
    <w:rsid w:val="00A2223D"/>
    <w:rsid w:val="00A26D46"/>
    <w:rsid w:val="00A34A74"/>
    <w:rsid w:val="00A35351"/>
    <w:rsid w:val="00A42ADE"/>
    <w:rsid w:val="00A4747E"/>
    <w:rsid w:val="00A57D8D"/>
    <w:rsid w:val="00A60693"/>
    <w:rsid w:val="00A67728"/>
    <w:rsid w:val="00A81A4F"/>
    <w:rsid w:val="00A82E14"/>
    <w:rsid w:val="00A901E9"/>
    <w:rsid w:val="00A9762C"/>
    <w:rsid w:val="00AA3A88"/>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7268"/>
    <w:rsid w:val="00AF7EFE"/>
    <w:rsid w:val="00B03BEE"/>
    <w:rsid w:val="00B049AA"/>
    <w:rsid w:val="00B0517E"/>
    <w:rsid w:val="00B056E2"/>
    <w:rsid w:val="00B11314"/>
    <w:rsid w:val="00B1192C"/>
    <w:rsid w:val="00B138E3"/>
    <w:rsid w:val="00B23267"/>
    <w:rsid w:val="00B24420"/>
    <w:rsid w:val="00B25891"/>
    <w:rsid w:val="00B27149"/>
    <w:rsid w:val="00B33D33"/>
    <w:rsid w:val="00B40D26"/>
    <w:rsid w:val="00B4451B"/>
    <w:rsid w:val="00B61421"/>
    <w:rsid w:val="00B72D62"/>
    <w:rsid w:val="00B75566"/>
    <w:rsid w:val="00B843C8"/>
    <w:rsid w:val="00B951E2"/>
    <w:rsid w:val="00B96F37"/>
    <w:rsid w:val="00BA4027"/>
    <w:rsid w:val="00BA607C"/>
    <w:rsid w:val="00BB3A32"/>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47BA2"/>
    <w:rsid w:val="00C517D6"/>
    <w:rsid w:val="00C612DC"/>
    <w:rsid w:val="00C622CB"/>
    <w:rsid w:val="00C64D15"/>
    <w:rsid w:val="00C740DE"/>
    <w:rsid w:val="00C743FD"/>
    <w:rsid w:val="00C74F74"/>
    <w:rsid w:val="00C7554B"/>
    <w:rsid w:val="00C83E31"/>
    <w:rsid w:val="00C916A4"/>
    <w:rsid w:val="00CA2A52"/>
    <w:rsid w:val="00CA2B15"/>
    <w:rsid w:val="00CA4C7E"/>
    <w:rsid w:val="00CA6490"/>
    <w:rsid w:val="00CB5744"/>
    <w:rsid w:val="00CB7022"/>
    <w:rsid w:val="00CC2E8B"/>
    <w:rsid w:val="00CC37A3"/>
    <w:rsid w:val="00CD1937"/>
    <w:rsid w:val="00CD354C"/>
    <w:rsid w:val="00CE214C"/>
    <w:rsid w:val="00CE48B5"/>
    <w:rsid w:val="00CE5E1C"/>
    <w:rsid w:val="00CE6858"/>
    <w:rsid w:val="00CF34DF"/>
    <w:rsid w:val="00CF50BE"/>
    <w:rsid w:val="00CF6A52"/>
    <w:rsid w:val="00D01BA0"/>
    <w:rsid w:val="00D03583"/>
    <w:rsid w:val="00D117B4"/>
    <w:rsid w:val="00D13C7C"/>
    <w:rsid w:val="00D169F7"/>
    <w:rsid w:val="00D26D01"/>
    <w:rsid w:val="00D33DA3"/>
    <w:rsid w:val="00D405D6"/>
    <w:rsid w:val="00D4723B"/>
    <w:rsid w:val="00D55EE8"/>
    <w:rsid w:val="00D5785A"/>
    <w:rsid w:val="00D6378B"/>
    <w:rsid w:val="00D64C48"/>
    <w:rsid w:val="00D65A96"/>
    <w:rsid w:val="00D7006D"/>
    <w:rsid w:val="00D731C4"/>
    <w:rsid w:val="00D81BAA"/>
    <w:rsid w:val="00D85BE0"/>
    <w:rsid w:val="00D87C1A"/>
    <w:rsid w:val="00D87FD7"/>
    <w:rsid w:val="00D92167"/>
    <w:rsid w:val="00D9502B"/>
    <w:rsid w:val="00D95C43"/>
    <w:rsid w:val="00D97047"/>
    <w:rsid w:val="00D97108"/>
    <w:rsid w:val="00DA13C8"/>
    <w:rsid w:val="00DB055E"/>
    <w:rsid w:val="00DB6D6B"/>
    <w:rsid w:val="00DC5665"/>
    <w:rsid w:val="00DD4F44"/>
    <w:rsid w:val="00DD5D8B"/>
    <w:rsid w:val="00DE0F9E"/>
    <w:rsid w:val="00DE5D76"/>
    <w:rsid w:val="00E00A3E"/>
    <w:rsid w:val="00E04C8D"/>
    <w:rsid w:val="00E128D8"/>
    <w:rsid w:val="00E30D45"/>
    <w:rsid w:val="00E42FE4"/>
    <w:rsid w:val="00E45B8F"/>
    <w:rsid w:val="00E46FAA"/>
    <w:rsid w:val="00E5750B"/>
    <w:rsid w:val="00E60E2E"/>
    <w:rsid w:val="00E63A24"/>
    <w:rsid w:val="00E71A2D"/>
    <w:rsid w:val="00E82C6D"/>
    <w:rsid w:val="00E8698A"/>
    <w:rsid w:val="00E916A8"/>
    <w:rsid w:val="00E923F2"/>
    <w:rsid w:val="00EA31CC"/>
    <w:rsid w:val="00EB14DF"/>
    <w:rsid w:val="00EB2B64"/>
    <w:rsid w:val="00EB3A07"/>
    <w:rsid w:val="00EB4143"/>
    <w:rsid w:val="00EB4728"/>
    <w:rsid w:val="00EC207A"/>
    <w:rsid w:val="00EC3F31"/>
    <w:rsid w:val="00ED3C91"/>
    <w:rsid w:val="00ED4112"/>
    <w:rsid w:val="00EF1347"/>
    <w:rsid w:val="00EF2BEB"/>
    <w:rsid w:val="00EF57DD"/>
    <w:rsid w:val="00F01129"/>
    <w:rsid w:val="00F03D93"/>
    <w:rsid w:val="00F03D9E"/>
    <w:rsid w:val="00F151F0"/>
    <w:rsid w:val="00F20F32"/>
    <w:rsid w:val="00F227BF"/>
    <w:rsid w:val="00F318A3"/>
    <w:rsid w:val="00F374B2"/>
    <w:rsid w:val="00F40AFC"/>
    <w:rsid w:val="00F4730E"/>
    <w:rsid w:val="00F50A92"/>
    <w:rsid w:val="00F53F24"/>
    <w:rsid w:val="00F614F1"/>
    <w:rsid w:val="00F63341"/>
    <w:rsid w:val="00F7203F"/>
    <w:rsid w:val="00F73B8A"/>
    <w:rsid w:val="00F7536E"/>
    <w:rsid w:val="00F76B93"/>
    <w:rsid w:val="00F81F93"/>
    <w:rsid w:val="00F86F1B"/>
    <w:rsid w:val="00F92A21"/>
    <w:rsid w:val="00F92E9B"/>
    <w:rsid w:val="00F95814"/>
    <w:rsid w:val="00F96D66"/>
    <w:rsid w:val="00FA01D9"/>
    <w:rsid w:val="00FA031C"/>
    <w:rsid w:val="00FB13C1"/>
    <w:rsid w:val="00FB420B"/>
    <w:rsid w:val="00FB6277"/>
    <w:rsid w:val="00FC1C5F"/>
    <w:rsid w:val="00FC5C0C"/>
    <w:rsid w:val="00FC64EF"/>
    <w:rsid w:val="00FC69EB"/>
    <w:rsid w:val="00FD2673"/>
    <w:rsid w:val="00FE2A29"/>
    <w:rsid w:val="00FE6006"/>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E8E7B"/>
  <w15:docId w15:val="{D2780AB1-35AC-48D5-B042-784A69AE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 w:type="paragraph" w:styleId="ListParagraph">
    <w:name w:val="List Paragraph"/>
    <w:basedOn w:val="Normal"/>
    <w:uiPriority w:val="34"/>
    <w:rsid w:val="008C4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27063">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D3128-64E3-4A70-A901-1D9448FF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2</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Mentoring to Work factsheet</vt:lpstr>
    </vt:vector>
  </TitlesOfParts>
  <Company>Department of Social Services</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to Work factsheet</dc:title>
  <dc:subject>Try, Test and Learn Fund</dc:subject>
  <cp:lastPrinted>2017-09-28T04:41:00Z</cp:lastPrinted>
  <dcterms:created xsi:type="dcterms:W3CDTF">2017-11-10T04:46:00Z</dcterms:created>
  <dcterms:modified xsi:type="dcterms:W3CDTF">2017-11-13T06:19:00Z</dcterms:modified>
</cp:coreProperties>
</file>