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C3351" w14:textId="2C31759B" w:rsidR="008C24E9" w:rsidRDefault="001C1846" w:rsidP="00124924">
      <w:pPr>
        <w:pStyle w:val="HeadingCoverPage"/>
      </w:pPr>
      <w:r>
        <w:tab/>
      </w:r>
    </w:p>
    <w:p w14:paraId="3DBD9C81" w14:textId="77777777" w:rsidR="00E11C73" w:rsidRPr="00EC326F" w:rsidRDefault="000B7AB9" w:rsidP="00124924">
      <w:pPr>
        <w:pStyle w:val="HeadingCoverPage"/>
      </w:pPr>
      <w:r w:rsidRPr="00EC326F">
        <w:t>30 June 201</w:t>
      </w:r>
      <w:r w:rsidR="00482046" w:rsidRPr="00EC326F">
        <w:t>6</w:t>
      </w:r>
      <w:r w:rsidR="00124924" w:rsidRPr="00EC326F">
        <w:br/>
      </w:r>
      <w:r w:rsidR="00E11C73" w:rsidRPr="00EC326F">
        <w:t>Valuation</w:t>
      </w:r>
      <w:r w:rsidR="00591FD8" w:rsidRPr="00EC326F">
        <w:t xml:space="preserve"> Report</w:t>
      </w:r>
    </w:p>
    <w:p w14:paraId="2E29DC81" w14:textId="77777777" w:rsidR="00E27E5B" w:rsidRPr="00EC326F" w:rsidRDefault="00477399" w:rsidP="00124924">
      <w:pPr>
        <w:pStyle w:val="HeadingCoverPageSecondTitle"/>
      </w:pPr>
      <w:r w:rsidRPr="00EC326F">
        <w:t>Department of Social Services</w:t>
      </w:r>
    </w:p>
    <w:p w14:paraId="16FCF9F6" w14:textId="77777777" w:rsidR="00965504" w:rsidRPr="00EC326F" w:rsidRDefault="00965504" w:rsidP="00965504">
      <w:pPr>
        <w:tabs>
          <w:tab w:val="left" w:pos="4356"/>
        </w:tabs>
        <w:jc w:val="center"/>
        <w:rPr>
          <w:sz w:val="36"/>
          <w:szCs w:val="36"/>
        </w:rPr>
      </w:pPr>
    </w:p>
    <w:p w14:paraId="020E1595" w14:textId="148F7B07" w:rsidR="00965504" w:rsidRDefault="005F7135" w:rsidP="00965504">
      <w:pPr>
        <w:tabs>
          <w:tab w:val="left" w:pos="4356"/>
        </w:tabs>
        <w:jc w:val="center"/>
        <w:rPr>
          <w:color w:val="FFFFFF" w:themeColor="background1"/>
          <w:sz w:val="36"/>
          <w:szCs w:val="36"/>
        </w:rPr>
      </w:pPr>
      <w:r>
        <w:rPr>
          <w:color w:val="FFFFFF" w:themeColor="background1"/>
          <w:sz w:val="36"/>
          <w:szCs w:val="36"/>
        </w:rPr>
        <w:t>Final Report</w:t>
      </w:r>
      <w:r w:rsidR="00FE6871">
        <w:rPr>
          <w:color w:val="FFFFFF" w:themeColor="background1"/>
          <w:sz w:val="36"/>
          <w:szCs w:val="36"/>
        </w:rPr>
        <w:t xml:space="preserve"> </w:t>
      </w:r>
      <w:r w:rsidR="00561A6D">
        <w:rPr>
          <w:color w:val="FFFFFF" w:themeColor="background1"/>
          <w:sz w:val="36"/>
          <w:szCs w:val="36"/>
        </w:rPr>
        <w:t>2017</w:t>
      </w:r>
    </w:p>
    <w:p w14:paraId="715EA5FB" w14:textId="77777777" w:rsidR="00202D53" w:rsidRPr="00202D53" w:rsidRDefault="00202D53" w:rsidP="00965504">
      <w:pPr>
        <w:tabs>
          <w:tab w:val="left" w:pos="4356"/>
        </w:tabs>
        <w:jc w:val="center"/>
        <w:rPr>
          <w:rFonts w:asciiTheme="majorHAnsi" w:hAnsiTheme="majorHAnsi"/>
          <w:bCs/>
          <w:color w:val="FFFFFF" w:themeColor="background1"/>
          <w:sz w:val="36"/>
          <w:szCs w:val="64"/>
          <w:lang w:val="en-GB"/>
        </w:rPr>
      </w:pPr>
    </w:p>
    <w:p w14:paraId="7AA5FA66" w14:textId="77777777" w:rsidR="00965504" w:rsidRPr="002A0A1A" w:rsidRDefault="00965504" w:rsidP="00965504"/>
    <w:p w14:paraId="4C841FD4" w14:textId="77777777" w:rsidR="001D6392" w:rsidRPr="002A0A1A" w:rsidRDefault="001D6392" w:rsidP="00965504">
      <w:pPr>
        <w:sectPr w:rsidR="001D6392" w:rsidRPr="002A0A1A" w:rsidSect="005714E3">
          <w:headerReference w:type="even" r:id="rId8"/>
          <w:headerReference w:type="default" r:id="rId9"/>
          <w:headerReference w:type="first" r:id="rId10"/>
          <w:pgSz w:w="11907" w:h="16840" w:code="9"/>
          <w:pgMar w:top="2268" w:right="1021" w:bottom="1134" w:left="1021" w:header="397" w:footer="567" w:gutter="0"/>
          <w:pgNumType w:start="1"/>
          <w:cols w:space="708"/>
          <w:titlePg/>
          <w:docGrid w:linePitch="360"/>
        </w:sectPr>
      </w:pPr>
    </w:p>
    <w:p w14:paraId="03C5DCC3" w14:textId="77777777" w:rsidR="00522039" w:rsidRPr="007604AC" w:rsidRDefault="00522039" w:rsidP="00522039">
      <w:pPr>
        <w:pStyle w:val="ContentsPageTitle"/>
      </w:pPr>
      <w:bookmarkStart w:id="0" w:name="_Toc455503879"/>
      <w:r w:rsidRPr="007604AC">
        <w:lastRenderedPageBreak/>
        <w:t>Conte</w:t>
      </w:r>
      <w:r w:rsidRPr="00202D53">
        <w:t>n</w:t>
      </w:r>
      <w:bookmarkStart w:id="1" w:name="TOC"/>
      <w:bookmarkEnd w:id="1"/>
      <w:r w:rsidRPr="00202D53">
        <w:t>t</w:t>
      </w:r>
      <w:bookmarkStart w:id="2" w:name="SmallDoc"/>
      <w:bookmarkEnd w:id="2"/>
      <w:r w:rsidRPr="007604AC">
        <w:t>s</w:t>
      </w:r>
      <w:bookmarkEnd w:id="0"/>
    </w:p>
    <w:p w14:paraId="73835F2D" w14:textId="77777777" w:rsidR="00331C11" w:rsidRDefault="00522039">
      <w:pPr>
        <w:pStyle w:val="TOC1"/>
        <w:rPr>
          <w:rFonts w:eastAsiaTheme="minorEastAsia" w:cstheme="minorBidi"/>
          <w:b w:val="0"/>
          <w:snapToGrid/>
          <w:sz w:val="22"/>
          <w:szCs w:val="22"/>
          <w:lang w:eastAsia="en-AU"/>
        </w:rPr>
      </w:pPr>
      <w:r w:rsidRPr="00EC326F">
        <w:rPr>
          <w:b w:val="0"/>
          <w:noProof w:val="0"/>
          <w:highlight w:val="yellow"/>
        </w:rPr>
        <w:fldChar w:fldCharType="begin"/>
      </w:r>
      <w:r w:rsidRPr="00EC326F">
        <w:rPr>
          <w:b w:val="0"/>
          <w:noProof w:val="0"/>
          <w:highlight w:val="yellow"/>
        </w:rPr>
        <w:instrText xml:space="preserve"> TOC \o "1-1" \h \z \t "Heading 2,2,Heading 3,3,Appendix Number (Long),3,Please Note,2,Preface Title,2,Heading 2 No spacing,2,Heading 2 Chapter Heading,2" </w:instrText>
      </w:r>
      <w:r w:rsidRPr="00EC326F">
        <w:rPr>
          <w:b w:val="0"/>
          <w:noProof w:val="0"/>
          <w:highlight w:val="yellow"/>
        </w:rPr>
        <w:fldChar w:fldCharType="separate"/>
      </w:r>
      <w:hyperlink w:anchor="_Toc493844209" w:history="1">
        <w:r w:rsidR="00331C11" w:rsidRPr="00357776">
          <w:rPr>
            <w:rStyle w:val="Hyperlink"/>
          </w:rPr>
          <w:t>Part I: Executive summary</w:t>
        </w:r>
        <w:r w:rsidR="00331C11">
          <w:rPr>
            <w:webHidden/>
          </w:rPr>
          <w:tab/>
        </w:r>
        <w:r w:rsidR="00331C11">
          <w:rPr>
            <w:webHidden/>
          </w:rPr>
          <w:fldChar w:fldCharType="begin"/>
        </w:r>
        <w:r w:rsidR="00331C11">
          <w:rPr>
            <w:webHidden/>
          </w:rPr>
          <w:instrText xml:space="preserve"> PAGEREF _Toc493844209 \h </w:instrText>
        </w:r>
        <w:r w:rsidR="00331C11">
          <w:rPr>
            <w:webHidden/>
          </w:rPr>
        </w:r>
        <w:r w:rsidR="00331C11">
          <w:rPr>
            <w:webHidden/>
          </w:rPr>
          <w:fldChar w:fldCharType="separate"/>
        </w:r>
        <w:r w:rsidR="00331C11">
          <w:rPr>
            <w:webHidden/>
          </w:rPr>
          <w:t>1</w:t>
        </w:r>
        <w:r w:rsidR="00331C11">
          <w:rPr>
            <w:webHidden/>
          </w:rPr>
          <w:fldChar w:fldCharType="end"/>
        </w:r>
      </w:hyperlink>
    </w:p>
    <w:p w14:paraId="11E72E00" w14:textId="77777777" w:rsidR="00331C11" w:rsidRDefault="001F72B3">
      <w:pPr>
        <w:pStyle w:val="TOC1"/>
        <w:rPr>
          <w:rFonts w:eastAsiaTheme="minorEastAsia" w:cstheme="minorBidi"/>
          <w:b w:val="0"/>
          <w:snapToGrid/>
          <w:sz w:val="22"/>
          <w:szCs w:val="22"/>
          <w:lang w:eastAsia="en-AU"/>
        </w:rPr>
      </w:pPr>
      <w:hyperlink w:anchor="_Toc493844210" w:history="1">
        <w:r w:rsidR="00331C11" w:rsidRPr="00357776">
          <w:rPr>
            <w:rStyle w:val="Hyperlink"/>
          </w:rPr>
          <w:t>Part II: Valuation results</w:t>
        </w:r>
        <w:r w:rsidR="00331C11">
          <w:rPr>
            <w:webHidden/>
          </w:rPr>
          <w:tab/>
        </w:r>
        <w:r w:rsidR="00331C11">
          <w:rPr>
            <w:webHidden/>
          </w:rPr>
          <w:fldChar w:fldCharType="begin"/>
        </w:r>
        <w:r w:rsidR="00331C11">
          <w:rPr>
            <w:webHidden/>
          </w:rPr>
          <w:instrText xml:space="preserve"> PAGEREF _Toc493844210 \h </w:instrText>
        </w:r>
        <w:r w:rsidR="00331C11">
          <w:rPr>
            <w:webHidden/>
          </w:rPr>
        </w:r>
        <w:r w:rsidR="00331C11">
          <w:rPr>
            <w:webHidden/>
          </w:rPr>
          <w:fldChar w:fldCharType="separate"/>
        </w:r>
        <w:r w:rsidR="00331C11">
          <w:rPr>
            <w:webHidden/>
          </w:rPr>
          <w:t>15</w:t>
        </w:r>
        <w:r w:rsidR="00331C11">
          <w:rPr>
            <w:webHidden/>
          </w:rPr>
          <w:fldChar w:fldCharType="end"/>
        </w:r>
      </w:hyperlink>
    </w:p>
    <w:p w14:paraId="6CDC5F6F" w14:textId="77777777" w:rsidR="00331C11" w:rsidRDefault="001F72B3">
      <w:pPr>
        <w:pStyle w:val="TOC2"/>
        <w:rPr>
          <w:rFonts w:eastAsiaTheme="minorEastAsia" w:cstheme="minorBidi"/>
          <w:b w:val="0"/>
          <w:snapToGrid/>
          <w:sz w:val="22"/>
          <w:szCs w:val="22"/>
          <w:lang w:eastAsia="en-AU"/>
        </w:rPr>
      </w:pPr>
      <w:hyperlink w:anchor="_Toc493844211" w:history="1">
        <w:r w:rsidR="00331C11" w:rsidRPr="00357776">
          <w:rPr>
            <w:rStyle w:val="Hyperlink"/>
          </w:rPr>
          <w:t>1</w:t>
        </w:r>
        <w:r w:rsidR="00331C11">
          <w:rPr>
            <w:rFonts w:eastAsiaTheme="minorEastAsia" w:cstheme="minorBidi"/>
            <w:b w:val="0"/>
            <w:snapToGrid/>
            <w:sz w:val="22"/>
            <w:szCs w:val="22"/>
            <w:lang w:eastAsia="en-AU"/>
          </w:rPr>
          <w:tab/>
        </w:r>
        <w:r w:rsidR="00331C11" w:rsidRPr="00357776">
          <w:rPr>
            <w:rStyle w:val="Hyperlink"/>
          </w:rPr>
          <w:t>Introduction</w:t>
        </w:r>
        <w:r w:rsidR="00331C11">
          <w:rPr>
            <w:webHidden/>
          </w:rPr>
          <w:tab/>
        </w:r>
        <w:r w:rsidR="00331C11">
          <w:rPr>
            <w:webHidden/>
          </w:rPr>
          <w:fldChar w:fldCharType="begin"/>
        </w:r>
        <w:r w:rsidR="00331C11">
          <w:rPr>
            <w:webHidden/>
          </w:rPr>
          <w:instrText xml:space="preserve"> PAGEREF _Toc493844211 \h </w:instrText>
        </w:r>
        <w:r w:rsidR="00331C11">
          <w:rPr>
            <w:webHidden/>
          </w:rPr>
        </w:r>
        <w:r w:rsidR="00331C11">
          <w:rPr>
            <w:webHidden/>
          </w:rPr>
          <w:fldChar w:fldCharType="separate"/>
        </w:r>
        <w:r w:rsidR="00331C11">
          <w:rPr>
            <w:webHidden/>
          </w:rPr>
          <w:t>16</w:t>
        </w:r>
        <w:r w:rsidR="00331C11">
          <w:rPr>
            <w:webHidden/>
          </w:rPr>
          <w:fldChar w:fldCharType="end"/>
        </w:r>
      </w:hyperlink>
    </w:p>
    <w:p w14:paraId="5D461052" w14:textId="77777777" w:rsidR="00331C11" w:rsidRDefault="001F72B3">
      <w:pPr>
        <w:pStyle w:val="TOC3"/>
        <w:rPr>
          <w:rFonts w:eastAsiaTheme="minorEastAsia" w:cstheme="minorBidi"/>
          <w:snapToGrid/>
          <w:sz w:val="22"/>
          <w:szCs w:val="22"/>
          <w:lang w:eastAsia="en-AU"/>
        </w:rPr>
      </w:pPr>
      <w:hyperlink w:anchor="_Toc493844212" w:history="1">
        <w:r w:rsidR="00331C11" w:rsidRPr="00357776">
          <w:rPr>
            <w:rStyle w:val="Hyperlink"/>
          </w:rPr>
          <w:t>1.1</w:t>
        </w:r>
        <w:r w:rsidR="00331C11">
          <w:rPr>
            <w:rFonts w:eastAsiaTheme="minorEastAsia" w:cstheme="minorBidi"/>
            <w:snapToGrid/>
            <w:sz w:val="22"/>
            <w:szCs w:val="22"/>
            <w:lang w:eastAsia="en-AU"/>
          </w:rPr>
          <w:tab/>
        </w:r>
        <w:r w:rsidR="00331C11" w:rsidRPr="00357776">
          <w:rPr>
            <w:rStyle w:val="Hyperlink"/>
          </w:rPr>
          <w:t>Background</w:t>
        </w:r>
        <w:r w:rsidR="00331C11">
          <w:rPr>
            <w:webHidden/>
          </w:rPr>
          <w:tab/>
        </w:r>
        <w:r w:rsidR="00331C11">
          <w:rPr>
            <w:webHidden/>
          </w:rPr>
          <w:fldChar w:fldCharType="begin"/>
        </w:r>
        <w:r w:rsidR="00331C11">
          <w:rPr>
            <w:webHidden/>
          </w:rPr>
          <w:instrText xml:space="preserve"> PAGEREF _Toc493844212 \h </w:instrText>
        </w:r>
        <w:r w:rsidR="00331C11">
          <w:rPr>
            <w:webHidden/>
          </w:rPr>
        </w:r>
        <w:r w:rsidR="00331C11">
          <w:rPr>
            <w:webHidden/>
          </w:rPr>
          <w:fldChar w:fldCharType="separate"/>
        </w:r>
        <w:r w:rsidR="00331C11">
          <w:rPr>
            <w:webHidden/>
          </w:rPr>
          <w:t>16</w:t>
        </w:r>
        <w:r w:rsidR="00331C11">
          <w:rPr>
            <w:webHidden/>
          </w:rPr>
          <w:fldChar w:fldCharType="end"/>
        </w:r>
      </w:hyperlink>
    </w:p>
    <w:p w14:paraId="63ED0250" w14:textId="77777777" w:rsidR="00331C11" w:rsidRDefault="001F72B3">
      <w:pPr>
        <w:pStyle w:val="TOC3"/>
        <w:rPr>
          <w:rFonts w:eastAsiaTheme="minorEastAsia" w:cstheme="minorBidi"/>
          <w:snapToGrid/>
          <w:sz w:val="22"/>
          <w:szCs w:val="22"/>
          <w:lang w:eastAsia="en-AU"/>
        </w:rPr>
      </w:pPr>
      <w:hyperlink w:anchor="_Toc493844213" w:history="1">
        <w:r w:rsidR="00331C11" w:rsidRPr="00357776">
          <w:rPr>
            <w:rStyle w:val="Hyperlink"/>
          </w:rPr>
          <w:t>1.2</w:t>
        </w:r>
        <w:r w:rsidR="00331C11">
          <w:rPr>
            <w:rFonts w:eastAsiaTheme="minorEastAsia" w:cstheme="minorBidi"/>
            <w:snapToGrid/>
            <w:sz w:val="22"/>
            <w:szCs w:val="22"/>
            <w:lang w:eastAsia="en-AU"/>
          </w:rPr>
          <w:tab/>
        </w:r>
        <w:r w:rsidR="00331C11" w:rsidRPr="00357776">
          <w:rPr>
            <w:rStyle w:val="Hyperlink"/>
          </w:rPr>
          <w:t>Purpose of the valuation</w:t>
        </w:r>
        <w:r w:rsidR="00331C11">
          <w:rPr>
            <w:webHidden/>
          </w:rPr>
          <w:tab/>
        </w:r>
        <w:r w:rsidR="00331C11">
          <w:rPr>
            <w:webHidden/>
          </w:rPr>
          <w:fldChar w:fldCharType="begin"/>
        </w:r>
        <w:r w:rsidR="00331C11">
          <w:rPr>
            <w:webHidden/>
          </w:rPr>
          <w:instrText xml:space="preserve"> PAGEREF _Toc493844213 \h </w:instrText>
        </w:r>
        <w:r w:rsidR="00331C11">
          <w:rPr>
            <w:webHidden/>
          </w:rPr>
        </w:r>
        <w:r w:rsidR="00331C11">
          <w:rPr>
            <w:webHidden/>
          </w:rPr>
          <w:fldChar w:fldCharType="separate"/>
        </w:r>
        <w:r w:rsidR="00331C11">
          <w:rPr>
            <w:webHidden/>
          </w:rPr>
          <w:t>16</w:t>
        </w:r>
        <w:r w:rsidR="00331C11">
          <w:rPr>
            <w:webHidden/>
          </w:rPr>
          <w:fldChar w:fldCharType="end"/>
        </w:r>
      </w:hyperlink>
    </w:p>
    <w:p w14:paraId="167E9FD1" w14:textId="77777777" w:rsidR="00331C11" w:rsidRDefault="001F72B3">
      <w:pPr>
        <w:pStyle w:val="TOC3"/>
        <w:rPr>
          <w:rFonts w:eastAsiaTheme="minorEastAsia" w:cstheme="minorBidi"/>
          <w:snapToGrid/>
          <w:sz w:val="22"/>
          <w:szCs w:val="22"/>
          <w:lang w:eastAsia="en-AU"/>
        </w:rPr>
      </w:pPr>
      <w:hyperlink w:anchor="_Toc493844214" w:history="1">
        <w:r w:rsidR="00331C11" w:rsidRPr="00357776">
          <w:rPr>
            <w:rStyle w:val="Hyperlink"/>
          </w:rPr>
          <w:t>1.3</w:t>
        </w:r>
        <w:r w:rsidR="00331C11">
          <w:rPr>
            <w:rFonts w:eastAsiaTheme="minorEastAsia" w:cstheme="minorBidi"/>
            <w:snapToGrid/>
            <w:sz w:val="22"/>
            <w:szCs w:val="22"/>
            <w:lang w:eastAsia="en-AU"/>
          </w:rPr>
          <w:tab/>
        </w:r>
        <w:r w:rsidR="00331C11" w:rsidRPr="00357776">
          <w:rPr>
            <w:rStyle w:val="Hyperlink"/>
          </w:rPr>
          <w:t>Scope of valuation</w:t>
        </w:r>
        <w:r w:rsidR="00331C11">
          <w:rPr>
            <w:webHidden/>
          </w:rPr>
          <w:tab/>
        </w:r>
        <w:r w:rsidR="00331C11">
          <w:rPr>
            <w:webHidden/>
          </w:rPr>
          <w:fldChar w:fldCharType="begin"/>
        </w:r>
        <w:r w:rsidR="00331C11">
          <w:rPr>
            <w:webHidden/>
          </w:rPr>
          <w:instrText xml:space="preserve"> PAGEREF _Toc493844214 \h </w:instrText>
        </w:r>
        <w:r w:rsidR="00331C11">
          <w:rPr>
            <w:webHidden/>
          </w:rPr>
        </w:r>
        <w:r w:rsidR="00331C11">
          <w:rPr>
            <w:webHidden/>
          </w:rPr>
          <w:fldChar w:fldCharType="separate"/>
        </w:r>
        <w:r w:rsidR="00331C11">
          <w:rPr>
            <w:webHidden/>
          </w:rPr>
          <w:t>17</w:t>
        </w:r>
        <w:r w:rsidR="00331C11">
          <w:rPr>
            <w:webHidden/>
          </w:rPr>
          <w:fldChar w:fldCharType="end"/>
        </w:r>
      </w:hyperlink>
    </w:p>
    <w:p w14:paraId="12C5C5DB" w14:textId="77777777" w:rsidR="00331C11" w:rsidRDefault="001F72B3">
      <w:pPr>
        <w:pStyle w:val="TOC3"/>
        <w:rPr>
          <w:rFonts w:eastAsiaTheme="minorEastAsia" w:cstheme="minorBidi"/>
          <w:snapToGrid/>
          <w:sz w:val="22"/>
          <w:szCs w:val="22"/>
          <w:lang w:eastAsia="en-AU"/>
        </w:rPr>
      </w:pPr>
      <w:hyperlink w:anchor="_Toc493844215" w:history="1">
        <w:r w:rsidR="00331C11" w:rsidRPr="00357776">
          <w:rPr>
            <w:rStyle w:val="Hyperlink"/>
          </w:rPr>
          <w:t>1.4</w:t>
        </w:r>
        <w:r w:rsidR="00331C11">
          <w:rPr>
            <w:rFonts w:eastAsiaTheme="minorEastAsia" w:cstheme="minorBidi"/>
            <w:snapToGrid/>
            <w:sz w:val="22"/>
            <w:szCs w:val="22"/>
            <w:lang w:eastAsia="en-AU"/>
          </w:rPr>
          <w:tab/>
        </w:r>
        <w:r w:rsidR="00331C11" w:rsidRPr="00357776">
          <w:rPr>
            <w:rStyle w:val="Hyperlink"/>
          </w:rPr>
          <w:t>Terminology</w:t>
        </w:r>
        <w:r w:rsidR="00331C11">
          <w:rPr>
            <w:webHidden/>
          </w:rPr>
          <w:tab/>
        </w:r>
        <w:r w:rsidR="00331C11">
          <w:rPr>
            <w:webHidden/>
          </w:rPr>
          <w:fldChar w:fldCharType="begin"/>
        </w:r>
        <w:r w:rsidR="00331C11">
          <w:rPr>
            <w:webHidden/>
          </w:rPr>
          <w:instrText xml:space="preserve"> PAGEREF _Toc493844215 \h </w:instrText>
        </w:r>
        <w:r w:rsidR="00331C11">
          <w:rPr>
            <w:webHidden/>
          </w:rPr>
        </w:r>
        <w:r w:rsidR="00331C11">
          <w:rPr>
            <w:webHidden/>
          </w:rPr>
          <w:fldChar w:fldCharType="separate"/>
        </w:r>
        <w:r w:rsidR="00331C11">
          <w:rPr>
            <w:webHidden/>
          </w:rPr>
          <w:t>17</w:t>
        </w:r>
        <w:r w:rsidR="00331C11">
          <w:rPr>
            <w:webHidden/>
          </w:rPr>
          <w:fldChar w:fldCharType="end"/>
        </w:r>
      </w:hyperlink>
    </w:p>
    <w:p w14:paraId="48442D7D" w14:textId="77777777" w:rsidR="00331C11" w:rsidRDefault="001F72B3">
      <w:pPr>
        <w:pStyle w:val="TOC3"/>
        <w:rPr>
          <w:rFonts w:eastAsiaTheme="minorEastAsia" w:cstheme="minorBidi"/>
          <w:snapToGrid/>
          <w:sz w:val="22"/>
          <w:szCs w:val="22"/>
          <w:lang w:eastAsia="en-AU"/>
        </w:rPr>
      </w:pPr>
      <w:hyperlink w:anchor="_Toc493844216" w:history="1">
        <w:r w:rsidR="00331C11" w:rsidRPr="00357776">
          <w:rPr>
            <w:rStyle w:val="Hyperlink"/>
          </w:rPr>
          <w:t>1.5</w:t>
        </w:r>
        <w:r w:rsidR="00331C11">
          <w:rPr>
            <w:rFonts w:eastAsiaTheme="minorEastAsia" w:cstheme="minorBidi"/>
            <w:snapToGrid/>
            <w:sz w:val="22"/>
            <w:szCs w:val="22"/>
            <w:lang w:eastAsia="en-AU"/>
          </w:rPr>
          <w:tab/>
        </w:r>
        <w:r w:rsidR="00331C11" w:rsidRPr="00357776">
          <w:rPr>
            <w:rStyle w:val="Hyperlink"/>
          </w:rPr>
          <w:t>Reliances</w:t>
        </w:r>
        <w:r w:rsidR="00331C11">
          <w:rPr>
            <w:webHidden/>
          </w:rPr>
          <w:tab/>
        </w:r>
        <w:r w:rsidR="00331C11">
          <w:rPr>
            <w:webHidden/>
          </w:rPr>
          <w:fldChar w:fldCharType="begin"/>
        </w:r>
        <w:r w:rsidR="00331C11">
          <w:rPr>
            <w:webHidden/>
          </w:rPr>
          <w:instrText xml:space="preserve"> PAGEREF _Toc493844216 \h </w:instrText>
        </w:r>
        <w:r w:rsidR="00331C11">
          <w:rPr>
            <w:webHidden/>
          </w:rPr>
        </w:r>
        <w:r w:rsidR="00331C11">
          <w:rPr>
            <w:webHidden/>
          </w:rPr>
          <w:fldChar w:fldCharType="separate"/>
        </w:r>
        <w:r w:rsidR="00331C11">
          <w:rPr>
            <w:webHidden/>
          </w:rPr>
          <w:t>19</w:t>
        </w:r>
        <w:r w:rsidR="00331C11">
          <w:rPr>
            <w:webHidden/>
          </w:rPr>
          <w:fldChar w:fldCharType="end"/>
        </w:r>
      </w:hyperlink>
    </w:p>
    <w:p w14:paraId="7A91E076" w14:textId="77777777" w:rsidR="00331C11" w:rsidRDefault="001F72B3">
      <w:pPr>
        <w:pStyle w:val="TOC3"/>
        <w:rPr>
          <w:rFonts w:eastAsiaTheme="minorEastAsia" w:cstheme="minorBidi"/>
          <w:snapToGrid/>
          <w:sz w:val="22"/>
          <w:szCs w:val="22"/>
          <w:lang w:eastAsia="en-AU"/>
        </w:rPr>
      </w:pPr>
      <w:hyperlink w:anchor="_Toc493844217" w:history="1">
        <w:r w:rsidR="00331C11" w:rsidRPr="00357776">
          <w:rPr>
            <w:rStyle w:val="Hyperlink"/>
          </w:rPr>
          <w:t>1.6</w:t>
        </w:r>
        <w:r w:rsidR="00331C11">
          <w:rPr>
            <w:rFonts w:eastAsiaTheme="minorEastAsia" w:cstheme="minorBidi"/>
            <w:snapToGrid/>
            <w:sz w:val="22"/>
            <w:szCs w:val="22"/>
            <w:lang w:eastAsia="en-AU"/>
          </w:rPr>
          <w:tab/>
        </w:r>
        <w:r w:rsidR="00331C11" w:rsidRPr="00357776">
          <w:rPr>
            <w:rStyle w:val="Hyperlink"/>
          </w:rPr>
          <w:t>Professional standards</w:t>
        </w:r>
        <w:r w:rsidR="00331C11">
          <w:rPr>
            <w:webHidden/>
          </w:rPr>
          <w:tab/>
        </w:r>
        <w:r w:rsidR="00331C11">
          <w:rPr>
            <w:webHidden/>
          </w:rPr>
          <w:fldChar w:fldCharType="begin"/>
        </w:r>
        <w:r w:rsidR="00331C11">
          <w:rPr>
            <w:webHidden/>
          </w:rPr>
          <w:instrText xml:space="preserve"> PAGEREF _Toc493844217 \h </w:instrText>
        </w:r>
        <w:r w:rsidR="00331C11">
          <w:rPr>
            <w:webHidden/>
          </w:rPr>
        </w:r>
        <w:r w:rsidR="00331C11">
          <w:rPr>
            <w:webHidden/>
          </w:rPr>
          <w:fldChar w:fldCharType="separate"/>
        </w:r>
        <w:r w:rsidR="00331C11">
          <w:rPr>
            <w:webHidden/>
          </w:rPr>
          <w:t>19</w:t>
        </w:r>
        <w:r w:rsidR="00331C11">
          <w:rPr>
            <w:webHidden/>
          </w:rPr>
          <w:fldChar w:fldCharType="end"/>
        </w:r>
      </w:hyperlink>
    </w:p>
    <w:p w14:paraId="495CF6B8" w14:textId="77777777" w:rsidR="00331C11" w:rsidRDefault="001F72B3">
      <w:pPr>
        <w:pStyle w:val="TOC2"/>
        <w:rPr>
          <w:rFonts w:eastAsiaTheme="minorEastAsia" w:cstheme="minorBidi"/>
          <w:b w:val="0"/>
          <w:snapToGrid/>
          <w:sz w:val="22"/>
          <w:szCs w:val="22"/>
          <w:lang w:eastAsia="en-AU"/>
        </w:rPr>
      </w:pPr>
      <w:hyperlink w:anchor="_Toc493844218" w:history="1">
        <w:r w:rsidR="00331C11" w:rsidRPr="00357776">
          <w:rPr>
            <w:rStyle w:val="Hyperlink"/>
          </w:rPr>
          <w:t>2</w:t>
        </w:r>
        <w:r w:rsidR="00331C11">
          <w:rPr>
            <w:rFonts w:eastAsiaTheme="minorEastAsia" w:cstheme="minorBidi"/>
            <w:b w:val="0"/>
            <w:snapToGrid/>
            <w:sz w:val="22"/>
            <w:szCs w:val="22"/>
            <w:lang w:eastAsia="en-AU"/>
          </w:rPr>
          <w:tab/>
        </w:r>
        <w:r w:rsidR="00331C11" w:rsidRPr="00357776">
          <w:rPr>
            <w:rStyle w:val="Hyperlink"/>
          </w:rPr>
          <w:t>Method</w:t>
        </w:r>
        <w:r w:rsidR="00331C11">
          <w:rPr>
            <w:webHidden/>
          </w:rPr>
          <w:tab/>
        </w:r>
        <w:r w:rsidR="00331C11">
          <w:rPr>
            <w:webHidden/>
          </w:rPr>
          <w:fldChar w:fldCharType="begin"/>
        </w:r>
        <w:r w:rsidR="00331C11">
          <w:rPr>
            <w:webHidden/>
          </w:rPr>
          <w:instrText xml:space="preserve"> PAGEREF _Toc493844218 \h </w:instrText>
        </w:r>
        <w:r w:rsidR="00331C11">
          <w:rPr>
            <w:webHidden/>
          </w:rPr>
        </w:r>
        <w:r w:rsidR="00331C11">
          <w:rPr>
            <w:webHidden/>
          </w:rPr>
          <w:fldChar w:fldCharType="separate"/>
        </w:r>
        <w:r w:rsidR="00331C11">
          <w:rPr>
            <w:webHidden/>
          </w:rPr>
          <w:t>20</w:t>
        </w:r>
        <w:r w:rsidR="00331C11">
          <w:rPr>
            <w:webHidden/>
          </w:rPr>
          <w:fldChar w:fldCharType="end"/>
        </w:r>
      </w:hyperlink>
    </w:p>
    <w:p w14:paraId="0E71C165" w14:textId="77777777" w:rsidR="00331C11" w:rsidRDefault="001F72B3">
      <w:pPr>
        <w:pStyle w:val="TOC3"/>
        <w:rPr>
          <w:rFonts w:eastAsiaTheme="minorEastAsia" w:cstheme="minorBidi"/>
          <w:snapToGrid/>
          <w:sz w:val="22"/>
          <w:szCs w:val="22"/>
          <w:lang w:eastAsia="en-AU"/>
        </w:rPr>
      </w:pPr>
      <w:hyperlink w:anchor="_Toc493844219" w:history="1">
        <w:r w:rsidR="00331C11" w:rsidRPr="00357776">
          <w:rPr>
            <w:rStyle w:val="Hyperlink"/>
          </w:rPr>
          <w:t>2.1</w:t>
        </w:r>
        <w:r w:rsidR="00331C11">
          <w:rPr>
            <w:rFonts w:eastAsiaTheme="minorEastAsia" w:cstheme="minorBidi"/>
            <w:snapToGrid/>
            <w:sz w:val="22"/>
            <w:szCs w:val="22"/>
            <w:lang w:eastAsia="en-AU"/>
          </w:rPr>
          <w:tab/>
        </w:r>
        <w:r w:rsidR="00331C11" w:rsidRPr="00357776">
          <w:rPr>
            <w:rStyle w:val="Hyperlink"/>
          </w:rPr>
          <w:t>Overview of valuation method</w:t>
        </w:r>
        <w:r w:rsidR="00331C11">
          <w:rPr>
            <w:webHidden/>
          </w:rPr>
          <w:tab/>
        </w:r>
        <w:r w:rsidR="00331C11">
          <w:rPr>
            <w:webHidden/>
          </w:rPr>
          <w:fldChar w:fldCharType="begin"/>
        </w:r>
        <w:r w:rsidR="00331C11">
          <w:rPr>
            <w:webHidden/>
          </w:rPr>
          <w:instrText xml:space="preserve"> PAGEREF _Toc493844219 \h </w:instrText>
        </w:r>
        <w:r w:rsidR="00331C11">
          <w:rPr>
            <w:webHidden/>
          </w:rPr>
        </w:r>
        <w:r w:rsidR="00331C11">
          <w:rPr>
            <w:webHidden/>
          </w:rPr>
          <w:fldChar w:fldCharType="separate"/>
        </w:r>
        <w:r w:rsidR="00331C11">
          <w:rPr>
            <w:webHidden/>
          </w:rPr>
          <w:t>20</w:t>
        </w:r>
        <w:r w:rsidR="00331C11">
          <w:rPr>
            <w:webHidden/>
          </w:rPr>
          <w:fldChar w:fldCharType="end"/>
        </w:r>
      </w:hyperlink>
    </w:p>
    <w:p w14:paraId="3D14FD48" w14:textId="77777777" w:rsidR="00331C11" w:rsidRDefault="001F72B3">
      <w:pPr>
        <w:pStyle w:val="TOC3"/>
        <w:rPr>
          <w:rFonts w:eastAsiaTheme="minorEastAsia" w:cstheme="minorBidi"/>
          <w:snapToGrid/>
          <w:sz w:val="22"/>
          <w:szCs w:val="22"/>
          <w:lang w:eastAsia="en-AU"/>
        </w:rPr>
      </w:pPr>
      <w:hyperlink w:anchor="_Toc493844220" w:history="1">
        <w:r w:rsidR="00331C11" w:rsidRPr="00357776">
          <w:rPr>
            <w:rStyle w:val="Hyperlink"/>
          </w:rPr>
          <w:t>2.2</w:t>
        </w:r>
        <w:r w:rsidR="00331C11">
          <w:rPr>
            <w:rFonts w:eastAsiaTheme="minorEastAsia" w:cstheme="minorBidi"/>
            <w:snapToGrid/>
            <w:sz w:val="22"/>
            <w:szCs w:val="22"/>
            <w:lang w:eastAsia="en-AU"/>
          </w:rPr>
          <w:tab/>
        </w:r>
        <w:r w:rsidR="00331C11" w:rsidRPr="00357776">
          <w:rPr>
            <w:rStyle w:val="Hyperlink"/>
          </w:rPr>
          <w:t>Model uses</w:t>
        </w:r>
        <w:r w:rsidR="00331C11">
          <w:rPr>
            <w:webHidden/>
          </w:rPr>
          <w:tab/>
        </w:r>
        <w:r w:rsidR="00331C11">
          <w:rPr>
            <w:webHidden/>
          </w:rPr>
          <w:fldChar w:fldCharType="begin"/>
        </w:r>
        <w:r w:rsidR="00331C11">
          <w:rPr>
            <w:webHidden/>
          </w:rPr>
          <w:instrText xml:space="preserve"> PAGEREF _Toc493844220 \h </w:instrText>
        </w:r>
        <w:r w:rsidR="00331C11">
          <w:rPr>
            <w:webHidden/>
          </w:rPr>
        </w:r>
        <w:r w:rsidR="00331C11">
          <w:rPr>
            <w:webHidden/>
          </w:rPr>
          <w:fldChar w:fldCharType="separate"/>
        </w:r>
        <w:r w:rsidR="00331C11">
          <w:rPr>
            <w:webHidden/>
          </w:rPr>
          <w:t>22</w:t>
        </w:r>
        <w:r w:rsidR="00331C11">
          <w:rPr>
            <w:webHidden/>
          </w:rPr>
          <w:fldChar w:fldCharType="end"/>
        </w:r>
      </w:hyperlink>
    </w:p>
    <w:p w14:paraId="694598D5" w14:textId="77777777" w:rsidR="00331C11" w:rsidRDefault="001F72B3">
      <w:pPr>
        <w:pStyle w:val="TOC3"/>
        <w:rPr>
          <w:rFonts w:eastAsiaTheme="minorEastAsia" w:cstheme="minorBidi"/>
          <w:snapToGrid/>
          <w:sz w:val="22"/>
          <w:szCs w:val="22"/>
          <w:lang w:eastAsia="en-AU"/>
        </w:rPr>
      </w:pPr>
      <w:hyperlink w:anchor="_Toc493844221" w:history="1">
        <w:r w:rsidR="00331C11" w:rsidRPr="00357776">
          <w:rPr>
            <w:rStyle w:val="Hyperlink"/>
          </w:rPr>
          <w:t>2.3</w:t>
        </w:r>
        <w:r w:rsidR="00331C11">
          <w:rPr>
            <w:rFonts w:eastAsiaTheme="minorEastAsia" w:cstheme="minorBidi"/>
            <w:snapToGrid/>
            <w:sz w:val="22"/>
            <w:szCs w:val="22"/>
            <w:lang w:eastAsia="en-AU"/>
          </w:rPr>
          <w:tab/>
        </w:r>
        <w:r w:rsidR="00331C11" w:rsidRPr="00357776">
          <w:rPr>
            <w:rStyle w:val="Hyperlink"/>
          </w:rPr>
          <w:t>Limitations of the actuarial model</w:t>
        </w:r>
        <w:r w:rsidR="00331C11">
          <w:rPr>
            <w:webHidden/>
          </w:rPr>
          <w:tab/>
        </w:r>
        <w:r w:rsidR="00331C11">
          <w:rPr>
            <w:webHidden/>
          </w:rPr>
          <w:fldChar w:fldCharType="begin"/>
        </w:r>
        <w:r w:rsidR="00331C11">
          <w:rPr>
            <w:webHidden/>
          </w:rPr>
          <w:instrText xml:space="preserve"> PAGEREF _Toc493844221 \h </w:instrText>
        </w:r>
        <w:r w:rsidR="00331C11">
          <w:rPr>
            <w:webHidden/>
          </w:rPr>
        </w:r>
        <w:r w:rsidR="00331C11">
          <w:rPr>
            <w:webHidden/>
          </w:rPr>
          <w:fldChar w:fldCharType="separate"/>
        </w:r>
        <w:r w:rsidR="00331C11">
          <w:rPr>
            <w:webHidden/>
          </w:rPr>
          <w:t>22</w:t>
        </w:r>
        <w:r w:rsidR="00331C11">
          <w:rPr>
            <w:webHidden/>
          </w:rPr>
          <w:fldChar w:fldCharType="end"/>
        </w:r>
      </w:hyperlink>
    </w:p>
    <w:p w14:paraId="2E050FE0" w14:textId="77777777" w:rsidR="00331C11" w:rsidRDefault="001F72B3">
      <w:pPr>
        <w:pStyle w:val="TOC2"/>
        <w:rPr>
          <w:rFonts w:eastAsiaTheme="minorEastAsia" w:cstheme="minorBidi"/>
          <w:b w:val="0"/>
          <w:snapToGrid/>
          <w:sz w:val="22"/>
          <w:szCs w:val="22"/>
          <w:lang w:eastAsia="en-AU"/>
        </w:rPr>
      </w:pPr>
      <w:hyperlink w:anchor="_Toc493844222" w:history="1">
        <w:r w:rsidR="00331C11" w:rsidRPr="00357776">
          <w:rPr>
            <w:rStyle w:val="Hyperlink"/>
          </w:rPr>
          <w:t>3</w:t>
        </w:r>
        <w:r w:rsidR="00331C11">
          <w:rPr>
            <w:rFonts w:eastAsiaTheme="minorEastAsia" w:cstheme="minorBidi"/>
            <w:b w:val="0"/>
            <w:snapToGrid/>
            <w:sz w:val="22"/>
            <w:szCs w:val="22"/>
            <w:lang w:eastAsia="en-AU"/>
          </w:rPr>
          <w:tab/>
        </w:r>
        <w:r w:rsidR="00331C11" w:rsidRPr="00357776">
          <w:rPr>
            <w:rStyle w:val="Hyperlink"/>
          </w:rPr>
          <w:t>Data and definitions</w:t>
        </w:r>
        <w:r w:rsidR="00331C11">
          <w:rPr>
            <w:webHidden/>
          </w:rPr>
          <w:tab/>
        </w:r>
        <w:r w:rsidR="00331C11">
          <w:rPr>
            <w:webHidden/>
          </w:rPr>
          <w:fldChar w:fldCharType="begin"/>
        </w:r>
        <w:r w:rsidR="00331C11">
          <w:rPr>
            <w:webHidden/>
          </w:rPr>
          <w:instrText xml:space="preserve"> PAGEREF _Toc493844222 \h </w:instrText>
        </w:r>
        <w:r w:rsidR="00331C11">
          <w:rPr>
            <w:webHidden/>
          </w:rPr>
        </w:r>
        <w:r w:rsidR="00331C11">
          <w:rPr>
            <w:webHidden/>
          </w:rPr>
          <w:fldChar w:fldCharType="separate"/>
        </w:r>
        <w:r w:rsidR="00331C11">
          <w:rPr>
            <w:webHidden/>
          </w:rPr>
          <w:t>23</w:t>
        </w:r>
        <w:r w:rsidR="00331C11">
          <w:rPr>
            <w:webHidden/>
          </w:rPr>
          <w:fldChar w:fldCharType="end"/>
        </w:r>
      </w:hyperlink>
    </w:p>
    <w:p w14:paraId="133EDED1" w14:textId="77777777" w:rsidR="00331C11" w:rsidRDefault="001F72B3">
      <w:pPr>
        <w:pStyle w:val="TOC3"/>
        <w:rPr>
          <w:rFonts w:eastAsiaTheme="minorEastAsia" w:cstheme="minorBidi"/>
          <w:snapToGrid/>
          <w:sz w:val="22"/>
          <w:szCs w:val="22"/>
          <w:lang w:eastAsia="en-AU"/>
        </w:rPr>
      </w:pPr>
      <w:hyperlink w:anchor="_Toc493844223" w:history="1">
        <w:r w:rsidR="00331C11" w:rsidRPr="00357776">
          <w:rPr>
            <w:rStyle w:val="Hyperlink"/>
          </w:rPr>
          <w:t>3.1</w:t>
        </w:r>
        <w:r w:rsidR="00331C11">
          <w:rPr>
            <w:rFonts w:eastAsiaTheme="minorEastAsia" w:cstheme="minorBidi"/>
            <w:snapToGrid/>
            <w:sz w:val="22"/>
            <w:szCs w:val="22"/>
            <w:lang w:eastAsia="en-AU"/>
          </w:rPr>
          <w:tab/>
        </w:r>
        <w:r w:rsidR="00331C11" w:rsidRPr="00357776">
          <w:rPr>
            <w:rStyle w:val="Hyperlink"/>
          </w:rPr>
          <w:t>Data</w:t>
        </w:r>
        <w:r w:rsidR="00331C11">
          <w:rPr>
            <w:webHidden/>
          </w:rPr>
          <w:tab/>
        </w:r>
        <w:r w:rsidR="00331C11">
          <w:rPr>
            <w:webHidden/>
          </w:rPr>
          <w:fldChar w:fldCharType="begin"/>
        </w:r>
        <w:r w:rsidR="00331C11">
          <w:rPr>
            <w:webHidden/>
          </w:rPr>
          <w:instrText xml:space="preserve"> PAGEREF _Toc493844223 \h </w:instrText>
        </w:r>
        <w:r w:rsidR="00331C11">
          <w:rPr>
            <w:webHidden/>
          </w:rPr>
        </w:r>
        <w:r w:rsidR="00331C11">
          <w:rPr>
            <w:webHidden/>
          </w:rPr>
          <w:fldChar w:fldCharType="separate"/>
        </w:r>
        <w:r w:rsidR="00331C11">
          <w:rPr>
            <w:webHidden/>
          </w:rPr>
          <w:t>23</w:t>
        </w:r>
        <w:r w:rsidR="00331C11">
          <w:rPr>
            <w:webHidden/>
          </w:rPr>
          <w:fldChar w:fldCharType="end"/>
        </w:r>
      </w:hyperlink>
    </w:p>
    <w:p w14:paraId="6DF6B49D" w14:textId="77777777" w:rsidR="00331C11" w:rsidRDefault="001F72B3">
      <w:pPr>
        <w:pStyle w:val="TOC3"/>
        <w:rPr>
          <w:rFonts w:eastAsiaTheme="minorEastAsia" w:cstheme="minorBidi"/>
          <w:snapToGrid/>
          <w:sz w:val="22"/>
          <w:szCs w:val="22"/>
          <w:lang w:eastAsia="en-AU"/>
        </w:rPr>
      </w:pPr>
      <w:hyperlink w:anchor="_Toc493844224" w:history="1">
        <w:r w:rsidR="00331C11" w:rsidRPr="00357776">
          <w:rPr>
            <w:rStyle w:val="Hyperlink"/>
          </w:rPr>
          <w:t>3.2</w:t>
        </w:r>
        <w:r w:rsidR="00331C11">
          <w:rPr>
            <w:rFonts w:eastAsiaTheme="minorEastAsia" w:cstheme="minorBidi"/>
            <w:snapToGrid/>
            <w:sz w:val="22"/>
            <w:szCs w:val="22"/>
            <w:lang w:eastAsia="en-AU"/>
          </w:rPr>
          <w:tab/>
        </w:r>
        <w:r w:rsidR="00331C11" w:rsidRPr="00357776">
          <w:rPr>
            <w:rStyle w:val="Hyperlink"/>
          </w:rPr>
          <w:t>Scope of payments</w:t>
        </w:r>
        <w:r w:rsidR="00331C11">
          <w:rPr>
            <w:webHidden/>
          </w:rPr>
          <w:tab/>
        </w:r>
        <w:r w:rsidR="00331C11">
          <w:rPr>
            <w:webHidden/>
          </w:rPr>
          <w:fldChar w:fldCharType="begin"/>
        </w:r>
        <w:r w:rsidR="00331C11">
          <w:rPr>
            <w:webHidden/>
          </w:rPr>
          <w:instrText xml:space="preserve"> PAGEREF _Toc493844224 \h </w:instrText>
        </w:r>
        <w:r w:rsidR="00331C11">
          <w:rPr>
            <w:webHidden/>
          </w:rPr>
        </w:r>
        <w:r w:rsidR="00331C11">
          <w:rPr>
            <w:webHidden/>
          </w:rPr>
          <w:fldChar w:fldCharType="separate"/>
        </w:r>
        <w:r w:rsidR="00331C11">
          <w:rPr>
            <w:webHidden/>
          </w:rPr>
          <w:t>25</w:t>
        </w:r>
        <w:r w:rsidR="00331C11">
          <w:rPr>
            <w:webHidden/>
          </w:rPr>
          <w:fldChar w:fldCharType="end"/>
        </w:r>
      </w:hyperlink>
    </w:p>
    <w:p w14:paraId="2C7BF02F" w14:textId="77777777" w:rsidR="00331C11" w:rsidRDefault="001F72B3">
      <w:pPr>
        <w:pStyle w:val="TOC3"/>
        <w:rPr>
          <w:rFonts w:eastAsiaTheme="minorEastAsia" w:cstheme="minorBidi"/>
          <w:snapToGrid/>
          <w:sz w:val="22"/>
          <w:szCs w:val="22"/>
          <w:lang w:eastAsia="en-AU"/>
        </w:rPr>
      </w:pPr>
      <w:hyperlink w:anchor="_Toc493844225" w:history="1">
        <w:r w:rsidR="00331C11" w:rsidRPr="00357776">
          <w:rPr>
            <w:rStyle w:val="Hyperlink"/>
          </w:rPr>
          <w:t>3.3</w:t>
        </w:r>
        <w:r w:rsidR="00331C11">
          <w:rPr>
            <w:rFonts w:eastAsiaTheme="minorEastAsia" w:cstheme="minorBidi"/>
            <w:snapToGrid/>
            <w:sz w:val="22"/>
            <w:szCs w:val="22"/>
            <w:lang w:eastAsia="en-AU"/>
          </w:rPr>
          <w:tab/>
        </w:r>
        <w:r w:rsidR="00331C11" w:rsidRPr="00357776">
          <w:rPr>
            <w:rStyle w:val="Hyperlink"/>
          </w:rPr>
          <w:t>Payment type categorisation</w:t>
        </w:r>
        <w:r w:rsidR="00331C11">
          <w:rPr>
            <w:webHidden/>
          </w:rPr>
          <w:tab/>
        </w:r>
        <w:r w:rsidR="00331C11">
          <w:rPr>
            <w:webHidden/>
          </w:rPr>
          <w:fldChar w:fldCharType="begin"/>
        </w:r>
        <w:r w:rsidR="00331C11">
          <w:rPr>
            <w:webHidden/>
          </w:rPr>
          <w:instrText xml:space="preserve"> PAGEREF _Toc493844225 \h </w:instrText>
        </w:r>
        <w:r w:rsidR="00331C11">
          <w:rPr>
            <w:webHidden/>
          </w:rPr>
        </w:r>
        <w:r w:rsidR="00331C11">
          <w:rPr>
            <w:webHidden/>
          </w:rPr>
          <w:fldChar w:fldCharType="separate"/>
        </w:r>
        <w:r w:rsidR="00331C11">
          <w:rPr>
            <w:webHidden/>
          </w:rPr>
          <w:t>26</w:t>
        </w:r>
        <w:r w:rsidR="00331C11">
          <w:rPr>
            <w:webHidden/>
          </w:rPr>
          <w:fldChar w:fldCharType="end"/>
        </w:r>
      </w:hyperlink>
    </w:p>
    <w:p w14:paraId="29BA0C60" w14:textId="77777777" w:rsidR="00331C11" w:rsidRDefault="001F72B3">
      <w:pPr>
        <w:pStyle w:val="TOC3"/>
        <w:rPr>
          <w:rFonts w:eastAsiaTheme="minorEastAsia" w:cstheme="minorBidi"/>
          <w:snapToGrid/>
          <w:sz w:val="22"/>
          <w:szCs w:val="22"/>
          <w:lang w:eastAsia="en-AU"/>
        </w:rPr>
      </w:pPr>
      <w:hyperlink w:anchor="_Toc493844226" w:history="1">
        <w:r w:rsidR="00331C11" w:rsidRPr="00357776">
          <w:rPr>
            <w:rStyle w:val="Hyperlink"/>
          </w:rPr>
          <w:t>3.4</w:t>
        </w:r>
        <w:r w:rsidR="00331C11">
          <w:rPr>
            <w:rFonts w:eastAsiaTheme="minorEastAsia" w:cstheme="minorBidi"/>
            <w:snapToGrid/>
            <w:sz w:val="22"/>
            <w:szCs w:val="22"/>
            <w:lang w:eastAsia="en-AU"/>
          </w:rPr>
          <w:tab/>
        </w:r>
        <w:r w:rsidR="00331C11" w:rsidRPr="00357776">
          <w:rPr>
            <w:rStyle w:val="Hyperlink"/>
          </w:rPr>
          <w:t>Welfare class definitions</w:t>
        </w:r>
        <w:r w:rsidR="00331C11">
          <w:rPr>
            <w:webHidden/>
          </w:rPr>
          <w:tab/>
        </w:r>
        <w:r w:rsidR="00331C11">
          <w:rPr>
            <w:webHidden/>
          </w:rPr>
          <w:fldChar w:fldCharType="begin"/>
        </w:r>
        <w:r w:rsidR="00331C11">
          <w:rPr>
            <w:webHidden/>
          </w:rPr>
          <w:instrText xml:space="preserve"> PAGEREF _Toc493844226 \h </w:instrText>
        </w:r>
        <w:r w:rsidR="00331C11">
          <w:rPr>
            <w:webHidden/>
          </w:rPr>
        </w:r>
        <w:r w:rsidR="00331C11">
          <w:rPr>
            <w:webHidden/>
          </w:rPr>
          <w:fldChar w:fldCharType="separate"/>
        </w:r>
        <w:r w:rsidR="00331C11">
          <w:rPr>
            <w:webHidden/>
          </w:rPr>
          <w:t>29</w:t>
        </w:r>
        <w:r w:rsidR="00331C11">
          <w:rPr>
            <w:webHidden/>
          </w:rPr>
          <w:fldChar w:fldCharType="end"/>
        </w:r>
      </w:hyperlink>
    </w:p>
    <w:p w14:paraId="6179756C" w14:textId="77777777" w:rsidR="00331C11" w:rsidRDefault="001F72B3">
      <w:pPr>
        <w:pStyle w:val="TOC2"/>
        <w:rPr>
          <w:rFonts w:eastAsiaTheme="minorEastAsia" w:cstheme="minorBidi"/>
          <w:b w:val="0"/>
          <w:snapToGrid/>
          <w:sz w:val="22"/>
          <w:szCs w:val="22"/>
          <w:lang w:eastAsia="en-AU"/>
        </w:rPr>
      </w:pPr>
      <w:hyperlink w:anchor="_Toc493844227" w:history="1">
        <w:r w:rsidR="00331C11" w:rsidRPr="00357776">
          <w:rPr>
            <w:rStyle w:val="Hyperlink"/>
          </w:rPr>
          <w:t>4</w:t>
        </w:r>
        <w:r w:rsidR="00331C11">
          <w:rPr>
            <w:rFonts w:eastAsiaTheme="minorEastAsia" w:cstheme="minorBidi"/>
            <w:b w:val="0"/>
            <w:snapToGrid/>
            <w:sz w:val="22"/>
            <w:szCs w:val="22"/>
            <w:lang w:eastAsia="en-AU"/>
          </w:rPr>
          <w:tab/>
        </w:r>
        <w:r w:rsidR="00331C11" w:rsidRPr="00357776">
          <w:rPr>
            <w:rStyle w:val="Hyperlink"/>
          </w:rPr>
          <w:t>Refinements for 2016 valuation</w:t>
        </w:r>
        <w:r w:rsidR="00331C11">
          <w:rPr>
            <w:webHidden/>
          </w:rPr>
          <w:tab/>
        </w:r>
        <w:r w:rsidR="00331C11">
          <w:rPr>
            <w:webHidden/>
          </w:rPr>
          <w:fldChar w:fldCharType="begin"/>
        </w:r>
        <w:r w:rsidR="00331C11">
          <w:rPr>
            <w:webHidden/>
          </w:rPr>
          <w:instrText xml:space="preserve"> PAGEREF _Toc493844227 \h </w:instrText>
        </w:r>
        <w:r w:rsidR="00331C11">
          <w:rPr>
            <w:webHidden/>
          </w:rPr>
        </w:r>
        <w:r w:rsidR="00331C11">
          <w:rPr>
            <w:webHidden/>
          </w:rPr>
          <w:fldChar w:fldCharType="separate"/>
        </w:r>
        <w:r w:rsidR="00331C11">
          <w:rPr>
            <w:webHidden/>
          </w:rPr>
          <w:t>32</w:t>
        </w:r>
        <w:r w:rsidR="00331C11">
          <w:rPr>
            <w:webHidden/>
          </w:rPr>
          <w:fldChar w:fldCharType="end"/>
        </w:r>
      </w:hyperlink>
    </w:p>
    <w:p w14:paraId="0B9A9311" w14:textId="77777777" w:rsidR="00331C11" w:rsidRDefault="001F72B3">
      <w:pPr>
        <w:pStyle w:val="TOC3"/>
        <w:rPr>
          <w:rFonts w:eastAsiaTheme="minorEastAsia" w:cstheme="minorBidi"/>
          <w:snapToGrid/>
          <w:sz w:val="22"/>
          <w:szCs w:val="22"/>
          <w:lang w:eastAsia="en-AU"/>
        </w:rPr>
      </w:pPr>
      <w:hyperlink w:anchor="_Toc493844228" w:history="1">
        <w:r w:rsidR="00331C11" w:rsidRPr="00357776">
          <w:rPr>
            <w:rStyle w:val="Hyperlink"/>
          </w:rPr>
          <w:t>4.1</w:t>
        </w:r>
        <w:r w:rsidR="00331C11">
          <w:rPr>
            <w:rFonts w:eastAsiaTheme="minorEastAsia" w:cstheme="minorBidi"/>
            <w:snapToGrid/>
            <w:sz w:val="22"/>
            <w:szCs w:val="22"/>
            <w:lang w:eastAsia="en-AU"/>
          </w:rPr>
          <w:tab/>
        </w:r>
        <w:r w:rsidR="00331C11" w:rsidRPr="00357776">
          <w:rPr>
            <w:rStyle w:val="Hyperlink"/>
          </w:rPr>
          <w:t>Staged development of model</w:t>
        </w:r>
        <w:r w:rsidR="00331C11">
          <w:rPr>
            <w:webHidden/>
          </w:rPr>
          <w:tab/>
        </w:r>
        <w:r w:rsidR="00331C11">
          <w:rPr>
            <w:webHidden/>
          </w:rPr>
          <w:fldChar w:fldCharType="begin"/>
        </w:r>
        <w:r w:rsidR="00331C11">
          <w:rPr>
            <w:webHidden/>
          </w:rPr>
          <w:instrText xml:space="preserve"> PAGEREF _Toc493844228 \h </w:instrText>
        </w:r>
        <w:r w:rsidR="00331C11">
          <w:rPr>
            <w:webHidden/>
          </w:rPr>
        </w:r>
        <w:r w:rsidR="00331C11">
          <w:rPr>
            <w:webHidden/>
          </w:rPr>
          <w:fldChar w:fldCharType="separate"/>
        </w:r>
        <w:r w:rsidR="00331C11">
          <w:rPr>
            <w:webHidden/>
          </w:rPr>
          <w:t>32</w:t>
        </w:r>
        <w:r w:rsidR="00331C11">
          <w:rPr>
            <w:webHidden/>
          </w:rPr>
          <w:fldChar w:fldCharType="end"/>
        </w:r>
      </w:hyperlink>
    </w:p>
    <w:p w14:paraId="4408BD0E" w14:textId="77777777" w:rsidR="00331C11" w:rsidRDefault="001F72B3">
      <w:pPr>
        <w:pStyle w:val="TOC3"/>
        <w:rPr>
          <w:rFonts w:eastAsiaTheme="minorEastAsia" w:cstheme="minorBidi"/>
          <w:snapToGrid/>
          <w:sz w:val="22"/>
          <w:szCs w:val="22"/>
          <w:lang w:eastAsia="en-AU"/>
        </w:rPr>
      </w:pPr>
      <w:hyperlink w:anchor="_Toc493844229" w:history="1">
        <w:r w:rsidR="00331C11" w:rsidRPr="00357776">
          <w:rPr>
            <w:rStyle w:val="Hyperlink"/>
          </w:rPr>
          <w:t>4.2</w:t>
        </w:r>
        <w:r w:rsidR="00331C11">
          <w:rPr>
            <w:rFonts w:eastAsiaTheme="minorEastAsia" w:cstheme="minorBidi"/>
            <w:snapToGrid/>
            <w:sz w:val="22"/>
            <w:szCs w:val="22"/>
            <w:lang w:eastAsia="en-AU"/>
          </w:rPr>
          <w:tab/>
        </w:r>
        <w:r w:rsidR="00331C11" w:rsidRPr="00357776">
          <w:rPr>
            <w:rStyle w:val="Hyperlink"/>
          </w:rPr>
          <w:t>Overview of model developments for 2016 valuation</w:t>
        </w:r>
        <w:r w:rsidR="00331C11">
          <w:rPr>
            <w:webHidden/>
          </w:rPr>
          <w:tab/>
        </w:r>
        <w:r w:rsidR="00331C11">
          <w:rPr>
            <w:webHidden/>
          </w:rPr>
          <w:fldChar w:fldCharType="begin"/>
        </w:r>
        <w:r w:rsidR="00331C11">
          <w:rPr>
            <w:webHidden/>
          </w:rPr>
          <w:instrText xml:space="preserve"> PAGEREF _Toc493844229 \h </w:instrText>
        </w:r>
        <w:r w:rsidR="00331C11">
          <w:rPr>
            <w:webHidden/>
          </w:rPr>
        </w:r>
        <w:r w:rsidR="00331C11">
          <w:rPr>
            <w:webHidden/>
          </w:rPr>
          <w:fldChar w:fldCharType="separate"/>
        </w:r>
        <w:r w:rsidR="00331C11">
          <w:rPr>
            <w:webHidden/>
          </w:rPr>
          <w:t>33</w:t>
        </w:r>
        <w:r w:rsidR="00331C11">
          <w:rPr>
            <w:webHidden/>
          </w:rPr>
          <w:fldChar w:fldCharType="end"/>
        </w:r>
      </w:hyperlink>
    </w:p>
    <w:p w14:paraId="1E499FAC" w14:textId="77777777" w:rsidR="00331C11" w:rsidRDefault="001F72B3">
      <w:pPr>
        <w:pStyle w:val="TOC3"/>
        <w:rPr>
          <w:rFonts w:eastAsiaTheme="minorEastAsia" w:cstheme="minorBidi"/>
          <w:snapToGrid/>
          <w:sz w:val="22"/>
          <w:szCs w:val="22"/>
          <w:lang w:eastAsia="en-AU"/>
        </w:rPr>
      </w:pPr>
      <w:hyperlink w:anchor="_Toc493844230" w:history="1">
        <w:r w:rsidR="00331C11" w:rsidRPr="00357776">
          <w:rPr>
            <w:rStyle w:val="Hyperlink"/>
          </w:rPr>
          <w:t>4.3</w:t>
        </w:r>
        <w:r w:rsidR="00331C11">
          <w:rPr>
            <w:rFonts w:eastAsiaTheme="minorEastAsia" w:cstheme="minorBidi"/>
            <w:snapToGrid/>
            <w:sz w:val="22"/>
            <w:szCs w:val="22"/>
            <w:lang w:eastAsia="en-AU"/>
          </w:rPr>
          <w:tab/>
        </w:r>
        <w:r w:rsidR="00331C11" w:rsidRPr="00357776">
          <w:rPr>
            <w:rStyle w:val="Hyperlink"/>
          </w:rPr>
          <w:t>Addition of class characteristic variables</w:t>
        </w:r>
        <w:r w:rsidR="00331C11">
          <w:rPr>
            <w:webHidden/>
          </w:rPr>
          <w:tab/>
        </w:r>
        <w:r w:rsidR="00331C11">
          <w:rPr>
            <w:webHidden/>
          </w:rPr>
          <w:fldChar w:fldCharType="begin"/>
        </w:r>
        <w:r w:rsidR="00331C11">
          <w:rPr>
            <w:webHidden/>
          </w:rPr>
          <w:instrText xml:space="preserve"> PAGEREF _Toc493844230 \h </w:instrText>
        </w:r>
        <w:r w:rsidR="00331C11">
          <w:rPr>
            <w:webHidden/>
          </w:rPr>
        </w:r>
        <w:r w:rsidR="00331C11">
          <w:rPr>
            <w:webHidden/>
          </w:rPr>
          <w:fldChar w:fldCharType="separate"/>
        </w:r>
        <w:r w:rsidR="00331C11">
          <w:rPr>
            <w:webHidden/>
          </w:rPr>
          <w:t>34</w:t>
        </w:r>
        <w:r w:rsidR="00331C11">
          <w:rPr>
            <w:webHidden/>
          </w:rPr>
          <w:fldChar w:fldCharType="end"/>
        </w:r>
      </w:hyperlink>
    </w:p>
    <w:p w14:paraId="097F5E4F" w14:textId="77777777" w:rsidR="00331C11" w:rsidRDefault="001F72B3">
      <w:pPr>
        <w:pStyle w:val="TOC3"/>
        <w:rPr>
          <w:rFonts w:eastAsiaTheme="minorEastAsia" w:cstheme="minorBidi"/>
          <w:snapToGrid/>
          <w:sz w:val="22"/>
          <w:szCs w:val="22"/>
          <w:lang w:eastAsia="en-AU"/>
        </w:rPr>
      </w:pPr>
      <w:hyperlink w:anchor="_Toc493844231" w:history="1">
        <w:r w:rsidR="00331C11" w:rsidRPr="00357776">
          <w:rPr>
            <w:rStyle w:val="Hyperlink"/>
          </w:rPr>
          <w:t>4.4</w:t>
        </w:r>
        <w:r w:rsidR="00331C11">
          <w:rPr>
            <w:rFonts w:eastAsiaTheme="minorEastAsia" w:cstheme="minorBidi"/>
            <w:snapToGrid/>
            <w:sz w:val="22"/>
            <w:szCs w:val="22"/>
            <w:lang w:eastAsia="en-AU"/>
          </w:rPr>
          <w:tab/>
        </w:r>
        <w:r w:rsidR="00331C11" w:rsidRPr="00357776">
          <w:rPr>
            <w:rStyle w:val="Hyperlink"/>
          </w:rPr>
          <w:t>Modelling sequence</w:t>
        </w:r>
        <w:r w:rsidR="00331C11">
          <w:rPr>
            <w:webHidden/>
          </w:rPr>
          <w:tab/>
        </w:r>
        <w:r w:rsidR="00331C11">
          <w:rPr>
            <w:webHidden/>
          </w:rPr>
          <w:fldChar w:fldCharType="begin"/>
        </w:r>
        <w:r w:rsidR="00331C11">
          <w:rPr>
            <w:webHidden/>
          </w:rPr>
          <w:instrText xml:space="preserve"> PAGEREF _Toc493844231 \h </w:instrText>
        </w:r>
        <w:r w:rsidR="00331C11">
          <w:rPr>
            <w:webHidden/>
          </w:rPr>
        </w:r>
        <w:r w:rsidR="00331C11">
          <w:rPr>
            <w:webHidden/>
          </w:rPr>
          <w:fldChar w:fldCharType="separate"/>
        </w:r>
        <w:r w:rsidR="00331C11">
          <w:rPr>
            <w:webHidden/>
          </w:rPr>
          <w:t>34</w:t>
        </w:r>
        <w:r w:rsidR="00331C11">
          <w:rPr>
            <w:webHidden/>
          </w:rPr>
          <w:fldChar w:fldCharType="end"/>
        </w:r>
      </w:hyperlink>
    </w:p>
    <w:p w14:paraId="7651A17C" w14:textId="77777777" w:rsidR="00331C11" w:rsidRDefault="001F72B3">
      <w:pPr>
        <w:pStyle w:val="TOC3"/>
        <w:rPr>
          <w:rFonts w:eastAsiaTheme="minorEastAsia" w:cstheme="minorBidi"/>
          <w:snapToGrid/>
          <w:sz w:val="22"/>
          <w:szCs w:val="22"/>
          <w:lang w:eastAsia="en-AU"/>
        </w:rPr>
      </w:pPr>
      <w:hyperlink w:anchor="_Toc493844232" w:history="1">
        <w:r w:rsidR="00331C11" w:rsidRPr="00357776">
          <w:rPr>
            <w:rStyle w:val="Hyperlink"/>
          </w:rPr>
          <w:t>4.5</w:t>
        </w:r>
        <w:r w:rsidR="00331C11">
          <w:rPr>
            <w:rFonts w:eastAsiaTheme="minorEastAsia" w:cstheme="minorBidi"/>
            <w:snapToGrid/>
            <w:sz w:val="22"/>
            <w:szCs w:val="22"/>
            <w:lang w:eastAsia="en-AU"/>
          </w:rPr>
          <w:tab/>
        </w:r>
        <w:r w:rsidR="00331C11" w:rsidRPr="00357776">
          <w:rPr>
            <w:rStyle w:val="Hyperlink"/>
          </w:rPr>
          <w:t>The economic adjustments module</w:t>
        </w:r>
        <w:r w:rsidR="00331C11">
          <w:rPr>
            <w:webHidden/>
          </w:rPr>
          <w:tab/>
        </w:r>
        <w:r w:rsidR="00331C11">
          <w:rPr>
            <w:webHidden/>
          </w:rPr>
          <w:fldChar w:fldCharType="begin"/>
        </w:r>
        <w:r w:rsidR="00331C11">
          <w:rPr>
            <w:webHidden/>
          </w:rPr>
          <w:instrText xml:space="preserve"> PAGEREF _Toc493844232 \h </w:instrText>
        </w:r>
        <w:r w:rsidR="00331C11">
          <w:rPr>
            <w:webHidden/>
          </w:rPr>
        </w:r>
        <w:r w:rsidR="00331C11">
          <w:rPr>
            <w:webHidden/>
          </w:rPr>
          <w:fldChar w:fldCharType="separate"/>
        </w:r>
        <w:r w:rsidR="00331C11">
          <w:rPr>
            <w:webHidden/>
          </w:rPr>
          <w:t>36</w:t>
        </w:r>
        <w:r w:rsidR="00331C11">
          <w:rPr>
            <w:webHidden/>
          </w:rPr>
          <w:fldChar w:fldCharType="end"/>
        </w:r>
      </w:hyperlink>
    </w:p>
    <w:p w14:paraId="34AD195E" w14:textId="77777777" w:rsidR="00331C11" w:rsidRDefault="001F72B3">
      <w:pPr>
        <w:pStyle w:val="TOC2"/>
        <w:rPr>
          <w:rFonts w:eastAsiaTheme="minorEastAsia" w:cstheme="minorBidi"/>
          <w:b w:val="0"/>
          <w:snapToGrid/>
          <w:sz w:val="22"/>
          <w:szCs w:val="22"/>
          <w:lang w:eastAsia="en-AU"/>
        </w:rPr>
      </w:pPr>
      <w:hyperlink w:anchor="_Toc493844233" w:history="1">
        <w:r w:rsidR="00331C11" w:rsidRPr="00357776">
          <w:rPr>
            <w:rStyle w:val="Hyperlink"/>
          </w:rPr>
          <w:t>5</w:t>
        </w:r>
        <w:r w:rsidR="00331C11">
          <w:rPr>
            <w:rFonts w:eastAsiaTheme="minorEastAsia" w:cstheme="minorBidi"/>
            <w:b w:val="0"/>
            <w:snapToGrid/>
            <w:sz w:val="22"/>
            <w:szCs w:val="22"/>
            <w:lang w:eastAsia="en-AU"/>
          </w:rPr>
          <w:tab/>
        </w:r>
        <w:r w:rsidR="00331C11" w:rsidRPr="00357776">
          <w:rPr>
            <w:rStyle w:val="Hyperlink"/>
          </w:rPr>
          <w:t>Assumptions</w:t>
        </w:r>
        <w:r w:rsidR="00331C11">
          <w:rPr>
            <w:webHidden/>
          </w:rPr>
          <w:tab/>
        </w:r>
        <w:r w:rsidR="00331C11">
          <w:rPr>
            <w:webHidden/>
          </w:rPr>
          <w:fldChar w:fldCharType="begin"/>
        </w:r>
        <w:r w:rsidR="00331C11">
          <w:rPr>
            <w:webHidden/>
          </w:rPr>
          <w:instrText xml:space="preserve"> PAGEREF _Toc493844233 \h </w:instrText>
        </w:r>
        <w:r w:rsidR="00331C11">
          <w:rPr>
            <w:webHidden/>
          </w:rPr>
        </w:r>
        <w:r w:rsidR="00331C11">
          <w:rPr>
            <w:webHidden/>
          </w:rPr>
          <w:fldChar w:fldCharType="separate"/>
        </w:r>
        <w:r w:rsidR="00331C11">
          <w:rPr>
            <w:webHidden/>
          </w:rPr>
          <w:t>40</w:t>
        </w:r>
        <w:r w:rsidR="00331C11">
          <w:rPr>
            <w:webHidden/>
          </w:rPr>
          <w:fldChar w:fldCharType="end"/>
        </w:r>
      </w:hyperlink>
    </w:p>
    <w:p w14:paraId="6FB306C8" w14:textId="77777777" w:rsidR="00331C11" w:rsidRDefault="001F72B3">
      <w:pPr>
        <w:pStyle w:val="TOC3"/>
        <w:rPr>
          <w:rFonts w:eastAsiaTheme="minorEastAsia" w:cstheme="minorBidi"/>
          <w:snapToGrid/>
          <w:sz w:val="22"/>
          <w:szCs w:val="22"/>
          <w:lang w:eastAsia="en-AU"/>
        </w:rPr>
      </w:pPr>
      <w:hyperlink w:anchor="_Toc493844234" w:history="1">
        <w:r w:rsidR="00331C11" w:rsidRPr="00357776">
          <w:rPr>
            <w:rStyle w:val="Hyperlink"/>
          </w:rPr>
          <w:t>5.1</w:t>
        </w:r>
        <w:r w:rsidR="00331C11">
          <w:rPr>
            <w:rFonts w:eastAsiaTheme="minorEastAsia" w:cstheme="minorBidi"/>
            <w:snapToGrid/>
            <w:sz w:val="22"/>
            <w:szCs w:val="22"/>
            <w:lang w:eastAsia="en-AU"/>
          </w:rPr>
          <w:tab/>
        </w:r>
        <w:r w:rsidR="00331C11" w:rsidRPr="00357776">
          <w:rPr>
            <w:rStyle w:val="Hyperlink"/>
          </w:rPr>
          <w:t>Overview of assumptions</w:t>
        </w:r>
        <w:r w:rsidR="00331C11">
          <w:rPr>
            <w:webHidden/>
          </w:rPr>
          <w:tab/>
        </w:r>
        <w:r w:rsidR="00331C11">
          <w:rPr>
            <w:webHidden/>
          </w:rPr>
          <w:fldChar w:fldCharType="begin"/>
        </w:r>
        <w:r w:rsidR="00331C11">
          <w:rPr>
            <w:webHidden/>
          </w:rPr>
          <w:instrText xml:space="preserve"> PAGEREF _Toc493844234 \h </w:instrText>
        </w:r>
        <w:r w:rsidR="00331C11">
          <w:rPr>
            <w:webHidden/>
          </w:rPr>
        </w:r>
        <w:r w:rsidR="00331C11">
          <w:rPr>
            <w:webHidden/>
          </w:rPr>
          <w:fldChar w:fldCharType="separate"/>
        </w:r>
        <w:r w:rsidR="00331C11">
          <w:rPr>
            <w:webHidden/>
          </w:rPr>
          <w:t>40</w:t>
        </w:r>
        <w:r w:rsidR="00331C11">
          <w:rPr>
            <w:webHidden/>
          </w:rPr>
          <w:fldChar w:fldCharType="end"/>
        </w:r>
      </w:hyperlink>
    </w:p>
    <w:p w14:paraId="42182C7A" w14:textId="77777777" w:rsidR="00331C11" w:rsidRDefault="001F72B3">
      <w:pPr>
        <w:pStyle w:val="TOC3"/>
        <w:rPr>
          <w:rFonts w:eastAsiaTheme="minorEastAsia" w:cstheme="minorBidi"/>
          <w:snapToGrid/>
          <w:sz w:val="22"/>
          <w:szCs w:val="22"/>
          <w:lang w:eastAsia="en-AU"/>
        </w:rPr>
      </w:pPr>
      <w:hyperlink w:anchor="_Toc493844235" w:history="1">
        <w:r w:rsidR="00331C11" w:rsidRPr="00357776">
          <w:rPr>
            <w:rStyle w:val="Hyperlink"/>
          </w:rPr>
          <w:t>5.2</w:t>
        </w:r>
        <w:r w:rsidR="00331C11">
          <w:rPr>
            <w:rFonts w:eastAsiaTheme="minorEastAsia" w:cstheme="minorBidi"/>
            <w:snapToGrid/>
            <w:sz w:val="22"/>
            <w:szCs w:val="22"/>
            <w:lang w:eastAsia="en-AU"/>
          </w:rPr>
          <w:tab/>
        </w:r>
        <w:r w:rsidR="00331C11" w:rsidRPr="00357776">
          <w:rPr>
            <w:rStyle w:val="Hyperlink"/>
          </w:rPr>
          <w:t>Policy basis</w:t>
        </w:r>
        <w:r w:rsidR="00331C11">
          <w:rPr>
            <w:webHidden/>
          </w:rPr>
          <w:tab/>
        </w:r>
        <w:r w:rsidR="00331C11">
          <w:rPr>
            <w:webHidden/>
          </w:rPr>
          <w:fldChar w:fldCharType="begin"/>
        </w:r>
        <w:r w:rsidR="00331C11">
          <w:rPr>
            <w:webHidden/>
          </w:rPr>
          <w:instrText xml:space="preserve"> PAGEREF _Toc493844235 \h </w:instrText>
        </w:r>
        <w:r w:rsidR="00331C11">
          <w:rPr>
            <w:webHidden/>
          </w:rPr>
        </w:r>
        <w:r w:rsidR="00331C11">
          <w:rPr>
            <w:webHidden/>
          </w:rPr>
          <w:fldChar w:fldCharType="separate"/>
        </w:r>
        <w:r w:rsidR="00331C11">
          <w:rPr>
            <w:webHidden/>
          </w:rPr>
          <w:t>40</w:t>
        </w:r>
        <w:r w:rsidR="00331C11">
          <w:rPr>
            <w:webHidden/>
          </w:rPr>
          <w:fldChar w:fldCharType="end"/>
        </w:r>
      </w:hyperlink>
    </w:p>
    <w:p w14:paraId="346F2E0C" w14:textId="77777777" w:rsidR="00331C11" w:rsidRDefault="001F72B3">
      <w:pPr>
        <w:pStyle w:val="TOC3"/>
        <w:rPr>
          <w:rFonts w:eastAsiaTheme="minorEastAsia" w:cstheme="minorBidi"/>
          <w:snapToGrid/>
          <w:sz w:val="22"/>
          <w:szCs w:val="22"/>
          <w:lang w:eastAsia="en-AU"/>
        </w:rPr>
      </w:pPr>
      <w:hyperlink w:anchor="_Toc493844236" w:history="1">
        <w:r w:rsidR="00331C11" w:rsidRPr="00357776">
          <w:rPr>
            <w:rStyle w:val="Hyperlink"/>
          </w:rPr>
          <w:t>5.3</w:t>
        </w:r>
        <w:r w:rsidR="00331C11">
          <w:rPr>
            <w:rFonts w:eastAsiaTheme="minorEastAsia" w:cstheme="minorBidi"/>
            <w:snapToGrid/>
            <w:sz w:val="22"/>
            <w:szCs w:val="22"/>
            <w:lang w:eastAsia="en-AU"/>
          </w:rPr>
          <w:tab/>
        </w:r>
        <w:r w:rsidR="00331C11" w:rsidRPr="00357776">
          <w:rPr>
            <w:rStyle w:val="Hyperlink"/>
          </w:rPr>
          <w:t>Flow assumptions</w:t>
        </w:r>
        <w:r w:rsidR="00331C11">
          <w:rPr>
            <w:webHidden/>
          </w:rPr>
          <w:tab/>
        </w:r>
        <w:r w:rsidR="00331C11">
          <w:rPr>
            <w:webHidden/>
          </w:rPr>
          <w:fldChar w:fldCharType="begin"/>
        </w:r>
        <w:r w:rsidR="00331C11">
          <w:rPr>
            <w:webHidden/>
          </w:rPr>
          <w:instrText xml:space="preserve"> PAGEREF _Toc493844236 \h </w:instrText>
        </w:r>
        <w:r w:rsidR="00331C11">
          <w:rPr>
            <w:webHidden/>
          </w:rPr>
        </w:r>
        <w:r w:rsidR="00331C11">
          <w:rPr>
            <w:webHidden/>
          </w:rPr>
          <w:fldChar w:fldCharType="separate"/>
        </w:r>
        <w:r w:rsidR="00331C11">
          <w:rPr>
            <w:webHidden/>
          </w:rPr>
          <w:t>42</w:t>
        </w:r>
        <w:r w:rsidR="00331C11">
          <w:rPr>
            <w:webHidden/>
          </w:rPr>
          <w:fldChar w:fldCharType="end"/>
        </w:r>
      </w:hyperlink>
    </w:p>
    <w:p w14:paraId="28464127" w14:textId="77777777" w:rsidR="00331C11" w:rsidRDefault="001F72B3">
      <w:pPr>
        <w:pStyle w:val="TOC3"/>
        <w:rPr>
          <w:rFonts w:eastAsiaTheme="minorEastAsia" w:cstheme="minorBidi"/>
          <w:snapToGrid/>
          <w:sz w:val="22"/>
          <w:szCs w:val="22"/>
          <w:lang w:eastAsia="en-AU"/>
        </w:rPr>
      </w:pPr>
      <w:hyperlink w:anchor="_Toc493844237" w:history="1">
        <w:r w:rsidR="00331C11" w:rsidRPr="00357776">
          <w:rPr>
            <w:rStyle w:val="Hyperlink"/>
          </w:rPr>
          <w:t>5.4</w:t>
        </w:r>
        <w:r w:rsidR="00331C11">
          <w:rPr>
            <w:rFonts w:eastAsiaTheme="minorEastAsia" w:cstheme="minorBidi"/>
            <w:snapToGrid/>
            <w:sz w:val="22"/>
            <w:szCs w:val="22"/>
            <w:lang w:eastAsia="en-AU"/>
          </w:rPr>
          <w:tab/>
        </w:r>
        <w:r w:rsidR="00331C11" w:rsidRPr="00357776">
          <w:rPr>
            <w:rStyle w:val="Hyperlink"/>
          </w:rPr>
          <w:t>Welfare class movement assumptions</w:t>
        </w:r>
        <w:r w:rsidR="00331C11">
          <w:rPr>
            <w:webHidden/>
          </w:rPr>
          <w:tab/>
        </w:r>
        <w:r w:rsidR="00331C11">
          <w:rPr>
            <w:webHidden/>
          </w:rPr>
          <w:fldChar w:fldCharType="begin"/>
        </w:r>
        <w:r w:rsidR="00331C11">
          <w:rPr>
            <w:webHidden/>
          </w:rPr>
          <w:instrText xml:space="preserve"> PAGEREF _Toc493844237 \h </w:instrText>
        </w:r>
        <w:r w:rsidR="00331C11">
          <w:rPr>
            <w:webHidden/>
          </w:rPr>
        </w:r>
        <w:r w:rsidR="00331C11">
          <w:rPr>
            <w:webHidden/>
          </w:rPr>
          <w:fldChar w:fldCharType="separate"/>
        </w:r>
        <w:r w:rsidR="00331C11">
          <w:rPr>
            <w:webHidden/>
          </w:rPr>
          <w:t>46</w:t>
        </w:r>
        <w:r w:rsidR="00331C11">
          <w:rPr>
            <w:webHidden/>
          </w:rPr>
          <w:fldChar w:fldCharType="end"/>
        </w:r>
      </w:hyperlink>
    </w:p>
    <w:p w14:paraId="2A3E30E3" w14:textId="77777777" w:rsidR="00331C11" w:rsidRDefault="001F72B3">
      <w:pPr>
        <w:pStyle w:val="TOC3"/>
        <w:rPr>
          <w:rFonts w:eastAsiaTheme="minorEastAsia" w:cstheme="minorBidi"/>
          <w:snapToGrid/>
          <w:sz w:val="22"/>
          <w:szCs w:val="22"/>
          <w:lang w:eastAsia="en-AU"/>
        </w:rPr>
      </w:pPr>
      <w:hyperlink w:anchor="_Toc493844238" w:history="1">
        <w:r w:rsidR="00331C11" w:rsidRPr="00357776">
          <w:rPr>
            <w:rStyle w:val="Hyperlink"/>
          </w:rPr>
          <w:t>5.5</w:t>
        </w:r>
        <w:r w:rsidR="00331C11">
          <w:rPr>
            <w:rFonts w:eastAsiaTheme="minorEastAsia" w:cstheme="minorBidi"/>
            <w:snapToGrid/>
            <w:sz w:val="22"/>
            <w:szCs w:val="22"/>
            <w:lang w:eastAsia="en-AU"/>
          </w:rPr>
          <w:tab/>
        </w:r>
        <w:r w:rsidR="00331C11" w:rsidRPr="00357776">
          <w:rPr>
            <w:rStyle w:val="Hyperlink"/>
          </w:rPr>
          <w:t>New entrant assumptions</w:t>
        </w:r>
        <w:r w:rsidR="00331C11">
          <w:rPr>
            <w:webHidden/>
          </w:rPr>
          <w:tab/>
        </w:r>
        <w:r w:rsidR="00331C11">
          <w:rPr>
            <w:webHidden/>
          </w:rPr>
          <w:fldChar w:fldCharType="begin"/>
        </w:r>
        <w:r w:rsidR="00331C11">
          <w:rPr>
            <w:webHidden/>
          </w:rPr>
          <w:instrText xml:space="preserve"> PAGEREF _Toc493844238 \h </w:instrText>
        </w:r>
        <w:r w:rsidR="00331C11">
          <w:rPr>
            <w:webHidden/>
          </w:rPr>
        </w:r>
        <w:r w:rsidR="00331C11">
          <w:rPr>
            <w:webHidden/>
          </w:rPr>
          <w:fldChar w:fldCharType="separate"/>
        </w:r>
        <w:r w:rsidR="00331C11">
          <w:rPr>
            <w:webHidden/>
          </w:rPr>
          <w:t>48</w:t>
        </w:r>
        <w:r w:rsidR="00331C11">
          <w:rPr>
            <w:webHidden/>
          </w:rPr>
          <w:fldChar w:fldCharType="end"/>
        </w:r>
      </w:hyperlink>
    </w:p>
    <w:p w14:paraId="2EE64564" w14:textId="77777777" w:rsidR="00331C11" w:rsidRDefault="001F72B3">
      <w:pPr>
        <w:pStyle w:val="TOC3"/>
        <w:rPr>
          <w:rFonts w:eastAsiaTheme="minorEastAsia" w:cstheme="minorBidi"/>
          <w:snapToGrid/>
          <w:sz w:val="22"/>
          <w:szCs w:val="22"/>
          <w:lang w:eastAsia="en-AU"/>
        </w:rPr>
      </w:pPr>
      <w:hyperlink w:anchor="_Toc493844239" w:history="1">
        <w:r w:rsidR="00331C11" w:rsidRPr="00357776">
          <w:rPr>
            <w:rStyle w:val="Hyperlink"/>
          </w:rPr>
          <w:t>5.6</w:t>
        </w:r>
        <w:r w:rsidR="00331C11">
          <w:rPr>
            <w:rFonts w:eastAsiaTheme="minorEastAsia" w:cstheme="minorBidi"/>
            <w:snapToGrid/>
            <w:sz w:val="22"/>
            <w:szCs w:val="22"/>
            <w:lang w:eastAsia="en-AU"/>
          </w:rPr>
          <w:tab/>
        </w:r>
        <w:r w:rsidR="00331C11" w:rsidRPr="00357776">
          <w:rPr>
            <w:rStyle w:val="Hyperlink"/>
          </w:rPr>
          <w:t>Class characteristic variable assumptions</w:t>
        </w:r>
        <w:r w:rsidR="00331C11">
          <w:rPr>
            <w:webHidden/>
          </w:rPr>
          <w:tab/>
        </w:r>
        <w:r w:rsidR="00331C11">
          <w:rPr>
            <w:webHidden/>
          </w:rPr>
          <w:fldChar w:fldCharType="begin"/>
        </w:r>
        <w:r w:rsidR="00331C11">
          <w:rPr>
            <w:webHidden/>
          </w:rPr>
          <w:instrText xml:space="preserve"> PAGEREF _Toc493844239 \h </w:instrText>
        </w:r>
        <w:r w:rsidR="00331C11">
          <w:rPr>
            <w:webHidden/>
          </w:rPr>
        </w:r>
        <w:r w:rsidR="00331C11">
          <w:rPr>
            <w:webHidden/>
          </w:rPr>
          <w:fldChar w:fldCharType="separate"/>
        </w:r>
        <w:r w:rsidR="00331C11">
          <w:rPr>
            <w:webHidden/>
          </w:rPr>
          <w:t>49</w:t>
        </w:r>
        <w:r w:rsidR="00331C11">
          <w:rPr>
            <w:webHidden/>
          </w:rPr>
          <w:fldChar w:fldCharType="end"/>
        </w:r>
      </w:hyperlink>
    </w:p>
    <w:p w14:paraId="5300C766" w14:textId="77777777" w:rsidR="00331C11" w:rsidRDefault="001F72B3">
      <w:pPr>
        <w:pStyle w:val="TOC3"/>
        <w:rPr>
          <w:rFonts w:eastAsiaTheme="minorEastAsia" w:cstheme="minorBidi"/>
          <w:snapToGrid/>
          <w:sz w:val="22"/>
          <w:szCs w:val="22"/>
          <w:lang w:eastAsia="en-AU"/>
        </w:rPr>
      </w:pPr>
      <w:hyperlink w:anchor="_Toc493844240" w:history="1">
        <w:r w:rsidR="00331C11" w:rsidRPr="00357776">
          <w:rPr>
            <w:rStyle w:val="Hyperlink"/>
          </w:rPr>
          <w:t>5.7</w:t>
        </w:r>
        <w:r w:rsidR="00331C11">
          <w:rPr>
            <w:rFonts w:eastAsiaTheme="minorEastAsia" w:cstheme="minorBidi"/>
            <w:snapToGrid/>
            <w:sz w:val="22"/>
            <w:szCs w:val="22"/>
            <w:lang w:eastAsia="en-AU"/>
          </w:rPr>
          <w:tab/>
        </w:r>
        <w:r w:rsidR="00331C11" w:rsidRPr="00357776">
          <w:rPr>
            <w:rStyle w:val="Hyperlink"/>
          </w:rPr>
          <w:t>Payment category utilisation assumptions</w:t>
        </w:r>
        <w:r w:rsidR="00331C11">
          <w:rPr>
            <w:webHidden/>
          </w:rPr>
          <w:tab/>
        </w:r>
        <w:r w:rsidR="00331C11">
          <w:rPr>
            <w:webHidden/>
          </w:rPr>
          <w:fldChar w:fldCharType="begin"/>
        </w:r>
        <w:r w:rsidR="00331C11">
          <w:rPr>
            <w:webHidden/>
          </w:rPr>
          <w:instrText xml:space="preserve"> PAGEREF _Toc493844240 \h </w:instrText>
        </w:r>
        <w:r w:rsidR="00331C11">
          <w:rPr>
            <w:webHidden/>
          </w:rPr>
        </w:r>
        <w:r w:rsidR="00331C11">
          <w:rPr>
            <w:webHidden/>
          </w:rPr>
          <w:fldChar w:fldCharType="separate"/>
        </w:r>
        <w:r w:rsidR="00331C11">
          <w:rPr>
            <w:webHidden/>
          </w:rPr>
          <w:t>53</w:t>
        </w:r>
        <w:r w:rsidR="00331C11">
          <w:rPr>
            <w:webHidden/>
          </w:rPr>
          <w:fldChar w:fldCharType="end"/>
        </w:r>
      </w:hyperlink>
    </w:p>
    <w:p w14:paraId="5FEE6520" w14:textId="77777777" w:rsidR="00331C11" w:rsidRDefault="001F72B3">
      <w:pPr>
        <w:pStyle w:val="TOC3"/>
        <w:rPr>
          <w:rFonts w:eastAsiaTheme="minorEastAsia" w:cstheme="minorBidi"/>
          <w:snapToGrid/>
          <w:sz w:val="22"/>
          <w:szCs w:val="22"/>
          <w:lang w:eastAsia="en-AU"/>
        </w:rPr>
      </w:pPr>
      <w:hyperlink w:anchor="_Toc493844241" w:history="1">
        <w:r w:rsidR="00331C11" w:rsidRPr="00357776">
          <w:rPr>
            <w:rStyle w:val="Hyperlink"/>
          </w:rPr>
          <w:t>5.8</w:t>
        </w:r>
        <w:r w:rsidR="00331C11">
          <w:rPr>
            <w:rFonts w:eastAsiaTheme="minorEastAsia" w:cstheme="minorBidi"/>
            <w:snapToGrid/>
            <w:sz w:val="22"/>
            <w:szCs w:val="22"/>
            <w:lang w:eastAsia="en-AU"/>
          </w:rPr>
          <w:tab/>
        </w:r>
        <w:r w:rsidR="00331C11" w:rsidRPr="00357776">
          <w:rPr>
            <w:rStyle w:val="Hyperlink"/>
          </w:rPr>
          <w:t>Payment assumptions</w:t>
        </w:r>
        <w:r w:rsidR="00331C11">
          <w:rPr>
            <w:webHidden/>
          </w:rPr>
          <w:tab/>
        </w:r>
        <w:r w:rsidR="00331C11">
          <w:rPr>
            <w:webHidden/>
          </w:rPr>
          <w:fldChar w:fldCharType="begin"/>
        </w:r>
        <w:r w:rsidR="00331C11">
          <w:rPr>
            <w:webHidden/>
          </w:rPr>
          <w:instrText xml:space="preserve"> PAGEREF _Toc493844241 \h </w:instrText>
        </w:r>
        <w:r w:rsidR="00331C11">
          <w:rPr>
            <w:webHidden/>
          </w:rPr>
        </w:r>
        <w:r w:rsidR="00331C11">
          <w:rPr>
            <w:webHidden/>
          </w:rPr>
          <w:fldChar w:fldCharType="separate"/>
        </w:r>
        <w:r w:rsidR="00331C11">
          <w:rPr>
            <w:webHidden/>
          </w:rPr>
          <w:t>56</w:t>
        </w:r>
        <w:r w:rsidR="00331C11">
          <w:rPr>
            <w:webHidden/>
          </w:rPr>
          <w:fldChar w:fldCharType="end"/>
        </w:r>
      </w:hyperlink>
    </w:p>
    <w:p w14:paraId="57AA6AFE" w14:textId="77777777" w:rsidR="00331C11" w:rsidRDefault="001F72B3">
      <w:pPr>
        <w:pStyle w:val="TOC3"/>
        <w:rPr>
          <w:rFonts w:eastAsiaTheme="minorEastAsia" w:cstheme="minorBidi"/>
          <w:snapToGrid/>
          <w:sz w:val="22"/>
          <w:szCs w:val="22"/>
          <w:lang w:eastAsia="en-AU"/>
        </w:rPr>
      </w:pPr>
      <w:hyperlink w:anchor="_Toc493844242" w:history="1">
        <w:r w:rsidR="00331C11" w:rsidRPr="00357776">
          <w:rPr>
            <w:rStyle w:val="Hyperlink"/>
          </w:rPr>
          <w:t>5.9</w:t>
        </w:r>
        <w:r w:rsidR="00331C11">
          <w:rPr>
            <w:rFonts w:eastAsiaTheme="minorEastAsia" w:cstheme="minorBidi"/>
            <w:snapToGrid/>
            <w:sz w:val="22"/>
            <w:szCs w:val="22"/>
            <w:lang w:eastAsia="en-AU"/>
          </w:rPr>
          <w:tab/>
        </w:r>
        <w:r w:rsidR="00331C11" w:rsidRPr="00357776">
          <w:rPr>
            <w:rStyle w:val="Hyperlink"/>
          </w:rPr>
          <w:t>Economic and other adjustments</w:t>
        </w:r>
        <w:r w:rsidR="00331C11">
          <w:rPr>
            <w:webHidden/>
          </w:rPr>
          <w:tab/>
        </w:r>
        <w:r w:rsidR="00331C11">
          <w:rPr>
            <w:webHidden/>
          </w:rPr>
          <w:fldChar w:fldCharType="begin"/>
        </w:r>
        <w:r w:rsidR="00331C11">
          <w:rPr>
            <w:webHidden/>
          </w:rPr>
          <w:instrText xml:space="preserve"> PAGEREF _Toc493844242 \h </w:instrText>
        </w:r>
        <w:r w:rsidR="00331C11">
          <w:rPr>
            <w:webHidden/>
          </w:rPr>
        </w:r>
        <w:r w:rsidR="00331C11">
          <w:rPr>
            <w:webHidden/>
          </w:rPr>
          <w:fldChar w:fldCharType="separate"/>
        </w:r>
        <w:r w:rsidR="00331C11">
          <w:rPr>
            <w:webHidden/>
          </w:rPr>
          <w:t>59</w:t>
        </w:r>
        <w:r w:rsidR="00331C11">
          <w:rPr>
            <w:webHidden/>
          </w:rPr>
          <w:fldChar w:fldCharType="end"/>
        </w:r>
      </w:hyperlink>
    </w:p>
    <w:p w14:paraId="3FD78178" w14:textId="77777777" w:rsidR="00331C11" w:rsidRDefault="001F72B3">
      <w:pPr>
        <w:pStyle w:val="TOC3"/>
        <w:rPr>
          <w:rFonts w:eastAsiaTheme="minorEastAsia" w:cstheme="minorBidi"/>
          <w:snapToGrid/>
          <w:sz w:val="22"/>
          <w:szCs w:val="22"/>
          <w:lang w:eastAsia="en-AU"/>
        </w:rPr>
      </w:pPr>
      <w:hyperlink w:anchor="_Toc493844243" w:history="1">
        <w:r w:rsidR="00331C11" w:rsidRPr="00357776">
          <w:rPr>
            <w:rStyle w:val="Hyperlink"/>
          </w:rPr>
          <w:t>5.10</w:t>
        </w:r>
        <w:r w:rsidR="00331C11">
          <w:rPr>
            <w:rFonts w:eastAsiaTheme="minorEastAsia" w:cstheme="minorBidi"/>
            <w:snapToGrid/>
            <w:sz w:val="22"/>
            <w:szCs w:val="22"/>
            <w:lang w:eastAsia="en-AU"/>
          </w:rPr>
          <w:tab/>
        </w:r>
        <w:r w:rsidR="00331C11" w:rsidRPr="00357776">
          <w:rPr>
            <w:rStyle w:val="Hyperlink"/>
          </w:rPr>
          <w:t>Economic assumptions</w:t>
        </w:r>
        <w:r w:rsidR="00331C11">
          <w:rPr>
            <w:webHidden/>
          </w:rPr>
          <w:tab/>
        </w:r>
        <w:r w:rsidR="00331C11">
          <w:rPr>
            <w:webHidden/>
          </w:rPr>
          <w:fldChar w:fldCharType="begin"/>
        </w:r>
        <w:r w:rsidR="00331C11">
          <w:rPr>
            <w:webHidden/>
          </w:rPr>
          <w:instrText xml:space="preserve"> PAGEREF _Toc493844243 \h </w:instrText>
        </w:r>
        <w:r w:rsidR="00331C11">
          <w:rPr>
            <w:webHidden/>
          </w:rPr>
        </w:r>
        <w:r w:rsidR="00331C11">
          <w:rPr>
            <w:webHidden/>
          </w:rPr>
          <w:fldChar w:fldCharType="separate"/>
        </w:r>
        <w:r w:rsidR="00331C11">
          <w:rPr>
            <w:webHidden/>
          </w:rPr>
          <w:t>61</w:t>
        </w:r>
        <w:r w:rsidR="00331C11">
          <w:rPr>
            <w:webHidden/>
          </w:rPr>
          <w:fldChar w:fldCharType="end"/>
        </w:r>
      </w:hyperlink>
    </w:p>
    <w:p w14:paraId="498EA159" w14:textId="77777777" w:rsidR="00331C11" w:rsidRDefault="001F72B3">
      <w:pPr>
        <w:pStyle w:val="TOC2"/>
        <w:rPr>
          <w:rFonts w:eastAsiaTheme="minorEastAsia" w:cstheme="minorBidi"/>
          <w:b w:val="0"/>
          <w:snapToGrid/>
          <w:sz w:val="22"/>
          <w:szCs w:val="22"/>
          <w:lang w:eastAsia="en-AU"/>
        </w:rPr>
      </w:pPr>
      <w:hyperlink w:anchor="_Toc493844244" w:history="1">
        <w:r w:rsidR="00331C11" w:rsidRPr="00357776">
          <w:rPr>
            <w:rStyle w:val="Hyperlink"/>
          </w:rPr>
          <w:t>6</w:t>
        </w:r>
        <w:r w:rsidR="00331C11">
          <w:rPr>
            <w:rFonts w:eastAsiaTheme="minorEastAsia" w:cstheme="minorBidi"/>
            <w:b w:val="0"/>
            <w:snapToGrid/>
            <w:sz w:val="22"/>
            <w:szCs w:val="22"/>
            <w:lang w:eastAsia="en-AU"/>
          </w:rPr>
          <w:tab/>
        </w:r>
        <w:r w:rsidR="00331C11" w:rsidRPr="00357776">
          <w:rPr>
            <w:rStyle w:val="Hyperlink"/>
          </w:rPr>
          <w:t>Model population</w:t>
        </w:r>
        <w:r w:rsidR="00331C11">
          <w:rPr>
            <w:webHidden/>
          </w:rPr>
          <w:tab/>
        </w:r>
        <w:r w:rsidR="00331C11">
          <w:rPr>
            <w:webHidden/>
          </w:rPr>
          <w:fldChar w:fldCharType="begin"/>
        </w:r>
        <w:r w:rsidR="00331C11">
          <w:rPr>
            <w:webHidden/>
          </w:rPr>
          <w:instrText xml:space="preserve"> PAGEREF _Toc493844244 \h </w:instrText>
        </w:r>
        <w:r w:rsidR="00331C11">
          <w:rPr>
            <w:webHidden/>
          </w:rPr>
        </w:r>
        <w:r w:rsidR="00331C11">
          <w:rPr>
            <w:webHidden/>
          </w:rPr>
          <w:fldChar w:fldCharType="separate"/>
        </w:r>
        <w:r w:rsidR="00331C11">
          <w:rPr>
            <w:webHidden/>
          </w:rPr>
          <w:t>64</w:t>
        </w:r>
        <w:r w:rsidR="00331C11">
          <w:rPr>
            <w:webHidden/>
          </w:rPr>
          <w:fldChar w:fldCharType="end"/>
        </w:r>
      </w:hyperlink>
    </w:p>
    <w:p w14:paraId="7FD0BB7B" w14:textId="77777777" w:rsidR="00331C11" w:rsidRDefault="001F72B3">
      <w:pPr>
        <w:pStyle w:val="TOC3"/>
        <w:rPr>
          <w:rFonts w:eastAsiaTheme="minorEastAsia" w:cstheme="minorBidi"/>
          <w:snapToGrid/>
          <w:sz w:val="22"/>
          <w:szCs w:val="22"/>
          <w:lang w:eastAsia="en-AU"/>
        </w:rPr>
      </w:pPr>
      <w:hyperlink w:anchor="_Toc493844245" w:history="1">
        <w:r w:rsidR="00331C11" w:rsidRPr="00357776">
          <w:rPr>
            <w:rStyle w:val="Hyperlink"/>
          </w:rPr>
          <w:t>6.1</w:t>
        </w:r>
        <w:r w:rsidR="00331C11">
          <w:rPr>
            <w:rFonts w:eastAsiaTheme="minorEastAsia" w:cstheme="minorBidi"/>
            <w:snapToGrid/>
            <w:sz w:val="22"/>
            <w:szCs w:val="22"/>
            <w:lang w:eastAsia="en-AU"/>
          </w:rPr>
          <w:tab/>
        </w:r>
        <w:r w:rsidR="00331C11" w:rsidRPr="00357776">
          <w:rPr>
            <w:rStyle w:val="Hyperlink"/>
          </w:rPr>
          <w:t>Scope of population</w:t>
        </w:r>
        <w:r w:rsidR="00331C11">
          <w:rPr>
            <w:webHidden/>
          </w:rPr>
          <w:tab/>
        </w:r>
        <w:r w:rsidR="00331C11">
          <w:rPr>
            <w:webHidden/>
          </w:rPr>
          <w:fldChar w:fldCharType="begin"/>
        </w:r>
        <w:r w:rsidR="00331C11">
          <w:rPr>
            <w:webHidden/>
          </w:rPr>
          <w:instrText xml:space="preserve"> PAGEREF _Toc493844245 \h </w:instrText>
        </w:r>
        <w:r w:rsidR="00331C11">
          <w:rPr>
            <w:webHidden/>
          </w:rPr>
        </w:r>
        <w:r w:rsidR="00331C11">
          <w:rPr>
            <w:webHidden/>
          </w:rPr>
          <w:fldChar w:fldCharType="separate"/>
        </w:r>
        <w:r w:rsidR="00331C11">
          <w:rPr>
            <w:webHidden/>
          </w:rPr>
          <w:t>64</w:t>
        </w:r>
        <w:r w:rsidR="00331C11">
          <w:rPr>
            <w:webHidden/>
          </w:rPr>
          <w:fldChar w:fldCharType="end"/>
        </w:r>
      </w:hyperlink>
    </w:p>
    <w:p w14:paraId="05B549F5" w14:textId="77777777" w:rsidR="00331C11" w:rsidRDefault="001F72B3">
      <w:pPr>
        <w:pStyle w:val="TOC3"/>
        <w:rPr>
          <w:rFonts w:eastAsiaTheme="minorEastAsia" w:cstheme="minorBidi"/>
          <w:snapToGrid/>
          <w:sz w:val="22"/>
          <w:szCs w:val="22"/>
          <w:lang w:eastAsia="en-AU"/>
        </w:rPr>
      </w:pPr>
      <w:hyperlink w:anchor="_Toc493844246" w:history="1">
        <w:r w:rsidR="00331C11" w:rsidRPr="00357776">
          <w:rPr>
            <w:rStyle w:val="Hyperlink"/>
          </w:rPr>
          <w:t>6.2</w:t>
        </w:r>
        <w:r w:rsidR="00331C11">
          <w:rPr>
            <w:rFonts w:eastAsiaTheme="minorEastAsia" w:cstheme="minorBidi"/>
            <w:snapToGrid/>
            <w:sz w:val="22"/>
            <w:szCs w:val="22"/>
            <w:lang w:eastAsia="en-AU"/>
          </w:rPr>
          <w:tab/>
        </w:r>
        <w:r w:rsidR="00331C11" w:rsidRPr="00357776">
          <w:rPr>
            <w:rStyle w:val="Hyperlink"/>
          </w:rPr>
          <w:t>Summary of current population</w:t>
        </w:r>
        <w:r w:rsidR="00331C11">
          <w:rPr>
            <w:webHidden/>
          </w:rPr>
          <w:tab/>
        </w:r>
        <w:r w:rsidR="00331C11">
          <w:rPr>
            <w:webHidden/>
          </w:rPr>
          <w:fldChar w:fldCharType="begin"/>
        </w:r>
        <w:r w:rsidR="00331C11">
          <w:rPr>
            <w:webHidden/>
          </w:rPr>
          <w:instrText xml:space="preserve"> PAGEREF _Toc493844246 \h </w:instrText>
        </w:r>
        <w:r w:rsidR="00331C11">
          <w:rPr>
            <w:webHidden/>
          </w:rPr>
        </w:r>
        <w:r w:rsidR="00331C11">
          <w:rPr>
            <w:webHidden/>
          </w:rPr>
          <w:fldChar w:fldCharType="separate"/>
        </w:r>
        <w:r w:rsidR="00331C11">
          <w:rPr>
            <w:webHidden/>
          </w:rPr>
          <w:t>64</w:t>
        </w:r>
        <w:r w:rsidR="00331C11">
          <w:rPr>
            <w:webHidden/>
          </w:rPr>
          <w:fldChar w:fldCharType="end"/>
        </w:r>
      </w:hyperlink>
    </w:p>
    <w:p w14:paraId="16E3019D" w14:textId="77777777" w:rsidR="00331C11" w:rsidRDefault="001F72B3">
      <w:pPr>
        <w:pStyle w:val="TOC3"/>
        <w:rPr>
          <w:rFonts w:eastAsiaTheme="minorEastAsia" w:cstheme="minorBidi"/>
          <w:snapToGrid/>
          <w:sz w:val="22"/>
          <w:szCs w:val="22"/>
          <w:lang w:eastAsia="en-AU"/>
        </w:rPr>
      </w:pPr>
      <w:hyperlink w:anchor="_Toc493844247" w:history="1">
        <w:r w:rsidR="00331C11" w:rsidRPr="00357776">
          <w:rPr>
            <w:rStyle w:val="Hyperlink"/>
          </w:rPr>
          <w:t>6.3</w:t>
        </w:r>
        <w:r w:rsidR="00331C11">
          <w:rPr>
            <w:rFonts w:eastAsiaTheme="minorEastAsia" w:cstheme="minorBidi"/>
            <w:snapToGrid/>
            <w:sz w:val="22"/>
            <w:szCs w:val="22"/>
            <w:lang w:eastAsia="en-AU"/>
          </w:rPr>
          <w:tab/>
        </w:r>
        <w:r w:rsidR="00331C11" w:rsidRPr="00357776">
          <w:rPr>
            <w:rStyle w:val="Hyperlink"/>
          </w:rPr>
          <w:t>Development of model population dataset</w:t>
        </w:r>
        <w:r w:rsidR="00331C11">
          <w:rPr>
            <w:webHidden/>
          </w:rPr>
          <w:tab/>
        </w:r>
        <w:r w:rsidR="00331C11">
          <w:rPr>
            <w:webHidden/>
          </w:rPr>
          <w:fldChar w:fldCharType="begin"/>
        </w:r>
        <w:r w:rsidR="00331C11">
          <w:rPr>
            <w:webHidden/>
          </w:rPr>
          <w:instrText xml:space="preserve"> PAGEREF _Toc493844247 \h </w:instrText>
        </w:r>
        <w:r w:rsidR="00331C11">
          <w:rPr>
            <w:webHidden/>
          </w:rPr>
        </w:r>
        <w:r w:rsidR="00331C11">
          <w:rPr>
            <w:webHidden/>
          </w:rPr>
          <w:fldChar w:fldCharType="separate"/>
        </w:r>
        <w:r w:rsidR="00331C11">
          <w:rPr>
            <w:webHidden/>
          </w:rPr>
          <w:t>65</w:t>
        </w:r>
        <w:r w:rsidR="00331C11">
          <w:rPr>
            <w:webHidden/>
          </w:rPr>
          <w:fldChar w:fldCharType="end"/>
        </w:r>
      </w:hyperlink>
    </w:p>
    <w:p w14:paraId="1DC1B410" w14:textId="77777777" w:rsidR="00331C11" w:rsidRDefault="001F72B3">
      <w:pPr>
        <w:pStyle w:val="TOC3"/>
        <w:rPr>
          <w:rFonts w:eastAsiaTheme="minorEastAsia" w:cstheme="minorBidi"/>
          <w:snapToGrid/>
          <w:sz w:val="22"/>
          <w:szCs w:val="22"/>
          <w:lang w:eastAsia="en-AU"/>
        </w:rPr>
      </w:pPr>
      <w:hyperlink w:anchor="_Toc493844248" w:history="1">
        <w:r w:rsidR="00331C11" w:rsidRPr="00357776">
          <w:rPr>
            <w:rStyle w:val="Hyperlink"/>
          </w:rPr>
          <w:t>6.4</w:t>
        </w:r>
        <w:r w:rsidR="00331C11">
          <w:rPr>
            <w:rFonts w:eastAsiaTheme="minorEastAsia" w:cstheme="minorBidi"/>
            <w:snapToGrid/>
            <w:sz w:val="22"/>
            <w:szCs w:val="22"/>
            <w:lang w:eastAsia="en-AU"/>
          </w:rPr>
          <w:tab/>
        </w:r>
        <w:r w:rsidR="00331C11" w:rsidRPr="00357776">
          <w:rPr>
            <w:rStyle w:val="Hyperlink"/>
          </w:rPr>
          <w:t>Summary of model population by class</w:t>
        </w:r>
        <w:r w:rsidR="00331C11">
          <w:rPr>
            <w:webHidden/>
          </w:rPr>
          <w:tab/>
        </w:r>
        <w:r w:rsidR="00331C11">
          <w:rPr>
            <w:webHidden/>
          </w:rPr>
          <w:fldChar w:fldCharType="begin"/>
        </w:r>
        <w:r w:rsidR="00331C11">
          <w:rPr>
            <w:webHidden/>
          </w:rPr>
          <w:instrText xml:space="preserve"> PAGEREF _Toc493844248 \h </w:instrText>
        </w:r>
        <w:r w:rsidR="00331C11">
          <w:rPr>
            <w:webHidden/>
          </w:rPr>
        </w:r>
        <w:r w:rsidR="00331C11">
          <w:rPr>
            <w:webHidden/>
          </w:rPr>
          <w:fldChar w:fldCharType="separate"/>
        </w:r>
        <w:r w:rsidR="00331C11">
          <w:rPr>
            <w:webHidden/>
          </w:rPr>
          <w:t>67</w:t>
        </w:r>
        <w:r w:rsidR="00331C11">
          <w:rPr>
            <w:webHidden/>
          </w:rPr>
          <w:fldChar w:fldCharType="end"/>
        </w:r>
      </w:hyperlink>
    </w:p>
    <w:p w14:paraId="2B257CFD" w14:textId="77777777" w:rsidR="00331C11" w:rsidRDefault="001F72B3">
      <w:pPr>
        <w:pStyle w:val="TOC3"/>
        <w:rPr>
          <w:rFonts w:eastAsiaTheme="minorEastAsia" w:cstheme="minorBidi"/>
          <w:snapToGrid/>
          <w:sz w:val="22"/>
          <w:szCs w:val="22"/>
          <w:lang w:eastAsia="en-AU"/>
        </w:rPr>
      </w:pPr>
      <w:hyperlink w:anchor="_Toc493844249" w:history="1">
        <w:r w:rsidR="00331C11" w:rsidRPr="00357776">
          <w:rPr>
            <w:rStyle w:val="Hyperlink"/>
          </w:rPr>
          <w:t>6.5</w:t>
        </w:r>
        <w:r w:rsidR="00331C11">
          <w:rPr>
            <w:rFonts w:eastAsiaTheme="minorEastAsia" w:cstheme="minorBidi"/>
            <w:snapToGrid/>
            <w:sz w:val="22"/>
            <w:szCs w:val="22"/>
            <w:lang w:eastAsia="en-AU"/>
          </w:rPr>
          <w:tab/>
        </w:r>
        <w:r w:rsidR="00331C11" w:rsidRPr="00357776">
          <w:rPr>
            <w:rStyle w:val="Hyperlink"/>
          </w:rPr>
          <w:t>Changes in welfare recipient population</w:t>
        </w:r>
        <w:r w:rsidR="00331C11">
          <w:rPr>
            <w:webHidden/>
          </w:rPr>
          <w:tab/>
        </w:r>
        <w:r w:rsidR="00331C11">
          <w:rPr>
            <w:webHidden/>
          </w:rPr>
          <w:fldChar w:fldCharType="begin"/>
        </w:r>
        <w:r w:rsidR="00331C11">
          <w:rPr>
            <w:webHidden/>
          </w:rPr>
          <w:instrText xml:space="preserve"> PAGEREF _Toc493844249 \h </w:instrText>
        </w:r>
        <w:r w:rsidR="00331C11">
          <w:rPr>
            <w:webHidden/>
          </w:rPr>
        </w:r>
        <w:r w:rsidR="00331C11">
          <w:rPr>
            <w:webHidden/>
          </w:rPr>
          <w:fldChar w:fldCharType="separate"/>
        </w:r>
        <w:r w:rsidR="00331C11">
          <w:rPr>
            <w:webHidden/>
          </w:rPr>
          <w:t>68</w:t>
        </w:r>
        <w:r w:rsidR="00331C11">
          <w:rPr>
            <w:webHidden/>
          </w:rPr>
          <w:fldChar w:fldCharType="end"/>
        </w:r>
      </w:hyperlink>
    </w:p>
    <w:p w14:paraId="5838D212" w14:textId="77777777" w:rsidR="00331C11" w:rsidRDefault="001F72B3">
      <w:pPr>
        <w:pStyle w:val="TOC2"/>
        <w:rPr>
          <w:rFonts w:eastAsiaTheme="minorEastAsia" w:cstheme="minorBidi"/>
          <w:b w:val="0"/>
          <w:snapToGrid/>
          <w:sz w:val="22"/>
          <w:szCs w:val="22"/>
          <w:lang w:eastAsia="en-AU"/>
        </w:rPr>
      </w:pPr>
      <w:hyperlink w:anchor="_Toc493844250" w:history="1">
        <w:r w:rsidR="00331C11" w:rsidRPr="00357776">
          <w:rPr>
            <w:rStyle w:val="Hyperlink"/>
          </w:rPr>
          <w:t>7</w:t>
        </w:r>
        <w:r w:rsidR="00331C11">
          <w:rPr>
            <w:rFonts w:eastAsiaTheme="minorEastAsia" w:cstheme="minorBidi"/>
            <w:b w:val="0"/>
            <w:snapToGrid/>
            <w:sz w:val="22"/>
            <w:szCs w:val="22"/>
            <w:lang w:eastAsia="en-AU"/>
          </w:rPr>
          <w:tab/>
        </w:r>
        <w:r w:rsidR="00331C11" w:rsidRPr="00357776">
          <w:rPr>
            <w:rStyle w:val="Hyperlink"/>
          </w:rPr>
          <w:t>Overall results</w:t>
        </w:r>
        <w:r w:rsidR="00331C11">
          <w:rPr>
            <w:webHidden/>
          </w:rPr>
          <w:tab/>
        </w:r>
        <w:r w:rsidR="00331C11">
          <w:rPr>
            <w:webHidden/>
          </w:rPr>
          <w:fldChar w:fldCharType="begin"/>
        </w:r>
        <w:r w:rsidR="00331C11">
          <w:rPr>
            <w:webHidden/>
          </w:rPr>
          <w:instrText xml:space="preserve"> PAGEREF _Toc493844250 \h </w:instrText>
        </w:r>
        <w:r w:rsidR="00331C11">
          <w:rPr>
            <w:webHidden/>
          </w:rPr>
        </w:r>
        <w:r w:rsidR="00331C11">
          <w:rPr>
            <w:webHidden/>
          </w:rPr>
          <w:fldChar w:fldCharType="separate"/>
        </w:r>
        <w:r w:rsidR="00331C11">
          <w:rPr>
            <w:webHidden/>
          </w:rPr>
          <w:t>70</w:t>
        </w:r>
        <w:r w:rsidR="00331C11">
          <w:rPr>
            <w:webHidden/>
          </w:rPr>
          <w:fldChar w:fldCharType="end"/>
        </w:r>
      </w:hyperlink>
    </w:p>
    <w:p w14:paraId="16DFE66A" w14:textId="77777777" w:rsidR="00331C11" w:rsidRDefault="001F72B3">
      <w:pPr>
        <w:pStyle w:val="TOC3"/>
        <w:rPr>
          <w:rFonts w:eastAsiaTheme="minorEastAsia" w:cstheme="minorBidi"/>
          <w:snapToGrid/>
          <w:sz w:val="22"/>
          <w:szCs w:val="22"/>
          <w:lang w:eastAsia="en-AU"/>
        </w:rPr>
      </w:pPr>
      <w:hyperlink w:anchor="_Toc493844251" w:history="1">
        <w:r w:rsidR="00331C11" w:rsidRPr="00357776">
          <w:rPr>
            <w:rStyle w:val="Hyperlink"/>
          </w:rPr>
          <w:t>7.1</w:t>
        </w:r>
        <w:r w:rsidR="00331C11">
          <w:rPr>
            <w:rFonts w:eastAsiaTheme="minorEastAsia" w:cstheme="minorBidi"/>
            <w:snapToGrid/>
            <w:sz w:val="22"/>
            <w:szCs w:val="22"/>
            <w:lang w:eastAsia="en-AU"/>
          </w:rPr>
          <w:tab/>
        </w:r>
        <w:r w:rsidR="00331C11" w:rsidRPr="00357776">
          <w:rPr>
            <w:rStyle w:val="Hyperlink"/>
          </w:rPr>
          <w:t>Total lifetime cost</w:t>
        </w:r>
        <w:r w:rsidR="00331C11">
          <w:rPr>
            <w:webHidden/>
          </w:rPr>
          <w:tab/>
        </w:r>
        <w:r w:rsidR="00331C11">
          <w:rPr>
            <w:webHidden/>
          </w:rPr>
          <w:fldChar w:fldCharType="begin"/>
        </w:r>
        <w:r w:rsidR="00331C11">
          <w:rPr>
            <w:webHidden/>
          </w:rPr>
          <w:instrText xml:space="preserve"> PAGEREF _Toc493844251 \h </w:instrText>
        </w:r>
        <w:r w:rsidR="00331C11">
          <w:rPr>
            <w:webHidden/>
          </w:rPr>
        </w:r>
        <w:r w:rsidR="00331C11">
          <w:rPr>
            <w:webHidden/>
          </w:rPr>
          <w:fldChar w:fldCharType="separate"/>
        </w:r>
        <w:r w:rsidR="00331C11">
          <w:rPr>
            <w:webHidden/>
          </w:rPr>
          <w:t>70</w:t>
        </w:r>
        <w:r w:rsidR="00331C11">
          <w:rPr>
            <w:webHidden/>
          </w:rPr>
          <w:fldChar w:fldCharType="end"/>
        </w:r>
      </w:hyperlink>
    </w:p>
    <w:p w14:paraId="26973D3C" w14:textId="77777777" w:rsidR="00331C11" w:rsidRDefault="001F72B3">
      <w:pPr>
        <w:pStyle w:val="TOC3"/>
        <w:rPr>
          <w:rFonts w:eastAsiaTheme="minorEastAsia" w:cstheme="minorBidi"/>
          <w:snapToGrid/>
          <w:sz w:val="22"/>
          <w:szCs w:val="22"/>
          <w:lang w:eastAsia="en-AU"/>
        </w:rPr>
      </w:pPr>
      <w:hyperlink w:anchor="_Toc493844252" w:history="1">
        <w:r w:rsidR="00331C11" w:rsidRPr="00357776">
          <w:rPr>
            <w:rStyle w:val="Hyperlink"/>
          </w:rPr>
          <w:t>7.2</w:t>
        </w:r>
        <w:r w:rsidR="00331C11">
          <w:rPr>
            <w:rFonts w:eastAsiaTheme="minorEastAsia" w:cstheme="minorBidi"/>
            <w:snapToGrid/>
            <w:sz w:val="22"/>
            <w:szCs w:val="22"/>
            <w:lang w:eastAsia="en-AU"/>
          </w:rPr>
          <w:tab/>
        </w:r>
        <w:r w:rsidR="00331C11" w:rsidRPr="00357776">
          <w:rPr>
            <w:rStyle w:val="Hyperlink"/>
          </w:rPr>
          <w:t>Change since the baseline valuation</w:t>
        </w:r>
        <w:r w:rsidR="00331C11">
          <w:rPr>
            <w:webHidden/>
          </w:rPr>
          <w:tab/>
        </w:r>
        <w:r w:rsidR="00331C11">
          <w:rPr>
            <w:webHidden/>
          </w:rPr>
          <w:fldChar w:fldCharType="begin"/>
        </w:r>
        <w:r w:rsidR="00331C11">
          <w:rPr>
            <w:webHidden/>
          </w:rPr>
          <w:instrText xml:space="preserve"> PAGEREF _Toc493844252 \h </w:instrText>
        </w:r>
        <w:r w:rsidR="00331C11">
          <w:rPr>
            <w:webHidden/>
          </w:rPr>
        </w:r>
        <w:r w:rsidR="00331C11">
          <w:rPr>
            <w:webHidden/>
          </w:rPr>
          <w:fldChar w:fldCharType="separate"/>
        </w:r>
        <w:r w:rsidR="00331C11">
          <w:rPr>
            <w:webHidden/>
          </w:rPr>
          <w:t>72</w:t>
        </w:r>
        <w:r w:rsidR="00331C11">
          <w:rPr>
            <w:webHidden/>
          </w:rPr>
          <w:fldChar w:fldCharType="end"/>
        </w:r>
      </w:hyperlink>
    </w:p>
    <w:p w14:paraId="131500A4" w14:textId="77777777" w:rsidR="00331C11" w:rsidRDefault="001F72B3">
      <w:pPr>
        <w:pStyle w:val="TOC3"/>
        <w:rPr>
          <w:rFonts w:eastAsiaTheme="minorEastAsia" w:cstheme="minorBidi"/>
          <w:snapToGrid/>
          <w:sz w:val="22"/>
          <w:szCs w:val="22"/>
          <w:lang w:eastAsia="en-AU"/>
        </w:rPr>
      </w:pPr>
      <w:hyperlink w:anchor="_Toc493844253" w:history="1">
        <w:r w:rsidR="00331C11" w:rsidRPr="00357776">
          <w:rPr>
            <w:rStyle w:val="Hyperlink"/>
          </w:rPr>
          <w:t>7.3</w:t>
        </w:r>
        <w:r w:rsidR="00331C11">
          <w:rPr>
            <w:rFonts w:eastAsiaTheme="minorEastAsia" w:cstheme="minorBidi"/>
            <w:snapToGrid/>
            <w:sz w:val="22"/>
            <w:szCs w:val="22"/>
            <w:lang w:eastAsia="en-AU"/>
          </w:rPr>
          <w:tab/>
        </w:r>
        <w:r w:rsidR="00331C11" w:rsidRPr="00357776">
          <w:rPr>
            <w:rStyle w:val="Hyperlink"/>
          </w:rPr>
          <w:t>Summary of overall change in lifetime cost</w:t>
        </w:r>
        <w:r w:rsidR="00331C11">
          <w:rPr>
            <w:webHidden/>
          </w:rPr>
          <w:tab/>
        </w:r>
        <w:r w:rsidR="00331C11">
          <w:rPr>
            <w:webHidden/>
          </w:rPr>
          <w:fldChar w:fldCharType="begin"/>
        </w:r>
        <w:r w:rsidR="00331C11">
          <w:rPr>
            <w:webHidden/>
          </w:rPr>
          <w:instrText xml:space="preserve"> PAGEREF _Toc493844253 \h </w:instrText>
        </w:r>
        <w:r w:rsidR="00331C11">
          <w:rPr>
            <w:webHidden/>
          </w:rPr>
        </w:r>
        <w:r w:rsidR="00331C11">
          <w:rPr>
            <w:webHidden/>
          </w:rPr>
          <w:fldChar w:fldCharType="separate"/>
        </w:r>
        <w:r w:rsidR="00331C11">
          <w:rPr>
            <w:webHidden/>
          </w:rPr>
          <w:t>76</w:t>
        </w:r>
        <w:r w:rsidR="00331C11">
          <w:rPr>
            <w:webHidden/>
          </w:rPr>
          <w:fldChar w:fldCharType="end"/>
        </w:r>
      </w:hyperlink>
    </w:p>
    <w:p w14:paraId="27C63EE3" w14:textId="77777777" w:rsidR="00331C11" w:rsidRDefault="001F72B3">
      <w:pPr>
        <w:pStyle w:val="TOC3"/>
        <w:rPr>
          <w:rFonts w:eastAsiaTheme="minorEastAsia" w:cstheme="minorBidi"/>
          <w:snapToGrid/>
          <w:sz w:val="22"/>
          <w:szCs w:val="22"/>
          <w:lang w:eastAsia="en-AU"/>
        </w:rPr>
      </w:pPr>
      <w:hyperlink w:anchor="_Toc493844254" w:history="1">
        <w:r w:rsidR="00331C11" w:rsidRPr="00357776">
          <w:rPr>
            <w:rStyle w:val="Hyperlink"/>
          </w:rPr>
          <w:t>7.4</w:t>
        </w:r>
        <w:r w:rsidR="00331C11">
          <w:rPr>
            <w:rFonts w:eastAsiaTheme="minorEastAsia" w:cstheme="minorBidi"/>
            <w:snapToGrid/>
            <w:sz w:val="22"/>
            <w:szCs w:val="22"/>
            <w:lang w:eastAsia="en-AU"/>
          </w:rPr>
          <w:tab/>
        </w:r>
        <w:r w:rsidR="00331C11" w:rsidRPr="00357776">
          <w:rPr>
            <w:rStyle w:val="Hyperlink"/>
          </w:rPr>
          <w:t>Impact of the introduction of the economic module</w:t>
        </w:r>
        <w:r w:rsidR="00331C11">
          <w:rPr>
            <w:webHidden/>
          </w:rPr>
          <w:tab/>
        </w:r>
        <w:r w:rsidR="00331C11">
          <w:rPr>
            <w:webHidden/>
          </w:rPr>
          <w:fldChar w:fldCharType="begin"/>
        </w:r>
        <w:r w:rsidR="00331C11">
          <w:rPr>
            <w:webHidden/>
          </w:rPr>
          <w:instrText xml:space="preserve"> PAGEREF _Toc493844254 \h </w:instrText>
        </w:r>
        <w:r w:rsidR="00331C11">
          <w:rPr>
            <w:webHidden/>
          </w:rPr>
        </w:r>
        <w:r w:rsidR="00331C11">
          <w:rPr>
            <w:webHidden/>
          </w:rPr>
          <w:fldChar w:fldCharType="separate"/>
        </w:r>
        <w:r w:rsidR="00331C11">
          <w:rPr>
            <w:webHidden/>
          </w:rPr>
          <w:t>79</w:t>
        </w:r>
        <w:r w:rsidR="00331C11">
          <w:rPr>
            <w:webHidden/>
          </w:rPr>
          <w:fldChar w:fldCharType="end"/>
        </w:r>
      </w:hyperlink>
    </w:p>
    <w:p w14:paraId="7B6763DA" w14:textId="77777777" w:rsidR="00331C11" w:rsidRDefault="001F72B3">
      <w:pPr>
        <w:pStyle w:val="TOC3"/>
        <w:rPr>
          <w:rFonts w:eastAsiaTheme="minorEastAsia" w:cstheme="minorBidi"/>
          <w:snapToGrid/>
          <w:sz w:val="22"/>
          <w:szCs w:val="22"/>
          <w:lang w:eastAsia="en-AU"/>
        </w:rPr>
      </w:pPr>
      <w:hyperlink w:anchor="_Toc493844255" w:history="1">
        <w:r w:rsidR="00331C11" w:rsidRPr="00357776">
          <w:rPr>
            <w:rStyle w:val="Hyperlink"/>
          </w:rPr>
          <w:t>7.5</w:t>
        </w:r>
        <w:r w:rsidR="00331C11">
          <w:rPr>
            <w:rFonts w:eastAsiaTheme="minorEastAsia" w:cstheme="minorBidi"/>
            <w:snapToGrid/>
            <w:sz w:val="22"/>
            <w:szCs w:val="22"/>
            <w:lang w:eastAsia="en-AU"/>
          </w:rPr>
          <w:tab/>
        </w:r>
        <w:r w:rsidR="00331C11" w:rsidRPr="00357776">
          <w:rPr>
            <w:rStyle w:val="Hyperlink"/>
          </w:rPr>
          <w:t>Areas of sensitivity and uncertainty</w:t>
        </w:r>
        <w:r w:rsidR="00331C11">
          <w:rPr>
            <w:webHidden/>
          </w:rPr>
          <w:tab/>
        </w:r>
        <w:r w:rsidR="00331C11">
          <w:rPr>
            <w:webHidden/>
          </w:rPr>
          <w:fldChar w:fldCharType="begin"/>
        </w:r>
        <w:r w:rsidR="00331C11">
          <w:rPr>
            <w:webHidden/>
          </w:rPr>
          <w:instrText xml:space="preserve"> PAGEREF _Toc493844255 \h </w:instrText>
        </w:r>
        <w:r w:rsidR="00331C11">
          <w:rPr>
            <w:webHidden/>
          </w:rPr>
        </w:r>
        <w:r w:rsidR="00331C11">
          <w:rPr>
            <w:webHidden/>
          </w:rPr>
          <w:fldChar w:fldCharType="separate"/>
        </w:r>
        <w:r w:rsidR="00331C11">
          <w:rPr>
            <w:webHidden/>
          </w:rPr>
          <w:t>79</w:t>
        </w:r>
        <w:r w:rsidR="00331C11">
          <w:rPr>
            <w:webHidden/>
          </w:rPr>
          <w:fldChar w:fldCharType="end"/>
        </w:r>
      </w:hyperlink>
    </w:p>
    <w:p w14:paraId="486E96C9" w14:textId="77777777" w:rsidR="00331C11" w:rsidRDefault="001F72B3">
      <w:pPr>
        <w:pStyle w:val="TOC2"/>
        <w:rPr>
          <w:rFonts w:eastAsiaTheme="minorEastAsia" w:cstheme="minorBidi"/>
          <w:b w:val="0"/>
          <w:snapToGrid/>
          <w:sz w:val="22"/>
          <w:szCs w:val="22"/>
          <w:lang w:eastAsia="en-AU"/>
        </w:rPr>
      </w:pPr>
      <w:hyperlink w:anchor="_Toc493844256" w:history="1">
        <w:r w:rsidR="00331C11" w:rsidRPr="00357776">
          <w:rPr>
            <w:rStyle w:val="Hyperlink"/>
          </w:rPr>
          <w:t>8</w:t>
        </w:r>
        <w:r w:rsidR="00331C11">
          <w:rPr>
            <w:rFonts w:eastAsiaTheme="minorEastAsia" w:cstheme="minorBidi"/>
            <w:b w:val="0"/>
            <w:snapToGrid/>
            <w:sz w:val="22"/>
            <w:szCs w:val="22"/>
            <w:lang w:eastAsia="en-AU"/>
          </w:rPr>
          <w:tab/>
        </w:r>
        <w:r w:rsidR="00331C11" w:rsidRPr="00357776">
          <w:rPr>
            <w:rStyle w:val="Hyperlink"/>
          </w:rPr>
          <w:t>Results for income support recipients</w:t>
        </w:r>
        <w:r w:rsidR="00331C11">
          <w:rPr>
            <w:webHidden/>
          </w:rPr>
          <w:tab/>
        </w:r>
        <w:r w:rsidR="00331C11">
          <w:rPr>
            <w:webHidden/>
          </w:rPr>
          <w:fldChar w:fldCharType="begin"/>
        </w:r>
        <w:r w:rsidR="00331C11">
          <w:rPr>
            <w:webHidden/>
          </w:rPr>
          <w:instrText xml:space="preserve"> PAGEREF _Toc493844256 \h </w:instrText>
        </w:r>
        <w:r w:rsidR="00331C11">
          <w:rPr>
            <w:webHidden/>
          </w:rPr>
        </w:r>
        <w:r w:rsidR="00331C11">
          <w:rPr>
            <w:webHidden/>
          </w:rPr>
          <w:fldChar w:fldCharType="separate"/>
        </w:r>
        <w:r w:rsidR="00331C11">
          <w:rPr>
            <w:webHidden/>
          </w:rPr>
          <w:t>83</w:t>
        </w:r>
        <w:r w:rsidR="00331C11">
          <w:rPr>
            <w:webHidden/>
          </w:rPr>
          <w:fldChar w:fldCharType="end"/>
        </w:r>
      </w:hyperlink>
    </w:p>
    <w:p w14:paraId="559B68C5" w14:textId="77777777" w:rsidR="00331C11" w:rsidRDefault="001F72B3">
      <w:pPr>
        <w:pStyle w:val="TOC3"/>
        <w:rPr>
          <w:rFonts w:eastAsiaTheme="minorEastAsia" w:cstheme="minorBidi"/>
          <w:snapToGrid/>
          <w:sz w:val="22"/>
          <w:szCs w:val="22"/>
          <w:lang w:eastAsia="en-AU"/>
        </w:rPr>
      </w:pPr>
      <w:hyperlink w:anchor="_Toc493844257" w:history="1">
        <w:r w:rsidR="00331C11" w:rsidRPr="00357776">
          <w:rPr>
            <w:rStyle w:val="Hyperlink"/>
          </w:rPr>
          <w:t>8.1</w:t>
        </w:r>
        <w:r w:rsidR="00331C11">
          <w:rPr>
            <w:rFonts w:eastAsiaTheme="minorEastAsia" w:cstheme="minorBidi"/>
            <w:snapToGrid/>
            <w:sz w:val="22"/>
            <w:szCs w:val="22"/>
            <w:lang w:eastAsia="en-AU"/>
          </w:rPr>
          <w:tab/>
        </w:r>
        <w:r w:rsidR="00331C11" w:rsidRPr="00357776">
          <w:rPr>
            <w:rStyle w:val="Hyperlink"/>
          </w:rPr>
          <w:t>Studying Payment recipients</w:t>
        </w:r>
        <w:r w:rsidR="00331C11">
          <w:rPr>
            <w:webHidden/>
          </w:rPr>
          <w:tab/>
        </w:r>
        <w:r w:rsidR="00331C11">
          <w:rPr>
            <w:webHidden/>
          </w:rPr>
          <w:fldChar w:fldCharType="begin"/>
        </w:r>
        <w:r w:rsidR="00331C11">
          <w:rPr>
            <w:webHidden/>
          </w:rPr>
          <w:instrText xml:space="preserve"> PAGEREF _Toc493844257 \h </w:instrText>
        </w:r>
        <w:r w:rsidR="00331C11">
          <w:rPr>
            <w:webHidden/>
          </w:rPr>
        </w:r>
        <w:r w:rsidR="00331C11">
          <w:rPr>
            <w:webHidden/>
          </w:rPr>
          <w:fldChar w:fldCharType="separate"/>
        </w:r>
        <w:r w:rsidR="00331C11">
          <w:rPr>
            <w:webHidden/>
          </w:rPr>
          <w:t>83</w:t>
        </w:r>
        <w:r w:rsidR="00331C11">
          <w:rPr>
            <w:webHidden/>
          </w:rPr>
          <w:fldChar w:fldCharType="end"/>
        </w:r>
      </w:hyperlink>
    </w:p>
    <w:p w14:paraId="460F3FE8" w14:textId="77777777" w:rsidR="00331C11" w:rsidRDefault="001F72B3">
      <w:pPr>
        <w:pStyle w:val="TOC3"/>
        <w:rPr>
          <w:rFonts w:eastAsiaTheme="minorEastAsia" w:cstheme="minorBidi"/>
          <w:snapToGrid/>
          <w:sz w:val="22"/>
          <w:szCs w:val="22"/>
          <w:lang w:eastAsia="en-AU"/>
        </w:rPr>
      </w:pPr>
      <w:hyperlink w:anchor="_Toc493844258" w:history="1">
        <w:r w:rsidR="00331C11" w:rsidRPr="00357776">
          <w:rPr>
            <w:rStyle w:val="Hyperlink"/>
          </w:rPr>
          <w:t>8.2</w:t>
        </w:r>
        <w:r w:rsidR="00331C11">
          <w:rPr>
            <w:rFonts w:eastAsiaTheme="minorEastAsia" w:cstheme="minorBidi"/>
            <w:snapToGrid/>
            <w:sz w:val="22"/>
            <w:szCs w:val="22"/>
            <w:lang w:eastAsia="en-AU"/>
          </w:rPr>
          <w:tab/>
        </w:r>
        <w:r w:rsidR="00331C11" w:rsidRPr="00357776">
          <w:rPr>
            <w:rStyle w:val="Hyperlink"/>
          </w:rPr>
          <w:t>Working Age Payment recipients</w:t>
        </w:r>
        <w:r w:rsidR="00331C11">
          <w:rPr>
            <w:webHidden/>
          </w:rPr>
          <w:tab/>
        </w:r>
        <w:r w:rsidR="00331C11">
          <w:rPr>
            <w:webHidden/>
          </w:rPr>
          <w:fldChar w:fldCharType="begin"/>
        </w:r>
        <w:r w:rsidR="00331C11">
          <w:rPr>
            <w:webHidden/>
          </w:rPr>
          <w:instrText xml:space="preserve"> PAGEREF _Toc493844258 \h </w:instrText>
        </w:r>
        <w:r w:rsidR="00331C11">
          <w:rPr>
            <w:webHidden/>
          </w:rPr>
        </w:r>
        <w:r w:rsidR="00331C11">
          <w:rPr>
            <w:webHidden/>
          </w:rPr>
          <w:fldChar w:fldCharType="separate"/>
        </w:r>
        <w:r w:rsidR="00331C11">
          <w:rPr>
            <w:webHidden/>
          </w:rPr>
          <w:t>90</w:t>
        </w:r>
        <w:r w:rsidR="00331C11">
          <w:rPr>
            <w:webHidden/>
          </w:rPr>
          <w:fldChar w:fldCharType="end"/>
        </w:r>
      </w:hyperlink>
    </w:p>
    <w:p w14:paraId="5213882A" w14:textId="77777777" w:rsidR="00331C11" w:rsidRDefault="001F72B3">
      <w:pPr>
        <w:pStyle w:val="TOC3"/>
        <w:rPr>
          <w:rFonts w:eastAsiaTheme="minorEastAsia" w:cstheme="minorBidi"/>
          <w:snapToGrid/>
          <w:sz w:val="22"/>
          <w:szCs w:val="22"/>
          <w:lang w:eastAsia="en-AU"/>
        </w:rPr>
      </w:pPr>
      <w:hyperlink w:anchor="_Toc493844259" w:history="1">
        <w:r w:rsidR="00331C11" w:rsidRPr="00357776">
          <w:rPr>
            <w:rStyle w:val="Hyperlink"/>
          </w:rPr>
          <w:t>8.3</w:t>
        </w:r>
        <w:r w:rsidR="00331C11">
          <w:rPr>
            <w:rFonts w:eastAsiaTheme="minorEastAsia" w:cstheme="minorBidi"/>
            <w:snapToGrid/>
            <w:sz w:val="22"/>
            <w:szCs w:val="22"/>
            <w:lang w:eastAsia="en-AU"/>
          </w:rPr>
          <w:tab/>
        </w:r>
        <w:r w:rsidR="00331C11" w:rsidRPr="00357776">
          <w:rPr>
            <w:rStyle w:val="Hyperlink"/>
          </w:rPr>
          <w:t>Parenting Payment recipients</w:t>
        </w:r>
        <w:r w:rsidR="00331C11">
          <w:rPr>
            <w:webHidden/>
          </w:rPr>
          <w:tab/>
        </w:r>
        <w:r w:rsidR="00331C11">
          <w:rPr>
            <w:webHidden/>
          </w:rPr>
          <w:fldChar w:fldCharType="begin"/>
        </w:r>
        <w:r w:rsidR="00331C11">
          <w:rPr>
            <w:webHidden/>
          </w:rPr>
          <w:instrText xml:space="preserve"> PAGEREF _Toc493844259 \h </w:instrText>
        </w:r>
        <w:r w:rsidR="00331C11">
          <w:rPr>
            <w:webHidden/>
          </w:rPr>
        </w:r>
        <w:r w:rsidR="00331C11">
          <w:rPr>
            <w:webHidden/>
          </w:rPr>
          <w:fldChar w:fldCharType="separate"/>
        </w:r>
        <w:r w:rsidR="00331C11">
          <w:rPr>
            <w:webHidden/>
          </w:rPr>
          <w:t>97</w:t>
        </w:r>
        <w:r w:rsidR="00331C11">
          <w:rPr>
            <w:webHidden/>
          </w:rPr>
          <w:fldChar w:fldCharType="end"/>
        </w:r>
      </w:hyperlink>
    </w:p>
    <w:p w14:paraId="525B87C7" w14:textId="77777777" w:rsidR="00331C11" w:rsidRDefault="001F72B3">
      <w:pPr>
        <w:pStyle w:val="TOC3"/>
        <w:rPr>
          <w:rFonts w:eastAsiaTheme="minorEastAsia" w:cstheme="minorBidi"/>
          <w:snapToGrid/>
          <w:sz w:val="22"/>
          <w:szCs w:val="22"/>
          <w:lang w:eastAsia="en-AU"/>
        </w:rPr>
      </w:pPr>
      <w:hyperlink w:anchor="_Toc493844260" w:history="1">
        <w:r w:rsidR="00331C11" w:rsidRPr="00357776">
          <w:rPr>
            <w:rStyle w:val="Hyperlink"/>
          </w:rPr>
          <w:t>8.4</w:t>
        </w:r>
        <w:r w:rsidR="00331C11">
          <w:rPr>
            <w:rFonts w:eastAsiaTheme="minorEastAsia" w:cstheme="minorBidi"/>
            <w:snapToGrid/>
            <w:sz w:val="22"/>
            <w:szCs w:val="22"/>
            <w:lang w:eastAsia="en-AU"/>
          </w:rPr>
          <w:tab/>
        </w:r>
        <w:r w:rsidR="00331C11" w:rsidRPr="00357776">
          <w:rPr>
            <w:rStyle w:val="Hyperlink"/>
          </w:rPr>
          <w:t>Carers (Income Support)</w:t>
        </w:r>
        <w:r w:rsidR="00331C11">
          <w:rPr>
            <w:webHidden/>
          </w:rPr>
          <w:tab/>
        </w:r>
        <w:r w:rsidR="00331C11">
          <w:rPr>
            <w:webHidden/>
          </w:rPr>
          <w:fldChar w:fldCharType="begin"/>
        </w:r>
        <w:r w:rsidR="00331C11">
          <w:rPr>
            <w:webHidden/>
          </w:rPr>
          <w:instrText xml:space="preserve"> PAGEREF _Toc493844260 \h </w:instrText>
        </w:r>
        <w:r w:rsidR="00331C11">
          <w:rPr>
            <w:webHidden/>
          </w:rPr>
        </w:r>
        <w:r w:rsidR="00331C11">
          <w:rPr>
            <w:webHidden/>
          </w:rPr>
          <w:fldChar w:fldCharType="separate"/>
        </w:r>
        <w:r w:rsidR="00331C11">
          <w:rPr>
            <w:webHidden/>
          </w:rPr>
          <w:t>103</w:t>
        </w:r>
        <w:r w:rsidR="00331C11">
          <w:rPr>
            <w:webHidden/>
          </w:rPr>
          <w:fldChar w:fldCharType="end"/>
        </w:r>
      </w:hyperlink>
    </w:p>
    <w:p w14:paraId="1C74B2F0" w14:textId="77777777" w:rsidR="00331C11" w:rsidRDefault="001F72B3">
      <w:pPr>
        <w:pStyle w:val="TOC3"/>
        <w:rPr>
          <w:rFonts w:eastAsiaTheme="minorEastAsia" w:cstheme="minorBidi"/>
          <w:snapToGrid/>
          <w:sz w:val="22"/>
          <w:szCs w:val="22"/>
          <w:lang w:eastAsia="en-AU"/>
        </w:rPr>
      </w:pPr>
      <w:hyperlink w:anchor="_Toc493844261" w:history="1">
        <w:r w:rsidR="00331C11" w:rsidRPr="00357776">
          <w:rPr>
            <w:rStyle w:val="Hyperlink"/>
          </w:rPr>
          <w:t>8.5</w:t>
        </w:r>
        <w:r w:rsidR="00331C11">
          <w:rPr>
            <w:rFonts w:eastAsiaTheme="minorEastAsia" w:cstheme="minorBidi"/>
            <w:snapToGrid/>
            <w:sz w:val="22"/>
            <w:szCs w:val="22"/>
            <w:lang w:eastAsia="en-AU"/>
          </w:rPr>
          <w:tab/>
        </w:r>
        <w:r w:rsidR="00331C11" w:rsidRPr="00357776">
          <w:rPr>
            <w:rStyle w:val="Hyperlink"/>
          </w:rPr>
          <w:t>Disability Support Pensioners</w:t>
        </w:r>
        <w:r w:rsidR="00331C11">
          <w:rPr>
            <w:webHidden/>
          </w:rPr>
          <w:tab/>
        </w:r>
        <w:r w:rsidR="00331C11">
          <w:rPr>
            <w:webHidden/>
          </w:rPr>
          <w:fldChar w:fldCharType="begin"/>
        </w:r>
        <w:r w:rsidR="00331C11">
          <w:rPr>
            <w:webHidden/>
          </w:rPr>
          <w:instrText xml:space="preserve"> PAGEREF _Toc493844261 \h </w:instrText>
        </w:r>
        <w:r w:rsidR="00331C11">
          <w:rPr>
            <w:webHidden/>
          </w:rPr>
        </w:r>
        <w:r w:rsidR="00331C11">
          <w:rPr>
            <w:webHidden/>
          </w:rPr>
          <w:fldChar w:fldCharType="separate"/>
        </w:r>
        <w:r w:rsidR="00331C11">
          <w:rPr>
            <w:webHidden/>
          </w:rPr>
          <w:t>109</w:t>
        </w:r>
        <w:r w:rsidR="00331C11">
          <w:rPr>
            <w:webHidden/>
          </w:rPr>
          <w:fldChar w:fldCharType="end"/>
        </w:r>
      </w:hyperlink>
    </w:p>
    <w:p w14:paraId="44016C44" w14:textId="77777777" w:rsidR="00331C11" w:rsidRDefault="001F72B3">
      <w:pPr>
        <w:pStyle w:val="TOC3"/>
        <w:rPr>
          <w:rFonts w:eastAsiaTheme="minorEastAsia" w:cstheme="minorBidi"/>
          <w:snapToGrid/>
          <w:sz w:val="22"/>
          <w:szCs w:val="22"/>
          <w:lang w:eastAsia="en-AU"/>
        </w:rPr>
      </w:pPr>
      <w:hyperlink w:anchor="_Toc493844262" w:history="1">
        <w:r w:rsidR="00331C11" w:rsidRPr="00357776">
          <w:rPr>
            <w:rStyle w:val="Hyperlink"/>
          </w:rPr>
          <w:t>8.6</w:t>
        </w:r>
        <w:r w:rsidR="00331C11">
          <w:rPr>
            <w:rFonts w:eastAsiaTheme="minorEastAsia" w:cstheme="minorBidi"/>
            <w:snapToGrid/>
            <w:sz w:val="22"/>
            <w:szCs w:val="22"/>
            <w:lang w:eastAsia="en-AU"/>
          </w:rPr>
          <w:tab/>
        </w:r>
        <w:r w:rsidR="00331C11" w:rsidRPr="00357776">
          <w:rPr>
            <w:rStyle w:val="Hyperlink"/>
          </w:rPr>
          <w:t>Age Pensioners</w:t>
        </w:r>
        <w:r w:rsidR="00331C11">
          <w:rPr>
            <w:webHidden/>
          </w:rPr>
          <w:tab/>
        </w:r>
        <w:r w:rsidR="00331C11">
          <w:rPr>
            <w:webHidden/>
          </w:rPr>
          <w:fldChar w:fldCharType="begin"/>
        </w:r>
        <w:r w:rsidR="00331C11">
          <w:rPr>
            <w:webHidden/>
          </w:rPr>
          <w:instrText xml:space="preserve"> PAGEREF _Toc493844262 \h </w:instrText>
        </w:r>
        <w:r w:rsidR="00331C11">
          <w:rPr>
            <w:webHidden/>
          </w:rPr>
        </w:r>
        <w:r w:rsidR="00331C11">
          <w:rPr>
            <w:webHidden/>
          </w:rPr>
          <w:fldChar w:fldCharType="separate"/>
        </w:r>
        <w:r w:rsidR="00331C11">
          <w:rPr>
            <w:webHidden/>
          </w:rPr>
          <w:t>116</w:t>
        </w:r>
        <w:r w:rsidR="00331C11">
          <w:rPr>
            <w:webHidden/>
          </w:rPr>
          <w:fldChar w:fldCharType="end"/>
        </w:r>
      </w:hyperlink>
    </w:p>
    <w:p w14:paraId="05A346B2" w14:textId="77777777" w:rsidR="00331C11" w:rsidRDefault="001F72B3">
      <w:pPr>
        <w:pStyle w:val="TOC2"/>
        <w:rPr>
          <w:rFonts w:eastAsiaTheme="minorEastAsia" w:cstheme="minorBidi"/>
          <w:b w:val="0"/>
          <w:snapToGrid/>
          <w:sz w:val="22"/>
          <w:szCs w:val="22"/>
          <w:lang w:eastAsia="en-AU"/>
        </w:rPr>
      </w:pPr>
      <w:hyperlink w:anchor="_Toc493844263" w:history="1">
        <w:r w:rsidR="00331C11" w:rsidRPr="00357776">
          <w:rPr>
            <w:rStyle w:val="Hyperlink"/>
          </w:rPr>
          <w:t>9</w:t>
        </w:r>
        <w:r w:rsidR="00331C11">
          <w:rPr>
            <w:rFonts w:eastAsiaTheme="minorEastAsia" w:cstheme="minorBidi"/>
            <w:b w:val="0"/>
            <w:snapToGrid/>
            <w:sz w:val="22"/>
            <w:szCs w:val="22"/>
            <w:lang w:eastAsia="en-AU"/>
          </w:rPr>
          <w:tab/>
        </w:r>
        <w:r w:rsidR="00331C11" w:rsidRPr="00357776">
          <w:rPr>
            <w:rStyle w:val="Hyperlink"/>
          </w:rPr>
          <w:t>Results for non-income support recipients</w:t>
        </w:r>
        <w:r w:rsidR="00331C11">
          <w:rPr>
            <w:webHidden/>
          </w:rPr>
          <w:tab/>
        </w:r>
        <w:r w:rsidR="00331C11">
          <w:rPr>
            <w:webHidden/>
          </w:rPr>
          <w:fldChar w:fldCharType="begin"/>
        </w:r>
        <w:r w:rsidR="00331C11">
          <w:rPr>
            <w:webHidden/>
          </w:rPr>
          <w:instrText xml:space="preserve"> PAGEREF _Toc493844263 \h </w:instrText>
        </w:r>
        <w:r w:rsidR="00331C11">
          <w:rPr>
            <w:webHidden/>
          </w:rPr>
        </w:r>
        <w:r w:rsidR="00331C11">
          <w:rPr>
            <w:webHidden/>
          </w:rPr>
          <w:fldChar w:fldCharType="separate"/>
        </w:r>
        <w:r w:rsidR="00331C11">
          <w:rPr>
            <w:webHidden/>
          </w:rPr>
          <w:t>121</w:t>
        </w:r>
        <w:r w:rsidR="00331C11">
          <w:rPr>
            <w:webHidden/>
          </w:rPr>
          <w:fldChar w:fldCharType="end"/>
        </w:r>
      </w:hyperlink>
    </w:p>
    <w:p w14:paraId="63DBD3E8" w14:textId="77777777" w:rsidR="00331C11" w:rsidRDefault="001F72B3">
      <w:pPr>
        <w:pStyle w:val="TOC3"/>
        <w:rPr>
          <w:rFonts w:eastAsiaTheme="minorEastAsia" w:cstheme="minorBidi"/>
          <w:snapToGrid/>
          <w:sz w:val="22"/>
          <w:szCs w:val="22"/>
          <w:lang w:eastAsia="en-AU"/>
        </w:rPr>
      </w:pPr>
      <w:hyperlink w:anchor="_Toc493844264" w:history="1">
        <w:r w:rsidR="00331C11" w:rsidRPr="00357776">
          <w:rPr>
            <w:rStyle w:val="Hyperlink"/>
          </w:rPr>
          <w:t>9.1</w:t>
        </w:r>
        <w:r w:rsidR="00331C11">
          <w:rPr>
            <w:rFonts w:eastAsiaTheme="minorEastAsia" w:cstheme="minorBidi"/>
            <w:snapToGrid/>
            <w:sz w:val="22"/>
            <w:szCs w:val="22"/>
            <w:lang w:eastAsia="en-AU"/>
          </w:rPr>
          <w:tab/>
        </w:r>
        <w:r w:rsidR="00331C11" w:rsidRPr="00357776">
          <w:rPr>
            <w:rStyle w:val="Hyperlink"/>
          </w:rPr>
          <w:t>Non income support – Family</w:t>
        </w:r>
        <w:r w:rsidR="00331C11">
          <w:rPr>
            <w:webHidden/>
          </w:rPr>
          <w:tab/>
        </w:r>
        <w:r w:rsidR="00331C11">
          <w:rPr>
            <w:webHidden/>
          </w:rPr>
          <w:fldChar w:fldCharType="begin"/>
        </w:r>
        <w:r w:rsidR="00331C11">
          <w:rPr>
            <w:webHidden/>
          </w:rPr>
          <w:instrText xml:space="preserve"> PAGEREF _Toc493844264 \h </w:instrText>
        </w:r>
        <w:r w:rsidR="00331C11">
          <w:rPr>
            <w:webHidden/>
          </w:rPr>
        </w:r>
        <w:r w:rsidR="00331C11">
          <w:rPr>
            <w:webHidden/>
          </w:rPr>
          <w:fldChar w:fldCharType="separate"/>
        </w:r>
        <w:r w:rsidR="00331C11">
          <w:rPr>
            <w:webHidden/>
          </w:rPr>
          <w:t>121</w:t>
        </w:r>
        <w:r w:rsidR="00331C11">
          <w:rPr>
            <w:webHidden/>
          </w:rPr>
          <w:fldChar w:fldCharType="end"/>
        </w:r>
      </w:hyperlink>
    </w:p>
    <w:p w14:paraId="035D62CC" w14:textId="77777777" w:rsidR="00331C11" w:rsidRDefault="001F72B3">
      <w:pPr>
        <w:pStyle w:val="TOC3"/>
        <w:rPr>
          <w:rFonts w:eastAsiaTheme="minorEastAsia" w:cstheme="minorBidi"/>
          <w:snapToGrid/>
          <w:sz w:val="22"/>
          <w:szCs w:val="22"/>
          <w:lang w:eastAsia="en-AU"/>
        </w:rPr>
      </w:pPr>
      <w:hyperlink w:anchor="_Toc493844265" w:history="1">
        <w:r w:rsidR="00331C11" w:rsidRPr="00357776">
          <w:rPr>
            <w:rStyle w:val="Hyperlink"/>
          </w:rPr>
          <w:t>9.2</w:t>
        </w:r>
        <w:r w:rsidR="00331C11">
          <w:rPr>
            <w:rFonts w:eastAsiaTheme="minorEastAsia" w:cstheme="minorBidi"/>
            <w:snapToGrid/>
            <w:sz w:val="22"/>
            <w:szCs w:val="22"/>
            <w:lang w:eastAsia="en-AU"/>
          </w:rPr>
          <w:tab/>
        </w:r>
        <w:r w:rsidR="00331C11" w:rsidRPr="00357776">
          <w:rPr>
            <w:rStyle w:val="Hyperlink"/>
          </w:rPr>
          <w:t>Non income support – Carers</w:t>
        </w:r>
        <w:r w:rsidR="00331C11">
          <w:rPr>
            <w:webHidden/>
          </w:rPr>
          <w:tab/>
        </w:r>
        <w:r w:rsidR="00331C11">
          <w:rPr>
            <w:webHidden/>
          </w:rPr>
          <w:fldChar w:fldCharType="begin"/>
        </w:r>
        <w:r w:rsidR="00331C11">
          <w:rPr>
            <w:webHidden/>
          </w:rPr>
          <w:instrText xml:space="preserve"> PAGEREF _Toc493844265 \h </w:instrText>
        </w:r>
        <w:r w:rsidR="00331C11">
          <w:rPr>
            <w:webHidden/>
          </w:rPr>
        </w:r>
        <w:r w:rsidR="00331C11">
          <w:rPr>
            <w:webHidden/>
          </w:rPr>
          <w:fldChar w:fldCharType="separate"/>
        </w:r>
        <w:r w:rsidR="00331C11">
          <w:rPr>
            <w:webHidden/>
          </w:rPr>
          <w:t>127</w:t>
        </w:r>
        <w:r w:rsidR="00331C11">
          <w:rPr>
            <w:webHidden/>
          </w:rPr>
          <w:fldChar w:fldCharType="end"/>
        </w:r>
      </w:hyperlink>
    </w:p>
    <w:p w14:paraId="30A3D4B9" w14:textId="77777777" w:rsidR="00331C11" w:rsidRDefault="001F72B3">
      <w:pPr>
        <w:pStyle w:val="TOC3"/>
        <w:rPr>
          <w:rFonts w:eastAsiaTheme="minorEastAsia" w:cstheme="minorBidi"/>
          <w:snapToGrid/>
          <w:sz w:val="22"/>
          <w:szCs w:val="22"/>
          <w:lang w:eastAsia="en-AU"/>
        </w:rPr>
      </w:pPr>
      <w:hyperlink w:anchor="_Toc493844266" w:history="1">
        <w:r w:rsidR="00331C11" w:rsidRPr="00357776">
          <w:rPr>
            <w:rStyle w:val="Hyperlink"/>
          </w:rPr>
          <w:t>9.3</w:t>
        </w:r>
        <w:r w:rsidR="00331C11">
          <w:rPr>
            <w:rFonts w:eastAsiaTheme="minorEastAsia" w:cstheme="minorBidi"/>
            <w:snapToGrid/>
            <w:sz w:val="22"/>
            <w:szCs w:val="22"/>
            <w:lang w:eastAsia="en-AU"/>
          </w:rPr>
          <w:tab/>
        </w:r>
        <w:r w:rsidR="00331C11" w:rsidRPr="00357776">
          <w:rPr>
            <w:rStyle w:val="Hyperlink"/>
          </w:rPr>
          <w:t>Non income support – Other</w:t>
        </w:r>
        <w:r w:rsidR="00331C11">
          <w:rPr>
            <w:webHidden/>
          </w:rPr>
          <w:tab/>
        </w:r>
        <w:r w:rsidR="00331C11">
          <w:rPr>
            <w:webHidden/>
          </w:rPr>
          <w:fldChar w:fldCharType="begin"/>
        </w:r>
        <w:r w:rsidR="00331C11">
          <w:rPr>
            <w:webHidden/>
          </w:rPr>
          <w:instrText xml:space="preserve"> PAGEREF _Toc493844266 \h </w:instrText>
        </w:r>
        <w:r w:rsidR="00331C11">
          <w:rPr>
            <w:webHidden/>
          </w:rPr>
        </w:r>
        <w:r w:rsidR="00331C11">
          <w:rPr>
            <w:webHidden/>
          </w:rPr>
          <w:fldChar w:fldCharType="separate"/>
        </w:r>
        <w:r w:rsidR="00331C11">
          <w:rPr>
            <w:webHidden/>
          </w:rPr>
          <w:t>133</w:t>
        </w:r>
        <w:r w:rsidR="00331C11">
          <w:rPr>
            <w:webHidden/>
          </w:rPr>
          <w:fldChar w:fldCharType="end"/>
        </w:r>
      </w:hyperlink>
    </w:p>
    <w:p w14:paraId="182481EB" w14:textId="77777777" w:rsidR="00331C11" w:rsidRDefault="001F72B3">
      <w:pPr>
        <w:pStyle w:val="TOC2"/>
        <w:rPr>
          <w:rFonts w:eastAsiaTheme="minorEastAsia" w:cstheme="minorBidi"/>
          <w:b w:val="0"/>
          <w:snapToGrid/>
          <w:sz w:val="22"/>
          <w:szCs w:val="22"/>
          <w:lang w:eastAsia="en-AU"/>
        </w:rPr>
      </w:pPr>
      <w:hyperlink w:anchor="_Toc493844267" w:history="1">
        <w:r w:rsidR="00331C11" w:rsidRPr="00357776">
          <w:rPr>
            <w:rStyle w:val="Hyperlink"/>
          </w:rPr>
          <w:t>10</w:t>
        </w:r>
        <w:r w:rsidR="00331C11">
          <w:rPr>
            <w:rFonts w:eastAsiaTheme="minorEastAsia" w:cstheme="minorBidi"/>
            <w:b w:val="0"/>
            <w:snapToGrid/>
            <w:sz w:val="22"/>
            <w:szCs w:val="22"/>
            <w:lang w:eastAsia="en-AU"/>
          </w:rPr>
          <w:tab/>
        </w:r>
        <w:r w:rsidR="00331C11" w:rsidRPr="00357776">
          <w:rPr>
            <w:rStyle w:val="Hyperlink"/>
          </w:rPr>
          <w:t>Results for non-welfare recipients</w:t>
        </w:r>
        <w:r w:rsidR="00331C11">
          <w:rPr>
            <w:webHidden/>
          </w:rPr>
          <w:tab/>
        </w:r>
        <w:r w:rsidR="00331C11">
          <w:rPr>
            <w:webHidden/>
          </w:rPr>
          <w:fldChar w:fldCharType="begin"/>
        </w:r>
        <w:r w:rsidR="00331C11">
          <w:rPr>
            <w:webHidden/>
          </w:rPr>
          <w:instrText xml:space="preserve"> PAGEREF _Toc493844267 \h </w:instrText>
        </w:r>
        <w:r w:rsidR="00331C11">
          <w:rPr>
            <w:webHidden/>
          </w:rPr>
        </w:r>
        <w:r w:rsidR="00331C11">
          <w:rPr>
            <w:webHidden/>
          </w:rPr>
          <w:fldChar w:fldCharType="separate"/>
        </w:r>
        <w:r w:rsidR="00331C11">
          <w:rPr>
            <w:webHidden/>
          </w:rPr>
          <w:t>140</w:t>
        </w:r>
        <w:r w:rsidR="00331C11">
          <w:rPr>
            <w:webHidden/>
          </w:rPr>
          <w:fldChar w:fldCharType="end"/>
        </w:r>
      </w:hyperlink>
    </w:p>
    <w:p w14:paraId="4B98DD80" w14:textId="77777777" w:rsidR="00331C11" w:rsidRDefault="001F72B3">
      <w:pPr>
        <w:pStyle w:val="TOC3"/>
        <w:rPr>
          <w:rFonts w:eastAsiaTheme="minorEastAsia" w:cstheme="minorBidi"/>
          <w:snapToGrid/>
          <w:sz w:val="22"/>
          <w:szCs w:val="22"/>
          <w:lang w:eastAsia="en-AU"/>
        </w:rPr>
      </w:pPr>
      <w:hyperlink w:anchor="_Toc493844268" w:history="1">
        <w:r w:rsidR="00331C11" w:rsidRPr="00357776">
          <w:rPr>
            <w:rStyle w:val="Hyperlink"/>
          </w:rPr>
          <w:t>10.1</w:t>
        </w:r>
        <w:r w:rsidR="00331C11">
          <w:rPr>
            <w:rFonts w:eastAsiaTheme="minorEastAsia" w:cstheme="minorBidi"/>
            <w:snapToGrid/>
            <w:sz w:val="22"/>
            <w:szCs w:val="22"/>
            <w:lang w:eastAsia="en-AU"/>
          </w:rPr>
          <w:tab/>
        </w:r>
        <w:r w:rsidR="00331C11" w:rsidRPr="00357776">
          <w:rPr>
            <w:rStyle w:val="Hyperlink"/>
          </w:rPr>
          <w:t>Previous welfare recipients</w:t>
        </w:r>
        <w:r w:rsidR="00331C11">
          <w:rPr>
            <w:webHidden/>
          </w:rPr>
          <w:tab/>
        </w:r>
        <w:r w:rsidR="00331C11">
          <w:rPr>
            <w:webHidden/>
          </w:rPr>
          <w:fldChar w:fldCharType="begin"/>
        </w:r>
        <w:r w:rsidR="00331C11">
          <w:rPr>
            <w:webHidden/>
          </w:rPr>
          <w:instrText xml:space="preserve"> PAGEREF _Toc493844268 \h </w:instrText>
        </w:r>
        <w:r w:rsidR="00331C11">
          <w:rPr>
            <w:webHidden/>
          </w:rPr>
        </w:r>
        <w:r w:rsidR="00331C11">
          <w:rPr>
            <w:webHidden/>
          </w:rPr>
          <w:fldChar w:fldCharType="separate"/>
        </w:r>
        <w:r w:rsidR="00331C11">
          <w:rPr>
            <w:webHidden/>
          </w:rPr>
          <w:t>140</w:t>
        </w:r>
        <w:r w:rsidR="00331C11">
          <w:rPr>
            <w:webHidden/>
          </w:rPr>
          <w:fldChar w:fldCharType="end"/>
        </w:r>
      </w:hyperlink>
    </w:p>
    <w:p w14:paraId="42765C21" w14:textId="77777777" w:rsidR="00331C11" w:rsidRDefault="001F72B3">
      <w:pPr>
        <w:pStyle w:val="TOC3"/>
        <w:rPr>
          <w:rFonts w:eastAsiaTheme="minorEastAsia" w:cstheme="minorBidi"/>
          <w:snapToGrid/>
          <w:sz w:val="22"/>
          <w:szCs w:val="22"/>
          <w:lang w:eastAsia="en-AU"/>
        </w:rPr>
      </w:pPr>
      <w:hyperlink w:anchor="_Toc493844269" w:history="1">
        <w:r w:rsidR="00331C11" w:rsidRPr="00357776">
          <w:rPr>
            <w:rStyle w:val="Hyperlink"/>
          </w:rPr>
          <w:t>10.2</w:t>
        </w:r>
        <w:r w:rsidR="00331C11">
          <w:rPr>
            <w:rFonts w:eastAsiaTheme="minorEastAsia" w:cstheme="minorBidi"/>
            <w:snapToGrid/>
            <w:sz w:val="22"/>
            <w:szCs w:val="22"/>
            <w:lang w:eastAsia="en-AU"/>
          </w:rPr>
          <w:tab/>
        </w:r>
        <w:r w:rsidR="00331C11" w:rsidRPr="00357776">
          <w:rPr>
            <w:rStyle w:val="Hyperlink"/>
          </w:rPr>
          <w:t>Rest of the Australian population</w:t>
        </w:r>
        <w:r w:rsidR="00331C11">
          <w:rPr>
            <w:webHidden/>
          </w:rPr>
          <w:tab/>
        </w:r>
        <w:r w:rsidR="00331C11">
          <w:rPr>
            <w:webHidden/>
          </w:rPr>
          <w:fldChar w:fldCharType="begin"/>
        </w:r>
        <w:r w:rsidR="00331C11">
          <w:rPr>
            <w:webHidden/>
          </w:rPr>
          <w:instrText xml:space="preserve"> PAGEREF _Toc493844269 \h </w:instrText>
        </w:r>
        <w:r w:rsidR="00331C11">
          <w:rPr>
            <w:webHidden/>
          </w:rPr>
        </w:r>
        <w:r w:rsidR="00331C11">
          <w:rPr>
            <w:webHidden/>
          </w:rPr>
          <w:fldChar w:fldCharType="separate"/>
        </w:r>
        <w:r w:rsidR="00331C11">
          <w:rPr>
            <w:webHidden/>
          </w:rPr>
          <w:t>145</w:t>
        </w:r>
        <w:r w:rsidR="00331C11">
          <w:rPr>
            <w:webHidden/>
          </w:rPr>
          <w:fldChar w:fldCharType="end"/>
        </w:r>
      </w:hyperlink>
    </w:p>
    <w:p w14:paraId="51B935A7" w14:textId="77777777" w:rsidR="00331C11" w:rsidRDefault="001F72B3">
      <w:pPr>
        <w:pStyle w:val="TOC2"/>
        <w:rPr>
          <w:rFonts w:eastAsiaTheme="minorEastAsia" w:cstheme="minorBidi"/>
          <w:b w:val="0"/>
          <w:snapToGrid/>
          <w:sz w:val="22"/>
          <w:szCs w:val="22"/>
          <w:lang w:eastAsia="en-AU"/>
        </w:rPr>
      </w:pPr>
      <w:hyperlink w:anchor="_Toc493844270" w:history="1">
        <w:r w:rsidR="00331C11" w:rsidRPr="00357776">
          <w:rPr>
            <w:rStyle w:val="Hyperlink"/>
          </w:rPr>
          <w:t>11</w:t>
        </w:r>
        <w:r w:rsidR="00331C11">
          <w:rPr>
            <w:rFonts w:eastAsiaTheme="minorEastAsia" w:cstheme="minorBidi"/>
            <w:b w:val="0"/>
            <w:snapToGrid/>
            <w:sz w:val="22"/>
            <w:szCs w:val="22"/>
            <w:lang w:eastAsia="en-AU"/>
          </w:rPr>
          <w:tab/>
        </w:r>
        <w:r w:rsidR="00331C11" w:rsidRPr="00357776">
          <w:rPr>
            <w:rStyle w:val="Hyperlink"/>
          </w:rPr>
          <w:t>Dynamics of the system</w:t>
        </w:r>
        <w:r w:rsidR="00331C11">
          <w:rPr>
            <w:webHidden/>
          </w:rPr>
          <w:tab/>
        </w:r>
        <w:r w:rsidR="00331C11">
          <w:rPr>
            <w:webHidden/>
          </w:rPr>
          <w:fldChar w:fldCharType="begin"/>
        </w:r>
        <w:r w:rsidR="00331C11">
          <w:rPr>
            <w:webHidden/>
          </w:rPr>
          <w:instrText xml:space="preserve"> PAGEREF _Toc493844270 \h </w:instrText>
        </w:r>
        <w:r w:rsidR="00331C11">
          <w:rPr>
            <w:webHidden/>
          </w:rPr>
        </w:r>
        <w:r w:rsidR="00331C11">
          <w:rPr>
            <w:webHidden/>
          </w:rPr>
          <w:fldChar w:fldCharType="separate"/>
        </w:r>
        <w:r w:rsidR="00331C11">
          <w:rPr>
            <w:webHidden/>
          </w:rPr>
          <w:t>150</w:t>
        </w:r>
        <w:r w:rsidR="00331C11">
          <w:rPr>
            <w:webHidden/>
          </w:rPr>
          <w:fldChar w:fldCharType="end"/>
        </w:r>
      </w:hyperlink>
    </w:p>
    <w:p w14:paraId="494C3570" w14:textId="77777777" w:rsidR="00331C11" w:rsidRDefault="001F72B3">
      <w:pPr>
        <w:pStyle w:val="TOC3"/>
        <w:rPr>
          <w:rFonts w:eastAsiaTheme="minorEastAsia" w:cstheme="minorBidi"/>
          <w:snapToGrid/>
          <w:sz w:val="22"/>
          <w:szCs w:val="22"/>
          <w:lang w:eastAsia="en-AU"/>
        </w:rPr>
      </w:pPr>
      <w:hyperlink w:anchor="_Toc493844271" w:history="1">
        <w:r w:rsidR="00331C11" w:rsidRPr="00357776">
          <w:rPr>
            <w:rStyle w:val="Hyperlink"/>
          </w:rPr>
          <w:t>11.1</w:t>
        </w:r>
        <w:r w:rsidR="00331C11">
          <w:rPr>
            <w:rFonts w:eastAsiaTheme="minorEastAsia" w:cstheme="minorBidi"/>
            <w:snapToGrid/>
            <w:sz w:val="22"/>
            <w:szCs w:val="22"/>
            <w:lang w:eastAsia="en-AU"/>
          </w:rPr>
          <w:tab/>
        </w:r>
        <w:r w:rsidR="00331C11" w:rsidRPr="00357776">
          <w:rPr>
            <w:rStyle w:val="Hyperlink"/>
          </w:rPr>
          <w:t>Introduction</w:t>
        </w:r>
        <w:r w:rsidR="00331C11">
          <w:rPr>
            <w:webHidden/>
          </w:rPr>
          <w:tab/>
        </w:r>
        <w:r w:rsidR="00331C11">
          <w:rPr>
            <w:webHidden/>
          </w:rPr>
          <w:fldChar w:fldCharType="begin"/>
        </w:r>
        <w:r w:rsidR="00331C11">
          <w:rPr>
            <w:webHidden/>
          </w:rPr>
          <w:instrText xml:space="preserve"> PAGEREF _Toc493844271 \h </w:instrText>
        </w:r>
        <w:r w:rsidR="00331C11">
          <w:rPr>
            <w:webHidden/>
          </w:rPr>
        </w:r>
        <w:r w:rsidR="00331C11">
          <w:rPr>
            <w:webHidden/>
          </w:rPr>
          <w:fldChar w:fldCharType="separate"/>
        </w:r>
        <w:r w:rsidR="00331C11">
          <w:rPr>
            <w:webHidden/>
          </w:rPr>
          <w:t>150</w:t>
        </w:r>
        <w:r w:rsidR="00331C11">
          <w:rPr>
            <w:webHidden/>
          </w:rPr>
          <w:fldChar w:fldCharType="end"/>
        </w:r>
      </w:hyperlink>
    </w:p>
    <w:p w14:paraId="0BAAE780" w14:textId="77777777" w:rsidR="00331C11" w:rsidRDefault="001F72B3">
      <w:pPr>
        <w:pStyle w:val="TOC3"/>
        <w:rPr>
          <w:rFonts w:eastAsiaTheme="minorEastAsia" w:cstheme="minorBidi"/>
          <w:snapToGrid/>
          <w:sz w:val="22"/>
          <w:szCs w:val="22"/>
          <w:lang w:eastAsia="en-AU"/>
        </w:rPr>
      </w:pPr>
      <w:hyperlink w:anchor="_Toc493844272" w:history="1">
        <w:r w:rsidR="00331C11" w:rsidRPr="00357776">
          <w:rPr>
            <w:rStyle w:val="Hyperlink"/>
          </w:rPr>
          <w:t>11.2</w:t>
        </w:r>
        <w:r w:rsidR="00331C11">
          <w:rPr>
            <w:rFonts w:eastAsiaTheme="minorEastAsia" w:cstheme="minorBidi"/>
            <w:snapToGrid/>
            <w:sz w:val="22"/>
            <w:szCs w:val="22"/>
            <w:lang w:eastAsia="en-AU"/>
          </w:rPr>
          <w:tab/>
        </w:r>
        <w:r w:rsidR="00331C11" w:rsidRPr="00357776">
          <w:rPr>
            <w:rStyle w:val="Hyperlink"/>
          </w:rPr>
          <w:t>New entrants</w:t>
        </w:r>
        <w:r w:rsidR="00331C11">
          <w:rPr>
            <w:webHidden/>
          </w:rPr>
          <w:tab/>
        </w:r>
        <w:r w:rsidR="00331C11">
          <w:rPr>
            <w:webHidden/>
          </w:rPr>
          <w:fldChar w:fldCharType="begin"/>
        </w:r>
        <w:r w:rsidR="00331C11">
          <w:rPr>
            <w:webHidden/>
          </w:rPr>
          <w:instrText xml:space="preserve"> PAGEREF _Toc493844272 \h </w:instrText>
        </w:r>
        <w:r w:rsidR="00331C11">
          <w:rPr>
            <w:webHidden/>
          </w:rPr>
        </w:r>
        <w:r w:rsidR="00331C11">
          <w:rPr>
            <w:webHidden/>
          </w:rPr>
          <w:fldChar w:fldCharType="separate"/>
        </w:r>
        <w:r w:rsidR="00331C11">
          <w:rPr>
            <w:webHidden/>
          </w:rPr>
          <w:t>150</w:t>
        </w:r>
        <w:r w:rsidR="00331C11">
          <w:rPr>
            <w:webHidden/>
          </w:rPr>
          <w:fldChar w:fldCharType="end"/>
        </w:r>
      </w:hyperlink>
    </w:p>
    <w:p w14:paraId="367FDCDD" w14:textId="77777777" w:rsidR="00331C11" w:rsidRDefault="001F72B3">
      <w:pPr>
        <w:pStyle w:val="TOC3"/>
        <w:rPr>
          <w:rFonts w:eastAsiaTheme="minorEastAsia" w:cstheme="minorBidi"/>
          <w:snapToGrid/>
          <w:sz w:val="22"/>
          <w:szCs w:val="22"/>
          <w:lang w:eastAsia="en-AU"/>
        </w:rPr>
      </w:pPr>
      <w:hyperlink w:anchor="_Toc493844273" w:history="1">
        <w:r w:rsidR="00331C11" w:rsidRPr="00357776">
          <w:rPr>
            <w:rStyle w:val="Hyperlink"/>
          </w:rPr>
          <w:t>11.3</w:t>
        </w:r>
        <w:r w:rsidR="00331C11">
          <w:rPr>
            <w:rFonts w:eastAsiaTheme="minorEastAsia" w:cstheme="minorBidi"/>
            <w:snapToGrid/>
            <w:sz w:val="22"/>
            <w:szCs w:val="22"/>
            <w:lang w:eastAsia="en-AU"/>
          </w:rPr>
          <w:tab/>
        </w:r>
        <w:r w:rsidR="00331C11" w:rsidRPr="00357776">
          <w:rPr>
            <w:rStyle w:val="Hyperlink"/>
          </w:rPr>
          <w:t>Exits from the system</w:t>
        </w:r>
        <w:r w:rsidR="00331C11">
          <w:rPr>
            <w:webHidden/>
          </w:rPr>
          <w:tab/>
        </w:r>
        <w:r w:rsidR="00331C11">
          <w:rPr>
            <w:webHidden/>
          </w:rPr>
          <w:fldChar w:fldCharType="begin"/>
        </w:r>
        <w:r w:rsidR="00331C11">
          <w:rPr>
            <w:webHidden/>
          </w:rPr>
          <w:instrText xml:space="preserve"> PAGEREF _Toc493844273 \h </w:instrText>
        </w:r>
        <w:r w:rsidR="00331C11">
          <w:rPr>
            <w:webHidden/>
          </w:rPr>
        </w:r>
        <w:r w:rsidR="00331C11">
          <w:rPr>
            <w:webHidden/>
          </w:rPr>
          <w:fldChar w:fldCharType="separate"/>
        </w:r>
        <w:r w:rsidR="00331C11">
          <w:rPr>
            <w:webHidden/>
          </w:rPr>
          <w:t>153</w:t>
        </w:r>
        <w:r w:rsidR="00331C11">
          <w:rPr>
            <w:webHidden/>
          </w:rPr>
          <w:fldChar w:fldCharType="end"/>
        </w:r>
      </w:hyperlink>
    </w:p>
    <w:p w14:paraId="6248C913" w14:textId="77777777" w:rsidR="00331C11" w:rsidRDefault="001F72B3">
      <w:pPr>
        <w:pStyle w:val="TOC3"/>
        <w:rPr>
          <w:rFonts w:eastAsiaTheme="minorEastAsia" w:cstheme="minorBidi"/>
          <w:snapToGrid/>
          <w:sz w:val="22"/>
          <w:szCs w:val="22"/>
          <w:lang w:eastAsia="en-AU"/>
        </w:rPr>
      </w:pPr>
      <w:hyperlink w:anchor="_Toc493844274" w:history="1">
        <w:r w:rsidR="00331C11" w:rsidRPr="00357776">
          <w:rPr>
            <w:rStyle w:val="Hyperlink"/>
          </w:rPr>
          <w:t>11.4</w:t>
        </w:r>
        <w:r w:rsidR="00331C11">
          <w:rPr>
            <w:rFonts w:eastAsiaTheme="minorEastAsia" w:cstheme="minorBidi"/>
            <w:snapToGrid/>
            <w:sz w:val="22"/>
            <w:szCs w:val="22"/>
            <w:lang w:eastAsia="en-AU"/>
          </w:rPr>
          <w:tab/>
        </w:r>
        <w:r w:rsidR="00331C11" w:rsidRPr="00357776">
          <w:rPr>
            <w:rStyle w:val="Hyperlink"/>
          </w:rPr>
          <w:t>Trajectories through the system</w:t>
        </w:r>
        <w:r w:rsidR="00331C11">
          <w:rPr>
            <w:webHidden/>
          </w:rPr>
          <w:tab/>
        </w:r>
        <w:r w:rsidR="00331C11">
          <w:rPr>
            <w:webHidden/>
          </w:rPr>
          <w:fldChar w:fldCharType="begin"/>
        </w:r>
        <w:r w:rsidR="00331C11">
          <w:rPr>
            <w:webHidden/>
          </w:rPr>
          <w:instrText xml:space="preserve"> PAGEREF _Toc493844274 \h </w:instrText>
        </w:r>
        <w:r w:rsidR="00331C11">
          <w:rPr>
            <w:webHidden/>
          </w:rPr>
        </w:r>
        <w:r w:rsidR="00331C11">
          <w:rPr>
            <w:webHidden/>
          </w:rPr>
          <w:fldChar w:fldCharType="separate"/>
        </w:r>
        <w:r w:rsidR="00331C11">
          <w:rPr>
            <w:webHidden/>
          </w:rPr>
          <w:t>154</w:t>
        </w:r>
        <w:r w:rsidR="00331C11">
          <w:rPr>
            <w:webHidden/>
          </w:rPr>
          <w:fldChar w:fldCharType="end"/>
        </w:r>
      </w:hyperlink>
    </w:p>
    <w:p w14:paraId="1D56BFFC" w14:textId="77777777" w:rsidR="00331C11" w:rsidRDefault="001F72B3">
      <w:pPr>
        <w:pStyle w:val="TOC2"/>
        <w:rPr>
          <w:rFonts w:eastAsiaTheme="minorEastAsia" w:cstheme="minorBidi"/>
          <w:b w:val="0"/>
          <w:snapToGrid/>
          <w:sz w:val="22"/>
          <w:szCs w:val="22"/>
          <w:lang w:eastAsia="en-AU"/>
        </w:rPr>
      </w:pPr>
      <w:hyperlink w:anchor="_Toc493844275" w:history="1">
        <w:r w:rsidR="00331C11" w:rsidRPr="00357776">
          <w:rPr>
            <w:rStyle w:val="Hyperlink"/>
          </w:rPr>
          <w:t>12</w:t>
        </w:r>
        <w:r w:rsidR="00331C11">
          <w:rPr>
            <w:rFonts w:eastAsiaTheme="minorEastAsia" w:cstheme="minorBidi"/>
            <w:b w:val="0"/>
            <w:snapToGrid/>
            <w:sz w:val="22"/>
            <w:szCs w:val="22"/>
            <w:lang w:eastAsia="en-AU"/>
          </w:rPr>
          <w:tab/>
        </w:r>
        <w:r w:rsidR="00331C11" w:rsidRPr="00357776">
          <w:rPr>
            <w:rStyle w:val="Hyperlink"/>
          </w:rPr>
          <w:t>Forecasts</w:t>
        </w:r>
        <w:r w:rsidR="00331C11">
          <w:rPr>
            <w:webHidden/>
          </w:rPr>
          <w:tab/>
        </w:r>
        <w:r w:rsidR="00331C11">
          <w:rPr>
            <w:webHidden/>
          </w:rPr>
          <w:fldChar w:fldCharType="begin"/>
        </w:r>
        <w:r w:rsidR="00331C11">
          <w:rPr>
            <w:webHidden/>
          </w:rPr>
          <w:instrText xml:space="preserve"> PAGEREF _Toc493844275 \h </w:instrText>
        </w:r>
        <w:r w:rsidR="00331C11">
          <w:rPr>
            <w:webHidden/>
          </w:rPr>
        </w:r>
        <w:r w:rsidR="00331C11">
          <w:rPr>
            <w:webHidden/>
          </w:rPr>
          <w:fldChar w:fldCharType="separate"/>
        </w:r>
        <w:r w:rsidR="00331C11">
          <w:rPr>
            <w:webHidden/>
          </w:rPr>
          <w:t>156</w:t>
        </w:r>
        <w:r w:rsidR="00331C11">
          <w:rPr>
            <w:webHidden/>
          </w:rPr>
          <w:fldChar w:fldCharType="end"/>
        </w:r>
      </w:hyperlink>
    </w:p>
    <w:p w14:paraId="240FF779" w14:textId="77777777" w:rsidR="00331C11" w:rsidRDefault="001F72B3">
      <w:pPr>
        <w:pStyle w:val="TOC3"/>
        <w:rPr>
          <w:rFonts w:eastAsiaTheme="minorEastAsia" w:cstheme="minorBidi"/>
          <w:snapToGrid/>
          <w:sz w:val="22"/>
          <w:szCs w:val="22"/>
          <w:lang w:eastAsia="en-AU"/>
        </w:rPr>
      </w:pPr>
      <w:hyperlink w:anchor="_Toc493844276" w:history="1">
        <w:r w:rsidR="00331C11" w:rsidRPr="00357776">
          <w:rPr>
            <w:rStyle w:val="Hyperlink"/>
          </w:rPr>
          <w:t>12.1</w:t>
        </w:r>
        <w:r w:rsidR="00331C11">
          <w:rPr>
            <w:rFonts w:eastAsiaTheme="minorEastAsia" w:cstheme="minorBidi"/>
            <w:snapToGrid/>
            <w:sz w:val="22"/>
            <w:szCs w:val="22"/>
            <w:lang w:eastAsia="en-AU"/>
          </w:rPr>
          <w:tab/>
        </w:r>
        <w:r w:rsidR="00331C11" w:rsidRPr="00357776">
          <w:rPr>
            <w:rStyle w:val="Hyperlink"/>
          </w:rPr>
          <w:t>Lifetime cost forecasts</w:t>
        </w:r>
        <w:r w:rsidR="00331C11">
          <w:rPr>
            <w:webHidden/>
          </w:rPr>
          <w:tab/>
        </w:r>
        <w:r w:rsidR="00331C11">
          <w:rPr>
            <w:webHidden/>
          </w:rPr>
          <w:fldChar w:fldCharType="begin"/>
        </w:r>
        <w:r w:rsidR="00331C11">
          <w:rPr>
            <w:webHidden/>
          </w:rPr>
          <w:instrText xml:space="preserve"> PAGEREF _Toc493844276 \h </w:instrText>
        </w:r>
        <w:r w:rsidR="00331C11">
          <w:rPr>
            <w:webHidden/>
          </w:rPr>
        </w:r>
        <w:r w:rsidR="00331C11">
          <w:rPr>
            <w:webHidden/>
          </w:rPr>
          <w:fldChar w:fldCharType="separate"/>
        </w:r>
        <w:r w:rsidR="00331C11">
          <w:rPr>
            <w:webHidden/>
          </w:rPr>
          <w:t>156</w:t>
        </w:r>
        <w:r w:rsidR="00331C11">
          <w:rPr>
            <w:webHidden/>
          </w:rPr>
          <w:fldChar w:fldCharType="end"/>
        </w:r>
      </w:hyperlink>
    </w:p>
    <w:p w14:paraId="13959708" w14:textId="77777777" w:rsidR="00331C11" w:rsidRDefault="001F72B3">
      <w:pPr>
        <w:pStyle w:val="TOC3"/>
        <w:rPr>
          <w:rFonts w:eastAsiaTheme="minorEastAsia" w:cstheme="minorBidi"/>
          <w:snapToGrid/>
          <w:sz w:val="22"/>
          <w:szCs w:val="22"/>
          <w:lang w:eastAsia="en-AU"/>
        </w:rPr>
      </w:pPr>
      <w:hyperlink w:anchor="_Toc493844277" w:history="1">
        <w:r w:rsidR="00331C11" w:rsidRPr="00357776">
          <w:rPr>
            <w:rStyle w:val="Hyperlink"/>
          </w:rPr>
          <w:t>12.2</w:t>
        </w:r>
        <w:r w:rsidR="00331C11">
          <w:rPr>
            <w:rFonts w:eastAsiaTheme="minorEastAsia" w:cstheme="minorBidi"/>
            <w:snapToGrid/>
            <w:sz w:val="22"/>
            <w:szCs w:val="22"/>
            <w:lang w:eastAsia="en-AU"/>
          </w:rPr>
          <w:tab/>
        </w:r>
        <w:r w:rsidR="00331C11" w:rsidRPr="00357776">
          <w:rPr>
            <w:rStyle w:val="Hyperlink"/>
          </w:rPr>
          <w:t>Forecasts of other information</w:t>
        </w:r>
        <w:r w:rsidR="00331C11">
          <w:rPr>
            <w:webHidden/>
          </w:rPr>
          <w:tab/>
        </w:r>
        <w:r w:rsidR="00331C11">
          <w:rPr>
            <w:webHidden/>
          </w:rPr>
          <w:fldChar w:fldCharType="begin"/>
        </w:r>
        <w:r w:rsidR="00331C11">
          <w:rPr>
            <w:webHidden/>
          </w:rPr>
          <w:instrText xml:space="preserve"> PAGEREF _Toc493844277 \h </w:instrText>
        </w:r>
        <w:r w:rsidR="00331C11">
          <w:rPr>
            <w:webHidden/>
          </w:rPr>
        </w:r>
        <w:r w:rsidR="00331C11">
          <w:rPr>
            <w:webHidden/>
          </w:rPr>
          <w:fldChar w:fldCharType="separate"/>
        </w:r>
        <w:r w:rsidR="00331C11">
          <w:rPr>
            <w:webHidden/>
          </w:rPr>
          <w:t>157</w:t>
        </w:r>
        <w:r w:rsidR="00331C11">
          <w:rPr>
            <w:webHidden/>
          </w:rPr>
          <w:fldChar w:fldCharType="end"/>
        </w:r>
      </w:hyperlink>
    </w:p>
    <w:p w14:paraId="6CCFB89D" w14:textId="77777777" w:rsidR="00331C11" w:rsidRDefault="001F72B3">
      <w:pPr>
        <w:pStyle w:val="TOC2"/>
        <w:rPr>
          <w:rFonts w:eastAsiaTheme="minorEastAsia" w:cstheme="minorBidi"/>
          <w:b w:val="0"/>
          <w:snapToGrid/>
          <w:sz w:val="22"/>
          <w:szCs w:val="22"/>
          <w:lang w:eastAsia="en-AU"/>
        </w:rPr>
      </w:pPr>
      <w:hyperlink w:anchor="_Toc493844278" w:history="1">
        <w:r w:rsidR="00331C11" w:rsidRPr="00357776">
          <w:rPr>
            <w:rStyle w:val="Hyperlink"/>
          </w:rPr>
          <w:t>13</w:t>
        </w:r>
        <w:r w:rsidR="00331C11">
          <w:rPr>
            <w:rFonts w:eastAsiaTheme="minorEastAsia" w:cstheme="minorBidi"/>
            <w:b w:val="0"/>
            <w:snapToGrid/>
            <w:sz w:val="22"/>
            <w:szCs w:val="22"/>
            <w:lang w:eastAsia="en-AU"/>
          </w:rPr>
          <w:tab/>
        </w:r>
        <w:r w:rsidR="00331C11" w:rsidRPr="00357776">
          <w:rPr>
            <w:rStyle w:val="Hyperlink"/>
          </w:rPr>
          <w:t>Groups of interest</w:t>
        </w:r>
        <w:r w:rsidR="00331C11">
          <w:rPr>
            <w:webHidden/>
          </w:rPr>
          <w:tab/>
        </w:r>
        <w:r w:rsidR="00331C11">
          <w:rPr>
            <w:webHidden/>
          </w:rPr>
          <w:fldChar w:fldCharType="begin"/>
        </w:r>
        <w:r w:rsidR="00331C11">
          <w:rPr>
            <w:webHidden/>
          </w:rPr>
          <w:instrText xml:space="preserve"> PAGEREF _Toc493844278 \h </w:instrText>
        </w:r>
        <w:r w:rsidR="00331C11">
          <w:rPr>
            <w:webHidden/>
          </w:rPr>
        </w:r>
        <w:r w:rsidR="00331C11">
          <w:rPr>
            <w:webHidden/>
          </w:rPr>
          <w:fldChar w:fldCharType="separate"/>
        </w:r>
        <w:r w:rsidR="00331C11">
          <w:rPr>
            <w:webHidden/>
          </w:rPr>
          <w:t>158</w:t>
        </w:r>
        <w:r w:rsidR="00331C11">
          <w:rPr>
            <w:webHidden/>
          </w:rPr>
          <w:fldChar w:fldCharType="end"/>
        </w:r>
      </w:hyperlink>
    </w:p>
    <w:p w14:paraId="77EA4D67" w14:textId="77777777" w:rsidR="00331C11" w:rsidRDefault="001F72B3">
      <w:pPr>
        <w:pStyle w:val="TOC3"/>
        <w:rPr>
          <w:rFonts w:eastAsiaTheme="minorEastAsia" w:cstheme="minorBidi"/>
          <w:snapToGrid/>
          <w:sz w:val="22"/>
          <w:szCs w:val="22"/>
          <w:lang w:eastAsia="en-AU"/>
        </w:rPr>
      </w:pPr>
      <w:hyperlink w:anchor="_Toc493844279" w:history="1">
        <w:r w:rsidR="00331C11" w:rsidRPr="00357776">
          <w:rPr>
            <w:rStyle w:val="Hyperlink"/>
          </w:rPr>
          <w:t>13.1</w:t>
        </w:r>
        <w:r w:rsidR="00331C11">
          <w:rPr>
            <w:rFonts w:eastAsiaTheme="minorEastAsia" w:cstheme="minorBidi"/>
            <w:snapToGrid/>
            <w:sz w:val="22"/>
            <w:szCs w:val="22"/>
            <w:lang w:eastAsia="en-AU"/>
          </w:rPr>
          <w:tab/>
        </w:r>
        <w:r w:rsidR="00331C11" w:rsidRPr="00357776">
          <w:rPr>
            <w:rStyle w:val="Hyperlink"/>
          </w:rPr>
          <w:t>Introduction</w:t>
        </w:r>
        <w:r w:rsidR="00331C11">
          <w:rPr>
            <w:webHidden/>
          </w:rPr>
          <w:tab/>
        </w:r>
        <w:r w:rsidR="00331C11">
          <w:rPr>
            <w:webHidden/>
          </w:rPr>
          <w:fldChar w:fldCharType="begin"/>
        </w:r>
        <w:r w:rsidR="00331C11">
          <w:rPr>
            <w:webHidden/>
          </w:rPr>
          <w:instrText xml:space="preserve"> PAGEREF _Toc493844279 \h </w:instrText>
        </w:r>
        <w:r w:rsidR="00331C11">
          <w:rPr>
            <w:webHidden/>
          </w:rPr>
        </w:r>
        <w:r w:rsidR="00331C11">
          <w:rPr>
            <w:webHidden/>
          </w:rPr>
          <w:fldChar w:fldCharType="separate"/>
        </w:r>
        <w:r w:rsidR="00331C11">
          <w:rPr>
            <w:webHidden/>
          </w:rPr>
          <w:t>158</w:t>
        </w:r>
        <w:r w:rsidR="00331C11">
          <w:rPr>
            <w:webHidden/>
          </w:rPr>
          <w:fldChar w:fldCharType="end"/>
        </w:r>
      </w:hyperlink>
    </w:p>
    <w:p w14:paraId="72A857AF" w14:textId="77777777" w:rsidR="00331C11" w:rsidRDefault="001F72B3">
      <w:pPr>
        <w:pStyle w:val="TOC3"/>
        <w:rPr>
          <w:rFonts w:eastAsiaTheme="minorEastAsia" w:cstheme="minorBidi"/>
          <w:snapToGrid/>
          <w:sz w:val="22"/>
          <w:szCs w:val="22"/>
          <w:lang w:eastAsia="en-AU"/>
        </w:rPr>
      </w:pPr>
      <w:hyperlink w:anchor="_Toc493844280" w:history="1">
        <w:r w:rsidR="00331C11" w:rsidRPr="00357776">
          <w:rPr>
            <w:rStyle w:val="Hyperlink"/>
          </w:rPr>
          <w:t>13.2</w:t>
        </w:r>
        <w:r w:rsidR="00331C11">
          <w:rPr>
            <w:rFonts w:eastAsiaTheme="minorEastAsia" w:cstheme="minorBidi"/>
            <w:snapToGrid/>
            <w:sz w:val="22"/>
            <w:szCs w:val="22"/>
            <w:lang w:eastAsia="en-AU"/>
          </w:rPr>
          <w:tab/>
        </w:r>
        <w:r w:rsidR="00331C11" w:rsidRPr="00357776">
          <w:rPr>
            <w:rStyle w:val="Hyperlink"/>
          </w:rPr>
          <w:t>Baseline valuation groups of interest</w:t>
        </w:r>
        <w:r w:rsidR="00331C11">
          <w:rPr>
            <w:webHidden/>
          </w:rPr>
          <w:tab/>
        </w:r>
        <w:r w:rsidR="00331C11">
          <w:rPr>
            <w:webHidden/>
          </w:rPr>
          <w:fldChar w:fldCharType="begin"/>
        </w:r>
        <w:r w:rsidR="00331C11">
          <w:rPr>
            <w:webHidden/>
          </w:rPr>
          <w:instrText xml:space="preserve"> PAGEREF _Toc493844280 \h </w:instrText>
        </w:r>
        <w:r w:rsidR="00331C11">
          <w:rPr>
            <w:webHidden/>
          </w:rPr>
        </w:r>
        <w:r w:rsidR="00331C11">
          <w:rPr>
            <w:webHidden/>
          </w:rPr>
          <w:fldChar w:fldCharType="separate"/>
        </w:r>
        <w:r w:rsidR="00331C11">
          <w:rPr>
            <w:webHidden/>
          </w:rPr>
          <w:t>158</w:t>
        </w:r>
        <w:r w:rsidR="00331C11">
          <w:rPr>
            <w:webHidden/>
          </w:rPr>
          <w:fldChar w:fldCharType="end"/>
        </w:r>
      </w:hyperlink>
    </w:p>
    <w:p w14:paraId="3F38CABD" w14:textId="77777777" w:rsidR="00331C11" w:rsidRDefault="001F72B3">
      <w:pPr>
        <w:pStyle w:val="TOC3"/>
        <w:rPr>
          <w:rFonts w:eastAsiaTheme="minorEastAsia" w:cstheme="minorBidi"/>
          <w:snapToGrid/>
          <w:sz w:val="22"/>
          <w:szCs w:val="22"/>
          <w:lang w:eastAsia="en-AU"/>
        </w:rPr>
      </w:pPr>
      <w:hyperlink w:anchor="_Toc493844281" w:history="1">
        <w:r w:rsidR="00331C11" w:rsidRPr="00357776">
          <w:rPr>
            <w:rStyle w:val="Hyperlink"/>
          </w:rPr>
          <w:t>13.3</w:t>
        </w:r>
        <w:r w:rsidR="00331C11">
          <w:rPr>
            <w:rFonts w:eastAsiaTheme="minorEastAsia" w:cstheme="minorBidi"/>
            <w:snapToGrid/>
            <w:sz w:val="22"/>
            <w:szCs w:val="22"/>
            <w:lang w:eastAsia="en-AU"/>
          </w:rPr>
          <w:tab/>
        </w:r>
        <w:r w:rsidR="00331C11" w:rsidRPr="00357776">
          <w:rPr>
            <w:rStyle w:val="Hyperlink"/>
          </w:rPr>
          <w:t>Update on initial groups of interest</w:t>
        </w:r>
        <w:r w:rsidR="00331C11">
          <w:rPr>
            <w:webHidden/>
          </w:rPr>
          <w:tab/>
        </w:r>
        <w:r w:rsidR="00331C11">
          <w:rPr>
            <w:webHidden/>
          </w:rPr>
          <w:fldChar w:fldCharType="begin"/>
        </w:r>
        <w:r w:rsidR="00331C11">
          <w:rPr>
            <w:webHidden/>
          </w:rPr>
          <w:instrText xml:space="preserve"> PAGEREF _Toc493844281 \h </w:instrText>
        </w:r>
        <w:r w:rsidR="00331C11">
          <w:rPr>
            <w:webHidden/>
          </w:rPr>
        </w:r>
        <w:r w:rsidR="00331C11">
          <w:rPr>
            <w:webHidden/>
          </w:rPr>
          <w:fldChar w:fldCharType="separate"/>
        </w:r>
        <w:r w:rsidR="00331C11">
          <w:rPr>
            <w:webHidden/>
          </w:rPr>
          <w:t>159</w:t>
        </w:r>
        <w:r w:rsidR="00331C11">
          <w:rPr>
            <w:webHidden/>
          </w:rPr>
          <w:fldChar w:fldCharType="end"/>
        </w:r>
      </w:hyperlink>
    </w:p>
    <w:p w14:paraId="00C67960" w14:textId="77777777" w:rsidR="00331C11" w:rsidRDefault="001F72B3">
      <w:pPr>
        <w:pStyle w:val="TOC3"/>
        <w:rPr>
          <w:rFonts w:eastAsiaTheme="minorEastAsia" w:cstheme="minorBidi"/>
          <w:snapToGrid/>
          <w:sz w:val="22"/>
          <w:szCs w:val="22"/>
          <w:lang w:eastAsia="en-AU"/>
        </w:rPr>
      </w:pPr>
      <w:hyperlink w:anchor="_Toc493844282" w:history="1">
        <w:r w:rsidR="00331C11" w:rsidRPr="00357776">
          <w:rPr>
            <w:rStyle w:val="Hyperlink"/>
          </w:rPr>
          <w:t>13.4</w:t>
        </w:r>
        <w:r w:rsidR="00331C11">
          <w:rPr>
            <w:rFonts w:eastAsiaTheme="minorEastAsia" w:cstheme="minorBidi"/>
            <w:snapToGrid/>
            <w:sz w:val="22"/>
            <w:szCs w:val="22"/>
            <w:lang w:eastAsia="en-AU"/>
          </w:rPr>
          <w:tab/>
        </w:r>
        <w:r w:rsidR="00331C11" w:rsidRPr="00357776">
          <w:rPr>
            <w:rStyle w:val="Hyperlink"/>
          </w:rPr>
          <w:t>Further groups of interest</w:t>
        </w:r>
        <w:r w:rsidR="00331C11">
          <w:rPr>
            <w:webHidden/>
          </w:rPr>
          <w:tab/>
        </w:r>
        <w:r w:rsidR="00331C11">
          <w:rPr>
            <w:webHidden/>
          </w:rPr>
          <w:fldChar w:fldCharType="begin"/>
        </w:r>
        <w:r w:rsidR="00331C11">
          <w:rPr>
            <w:webHidden/>
          </w:rPr>
          <w:instrText xml:space="preserve"> PAGEREF _Toc493844282 \h </w:instrText>
        </w:r>
        <w:r w:rsidR="00331C11">
          <w:rPr>
            <w:webHidden/>
          </w:rPr>
        </w:r>
        <w:r w:rsidR="00331C11">
          <w:rPr>
            <w:webHidden/>
          </w:rPr>
          <w:fldChar w:fldCharType="separate"/>
        </w:r>
        <w:r w:rsidR="00331C11">
          <w:rPr>
            <w:webHidden/>
          </w:rPr>
          <w:t>163</w:t>
        </w:r>
        <w:r w:rsidR="00331C11">
          <w:rPr>
            <w:webHidden/>
          </w:rPr>
          <w:fldChar w:fldCharType="end"/>
        </w:r>
      </w:hyperlink>
    </w:p>
    <w:p w14:paraId="592AFAA4" w14:textId="77777777" w:rsidR="00331C11" w:rsidRDefault="001F72B3">
      <w:pPr>
        <w:pStyle w:val="TOC2"/>
        <w:rPr>
          <w:rFonts w:eastAsiaTheme="minorEastAsia" w:cstheme="minorBidi"/>
          <w:b w:val="0"/>
          <w:snapToGrid/>
          <w:sz w:val="22"/>
          <w:szCs w:val="22"/>
          <w:lang w:eastAsia="en-AU"/>
        </w:rPr>
      </w:pPr>
      <w:hyperlink w:anchor="_Toc493844283" w:history="1">
        <w:r w:rsidR="00331C11" w:rsidRPr="00357776">
          <w:rPr>
            <w:rStyle w:val="Hyperlink"/>
          </w:rPr>
          <w:t>14</w:t>
        </w:r>
        <w:r w:rsidR="00331C11">
          <w:rPr>
            <w:rFonts w:eastAsiaTheme="minorEastAsia" w:cstheme="minorBidi"/>
            <w:b w:val="0"/>
            <w:snapToGrid/>
            <w:sz w:val="22"/>
            <w:szCs w:val="22"/>
            <w:lang w:eastAsia="en-AU"/>
          </w:rPr>
          <w:tab/>
        </w:r>
        <w:r w:rsidR="00331C11" w:rsidRPr="00357776">
          <w:rPr>
            <w:rStyle w:val="Hyperlink"/>
          </w:rPr>
          <w:t>Additional insights</w:t>
        </w:r>
        <w:r w:rsidR="00331C11">
          <w:rPr>
            <w:webHidden/>
          </w:rPr>
          <w:tab/>
        </w:r>
        <w:r w:rsidR="00331C11">
          <w:rPr>
            <w:webHidden/>
          </w:rPr>
          <w:fldChar w:fldCharType="begin"/>
        </w:r>
        <w:r w:rsidR="00331C11">
          <w:rPr>
            <w:webHidden/>
          </w:rPr>
          <w:instrText xml:space="preserve"> PAGEREF _Toc493844283 \h </w:instrText>
        </w:r>
        <w:r w:rsidR="00331C11">
          <w:rPr>
            <w:webHidden/>
          </w:rPr>
        </w:r>
        <w:r w:rsidR="00331C11">
          <w:rPr>
            <w:webHidden/>
          </w:rPr>
          <w:fldChar w:fldCharType="separate"/>
        </w:r>
        <w:r w:rsidR="00331C11">
          <w:rPr>
            <w:webHidden/>
          </w:rPr>
          <w:t>164</w:t>
        </w:r>
        <w:r w:rsidR="00331C11">
          <w:rPr>
            <w:webHidden/>
          </w:rPr>
          <w:fldChar w:fldCharType="end"/>
        </w:r>
      </w:hyperlink>
    </w:p>
    <w:p w14:paraId="60DE4A35" w14:textId="77777777" w:rsidR="00331C11" w:rsidRDefault="001F72B3">
      <w:pPr>
        <w:pStyle w:val="TOC3"/>
        <w:rPr>
          <w:rFonts w:eastAsiaTheme="minorEastAsia" w:cstheme="minorBidi"/>
          <w:snapToGrid/>
          <w:sz w:val="22"/>
          <w:szCs w:val="22"/>
          <w:lang w:eastAsia="en-AU"/>
        </w:rPr>
      </w:pPr>
      <w:hyperlink w:anchor="_Toc493844284" w:history="1">
        <w:r w:rsidR="00331C11" w:rsidRPr="00357776">
          <w:rPr>
            <w:rStyle w:val="Hyperlink"/>
          </w:rPr>
          <w:t>14.1</w:t>
        </w:r>
        <w:r w:rsidR="00331C11">
          <w:rPr>
            <w:rFonts w:eastAsiaTheme="minorEastAsia" w:cstheme="minorBidi"/>
            <w:snapToGrid/>
            <w:sz w:val="22"/>
            <w:szCs w:val="22"/>
            <w:lang w:eastAsia="en-AU"/>
          </w:rPr>
          <w:tab/>
        </w:r>
        <w:r w:rsidR="00331C11" w:rsidRPr="00357776">
          <w:rPr>
            <w:rStyle w:val="Hyperlink"/>
          </w:rPr>
          <w:t>Welfare system utilisation</w:t>
        </w:r>
        <w:r w:rsidR="00331C11">
          <w:rPr>
            <w:webHidden/>
          </w:rPr>
          <w:tab/>
        </w:r>
        <w:r w:rsidR="00331C11">
          <w:rPr>
            <w:webHidden/>
          </w:rPr>
          <w:fldChar w:fldCharType="begin"/>
        </w:r>
        <w:r w:rsidR="00331C11">
          <w:rPr>
            <w:webHidden/>
          </w:rPr>
          <w:instrText xml:space="preserve"> PAGEREF _Toc493844284 \h </w:instrText>
        </w:r>
        <w:r w:rsidR="00331C11">
          <w:rPr>
            <w:webHidden/>
          </w:rPr>
        </w:r>
        <w:r w:rsidR="00331C11">
          <w:rPr>
            <w:webHidden/>
          </w:rPr>
          <w:fldChar w:fldCharType="separate"/>
        </w:r>
        <w:r w:rsidR="00331C11">
          <w:rPr>
            <w:webHidden/>
          </w:rPr>
          <w:t>164</w:t>
        </w:r>
        <w:r w:rsidR="00331C11">
          <w:rPr>
            <w:webHidden/>
          </w:rPr>
          <w:fldChar w:fldCharType="end"/>
        </w:r>
      </w:hyperlink>
    </w:p>
    <w:p w14:paraId="4AD1B662" w14:textId="77777777" w:rsidR="00331C11" w:rsidRDefault="001F72B3">
      <w:pPr>
        <w:pStyle w:val="TOC3"/>
        <w:rPr>
          <w:rFonts w:eastAsiaTheme="minorEastAsia" w:cstheme="minorBidi"/>
          <w:snapToGrid/>
          <w:sz w:val="22"/>
          <w:szCs w:val="22"/>
          <w:lang w:eastAsia="en-AU"/>
        </w:rPr>
      </w:pPr>
      <w:hyperlink w:anchor="_Toc493844285" w:history="1">
        <w:r w:rsidR="00331C11" w:rsidRPr="00357776">
          <w:rPr>
            <w:rStyle w:val="Hyperlink"/>
          </w:rPr>
          <w:t>14.2</w:t>
        </w:r>
        <w:r w:rsidR="00331C11">
          <w:rPr>
            <w:rFonts w:eastAsiaTheme="minorEastAsia" w:cstheme="minorBidi"/>
            <w:snapToGrid/>
            <w:sz w:val="22"/>
            <w:szCs w:val="22"/>
            <w:lang w:eastAsia="en-AU"/>
          </w:rPr>
          <w:tab/>
        </w:r>
        <w:r w:rsidR="00331C11" w:rsidRPr="00357776">
          <w:rPr>
            <w:rStyle w:val="Hyperlink"/>
          </w:rPr>
          <w:t>Geographic information</w:t>
        </w:r>
        <w:r w:rsidR="00331C11">
          <w:rPr>
            <w:webHidden/>
          </w:rPr>
          <w:tab/>
        </w:r>
        <w:r w:rsidR="00331C11">
          <w:rPr>
            <w:webHidden/>
          </w:rPr>
          <w:fldChar w:fldCharType="begin"/>
        </w:r>
        <w:r w:rsidR="00331C11">
          <w:rPr>
            <w:webHidden/>
          </w:rPr>
          <w:instrText xml:space="preserve"> PAGEREF _Toc493844285 \h </w:instrText>
        </w:r>
        <w:r w:rsidR="00331C11">
          <w:rPr>
            <w:webHidden/>
          </w:rPr>
        </w:r>
        <w:r w:rsidR="00331C11">
          <w:rPr>
            <w:webHidden/>
          </w:rPr>
          <w:fldChar w:fldCharType="separate"/>
        </w:r>
        <w:r w:rsidR="00331C11">
          <w:rPr>
            <w:webHidden/>
          </w:rPr>
          <w:t>167</w:t>
        </w:r>
        <w:r w:rsidR="00331C11">
          <w:rPr>
            <w:webHidden/>
          </w:rPr>
          <w:fldChar w:fldCharType="end"/>
        </w:r>
      </w:hyperlink>
    </w:p>
    <w:p w14:paraId="6A4EB35A" w14:textId="77777777" w:rsidR="00331C11" w:rsidRDefault="001F72B3">
      <w:pPr>
        <w:pStyle w:val="TOC3"/>
        <w:rPr>
          <w:rFonts w:eastAsiaTheme="minorEastAsia" w:cstheme="minorBidi"/>
          <w:snapToGrid/>
          <w:sz w:val="22"/>
          <w:szCs w:val="22"/>
          <w:lang w:eastAsia="en-AU"/>
        </w:rPr>
      </w:pPr>
      <w:hyperlink w:anchor="_Toc493844286" w:history="1">
        <w:r w:rsidR="00331C11" w:rsidRPr="00357776">
          <w:rPr>
            <w:rStyle w:val="Hyperlink"/>
          </w:rPr>
          <w:t>14.3</w:t>
        </w:r>
        <w:r w:rsidR="00331C11">
          <w:rPr>
            <w:rFonts w:eastAsiaTheme="minorEastAsia" w:cstheme="minorBidi"/>
            <w:snapToGrid/>
            <w:sz w:val="22"/>
            <w:szCs w:val="22"/>
            <w:lang w:eastAsia="en-AU"/>
          </w:rPr>
          <w:tab/>
        </w:r>
        <w:r w:rsidR="00331C11" w:rsidRPr="00357776">
          <w:rPr>
            <w:rStyle w:val="Hyperlink"/>
          </w:rPr>
          <w:t>Medical condition profile for DSP recipients</w:t>
        </w:r>
        <w:r w:rsidR="00331C11">
          <w:rPr>
            <w:webHidden/>
          </w:rPr>
          <w:tab/>
        </w:r>
        <w:r w:rsidR="00331C11">
          <w:rPr>
            <w:webHidden/>
          </w:rPr>
          <w:fldChar w:fldCharType="begin"/>
        </w:r>
        <w:r w:rsidR="00331C11">
          <w:rPr>
            <w:webHidden/>
          </w:rPr>
          <w:instrText xml:space="preserve"> PAGEREF _Toc493844286 \h </w:instrText>
        </w:r>
        <w:r w:rsidR="00331C11">
          <w:rPr>
            <w:webHidden/>
          </w:rPr>
        </w:r>
        <w:r w:rsidR="00331C11">
          <w:rPr>
            <w:webHidden/>
          </w:rPr>
          <w:fldChar w:fldCharType="separate"/>
        </w:r>
        <w:r w:rsidR="00331C11">
          <w:rPr>
            <w:webHidden/>
          </w:rPr>
          <w:t>168</w:t>
        </w:r>
        <w:r w:rsidR="00331C11">
          <w:rPr>
            <w:webHidden/>
          </w:rPr>
          <w:fldChar w:fldCharType="end"/>
        </w:r>
      </w:hyperlink>
    </w:p>
    <w:p w14:paraId="68437728" w14:textId="77777777" w:rsidR="00331C11" w:rsidRDefault="001F72B3">
      <w:pPr>
        <w:pStyle w:val="TOC3"/>
        <w:rPr>
          <w:rFonts w:eastAsiaTheme="minorEastAsia" w:cstheme="minorBidi"/>
          <w:snapToGrid/>
          <w:sz w:val="22"/>
          <w:szCs w:val="22"/>
          <w:lang w:eastAsia="en-AU"/>
        </w:rPr>
      </w:pPr>
      <w:hyperlink w:anchor="_Toc493844287" w:history="1">
        <w:r w:rsidR="00331C11" w:rsidRPr="00357776">
          <w:rPr>
            <w:rStyle w:val="Hyperlink"/>
          </w:rPr>
          <w:t>14.4</w:t>
        </w:r>
        <w:r w:rsidR="00331C11">
          <w:rPr>
            <w:rFonts w:eastAsiaTheme="minorEastAsia" w:cstheme="minorBidi"/>
            <w:snapToGrid/>
            <w:sz w:val="22"/>
            <w:szCs w:val="22"/>
            <w:lang w:eastAsia="en-AU"/>
          </w:rPr>
          <w:tab/>
        </w:r>
        <w:r w:rsidR="00331C11" w:rsidRPr="00357776">
          <w:rPr>
            <w:rStyle w:val="Hyperlink"/>
          </w:rPr>
          <w:t>Profile of carer payment recipients</w:t>
        </w:r>
        <w:r w:rsidR="00331C11">
          <w:rPr>
            <w:webHidden/>
          </w:rPr>
          <w:tab/>
        </w:r>
        <w:r w:rsidR="00331C11">
          <w:rPr>
            <w:webHidden/>
          </w:rPr>
          <w:fldChar w:fldCharType="begin"/>
        </w:r>
        <w:r w:rsidR="00331C11">
          <w:rPr>
            <w:webHidden/>
          </w:rPr>
          <w:instrText xml:space="preserve"> PAGEREF _Toc493844287 \h </w:instrText>
        </w:r>
        <w:r w:rsidR="00331C11">
          <w:rPr>
            <w:webHidden/>
          </w:rPr>
        </w:r>
        <w:r w:rsidR="00331C11">
          <w:rPr>
            <w:webHidden/>
          </w:rPr>
          <w:fldChar w:fldCharType="separate"/>
        </w:r>
        <w:r w:rsidR="00331C11">
          <w:rPr>
            <w:webHidden/>
          </w:rPr>
          <w:t>169</w:t>
        </w:r>
        <w:r w:rsidR="00331C11">
          <w:rPr>
            <w:webHidden/>
          </w:rPr>
          <w:fldChar w:fldCharType="end"/>
        </w:r>
      </w:hyperlink>
    </w:p>
    <w:p w14:paraId="629716ED" w14:textId="77777777" w:rsidR="00522039" w:rsidRPr="002A0A1A" w:rsidRDefault="00522039" w:rsidP="00522039">
      <w:pPr>
        <w:sectPr w:rsidR="00522039" w:rsidRPr="002A0A1A" w:rsidSect="00522039">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588" w:right="1021" w:bottom="1418" w:left="1021" w:header="567" w:footer="567" w:gutter="0"/>
          <w:pgNumType w:fmt="lowerRoman"/>
          <w:cols w:space="720"/>
          <w:docGrid w:linePitch="299"/>
        </w:sectPr>
      </w:pPr>
      <w:r w:rsidRPr="00EC326F">
        <w:rPr>
          <w:b/>
          <w:color w:val="auto"/>
          <w:highlight w:val="yellow"/>
        </w:rPr>
        <w:fldChar w:fldCharType="end"/>
      </w:r>
    </w:p>
    <w:p w14:paraId="59577377" w14:textId="77777777" w:rsidR="001F627D" w:rsidRPr="00EC326F" w:rsidRDefault="0060364A" w:rsidP="00145367">
      <w:pPr>
        <w:pStyle w:val="Heading1"/>
        <w:spacing w:before="6720"/>
      </w:pPr>
      <w:bookmarkStart w:id="3" w:name="_Toc493844209"/>
      <w:r w:rsidRPr="00EC326F">
        <w:rPr>
          <w:noProof/>
          <w:lang w:eastAsia="en-AU"/>
        </w:rPr>
        <w:lastRenderedPageBreak/>
        <w:drawing>
          <wp:anchor distT="0" distB="0" distL="114300" distR="114300" simplePos="0" relativeHeight="251655168" behindDoc="0" locked="0" layoutInCell="1" allowOverlap="1" wp14:anchorId="6C947CC6" wp14:editId="69CFA042">
            <wp:simplePos x="0" y="0"/>
            <wp:positionH relativeFrom="column">
              <wp:posOffset>-508000</wp:posOffset>
            </wp:positionH>
            <wp:positionV relativeFrom="paragraph">
              <wp:posOffset>-861060</wp:posOffset>
            </wp:positionV>
            <wp:extent cx="7271385" cy="4842510"/>
            <wp:effectExtent l="0" t="0" r="5715" b="0"/>
            <wp:wrapNone/>
            <wp:docPr id="1028" name="Picture 1028" descr="Group of people is reading some documents and discussing" title="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x_general\images\Royalty free images\People\iStock_000015436937Lar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1385" cy="484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27D" w:rsidRPr="00EC326F">
        <w:t>Part I: Executive summary</w:t>
      </w:r>
      <w:bookmarkEnd w:id="3"/>
    </w:p>
    <w:p w14:paraId="0AF56F41" w14:textId="77777777" w:rsidR="0060364A" w:rsidRPr="002A0A1A" w:rsidRDefault="0060364A" w:rsidP="0060364A"/>
    <w:p w14:paraId="04B9CDFC" w14:textId="77777777" w:rsidR="005C0870" w:rsidRPr="002A0A1A" w:rsidRDefault="005C0870">
      <w:pPr>
        <w:kinsoku/>
        <w:overflowPunct/>
        <w:autoSpaceDE/>
        <w:autoSpaceDN/>
        <w:adjustRightInd/>
        <w:snapToGrid/>
      </w:pPr>
      <w:r w:rsidRPr="002A0A1A">
        <w:br w:type="page"/>
      </w:r>
    </w:p>
    <w:p w14:paraId="671FE6F4" w14:textId="77777777" w:rsidR="001F627D" w:rsidRPr="00EC326F" w:rsidRDefault="001F627D" w:rsidP="00271CB6">
      <w:pPr>
        <w:pStyle w:val="Heading2ExecutiveSummary"/>
      </w:pPr>
      <w:r w:rsidRPr="00EC326F">
        <w:lastRenderedPageBreak/>
        <w:t>Introduction</w:t>
      </w:r>
    </w:p>
    <w:p w14:paraId="4DEC1780" w14:textId="77777777" w:rsidR="001F627D" w:rsidRPr="00EC326F" w:rsidRDefault="00C31E83" w:rsidP="009800AF">
      <w:pPr>
        <w:pStyle w:val="Heading3ExecutiveSummary"/>
      </w:pPr>
      <w:r w:rsidRPr="00EC326F">
        <w:t xml:space="preserve">Background to </w:t>
      </w:r>
      <w:r w:rsidR="001F627D" w:rsidRPr="00EC326F">
        <w:t xml:space="preserve">this report </w:t>
      </w:r>
    </w:p>
    <w:p w14:paraId="754E62D0" w14:textId="77777777" w:rsidR="00C87E00" w:rsidRPr="00EC326F" w:rsidRDefault="001F627D" w:rsidP="00C87E00">
      <w:pPr>
        <w:pStyle w:val="PwCNormal"/>
      </w:pPr>
      <w:r w:rsidRPr="00EC326F">
        <w:t xml:space="preserve">In its May 2015 Budget, the Commonwealth Government announced an intention to implement the </w:t>
      </w:r>
      <w:r w:rsidR="0063022D" w:rsidRPr="00EC326F">
        <w:t>Australian Priority Investment Approach</w:t>
      </w:r>
      <w:r w:rsidRPr="00EC326F">
        <w:t xml:space="preserve"> to welfare in Australia.</w:t>
      </w:r>
      <w:r w:rsidR="00FF7AD3" w:rsidRPr="00EC326F">
        <w:t xml:space="preserve"> The development of </w:t>
      </w:r>
      <w:r w:rsidR="007D5558" w:rsidRPr="00EC326F">
        <w:t>this</w:t>
      </w:r>
      <w:r w:rsidR="00FF7AD3" w:rsidRPr="00EC326F">
        <w:t xml:space="preserve"> approach was one of the recommendations of the review of Australia’s welfare system</w:t>
      </w:r>
      <w:r w:rsidR="00FF7AD3" w:rsidRPr="00EC326F">
        <w:rPr>
          <w:i/>
        </w:rPr>
        <w:t xml:space="preserve">, A New System for Better Employment and Social Outcomes </w:t>
      </w:r>
      <w:r w:rsidR="00FF7AD3" w:rsidRPr="00EC326F">
        <w:t>(the McClure Report)</w:t>
      </w:r>
      <w:r w:rsidR="00C87E00" w:rsidRPr="00EC326F">
        <w:t xml:space="preserve">, along with the </w:t>
      </w:r>
      <w:r w:rsidR="002B5C64" w:rsidRPr="00EC326F">
        <w:t>broader recommendation</w:t>
      </w:r>
      <w:r w:rsidR="00C87E00" w:rsidRPr="00EC326F">
        <w:t xml:space="preserve"> for reform</w:t>
      </w:r>
      <w:r w:rsidR="002B5C64" w:rsidRPr="00EC326F">
        <w:t>,</w:t>
      </w:r>
      <w:r w:rsidR="00C87E00" w:rsidRPr="00EC326F">
        <w:t xml:space="preserve"> to simplify the system and reward work</w:t>
      </w:r>
      <w:r w:rsidR="00FF7AD3" w:rsidRPr="00EC326F">
        <w:t>.</w:t>
      </w:r>
      <w:r w:rsidR="00FF7AD3" w:rsidRPr="00EC326F">
        <w:rPr>
          <w:rFonts w:ascii="Myriad Pro Light" w:hAnsi="Myriad Pro Light" w:cs="Myriad Pro Light"/>
          <w:snapToGrid/>
          <w:color w:val="000000"/>
          <w:sz w:val="22"/>
          <w:szCs w:val="22"/>
          <w:lang w:eastAsia="en-AU"/>
        </w:rPr>
        <w:t xml:space="preserve"> </w:t>
      </w:r>
      <w:r w:rsidR="009C6FA7" w:rsidRPr="00EC326F">
        <w:rPr>
          <w:rFonts w:cstheme="minorHAnsi"/>
          <w:snapToGrid/>
          <w:lang w:eastAsia="en-AU"/>
        </w:rPr>
        <w:t>G</w:t>
      </w:r>
      <w:r w:rsidR="00694456" w:rsidRPr="00EC326F">
        <w:rPr>
          <w:rFonts w:cstheme="minorHAnsi"/>
        </w:rPr>
        <w:t>i</w:t>
      </w:r>
      <w:r w:rsidR="00694456" w:rsidRPr="00EC326F">
        <w:t>ven</w:t>
      </w:r>
      <w:r w:rsidR="00694456" w:rsidRPr="00EC326F">
        <w:rPr>
          <w:lang w:eastAsia="en-AU"/>
        </w:rPr>
        <w:t xml:space="preserve"> strong evidence that work is beneficial</w:t>
      </w:r>
      <w:r w:rsidR="00F56CC7" w:rsidRPr="00EC326F">
        <w:rPr>
          <w:lang w:eastAsia="en-AU"/>
        </w:rPr>
        <w:t xml:space="preserve"> to individual wellbeing</w:t>
      </w:r>
      <w:r w:rsidR="00694456" w:rsidRPr="00EC326F">
        <w:t xml:space="preserve">, </w:t>
      </w:r>
      <w:r w:rsidR="007D5558" w:rsidRPr="00EC326F">
        <w:t xml:space="preserve">a major objective of the Australian </w:t>
      </w:r>
      <w:r w:rsidR="0063022D" w:rsidRPr="00EC326F">
        <w:t xml:space="preserve">Priority </w:t>
      </w:r>
      <w:r w:rsidR="007D5558" w:rsidRPr="00EC326F">
        <w:t xml:space="preserve">Investment Approach is to inform policy settings and interventions that effectively </w:t>
      </w:r>
      <w:r w:rsidR="00694456" w:rsidRPr="00EC326F">
        <w:t xml:space="preserve">help individuals </w:t>
      </w:r>
      <w:r w:rsidR="007D5558" w:rsidRPr="00EC326F">
        <w:t>with capacity to work, to</w:t>
      </w:r>
      <w:r w:rsidR="00C87E00" w:rsidRPr="00EC326F">
        <w:t xml:space="preserve"> do so</w:t>
      </w:r>
      <w:r w:rsidR="00694456" w:rsidRPr="00EC326F">
        <w:t xml:space="preserve">. </w:t>
      </w:r>
    </w:p>
    <w:p w14:paraId="5B31B32E" w14:textId="77777777" w:rsidR="001F627D" w:rsidRPr="00EC326F" w:rsidRDefault="001F627D" w:rsidP="00C87E00">
      <w:pPr>
        <w:pStyle w:val="PwCNormal"/>
      </w:pPr>
      <w:r w:rsidRPr="00EC326F">
        <w:t xml:space="preserve">The Department of Social Services (the Department) set up an Investment Approach Taskforce to implement the Australian </w:t>
      </w:r>
      <w:r w:rsidR="0063022D" w:rsidRPr="00EC326F">
        <w:t xml:space="preserve">Priority </w:t>
      </w:r>
      <w:r w:rsidRPr="00EC326F">
        <w:t>Investment Approach to social welfare with the aim of reducing welfare dependence, and improving the lifetime wellbeing of people and families in Australia.</w:t>
      </w:r>
    </w:p>
    <w:p w14:paraId="1CB3E206" w14:textId="77777777" w:rsidR="00C31E83" w:rsidRPr="00EC326F" w:rsidRDefault="001F627D" w:rsidP="001F627D">
      <w:pPr>
        <w:pStyle w:val="PwCNormal"/>
      </w:pPr>
      <w:r w:rsidRPr="00EC326F">
        <w:t>PricewaterhouseCoopers (PwC), in conjunction with</w:t>
      </w:r>
      <w:r w:rsidR="00C31E83" w:rsidRPr="00EC326F">
        <w:t xml:space="preserve"> Data Analysis Australia (DAA) w</w:t>
      </w:r>
      <w:r w:rsidRPr="00EC326F">
        <w:t xml:space="preserve">as engaged to undertake the actuarial analysis supporting the Australian </w:t>
      </w:r>
      <w:r w:rsidR="0063022D" w:rsidRPr="00EC326F">
        <w:t xml:space="preserve">Priority </w:t>
      </w:r>
      <w:r w:rsidRPr="00EC326F">
        <w:t xml:space="preserve">Investment Approach. </w:t>
      </w:r>
      <w:r w:rsidR="001D77A6" w:rsidRPr="00EC326F">
        <w:t>This will involve four annual actuarial valuations of the Commonwealth’s social security and income supp</w:t>
      </w:r>
      <w:r w:rsidR="00EF5973" w:rsidRPr="00EC326F">
        <w:t>ort system</w:t>
      </w:r>
      <w:r w:rsidR="00C31E83" w:rsidRPr="00EC326F">
        <w:t>.</w:t>
      </w:r>
    </w:p>
    <w:p w14:paraId="3BF2D2C0" w14:textId="77777777" w:rsidR="00EF5973" w:rsidRPr="00EC326F" w:rsidRDefault="00C31E83" w:rsidP="001F627D">
      <w:pPr>
        <w:pStyle w:val="PwCNormal"/>
      </w:pPr>
      <w:r w:rsidRPr="00EC326F">
        <w:t>T</w:t>
      </w:r>
      <w:r w:rsidR="00EF5973" w:rsidRPr="00EC326F">
        <w:t xml:space="preserve">he first </w:t>
      </w:r>
      <w:r w:rsidRPr="00EC326F">
        <w:t>valuation</w:t>
      </w:r>
      <w:r w:rsidR="00EF5973" w:rsidRPr="00EC326F">
        <w:t xml:space="preserve"> wa</w:t>
      </w:r>
      <w:r w:rsidR="001D77A6" w:rsidRPr="00EC326F">
        <w:t>s known as the ‘baseline valuation’, and estimate</w:t>
      </w:r>
      <w:r w:rsidR="00EF5973" w:rsidRPr="00EC326F">
        <w:t>d</w:t>
      </w:r>
      <w:r w:rsidR="001D77A6" w:rsidRPr="00EC326F">
        <w:t xml:space="preserve"> the total lifetime costs for the Australian population as at 30</w:t>
      </w:r>
      <w:r w:rsidR="008A4218" w:rsidRPr="00EC326F">
        <w:t> </w:t>
      </w:r>
      <w:r w:rsidR="001D77A6" w:rsidRPr="00EC326F">
        <w:t xml:space="preserve">June 2015. </w:t>
      </w:r>
      <w:r w:rsidR="004761EA" w:rsidRPr="00EC326F">
        <w:t xml:space="preserve">The baseline valuation was documented in our report, </w:t>
      </w:r>
      <w:r w:rsidR="004761EA" w:rsidRPr="00EC326F">
        <w:rPr>
          <w:i/>
        </w:rPr>
        <w:t>Valuation Report 30 June 2015 Baseline Valuation</w:t>
      </w:r>
      <w:r w:rsidR="004761EA" w:rsidRPr="00EC326F">
        <w:t xml:space="preserve"> and was publically released by the Minister for Social Services on 20 September 2016.</w:t>
      </w:r>
    </w:p>
    <w:p w14:paraId="6D8BF008" w14:textId="77777777" w:rsidR="001F627D" w:rsidRPr="00EC326F" w:rsidRDefault="001D77A6" w:rsidP="001F627D">
      <w:pPr>
        <w:pStyle w:val="PwCNormal"/>
      </w:pPr>
      <w:r w:rsidRPr="00EC326F">
        <w:t>This report d</w:t>
      </w:r>
      <w:r w:rsidR="003C54D1" w:rsidRPr="00EC326F">
        <w:t xml:space="preserve">ocuments the </w:t>
      </w:r>
      <w:r w:rsidR="004761EA" w:rsidRPr="00EC326F">
        <w:t>second actuarial</w:t>
      </w:r>
      <w:r w:rsidR="003C54D1" w:rsidRPr="00EC326F">
        <w:t xml:space="preserve"> valuation</w:t>
      </w:r>
      <w:r w:rsidR="004761EA" w:rsidRPr="00EC326F">
        <w:t>, which provides an updated estimate of the total lifetime costs based on information as at 30 June 2016, together with a range of information about the current and expected use of the welfare system for different segments of the Australian population</w:t>
      </w:r>
      <w:r w:rsidR="003C54D1" w:rsidRPr="00EC326F">
        <w:t>.</w:t>
      </w:r>
    </w:p>
    <w:p w14:paraId="2C844C68" w14:textId="77777777" w:rsidR="001F627D" w:rsidRPr="00EC326F" w:rsidRDefault="001F627D" w:rsidP="009800AF">
      <w:pPr>
        <w:pStyle w:val="Heading3ExecutiveSummary"/>
      </w:pPr>
      <w:r w:rsidRPr="00EC326F">
        <w:t xml:space="preserve">Purpose of </w:t>
      </w:r>
      <w:r w:rsidR="008A4218" w:rsidRPr="00EC326F">
        <w:t>v</w:t>
      </w:r>
      <w:r w:rsidRPr="00EC326F">
        <w:t>aluation</w:t>
      </w:r>
      <w:r w:rsidR="00A91D4B" w:rsidRPr="00EC326F">
        <w:t xml:space="preserve"> and report</w:t>
      </w:r>
    </w:p>
    <w:p w14:paraId="6A740207" w14:textId="77777777" w:rsidR="004761EA" w:rsidRPr="00EC326F" w:rsidRDefault="00A91D4B" w:rsidP="00A91D4B">
      <w:pPr>
        <w:pStyle w:val="PwCNormal"/>
      </w:pPr>
      <w:r w:rsidRPr="00EC326F">
        <w:t xml:space="preserve">The purpose of the actuarial valuation is to </w:t>
      </w:r>
      <w:r w:rsidR="002B5C64" w:rsidRPr="00EC326F">
        <w:t xml:space="preserve">underpin the Australian </w:t>
      </w:r>
      <w:r w:rsidR="0063022D" w:rsidRPr="00EC326F">
        <w:t xml:space="preserve">Priority </w:t>
      </w:r>
      <w:r w:rsidR="002B5C64" w:rsidRPr="00EC326F">
        <w:t>I</w:t>
      </w:r>
      <w:r w:rsidR="00F11369" w:rsidRPr="00EC326F">
        <w:t xml:space="preserve">nvestment </w:t>
      </w:r>
      <w:r w:rsidR="002B5C64" w:rsidRPr="00EC326F">
        <w:t>A</w:t>
      </w:r>
      <w:r w:rsidR="00F11369" w:rsidRPr="00EC326F">
        <w:t xml:space="preserve">pproach, by </w:t>
      </w:r>
      <w:r w:rsidRPr="00EC326F">
        <w:t>inform</w:t>
      </w:r>
      <w:r w:rsidR="00F11369" w:rsidRPr="00EC326F">
        <w:t>ing</w:t>
      </w:r>
      <w:r w:rsidRPr="00EC326F">
        <w:t xml:space="preserve"> decisions on the management of the welfare system </w:t>
      </w:r>
      <w:r w:rsidR="0043003C" w:rsidRPr="00EC326F">
        <w:t>that are effective in increasing the capacity of individuals to live independently of welfare; in addressing the risk of intergenerational welfare dependence; and in decreasing Commonwealth long term social security costs</w:t>
      </w:r>
      <w:r w:rsidRPr="00EC326F">
        <w:t xml:space="preserve">. </w:t>
      </w:r>
    </w:p>
    <w:p w14:paraId="7F7EB4FC" w14:textId="77777777" w:rsidR="00773825" w:rsidRPr="00EC326F" w:rsidRDefault="00A91D4B" w:rsidP="00A91D4B">
      <w:pPr>
        <w:pStyle w:val="PwCNormal"/>
      </w:pPr>
      <w:r w:rsidRPr="00EC326F">
        <w:t xml:space="preserve">At the macro level </w:t>
      </w:r>
      <w:r w:rsidR="00F11369" w:rsidRPr="00EC326F">
        <w:t xml:space="preserve">the actuarial valuation </w:t>
      </w:r>
      <w:r w:rsidRPr="00EC326F">
        <w:t xml:space="preserve">can be used as a governance tool – to </w:t>
      </w:r>
      <w:r w:rsidR="00054424" w:rsidRPr="00EC326F">
        <w:t>measure and monitor</w:t>
      </w:r>
      <w:r w:rsidRPr="00EC326F">
        <w:t xml:space="preserve"> long term costs </w:t>
      </w:r>
      <w:r w:rsidR="00BC6913" w:rsidRPr="00EC326F">
        <w:t xml:space="preserve">of the system </w:t>
      </w:r>
      <w:r w:rsidR="00054424" w:rsidRPr="00EC326F">
        <w:t xml:space="preserve">and </w:t>
      </w:r>
      <w:r w:rsidR="0043003C" w:rsidRPr="00EC326F">
        <w:t>evaluate the effectiveness of new policies in improving financial and social outcomes</w:t>
      </w:r>
      <w:r w:rsidR="00054424" w:rsidRPr="00EC326F">
        <w:t>.</w:t>
      </w:r>
      <w:r w:rsidR="00BC6913" w:rsidRPr="00EC326F">
        <w:t xml:space="preserve"> </w:t>
      </w:r>
      <w:r w:rsidRPr="00EC326F">
        <w:t xml:space="preserve">At the micro level it can provide information on the past experience and expected future cost of specific groups, </w:t>
      </w:r>
      <w:r w:rsidR="00BC6913" w:rsidRPr="00EC326F">
        <w:t>to</w:t>
      </w:r>
      <w:r w:rsidRPr="00EC326F">
        <w:t xml:space="preserve"> help inform </w:t>
      </w:r>
      <w:r w:rsidR="0043003C" w:rsidRPr="00EC326F">
        <w:t xml:space="preserve">targeted </w:t>
      </w:r>
      <w:r w:rsidRPr="00EC326F">
        <w:t xml:space="preserve">policy for people </w:t>
      </w:r>
      <w:r w:rsidR="00FB3264" w:rsidRPr="00EC326F">
        <w:t xml:space="preserve">in these groups. </w:t>
      </w:r>
    </w:p>
    <w:p w14:paraId="3AF21DB6" w14:textId="77777777" w:rsidR="00602ABF" w:rsidRPr="00EC326F" w:rsidRDefault="00602ABF" w:rsidP="00602ABF">
      <w:pPr>
        <w:pStyle w:val="PwCNormal"/>
      </w:pPr>
      <w:r w:rsidRPr="00EC326F">
        <w:t>This report is intended to describe the method, assumptions and results of the valuation in relatively simple language, highlighting key features of the model and its outputs. We have also provided commentary on various insights developed through the valuation process. The report is not intended to be a technical document and does not provide details of matters such as detailed aspects of the model structure, statistical fitting techniques and validation processes.</w:t>
      </w:r>
    </w:p>
    <w:p w14:paraId="756A93D3" w14:textId="77777777" w:rsidR="004761EA" w:rsidRPr="00EC326F" w:rsidRDefault="004761EA" w:rsidP="004761EA">
      <w:pPr>
        <w:pStyle w:val="Heading3ExecutiveSummary"/>
      </w:pPr>
      <w:r w:rsidRPr="00EC326F">
        <w:t>Project governance</w:t>
      </w:r>
    </w:p>
    <w:p w14:paraId="14B5F526" w14:textId="77777777" w:rsidR="00602ABF" w:rsidRPr="00EC326F" w:rsidRDefault="004761EA" w:rsidP="004761EA">
      <w:pPr>
        <w:pStyle w:val="PwCNormal"/>
      </w:pPr>
      <w:r w:rsidRPr="00EC326F">
        <w:t xml:space="preserve">The project is being overseen by the </w:t>
      </w:r>
      <w:r w:rsidR="00C31E83" w:rsidRPr="00EC326F">
        <w:t xml:space="preserve">Investment Approach Taskforce </w:t>
      </w:r>
      <w:r w:rsidR="00602ABF" w:rsidRPr="00EC326F">
        <w:t xml:space="preserve">together with the </w:t>
      </w:r>
      <w:r w:rsidRPr="00EC326F">
        <w:t>Investment Approach Inter-Departmental Committee (IDC)</w:t>
      </w:r>
      <w:r w:rsidR="00602ABF" w:rsidRPr="00EC326F">
        <w:t xml:space="preserve">. </w:t>
      </w:r>
      <w:r w:rsidR="00C31E83" w:rsidRPr="00EC326F">
        <w:t>As part of these governance arrangements the</w:t>
      </w:r>
      <w:r w:rsidR="00602ABF" w:rsidRPr="00EC326F">
        <w:t xml:space="preserve"> Department has established an Internal Reference Group</w:t>
      </w:r>
      <w:r w:rsidR="00C31E83" w:rsidRPr="00EC326F">
        <w:t xml:space="preserve"> to provide further guidance. The responsibilities for coordinating input from committee members and other Departmental experts rests with the Department.</w:t>
      </w:r>
    </w:p>
    <w:p w14:paraId="238A7112" w14:textId="3C54C364" w:rsidR="00ED40E6" w:rsidRPr="00EC326F" w:rsidRDefault="00ED40E6" w:rsidP="004761EA">
      <w:pPr>
        <w:pStyle w:val="PwCNormal"/>
      </w:pPr>
      <w:r w:rsidRPr="00EC326F">
        <w:t xml:space="preserve">These oversight bodies direct the scope of work, </w:t>
      </w:r>
      <w:r w:rsidR="00FE6D38" w:rsidRPr="00EC326F">
        <w:t xml:space="preserve">direct the development priorities for the model and </w:t>
      </w:r>
      <w:r w:rsidRPr="00EC326F">
        <w:t xml:space="preserve">provide guidance in relation to the basis used to </w:t>
      </w:r>
      <w:r w:rsidR="00FE6D38" w:rsidRPr="00EC326F">
        <w:t xml:space="preserve">establish </w:t>
      </w:r>
      <w:r w:rsidRPr="00EC326F">
        <w:t>model assumptions</w:t>
      </w:r>
      <w:r w:rsidR="00FE6D38" w:rsidRPr="00EC326F">
        <w:t>.</w:t>
      </w:r>
      <w:r w:rsidR="0092720E" w:rsidRPr="0092720E">
        <w:t xml:space="preserve"> In particular, the economic assumptions have been adopted after consultation with the Department and the IDC.</w:t>
      </w:r>
    </w:p>
    <w:p w14:paraId="11209735" w14:textId="77777777" w:rsidR="001F627D" w:rsidRPr="00EC326F" w:rsidRDefault="001F627D" w:rsidP="009800AF">
      <w:pPr>
        <w:pStyle w:val="Heading3ExecutiveSummary"/>
      </w:pPr>
      <w:r w:rsidRPr="00EC326F">
        <w:lastRenderedPageBreak/>
        <w:t>Scope of work</w:t>
      </w:r>
    </w:p>
    <w:p w14:paraId="2A5593AA" w14:textId="77777777" w:rsidR="00ED40E6" w:rsidRPr="00EC326F" w:rsidRDefault="001F627D" w:rsidP="002843A0">
      <w:pPr>
        <w:pStyle w:val="PwCNormal-keepwithnext"/>
        <w:keepLines/>
      </w:pPr>
      <w:r w:rsidRPr="00EC326F">
        <w:t xml:space="preserve">We have valued the payments for which the Department has policy responsibility </w:t>
      </w:r>
      <w:r w:rsidR="001B7C26" w:rsidRPr="00EC326F">
        <w:t>as at 30 June 201</w:t>
      </w:r>
      <w:r w:rsidR="00C31E83" w:rsidRPr="00EC326F">
        <w:t xml:space="preserve">6, together with </w:t>
      </w:r>
      <w:r w:rsidR="00ED40E6" w:rsidRPr="00EC326F">
        <w:t>c</w:t>
      </w:r>
      <w:r w:rsidR="00C31E83" w:rsidRPr="00EC326F">
        <w:t xml:space="preserve">hild </w:t>
      </w:r>
      <w:r w:rsidR="00ED40E6" w:rsidRPr="00EC326F">
        <w:t>c</w:t>
      </w:r>
      <w:r w:rsidR="00C31E83" w:rsidRPr="00EC326F">
        <w:t xml:space="preserve">are payments which were included in the scope of the baseline valuation </w:t>
      </w:r>
      <w:r w:rsidR="00ED40E6" w:rsidRPr="00EC326F">
        <w:t>and have continued to be included for consistency although the portfolio responsibilities for child care</w:t>
      </w:r>
      <w:r w:rsidR="00C31E83" w:rsidRPr="00EC326F">
        <w:t xml:space="preserve"> </w:t>
      </w:r>
      <w:r w:rsidR="00ED40E6" w:rsidRPr="00EC326F">
        <w:t>transitioned to the Department of Education and Training on 21 September 2015.</w:t>
      </w:r>
    </w:p>
    <w:p w14:paraId="300E9835" w14:textId="77777777" w:rsidR="00FE6D38" w:rsidRPr="00EC326F" w:rsidRDefault="00FE6D38" w:rsidP="00FE6D38">
      <w:pPr>
        <w:pStyle w:val="PwCNormal"/>
      </w:pPr>
      <w:r w:rsidRPr="00EC326F">
        <w:t>T</w:t>
      </w:r>
      <w:r w:rsidR="001F627D" w:rsidRPr="00EC326F">
        <w:t xml:space="preserve">he valuation </w:t>
      </w:r>
      <w:r w:rsidRPr="00EC326F">
        <w:t xml:space="preserve">is developed </w:t>
      </w:r>
      <w:r w:rsidR="001F627D" w:rsidRPr="00EC326F">
        <w:t>on the basis that currently legislated policy continues indefinitely.</w:t>
      </w:r>
      <w:r w:rsidR="00305F4B" w:rsidRPr="00EC326F">
        <w:t xml:space="preserve"> For example</w:t>
      </w:r>
      <w:r w:rsidR="003855EF" w:rsidRPr="00EC326F">
        <w:t xml:space="preserve">, future changes to increase the qualifying age for the age pension </w:t>
      </w:r>
      <w:r w:rsidR="00ED40E6" w:rsidRPr="00EC326F">
        <w:t xml:space="preserve">to age 67 </w:t>
      </w:r>
      <w:r w:rsidR="003855EF" w:rsidRPr="00EC326F">
        <w:t xml:space="preserve">have been allowed for (as these </w:t>
      </w:r>
      <w:r w:rsidR="00BB2E24" w:rsidRPr="00EC326F">
        <w:t>we</w:t>
      </w:r>
      <w:r w:rsidR="003855EF" w:rsidRPr="00EC326F">
        <w:t>re already reflected in legislation</w:t>
      </w:r>
      <w:r w:rsidR="00ED40E6" w:rsidRPr="00EC326F">
        <w:t xml:space="preserve"> at 30 June 2016</w:t>
      </w:r>
      <w:r w:rsidR="003855EF" w:rsidRPr="00EC326F">
        <w:t xml:space="preserve">), </w:t>
      </w:r>
      <w:r w:rsidRPr="00EC326F">
        <w:t>however we have not included the parental leave reforms currently being debated.</w:t>
      </w:r>
    </w:p>
    <w:p w14:paraId="3AF1EC9D" w14:textId="77777777" w:rsidR="001F627D" w:rsidRPr="00EC326F" w:rsidRDefault="001F627D" w:rsidP="001F627D">
      <w:pPr>
        <w:pStyle w:val="PwCNormal"/>
      </w:pPr>
      <w:r w:rsidRPr="00EC326F">
        <w:t>The valuation covers all future welfare payments to a closed population for the rest of their natural lives</w:t>
      </w:r>
      <w:r w:rsidR="00B06D6C" w:rsidRPr="00EC326F">
        <w:t xml:space="preserve"> (which is capped at 110 years in the model)</w:t>
      </w:r>
      <w:r w:rsidRPr="00EC326F">
        <w:t xml:space="preserve">. The population used in the valuation model includes all current Australian residents and any current </w:t>
      </w:r>
      <w:r w:rsidR="00EF2B1A" w:rsidRPr="00EC326F">
        <w:t>welfare recipient</w:t>
      </w:r>
      <w:r w:rsidRPr="00EC326F">
        <w:t>s residing overseas.</w:t>
      </w:r>
    </w:p>
    <w:p w14:paraId="6E0F2830" w14:textId="77777777" w:rsidR="008A4218" w:rsidRPr="00EC326F" w:rsidRDefault="008A4218" w:rsidP="00FE6D38">
      <w:pPr>
        <w:pStyle w:val="PwCNormal-keepwithnext"/>
      </w:pPr>
      <w:r w:rsidRPr="00EC326F">
        <w:t xml:space="preserve">The demographic profile of this population and their welfare class at the valuation date is shown below. </w:t>
      </w:r>
    </w:p>
    <w:p w14:paraId="56859B85" w14:textId="77777777" w:rsidR="008A4218" w:rsidRPr="00EC326F" w:rsidRDefault="008A4218" w:rsidP="008A4218">
      <w:pPr>
        <w:pStyle w:val="Caption"/>
      </w:pPr>
      <w:r w:rsidRPr="00EC326F">
        <w:t xml:space="preserve">Figure </w:t>
      </w:r>
      <w:fldSimple w:instr=" SEQ Figure \* ARABIC ">
        <w:r w:rsidR="007A42DF">
          <w:rPr>
            <w:noProof/>
          </w:rPr>
          <w:t>1</w:t>
        </w:r>
      </w:fldSimple>
      <w:r w:rsidRPr="00EC326F">
        <w:t>: Model population with class utilisation (June 201</w:t>
      </w:r>
      <w:r w:rsidR="00FE6D38" w:rsidRPr="00EC326F">
        <w:t>6</w:t>
      </w:r>
      <w:r w:rsidRPr="00EC326F">
        <w:t>)</w:t>
      </w:r>
    </w:p>
    <w:p w14:paraId="5EAC0E50" w14:textId="77777777" w:rsidR="001A6EFD" w:rsidRPr="002A0A1A" w:rsidRDefault="001A6EFD" w:rsidP="001A6EFD">
      <w:pPr>
        <w:pStyle w:val="PwCNormal"/>
      </w:pPr>
      <w:r w:rsidRPr="001A6EFD">
        <w:rPr>
          <w:noProof/>
          <w:lang w:eastAsia="en-AU"/>
        </w:rPr>
        <w:drawing>
          <wp:inline distT="0" distB="0" distL="0" distR="0" wp14:anchorId="30B21F54" wp14:editId="43F6B297">
            <wp:extent cx="4148890" cy="2880000"/>
            <wp:effectExtent l="0" t="0" r="4445" b="0"/>
            <wp:docPr id="296" name="Picture 296" descr="This figure is a horizontal bar chart showing the number of people in the Australian population by age for males and females separately. The vertical axis shows age ranging from 0 to 100. The horizontal axis shows the number of people within each age group (by year of age) ranging from 0 to 200,000. The number of males at each age is shown by the horizontal bars to the left of the vertical axis and the number of females at each age is shown by horizontal bars to the right.&#10;&#10;The bars for each given age and gender are split into the number of people in each of the nine active and two inactive (previous welfare recipients and rest of the Australian population) welfare classes at the valuation date (30 June 2016).&#10;&#10;All 24.2 million people in the model population are represented in the chart. Across both genders, there are on average approximately 300,000 Australians at each age for ages 0 to 18, 330,000 at each age for ages 19 to 50, and a steadily decreasing number by age above age 50 which decreases to around 1,500 people at age 100. &#10;&#10;Up to age 65, the number of males and females by age in the Australian population are broadly similar. After age 65 and up to age 100 there are approximately 15% more females than males.&#10;&#10;The following other features can also be seen:&#10;• a large proportion of over 65’s are people in receipt of Commonwealth welfare payments (as would be expected)&#10;• people only generally access the payment system directly from their late teens onwards&#10;• there is a significant group of females and a smaller group of males receiving Parenting payments or ‘Non IS Family’ payments (which is primarily FTB and/or child care payments)&#10;• there is a slight increase in payment utilisation in the years leading up to retirement age&#10;• there are other differences in payment system utilisation between genders – which may relate to the variation in roles performed by each gender, differences in longevity and differences in lifetime incomes.&#10;" title=" Model population with class utilisation (June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8890" cy="2880000"/>
                    </a:xfrm>
                    <a:prstGeom prst="rect">
                      <a:avLst/>
                    </a:prstGeom>
                    <a:noFill/>
                    <a:ln>
                      <a:noFill/>
                    </a:ln>
                  </pic:spPr>
                </pic:pic>
              </a:graphicData>
            </a:graphic>
          </wp:inline>
        </w:drawing>
      </w:r>
    </w:p>
    <w:p w14:paraId="09ADFA78" w14:textId="224A3504" w:rsidR="00A91D4B" w:rsidRPr="00EC326F" w:rsidRDefault="00A91D4B" w:rsidP="00A91D4B">
      <w:pPr>
        <w:pStyle w:val="PwCNormal"/>
        <w:rPr>
          <w:snapToGrid/>
          <w:lang w:eastAsia="en-AU"/>
        </w:rPr>
      </w:pPr>
      <w:r w:rsidRPr="00EC326F">
        <w:rPr>
          <w:snapToGrid/>
          <w:lang w:eastAsia="en-AU"/>
        </w:rPr>
        <w:t xml:space="preserve">This population pyramid illustrates a number of broad features of the welfare payment system, such as the way in which </w:t>
      </w:r>
      <w:r w:rsidR="001C5347">
        <w:rPr>
          <w:snapToGrid/>
          <w:lang w:eastAsia="en-AU"/>
        </w:rPr>
        <w:t xml:space="preserve">men </w:t>
      </w:r>
      <w:r w:rsidRPr="00EC326F">
        <w:rPr>
          <w:snapToGrid/>
          <w:lang w:eastAsia="en-AU"/>
        </w:rPr>
        <w:t xml:space="preserve">and </w:t>
      </w:r>
      <w:r w:rsidR="00397976" w:rsidRPr="00EC326F">
        <w:rPr>
          <w:snapToGrid/>
          <w:lang w:eastAsia="en-AU"/>
        </w:rPr>
        <w:t>women</w:t>
      </w:r>
      <w:r w:rsidRPr="00EC326F">
        <w:rPr>
          <w:snapToGrid/>
          <w:lang w:eastAsia="en-AU"/>
        </w:rPr>
        <w:t xml:space="preserve"> access different supports at different stages of life, and the large proportion of the population at older ages who access the age pension.</w:t>
      </w:r>
    </w:p>
    <w:p w14:paraId="726E742E" w14:textId="77777777" w:rsidR="005617D8" w:rsidRPr="00EC326F" w:rsidRDefault="005617D8" w:rsidP="005617D8">
      <w:pPr>
        <w:pStyle w:val="Heading2ExecutiveSummary"/>
        <w:rPr>
          <w:snapToGrid/>
          <w:lang w:eastAsia="en-AU"/>
        </w:rPr>
      </w:pPr>
      <w:r w:rsidRPr="00EC326F">
        <w:rPr>
          <w:snapToGrid/>
          <w:lang w:eastAsia="en-AU"/>
        </w:rPr>
        <w:t>Developments since the baseline valuation</w:t>
      </w:r>
    </w:p>
    <w:p w14:paraId="126BF775" w14:textId="77777777" w:rsidR="00B71296" w:rsidRPr="00EC326F" w:rsidRDefault="00B71296" w:rsidP="00B71296">
      <w:pPr>
        <w:pStyle w:val="Heading3ExecutiveSummary"/>
        <w:rPr>
          <w:snapToGrid/>
          <w:lang w:eastAsia="en-AU"/>
        </w:rPr>
      </w:pPr>
      <w:r w:rsidRPr="00EC326F">
        <w:rPr>
          <w:snapToGrid/>
          <w:lang w:eastAsia="en-AU"/>
        </w:rPr>
        <w:t>Changes to the actuarial valuation model</w:t>
      </w:r>
    </w:p>
    <w:p w14:paraId="530108F6" w14:textId="77777777" w:rsidR="00B71296" w:rsidRPr="00EC326F" w:rsidRDefault="00B71296" w:rsidP="00B71296">
      <w:pPr>
        <w:pStyle w:val="PwCNormal"/>
        <w:numPr>
          <w:ilvl w:val="0"/>
          <w:numId w:val="1"/>
        </w:numPr>
      </w:pPr>
      <w:r w:rsidRPr="00EC326F">
        <w:t>The actuarial valuation model has been designed to provide the Department with a comprehensive and flexible platform that can be further developed over time. This platform includes the ability to generate results for the whole population, for sub-groups, for different scenarios and for different sets of assumptions. It provides the Department with the option of extending the model by including more data or refining it through the inclusion of more sophisticated assumptions as time progresses.</w:t>
      </w:r>
    </w:p>
    <w:p w14:paraId="69C1ADD1" w14:textId="77777777" w:rsidR="00B71296" w:rsidRPr="00EC326F" w:rsidRDefault="00B71296" w:rsidP="00B71296">
      <w:pPr>
        <w:pStyle w:val="PwCNormal"/>
        <w:numPr>
          <w:ilvl w:val="0"/>
          <w:numId w:val="1"/>
        </w:numPr>
      </w:pPr>
      <w:r w:rsidRPr="00EC326F">
        <w:t xml:space="preserve">As noted in the baseline valuation report the intention is for the model to continue to be developed by PwC, in conjunction with the Department, over the years of PwC’s contract. Model developments will serve to further refine the analysis and provide further insights through exploring the use of more data. </w:t>
      </w:r>
    </w:p>
    <w:p w14:paraId="46360CB5" w14:textId="77777777" w:rsidR="00B71296" w:rsidRPr="00EC326F" w:rsidRDefault="00B71296" w:rsidP="00B71296">
      <w:pPr>
        <w:pStyle w:val="PwCNormal"/>
        <w:numPr>
          <w:ilvl w:val="0"/>
          <w:numId w:val="1"/>
        </w:numPr>
      </w:pPr>
      <w:r w:rsidRPr="00EC326F">
        <w:t>The priorities for model improvement were identified by the Department and a development plan for the 2016 valuation was agreed in conjunction with the Department and IDC. This resulted in a number of significant changes to the valuation model and an overview of these is provided in the remainder of this section.</w:t>
      </w:r>
    </w:p>
    <w:p w14:paraId="2292572B" w14:textId="77777777" w:rsidR="00B71296" w:rsidRPr="00EC326F" w:rsidRDefault="00B71296" w:rsidP="00B71296">
      <w:pPr>
        <w:pStyle w:val="Minorheading"/>
      </w:pPr>
      <w:r w:rsidRPr="00EC326F">
        <w:lastRenderedPageBreak/>
        <w:t>The economic module</w:t>
      </w:r>
    </w:p>
    <w:p w14:paraId="6326D72C" w14:textId="77777777" w:rsidR="00B71296" w:rsidRPr="00EC326F" w:rsidRDefault="00B71296" w:rsidP="002843A0">
      <w:pPr>
        <w:pStyle w:val="PwCNormal-keepwithnext"/>
      </w:pPr>
      <w:r w:rsidRPr="00EC326F">
        <w:t>The valuation model design included an economic module which was not developed as part of the baseline valuation but has now been developed and included for the 2016 valuation.</w:t>
      </w:r>
    </w:p>
    <w:p w14:paraId="6419A8EB" w14:textId="77777777" w:rsidR="00B71296" w:rsidRPr="00EC326F" w:rsidRDefault="00B71296" w:rsidP="00B71296">
      <w:pPr>
        <w:pStyle w:val="PwCNormal"/>
        <w:numPr>
          <w:ilvl w:val="0"/>
          <w:numId w:val="0"/>
        </w:numPr>
      </w:pPr>
      <w:r w:rsidRPr="00EC326F">
        <w:t>This module has been used to understand the extent to which the macro-economic environment influences welfare utilisation and the extent to which the size and mix of current welfare recipients has been influenced by the economy. Its introduction facilitates the modelling of an explicit scenario for the future macro-economic environment in place of the implicit scenario used for the baseline valuation. It also allows us to explore the potential impact of different scenarios of future economic conditions.</w:t>
      </w:r>
    </w:p>
    <w:p w14:paraId="47723BD4" w14:textId="77777777" w:rsidR="00B71296" w:rsidRPr="00EC326F" w:rsidRDefault="00B71296" w:rsidP="00B71296">
      <w:pPr>
        <w:pStyle w:val="PwCNormal"/>
        <w:numPr>
          <w:ilvl w:val="0"/>
          <w:numId w:val="0"/>
        </w:numPr>
      </w:pPr>
      <w:r w:rsidRPr="00EC326F">
        <w:t xml:space="preserve">The current version of the economic module focusses on the strongest relationships which have been identified, in particular those relating to utilisation of working age payments. Further development of the module may be considered in future, as a greater body of reference data becomes available for analysis. </w:t>
      </w:r>
    </w:p>
    <w:p w14:paraId="046E028B" w14:textId="77777777" w:rsidR="00B71296" w:rsidRPr="00EC326F" w:rsidRDefault="00B71296" w:rsidP="00B71296">
      <w:pPr>
        <w:pStyle w:val="Minorheading"/>
      </w:pPr>
      <w:r w:rsidRPr="00EC326F">
        <w:t>Consideration of additional modelling variables</w:t>
      </w:r>
    </w:p>
    <w:p w14:paraId="0B644FC3" w14:textId="77777777" w:rsidR="00B71296" w:rsidRPr="00EC326F" w:rsidRDefault="00B71296" w:rsidP="00B71296">
      <w:pPr>
        <w:pStyle w:val="PwCNormal"/>
        <w:numPr>
          <w:ilvl w:val="0"/>
          <w:numId w:val="1"/>
        </w:numPr>
      </w:pPr>
      <w:r w:rsidRPr="00EC326F">
        <w:t>The baseline model use</w:t>
      </w:r>
      <w:r w:rsidR="00145BAE">
        <w:t>d</w:t>
      </w:r>
      <w:r w:rsidRPr="00EC326F">
        <w:t xml:space="preserve"> sophisticated assumptions in many areas – for example, whether someone is partnered or not, how many children they have and at what ages, their highest attained level of education, duration in class, and other important factors affecting their payment eligibility and risk profile. However, there are other person characteristics which are likely to influence people</w:t>
      </w:r>
      <w:r w:rsidR="00B721FA">
        <w:t>’</w:t>
      </w:r>
      <w:r w:rsidRPr="00EC326F">
        <w:t xml:space="preserve">s welfare outcomes and a number of these have been </w:t>
      </w:r>
      <w:r w:rsidR="00145BAE">
        <w:t>introduced into</w:t>
      </w:r>
      <w:r w:rsidRPr="00EC326F">
        <w:t xml:space="preserve"> the model at this valuation</w:t>
      </w:r>
      <w:r w:rsidR="00B96B29" w:rsidRPr="00EC326F">
        <w:t>.</w:t>
      </w:r>
    </w:p>
    <w:p w14:paraId="2254A756" w14:textId="13E0A8FB" w:rsidR="00B71296" w:rsidRPr="00EC326F" w:rsidRDefault="00B71296" w:rsidP="00B71296">
      <w:pPr>
        <w:pStyle w:val="PwCNormal"/>
        <w:numPr>
          <w:ilvl w:val="0"/>
          <w:numId w:val="1"/>
        </w:numPr>
      </w:pPr>
      <w:r w:rsidRPr="00EC326F">
        <w:t xml:space="preserve">These additional </w:t>
      </w:r>
      <w:r w:rsidR="007C1B83" w:rsidRPr="00EC326F">
        <w:t xml:space="preserve">class characteristic </w:t>
      </w:r>
      <w:r w:rsidRPr="00EC326F">
        <w:t>variables focus on the pre-retirement income support classes and the carer non income support class. The</w:t>
      </w:r>
      <w:r w:rsidR="007C1B83" w:rsidRPr="00EC326F">
        <w:t>y</w:t>
      </w:r>
      <w:r w:rsidRPr="00EC326F">
        <w:t xml:space="preserve"> vary by class and include payment type, an employment earnings indicator, information on the medical condition of disability support pension recipients and for the </w:t>
      </w:r>
      <w:r w:rsidR="00FE6871">
        <w:t>care recipients</w:t>
      </w:r>
      <w:r w:rsidRPr="00EC326F">
        <w:t xml:space="preserve"> of people receiving carer payments. Further variables for the ages of people receiving care and their relationships to the carer have been included for carer payment recipients and for the numbers of adults and children receiving care for those people receiving carer non income support payments.</w:t>
      </w:r>
      <w:r w:rsidR="00B96B29" w:rsidRPr="00EC326F">
        <w:t xml:space="preserve"> These variables are referred to as class characteristic variables.</w:t>
      </w:r>
    </w:p>
    <w:p w14:paraId="24A44A43" w14:textId="77777777" w:rsidR="00B71296" w:rsidRDefault="00B71296" w:rsidP="00B71296">
      <w:pPr>
        <w:pStyle w:val="PwCNormal"/>
        <w:numPr>
          <w:ilvl w:val="0"/>
          <w:numId w:val="1"/>
        </w:numPr>
      </w:pPr>
      <w:r w:rsidRPr="00EC326F">
        <w:t xml:space="preserve">As the model </w:t>
      </w:r>
      <w:r w:rsidR="00686700">
        <w:t>was further developed</w:t>
      </w:r>
      <w:r w:rsidRPr="00EC326F">
        <w:t xml:space="preserve"> to include these additional risk factors the total lifetime cost would be expected to remain fairly similar, however it will differentiate more between groups of people </w:t>
      </w:r>
      <w:r w:rsidR="00145BAE">
        <w:t xml:space="preserve">with different characteristics </w:t>
      </w:r>
      <w:r w:rsidRPr="00EC326F">
        <w:t>and achieve greater accuracy in the average lifetime cost information and future welfare system use information for increasingly refined groups</w:t>
      </w:r>
      <w:r w:rsidR="00686700">
        <w:t xml:space="preserve"> of people</w:t>
      </w:r>
      <w:r w:rsidRPr="00EC326F">
        <w:t xml:space="preserve">. </w:t>
      </w:r>
    </w:p>
    <w:p w14:paraId="4DC1B2C6" w14:textId="77777777" w:rsidR="00145BAE" w:rsidRPr="00EC326F" w:rsidRDefault="00145BAE" w:rsidP="00B71296">
      <w:pPr>
        <w:pStyle w:val="PwCNormal"/>
        <w:numPr>
          <w:ilvl w:val="0"/>
          <w:numId w:val="1"/>
        </w:numPr>
      </w:pPr>
      <w:r>
        <w:t xml:space="preserve">Through adding this additional functionality the valuation model which has been provided to the Department can be used to explore the different </w:t>
      </w:r>
      <w:r w:rsidR="00705B2E">
        <w:t xml:space="preserve">expected </w:t>
      </w:r>
      <w:r>
        <w:t>outcomes for groups specified using both the new modelling variables and those already included in the baseline valuation</w:t>
      </w:r>
      <w:r w:rsidR="00705B2E">
        <w:t>.</w:t>
      </w:r>
      <w:r>
        <w:t xml:space="preserve"> </w:t>
      </w:r>
    </w:p>
    <w:p w14:paraId="1AF425E1" w14:textId="77777777" w:rsidR="00B71296" w:rsidRPr="00EC326F" w:rsidRDefault="00B71296" w:rsidP="00B71296">
      <w:pPr>
        <w:pStyle w:val="Minorheading"/>
      </w:pPr>
      <w:r w:rsidRPr="00EC326F">
        <w:t>Refinements to other modules</w:t>
      </w:r>
    </w:p>
    <w:p w14:paraId="235DFB50" w14:textId="77777777" w:rsidR="00B71296" w:rsidRPr="00EC326F" w:rsidRDefault="00B71296" w:rsidP="00B71296">
      <w:pPr>
        <w:pStyle w:val="PwCNormal"/>
        <w:numPr>
          <w:ilvl w:val="0"/>
          <w:numId w:val="0"/>
        </w:numPr>
      </w:pPr>
      <w:r w:rsidRPr="00EC326F">
        <w:t>Refinements have been made to a number of the other modules to improve the accuracy of the information developed through the valuation model. Th</w:t>
      </w:r>
      <w:r w:rsidR="00686700">
        <w:t>ey</w:t>
      </w:r>
      <w:r w:rsidRPr="00EC326F">
        <w:t xml:space="preserve"> include: separate modelling of rent assistance payments; extending the use of risk based assumptions to cover more assumption sets; recalibrating the demographic assumptions and fine-tuning the calibration processes for the class movement assumptions.</w:t>
      </w:r>
    </w:p>
    <w:p w14:paraId="677EE5FB" w14:textId="77777777" w:rsidR="00B71296" w:rsidRPr="00EC326F" w:rsidRDefault="00B71296" w:rsidP="00B71296">
      <w:pPr>
        <w:pStyle w:val="Heading3ExecutiveSummary"/>
      </w:pPr>
      <w:r w:rsidRPr="00EC326F">
        <w:t>Changes to policy settings</w:t>
      </w:r>
    </w:p>
    <w:p w14:paraId="0A49B7B0" w14:textId="77777777" w:rsidR="00B71296" w:rsidRPr="00EC326F" w:rsidRDefault="00B71296" w:rsidP="00B71296">
      <w:pPr>
        <w:pStyle w:val="PwCNormal"/>
        <w:numPr>
          <w:ilvl w:val="0"/>
          <w:numId w:val="0"/>
        </w:numPr>
      </w:pPr>
      <w:r w:rsidRPr="00EC326F">
        <w:t xml:space="preserve">The 2016 valuation </w:t>
      </w:r>
      <w:r w:rsidR="000D7DDD">
        <w:t>reflects material</w:t>
      </w:r>
      <w:r w:rsidRPr="00EC326F">
        <w:t xml:space="preserve"> changes to policy settings that have been legislated over the twelve month period from 1 July 2015 to 30 June 2016 inclusive. This has included a number of changes which are listed in Appendix A. Of these, the changes expected to have the biggest impact on the valuation are: the replacement of the Student Start up Scholarship with the Student Start up Loan; the cessation of the Large Family Supplement; the changes to FTB Part B and the changes to the child care payment eligibility criteria.</w:t>
      </w:r>
    </w:p>
    <w:p w14:paraId="491884D2" w14:textId="77777777" w:rsidR="00B71296" w:rsidRPr="00EC326F" w:rsidRDefault="00B71296" w:rsidP="00B71296">
      <w:pPr>
        <w:pStyle w:val="Heading3ExecutiveSummary"/>
      </w:pPr>
      <w:r w:rsidRPr="00EC326F">
        <w:t>Changes to experience</w:t>
      </w:r>
    </w:p>
    <w:p w14:paraId="4CAC5ABC" w14:textId="77777777" w:rsidR="00B71296" w:rsidRPr="00EC326F" w:rsidRDefault="00B71296" w:rsidP="00B71296">
      <w:pPr>
        <w:pStyle w:val="PwCNormal"/>
        <w:numPr>
          <w:ilvl w:val="0"/>
          <w:numId w:val="0"/>
        </w:numPr>
      </w:pPr>
      <w:r w:rsidRPr="00EC326F">
        <w:t>The valuation has been developed with reference to the administrative data as at 30 June 2016 with the population information and all the main model assumptions being updated to reflect the latest experience.</w:t>
      </w:r>
    </w:p>
    <w:p w14:paraId="0B21AE19" w14:textId="77777777" w:rsidR="00B71296" w:rsidRPr="00EC326F" w:rsidRDefault="00B71296" w:rsidP="00B71296">
      <w:pPr>
        <w:pStyle w:val="PwCNormal"/>
        <w:numPr>
          <w:ilvl w:val="0"/>
          <w:numId w:val="0"/>
        </w:numPr>
      </w:pPr>
      <w:r w:rsidRPr="00EC326F">
        <w:t>Many elements of the experience would be expected to change little from one valuation to the next, or to show gradual trends as a result of changes to the external environment or to population demographics. Other assumptions will change more materially, most typically as a result of changes in policy settings or operational activities.</w:t>
      </w:r>
    </w:p>
    <w:p w14:paraId="2620B9B8" w14:textId="77777777" w:rsidR="00686700" w:rsidRPr="00686700" w:rsidRDefault="00B71296" w:rsidP="00B71296">
      <w:pPr>
        <w:pStyle w:val="PwCNormal"/>
        <w:numPr>
          <w:ilvl w:val="0"/>
          <w:numId w:val="0"/>
        </w:numPr>
      </w:pPr>
      <w:r w:rsidRPr="00686700">
        <w:lastRenderedPageBreak/>
        <w:t xml:space="preserve">A key focus of the valuation analysis has been to identify and explore the changes in experience since the previous valuation. The valuation assumptions have been updated accordingly, so that they reflect the most up to date view available of the expected experience under current policy settings. Commentary is provided throughout the report on the main areas where changes have been observed. </w:t>
      </w:r>
    </w:p>
    <w:p w14:paraId="50818A01" w14:textId="77777777" w:rsidR="001F627D" w:rsidRPr="00EC326F" w:rsidRDefault="001F627D" w:rsidP="000A7A1E">
      <w:pPr>
        <w:pStyle w:val="Heading2ExecutiveSummary"/>
      </w:pPr>
      <w:r w:rsidRPr="00EC326F">
        <w:t>Results</w:t>
      </w:r>
    </w:p>
    <w:p w14:paraId="1498311E" w14:textId="77777777" w:rsidR="00B71296" w:rsidRPr="00EC326F" w:rsidRDefault="00B71296" w:rsidP="00B71296">
      <w:pPr>
        <w:pStyle w:val="Heading3ExecutiveSummary"/>
      </w:pPr>
      <w:r w:rsidRPr="00EC326F">
        <w:t>Total lifetime cost</w:t>
      </w:r>
    </w:p>
    <w:p w14:paraId="2DA0FCD4" w14:textId="77777777" w:rsidR="00B71296" w:rsidRPr="00EC326F" w:rsidRDefault="00B71296" w:rsidP="00B71296">
      <w:pPr>
        <w:pStyle w:val="PwCNormal"/>
        <w:numPr>
          <w:ilvl w:val="0"/>
          <w:numId w:val="0"/>
        </w:numPr>
      </w:pPr>
      <w:r w:rsidRPr="00EC326F">
        <w:t>The key result of the actuarial valuation is the total lifetime cost, which is defined at the valuation date as the net present value of future in-scope payments made to all people in the model population over the remainder of their natural lifetimes.</w:t>
      </w:r>
    </w:p>
    <w:p w14:paraId="14101BF2" w14:textId="77777777" w:rsidR="00B71296" w:rsidRPr="00EC326F" w:rsidRDefault="00B71296" w:rsidP="00B71296">
      <w:pPr>
        <w:pStyle w:val="PwCNormal"/>
        <w:numPr>
          <w:ilvl w:val="0"/>
          <w:numId w:val="0"/>
        </w:numPr>
      </w:pPr>
      <w:r w:rsidRPr="00EC326F">
        <w:t>The total lifetime cost can be assessed for any group of people within the model population. In the discussion on the results we examine the total lifetime cost for the whole model population and for four groups of people in the starting population:</w:t>
      </w:r>
    </w:p>
    <w:p w14:paraId="490CDEF7" w14:textId="77777777" w:rsidR="00B71296" w:rsidRPr="00EC326F" w:rsidRDefault="00B71296" w:rsidP="00B71296">
      <w:pPr>
        <w:pStyle w:val="ListBullet"/>
      </w:pPr>
      <w:r w:rsidRPr="00EC326F">
        <w:t xml:space="preserve">Current welfare recipients - this includes any person who received a payment in the 2015/16 year. </w:t>
      </w:r>
    </w:p>
    <w:p w14:paraId="0DD29196" w14:textId="77777777" w:rsidR="00B71296" w:rsidRPr="00EC326F" w:rsidRDefault="00B71296" w:rsidP="00B71296">
      <w:pPr>
        <w:pStyle w:val="ListBullet"/>
      </w:pPr>
      <w:r w:rsidRPr="00EC326F">
        <w:t xml:space="preserve">Recent exits – people who exited a welfare recipient class in the last three years. This is people who would be assigned to one of the welfare recipient classes (classes 1-9) at 30 June 2013, 30 June 2014, or 30 June 2015 but do not fall into one of these classes at 30 June 2016. </w:t>
      </w:r>
    </w:p>
    <w:p w14:paraId="6227D186" w14:textId="77777777" w:rsidR="00B71296" w:rsidRPr="00EC326F" w:rsidRDefault="00B71296" w:rsidP="00B71296">
      <w:pPr>
        <w:pStyle w:val="ListBullet"/>
      </w:pPr>
      <w:r w:rsidRPr="00EC326F">
        <w:t xml:space="preserve">Older exits – other people who are known to have previously received a payment </w:t>
      </w:r>
    </w:p>
    <w:p w14:paraId="2C9DFE10" w14:textId="77777777" w:rsidR="00B71296" w:rsidRPr="00EC326F" w:rsidRDefault="00B71296" w:rsidP="00B71296">
      <w:pPr>
        <w:pStyle w:val="ListBullet"/>
      </w:pPr>
      <w:r w:rsidRPr="00EC326F">
        <w:t>Rest of the Australian Population – the remainder of the model population.</w:t>
      </w:r>
    </w:p>
    <w:p w14:paraId="4428735E" w14:textId="77777777" w:rsidR="00B71296" w:rsidRPr="00EC326F" w:rsidRDefault="00B71296" w:rsidP="00B71296">
      <w:pPr>
        <w:pStyle w:val="PwCNormal"/>
        <w:numPr>
          <w:ilvl w:val="0"/>
          <w:numId w:val="1"/>
        </w:numPr>
      </w:pPr>
      <w:r w:rsidRPr="00EC326F">
        <w:t xml:space="preserve">Future migrants and unborn children are not included in the estimate of total lifetime cost, but will appear in future valuations once they migrate or are born, and at that time will contribute to an increase in the total lifetime cost. </w:t>
      </w:r>
    </w:p>
    <w:p w14:paraId="5EDEC8E5" w14:textId="77777777" w:rsidR="00B71296" w:rsidRPr="00EC326F" w:rsidRDefault="00B71296" w:rsidP="00B71296">
      <w:pPr>
        <w:pStyle w:val="Heading3ExecutiveSummary"/>
      </w:pPr>
      <w:r w:rsidRPr="00EC326F">
        <w:t>Average lifetime cost</w:t>
      </w:r>
    </w:p>
    <w:p w14:paraId="23CDDAAD" w14:textId="1A3D2C90" w:rsidR="00B71296" w:rsidRPr="00EC326F" w:rsidRDefault="00B71296" w:rsidP="00B71296">
      <w:pPr>
        <w:pStyle w:val="PwCNormal"/>
        <w:numPr>
          <w:ilvl w:val="0"/>
          <w:numId w:val="1"/>
        </w:numPr>
        <w:rPr>
          <w:rFonts w:cstheme="minorHAnsi"/>
        </w:rPr>
      </w:pPr>
      <w:r w:rsidRPr="00EC326F">
        <w:t xml:space="preserve">For any group of people the lifetime cost can be considered in terms of the number of people in the group and the lifetime cost per person. Through this report we use the term </w:t>
      </w:r>
      <w:r w:rsidRPr="00EC326F">
        <w:rPr>
          <w:b/>
        </w:rPr>
        <w:t>average lifetime cost</w:t>
      </w:r>
      <w:r w:rsidRPr="00EC326F">
        <w:t xml:space="preserve"> to refer to the per person</w:t>
      </w:r>
      <w:r w:rsidR="00FB0893">
        <w:t xml:space="preserve"> future</w:t>
      </w:r>
      <w:r w:rsidRPr="00EC326F">
        <w:t xml:space="preserve"> lifetime cost for a group of people.</w:t>
      </w:r>
    </w:p>
    <w:p w14:paraId="2B4ADE63" w14:textId="77777777" w:rsidR="00B71296" w:rsidRPr="00EC326F" w:rsidRDefault="00B71296" w:rsidP="00B71296">
      <w:pPr>
        <w:pStyle w:val="PwCNormal"/>
        <w:numPr>
          <w:ilvl w:val="0"/>
          <w:numId w:val="1"/>
        </w:numPr>
      </w:pPr>
      <w:r w:rsidRPr="00EC326F">
        <w:rPr>
          <w:rFonts w:cstheme="minorHAnsi"/>
        </w:rPr>
        <w:t>Note that while the model does simulate the lifetime trajectory of each individual, it is only intended that results ever be considered for a similar group of individuals – either in total or on average for that group.</w:t>
      </w:r>
      <w:r w:rsidRPr="00EC326F">
        <w:t xml:space="preserve"> </w:t>
      </w:r>
    </w:p>
    <w:p w14:paraId="72425700" w14:textId="77777777" w:rsidR="00B71296" w:rsidRPr="00EC326F" w:rsidRDefault="00B71296" w:rsidP="00B71296">
      <w:pPr>
        <w:pStyle w:val="Heading3ExecutiveSummary"/>
      </w:pPr>
      <w:r w:rsidRPr="00EC326F">
        <w:t>Lifetime cost results by class</w:t>
      </w:r>
    </w:p>
    <w:p w14:paraId="76108F70" w14:textId="75B95BEF" w:rsidR="00B71296" w:rsidRDefault="00B71296" w:rsidP="00B71296">
      <w:pPr>
        <w:pStyle w:val="PwCNormal"/>
        <w:numPr>
          <w:ilvl w:val="0"/>
          <w:numId w:val="0"/>
        </w:numPr>
      </w:pPr>
      <w:r w:rsidRPr="00EC326F">
        <w:t xml:space="preserve">The total lifetime cost for the model population is estimated to be </w:t>
      </w:r>
      <w:r w:rsidRPr="00EC326F">
        <w:rPr>
          <w:b/>
        </w:rPr>
        <w:t>$4,51</w:t>
      </w:r>
      <w:r w:rsidR="00960BC8">
        <w:rPr>
          <w:b/>
        </w:rPr>
        <w:t>4</w:t>
      </w:r>
      <w:r w:rsidRPr="00EC326F">
        <w:rPr>
          <w:b/>
        </w:rPr>
        <w:t xml:space="preserve"> billion</w:t>
      </w:r>
      <w:r w:rsidRPr="00EC326F">
        <w:t xml:space="preserve"> as at 30 June 2016, in respect of the </w:t>
      </w:r>
      <w:r w:rsidRPr="00EC326F">
        <w:rPr>
          <w:b/>
        </w:rPr>
        <w:t>24.2 million</w:t>
      </w:r>
      <w:r w:rsidRPr="00EC326F">
        <w:t xml:space="preserve"> people included in the model population. This is a substantial and somewhat uncertain figure, but does lend itself to longer term thinking about the dynamics and cost of the welfare system; it can be considered a benchmark against which the potential impact on the total lifetime cost of policy changes can be assessed. </w:t>
      </w:r>
    </w:p>
    <w:p w14:paraId="2692CD7E" w14:textId="389D8AC5" w:rsidR="00EE0666" w:rsidRPr="00EC326F" w:rsidRDefault="00EE0666" w:rsidP="00B71296">
      <w:pPr>
        <w:pStyle w:val="PwCNormal"/>
        <w:numPr>
          <w:ilvl w:val="0"/>
          <w:numId w:val="0"/>
        </w:numPr>
      </w:pPr>
      <w:r>
        <w:t xml:space="preserve">Further, changes in the numbers of people in each class and in the lifetime costs can be used to help understand the need for policies to support groups in the population and to help understand the effectiveness of such policies. </w:t>
      </w:r>
    </w:p>
    <w:p w14:paraId="745BA003" w14:textId="77777777" w:rsidR="00B71296" w:rsidRPr="00EC326F" w:rsidRDefault="00B71296" w:rsidP="00B71296">
      <w:pPr>
        <w:pStyle w:val="PwCNormal-keepwithnext"/>
        <w:numPr>
          <w:ilvl w:val="0"/>
          <w:numId w:val="1"/>
        </w:numPr>
      </w:pPr>
      <w:r w:rsidRPr="00EC326F">
        <w:lastRenderedPageBreak/>
        <w:t>The following table summarises some key figures underpinning this figure, by the sub groups discussed above and by class:</w:t>
      </w:r>
    </w:p>
    <w:p w14:paraId="7A169BAE" w14:textId="77777777" w:rsidR="00B71296" w:rsidRPr="00EC326F" w:rsidRDefault="00B71296" w:rsidP="00B71296">
      <w:pPr>
        <w:pStyle w:val="Caption"/>
      </w:pPr>
      <w:r w:rsidRPr="00EC326F">
        <w:t xml:space="preserve">Table </w:t>
      </w:r>
      <w:fldSimple w:instr=" SEQ Table \* ARABIC ">
        <w:r w:rsidR="007A42DF">
          <w:rPr>
            <w:noProof/>
          </w:rPr>
          <w:t>1</w:t>
        </w:r>
      </w:fldSimple>
      <w:r w:rsidRPr="00EC326F">
        <w:t>: Summary of key valuation results (30 June 2016 valuation)</w:t>
      </w:r>
    </w:p>
    <w:tbl>
      <w:tblPr>
        <w:tblW w:w="9270" w:type="dxa"/>
        <w:tblInd w:w="57" w:type="dxa"/>
        <w:tblLayout w:type="fixed"/>
        <w:tblCellMar>
          <w:left w:w="113" w:type="dxa"/>
          <w:right w:w="113" w:type="dxa"/>
        </w:tblCellMar>
        <w:tblLook w:val="04A0" w:firstRow="1" w:lastRow="0" w:firstColumn="1" w:lastColumn="0" w:noHBand="0" w:noVBand="1"/>
        <w:tblCaption w:val=" Summary of key valuation results (30 June 2016 valuation)&#10;&#10;"/>
        <w:tblDescription w:val="This table lists figures for current welfare recipients in several categories, as well as previous welfare recipients and the rest of the Australian resident population. &#10;&#10;The categories given for current welfare recipients are: studying payments, working age payments, parenting payments, carer payments, disability support, age pensioners, family (non-income support), carer (non-income support) and other (non-income support), as well as a total for all current welfare recipients. Previous welfare recipients are divided into those that exited within 1 to 3 years, and those who took 4 or more years, as well as a combined total.&#10;&#10;For each category, the horizontal axis shows the number of people in the population, their average age, their lifetime cost in billions of dollars, the average payment that was made to them in 2015/2016, their average lifetime cost, the ratio of total average lifetime cost to the average 2015/2016 payment and the expected proportion of future lifetime in income support classes.&#10;&#10;The largest lifetime costs are the age pension, at 518 billion dollars, followed by working age payments at $401 billion, and then disability payments and family non-income support and at 352 and 301 billion respectively. Disability support and age pensioners were expected to spend the highest proportion of their future lifetime in IS classes (96% of their future lifetime, others ranged from 40 to 85 per cent. Parenting, carer and disability payment recipients received the highest per-person average amounts, with $29,700, $26,800 and $22,100 each, compared to $17,100 for aged pensioners and $11,300 for working age recipients. &#10;&#10;There are 4.2 million previous welfare recipients, who have an average age of 44 years. Their lifetime cost is 652 billion dollars, and they have a lifetime cost of $156,000 per person.&#10;&#10;The rest of the Australian population has 11.9 million people, an average age of 28 years, and will have an average lifetime cost of $148,000 per person.&#10;"/>
      </w:tblPr>
      <w:tblGrid>
        <w:gridCol w:w="2750"/>
        <w:gridCol w:w="987"/>
        <w:gridCol w:w="855"/>
        <w:gridCol w:w="855"/>
        <w:gridCol w:w="993"/>
        <w:gridCol w:w="925"/>
        <w:gridCol w:w="892"/>
        <w:gridCol w:w="1013"/>
      </w:tblGrid>
      <w:tr w:rsidR="00B71296" w:rsidRPr="00EC326F" w14:paraId="787F86D0" w14:textId="77777777" w:rsidTr="00686700">
        <w:trPr>
          <w:trHeight w:val="1114"/>
          <w:tblHeader/>
        </w:trPr>
        <w:tc>
          <w:tcPr>
            <w:tcW w:w="2750" w:type="dxa"/>
            <w:tcBorders>
              <w:top w:val="single" w:sz="4" w:space="0" w:color="E02628"/>
              <w:left w:val="nil"/>
              <w:bottom w:val="single" w:sz="4" w:space="0" w:color="FFFFFF" w:themeColor="background1"/>
              <w:right w:val="single" w:sz="4" w:space="0" w:color="FFFFFF"/>
            </w:tcBorders>
            <w:shd w:val="clear" w:color="auto" w:fill="E02628"/>
            <w:hideMark/>
          </w:tcPr>
          <w:p w14:paraId="505F6782" w14:textId="77777777" w:rsidR="00B71296" w:rsidRPr="00EC326F" w:rsidRDefault="00B71296" w:rsidP="00686700">
            <w:pPr>
              <w:pStyle w:val="PwCNormal"/>
              <w:keepNext/>
              <w:numPr>
                <w:ilvl w:val="0"/>
                <w:numId w:val="1"/>
              </w:numPr>
              <w:rPr>
                <w:b/>
                <w:snapToGrid/>
                <w:color w:val="FFFFFF" w:themeColor="background1"/>
                <w:sz w:val="14"/>
                <w:szCs w:val="14"/>
                <w:lang w:eastAsia="en-AU"/>
              </w:rPr>
            </w:pPr>
          </w:p>
          <w:p w14:paraId="7712C575" w14:textId="77777777" w:rsidR="00B71296" w:rsidRPr="00EC326F" w:rsidRDefault="00B71296" w:rsidP="00686700">
            <w:pPr>
              <w:pStyle w:val="PwCNormal"/>
              <w:keepNext/>
              <w:numPr>
                <w:ilvl w:val="0"/>
                <w:numId w:val="1"/>
              </w:numPr>
              <w:rPr>
                <w:b/>
                <w:snapToGrid/>
                <w:color w:val="FFFFFF" w:themeColor="background1"/>
                <w:sz w:val="14"/>
                <w:szCs w:val="14"/>
                <w:lang w:eastAsia="en-AU"/>
              </w:rPr>
            </w:pPr>
            <w:r w:rsidRPr="00EC326F">
              <w:rPr>
                <w:b/>
                <w:snapToGrid/>
                <w:color w:val="FFFFFF" w:themeColor="background1"/>
                <w:sz w:val="14"/>
                <w:szCs w:val="14"/>
                <w:lang w:eastAsia="en-AU"/>
              </w:rPr>
              <w:t>Population segment</w:t>
            </w:r>
          </w:p>
        </w:tc>
        <w:tc>
          <w:tcPr>
            <w:tcW w:w="987"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262E148A"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p>
          <w:p w14:paraId="50D6AF80"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Number in starting population</w:t>
            </w:r>
          </w:p>
        </w:tc>
        <w:tc>
          <w:tcPr>
            <w:tcW w:w="855"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57179246"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p>
          <w:p w14:paraId="3E5359ED"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Average age</w:t>
            </w:r>
          </w:p>
        </w:tc>
        <w:tc>
          <w:tcPr>
            <w:tcW w:w="855"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1EADB26A"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p>
          <w:p w14:paraId="08A253C5" w14:textId="77777777" w:rsidR="00B71296" w:rsidRPr="00EC326F" w:rsidRDefault="00377B1F" w:rsidP="00686700">
            <w:pPr>
              <w:keepNext/>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 xml:space="preserve">Lifetime cost </w:t>
            </w:r>
            <w:r w:rsidRPr="00EC326F">
              <w:rPr>
                <w:rFonts w:cstheme="minorHAnsi"/>
                <w:b/>
                <w:snapToGrid/>
                <w:color w:val="FFFFFF"/>
                <w:sz w:val="14"/>
                <w:szCs w:val="14"/>
                <w:lang w:eastAsia="en-AU"/>
              </w:rPr>
              <w:br/>
              <w:t>($b</w:t>
            </w:r>
            <w:r w:rsidR="00B71296" w:rsidRPr="00EC326F">
              <w:rPr>
                <w:rFonts w:cstheme="minorHAnsi"/>
                <w:b/>
                <w:snapToGrid/>
                <w:color w:val="FFFFFF"/>
                <w:sz w:val="14"/>
                <w:szCs w:val="14"/>
                <w:lang w:eastAsia="en-AU"/>
              </w:rPr>
              <w:t>n)</w:t>
            </w:r>
          </w:p>
        </w:tc>
        <w:tc>
          <w:tcPr>
            <w:tcW w:w="993"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56745613"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p>
          <w:p w14:paraId="481708DE"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 xml:space="preserve">Average payment in 2015/16 </w:t>
            </w:r>
            <w:r w:rsidRPr="00EC326F">
              <w:rPr>
                <w:rFonts w:cstheme="minorHAnsi"/>
                <w:b/>
                <w:snapToGrid/>
                <w:color w:val="FFFFFF"/>
                <w:sz w:val="14"/>
                <w:szCs w:val="14"/>
                <w:lang w:eastAsia="en-AU"/>
              </w:rPr>
              <w:br/>
              <w:t>(a)</w:t>
            </w:r>
          </w:p>
        </w:tc>
        <w:tc>
          <w:tcPr>
            <w:tcW w:w="925" w:type="dxa"/>
            <w:tcBorders>
              <w:top w:val="single" w:sz="4" w:space="0" w:color="E02628"/>
              <w:left w:val="nil"/>
              <w:bottom w:val="single" w:sz="4" w:space="0" w:color="FFFFFF" w:themeColor="background1"/>
              <w:right w:val="single" w:sz="4" w:space="0" w:color="FFFFFF"/>
            </w:tcBorders>
            <w:shd w:val="clear" w:color="auto" w:fill="E02628"/>
            <w:hideMark/>
          </w:tcPr>
          <w:p w14:paraId="36BC110E"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p>
          <w:p w14:paraId="67E708D8"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Average lifetime cost ($'000) (b)</w:t>
            </w:r>
          </w:p>
        </w:tc>
        <w:tc>
          <w:tcPr>
            <w:tcW w:w="892" w:type="dxa"/>
            <w:tcBorders>
              <w:top w:val="single" w:sz="4" w:space="0" w:color="E02628"/>
              <w:left w:val="single" w:sz="4" w:space="0" w:color="FFFFFF"/>
              <w:bottom w:val="single" w:sz="4" w:space="0" w:color="FFFFFF" w:themeColor="background1"/>
              <w:right w:val="nil"/>
            </w:tcBorders>
            <w:shd w:val="clear" w:color="auto" w:fill="E02628"/>
            <w:hideMark/>
          </w:tcPr>
          <w:p w14:paraId="254B409B"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p>
          <w:p w14:paraId="52FA30A1"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Ratio</w:t>
            </w:r>
          </w:p>
          <w:p w14:paraId="632884C6"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 (b) / (a)</w:t>
            </w:r>
          </w:p>
        </w:tc>
        <w:tc>
          <w:tcPr>
            <w:tcW w:w="1013" w:type="dxa"/>
            <w:tcBorders>
              <w:top w:val="single" w:sz="4" w:space="0" w:color="E02628"/>
              <w:left w:val="single" w:sz="4" w:space="0" w:color="FFFFFF"/>
              <w:bottom w:val="single" w:sz="4" w:space="0" w:color="FFFFFF" w:themeColor="background1"/>
              <w:right w:val="nil"/>
            </w:tcBorders>
            <w:shd w:val="clear" w:color="auto" w:fill="E02628"/>
          </w:tcPr>
          <w:p w14:paraId="247A9C8A"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p>
          <w:p w14:paraId="0ED4103C" w14:textId="77777777" w:rsidR="00B71296" w:rsidRPr="00EC326F" w:rsidRDefault="00B71296" w:rsidP="00686700">
            <w:pPr>
              <w:keepNext/>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Expected proportion of future lifetime in IS classes</w:t>
            </w:r>
          </w:p>
        </w:tc>
      </w:tr>
      <w:tr w:rsidR="00B71296" w:rsidRPr="00EC326F" w14:paraId="2F2D1F0A" w14:textId="77777777" w:rsidTr="00B71296">
        <w:trPr>
          <w:trHeight w:val="227"/>
          <w:tblHeader/>
        </w:trPr>
        <w:tc>
          <w:tcPr>
            <w:tcW w:w="2750" w:type="dxa"/>
            <w:tcBorders>
              <w:top w:val="single" w:sz="4" w:space="0" w:color="FFFFFF" w:themeColor="background1"/>
              <w:left w:val="nil"/>
              <w:bottom w:val="single" w:sz="4" w:space="0" w:color="E02628"/>
              <w:right w:val="nil"/>
            </w:tcBorders>
            <w:shd w:val="clear" w:color="auto" w:fill="E02628"/>
            <w:noWrap/>
            <w:vAlign w:val="center"/>
            <w:hideMark/>
          </w:tcPr>
          <w:p w14:paraId="4F63E288" w14:textId="77777777" w:rsidR="00B71296" w:rsidRPr="00EC326F" w:rsidRDefault="00B71296" w:rsidP="00686700">
            <w:pPr>
              <w:keepNext/>
              <w:kinsoku/>
              <w:overflowPunct/>
              <w:autoSpaceDE/>
              <w:autoSpaceDN/>
              <w:adjustRightInd/>
              <w:snapToGrid/>
              <w:rPr>
                <w:rFonts w:cstheme="minorHAnsi"/>
                <w:snapToGrid/>
                <w:color w:val="FFFFFF" w:themeColor="background1"/>
                <w:sz w:val="14"/>
                <w:szCs w:val="14"/>
                <w:lang w:eastAsia="en-AU"/>
              </w:rPr>
            </w:pPr>
            <w:r w:rsidRPr="00EC326F">
              <w:rPr>
                <w:rFonts w:cstheme="minorHAnsi"/>
                <w:snapToGrid/>
                <w:color w:val="FFFFFF" w:themeColor="background1"/>
                <w:sz w:val="14"/>
                <w:szCs w:val="14"/>
                <w:lang w:eastAsia="en-AU"/>
              </w:rPr>
              <w:t>Current welfare recipients</w:t>
            </w:r>
          </w:p>
        </w:tc>
        <w:tc>
          <w:tcPr>
            <w:tcW w:w="987" w:type="dxa"/>
            <w:tcBorders>
              <w:top w:val="single" w:sz="4" w:space="0" w:color="FFFFFF" w:themeColor="background1"/>
              <w:left w:val="nil"/>
              <w:bottom w:val="single" w:sz="4" w:space="0" w:color="E02628"/>
              <w:right w:val="nil"/>
            </w:tcBorders>
            <w:shd w:val="clear" w:color="auto" w:fill="E02628"/>
            <w:noWrap/>
            <w:vAlign w:val="center"/>
            <w:hideMark/>
          </w:tcPr>
          <w:p w14:paraId="45F656BE" w14:textId="77777777" w:rsidR="00B71296" w:rsidRPr="00EC326F" w:rsidRDefault="00B71296" w:rsidP="00686700">
            <w:pPr>
              <w:keepNext/>
              <w:kinsoku/>
              <w:overflowPunct/>
              <w:autoSpaceDE/>
              <w:autoSpaceDN/>
              <w:adjustRightInd/>
              <w:snapToGrid/>
              <w:jc w:val="right"/>
              <w:rPr>
                <w:rFonts w:cstheme="minorHAnsi"/>
                <w:snapToGrid/>
                <w:color w:val="FFFFFF" w:themeColor="background1"/>
                <w:sz w:val="14"/>
                <w:szCs w:val="14"/>
                <w:lang w:eastAsia="en-AU"/>
              </w:rPr>
            </w:pPr>
            <w:r w:rsidRPr="00EC326F">
              <w:rPr>
                <w:rFonts w:cstheme="minorHAnsi"/>
                <w:snapToGrid/>
                <w:color w:val="FFFFFF" w:themeColor="background1"/>
                <w:sz w:val="14"/>
                <w:szCs w:val="14"/>
                <w:lang w:eastAsia="en-AU"/>
              </w:rPr>
              <w:t> </w:t>
            </w:r>
          </w:p>
        </w:tc>
        <w:tc>
          <w:tcPr>
            <w:tcW w:w="855" w:type="dxa"/>
            <w:tcBorders>
              <w:top w:val="single" w:sz="4" w:space="0" w:color="FFFFFF" w:themeColor="background1"/>
              <w:left w:val="nil"/>
              <w:bottom w:val="single" w:sz="4" w:space="0" w:color="E02628"/>
              <w:right w:val="nil"/>
            </w:tcBorders>
            <w:shd w:val="clear" w:color="auto" w:fill="E02628"/>
            <w:noWrap/>
            <w:vAlign w:val="center"/>
            <w:hideMark/>
          </w:tcPr>
          <w:p w14:paraId="166AA0FA" w14:textId="77777777" w:rsidR="00B71296" w:rsidRPr="00EC326F" w:rsidRDefault="00B71296" w:rsidP="00686700">
            <w:pPr>
              <w:keepNext/>
              <w:kinsoku/>
              <w:overflowPunct/>
              <w:autoSpaceDE/>
              <w:autoSpaceDN/>
              <w:adjustRightInd/>
              <w:snapToGrid/>
              <w:jc w:val="right"/>
              <w:rPr>
                <w:rFonts w:cstheme="minorHAnsi"/>
                <w:snapToGrid/>
                <w:color w:val="FFFFFF" w:themeColor="background1"/>
                <w:sz w:val="14"/>
                <w:szCs w:val="14"/>
                <w:lang w:eastAsia="en-AU"/>
              </w:rPr>
            </w:pPr>
            <w:r w:rsidRPr="00EC326F">
              <w:rPr>
                <w:rFonts w:cstheme="minorHAnsi"/>
                <w:snapToGrid/>
                <w:color w:val="FFFFFF" w:themeColor="background1"/>
                <w:sz w:val="14"/>
                <w:szCs w:val="14"/>
                <w:lang w:eastAsia="en-AU"/>
              </w:rPr>
              <w:t> </w:t>
            </w:r>
          </w:p>
        </w:tc>
        <w:tc>
          <w:tcPr>
            <w:tcW w:w="855" w:type="dxa"/>
            <w:tcBorders>
              <w:top w:val="single" w:sz="4" w:space="0" w:color="FFFFFF" w:themeColor="background1"/>
              <w:left w:val="nil"/>
              <w:bottom w:val="single" w:sz="4" w:space="0" w:color="E02628"/>
              <w:right w:val="nil"/>
            </w:tcBorders>
            <w:shd w:val="clear" w:color="auto" w:fill="E02628"/>
            <w:noWrap/>
            <w:vAlign w:val="center"/>
            <w:hideMark/>
          </w:tcPr>
          <w:p w14:paraId="13AE4428" w14:textId="77777777" w:rsidR="00B71296" w:rsidRPr="00EC326F" w:rsidRDefault="00B71296" w:rsidP="00686700">
            <w:pPr>
              <w:keepNext/>
              <w:kinsoku/>
              <w:overflowPunct/>
              <w:autoSpaceDE/>
              <w:autoSpaceDN/>
              <w:adjustRightInd/>
              <w:snapToGrid/>
              <w:jc w:val="right"/>
              <w:rPr>
                <w:rFonts w:cstheme="minorHAnsi"/>
                <w:snapToGrid/>
                <w:color w:val="FFFFFF" w:themeColor="background1"/>
                <w:sz w:val="14"/>
                <w:szCs w:val="14"/>
                <w:lang w:eastAsia="en-AU"/>
              </w:rPr>
            </w:pPr>
            <w:r w:rsidRPr="00EC326F">
              <w:rPr>
                <w:rFonts w:cstheme="minorHAnsi"/>
                <w:snapToGrid/>
                <w:color w:val="FFFFFF" w:themeColor="background1"/>
                <w:sz w:val="14"/>
                <w:szCs w:val="14"/>
                <w:lang w:eastAsia="en-AU"/>
              </w:rPr>
              <w:t> </w:t>
            </w:r>
          </w:p>
        </w:tc>
        <w:tc>
          <w:tcPr>
            <w:tcW w:w="993" w:type="dxa"/>
            <w:tcBorders>
              <w:top w:val="single" w:sz="4" w:space="0" w:color="FFFFFF" w:themeColor="background1"/>
              <w:left w:val="nil"/>
              <w:bottom w:val="single" w:sz="4" w:space="0" w:color="E02628"/>
              <w:right w:val="nil"/>
            </w:tcBorders>
            <w:shd w:val="clear" w:color="auto" w:fill="E02628"/>
            <w:noWrap/>
            <w:vAlign w:val="center"/>
            <w:hideMark/>
          </w:tcPr>
          <w:p w14:paraId="1F7961E3" w14:textId="77777777" w:rsidR="00B71296" w:rsidRPr="00EC326F" w:rsidRDefault="00B71296" w:rsidP="00686700">
            <w:pPr>
              <w:keepNext/>
              <w:kinsoku/>
              <w:overflowPunct/>
              <w:autoSpaceDE/>
              <w:autoSpaceDN/>
              <w:adjustRightInd/>
              <w:snapToGrid/>
              <w:jc w:val="right"/>
              <w:rPr>
                <w:rFonts w:cstheme="minorHAnsi"/>
                <w:snapToGrid/>
                <w:color w:val="FFFFFF" w:themeColor="background1"/>
                <w:sz w:val="14"/>
                <w:szCs w:val="14"/>
                <w:lang w:eastAsia="en-AU"/>
              </w:rPr>
            </w:pPr>
          </w:p>
        </w:tc>
        <w:tc>
          <w:tcPr>
            <w:tcW w:w="925" w:type="dxa"/>
            <w:tcBorders>
              <w:top w:val="single" w:sz="4" w:space="0" w:color="FFFFFF" w:themeColor="background1"/>
              <w:left w:val="nil"/>
              <w:bottom w:val="single" w:sz="4" w:space="0" w:color="E02628"/>
              <w:right w:val="nil"/>
            </w:tcBorders>
            <w:shd w:val="clear" w:color="auto" w:fill="E02628"/>
            <w:noWrap/>
            <w:vAlign w:val="center"/>
            <w:hideMark/>
          </w:tcPr>
          <w:p w14:paraId="0EAD1384" w14:textId="77777777" w:rsidR="00B71296" w:rsidRPr="00EC326F" w:rsidRDefault="00B71296" w:rsidP="00686700">
            <w:pPr>
              <w:keepNext/>
              <w:kinsoku/>
              <w:overflowPunct/>
              <w:autoSpaceDE/>
              <w:autoSpaceDN/>
              <w:adjustRightInd/>
              <w:snapToGrid/>
              <w:jc w:val="right"/>
              <w:rPr>
                <w:rFonts w:cstheme="minorHAnsi"/>
                <w:snapToGrid/>
                <w:color w:val="FFFFFF" w:themeColor="background1"/>
                <w:sz w:val="14"/>
                <w:szCs w:val="14"/>
                <w:lang w:eastAsia="en-AU"/>
              </w:rPr>
            </w:pPr>
            <w:r w:rsidRPr="00EC326F">
              <w:rPr>
                <w:rFonts w:cstheme="minorHAnsi"/>
                <w:snapToGrid/>
                <w:color w:val="FFFFFF" w:themeColor="background1"/>
                <w:sz w:val="14"/>
                <w:szCs w:val="14"/>
                <w:lang w:eastAsia="en-AU"/>
              </w:rPr>
              <w:t> </w:t>
            </w:r>
          </w:p>
        </w:tc>
        <w:tc>
          <w:tcPr>
            <w:tcW w:w="892" w:type="dxa"/>
            <w:tcBorders>
              <w:top w:val="single" w:sz="4" w:space="0" w:color="FFFFFF" w:themeColor="background1"/>
              <w:left w:val="nil"/>
              <w:bottom w:val="single" w:sz="4" w:space="0" w:color="E02628"/>
              <w:right w:val="nil"/>
            </w:tcBorders>
            <w:shd w:val="clear" w:color="auto" w:fill="E02628"/>
            <w:noWrap/>
            <w:vAlign w:val="center"/>
            <w:hideMark/>
          </w:tcPr>
          <w:p w14:paraId="20D25E76" w14:textId="77777777" w:rsidR="00B71296" w:rsidRPr="00EC326F" w:rsidRDefault="00B71296" w:rsidP="00686700">
            <w:pPr>
              <w:keepNext/>
              <w:kinsoku/>
              <w:overflowPunct/>
              <w:autoSpaceDE/>
              <w:autoSpaceDN/>
              <w:adjustRightInd/>
              <w:snapToGrid/>
              <w:jc w:val="right"/>
              <w:rPr>
                <w:rFonts w:cstheme="minorHAnsi"/>
                <w:snapToGrid/>
                <w:color w:val="FFFFFF" w:themeColor="background1"/>
                <w:sz w:val="14"/>
                <w:szCs w:val="14"/>
                <w:lang w:eastAsia="en-AU"/>
              </w:rPr>
            </w:pPr>
            <w:r w:rsidRPr="00EC326F">
              <w:rPr>
                <w:rFonts w:cstheme="minorHAnsi"/>
                <w:snapToGrid/>
                <w:color w:val="FFFFFF" w:themeColor="background1"/>
                <w:sz w:val="14"/>
                <w:szCs w:val="14"/>
                <w:lang w:eastAsia="en-AU"/>
              </w:rPr>
              <w:t> </w:t>
            </w:r>
          </w:p>
        </w:tc>
        <w:tc>
          <w:tcPr>
            <w:tcW w:w="1013" w:type="dxa"/>
            <w:tcBorders>
              <w:top w:val="single" w:sz="4" w:space="0" w:color="FFFFFF" w:themeColor="background1"/>
              <w:left w:val="nil"/>
              <w:bottom w:val="single" w:sz="4" w:space="0" w:color="E02628"/>
              <w:right w:val="nil"/>
            </w:tcBorders>
            <w:shd w:val="clear" w:color="auto" w:fill="E02628"/>
          </w:tcPr>
          <w:p w14:paraId="417E8E7D" w14:textId="77777777" w:rsidR="00B71296" w:rsidRPr="00EC326F" w:rsidRDefault="00B71296" w:rsidP="00686700">
            <w:pPr>
              <w:keepNext/>
              <w:kinsoku/>
              <w:overflowPunct/>
              <w:autoSpaceDE/>
              <w:autoSpaceDN/>
              <w:adjustRightInd/>
              <w:snapToGrid/>
              <w:jc w:val="right"/>
              <w:rPr>
                <w:rFonts w:cstheme="minorHAnsi"/>
                <w:snapToGrid/>
                <w:color w:val="FFFFFF" w:themeColor="background1"/>
                <w:sz w:val="14"/>
                <w:szCs w:val="14"/>
                <w:lang w:eastAsia="en-AU"/>
              </w:rPr>
            </w:pPr>
          </w:p>
        </w:tc>
      </w:tr>
      <w:tr w:rsidR="001C1846" w:rsidRPr="00EC326F" w14:paraId="35D0C1BE" w14:textId="77777777" w:rsidTr="00744519">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710C7D00" w14:textId="77777777" w:rsidR="001C1846" w:rsidRPr="00EC326F" w:rsidRDefault="001C1846" w:rsidP="001C1846">
            <w:pPr>
              <w:keepNext/>
              <w:kinsoku/>
              <w:overflowPunct/>
              <w:autoSpaceDE/>
              <w:autoSpaceDN/>
              <w:adjustRightInd/>
              <w:snapToGrid/>
              <w:ind w:firstLineChars="200" w:firstLine="280"/>
              <w:rPr>
                <w:rFonts w:cstheme="minorHAnsi"/>
                <w:snapToGrid/>
                <w:color w:val="404040"/>
                <w:sz w:val="14"/>
                <w:szCs w:val="14"/>
                <w:lang w:eastAsia="en-AU"/>
              </w:rPr>
            </w:pPr>
            <w:r w:rsidRPr="00EC326F">
              <w:rPr>
                <w:rFonts w:cstheme="minorHAnsi"/>
                <w:snapToGrid/>
                <w:color w:val="404040"/>
                <w:sz w:val="14"/>
                <w:szCs w:val="14"/>
                <w:lang w:eastAsia="en-AU"/>
              </w:rPr>
              <w:t>- Studying payment recipients</w:t>
            </w:r>
          </w:p>
        </w:tc>
        <w:tc>
          <w:tcPr>
            <w:tcW w:w="987" w:type="dxa"/>
            <w:tcBorders>
              <w:top w:val="single" w:sz="4" w:space="0" w:color="E02628"/>
              <w:left w:val="nil"/>
              <w:bottom w:val="single" w:sz="4" w:space="0" w:color="E02628"/>
              <w:right w:val="nil"/>
            </w:tcBorders>
            <w:shd w:val="clear" w:color="000000" w:fill="FFFFFF"/>
            <w:noWrap/>
            <w:vAlign w:val="center"/>
            <w:hideMark/>
          </w:tcPr>
          <w:p w14:paraId="072455F3" w14:textId="63A75F65"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390,207</w:t>
            </w:r>
          </w:p>
        </w:tc>
        <w:tc>
          <w:tcPr>
            <w:tcW w:w="855" w:type="dxa"/>
            <w:tcBorders>
              <w:top w:val="single" w:sz="4" w:space="0" w:color="E02628"/>
              <w:left w:val="nil"/>
              <w:bottom w:val="single" w:sz="4" w:space="0" w:color="E02628"/>
              <w:right w:val="nil"/>
            </w:tcBorders>
            <w:shd w:val="clear" w:color="000000" w:fill="FFFFFF"/>
            <w:noWrap/>
            <w:vAlign w:val="center"/>
            <w:hideMark/>
          </w:tcPr>
          <w:p w14:paraId="180202F4" w14:textId="501A49B8"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24</w:t>
            </w:r>
          </w:p>
        </w:tc>
        <w:tc>
          <w:tcPr>
            <w:tcW w:w="855" w:type="dxa"/>
            <w:tcBorders>
              <w:top w:val="single" w:sz="4" w:space="0" w:color="E02628"/>
              <w:left w:val="nil"/>
              <w:bottom w:val="single" w:sz="4" w:space="0" w:color="E02628"/>
              <w:right w:val="nil"/>
            </w:tcBorders>
            <w:shd w:val="clear" w:color="000000" w:fill="FFFFFF"/>
            <w:noWrap/>
            <w:vAlign w:val="center"/>
            <w:hideMark/>
          </w:tcPr>
          <w:p w14:paraId="2037FC8C" w14:textId="3D386ECE"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82</w:t>
            </w:r>
          </w:p>
        </w:tc>
        <w:tc>
          <w:tcPr>
            <w:tcW w:w="993" w:type="dxa"/>
            <w:tcBorders>
              <w:top w:val="single" w:sz="4" w:space="0" w:color="E02628"/>
              <w:left w:val="nil"/>
              <w:bottom w:val="single" w:sz="4" w:space="0" w:color="E02628"/>
              <w:right w:val="nil"/>
            </w:tcBorders>
            <w:shd w:val="clear" w:color="000000" w:fill="FFFFFF"/>
            <w:noWrap/>
            <w:vAlign w:val="center"/>
            <w:hideMark/>
          </w:tcPr>
          <w:p w14:paraId="1EE0394A" w14:textId="44B48AD2"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8,600</w:t>
            </w:r>
          </w:p>
        </w:tc>
        <w:tc>
          <w:tcPr>
            <w:tcW w:w="925" w:type="dxa"/>
            <w:tcBorders>
              <w:top w:val="single" w:sz="4" w:space="0" w:color="E02628"/>
              <w:left w:val="nil"/>
              <w:bottom w:val="single" w:sz="4" w:space="0" w:color="E02628"/>
              <w:right w:val="nil"/>
            </w:tcBorders>
            <w:shd w:val="clear" w:color="000000" w:fill="FFFFFF"/>
            <w:noWrap/>
            <w:vAlign w:val="center"/>
            <w:hideMark/>
          </w:tcPr>
          <w:p w14:paraId="1B0288BA" w14:textId="3F954C30"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210</w:t>
            </w:r>
          </w:p>
        </w:tc>
        <w:tc>
          <w:tcPr>
            <w:tcW w:w="892" w:type="dxa"/>
            <w:tcBorders>
              <w:top w:val="single" w:sz="4" w:space="0" w:color="E02628"/>
              <w:left w:val="nil"/>
              <w:bottom w:val="single" w:sz="4" w:space="0" w:color="E02628"/>
              <w:right w:val="nil"/>
            </w:tcBorders>
            <w:shd w:val="clear" w:color="000000" w:fill="FFFFFF"/>
            <w:noWrap/>
            <w:vAlign w:val="center"/>
            <w:hideMark/>
          </w:tcPr>
          <w:p w14:paraId="4B440DED" w14:textId="42E35126"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24</w:t>
            </w:r>
          </w:p>
        </w:tc>
        <w:tc>
          <w:tcPr>
            <w:tcW w:w="1013" w:type="dxa"/>
            <w:tcBorders>
              <w:top w:val="single" w:sz="4" w:space="0" w:color="E02628"/>
              <w:left w:val="nil"/>
              <w:bottom w:val="single" w:sz="4" w:space="0" w:color="E02628"/>
              <w:right w:val="nil"/>
            </w:tcBorders>
            <w:shd w:val="clear" w:color="000000" w:fill="FFFFFF"/>
            <w:vAlign w:val="center"/>
          </w:tcPr>
          <w:p w14:paraId="0CD72C72" w14:textId="76E88DD4"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41%</w:t>
            </w:r>
          </w:p>
        </w:tc>
      </w:tr>
      <w:tr w:rsidR="001C1846" w:rsidRPr="00EC326F" w14:paraId="7D7ED1D9" w14:textId="77777777" w:rsidTr="00744519">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24A575EF" w14:textId="77777777" w:rsidR="001C1846" w:rsidRPr="00EC326F" w:rsidRDefault="001C1846" w:rsidP="001C1846">
            <w:pPr>
              <w:keepNext/>
              <w:kinsoku/>
              <w:overflowPunct/>
              <w:autoSpaceDE/>
              <w:autoSpaceDN/>
              <w:adjustRightInd/>
              <w:snapToGrid/>
              <w:ind w:firstLineChars="200" w:firstLine="280"/>
              <w:rPr>
                <w:rFonts w:cstheme="minorHAnsi"/>
                <w:snapToGrid/>
                <w:color w:val="404040"/>
                <w:sz w:val="14"/>
                <w:szCs w:val="14"/>
                <w:lang w:eastAsia="en-AU"/>
              </w:rPr>
            </w:pPr>
            <w:r w:rsidRPr="00EC326F">
              <w:rPr>
                <w:rFonts w:cstheme="minorHAnsi"/>
                <w:snapToGrid/>
                <w:color w:val="404040"/>
                <w:sz w:val="14"/>
                <w:szCs w:val="14"/>
                <w:lang w:eastAsia="en-AU"/>
              </w:rPr>
              <w:t>- Working age payment recipients</w:t>
            </w:r>
          </w:p>
        </w:tc>
        <w:tc>
          <w:tcPr>
            <w:tcW w:w="987" w:type="dxa"/>
            <w:tcBorders>
              <w:top w:val="single" w:sz="4" w:space="0" w:color="E02628"/>
              <w:left w:val="nil"/>
              <w:bottom w:val="single" w:sz="4" w:space="0" w:color="E02628"/>
              <w:right w:val="nil"/>
            </w:tcBorders>
            <w:shd w:val="clear" w:color="000000" w:fill="FFFFFF"/>
            <w:noWrap/>
            <w:vAlign w:val="center"/>
            <w:hideMark/>
          </w:tcPr>
          <w:p w14:paraId="7AAA187A" w14:textId="0A1CF7FB"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1,317,538</w:t>
            </w:r>
          </w:p>
        </w:tc>
        <w:tc>
          <w:tcPr>
            <w:tcW w:w="855" w:type="dxa"/>
            <w:tcBorders>
              <w:top w:val="single" w:sz="4" w:space="0" w:color="E02628"/>
              <w:left w:val="nil"/>
              <w:bottom w:val="single" w:sz="4" w:space="0" w:color="E02628"/>
              <w:right w:val="nil"/>
            </w:tcBorders>
            <w:shd w:val="clear" w:color="000000" w:fill="FFFFFF"/>
            <w:noWrap/>
            <w:vAlign w:val="center"/>
            <w:hideMark/>
          </w:tcPr>
          <w:p w14:paraId="6A7A0B89" w14:textId="12DE879E"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39</w:t>
            </w:r>
          </w:p>
        </w:tc>
        <w:tc>
          <w:tcPr>
            <w:tcW w:w="855" w:type="dxa"/>
            <w:tcBorders>
              <w:top w:val="single" w:sz="4" w:space="0" w:color="E02628"/>
              <w:left w:val="nil"/>
              <w:bottom w:val="single" w:sz="4" w:space="0" w:color="E02628"/>
              <w:right w:val="nil"/>
            </w:tcBorders>
            <w:shd w:val="clear" w:color="000000" w:fill="FFFFFF"/>
            <w:noWrap/>
            <w:vAlign w:val="center"/>
            <w:hideMark/>
          </w:tcPr>
          <w:p w14:paraId="6719737D" w14:textId="33136A83"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401</w:t>
            </w:r>
          </w:p>
        </w:tc>
        <w:tc>
          <w:tcPr>
            <w:tcW w:w="993" w:type="dxa"/>
            <w:tcBorders>
              <w:top w:val="single" w:sz="4" w:space="0" w:color="E02628"/>
              <w:left w:val="nil"/>
              <w:bottom w:val="single" w:sz="4" w:space="0" w:color="E02628"/>
              <w:right w:val="nil"/>
            </w:tcBorders>
            <w:shd w:val="clear" w:color="000000" w:fill="FFFFFF"/>
            <w:noWrap/>
            <w:vAlign w:val="center"/>
            <w:hideMark/>
          </w:tcPr>
          <w:p w14:paraId="567071C1" w14:textId="4A705BE1"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11,300</w:t>
            </w:r>
          </w:p>
        </w:tc>
        <w:tc>
          <w:tcPr>
            <w:tcW w:w="925" w:type="dxa"/>
            <w:tcBorders>
              <w:top w:val="single" w:sz="4" w:space="0" w:color="E02628"/>
              <w:left w:val="nil"/>
              <w:bottom w:val="single" w:sz="4" w:space="0" w:color="E02628"/>
              <w:right w:val="nil"/>
            </w:tcBorders>
            <w:shd w:val="clear" w:color="000000" w:fill="FFFFFF"/>
            <w:noWrap/>
            <w:vAlign w:val="center"/>
            <w:hideMark/>
          </w:tcPr>
          <w:p w14:paraId="32C8CFCE" w14:textId="2E8CE45A"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304</w:t>
            </w:r>
          </w:p>
        </w:tc>
        <w:tc>
          <w:tcPr>
            <w:tcW w:w="892" w:type="dxa"/>
            <w:tcBorders>
              <w:top w:val="single" w:sz="4" w:space="0" w:color="E02628"/>
              <w:left w:val="nil"/>
              <w:bottom w:val="single" w:sz="4" w:space="0" w:color="E02628"/>
              <w:right w:val="nil"/>
            </w:tcBorders>
            <w:shd w:val="clear" w:color="000000" w:fill="FFFFFF"/>
            <w:noWrap/>
            <w:vAlign w:val="center"/>
            <w:hideMark/>
          </w:tcPr>
          <w:p w14:paraId="5CD8F1BE" w14:textId="09D116CA"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27</w:t>
            </w:r>
          </w:p>
        </w:tc>
        <w:tc>
          <w:tcPr>
            <w:tcW w:w="1013" w:type="dxa"/>
            <w:tcBorders>
              <w:top w:val="single" w:sz="4" w:space="0" w:color="E02628"/>
              <w:left w:val="nil"/>
              <w:bottom w:val="single" w:sz="4" w:space="0" w:color="E02628"/>
              <w:right w:val="nil"/>
            </w:tcBorders>
            <w:shd w:val="clear" w:color="000000" w:fill="FFFFFF"/>
            <w:vAlign w:val="center"/>
          </w:tcPr>
          <w:p w14:paraId="09BEF30C" w14:textId="57BA1F51"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61%</w:t>
            </w:r>
          </w:p>
        </w:tc>
      </w:tr>
      <w:tr w:rsidR="001C1846" w:rsidRPr="00EC326F" w14:paraId="6F0C91F9" w14:textId="77777777" w:rsidTr="00744519">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05455E68" w14:textId="77777777" w:rsidR="001C1846" w:rsidRPr="00EC326F" w:rsidRDefault="001C1846" w:rsidP="001C1846">
            <w:pPr>
              <w:keepNext/>
              <w:kinsoku/>
              <w:overflowPunct/>
              <w:autoSpaceDE/>
              <w:autoSpaceDN/>
              <w:adjustRightInd/>
              <w:snapToGrid/>
              <w:ind w:firstLineChars="200" w:firstLine="280"/>
              <w:rPr>
                <w:rFonts w:cstheme="minorHAnsi"/>
                <w:snapToGrid/>
                <w:color w:val="404040"/>
                <w:sz w:val="14"/>
                <w:szCs w:val="14"/>
                <w:lang w:eastAsia="en-AU"/>
              </w:rPr>
            </w:pPr>
            <w:r w:rsidRPr="00EC326F">
              <w:rPr>
                <w:rFonts w:cstheme="minorHAnsi"/>
                <w:snapToGrid/>
                <w:color w:val="404040"/>
                <w:sz w:val="14"/>
                <w:szCs w:val="14"/>
                <w:lang w:eastAsia="en-AU"/>
              </w:rPr>
              <w:t>- Parenting payment recipients</w:t>
            </w:r>
          </w:p>
        </w:tc>
        <w:tc>
          <w:tcPr>
            <w:tcW w:w="987" w:type="dxa"/>
            <w:tcBorders>
              <w:top w:val="single" w:sz="4" w:space="0" w:color="E02628"/>
              <w:left w:val="nil"/>
              <w:bottom w:val="single" w:sz="4" w:space="0" w:color="E02628"/>
              <w:right w:val="nil"/>
            </w:tcBorders>
            <w:shd w:val="clear" w:color="000000" w:fill="FFFFFF"/>
            <w:noWrap/>
            <w:vAlign w:val="center"/>
            <w:hideMark/>
          </w:tcPr>
          <w:p w14:paraId="514376E6" w14:textId="023C9826"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436,585</w:t>
            </w:r>
          </w:p>
        </w:tc>
        <w:tc>
          <w:tcPr>
            <w:tcW w:w="855" w:type="dxa"/>
            <w:tcBorders>
              <w:top w:val="single" w:sz="4" w:space="0" w:color="E02628"/>
              <w:left w:val="nil"/>
              <w:bottom w:val="single" w:sz="4" w:space="0" w:color="E02628"/>
              <w:right w:val="nil"/>
            </w:tcBorders>
            <w:shd w:val="clear" w:color="000000" w:fill="FFFFFF"/>
            <w:noWrap/>
            <w:vAlign w:val="center"/>
            <w:hideMark/>
          </w:tcPr>
          <w:p w14:paraId="24353B76" w14:textId="36E7AFCA"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33</w:t>
            </w:r>
          </w:p>
        </w:tc>
        <w:tc>
          <w:tcPr>
            <w:tcW w:w="855" w:type="dxa"/>
            <w:tcBorders>
              <w:top w:val="single" w:sz="4" w:space="0" w:color="E02628"/>
              <w:left w:val="nil"/>
              <w:bottom w:val="single" w:sz="4" w:space="0" w:color="E02628"/>
              <w:right w:val="nil"/>
            </w:tcBorders>
            <w:shd w:val="clear" w:color="000000" w:fill="FFFFFF"/>
            <w:noWrap/>
            <w:vAlign w:val="center"/>
            <w:hideMark/>
          </w:tcPr>
          <w:p w14:paraId="2936D28B" w14:textId="158CB363"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207</w:t>
            </w:r>
          </w:p>
        </w:tc>
        <w:tc>
          <w:tcPr>
            <w:tcW w:w="993" w:type="dxa"/>
            <w:tcBorders>
              <w:top w:val="single" w:sz="4" w:space="0" w:color="E02628"/>
              <w:left w:val="nil"/>
              <w:bottom w:val="single" w:sz="4" w:space="0" w:color="E02628"/>
              <w:right w:val="nil"/>
            </w:tcBorders>
            <w:shd w:val="clear" w:color="000000" w:fill="FFFFFF"/>
            <w:noWrap/>
            <w:vAlign w:val="center"/>
            <w:hideMark/>
          </w:tcPr>
          <w:p w14:paraId="3737EC92" w14:textId="653BF7E4"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29,700</w:t>
            </w:r>
          </w:p>
        </w:tc>
        <w:tc>
          <w:tcPr>
            <w:tcW w:w="925" w:type="dxa"/>
            <w:tcBorders>
              <w:top w:val="single" w:sz="4" w:space="0" w:color="E02628"/>
              <w:left w:val="nil"/>
              <w:bottom w:val="single" w:sz="4" w:space="0" w:color="E02628"/>
              <w:right w:val="nil"/>
            </w:tcBorders>
            <w:shd w:val="clear" w:color="000000" w:fill="FFFFFF"/>
            <w:noWrap/>
            <w:vAlign w:val="center"/>
            <w:hideMark/>
          </w:tcPr>
          <w:p w14:paraId="777B8137" w14:textId="02597CBE"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475</w:t>
            </w:r>
          </w:p>
        </w:tc>
        <w:tc>
          <w:tcPr>
            <w:tcW w:w="892" w:type="dxa"/>
            <w:tcBorders>
              <w:top w:val="single" w:sz="4" w:space="0" w:color="E02628"/>
              <w:left w:val="nil"/>
              <w:bottom w:val="single" w:sz="4" w:space="0" w:color="E02628"/>
              <w:right w:val="nil"/>
            </w:tcBorders>
            <w:shd w:val="clear" w:color="000000" w:fill="FFFFFF"/>
            <w:noWrap/>
            <w:vAlign w:val="center"/>
            <w:hideMark/>
          </w:tcPr>
          <w:p w14:paraId="58191590" w14:textId="0276D7A9"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16</w:t>
            </w:r>
          </w:p>
        </w:tc>
        <w:tc>
          <w:tcPr>
            <w:tcW w:w="1013" w:type="dxa"/>
            <w:tcBorders>
              <w:top w:val="single" w:sz="4" w:space="0" w:color="E02628"/>
              <w:left w:val="nil"/>
              <w:bottom w:val="single" w:sz="4" w:space="0" w:color="E02628"/>
              <w:right w:val="nil"/>
            </w:tcBorders>
            <w:shd w:val="clear" w:color="000000" w:fill="FFFFFF"/>
            <w:vAlign w:val="center"/>
          </w:tcPr>
          <w:p w14:paraId="555D1572" w14:textId="32D50F36"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64%</w:t>
            </w:r>
          </w:p>
        </w:tc>
      </w:tr>
      <w:tr w:rsidR="001C1846" w:rsidRPr="00EC326F" w14:paraId="2B87D22A" w14:textId="77777777" w:rsidTr="00744519">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5048FC4F" w14:textId="77777777" w:rsidR="001C1846" w:rsidRPr="00EC326F" w:rsidRDefault="001C1846" w:rsidP="001C1846">
            <w:pPr>
              <w:keepNext/>
              <w:kinsoku/>
              <w:overflowPunct/>
              <w:autoSpaceDE/>
              <w:autoSpaceDN/>
              <w:adjustRightInd/>
              <w:snapToGrid/>
              <w:ind w:firstLineChars="200" w:firstLine="280"/>
              <w:rPr>
                <w:rFonts w:cstheme="minorHAnsi"/>
                <w:snapToGrid/>
                <w:color w:val="404040"/>
                <w:sz w:val="14"/>
                <w:szCs w:val="14"/>
                <w:lang w:eastAsia="en-AU"/>
              </w:rPr>
            </w:pPr>
            <w:r w:rsidRPr="00EC326F">
              <w:rPr>
                <w:rFonts w:cstheme="minorHAnsi"/>
                <w:snapToGrid/>
                <w:color w:val="404040"/>
                <w:sz w:val="14"/>
                <w:szCs w:val="14"/>
                <w:lang w:eastAsia="en-AU"/>
              </w:rPr>
              <w:t>- Carer payment recipients</w:t>
            </w:r>
          </w:p>
        </w:tc>
        <w:tc>
          <w:tcPr>
            <w:tcW w:w="987" w:type="dxa"/>
            <w:tcBorders>
              <w:top w:val="single" w:sz="4" w:space="0" w:color="E02628"/>
              <w:left w:val="nil"/>
              <w:bottom w:val="single" w:sz="4" w:space="0" w:color="E02628"/>
              <w:right w:val="nil"/>
            </w:tcBorders>
            <w:shd w:val="clear" w:color="000000" w:fill="FFFFFF"/>
            <w:noWrap/>
            <w:vAlign w:val="center"/>
            <w:hideMark/>
          </w:tcPr>
          <w:p w14:paraId="1B045079" w14:textId="08B122A4"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271,541</w:t>
            </w:r>
          </w:p>
        </w:tc>
        <w:tc>
          <w:tcPr>
            <w:tcW w:w="855" w:type="dxa"/>
            <w:tcBorders>
              <w:top w:val="single" w:sz="4" w:space="0" w:color="E02628"/>
              <w:left w:val="nil"/>
              <w:bottom w:val="single" w:sz="4" w:space="0" w:color="E02628"/>
              <w:right w:val="nil"/>
            </w:tcBorders>
            <w:shd w:val="clear" w:color="000000" w:fill="FFFFFF"/>
            <w:noWrap/>
            <w:vAlign w:val="center"/>
            <w:hideMark/>
          </w:tcPr>
          <w:p w14:paraId="0F8FE968" w14:textId="79652FD4"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51</w:t>
            </w:r>
          </w:p>
        </w:tc>
        <w:tc>
          <w:tcPr>
            <w:tcW w:w="855" w:type="dxa"/>
            <w:tcBorders>
              <w:top w:val="single" w:sz="4" w:space="0" w:color="E02628"/>
              <w:left w:val="nil"/>
              <w:bottom w:val="single" w:sz="4" w:space="0" w:color="E02628"/>
              <w:right w:val="nil"/>
            </w:tcBorders>
            <w:shd w:val="clear" w:color="000000" w:fill="FFFFFF"/>
            <w:noWrap/>
            <w:vAlign w:val="center"/>
            <w:hideMark/>
          </w:tcPr>
          <w:p w14:paraId="1EF9FE25" w14:textId="35654689"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119</w:t>
            </w:r>
          </w:p>
        </w:tc>
        <w:tc>
          <w:tcPr>
            <w:tcW w:w="993" w:type="dxa"/>
            <w:tcBorders>
              <w:top w:val="single" w:sz="4" w:space="0" w:color="E02628"/>
              <w:left w:val="nil"/>
              <w:bottom w:val="single" w:sz="4" w:space="0" w:color="E02628"/>
              <w:right w:val="nil"/>
            </w:tcBorders>
            <w:shd w:val="clear" w:color="000000" w:fill="FFFFFF"/>
            <w:noWrap/>
            <w:vAlign w:val="center"/>
            <w:hideMark/>
          </w:tcPr>
          <w:p w14:paraId="7797903A" w14:textId="55F08470"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26,800</w:t>
            </w:r>
          </w:p>
        </w:tc>
        <w:tc>
          <w:tcPr>
            <w:tcW w:w="925" w:type="dxa"/>
            <w:tcBorders>
              <w:top w:val="single" w:sz="4" w:space="0" w:color="E02628"/>
              <w:left w:val="nil"/>
              <w:bottom w:val="single" w:sz="4" w:space="0" w:color="E02628"/>
              <w:right w:val="nil"/>
            </w:tcBorders>
            <w:shd w:val="clear" w:color="000000" w:fill="FFFFFF"/>
            <w:noWrap/>
            <w:vAlign w:val="center"/>
            <w:hideMark/>
          </w:tcPr>
          <w:p w14:paraId="0C850985" w14:textId="63985B11"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438</w:t>
            </w:r>
          </w:p>
        </w:tc>
        <w:tc>
          <w:tcPr>
            <w:tcW w:w="892" w:type="dxa"/>
            <w:tcBorders>
              <w:top w:val="single" w:sz="4" w:space="0" w:color="E02628"/>
              <w:left w:val="nil"/>
              <w:bottom w:val="single" w:sz="4" w:space="0" w:color="E02628"/>
              <w:right w:val="nil"/>
            </w:tcBorders>
            <w:shd w:val="clear" w:color="000000" w:fill="FFFFFF"/>
            <w:noWrap/>
            <w:vAlign w:val="center"/>
            <w:hideMark/>
          </w:tcPr>
          <w:p w14:paraId="66CADDF3" w14:textId="4B898CC5"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16</w:t>
            </w:r>
          </w:p>
        </w:tc>
        <w:tc>
          <w:tcPr>
            <w:tcW w:w="1013" w:type="dxa"/>
            <w:tcBorders>
              <w:top w:val="single" w:sz="4" w:space="0" w:color="E02628"/>
              <w:left w:val="nil"/>
              <w:bottom w:val="single" w:sz="4" w:space="0" w:color="E02628"/>
              <w:right w:val="nil"/>
            </w:tcBorders>
            <w:shd w:val="clear" w:color="000000" w:fill="FFFFFF"/>
            <w:vAlign w:val="center"/>
          </w:tcPr>
          <w:p w14:paraId="0FB19AAF" w14:textId="15FB13AB"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85%</w:t>
            </w:r>
          </w:p>
        </w:tc>
      </w:tr>
      <w:tr w:rsidR="001C1846" w:rsidRPr="00EC326F" w14:paraId="67BEA288" w14:textId="77777777" w:rsidTr="00744519">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14965DA4" w14:textId="77777777" w:rsidR="001C1846" w:rsidRPr="00EC326F" w:rsidRDefault="001C1846" w:rsidP="001C1846">
            <w:pPr>
              <w:keepNext/>
              <w:kinsoku/>
              <w:overflowPunct/>
              <w:autoSpaceDE/>
              <w:autoSpaceDN/>
              <w:adjustRightInd/>
              <w:snapToGrid/>
              <w:ind w:firstLineChars="200" w:firstLine="280"/>
              <w:rPr>
                <w:rFonts w:cstheme="minorHAnsi"/>
                <w:snapToGrid/>
                <w:color w:val="404040"/>
                <w:sz w:val="14"/>
                <w:szCs w:val="14"/>
                <w:lang w:eastAsia="en-AU"/>
              </w:rPr>
            </w:pPr>
            <w:r w:rsidRPr="00EC326F">
              <w:rPr>
                <w:rFonts w:cstheme="minorHAnsi"/>
                <w:snapToGrid/>
                <w:color w:val="404040"/>
                <w:sz w:val="14"/>
                <w:szCs w:val="14"/>
                <w:lang w:eastAsia="en-AU"/>
              </w:rPr>
              <w:t>- Disability support pensioners</w:t>
            </w:r>
          </w:p>
        </w:tc>
        <w:tc>
          <w:tcPr>
            <w:tcW w:w="987" w:type="dxa"/>
            <w:tcBorders>
              <w:top w:val="single" w:sz="4" w:space="0" w:color="E02628"/>
              <w:left w:val="nil"/>
              <w:bottom w:val="single" w:sz="4" w:space="0" w:color="E02628"/>
              <w:right w:val="nil"/>
            </w:tcBorders>
            <w:shd w:val="clear" w:color="000000" w:fill="FFFFFF"/>
            <w:noWrap/>
            <w:vAlign w:val="center"/>
            <w:hideMark/>
          </w:tcPr>
          <w:p w14:paraId="679321E2" w14:textId="55A1860C"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781,816</w:t>
            </w:r>
          </w:p>
        </w:tc>
        <w:tc>
          <w:tcPr>
            <w:tcW w:w="855" w:type="dxa"/>
            <w:tcBorders>
              <w:top w:val="single" w:sz="4" w:space="0" w:color="E02628"/>
              <w:left w:val="nil"/>
              <w:bottom w:val="single" w:sz="4" w:space="0" w:color="E02628"/>
              <w:right w:val="nil"/>
            </w:tcBorders>
            <w:shd w:val="clear" w:color="000000" w:fill="FFFFFF"/>
            <w:noWrap/>
            <w:vAlign w:val="center"/>
            <w:hideMark/>
          </w:tcPr>
          <w:p w14:paraId="1287DBFB" w14:textId="14E176A3"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50</w:t>
            </w:r>
          </w:p>
        </w:tc>
        <w:tc>
          <w:tcPr>
            <w:tcW w:w="855" w:type="dxa"/>
            <w:tcBorders>
              <w:top w:val="single" w:sz="4" w:space="0" w:color="E02628"/>
              <w:left w:val="nil"/>
              <w:bottom w:val="single" w:sz="4" w:space="0" w:color="E02628"/>
              <w:right w:val="nil"/>
            </w:tcBorders>
            <w:shd w:val="clear" w:color="000000" w:fill="FFFFFF"/>
            <w:noWrap/>
            <w:vAlign w:val="center"/>
            <w:hideMark/>
          </w:tcPr>
          <w:p w14:paraId="010EEFD9" w14:textId="6019E05B"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352</w:t>
            </w:r>
          </w:p>
        </w:tc>
        <w:tc>
          <w:tcPr>
            <w:tcW w:w="993" w:type="dxa"/>
            <w:tcBorders>
              <w:top w:val="single" w:sz="4" w:space="0" w:color="E02628"/>
              <w:left w:val="nil"/>
              <w:bottom w:val="single" w:sz="4" w:space="0" w:color="E02628"/>
              <w:right w:val="nil"/>
            </w:tcBorders>
            <w:shd w:val="clear" w:color="000000" w:fill="FFFFFF"/>
            <w:noWrap/>
            <w:vAlign w:val="center"/>
            <w:hideMark/>
          </w:tcPr>
          <w:p w14:paraId="35140C22" w14:textId="13233B7E"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22,100</w:t>
            </w:r>
          </w:p>
        </w:tc>
        <w:tc>
          <w:tcPr>
            <w:tcW w:w="925" w:type="dxa"/>
            <w:tcBorders>
              <w:top w:val="single" w:sz="4" w:space="0" w:color="E02628"/>
              <w:left w:val="nil"/>
              <w:bottom w:val="single" w:sz="4" w:space="0" w:color="E02628"/>
              <w:right w:val="nil"/>
            </w:tcBorders>
            <w:shd w:val="clear" w:color="000000" w:fill="FFFFFF"/>
            <w:noWrap/>
            <w:vAlign w:val="center"/>
            <w:hideMark/>
          </w:tcPr>
          <w:p w14:paraId="5D2245F3" w14:textId="37699472"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450</w:t>
            </w:r>
          </w:p>
        </w:tc>
        <w:tc>
          <w:tcPr>
            <w:tcW w:w="892" w:type="dxa"/>
            <w:tcBorders>
              <w:top w:val="single" w:sz="4" w:space="0" w:color="E02628"/>
              <w:left w:val="nil"/>
              <w:bottom w:val="single" w:sz="4" w:space="0" w:color="E02628"/>
              <w:right w:val="nil"/>
            </w:tcBorders>
            <w:shd w:val="clear" w:color="000000" w:fill="FFFFFF"/>
            <w:noWrap/>
            <w:vAlign w:val="center"/>
            <w:hideMark/>
          </w:tcPr>
          <w:p w14:paraId="06E25934" w14:textId="42F36051"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20</w:t>
            </w:r>
          </w:p>
        </w:tc>
        <w:tc>
          <w:tcPr>
            <w:tcW w:w="1013" w:type="dxa"/>
            <w:tcBorders>
              <w:top w:val="single" w:sz="4" w:space="0" w:color="E02628"/>
              <w:left w:val="nil"/>
              <w:bottom w:val="single" w:sz="4" w:space="0" w:color="E02628"/>
              <w:right w:val="nil"/>
            </w:tcBorders>
            <w:shd w:val="clear" w:color="000000" w:fill="FFFFFF"/>
            <w:vAlign w:val="center"/>
          </w:tcPr>
          <w:p w14:paraId="3484DA7C" w14:textId="071CB1F9"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96%</w:t>
            </w:r>
          </w:p>
        </w:tc>
      </w:tr>
      <w:tr w:rsidR="001C1846" w:rsidRPr="00EC326F" w14:paraId="51036444" w14:textId="77777777" w:rsidTr="00744519">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176E334B" w14:textId="77777777" w:rsidR="001C1846" w:rsidRPr="00EC326F" w:rsidRDefault="001C1846" w:rsidP="001C1846">
            <w:pPr>
              <w:keepNext/>
              <w:kinsoku/>
              <w:overflowPunct/>
              <w:autoSpaceDE/>
              <w:autoSpaceDN/>
              <w:adjustRightInd/>
              <w:snapToGrid/>
              <w:ind w:firstLineChars="200" w:firstLine="280"/>
              <w:rPr>
                <w:rFonts w:cstheme="minorHAnsi"/>
                <w:snapToGrid/>
                <w:color w:val="404040"/>
                <w:sz w:val="14"/>
                <w:szCs w:val="14"/>
                <w:lang w:eastAsia="en-AU"/>
              </w:rPr>
            </w:pPr>
            <w:r w:rsidRPr="00EC326F">
              <w:rPr>
                <w:rFonts w:cstheme="minorHAnsi"/>
                <w:snapToGrid/>
                <w:color w:val="404040"/>
                <w:sz w:val="14"/>
                <w:szCs w:val="14"/>
                <w:lang w:eastAsia="en-AU"/>
              </w:rPr>
              <w:t>- Age pensioners</w:t>
            </w:r>
          </w:p>
        </w:tc>
        <w:tc>
          <w:tcPr>
            <w:tcW w:w="987" w:type="dxa"/>
            <w:tcBorders>
              <w:top w:val="single" w:sz="4" w:space="0" w:color="E02628"/>
              <w:left w:val="nil"/>
              <w:bottom w:val="single" w:sz="4" w:space="0" w:color="E02628"/>
              <w:right w:val="nil"/>
            </w:tcBorders>
            <w:shd w:val="clear" w:color="000000" w:fill="FFFFFF"/>
            <w:noWrap/>
            <w:vAlign w:val="center"/>
            <w:hideMark/>
          </w:tcPr>
          <w:p w14:paraId="79B28FB2" w14:textId="32612D2F"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2,550,939</w:t>
            </w:r>
          </w:p>
        </w:tc>
        <w:tc>
          <w:tcPr>
            <w:tcW w:w="855" w:type="dxa"/>
            <w:tcBorders>
              <w:top w:val="single" w:sz="4" w:space="0" w:color="E02628"/>
              <w:left w:val="nil"/>
              <w:bottom w:val="single" w:sz="4" w:space="0" w:color="E02628"/>
              <w:right w:val="nil"/>
            </w:tcBorders>
            <w:shd w:val="clear" w:color="000000" w:fill="FFFFFF"/>
            <w:noWrap/>
            <w:vAlign w:val="center"/>
            <w:hideMark/>
          </w:tcPr>
          <w:p w14:paraId="523F9C7E" w14:textId="251DECC6"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76</w:t>
            </w:r>
          </w:p>
        </w:tc>
        <w:tc>
          <w:tcPr>
            <w:tcW w:w="855" w:type="dxa"/>
            <w:tcBorders>
              <w:top w:val="single" w:sz="4" w:space="0" w:color="E02628"/>
              <w:left w:val="nil"/>
              <w:bottom w:val="single" w:sz="4" w:space="0" w:color="E02628"/>
              <w:right w:val="nil"/>
            </w:tcBorders>
            <w:shd w:val="clear" w:color="000000" w:fill="FFFFFF"/>
            <w:noWrap/>
            <w:vAlign w:val="center"/>
            <w:hideMark/>
          </w:tcPr>
          <w:p w14:paraId="6D637F4A" w14:textId="15B69B0A"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518</w:t>
            </w:r>
          </w:p>
        </w:tc>
        <w:tc>
          <w:tcPr>
            <w:tcW w:w="993" w:type="dxa"/>
            <w:tcBorders>
              <w:top w:val="single" w:sz="4" w:space="0" w:color="E02628"/>
              <w:left w:val="nil"/>
              <w:bottom w:val="single" w:sz="4" w:space="0" w:color="E02628"/>
              <w:right w:val="nil"/>
            </w:tcBorders>
            <w:shd w:val="clear" w:color="000000" w:fill="FFFFFF"/>
            <w:noWrap/>
            <w:vAlign w:val="center"/>
            <w:hideMark/>
          </w:tcPr>
          <w:p w14:paraId="1D171AD8" w14:textId="0DD66F9F"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17,100</w:t>
            </w:r>
          </w:p>
        </w:tc>
        <w:tc>
          <w:tcPr>
            <w:tcW w:w="925" w:type="dxa"/>
            <w:tcBorders>
              <w:top w:val="single" w:sz="4" w:space="0" w:color="E02628"/>
              <w:left w:val="nil"/>
              <w:bottom w:val="single" w:sz="4" w:space="0" w:color="E02628"/>
              <w:right w:val="nil"/>
            </w:tcBorders>
            <w:shd w:val="clear" w:color="000000" w:fill="FFFFFF"/>
            <w:noWrap/>
            <w:vAlign w:val="center"/>
            <w:hideMark/>
          </w:tcPr>
          <w:p w14:paraId="1A6D85BF" w14:textId="62B21C73"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203</w:t>
            </w:r>
          </w:p>
        </w:tc>
        <w:tc>
          <w:tcPr>
            <w:tcW w:w="892" w:type="dxa"/>
            <w:tcBorders>
              <w:top w:val="single" w:sz="4" w:space="0" w:color="E02628"/>
              <w:left w:val="nil"/>
              <w:bottom w:val="single" w:sz="4" w:space="0" w:color="E02628"/>
              <w:right w:val="nil"/>
            </w:tcBorders>
            <w:shd w:val="clear" w:color="000000" w:fill="FFFFFF"/>
            <w:noWrap/>
            <w:vAlign w:val="center"/>
            <w:hideMark/>
          </w:tcPr>
          <w:p w14:paraId="76B0A97B" w14:textId="4FCD7860"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12</w:t>
            </w:r>
          </w:p>
        </w:tc>
        <w:tc>
          <w:tcPr>
            <w:tcW w:w="1013" w:type="dxa"/>
            <w:tcBorders>
              <w:top w:val="single" w:sz="4" w:space="0" w:color="E02628"/>
              <w:left w:val="nil"/>
              <w:bottom w:val="single" w:sz="4" w:space="0" w:color="E02628"/>
              <w:right w:val="nil"/>
            </w:tcBorders>
            <w:shd w:val="clear" w:color="000000" w:fill="FFFFFF"/>
            <w:vAlign w:val="center"/>
          </w:tcPr>
          <w:p w14:paraId="7262BD41" w14:textId="62D46BA6"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96%</w:t>
            </w:r>
          </w:p>
        </w:tc>
      </w:tr>
      <w:tr w:rsidR="001C1846" w:rsidRPr="00EC326F" w14:paraId="27BA5E83" w14:textId="77777777" w:rsidTr="00744519">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0A2A7613" w14:textId="77777777" w:rsidR="001C1846" w:rsidRPr="00EC326F" w:rsidRDefault="001C1846" w:rsidP="001C1846">
            <w:pPr>
              <w:keepNext/>
              <w:kinsoku/>
              <w:overflowPunct/>
              <w:autoSpaceDE/>
              <w:autoSpaceDN/>
              <w:adjustRightInd/>
              <w:snapToGrid/>
              <w:ind w:firstLineChars="200" w:firstLine="280"/>
              <w:rPr>
                <w:rFonts w:cstheme="minorHAnsi"/>
                <w:snapToGrid/>
                <w:color w:val="404040"/>
                <w:sz w:val="14"/>
                <w:szCs w:val="14"/>
                <w:lang w:eastAsia="en-AU"/>
              </w:rPr>
            </w:pPr>
            <w:r w:rsidRPr="00EC326F">
              <w:rPr>
                <w:rFonts w:cstheme="minorHAnsi"/>
                <w:snapToGrid/>
                <w:color w:val="404040"/>
                <w:sz w:val="14"/>
                <w:szCs w:val="14"/>
                <w:lang w:eastAsia="en-AU"/>
              </w:rPr>
              <w:t>- Family non IS clients</w:t>
            </w:r>
          </w:p>
        </w:tc>
        <w:tc>
          <w:tcPr>
            <w:tcW w:w="987" w:type="dxa"/>
            <w:tcBorders>
              <w:top w:val="single" w:sz="4" w:space="0" w:color="E02628"/>
              <w:left w:val="nil"/>
              <w:bottom w:val="single" w:sz="4" w:space="0" w:color="E02628"/>
              <w:right w:val="nil"/>
            </w:tcBorders>
            <w:shd w:val="clear" w:color="000000" w:fill="FFFFFF"/>
            <w:noWrap/>
            <w:vAlign w:val="center"/>
            <w:hideMark/>
          </w:tcPr>
          <w:p w14:paraId="1A006390" w14:textId="6F88A21C"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1,553,941</w:t>
            </w:r>
          </w:p>
        </w:tc>
        <w:tc>
          <w:tcPr>
            <w:tcW w:w="855" w:type="dxa"/>
            <w:tcBorders>
              <w:top w:val="single" w:sz="4" w:space="0" w:color="E02628"/>
              <w:left w:val="nil"/>
              <w:bottom w:val="single" w:sz="4" w:space="0" w:color="E02628"/>
              <w:right w:val="nil"/>
            </w:tcBorders>
            <w:shd w:val="clear" w:color="000000" w:fill="FFFFFF"/>
            <w:noWrap/>
            <w:vAlign w:val="center"/>
            <w:hideMark/>
          </w:tcPr>
          <w:p w14:paraId="1BF848AE" w14:textId="4C711E97"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40</w:t>
            </w:r>
          </w:p>
        </w:tc>
        <w:tc>
          <w:tcPr>
            <w:tcW w:w="855" w:type="dxa"/>
            <w:tcBorders>
              <w:top w:val="single" w:sz="4" w:space="0" w:color="E02628"/>
              <w:left w:val="nil"/>
              <w:bottom w:val="single" w:sz="4" w:space="0" w:color="E02628"/>
              <w:right w:val="nil"/>
            </w:tcBorders>
            <w:shd w:val="clear" w:color="000000" w:fill="FFFFFF"/>
            <w:noWrap/>
            <w:vAlign w:val="center"/>
            <w:hideMark/>
          </w:tcPr>
          <w:p w14:paraId="1F090BFC" w14:textId="23CD0D78"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301</w:t>
            </w:r>
          </w:p>
        </w:tc>
        <w:tc>
          <w:tcPr>
            <w:tcW w:w="993" w:type="dxa"/>
            <w:tcBorders>
              <w:top w:val="single" w:sz="4" w:space="0" w:color="E02628"/>
              <w:left w:val="nil"/>
              <w:bottom w:val="single" w:sz="4" w:space="0" w:color="E02628"/>
              <w:right w:val="nil"/>
            </w:tcBorders>
            <w:shd w:val="clear" w:color="000000" w:fill="FFFFFF"/>
            <w:noWrap/>
            <w:vAlign w:val="center"/>
            <w:hideMark/>
          </w:tcPr>
          <w:p w14:paraId="391D950B" w14:textId="37FA875B"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5,600</w:t>
            </w:r>
          </w:p>
        </w:tc>
        <w:tc>
          <w:tcPr>
            <w:tcW w:w="925" w:type="dxa"/>
            <w:tcBorders>
              <w:top w:val="single" w:sz="4" w:space="0" w:color="E02628"/>
              <w:left w:val="nil"/>
              <w:bottom w:val="single" w:sz="4" w:space="0" w:color="E02628"/>
              <w:right w:val="nil"/>
            </w:tcBorders>
            <w:shd w:val="clear" w:color="000000" w:fill="FFFFFF"/>
            <w:noWrap/>
            <w:vAlign w:val="center"/>
            <w:hideMark/>
          </w:tcPr>
          <w:p w14:paraId="3EEBA050" w14:textId="00FA9DBF"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194</w:t>
            </w:r>
          </w:p>
        </w:tc>
        <w:tc>
          <w:tcPr>
            <w:tcW w:w="892" w:type="dxa"/>
            <w:tcBorders>
              <w:top w:val="single" w:sz="4" w:space="0" w:color="E02628"/>
              <w:left w:val="nil"/>
              <w:bottom w:val="single" w:sz="4" w:space="0" w:color="E02628"/>
              <w:right w:val="nil"/>
            </w:tcBorders>
            <w:shd w:val="clear" w:color="000000" w:fill="FFFFFF"/>
            <w:noWrap/>
            <w:vAlign w:val="center"/>
            <w:hideMark/>
          </w:tcPr>
          <w:p w14:paraId="7071E451" w14:textId="06000202"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35</w:t>
            </w:r>
          </w:p>
        </w:tc>
        <w:tc>
          <w:tcPr>
            <w:tcW w:w="1013" w:type="dxa"/>
            <w:tcBorders>
              <w:top w:val="single" w:sz="4" w:space="0" w:color="E02628"/>
              <w:left w:val="nil"/>
              <w:bottom w:val="single" w:sz="4" w:space="0" w:color="E02628"/>
              <w:right w:val="nil"/>
            </w:tcBorders>
            <w:shd w:val="clear" w:color="000000" w:fill="FFFFFF"/>
            <w:vAlign w:val="center"/>
          </w:tcPr>
          <w:p w14:paraId="5C50EDA9" w14:textId="1495041E"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40%</w:t>
            </w:r>
          </w:p>
        </w:tc>
      </w:tr>
      <w:tr w:rsidR="001C1846" w:rsidRPr="00EC326F" w14:paraId="1D890A02" w14:textId="77777777" w:rsidTr="00744519">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33C89391" w14:textId="77777777" w:rsidR="001C1846" w:rsidRPr="00EC326F" w:rsidRDefault="001C1846" w:rsidP="001C1846">
            <w:pPr>
              <w:keepNext/>
              <w:kinsoku/>
              <w:overflowPunct/>
              <w:autoSpaceDE/>
              <w:autoSpaceDN/>
              <w:adjustRightInd/>
              <w:snapToGrid/>
              <w:ind w:firstLineChars="200" w:firstLine="280"/>
              <w:rPr>
                <w:rFonts w:cstheme="minorHAnsi"/>
                <w:snapToGrid/>
                <w:color w:val="404040"/>
                <w:sz w:val="14"/>
                <w:szCs w:val="14"/>
                <w:lang w:eastAsia="en-AU"/>
              </w:rPr>
            </w:pPr>
            <w:r w:rsidRPr="00EC326F">
              <w:rPr>
                <w:rFonts w:cstheme="minorHAnsi"/>
                <w:snapToGrid/>
                <w:color w:val="404040"/>
                <w:sz w:val="14"/>
                <w:szCs w:val="14"/>
                <w:lang w:eastAsia="en-AU"/>
              </w:rPr>
              <w:t>- Carer non IS clients</w:t>
            </w:r>
          </w:p>
        </w:tc>
        <w:tc>
          <w:tcPr>
            <w:tcW w:w="987" w:type="dxa"/>
            <w:tcBorders>
              <w:top w:val="single" w:sz="4" w:space="0" w:color="E02628"/>
              <w:left w:val="nil"/>
              <w:bottom w:val="single" w:sz="4" w:space="0" w:color="E02628"/>
              <w:right w:val="nil"/>
            </w:tcBorders>
            <w:shd w:val="clear" w:color="000000" w:fill="FFFFFF"/>
            <w:noWrap/>
            <w:vAlign w:val="center"/>
            <w:hideMark/>
          </w:tcPr>
          <w:p w14:paraId="30D2028F" w14:textId="56FB43E6"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200,678</w:t>
            </w:r>
          </w:p>
        </w:tc>
        <w:tc>
          <w:tcPr>
            <w:tcW w:w="855" w:type="dxa"/>
            <w:tcBorders>
              <w:top w:val="single" w:sz="4" w:space="0" w:color="E02628"/>
              <w:left w:val="nil"/>
              <w:bottom w:val="single" w:sz="4" w:space="0" w:color="E02628"/>
              <w:right w:val="nil"/>
            </w:tcBorders>
            <w:shd w:val="clear" w:color="000000" w:fill="FFFFFF"/>
            <w:noWrap/>
            <w:vAlign w:val="center"/>
            <w:hideMark/>
          </w:tcPr>
          <w:p w14:paraId="03B8FC79" w14:textId="35C312D2"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51</w:t>
            </w:r>
          </w:p>
        </w:tc>
        <w:tc>
          <w:tcPr>
            <w:tcW w:w="855" w:type="dxa"/>
            <w:tcBorders>
              <w:top w:val="single" w:sz="4" w:space="0" w:color="E02628"/>
              <w:left w:val="nil"/>
              <w:bottom w:val="single" w:sz="4" w:space="0" w:color="E02628"/>
              <w:right w:val="nil"/>
            </w:tcBorders>
            <w:shd w:val="clear" w:color="000000" w:fill="FFFFFF"/>
            <w:noWrap/>
            <w:vAlign w:val="center"/>
            <w:hideMark/>
          </w:tcPr>
          <w:p w14:paraId="6ABA5D3C" w14:textId="37CD6406"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41</w:t>
            </w:r>
          </w:p>
        </w:tc>
        <w:tc>
          <w:tcPr>
            <w:tcW w:w="993" w:type="dxa"/>
            <w:tcBorders>
              <w:top w:val="single" w:sz="4" w:space="0" w:color="E02628"/>
              <w:left w:val="nil"/>
              <w:bottom w:val="single" w:sz="4" w:space="0" w:color="E02628"/>
              <w:right w:val="nil"/>
            </w:tcBorders>
            <w:shd w:val="clear" w:color="000000" w:fill="FFFFFF"/>
            <w:noWrap/>
            <w:vAlign w:val="center"/>
            <w:hideMark/>
          </w:tcPr>
          <w:p w14:paraId="0A97B83E" w14:textId="04BB827F"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6,900</w:t>
            </w:r>
          </w:p>
        </w:tc>
        <w:tc>
          <w:tcPr>
            <w:tcW w:w="925" w:type="dxa"/>
            <w:tcBorders>
              <w:top w:val="single" w:sz="4" w:space="0" w:color="E02628"/>
              <w:left w:val="nil"/>
              <w:bottom w:val="single" w:sz="4" w:space="0" w:color="E02628"/>
              <w:right w:val="nil"/>
            </w:tcBorders>
            <w:shd w:val="clear" w:color="000000" w:fill="FFFFFF"/>
            <w:noWrap/>
            <w:vAlign w:val="center"/>
            <w:hideMark/>
          </w:tcPr>
          <w:p w14:paraId="7983D625" w14:textId="51C28122"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206</w:t>
            </w:r>
          </w:p>
        </w:tc>
        <w:tc>
          <w:tcPr>
            <w:tcW w:w="892" w:type="dxa"/>
            <w:tcBorders>
              <w:top w:val="single" w:sz="4" w:space="0" w:color="E02628"/>
              <w:left w:val="nil"/>
              <w:bottom w:val="single" w:sz="4" w:space="0" w:color="E02628"/>
              <w:right w:val="nil"/>
            </w:tcBorders>
            <w:shd w:val="clear" w:color="000000" w:fill="FFFFFF"/>
            <w:noWrap/>
            <w:vAlign w:val="center"/>
            <w:hideMark/>
          </w:tcPr>
          <w:p w14:paraId="51BB4F6A" w14:textId="27CC3632"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30</w:t>
            </w:r>
          </w:p>
        </w:tc>
        <w:tc>
          <w:tcPr>
            <w:tcW w:w="1013" w:type="dxa"/>
            <w:tcBorders>
              <w:top w:val="single" w:sz="4" w:space="0" w:color="E02628"/>
              <w:left w:val="nil"/>
              <w:bottom w:val="single" w:sz="4" w:space="0" w:color="E02628"/>
              <w:right w:val="nil"/>
            </w:tcBorders>
            <w:shd w:val="clear" w:color="000000" w:fill="FFFFFF"/>
            <w:vAlign w:val="center"/>
          </w:tcPr>
          <w:p w14:paraId="19E266A8" w14:textId="3F0F4B94"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44%</w:t>
            </w:r>
          </w:p>
        </w:tc>
      </w:tr>
      <w:tr w:rsidR="001C1846" w:rsidRPr="00EC326F" w14:paraId="62C81CA0" w14:textId="77777777" w:rsidTr="00744519">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2D51B370" w14:textId="77777777" w:rsidR="001C1846" w:rsidRPr="00EC326F" w:rsidRDefault="001C1846" w:rsidP="001C1846">
            <w:pPr>
              <w:keepNext/>
              <w:kinsoku/>
              <w:overflowPunct/>
              <w:autoSpaceDE/>
              <w:autoSpaceDN/>
              <w:adjustRightInd/>
              <w:snapToGrid/>
              <w:ind w:firstLineChars="200" w:firstLine="280"/>
              <w:rPr>
                <w:rFonts w:cstheme="minorHAnsi"/>
                <w:snapToGrid/>
                <w:color w:val="404040"/>
                <w:sz w:val="14"/>
                <w:szCs w:val="14"/>
                <w:lang w:eastAsia="en-AU"/>
              </w:rPr>
            </w:pPr>
            <w:r w:rsidRPr="00EC326F">
              <w:rPr>
                <w:rFonts w:cstheme="minorHAnsi"/>
                <w:snapToGrid/>
                <w:color w:val="404040"/>
                <w:sz w:val="14"/>
                <w:szCs w:val="14"/>
                <w:lang w:eastAsia="en-AU"/>
              </w:rPr>
              <w:t>- Other non IS clients</w:t>
            </w:r>
          </w:p>
        </w:tc>
        <w:tc>
          <w:tcPr>
            <w:tcW w:w="987" w:type="dxa"/>
            <w:tcBorders>
              <w:top w:val="single" w:sz="4" w:space="0" w:color="E02628"/>
              <w:left w:val="nil"/>
              <w:bottom w:val="single" w:sz="4" w:space="0" w:color="E02628"/>
              <w:right w:val="nil"/>
            </w:tcBorders>
            <w:shd w:val="clear" w:color="000000" w:fill="FFFFFF"/>
            <w:noWrap/>
            <w:vAlign w:val="center"/>
            <w:hideMark/>
          </w:tcPr>
          <w:p w14:paraId="325D98D2" w14:textId="3AE80453"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543,327</w:t>
            </w:r>
          </w:p>
        </w:tc>
        <w:tc>
          <w:tcPr>
            <w:tcW w:w="855" w:type="dxa"/>
            <w:tcBorders>
              <w:top w:val="single" w:sz="4" w:space="0" w:color="E02628"/>
              <w:left w:val="nil"/>
              <w:bottom w:val="single" w:sz="4" w:space="0" w:color="E02628"/>
              <w:right w:val="nil"/>
            </w:tcBorders>
            <w:shd w:val="clear" w:color="000000" w:fill="FFFFFF"/>
            <w:noWrap/>
            <w:vAlign w:val="center"/>
            <w:hideMark/>
          </w:tcPr>
          <w:p w14:paraId="4BBC6E8E" w14:textId="0B3833B5"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54</w:t>
            </w:r>
          </w:p>
        </w:tc>
        <w:tc>
          <w:tcPr>
            <w:tcW w:w="855" w:type="dxa"/>
            <w:tcBorders>
              <w:top w:val="single" w:sz="4" w:space="0" w:color="E02628"/>
              <w:left w:val="nil"/>
              <w:bottom w:val="single" w:sz="4" w:space="0" w:color="E02628"/>
              <w:right w:val="nil"/>
            </w:tcBorders>
            <w:shd w:val="clear" w:color="000000" w:fill="FFFFFF"/>
            <w:noWrap/>
            <w:vAlign w:val="center"/>
            <w:hideMark/>
          </w:tcPr>
          <w:p w14:paraId="16EA1541" w14:textId="3CFC6BB7" w:rsidR="001C1846" w:rsidRPr="00EC326F" w:rsidRDefault="001C1846" w:rsidP="001C1846">
            <w:pPr>
              <w:keepNext/>
              <w:kinsoku/>
              <w:overflowPunct/>
              <w:snapToGrid/>
              <w:jc w:val="right"/>
              <w:rPr>
                <w:rFonts w:ascii="Arial" w:hAnsi="Arial"/>
                <w:snapToGrid/>
                <w:color w:val="333333"/>
                <w:sz w:val="14"/>
                <w:szCs w:val="14"/>
                <w:lang w:eastAsia="en-AU"/>
              </w:rPr>
            </w:pPr>
            <w:r>
              <w:rPr>
                <w:rFonts w:ascii="Arial" w:hAnsi="Arial"/>
                <w:color w:val="404040"/>
                <w:sz w:val="14"/>
                <w:szCs w:val="14"/>
              </w:rPr>
              <w:t>74</w:t>
            </w:r>
          </w:p>
        </w:tc>
        <w:tc>
          <w:tcPr>
            <w:tcW w:w="993" w:type="dxa"/>
            <w:tcBorders>
              <w:top w:val="single" w:sz="4" w:space="0" w:color="E02628"/>
              <w:left w:val="nil"/>
              <w:bottom w:val="single" w:sz="4" w:space="0" w:color="E02628"/>
              <w:right w:val="nil"/>
            </w:tcBorders>
            <w:shd w:val="clear" w:color="000000" w:fill="FFFFFF"/>
            <w:noWrap/>
            <w:vAlign w:val="center"/>
            <w:hideMark/>
          </w:tcPr>
          <w:p w14:paraId="2D3E2605" w14:textId="067B5EE3"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2,800</w:t>
            </w:r>
          </w:p>
        </w:tc>
        <w:tc>
          <w:tcPr>
            <w:tcW w:w="925" w:type="dxa"/>
            <w:tcBorders>
              <w:top w:val="single" w:sz="4" w:space="0" w:color="E02628"/>
              <w:left w:val="nil"/>
              <w:bottom w:val="single" w:sz="4" w:space="0" w:color="E02628"/>
              <w:right w:val="nil"/>
            </w:tcBorders>
            <w:shd w:val="clear" w:color="000000" w:fill="FFFFFF"/>
            <w:noWrap/>
            <w:vAlign w:val="center"/>
            <w:hideMark/>
          </w:tcPr>
          <w:p w14:paraId="44456BA0" w14:textId="35E9EB7E"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137</w:t>
            </w:r>
          </w:p>
        </w:tc>
        <w:tc>
          <w:tcPr>
            <w:tcW w:w="892" w:type="dxa"/>
            <w:tcBorders>
              <w:top w:val="single" w:sz="4" w:space="0" w:color="E02628"/>
              <w:left w:val="nil"/>
              <w:bottom w:val="single" w:sz="4" w:space="0" w:color="E02628"/>
              <w:right w:val="nil"/>
            </w:tcBorders>
            <w:shd w:val="clear" w:color="000000" w:fill="FFFFFF"/>
            <w:noWrap/>
            <w:vAlign w:val="center"/>
            <w:hideMark/>
          </w:tcPr>
          <w:p w14:paraId="363EC2DA" w14:textId="078D2B19"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49</w:t>
            </w:r>
          </w:p>
        </w:tc>
        <w:tc>
          <w:tcPr>
            <w:tcW w:w="1013" w:type="dxa"/>
            <w:tcBorders>
              <w:top w:val="single" w:sz="4" w:space="0" w:color="E02628"/>
              <w:left w:val="nil"/>
              <w:bottom w:val="single" w:sz="4" w:space="0" w:color="E02628"/>
              <w:right w:val="nil"/>
            </w:tcBorders>
            <w:shd w:val="clear" w:color="000000" w:fill="FFFFFF"/>
            <w:vAlign w:val="center"/>
          </w:tcPr>
          <w:p w14:paraId="20C5E3FD" w14:textId="1E667810"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40%</w:t>
            </w:r>
          </w:p>
        </w:tc>
      </w:tr>
      <w:tr w:rsidR="001C1846" w:rsidRPr="00EC326F" w14:paraId="5A7EC4D4" w14:textId="77777777" w:rsidTr="00744519">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31FF1D69" w14:textId="77777777" w:rsidR="001C1846" w:rsidRPr="00EC326F" w:rsidRDefault="001C1846" w:rsidP="001C1846">
            <w:pPr>
              <w:keepNext/>
              <w:kinsoku/>
              <w:overflowPunct/>
              <w:autoSpaceDE/>
              <w:autoSpaceDN/>
              <w:adjustRightInd/>
              <w:snapToGrid/>
              <w:rPr>
                <w:rFonts w:cstheme="minorHAnsi"/>
                <w:i/>
                <w:iCs/>
                <w:snapToGrid/>
                <w:color w:val="404040"/>
                <w:sz w:val="14"/>
                <w:szCs w:val="14"/>
                <w:lang w:eastAsia="en-AU"/>
              </w:rPr>
            </w:pPr>
            <w:r w:rsidRPr="00EC326F">
              <w:rPr>
                <w:rFonts w:cstheme="minorHAnsi"/>
                <w:i/>
                <w:iCs/>
                <w:snapToGrid/>
                <w:color w:val="404040"/>
                <w:sz w:val="14"/>
                <w:szCs w:val="14"/>
                <w:lang w:eastAsia="en-AU"/>
              </w:rPr>
              <w:t>Total current welfare recipients</w:t>
            </w:r>
          </w:p>
        </w:tc>
        <w:tc>
          <w:tcPr>
            <w:tcW w:w="987" w:type="dxa"/>
            <w:tcBorders>
              <w:top w:val="single" w:sz="4" w:space="0" w:color="E02628"/>
              <w:left w:val="nil"/>
              <w:bottom w:val="single" w:sz="4" w:space="0" w:color="E02628"/>
              <w:right w:val="nil"/>
            </w:tcBorders>
            <w:shd w:val="clear" w:color="000000" w:fill="FFFFFF"/>
            <w:noWrap/>
            <w:vAlign w:val="center"/>
            <w:hideMark/>
          </w:tcPr>
          <w:p w14:paraId="23182594" w14:textId="41F025E9" w:rsidR="001C1846" w:rsidRPr="00EC326F" w:rsidRDefault="001C1846" w:rsidP="001C1846">
            <w:pPr>
              <w:keepNext/>
              <w:kinsoku/>
              <w:overflowPunct/>
              <w:snapToGrid/>
              <w:jc w:val="right"/>
              <w:rPr>
                <w:rFonts w:ascii="Arial" w:hAnsi="Arial"/>
                <w:i/>
                <w:iCs/>
                <w:snapToGrid/>
                <w:color w:val="333333"/>
                <w:sz w:val="14"/>
                <w:szCs w:val="14"/>
                <w:lang w:eastAsia="en-AU"/>
              </w:rPr>
            </w:pPr>
            <w:r>
              <w:rPr>
                <w:rFonts w:ascii="Arial" w:hAnsi="Arial"/>
                <w:i/>
                <w:iCs/>
                <w:color w:val="404040"/>
                <w:sz w:val="14"/>
                <w:szCs w:val="14"/>
              </w:rPr>
              <w:t>8,046,572</w:t>
            </w:r>
          </w:p>
        </w:tc>
        <w:tc>
          <w:tcPr>
            <w:tcW w:w="855" w:type="dxa"/>
            <w:tcBorders>
              <w:top w:val="single" w:sz="4" w:space="0" w:color="E02628"/>
              <w:left w:val="nil"/>
              <w:bottom w:val="single" w:sz="4" w:space="0" w:color="E02628"/>
              <w:right w:val="nil"/>
            </w:tcBorders>
            <w:shd w:val="clear" w:color="000000" w:fill="FFFFFF"/>
            <w:noWrap/>
            <w:vAlign w:val="center"/>
            <w:hideMark/>
          </w:tcPr>
          <w:p w14:paraId="70666FD6" w14:textId="3DCBCF17" w:rsidR="001C1846" w:rsidRPr="00EC326F" w:rsidRDefault="001C1846" w:rsidP="001C1846">
            <w:pPr>
              <w:keepNext/>
              <w:kinsoku/>
              <w:overflowPunct/>
              <w:snapToGrid/>
              <w:jc w:val="center"/>
              <w:rPr>
                <w:rFonts w:ascii="Arial" w:hAnsi="Arial"/>
                <w:i/>
                <w:iCs/>
                <w:snapToGrid/>
                <w:color w:val="333333"/>
                <w:sz w:val="14"/>
                <w:szCs w:val="14"/>
                <w:lang w:eastAsia="en-AU"/>
              </w:rPr>
            </w:pPr>
            <w:r>
              <w:rPr>
                <w:rFonts w:ascii="Arial" w:hAnsi="Arial"/>
                <w:i/>
                <w:iCs/>
                <w:color w:val="404040"/>
                <w:sz w:val="14"/>
                <w:szCs w:val="14"/>
              </w:rPr>
              <w:t>53</w:t>
            </w:r>
          </w:p>
        </w:tc>
        <w:tc>
          <w:tcPr>
            <w:tcW w:w="855" w:type="dxa"/>
            <w:tcBorders>
              <w:top w:val="single" w:sz="4" w:space="0" w:color="E02628"/>
              <w:left w:val="nil"/>
              <w:bottom w:val="single" w:sz="4" w:space="0" w:color="E02628"/>
              <w:right w:val="nil"/>
            </w:tcBorders>
            <w:shd w:val="clear" w:color="000000" w:fill="FFFFFF"/>
            <w:noWrap/>
            <w:vAlign w:val="center"/>
            <w:hideMark/>
          </w:tcPr>
          <w:p w14:paraId="24DD531D" w14:textId="49C44B77" w:rsidR="001C1846" w:rsidRPr="00EC326F" w:rsidRDefault="001C1846" w:rsidP="001C1846">
            <w:pPr>
              <w:keepNext/>
              <w:kinsoku/>
              <w:overflowPunct/>
              <w:snapToGrid/>
              <w:jc w:val="right"/>
              <w:rPr>
                <w:rFonts w:ascii="Arial" w:hAnsi="Arial"/>
                <w:i/>
                <w:iCs/>
                <w:snapToGrid/>
                <w:color w:val="333333"/>
                <w:sz w:val="14"/>
                <w:szCs w:val="14"/>
                <w:lang w:eastAsia="en-AU"/>
              </w:rPr>
            </w:pPr>
            <w:r>
              <w:rPr>
                <w:rFonts w:ascii="Arial" w:hAnsi="Arial"/>
                <w:i/>
                <w:iCs/>
                <w:color w:val="404040"/>
                <w:sz w:val="14"/>
                <w:szCs w:val="14"/>
              </w:rPr>
              <w:t>2,095</w:t>
            </w:r>
          </w:p>
        </w:tc>
        <w:tc>
          <w:tcPr>
            <w:tcW w:w="993" w:type="dxa"/>
            <w:tcBorders>
              <w:top w:val="single" w:sz="4" w:space="0" w:color="E02628"/>
              <w:left w:val="nil"/>
              <w:bottom w:val="single" w:sz="4" w:space="0" w:color="E02628"/>
              <w:right w:val="nil"/>
            </w:tcBorders>
            <w:shd w:val="clear" w:color="000000" w:fill="FFFFFF"/>
            <w:noWrap/>
            <w:vAlign w:val="center"/>
            <w:hideMark/>
          </w:tcPr>
          <w:p w14:paraId="59CA4870" w14:textId="4DE6A322" w:rsidR="001C1846" w:rsidRPr="00EC326F" w:rsidRDefault="001C1846" w:rsidP="001C1846">
            <w:pPr>
              <w:keepNext/>
              <w:kinsoku/>
              <w:overflowPunct/>
              <w:snapToGrid/>
              <w:jc w:val="center"/>
              <w:rPr>
                <w:rFonts w:ascii="Arial" w:hAnsi="Arial"/>
                <w:i/>
                <w:iCs/>
                <w:snapToGrid/>
                <w:color w:val="333333"/>
                <w:sz w:val="14"/>
                <w:szCs w:val="14"/>
                <w:lang w:eastAsia="en-AU"/>
              </w:rPr>
            </w:pPr>
            <w:r>
              <w:rPr>
                <w:rFonts w:ascii="Arial" w:hAnsi="Arial"/>
                <w:i/>
                <w:iCs/>
                <w:color w:val="404040"/>
                <w:sz w:val="14"/>
                <w:szCs w:val="14"/>
              </w:rPr>
              <w:t>13,800</w:t>
            </w:r>
          </w:p>
        </w:tc>
        <w:tc>
          <w:tcPr>
            <w:tcW w:w="925" w:type="dxa"/>
            <w:tcBorders>
              <w:top w:val="single" w:sz="4" w:space="0" w:color="E02628"/>
              <w:left w:val="nil"/>
              <w:bottom w:val="single" w:sz="4" w:space="0" w:color="E02628"/>
              <w:right w:val="nil"/>
            </w:tcBorders>
            <w:shd w:val="clear" w:color="000000" w:fill="FFFFFF"/>
            <w:noWrap/>
            <w:vAlign w:val="center"/>
            <w:hideMark/>
          </w:tcPr>
          <w:p w14:paraId="4049E6C6" w14:textId="2A3F53F6" w:rsidR="001C1846" w:rsidRPr="00EC326F" w:rsidRDefault="001C1846" w:rsidP="001C1846">
            <w:pPr>
              <w:keepNext/>
              <w:kinsoku/>
              <w:overflowPunct/>
              <w:snapToGrid/>
              <w:jc w:val="center"/>
              <w:rPr>
                <w:rFonts w:ascii="Arial" w:hAnsi="Arial"/>
                <w:i/>
                <w:iCs/>
                <w:snapToGrid/>
                <w:color w:val="333333"/>
                <w:sz w:val="14"/>
                <w:szCs w:val="14"/>
                <w:lang w:eastAsia="en-AU"/>
              </w:rPr>
            </w:pPr>
            <w:r>
              <w:rPr>
                <w:rFonts w:ascii="Arial" w:hAnsi="Arial"/>
                <w:i/>
                <w:iCs/>
                <w:color w:val="404040"/>
                <w:sz w:val="14"/>
                <w:szCs w:val="14"/>
              </w:rPr>
              <w:t>260</w:t>
            </w:r>
          </w:p>
        </w:tc>
        <w:tc>
          <w:tcPr>
            <w:tcW w:w="892" w:type="dxa"/>
            <w:tcBorders>
              <w:top w:val="single" w:sz="4" w:space="0" w:color="E02628"/>
              <w:left w:val="nil"/>
              <w:bottom w:val="single" w:sz="4" w:space="0" w:color="E02628"/>
              <w:right w:val="nil"/>
            </w:tcBorders>
            <w:shd w:val="clear" w:color="000000" w:fill="FFFFFF"/>
            <w:noWrap/>
            <w:vAlign w:val="center"/>
            <w:hideMark/>
          </w:tcPr>
          <w:p w14:paraId="6E271DF5" w14:textId="361C8B20" w:rsidR="001C1846" w:rsidRPr="00EC326F" w:rsidRDefault="001C1846" w:rsidP="001C1846">
            <w:pPr>
              <w:keepNext/>
              <w:kinsoku/>
              <w:overflowPunct/>
              <w:snapToGrid/>
              <w:jc w:val="center"/>
              <w:rPr>
                <w:rFonts w:ascii="Arial" w:hAnsi="Arial"/>
                <w:snapToGrid/>
                <w:color w:val="333333"/>
                <w:sz w:val="14"/>
                <w:szCs w:val="14"/>
                <w:lang w:eastAsia="en-AU"/>
              </w:rPr>
            </w:pPr>
            <w:r>
              <w:rPr>
                <w:rFonts w:ascii="Arial" w:hAnsi="Arial"/>
                <w:color w:val="404040"/>
                <w:sz w:val="14"/>
                <w:szCs w:val="14"/>
              </w:rPr>
              <w:t>19</w:t>
            </w:r>
          </w:p>
        </w:tc>
        <w:tc>
          <w:tcPr>
            <w:tcW w:w="1013" w:type="dxa"/>
            <w:tcBorders>
              <w:top w:val="single" w:sz="4" w:space="0" w:color="E02628"/>
              <w:left w:val="nil"/>
              <w:bottom w:val="single" w:sz="4" w:space="0" w:color="E02628"/>
              <w:right w:val="nil"/>
            </w:tcBorders>
            <w:shd w:val="clear" w:color="000000" w:fill="FFFFFF"/>
            <w:vAlign w:val="center"/>
          </w:tcPr>
          <w:p w14:paraId="6DB52CA6" w14:textId="51FCA730"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60%</w:t>
            </w:r>
          </w:p>
        </w:tc>
      </w:tr>
      <w:tr w:rsidR="001C1846" w:rsidRPr="00EC326F" w14:paraId="1B85F2A1" w14:textId="77777777" w:rsidTr="00744519">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4C51E1D7" w14:textId="77777777" w:rsidR="001C1846" w:rsidRPr="00EC326F" w:rsidRDefault="001C1846" w:rsidP="001C1846">
            <w:pPr>
              <w:keepNext/>
              <w:kinsoku/>
              <w:overflowPunct/>
              <w:autoSpaceDE/>
              <w:autoSpaceDN/>
              <w:adjustRightInd/>
              <w:snapToGrid/>
              <w:rPr>
                <w:rFonts w:cstheme="minorHAnsi"/>
                <w:snapToGrid/>
                <w:color w:val="FFFFFF"/>
                <w:sz w:val="14"/>
                <w:szCs w:val="14"/>
                <w:lang w:eastAsia="en-AU"/>
              </w:rPr>
            </w:pPr>
            <w:r w:rsidRPr="00EC326F">
              <w:rPr>
                <w:rFonts w:cstheme="minorHAnsi"/>
                <w:snapToGrid/>
                <w:color w:val="FFFFFF"/>
                <w:sz w:val="14"/>
                <w:szCs w:val="14"/>
                <w:lang w:eastAsia="en-AU"/>
              </w:rPr>
              <w:t>Previous welfare recipients</w:t>
            </w:r>
          </w:p>
        </w:tc>
        <w:tc>
          <w:tcPr>
            <w:tcW w:w="987" w:type="dxa"/>
            <w:tcBorders>
              <w:top w:val="single" w:sz="4" w:space="0" w:color="E02628"/>
              <w:left w:val="nil"/>
              <w:bottom w:val="single" w:sz="4" w:space="0" w:color="E02628"/>
              <w:right w:val="nil"/>
            </w:tcBorders>
            <w:shd w:val="clear" w:color="auto" w:fill="E02628"/>
            <w:noWrap/>
            <w:vAlign w:val="center"/>
            <w:hideMark/>
          </w:tcPr>
          <w:p w14:paraId="7C51D35D" w14:textId="5C9FBDE9" w:rsidR="001C1846" w:rsidRPr="00EC326F" w:rsidRDefault="001C1846" w:rsidP="001C1846">
            <w:pPr>
              <w:keepNext/>
              <w:kinsoku/>
              <w:overflowPunct/>
              <w:autoSpaceDE/>
              <w:autoSpaceDN/>
              <w:adjustRightInd/>
              <w:snapToGrid/>
              <w:jc w:val="right"/>
              <w:rPr>
                <w:rFonts w:cstheme="minorHAnsi"/>
                <w:snapToGrid/>
                <w:color w:val="FFFFFF"/>
                <w:sz w:val="14"/>
                <w:szCs w:val="14"/>
                <w:lang w:eastAsia="en-AU"/>
              </w:rPr>
            </w:pPr>
            <w:r>
              <w:rPr>
                <w:rFonts w:ascii="Arial" w:hAnsi="Arial"/>
                <w:color w:val="FFFFFF"/>
                <w:sz w:val="14"/>
                <w:szCs w:val="14"/>
              </w:rPr>
              <w:t> </w:t>
            </w:r>
          </w:p>
        </w:tc>
        <w:tc>
          <w:tcPr>
            <w:tcW w:w="855" w:type="dxa"/>
            <w:tcBorders>
              <w:top w:val="single" w:sz="4" w:space="0" w:color="E02628"/>
              <w:left w:val="nil"/>
              <w:bottom w:val="single" w:sz="4" w:space="0" w:color="E02628"/>
              <w:right w:val="nil"/>
            </w:tcBorders>
            <w:shd w:val="clear" w:color="auto" w:fill="E02628"/>
            <w:noWrap/>
            <w:vAlign w:val="center"/>
            <w:hideMark/>
          </w:tcPr>
          <w:p w14:paraId="6A2683F4" w14:textId="43A85D77" w:rsidR="001C1846" w:rsidRPr="00EC326F" w:rsidRDefault="001C1846" w:rsidP="001C1846">
            <w:pPr>
              <w:keepNext/>
              <w:kinsoku/>
              <w:overflowPunct/>
              <w:autoSpaceDE/>
              <w:autoSpaceDN/>
              <w:adjustRightInd/>
              <w:snapToGrid/>
              <w:jc w:val="center"/>
              <w:rPr>
                <w:rFonts w:cstheme="minorHAnsi"/>
                <w:snapToGrid/>
                <w:color w:val="FFFFFF"/>
                <w:sz w:val="14"/>
                <w:szCs w:val="14"/>
                <w:lang w:eastAsia="en-AU"/>
              </w:rPr>
            </w:pPr>
            <w:r>
              <w:rPr>
                <w:rFonts w:ascii="Arial" w:hAnsi="Arial"/>
                <w:b/>
                <w:bCs/>
                <w:color w:val="FFFFFF"/>
                <w:sz w:val="14"/>
                <w:szCs w:val="14"/>
              </w:rPr>
              <w:t> </w:t>
            </w:r>
          </w:p>
        </w:tc>
        <w:tc>
          <w:tcPr>
            <w:tcW w:w="855" w:type="dxa"/>
            <w:tcBorders>
              <w:top w:val="single" w:sz="4" w:space="0" w:color="E02628"/>
              <w:left w:val="nil"/>
              <w:bottom w:val="single" w:sz="4" w:space="0" w:color="E02628"/>
              <w:right w:val="nil"/>
            </w:tcBorders>
            <w:shd w:val="clear" w:color="auto" w:fill="E02628"/>
            <w:noWrap/>
            <w:vAlign w:val="center"/>
            <w:hideMark/>
          </w:tcPr>
          <w:p w14:paraId="62A11A81" w14:textId="77458947" w:rsidR="001C1846" w:rsidRPr="00EC326F" w:rsidRDefault="001C1846" w:rsidP="001C1846">
            <w:pPr>
              <w:keepNext/>
              <w:kinsoku/>
              <w:overflowPunct/>
              <w:autoSpaceDE/>
              <w:autoSpaceDN/>
              <w:adjustRightInd/>
              <w:snapToGrid/>
              <w:jc w:val="right"/>
              <w:rPr>
                <w:rFonts w:cstheme="minorHAnsi"/>
                <w:snapToGrid/>
                <w:color w:val="FFFFFF"/>
                <w:sz w:val="14"/>
                <w:szCs w:val="14"/>
                <w:lang w:eastAsia="en-AU"/>
              </w:rPr>
            </w:pPr>
            <w:r>
              <w:rPr>
                <w:rFonts w:ascii="Arial" w:hAnsi="Arial"/>
                <w:color w:val="FFFFFF"/>
                <w:sz w:val="14"/>
                <w:szCs w:val="14"/>
              </w:rPr>
              <w:t> </w:t>
            </w:r>
          </w:p>
        </w:tc>
        <w:tc>
          <w:tcPr>
            <w:tcW w:w="993" w:type="dxa"/>
            <w:tcBorders>
              <w:top w:val="single" w:sz="4" w:space="0" w:color="E02628"/>
              <w:left w:val="nil"/>
              <w:bottom w:val="single" w:sz="4" w:space="0" w:color="E02628"/>
              <w:right w:val="nil"/>
            </w:tcBorders>
            <w:shd w:val="clear" w:color="auto" w:fill="E02628"/>
            <w:noWrap/>
            <w:vAlign w:val="center"/>
            <w:hideMark/>
          </w:tcPr>
          <w:p w14:paraId="5982B229" w14:textId="34A04F07" w:rsidR="001C1846" w:rsidRPr="00EC326F" w:rsidRDefault="001C1846" w:rsidP="001C1846">
            <w:pPr>
              <w:keepNext/>
              <w:kinsoku/>
              <w:overflowPunct/>
              <w:autoSpaceDE/>
              <w:autoSpaceDN/>
              <w:adjustRightInd/>
              <w:snapToGrid/>
              <w:jc w:val="center"/>
              <w:rPr>
                <w:rFonts w:cstheme="minorHAnsi"/>
                <w:snapToGrid/>
                <w:color w:val="FFFFFF"/>
                <w:sz w:val="14"/>
                <w:szCs w:val="14"/>
                <w:lang w:eastAsia="en-AU"/>
              </w:rPr>
            </w:pPr>
            <w:r>
              <w:rPr>
                <w:rFonts w:ascii="Arial" w:hAnsi="Arial"/>
                <w:color w:val="FFFFFF"/>
                <w:sz w:val="14"/>
                <w:szCs w:val="14"/>
              </w:rPr>
              <w:t> </w:t>
            </w:r>
          </w:p>
        </w:tc>
        <w:tc>
          <w:tcPr>
            <w:tcW w:w="925" w:type="dxa"/>
            <w:tcBorders>
              <w:top w:val="single" w:sz="4" w:space="0" w:color="E02628"/>
              <w:left w:val="nil"/>
              <w:bottom w:val="single" w:sz="4" w:space="0" w:color="E02628"/>
              <w:right w:val="nil"/>
            </w:tcBorders>
            <w:shd w:val="clear" w:color="auto" w:fill="E02628"/>
            <w:noWrap/>
            <w:vAlign w:val="center"/>
            <w:hideMark/>
          </w:tcPr>
          <w:p w14:paraId="05F9ACEF" w14:textId="050482C2" w:rsidR="001C1846" w:rsidRPr="00EC326F" w:rsidRDefault="001C1846" w:rsidP="001C1846">
            <w:pPr>
              <w:keepNext/>
              <w:kinsoku/>
              <w:overflowPunct/>
              <w:autoSpaceDE/>
              <w:autoSpaceDN/>
              <w:adjustRightInd/>
              <w:snapToGrid/>
              <w:jc w:val="center"/>
              <w:rPr>
                <w:rFonts w:cstheme="minorHAnsi"/>
                <w:snapToGrid/>
                <w:color w:val="FFFFFF"/>
                <w:sz w:val="14"/>
                <w:szCs w:val="14"/>
                <w:lang w:eastAsia="en-AU"/>
              </w:rPr>
            </w:pPr>
            <w:r>
              <w:rPr>
                <w:rFonts w:ascii="Arial" w:hAnsi="Arial"/>
                <w:color w:val="FFFFFF"/>
                <w:sz w:val="14"/>
                <w:szCs w:val="14"/>
              </w:rPr>
              <w:t> </w:t>
            </w:r>
          </w:p>
        </w:tc>
        <w:tc>
          <w:tcPr>
            <w:tcW w:w="892" w:type="dxa"/>
            <w:tcBorders>
              <w:top w:val="single" w:sz="4" w:space="0" w:color="E02628"/>
              <w:left w:val="nil"/>
              <w:bottom w:val="single" w:sz="4" w:space="0" w:color="E02628"/>
              <w:right w:val="nil"/>
            </w:tcBorders>
            <w:shd w:val="clear" w:color="auto" w:fill="E02628"/>
            <w:noWrap/>
            <w:vAlign w:val="center"/>
            <w:hideMark/>
          </w:tcPr>
          <w:p w14:paraId="566BFEBA" w14:textId="1918FD55" w:rsidR="001C1846" w:rsidRPr="00EC326F" w:rsidRDefault="001C1846" w:rsidP="001C1846">
            <w:pPr>
              <w:keepNext/>
              <w:kinsoku/>
              <w:overflowPunct/>
              <w:autoSpaceDE/>
              <w:autoSpaceDN/>
              <w:adjustRightInd/>
              <w:snapToGrid/>
              <w:jc w:val="center"/>
              <w:rPr>
                <w:rFonts w:cstheme="minorHAnsi"/>
                <w:snapToGrid/>
                <w:color w:val="FFFFFF"/>
                <w:sz w:val="14"/>
                <w:szCs w:val="14"/>
                <w:lang w:eastAsia="en-AU"/>
              </w:rPr>
            </w:pPr>
            <w:r>
              <w:rPr>
                <w:rFonts w:ascii="Arial" w:hAnsi="Arial"/>
                <w:color w:val="FFFFFF"/>
                <w:sz w:val="14"/>
                <w:szCs w:val="14"/>
              </w:rPr>
              <w:t> </w:t>
            </w:r>
          </w:p>
        </w:tc>
        <w:tc>
          <w:tcPr>
            <w:tcW w:w="1013" w:type="dxa"/>
            <w:tcBorders>
              <w:top w:val="single" w:sz="4" w:space="0" w:color="E02628"/>
              <w:left w:val="nil"/>
              <w:bottom w:val="single" w:sz="4" w:space="0" w:color="E02628"/>
              <w:right w:val="nil"/>
            </w:tcBorders>
            <w:shd w:val="clear" w:color="auto" w:fill="E02628"/>
            <w:vAlign w:val="center"/>
          </w:tcPr>
          <w:p w14:paraId="0817FE5D" w14:textId="6EBB69D6" w:rsidR="001C1846" w:rsidRPr="00EC326F" w:rsidRDefault="001C1846" w:rsidP="001C1846">
            <w:pPr>
              <w:keepNext/>
              <w:kinsoku/>
              <w:overflowPunct/>
              <w:autoSpaceDE/>
              <w:autoSpaceDN/>
              <w:adjustRightInd/>
              <w:snapToGrid/>
              <w:jc w:val="center"/>
              <w:rPr>
                <w:rFonts w:cstheme="minorHAnsi"/>
                <w:snapToGrid/>
                <w:color w:val="FFFFFF"/>
                <w:sz w:val="14"/>
                <w:szCs w:val="14"/>
                <w:lang w:eastAsia="en-AU"/>
              </w:rPr>
            </w:pPr>
            <w:r>
              <w:rPr>
                <w:rFonts w:ascii="Arial" w:hAnsi="Arial"/>
                <w:color w:val="FFFFFF"/>
                <w:sz w:val="14"/>
                <w:szCs w:val="14"/>
              </w:rPr>
              <w:t> </w:t>
            </w:r>
          </w:p>
        </w:tc>
      </w:tr>
      <w:tr w:rsidR="001C1846" w:rsidRPr="00EC326F" w14:paraId="1A2D5FD7" w14:textId="77777777" w:rsidTr="002B4F2E">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7CB9D0D8" w14:textId="77777777" w:rsidR="001C1846" w:rsidRPr="00EC326F" w:rsidRDefault="001C1846" w:rsidP="001C1846">
            <w:pPr>
              <w:keepNext/>
              <w:kinsoku/>
              <w:overflowPunct/>
              <w:autoSpaceDE/>
              <w:autoSpaceDN/>
              <w:adjustRightInd/>
              <w:snapToGrid/>
              <w:ind w:firstLineChars="200" w:firstLine="280"/>
              <w:rPr>
                <w:rFonts w:cstheme="minorHAnsi"/>
                <w:snapToGrid/>
                <w:color w:val="404040"/>
                <w:sz w:val="14"/>
                <w:szCs w:val="14"/>
                <w:lang w:eastAsia="en-AU"/>
              </w:rPr>
            </w:pPr>
            <w:r w:rsidRPr="00EC326F">
              <w:rPr>
                <w:rFonts w:cstheme="minorHAnsi"/>
                <w:snapToGrid/>
                <w:color w:val="404040"/>
                <w:sz w:val="14"/>
                <w:szCs w:val="14"/>
                <w:lang w:eastAsia="en-AU"/>
              </w:rPr>
              <w:t>- Exited 1-3 years</w:t>
            </w:r>
          </w:p>
        </w:tc>
        <w:tc>
          <w:tcPr>
            <w:tcW w:w="987" w:type="dxa"/>
            <w:tcBorders>
              <w:top w:val="single" w:sz="4" w:space="0" w:color="E02628"/>
              <w:left w:val="nil"/>
              <w:bottom w:val="single" w:sz="4" w:space="0" w:color="E02628"/>
              <w:right w:val="nil"/>
            </w:tcBorders>
            <w:shd w:val="clear" w:color="000000" w:fill="FFFFFF"/>
            <w:noWrap/>
            <w:vAlign w:val="center"/>
            <w:hideMark/>
          </w:tcPr>
          <w:p w14:paraId="7F8DDDCF" w14:textId="51AECA07" w:rsidR="001C1846" w:rsidRPr="00EC326F" w:rsidRDefault="001C1846" w:rsidP="001C1846">
            <w:pPr>
              <w:keepNext/>
              <w:kinsoku/>
              <w:overflowPunct/>
              <w:autoSpaceDE/>
              <w:autoSpaceDN/>
              <w:adjustRightInd/>
              <w:snapToGrid/>
              <w:jc w:val="right"/>
              <w:rPr>
                <w:rFonts w:ascii="Arial" w:hAnsi="Arial"/>
                <w:snapToGrid/>
                <w:color w:val="404040"/>
                <w:sz w:val="14"/>
                <w:szCs w:val="14"/>
                <w:lang w:eastAsia="en-AU"/>
              </w:rPr>
            </w:pPr>
            <w:r>
              <w:rPr>
                <w:rFonts w:ascii="Arial" w:hAnsi="Arial"/>
                <w:color w:val="404040"/>
                <w:sz w:val="14"/>
                <w:szCs w:val="14"/>
              </w:rPr>
              <w:t>1,418,858</w:t>
            </w:r>
          </w:p>
        </w:tc>
        <w:tc>
          <w:tcPr>
            <w:tcW w:w="855" w:type="dxa"/>
            <w:tcBorders>
              <w:top w:val="single" w:sz="4" w:space="0" w:color="E02628"/>
              <w:left w:val="nil"/>
              <w:bottom w:val="single" w:sz="4" w:space="0" w:color="E02628"/>
              <w:right w:val="nil"/>
            </w:tcBorders>
            <w:shd w:val="clear" w:color="000000" w:fill="FFFFFF"/>
            <w:noWrap/>
            <w:vAlign w:val="center"/>
            <w:hideMark/>
          </w:tcPr>
          <w:p w14:paraId="00834B69" w14:textId="62E7068E"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40</w:t>
            </w:r>
          </w:p>
        </w:tc>
        <w:tc>
          <w:tcPr>
            <w:tcW w:w="855" w:type="dxa"/>
            <w:tcBorders>
              <w:top w:val="single" w:sz="4" w:space="0" w:color="E02628"/>
              <w:left w:val="nil"/>
              <w:bottom w:val="single" w:sz="4" w:space="0" w:color="E02628"/>
              <w:right w:val="nil"/>
            </w:tcBorders>
            <w:shd w:val="clear" w:color="000000" w:fill="FFFFFF"/>
            <w:noWrap/>
            <w:vAlign w:val="center"/>
            <w:hideMark/>
          </w:tcPr>
          <w:p w14:paraId="47F09C56" w14:textId="3C70C9C6" w:rsidR="001C1846" w:rsidRPr="00EC326F" w:rsidRDefault="001C1846" w:rsidP="001C1846">
            <w:pPr>
              <w:keepNext/>
              <w:kinsoku/>
              <w:overflowPunct/>
              <w:autoSpaceDE/>
              <w:autoSpaceDN/>
              <w:adjustRightInd/>
              <w:snapToGrid/>
              <w:jc w:val="right"/>
              <w:rPr>
                <w:rFonts w:ascii="Arial" w:hAnsi="Arial"/>
                <w:snapToGrid/>
                <w:color w:val="404040"/>
                <w:sz w:val="14"/>
                <w:szCs w:val="14"/>
                <w:lang w:eastAsia="en-AU"/>
              </w:rPr>
            </w:pPr>
            <w:r>
              <w:rPr>
                <w:rFonts w:ascii="Arial" w:hAnsi="Arial"/>
                <w:color w:val="404040"/>
                <w:sz w:val="14"/>
                <w:szCs w:val="14"/>
              </w:rPr>
              <w:t>242</w:t>
            </w:r>
          </w:p>
        </w:tc>
        <w:tc>
          <w:tcPr>
            <w:tcW w:w="993" w:type="dxa"/>
            <w:tcBorders>
              <w:top w:val="single" w:sz="4" w:space="0" w:color="E02628"/>
              <w:left w:val="nil"/>
              <w:bottom w:val="single" w:sz="4" w:space="0" w:color="E02628"/>
              <w:right w:val="nil"/>
            </w:tcBorders>
            <w:shd w:val="clear" w:color="000000" w:fill="FFFFFF"/>
            <w:noWrap/>
            <w:vAlign w:val="center"/>
            <w:hideMark/>
          </w:tcPr>
          <w:p w14:paraId="74AA7AFD" w14:textId="779B6CC3"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n/a</w:t>
            </w:r>
          </w:p>
        </w:tc>
        <w:tc>
          <w:tcPr>
            <w:tcW w:w="925" w:type="dxa"/>
            <w:tcBorders>
              <w:top w:val="single" w:sz="4" w:space="0" w:color="E02628"/>
              <w:left w:val="nil"/>
              <w:bottom w:val="single" w:sz="4" w:space="0" w:color="E02628"/>
              <w:right w:val="nil"/>
            </w:tcBorders>
            <w:shd w:val="clear" w:color="000000" w:fill="FFFFFF"/>
            <w:noWrap/>
            <w:vAlign w:val="center"/>
            <w:hideMark/>
          </w:tcPr>
          <w:p w14:paraId="4B3D28DB" w14:textId="7AD28AFA"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170</w:t>
            </w:r>
          </w:p>
        </w:tc>
        <w:tc>
          <w:tcPr>
            <w:tcW w:w="892" w:type="dxa"/>
            <w:tcBorders>
              <w:top w:val="single" w:sz="4" w:space="0" w:color="E02628"/>
              <w:left w:val="nil"/>
              <w:bottom w:val="single" w:sz="4" w:space="0" w:color="E02628"/>
              <w:right w:val="nil"/>
            </w:tcBorders>
            <w:shd w:val="clear" w:color="000000" w:fill="FFFFFF"/>
            <w:noWrap/>
            <w:vAlign w:val="center"/>
            <w:hideMark/>
          </w:tcPr>
          <w:p w14:paraId="04553799" w14:textId="4E6B7671"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n/a</w:t>
            </w:r>
          </w:p>
        </w:tc>
        <w:tc>
          <w:tcPr>
            <w:tcW w:w="1013" w:type="dxa"/>
            <w:tcBorders>
              <w:top w:val="single" w:sz="4" w:space="0" w:color="E02628"/>
              <w:left w:val="nil"/>
              <w:bottom w:val="single" w:sz="4" w:space="0" w:color="E02628"/>
              <w:right w:val="nil"/>
            </w:tcBorders>
            <w:shd w:val="clear" w:color="000000" w:fill="FFFFFF"/>
            <w:vAlign w:val="center"/>
          </w:tcPr>
          <w:p w14:paraId="54429A7C" w14:textId="544DBD91"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41%</w:t>
            </w:r>
          </w:p>
        </w:tc>
      </w:tr>
      <w:tr w:rsidR="001C1846" w:rsidRPr="00EC326F" w14:paraId="3F0FA6C0" w14:textId="77777777" w:rsidTr="002B4F2E">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59C277F2" w14:textId="77777777" w:rsidR="001C1846" w:rsidRPr="00EC326F" w:rsidRDefault="001C1846" w:rsidP="001C1846">
            <w:pPr>
              <w:keepNext/>
              <w:kinsoku/>
              <w:overflowPunct/>
              <w:autoSpaceDE/>
              <w:autoSpaceDN/>
              <w:adjustRightInd/>
              <w:snapToGrid/>
              <w:ind w:firstLineChars="200" w:firstLine="280"/>
              <w:rPr>
                <w:rFonts w:cstheme="minorHAnsi"/>
                <w:snapToGrid/>
                <w:color w:val="404040"/>
                <w:sz w:val="14"/>
                <w:szCs w:val="14"/>
                <w:lang w:eastAsia="en-AU"/>
              </w:rPr>
            </w:pPr>
            <w:r w:rsidRPr="00EC326F">
              <w:rPr>
                <w:rFonts w:cstheme="minorHAnsi"/>
                <w:snapToGrid/>
                <w:color w:val="404040"/>
                <w:sz w:val="14"/>
                <w:szCs w:val="14"/>
                <w:lang w:eastAsia="en-AU"/>
              </w:rPr>
              <w:t>- Exited 4+ years</w:t>
            </w:r>
          </w:p>
        </w:tc>
        <w:tc>
          <w:tcPr>
            <w:tcW w:w="987" w:type="dxa"/>
            <w:tcBorders>
              <w:top w:val="single" w:sz="4" w:space="0" w:color="E02628"/>
              <w:left w:val="nil"/>
              <w:bottom w:val="single" w:sz="4" w:space="0" w:color="E02628"/>
              <w:right w:val="nil"/>
            </w:tcBorders>
            <w:shd w:val="clear" w:color="000000" w:fill="FFFFFF"/>
            <w:noWrap/>
            <w:vAlign w:val="center"/>
            <w:hideMark/>
          </w:tcPr>
          <w:p w14:paraId="14806BA3" w14:textId="32A4F255" w:rsidR="001C1846" w:rsidRPr="00EC326F" w:rsidRDefault="001C1846" w:rsidP="001C1846">
            <w:pPr>
              <w:keepNext/>
              <w:kinsoku/>
              <w:overflowPunct/>
              <w:autoSpaceDE/>
              <w:autoSpaceDN/>
              <w:adjustRightInd/>
              <w:snapToGrid/>
              <w:jc w:val="right"/>
              <w:rPr>
                <w:rFonts w:ascii="Arial" w:hAnsi="Arial"/>
                <w:snapToGrid/>
                <w:color w:val="404040"/>
                <w:sz w:val="14"/>
                <w:szCs w:val="14"/>
                <w:lang w:eastAsia="en-AU"/>
              </w:rPr>
            </w:pPr>
            <w:r>
              <w:rPr>
                <w:rFonts w:ascii="Arial" w:hAnsi="Arial"/>
                <w:color w:val="404040"/>
                <w:sz w:val="14"/>
                <w:szCs w:val="14"/>
              </w:rPr>
              <w:t>2,767,739</w:t>
            </w:r>
          </w:p>
        </w:tc>
        <w:tc>
          <w:tcPr>
            <w:tcW w:w="855" w:type="dxa"/>
            <w:tcBorders>
              <w:top w:val="single" w:sz="4" w:space="0" w:color="E02628"/>
              <w:left w:val="nil"/>
              <w:bottom w:val="single" w:sz="4" w:space="0" w:color="E02628"/>
              <w:right w:val="nil"/>
            </w:tcBorders>
            <w:shd w:val="clear" w:color="000000" w:fill="FFFFFF"/>
            <w:noWrap/>
            <w:vAlign w:val="center"/>
            <w:hideMark/>
          </w:tcPr>
          <w:p w14:paraId="1DAE1533" w14:textId="54BF08BA"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46</w:t>
            </w:r>
          </w:p>
        </w:tc>
        <w:tc>
          <w:tcPr>
            <w:tcW w:w="855" w:type="dxa"/>
            <w:tcBorders>
              <w:top w:val="single" w:sz="4" w:space="0" w:color="E02628"/>
              <w:left w:val="nil"/>
              <w:bottom w:val="single" w:sz="4" w:space="0" w:color="E02628"/>
              <w:right w:val="nil"/>
            </w:tcBorders>
            <w:shd w:val="clear" w:color="000000" w:fill="FFFFFF"/>
            <w:noWrap/>
            <w:vAlign w:val="center"/>
            <w:hideMark/>
          </w:tcPr>
          <w:p w14:paraId="3A6FF5DB" w14:textId="0FAA862A" w:rsidR="001C1846" w:rsidRPr="00EC326F" w:rsidRDefault="001C1846" w:rsidP="001C1846">
            <w:pPr>
              <w:keepNext/>
              <w:kinsoku/>
              <w:overflowPunct/>
              <w:autoSpaceDE/>
              <w:autoSpaceDN/>
              <w:adjustRightInd/>
              <w:snapToGrid/>
              <w:jc w:val="right"/>
              <w:rPr>
                <w:rFonts w:ascii="Arial" w:hAnsi="Arial"/>
                <w:snapToGrid/>
                <w:color w:val="404040"/>
                <w:sz w:val="14"/>
                <w:szCs w:val="14"/>
                <w:lang w:eastAsia="en-AU"/>
              </w:rPr>
            </w:pPr>
            <w:r>
              <w:rPr>
                <w:rFonts w:ascii="Arial" w:hAnsi="Arial"/>
                <w:color w:val="404040"/>
                <w:sz w:val="14"/>
                <w:szCs w:val="14"/>
              </w:rPr>
              <w:t>411</w:t>
            </w:r>
          </w:p>
        </w:tc>
        <w:tc>
          <w:tcPr>
            <w:tcW w:w="993" w:type="dxa"/>
            <w:tcBorders>
              <w:top w:val="single" w:sz="4" w:space="0" w:color="E02628"/>
              <w:left w:val="nil"/>
              <w:bottom w:val="single" w:sz="4" w:space="0" w:color="E02628"/>
              <w:right w:val="nil"/>
            </w:tcBorders>
            <w:shd w:val="clear" w:color="000000" w:fill="FFFFFF"/>
            <w:noWrap/>
            <w:vAlign w:val="center"/>
            <w:hideMark/>
          </w:tcPr>
          <w:p w14:paraId="7437B277" w14:textId="6F46B1F3"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n/a</w:t>
            </w:r>
          </w:p>
        </w:tc>
        <w:tc>
          <w:tcPr>
            <w:tcW w:w="925" w:type="dxa"/>
            <w:tcBorders>
              <w:top w:val="single" w:sz="4" w:space="0" w:color="E02628"/>
              <w:left w:val="nil"/>
              <w:bottom w:val="single" w:sz="4" w:space="0" w:color="E02628"/>
              <w:right w:val="nil"/>
            </w:tcBorders>
            <w:shd w:val="clear" w:color="000000" w:fill="FFFFFF"/>
            <w:noWrap/>
            <w:vAlign w:val="center"/>
            <w:hideMark/>
          </w:tcPr>
          <w:p w14:paraId="17C66C41" w14:textId="6C1FE7EB"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148</w:t>
            </w:r>
          </w:p>
        </w:tc>
        <w:tc>
          <w:tcPr>
            <w:tcW w:w="892" w:type="dxa"/>
            <w:tcBorders>
              <w:top w:val="single" w:sz="4" w:space="0" w:color="E02628"/>
              <w:left w:val="nil"/>
              <w:bottom w:val="single" w:sz="4" w:space="0" w:color="E02628"/>
              <w:right w:val="nil"/>
            </w:tcBorders>
            <w:shd w:val="clear" w:color="000000" w:fill="FFFFFF"/>
            <w:noWrap/>
            <w:vAlign w:val="center"/>
            <w:hideMark/>
          </w:tcPr>
          <w:p w14:paraId="3233B82E" w14:textId="6A5D8D4A"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n/a</w:t>
            </w:r>
          </w:p>
        </w:tc>
        <w:tc>
          <w:tcPr>
            <w:tcW w:w="1013" w:type="dxa"/>
            <w:tcBorders>
              <w:top w:val="single" w:sz="4" w:space="0" w:color="E02628"/>
              <w:left w:val="nil"/>
              <w:bottom w:val="single" w:sz="4" w:space="0" w:color="E02628"/>
              <w:right w:val="nil"/>
            </w:tcBorders>
            <w:shd w:val="clear" w:color="000000" w:fill="FFFFFF"/>
            <w:vAlign w:val="center"/>
          </w:tcPr>
          <w:p w14:paraId="052D89E4" w14:textId="4B62E936"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40%</w:t>
            </w:r>
          </w:p>
        </w:tc>
      </w:tr>
      <w:tr w:rsidR="001C1846" w:rsidRPr="00EC326F" w14:paraId="10101FB5" w14:textId="77777777" w:rsidTr="002B4F2E">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567CF30F" w14:textId="77777777" w:rsidR="001C1846" w:rsidRPr="00EC326F" w:rsidRDefault="001C1846" w:rsidP="001C1846">
            <w:pPr>
              <w:keepNext/>
              <w:kinsoku/>
              <w:overflowPunct/>
              <w:autoSpaceDE/>
              <w:autoSpaceDN/>
              <w:adjustRightInd/>
              <w:snapToGrid/>
              <w:rPr>
                <w:rFonts w:cstheme="minorHAnsi"/>
                <w:i/>
                <w:iCs/>
                <w:snapToGrid/>
                <w:color w:val="404040"/>
                <w:sz w:val="14"/>
                <w:szCs w:val="14"/>
                <w:lang w:eastAsia="en-AU"/>
              </w:rPr>
            </w:pPr>
            <w:r w:rsidRPr="00EC326F">
              <w:rPr>
                <w:rFonts w:cstheme="minorHAnsi"/>
                <w:i/>
                <w:iCs/>
                <w:snapToGrid/>
                <w:color w:val="404040"/>
                <w:sz w:val="14"/>
                <w:szCs w:val="14"/>
                <w:lang w:eastAsia="en-AU"/>
              </w:rPr>
              <w:t>Total previous welfare recipients</w:t>
            </w:r>
          </w:p>
        </w:tc>
        <w:tc>
          <w:tcPr>
            <w:tcW w:w="987" w:type="dxa"/>
            <w:tcBorders>
              <w:top w:val="single" w:sz="4" w:space="0" w:color="E02628"/>
              <w:left w:val="nil"/>
              <w:bottom w:val="single" w:sz="4" w:space="0" w:color="E02628"/>
              <w:right w:val="nil"/>
            </w:tcBorders>
            <w:shd w:val="clear" w:color="000000" w:fill="FFFFFF"/>
            <w:noWrap/>
            <w:vAlign w:val="center"/>
            <w:hideMark/>
          </w:tcPr>
          <w:p w14:paraId="12856217" w14:textId="1A6D40D8" w:rsidR="001C1846" w:rsidRPr="00EC326F" w:rsidRDefault="001C1846" w:rsidP="001C1846">
            <w:pPr>
              <w:keepNext/>
              <w:kinsoku/>
              <w:overflowPunct/>
              <w:autoSpaceDE/>
              <w:autoSpaceDN/>
              <w:adjustRightInd/>
              <w:snapToGrid/>
              <w:jc w:val="right"/>
              <w:rPr>
                <w:rFonts w:ascii="Arial" w:hAnsi="Arial"/>
                <w:i/>
                <w:iCs/>
                <w:snapToGrid/>
                <w:color w:val="404040"/>
                <w:sz w:val="14"/>
                <w:szCs w:val="14"/>
                <w:lang w:eastAsia="en-AU"/>
              </w:rPr>
            </w:pPr>
            <w:r>
              <w:rPr>
                <w:rFonts w:ascii="Arial" w:hAnsi="Arial"/>
                <w:i/>
                <w:iCs/>
                <w:color w:val="404040"/>
                <w:sz w:val="14"/>
                <w:szCs w:val="14"/>
              </w:rPr>
              <w:t>4,186,597</w:t>
            </w:r>
          </w:p>
        </w:tc>
        <w:tc>
          <w:tcPr>
            <w:tcW w:w="855" w:type="dxa"/>
            <w:tcBorders>
              <w:top w:val="single" w:sz="4" w:space="0" w:color="E02628"/>
              <w:left w:val="nil"/>
              <w:bottom w:val="single" w:sz="4" w:space="0" w:color="E02628"/>
              <w:right w:val="nil"/>
            </w:tcBorders>
            <w:shd w:val="clear" w:color="000000" w:fill="FFFFFF"/>
            <w:noWrap/>
            <w:vAlign w:val="center"/>
            <w:hideMark/>
          </w:tcPr>
          <w:p w14:paraId="2210C574" w14:textId="1A48D992" w:rsidR="001C1846" w:rsidRPr="00EC326F" w:rsidRDefault="001C1846" w:rsidP="001C1846">
            <w:pPr>
              <w:keepNext/>
              <w:kinsoku/>
              <w:overflowPunct/>
              <w:autoSpaceDE/>
              <w:autoSpaceDN/>
              <w:adjustRightInd/>
              <w:snapToGrid/>
              <w:jc w:val="center"/>
              <w:rPr>
                <w:rFonts w:ascii="Arial" w:hAnsi="Arial"/>
                <w:i/>
                <w:iCs/>
                <w:snapToGrid/>
                <w:color w:val="404040"/>
                <w:sz w:val="14"/>
                <w:szCs w:val="14"/>
                <w:lang w:eastAsia="en-AU"/>
              </w:rPr>
            </w:pPr>
            <w:r>
              <w:rPr>
                <w:rFonts w:ascii="Arial" w:hAnsi="Arial"/>
                <w:i/>
                <w:iCs/>
                <w:color w:val="404040"/>
                <w:sz w:val="14"/>
                <w:szCs w:val="14"/>
              </w:rPr>
              <w:t>44</w:t>
            </w:r>
          </w:p>
        </w:tc>
        <w:tc>
          <w:tcPr>
            <w:tcW w:w="855" w:type="dxa"/>
            <w:tcBorders>
              <w:top w:val="single" w:sz="4" w:space="0" w:color="E02628"/>
              <w:left w:val="nil"/>
              <w:bottom w:val="single" w:sz="4" w:space="0" w:color="E02628"/>
              <w:right w:val="nil"/>
            </w:tcBorders>
            <w:shd w:val="clear" w:color="000000" w:fill="FFFFFF"/>
            <w:noWrap/>
            <w:vAlign w:val="center"/>
            <w:hideMark/>
          </w:tcPr>
          <w:p w14:paraId="7873B659" w14:textId="6FB2E936" w:rsidR="001C1846" w:rsidRPr="00EC326F" w:rsidRDefault="001C1846" w:rsidP="001C1846">
            <w:pPr>
              <w:keepNext/>
              <w:kinsoku/>
              <w:overflowPunct/>
              <w:autoSpaceDE/>
              <w:autoSpaceDN/>
              <w:adjustRightInd/>
              <w:snapToGrid/>
              <w:jc w:val="right"/>
              <w:rPr>
                <w:rFonts w:ascii="Arial" w:hAnsi="Arial"/>
                <w:i/>
                <w:iCs/>
                <w:snapToGrid/>
                <w:color w:val="404040"/>
                <w:sz w:val="14"/>
                <w:szCs w:val="14"/>
                <w:lang w:eastAsia="en-AU"/>
              </w:rPr>
            </w:pPr>
            <w:r>
              <w:rPr>
                <w:rFonts w:ascii="Arial" w:hAnsi="Arial"/>
                <w:i/>
                <w:iCs/>
                <w:color w:val="404040"/>
                <w:sz w:val="14"/>
                <w:szCs w:val="14"/>
              </w:rPr>
              <w:t>653</w:t>
            </w:r>
          </w:p>
        </w:tc>
        <w:tc>
          <w:tcPr>
            <w:tcW w:w="993" w:type="dxa"/>
            <w:tcBorders>
              <w:top w:val="single" w:sz="4" w:space="0" w:color="E02628"/>
              <w:left w:val="nil"/>
              <w:bottom w:val="single" w:sz="4" w:space="0" w:color="E02628"/>
              <w:right w:val="nil"/>
            </w:tcBorders>
            <w:shd w:val="clear" w:color="000000" w:fill="FFFFFF"/>
            <w:noWrap/>
            <w:vAlign w:val="center"/>
            <w:hideMark/>
          </w:tcPr>
          <w:p w14:paraId="0A2771EA" w14:textId="3195AEDE"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n/a</w:t>
            </w:r>
          </w:p>
        </w:tc>
        <w:tc>
          <w:tcPr>
            <w:tcW w:w="925" w:type="dxa"/>
            <w:tcBorders>
              <w:top w:val="single" w:sz="4" w:space="0" w:color="E02628"/>
              <w:left w:val="nil"/>
              <w:bottom w:val="single" w:sz="4" w:space="0" w:color="E02628"/>
              <w:right w:val="nil"/>
            </w:tcBorders>
            <w:shd w:val="clear" w:color="000000" w:fill="FFFFFF"/>
            <w:noWrap/>
            <w:vAlign w:val="center"/>
            <w:hideMark/>
          </w:tcPr>
          <w:p w14:paraId="2649E1F8" w14:textId="14223EAA" w:rsidR="001C1846" w:rsidRPr="00EC326F" w:rsidRDefault="001C1846" w:rsidP="001C1846">
            <w:pPr>
              <w:keepNext/>
              <w:kinsoku/>
              <w:overflowPunct/>
              <w:autoSpaceDE/>
              <w:autoSpaceDN/>
              <w:adjustRightInd/>
              <w:snapToGrid/>
              <w:jc w:val="center"/>
              <w:rPr>
                <w:rFonts w:ascii="Arial" w:hAnsi="Arial"/>
                <w:i/>
                <w:iCs/>
                <w:snapToGrid/>
                <w:color w:val="404040"/>
                <w:sz w:val="14"/>
                <w:szCs w:val="14"/>
                <w:lang w:eastAsia="en-AU"/>
              </w:rPr>
            </w:pPr>
            <w:r>
              <w:rPr>
                <w:rFonts w:ascii="Arial" w:hAnsi="Arial"/>
                <w:i/>
                <w:iCs/>
                <w:color w:val="404040"/>
                <w:sz w:val="14"/>
                <w:szCs w:val="14"/>
              </w:rPr>
              <w:t>156</w:t>
            </w:r>
          </w:p>
        </w:tc>
        <w:tc>
          <w:tcPr>
            <w:tcW w:w="892" w:type="dxa"/>
            <w:tcBorders>
              <w:top w:val="single" w:sz="4" w:space="0" w:color="E02628"/>
              <w:left w:val="nil"/>
              <w:bottom w:val="single" w:sz="4" w:space="0" w:color="E02628"/>
              <w:right w:val="nil"/>
            </w:tcBorders>
            <w:shd w:val="clear" w:color="000000" w:fill="FFFFFF"/>
            <w:noWrap/>
            <w:vAlign w:val="center"/>
            <w:hideMark/>
          </w:tcPr>
          <w:p w14:paraId="7B6EB744" w14:textId="7CD4A4BF"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n/a</w:t>
            </w:r>
          </w:p>
        </w:tc>
        <w:tc>
          <w:tcPr>
            <w:tcW w:w="1013" w:type="dxa"/>
            <w:tcBorders>
              <w:top w:val="single" w:sz="4" w:space="0" w:color="E02628"/>
              <w:left w:val="nil"/>
              <w:bottom w:val="single" w:sz="4" w:space="0" w:color="E02628"/>
              <w:right w:val="nil"/>
            </w:tcBorders>
            <w:shd w:val="clear" w:color="000000" w:fill="FFFFFF"/>
            <w:vAlign w:val="center"/>
          </w:tcPr>
          <w:p w14:paraId="6179932D" w14:textId="04749318"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41%</w:t>
            </w:r>
          </w:p>
        </w:tc>
      </w:tr>
      <w:tr w:rsidR="001C1846" w:rsidRPr="00EC326F" w14:paraId="5B231571" w14:textId="77777777" w:rsidTr="00744519">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559D2DFB" w14:textId="77777777" w:rsidR="001C1846" w:rsidRPr="00EC326F" w:rsidRDefault="001C1846" w:rsidP="001C1846">
            <w:pPr>
              <w:keepNext/>
              <w:kinsoku/>
              <w:overflowPunct/>
              <w:autoSpaceDE/>
              <w:autoSpaceDN/>
              <w:adjustRightInd/>
              <w:snapToGrid/>
              <w:rPr>
                <w:rFonts w:cstheme="minorHAnsi"/>
                <w:snapToGrid/>
                <w:color w:val="FFFFFF"/>
                <w:sz w:val="14"/>
                <w:szCs w:val="14"/>
                <w:lang w:eastAsia="en-AU"/>
              </w:rPr>
            </w:pPr>
            <w:r w:rsidRPr="00EC326F">
              <w:rPr>
                <w:rFonts w:cstheme="minorHAnsi"/>
                <w:snapToGrid/>
                <w:color w:val="FFFFFF"/>
                <w:sz w:val="14"/>
                <w:szCs w:val="14"/>
                <w:lang w:eastAsia="en-AU"/>
              </w:rPr>
              <w:t>Rest of Australian resident population</w:t>
            </w:r>
          </w:p>
        </w:tc>
        <w:tc>
          <w:tcPr>
            <w:tcW w:w="987" w:type="dxa"/>
            <w:tcBorders>
              <w:top w:val="single" w:sz="4" w:space="0" w:color="E02628"/>
              <w:left w:val="nil"/>
              <w:bottom w:val="single" w:sz="4" w:space="0" w:color="E02628"/>
              <w:right w:val="nil"/>
            </w:tcBorders>
            <w:shd w:val="clear" w:color="auto" w:fill="E02628"/>
            <w:noWrap/>
            <w:vAlign w:val="center"/>
            <w:hideMark/>
          </w:tcPr>
          <w:p w14:paraId="09F9DE1D" w14:textId="073BB452" w:rsidR="001C1846" w:rsidRPr="00EC326F" w:rsidRDefault="001C1846" w:rsidP="001C1846">
            <w:pPr>
              <w:keepNext/>
              <w:kinsoku/>
              <w:overflowPunct/>
              <w:autoSpaceDE/>
              <w:autoSpaceDN/>
              <w:adjustRightInd/>
              <w:snapToGrid/>
              <w:jc w:val="right"/>
              <w:rPr>
                <w:rFonts w:cstheme="minorHAnsi"/>
                <w:snapToGrid/>
                <w:color w:val="FFFFFF"/>
                <w:sz w:val="14"/>
                <w:szCs w:val="14"/>
                <w:lang w:eastAsia="en-AU"/>
              </w:rPr>
            </w:pPr>
            <w:r>
              <w:rPr>
                <w:rFonts w:ascii="Arial" w:hAnsi="Arial"/>
                <w:color w:val="FFFFFF"/>
                <w:sz w:val="14"/>
                <w:szCs w:val="14"/>
              </w:rPr>
              <w:t> </w:t>
            </w:r>
          </w:p>
        </w:tc>
        <w:tc>
          <w:tcPr>
            <w:tcW w:w="855" w:type="dxa"/>
            <w:tcBorders>
              <w:top w:val="single" w:sz="4" w:space="0" w:color="E02628"/>
              <w:left w:val="nil"/>
              <w:bottom w:val="single" w:sz="4" w:space="0" w:color="E02628"/>
              <w:right w:val="nil"/>
            </w:tcBorders>
            <w:shd w:val="clear" w:color="auto" w:fill="E02628"/>
            <w:noWrap/>
            <w:vAlign w:val="center"/>
            <w:hideMark/>
          </w:tcPr>
          <w:p w14:paraId="51CAAF8A" w14:textId="37244A44" w:rsidR="001C1846" w:rsidRPr="00EC326F" w:rsidRDefault="001C1846" w:rsidP="001C1846">
            <w:pPr>
              <w:keepNext/>
              <w:kinsoku/>
              <w:overflowPunct/>
              <w:autoSpaceDE/>
              <w:autoSpaceDN/>
              <w:adjustRightInd/>
              <w:snapToGrid/>
              <w:jc w:val="center"/>
              <w:rPr>
                <w:rFonts w:cstheme="minorHAnsi"/>
                <w:snapToGrid/>
                <w:color w:val="FFFFFF"/>
                <w:sz w:val="14"/>
                <w:szCs w:val="14"/>
                <w:lang w:eastAsia="en-AU"/>
              </w:rPr>
            </w:pPr>
            <w:r>
              <w:rPr>
                <w:rFonts w:ascii="Arial" w:hAnsi="Arial"/>
                <w:b/>
                <w:bCs/>
                <w:color w:val="FFFFFF"/>
                <w:sz w:val="14"/>
                <w:szCs w:val="14"/>
              </w:rPr>
              <w:t> </w:t>
            </w:r>
          </w:p>
        </w:tc>
        <w:tc>
          <w:tcPr>
            <w:tcW w:w="855" w:type="dxa"/>
            <w:tcBorders>
              <w:top w:val="single" w:sz="4" w:space="0" w:color="E02628"/>
              <w:left w:val="nil"/>
              <w:bottom w:val="single" w:sz="4" w:space="0" w:color="E02628"/>
              <w:right w:val="nil"/>
            </w:tcBorders>
            <w:shd w:val="clear" w:color="auto" w:fill="E02628"/>
            <w:noWrap/>
            <w:vAlign w:val="center"/>
            <w:hideMark/>
          </w:tcPr>
          <w:p w14:paraId="67BD1307" w14:textId="188174E6" w:rsidR="001C1846" w:rsidRPr="00EC326F" w:rsidRDefault="001C1846" w:rsidP="001C1846">
            <w:pPr>
              <w:keepNext/>
              <w:kinsoku/>
              <w:overflowPunct/>
              <w:autoSpaceDE/>
              <w:autoSpaceDN/>
              <w:adjustRightInd/>
              <w:snapToGrid/>
              <w:jc w:val="right"/>
              <w:rPr>
                <w:rFonts w:cstheme="minorHAnsi"/>
                <w:snapToGrid/>
                <w:color w:val="FFFFFF"/>
                <w:sz w:val="14"/>
                <w:szCs w:val="14"/>
                <w:lang w:eastAsia="en-AU"/>
              </w:rPr>
            </w:pPr>
            <w:r>
              <w:rPr>
                <w:rFonts w:ascii="Arial" w:hAnsi="Arial"/>
                <w:color w:val="FFFFFF"/>
                <w:sz w:val="14"/>
                <w:szCs w:val="14"/>
              </w:rPr>
              <w:t> </w:t>
            </w:r>
          </w:p>
        </w:tc>
        <w:tc>
          <w:tcPr>
            <w:tcW w:w="993" w:type="dxa"/>
            <w:tcBorders>
              <w:top w:val="single" w:sz="4" w:space="0" w:color="E02628"/>
              <w:left w:val="nil"/>
              <w:bottom w:val="single" w:sz="4" w:space="0" w:color="E02628"/>
              <w:right w:val="nil"/>
            </w:tcBorders>
            <w:shd w:val="clear" w:color="auto" w:fill="E02628"/>
            <w:noWrap/>
            <w:vAlign w:val="center"/>
            <w:hideMark/>
          </w:tcPr>
          <w:p w14:paraId="5B8FE1D6" w14:textId="6183E9BF" w:rsidR="001C1846" w:rsidRPr="00EC326F" w:rsidRDefault="001C1846" w:rsidP="001C1846">
            <w:pPr>
              <w:keepNext/>
              <w:kinsoku/>
              <w:overflowPunct/>
              <w:autoSpaceDE/>
              <w:autoSpaceDN/>
              <w:adjustRightInd/>
              <w:snapToGrid/>
              <w:jc w:val="center"/>
              <w:rPr>
                <w:rFonts w:cstheme="minorHAnsi"/>
                <w:snapToGrid/>
                <w:color w:val="FFFFFF"/>
                <w:sz w:val="14"/>
                <w:szCs w:val="14"/>
                <w:lang w:eastAsia="en-AU"/>
              </w:rPr>
            </w:pPr>
            <w:r>
              <w:rPr>
                <w:rFonts w:ascii="Arial" w:hAnsi="Arial"/>
                <w:color w:val="FFFFFF"/>
                <w:sz w:val="14"/>
                <w:szCs w:val="14"/>
              </w:rPr>
              <w:t> </w:t>
            </w:r>
          </w:p>
        </w:tc>
        <w:tc>
          <w:tcPr>
            <w:tcW w:w="925" w:type="dxa"/>
            <w:tcBorders>
              <w:top w:val="single" w:sz="4" w:space="0" w:color="E02628"/>
              <w:left w:val="nil"/>
              <w:bottom w:val="single" w:sz="4" w:space="0" w:color="E02628"/>
              <w:right w:val="nil"/>
            </w:tcBorders>
            <w:shd w:val="clear" w:color="auto" w:fill="E02628"/>
            <w:noWrap/>
            <w:vAlign w:val="center"/>
            <w:hideMark/>
          </w:tcPr>
          <w:p w14:paraId="39D7B6F8" w14:textId="1CAB2E30" w:rsidR="001C1846" w:rsidRPr="00EC326F" w:rsidRDefault="001C1846" w:rsidP="001C1846">
            <w:pPr>
              <w:keepNext/>
              <w:kinsoku/>
              <w:overflowPunct/>
              <w:autoSpaceDE/>
              <w:autoSpaceDN/>
              <w:adjustRightInd/>
              <w:snapToGrid/>
              <w:jc w:val="center"/>
              <w:rPr>
                <w:rFonts w:cstheme="minorHAnsi"/>
                <w:snapToGrid/>
                <w:color w:val="FFFFFF"/>
                <w:sz w:val="14"/>
                <w:szCs w:val="14"/>
                <w:lang w:eastAsia="en-AU"/>
              </w:rPr>
            </w:pPr>
            <w:r>
              <w:rPr>
                <w:rFonts w:ascii="Arial" w:hAnsi="Arial"/>
                <w:color w:val="FFFFFF"/>
                <w:sz w:val="14"/>
                <w:szCs w:val="14"/>
              </w:rPr>
              <w:t> </w:t>
            </w:r>
          </w:p>
        </w:tc>
        <w:tc>
          <w:tcPr>
            <w:tcW w:w="892" w:type="dxa"/>
            <w:tcBorders>
              <w:top w:val="single" w:sz="4" w:space="0" w:color="E02628"/>
              <w:left w:val="nil"/>
              <w:bottom w:val="single" w:sz="4" w:space="0" w:color="E02628"/>
              <w:right w:val="nil"/>
            </w:tcBorders>
            <w:shd w:val="clear" w:color="auto" w:fill="E02628"/>
            <w:noWrap/>
            <w:vAlign w:val="center"/>
            <w:hideMark/>
          </w:tcPr>
          <w:p w14:paraId="239314F9" w14:textId="6E17AD31" w:rsidR="001C1846" w:rsidRPr="00EC326F" w:rsidRDefault="001C1846" w:rsidP="001C1846">
            <w:pPr>
              <w:keepNext/>
              <w:kinsoku/>
              <w:overflowPunct/>
              <w:autoSpaceDE/>
              <w:autoSpaceDN/>
              <w:adjustRightInd/>
              <w:snapToGrid/>
              <w:jc w:val="center"/>
              <w:rPr>
                <w:rFonts w:cstheme="minorHAnsi"/>
                <w:snapToGrid/>
                <w:color w:val="FFFFFF"/>
                <w:sz w:val="14"/>
                <w:szCs w:val="14"/>
                <w:lang w:eastAsia="en-AU"/>
              </w:rPr>
            </w:pPr>
            <w:r>
              <w:rPr>
                <w:rFonts w:ascii="Arial" w:hAnsi="Arial"/>
                <w:color w:val="FFFFFF"/>
                <w:sz w:val="14"/>
                <w:szCs w:val="14"/>
              </w:rPr>
              <w:t> </w:t>
            </w:r>
          </w:p>
        </w:tc>
        <w:tc>
          <w:tcPr>
            <w:tcW w:w="1013" w:type="dxa"/>
            <w:tcBorders>
              <w:top w:val="single" w:sz="4" w:space="0" w:color="E02628"/>
              <w:left w:val="nil"/>
              <w:bottom w:val="single" w:sz="4" w:space="0" w:color="E02628"/>
              <w:right w:val="nil"/>
            </w:tcBorders>
            <w:shd w:val="clear" w:color="auto" w:fill="E02628"/>
            <w:vAlign w:val="center"/>
          </w:tcPr>
          <w:p w14:paraId="5C9855DE" w14:textId="1D5C3520" w:rsidR="001C1846" w:rsidRPr="00EC326F" w:rsidRDefault="001C1846" w:rsidP="001C1846">
            <w:pPr>
              <w:keepNext/>
              <w:kinsoku/>
              <w:overflowPunct/>
              <w:autoSpaceDE/>
              <w:autoSpaceDN/>
              <w:adjustRightInd/>
              <w:snapToGrid/>
              <w:jc w:val="center"/>
              <w:rPr>
                <w:rFonts w:cstheme="minorHAnsi"/>
                <w:snapToGrid/>
                <w:color w:val="FFFFFF"/>
                <w:sz w:val="14"/>
                <w:szCs w:val="14"/>
                <w:lang w:eastAsia="en-AU"/>
              </w:rPr>
            </w:pPr>
            <w:r>
              <w:rPr>
                <w:rFonts w:ascii="Arial" w:hAnsi="Arial"/>
                <w:color w:val="FFFFFF"/>
                <w:sz w:val="14"/>
                <w:szCs w:val="14"/>
              </w:rPr>
              <w:t> </w:t>
            </w:r>
          </w:p>
        </w:tc>
      </w:tr>
      <w:tr w:rsidR="001C1846" w:rsidRPr="00EC326F" w14:paraId="5D33678A" w14:textId="77777777" w:rsidTr="002B4F2E">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6BFA6A30" w14:textId="77777777" w:rsidR="001C1846" w:rsidRPr="00EC326F" w:rsidRDefault="001C1846" w:rsidP="001C1846">
            <w:pPr>
              <w:keepNext/>
              <w:kinsoku/>
              <w:overflowPunct/>
              <w:autoSpaceDE/>
              <w:autoSpaceDN/>
              <w:adjustRightInd/>
              <w:snapToGrid/>
              <w:rPr>
                <w:rFonts w:cstheme="minorHAnsi"/>
                <w:snapToGrid/>
                <w:color w:val="404040"/>
                <w:sz w:val="14"/>
                <w:szCs w:val="14"/>
                <w:lang w:eastAsia="en-AU"/>
              </w:rPr>
            </w:pPr>
            <w:r w:rsidRPr="00EC326F">
              <w:rPr>
                <w:rFonts w:cstheme="minorHAnsi"/>
                <w:snapToGrid/>
                <w:color w:val="404040"/>
                <w:sz w:val="14"/>
                <w:szCs w:val="14"/>
                <w:lang w:eastAsia="en-AU"/>
              </w:rPr>
              <w:t>- Rest of Australian resident population</w:t>
            </w:r>
          </w:p>
        </w:tc>
        <w:tc>
          <w:tcPr>
            <w:tcW w:w="987" w:type="dxa"/>
            <w:tcBorders>
              <w:top w:val="single" w:sz="4" w:space="0" w:color="E02628"/>
              <w:left w:val="nil"/>
              <w:bottom w:val="single" w:sz="4" w:space="0" w:color="E02628"/>
              <w:right w:val="nil"/>
            </w:tcBorders>
            <w:shd w:val="clear" w:color="000000" w:fill="FFFFFF"/>
            <w:noWrap/>
            <w:vAlign w:val="center"/>
            <w:hideMark/>
          </w:tcPr>
          <w:p w14:paraId="00C8A0FD" w14:textId="5F0D705A" w:rsidR="001C1846" w:rsidRPr="00EC326F" w:rsidRDefault="001C1846" w:rsidP="001C1846">
            <w:pPr>
              <w:keepNext/>
              <w:kinsoku/>
              <w:overflowPunct/>
              <w:autoSpaceDE/>
              <w:autoSpaceDN/>
              <w:adjustRightInd/>
              <w:snapToGrid/>
              <w:jc w:val="right"/>
              <w:rPr>
                <w:rFonts w:ascii="Arial" w:hAnsi="Arial"/>
                <w:snapToGrid/>
                <w:color w:val="404040"/>
                <w:sz w:val="14"/>
                <w:szCs w:val="14"/>
                <w:lang w:eastAsia="en-AU"/>
              </w:rPr>
            </w:pPr>
            <w:r>
              <w:rPr>
                <w:rFonts w:ascii="Arial" w:hAnsi="Arial"/>
                <w:color w:val="404040"/>
                <w:sz w:val="14"/>
                <w:szCs w:val="14"/>
              </w:rPr>
              <w:t>11,929,432</w:t>
            </w:r>
          </w:p>
        </w:tc>
        <w:tc>
          <w:tcPr>
            <w:tcW w:w="855" w:type="dxa"/>
            <w:tcBorders>
              <w:top w:val="single" w:sz="4" w:space="0" w:color="E02628"/>
              <w:left w:val="nil"/>
              <w:bottom w:val="single" w:sz="4" w:space="0" w:color="E02628"/>
              <w:right w:val="nil"/>
            </w:tcBorders>
            <w:shd w:val="clear" w:color="000000" w:fill="FFFFFF"/>
            <w:noWrap/>
            <w:vAlign w:val="center"/>
            <w:hideMark/>
          </w:tcPr>
          <w:p w14:paraId="2BD4AC9B" w14:textId="7D317F38"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28</w:t>
            </w:r>
          </w:p>
        </w:tc>
        <w:tc>
          <w:tcPr>
            <w:tcW w:w="855" w:type="dxa"/>
            <w:tcBorders>
              <w:top w:val="single" w:sz="4" w:space="0" w:color="E02628"/>
              <w:left w:val="nil"/>
              <w:bottom w:val="single" w:sz="4" w:space="0" w:color="E02628"/>
              <w:right w:val="nil"/>
            </w:tcBorders>
            <w:shd w:val="clear" w:color="000000" w:fill="FFFFFF"/>
            <w:noWrap/>
            <w:vAlign w:val="center"/>
            <w:hideMark/>
          </w:tcPr>
          <w:p w14:paraId="18EE6D9C" w14:textId="33F4D356" w:rsidR="001C1846" w:rsidRPr="00EC326F" w:rsidRDefault="001C1846" w:rsidP="001C1846">
            <w:pPr>
              <w:keepNext/>
              <w:kinsoku/>
              <w:overflowPunct/>
              <w:autoSpaceDE/>
              <w:autoSpaceDN/>
              <w:adjustRightInd/>
              <w:snapToGrid/>
              <w:jc w:val="right"/>
              <w:rPr>
                <w:rFonts w:ascii="Arial" w:hAnsi="Arial"/>
                <w:snapToGrid/>
                <w:color w:val="404040"/>
                <w:sz w:val="14"/>
                <w:szCs w:val="14"/>
                <w:lang w:eastAsia="en-AU"/>
              </w:rPr>
            </w:pPr>
            <w:r>
              <w:rPr>
                <w:rFonts w:ascii="Arial" w:hAnsi="Arial"/>
                <w:color w:val="404040"/>
                <w:sz w:val="14"/>
                <w:szCs w:val="14"/>
              </w:rPr>
              <w:t>1,766</w:t>
            </w:r>
          </w:p>
        </w:tc>
        <w:tc>
          <w:tcPr>
            <w:tcW w:w="993" w:type="dxa"/>
            <w:tcBorders>
              <w:top w:val="single" w:sz="4" w:space="0" w:color="E02628"/>
              <w:left w:val="nil"/>
              <w:bottom w:val="single" w:sz="4" w:space="0" w:color="E02628"/>
              <w:right w:val="nil"/>
            </w:tcBorders>
            <w:shd w:val="clear" w:color="000000" w:fill="FFFFFF"/>
            <w:noWrap/>
            <w:vAlign w:val="center"/>
            <w:hideMark/>
          </w:tcPr>
          <w:p w14:paraId="0DEFBA9A" w14:textId="3DF6C59C"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n/a</w:t>
            </w:r>
          </w:p>
        </w:tc>
        <w:tc>
          <w:tcPr>
            <w:tcW w:w="925" w:type="dxa"/>
            <w:tcBorders>
              <w:top w:val="single" w:sz="4" w:space="0" w:color="E02628"/>
              <w:left w:val="nil"/>
              <w:bottom w:val="single" w:sz="4" w:space="0" w:color="E02628"/>
              <w:right w:val="nil"/>
            </w:tcBorders>
            <w:shd w:val="clear" w:color="000000" w:fill="FFFFFF"/>
            <w:noWrap/>
            <w:vAlign w:val="center"/>
            <w:hideMark/>
          </w:tcPr>
          <w:p w14:paraId="40D65543" w14:textId="2A9860EF"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148</w:t>
            </w:r>
          </w:p>
        </w:tc>
        <w:tc>
          <w:tcPr>
            <w:tcW w:w="892" w:type="dxa"/>
            <w:tcBorders>
              <w:top w:val="single" w:sz="4" w:space="0" w:color="E02628"/>
              <w:left w:val="nil"/>
              <w:bottom w:val="single" w:sz="4" w:space="0" w:color="E02628"/>
              <w:right w:val="nil"/>
            </w:tcBorders>
            <w:shd w:val="clear" w:color="000000" w:fill="FFFFFF"/>
            <w:noWrap/>
            <w:vAlign w:val="center"/>
            <w:hideMark/>
          </w:tcPr>
          <w:p w14:paraId="7991CD15" w14:textId="433D8854"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n/a</w:t>
            </w:r>
          </w:p>
        </w:tc>
        <w:tc>
          <w:tcPr>
            <w:tcW w:w="1013" w:type="dxa"/>
            <w:tcBorders>
              <w:top w:val="single" w:sz="4" w:space="0" w:color="E02628"/>
              <w:left w:val="nil"/>
              <w:bottom w:val="single" w:sz="4" w:space="0" w:color="E02628"/>
              <w:right w:val="nil"/>
            </w:tcBorders>
            <w:shd w:val="clear" w:color="000000" w:fill="FFFFFF"/>
            <w:vAlign w:val="center"/>
          </w:tcPr>
          <w:p w14:paraId="697589C6" w14:textId="6C9896BE" w:rsidR="001C1846" w:rsidRPr="00EC326F" w:rsidRDefault="001C1846" w:rsidP="001C1846">
            <w:pPr>
              <w:keepNext/>
              <w:kinsoku/>
              <w:overflowPunct/>
              <w:autoSpaceDE/>
              <w:autoSpaceDN/>
              <w:adjustRightInd/>
              <w:snapToGrid/>
              <w:jc w:val="center"/>
              <w:rPr>
                <w:rFonts w:ascii="Arial" w:hAnsi="Arial"/>
                <w:snapToGrid/>
                <w:color w:val="404040"/>
                <w:sz w:val="14"/>
                <w:szCs w:val="14"/>
                <w:lang w:eastAsia="en-AU"/>
              </w:rPr>
            </w:pPr>
            <w:r>
              <w:rPr>
                <w:rFonts w:ascii="Arial" w:hAnsi="Arial"/>
                <w:color w:val="404040"/>
                <w:sz w:val="14"/>
                <w:szCs w:val="14"/>
              </w:rPr>
              <w:t>35%</w:t>
            </w:r>
          </w:p>
        </w:tc>
      </w:tr>
      <w:tr w:rsidR="001C1846" w:rsidRPr="00EC326F" w14:paraId="1C1125D5" w14:textId="77777777" w:rsidTr="002B4F2E">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18180794" w14:textId="77777777" w:rsidR="001C1846" w:rsidRPr="00EC326F" w:rsidRDefault="001C1846" w:rsidP="001C1846">
            <w:pPr>
              <w:keepNext/>
              <w:kinsoku/>
              <w:overflowPunct/>
              <w:autoSpaceDE/>
              <w:autoSpaceDN/>
              <w:adjustRightInd/>
              <w:snapToGrid/>
              <w:rPr>
                <w:rFonts w:cstheme="minorHAnsi"/>
                <w:b/>
                <w:bCs/>
                <w:snapToGrid/>
                <w:color w:val="FFFFFF"/>
                <w:sz w:val="14"/>
                <w:szCs w:val="14"/>
                <w:lang w:eastAsia="en-AU"/>
              </w:rPr>
            </w:pPr>
            <w:r w:rsidRPr="00EC326F">
              <w:rPr>
                <w:rFonts w:cstheme="minorHAnsi"/>
                <w:b/>
                <w:bCs/>
                <w:snapToGrid/>
                <w:color w:val="FFFFFF"/>
                <w:sz w:val="14"/>
                <w:szCs w:val="14"/>
                <w:lang w:eastAsia="en-AU"/>
              </w:rPr>
              <w:t>Australian resident population</w:t>
            </w:r>
          </w:p>
        </w:tc>
        <w:tc>
          <w:tcPr>
            <w:tcW w:w="987" w:type="dxa"/>
            <w:tcBorders>
              <w:top w:val="single" w:sz="4" w:space="0" w:color="E02628"/>
              <w:left w:val="nil"/>
              <w:bottom w:val="single" w:sz="4" w:space="0" w:color="E02628"/>
              <w:right w:val="nil"/>
            </w:tcBorders>
            <w:shd w:val="clear" w:color="auto" w:fill="E02628"/>
            <w:noWrap/>
            <w:vAlign w:val="center"/>
            <w:hideMark/>
          </w:tcPr>
          <w:p w14:paraId="6CE78890" w14:textId="7415CFEB" w:rsidR="001C1846" w:rsidRPr="00EC326F" w:rsidRDefault="001C1846" w:rsidP="001C1846">
            <w:pPr>
              <w:keepNext/>
              <w:kinsoku/>
              <w:overflowPunct/>
              <w:autoSpaceDE/>
              <w:autoSpaceDN/>
              <w:adjustRightInd/>
              <w:snapToGrid/>
              <w:jc w:val="right"/>
              <w:rPr>
                <w:rFonts w:ascii="Arial" w:hAnsi="Arial"/>
                <w:b/>
                <w:bCs/>
                <w:snapToGrid/>
                <w:color w:val="FFFFFF"/>
                <w:sz w:val="14"/>
                <w:szCs w:val="14"/>
                <w:lang w:eastAsia="en-AU"/>
              </w:rPr>
            </w:pPr>
            <w:r>
              <w:rPr>
                <w:rFonts w:ascii="Arial" w:hAnsi="Arial"/>
                <w:b/>
                <w:bCs/>
                <w:color w:val="FFFFFF"/>
                <w:sz w:val="14"/>
                <w:szCs w:val="14"/>
              </w:rPr>
              <w:t>24,162,601</w:t>
            </w:r>
          </w:p>
        </w:tc>
        <w:tc>
          <w:tcPr>
            <w:tcW w:w="855" w:type="dxa"/>
            <w:tcBorders>
              <w:top w:val="single" w:sz="4" w:space="0" w:color="E02628"/>
              <w:left w:val="nil"/>
              <w:bottom w:val="single" w:sz="4" w:space="0" w:color="E02628"/>
              <w:right w:val="nil"/>
            </w:tcBorders>
            <w:shd w:val="clear" w:color="auto" w:fill="E02628"/>
            <w:noWrap/>
            <w:vAlign w:val="center"/>
            <w:hideMark/>
          </w:tcPr>
          <w:p w14:paraId="096EE750" w14:textId="54F6ED63" w:rsidR="001C1846" w:rsidRPr="00EC326F" w:rsidRDefault="001C1846" w:rsidP="001C1846">
            <w:pPr>
              <w:keepNext/>
              <w:kinsoku/>
              <w:overflowPunct/>
              <w:autoSpaceDE/>
              <w:autoSpaceDN/>
              <w:adjustRightInd/>
              <w:snapToGrid/>
              <w:jc w:val="center"/>
              <w:rPr>
                <w:rFonts w:ascii="Arial" w:hAnsi="Arial"/>
                <w:b/>
                <w:bCs/>
                <w:snapToGrid/>
                <w:color w:val="FFFFFF"/>
                <w:sz w:val="14"/>
                <w:szCs w:val="14"/>
                <w:lang w:eastAsia="en-AU"/>
              </w:rPr>
            </w:pPr>
            <w:r>
              <w:rPr>
                <w:rFonts w:ascii="Arial" w:hAnsi="Arial"/>
                <w:b/>
                <w:bCs/>
                <w:color w:val="FFFFFF"/>
                <w:sz w:val="14"/>
                <w:szCs w:val="14"/>
              </w:rPr>
              <w:t>39</w:t>
            </w:r>
          </w:p>
        </w:tc>
        <w:tc>
          <w:tcPr>
            <w:tcW w:w="855" w:type="dxa"/>
            <w:tcBorders>
              <w:top w:val="single" w:sz="4" w:space="0" w:color="E02628"/>
              <w:left w:val="nil"/>
              <w:bottom w:val="single" w:sz="4" w:space="0" w:color="E02628"/>
              <w:right w:val="nil"/>
            </w:tcBorders>
            <w:shd w:val="clear" w:color="auto" w:fill="E02628"/>
            <w:noWrap/>
            <w:vAlign w:val="center"/>
            <w:hideMark/>
          </w:tcPr>
          <w:p w14:paraId="7EACAA38" w14:textId="653B81F2" w:rsidR="001C1846" w:rsidRPr="00EC326F" w:rsidRDefault="001C1846" w:rsidP="001C1846">
            <w:pPr>
              <w:keepNext/>
              <w:kinsoku/>
              <w:overflowPunct/>
              <w:autoSpaceDE/>
              <w:autoSpaceDN/>
              <w:adjustRightInd/>
              <w:snapToGrid/>
              <w:jc w:val="right"/>
              <w:rPr>
                <w:rFonts w:ascii="Arial" w:hAnsi="Arial"/>
                <w:b/>
                <w:bCs/>
                <w:snapToGrid/>
                <w:color w:val="FFFFFF"/>
                <w:sz w:val="14"/>
                <w:szCs w:val="14"/>
                <w:lang w:eastAsia="en-AU"/>
              </w:rPr>
            </w:pPr>
            <w:r>
              <w:rPr>
                <w:rFonts w:ascii="Arial" w:hAnsi="Arial"/>
                <w:b/>
                <w:bCs/>
                <w:color w:val="FFFFFF"/>
                <w:sz w:val="14"/>
                <w:szCs w:val="14"/>
              </w:rPr>
              <w:t>4,514</w:t>
            </w:r>
          </w:p>
        </w:tc>
        <w:tc>
          <w:tcPr>
            <w:tcW w:w="993" w:type="dxa"/>
            <w:tcBorders>
              <w:top w:val="single" w:sz="4" w:space="0" w:color="E02628"/>
              <w:left w:val="nil"/>
              <w:bottom w:val="single" w:sz="4" w:space="0" w:color="E02628"/>
              <w:right w:val="nil"/>
            </w:tcBorders>
            <w:shd w:val="clear" w:color="auto" w:fill="E02628"/>
            <w:noWrap/>
            <w:vAlign w:val="center"/>
            <w:hideMark/>
          </w:tcPr>
          <w:p w14:paraId="410B3575" w14:textId="740A38D2" w:rsidR="001C1846" w:rsidRPr="00EC326F" w:rsidRDefault="001C1846" w:rsidP="001C1846">
            <w:pPr>
              <w:keepNext/>
              <w:kinsoku/>
              <w:overflowPunct/>
              <w:autoSpaceDE/>
              <w:autoSpaceDN/>
              <w:adjustRightInd/>
              <w:snapToGrid/>
              <w:jc w:val="center"/>
              <w:rPr>
                <w:rFonts w:ascii="Arial" w:hAnsi="Arial"/>
                <w:b/>
                <w:bCs/>
                <w:snapToGrid/>
                <w:color w:val="FFFFFF"/>
                <w:sz w:val="14"/>
                <w:szCs w:val="14"/>
                <w:lang w:eastAsia="en-AU"/>
              </w:rPr>
            </w:pPr>
            <w:r>
              <w:rPr>
                <w:rFonts w:ascii="Arial" w:hAnsi="Arial"/>
                <w:b/>
                <w:bCs/>
                <w:color w:val="FFFFFF"/>
                <w:sz w:val="14"/>
                <w:szCs w:val="14"/>
              </w:rPr>
              <w:t>n/a</w:t>
            </w:r>
          </w:p>
        </w:tc>
        <w:tc>
          <w:tcPr>
            <w:tcW w:w="925" w:type="dxa"/>
            <w:tcBorders>
              <w:top w:val="single" w:sz="4" w:space="0" w:color="E02628"/>
              <w:left w:val="nil"/>
              <w:bottom w:val="single" w:sz="4" w:space="0" w:color="E02628"/>
              <w:right w:val="nil"/>
            </w:tcBorders>
            <w:shd w:val="clear" w:color="auto" w:fill="E02628"/>
            <w:noWrap/>
            <w:vAlign w:val="center"/>
            <w:hideMark/>
          </w:tcPr>
          <w:p w14:paraId="660EA0F1" w14:textId="7FA10FB1" w:rsidR="001C1846" w:rsidRPr="00EC326F" w:rsidRDefault="001C1846" w:rsidP="001C1846">
            <w:pPr>
              <w:keepNext/>
              <w:kinsoku/>
              <w:overflowPunct/>
              <w:autoSpaceDE/>
              <w:autoSpaceDN/>
              <w:adjustRightInd/>
              <w:snapToGrid/>
              <w:jc w:val="center"/>
              <w:rPr>
                <w:rFonts w:ascii="Arial" w:hAnsi="Arial"/>
                <w:b/>
                <w:bCs/>
                <w:snapToGrid/>
                <w:color w:val="FFFFFF"/>
                <w:sz w:val="14"/>
                <w:szCs w:val="14"/>
                <w:lang w:eastAsia="en-AU"/>
              </w:rPr>
            </w:pPr>
            <w:r>
              <w:rPr>
                <w:rFonts w:ascii="Arial" w:hAnsi="Arial"/>
                <w:b/>
                <w:bCs/>
                <w:color w:val="FFFFFF"/>
                <w:sz w:val="14"/>
                <w:szCs w:val="14"/>
              </w:rPr>
              <w:t>187</w:t>
            </w:r>
          </w:p>
        </w:tc>
        <w:tc>
          <w:tcPr>
            <w:tcW w:w="892" w:type="dxa"/>
            <w:tcBorders>
              <w:top w:val="single" w:sz="4" w:space="0" w:color="E02628"/>
              <w:left w:val="nil"/>
              <w:bottom w:val="single" w:sz="4" w:space="0" w:color="E02628"/>
              <w:right w:val="nil"/>
            </w:tcBorders>
            <w:shd w:val="clear" w:color="auto" w:fill="E02628"/>
            <w:noWrap/>
            <w:vAlign w:val="center"/>
            <w:hideMark/>
          </w:tcPr>
          <w:p w14:paraId="5A413CC7" w14:textId="24CDBCDA" w:rsidR="001C1846" w:rsidRPr="00EC326F" w:rsidRDefault="001C1846" w:rsidP="001C1846">
            <w:pPr>
              <w:keepNext/>
              <w:kinsoku/>
              <w:overflowPunct/>
              <w:autoSpaceDE/>
              <w:autoSpaceDN/>
              <w:adjustRightInd/>
              <w:snapToGrid/>
              <w:jc w:val="center"/>
              <w:rPr>
                <w:rFonts w:ascii="Arial" w:hAnsi="Arial"/>
                <w:b/>
                <w:bCs/>
                <w:snapToGrid/>
                <w:color w:val="FFFFFF"/>
                <w:sz w:val="14"/>
                <w:szCs w:val="14"/>
                <w:lang w:eastAsia="en-AU"/>
              </w:rPr>
            </w:pPr>
            <w:r>
              <w:rPr>
                <w:rFonts w:ascii="Arial" w:hAnsi="Arial"/>
                <w:b/>
                <w:bCs/>
                <w:color w:val="FFFFFF"/>
                <w:sz w:val="14"/>
                <w:szCs w:val="14"/>
              </w:rPr>
              <w:t>n/a</w:t>
            </w:r>
          </w:p>
        </w:tc>
        <w:tc>
          <w:tcPr>
            <w:tcW w:w="1013" w:type="dxa"/>
            <w:tcBorders>
              <w:top w:val="single" w:sz="4" w:space="0" w:color="E02628"/>
              <w:left w:val="nil"/>
              <w:bottom w:val="single" w:sz="4" w:space="0" w:color="E02628"/>
              <w:right w:val="nil"/>
            </w:tcBorders>
            <w:shd w:val="clear" w:color="auto" w:fill="E02628"/>
            <w:vAlign w:val="center"/>
          </w:tcPr>
          <w:p w14:paraId="13C58878" w14:textId="45BEE513" w:rsidR="001C1846" w:rsidRPr="00EC326F" w:rsidRDefault="001C1846" w:rsidP="001C1846">
            <w:pPr>
              <w:keepNext/>
              <w:kinsoku/>
              <w:overflowPunct/>
              <w:autoSpaceDE/>
              <w:autoSpaceDN/>
              <w:adjustRightInd/>
              <w:snapToGrid/>
              <w:jc w:val="center"/>
              <w:rPr>
                <w:rFonts w:ascii="Arial" w:hAnsi="Arial"/>
                <w:b/>
                <w:bCs/>
                <w:snapToGrid/>
                <w:color w:val="FFFFFF"/>
                <w:sz w:val="14"/>
                <w:szCs w:val="14"/>
                <w:lang w:eastAsia="en-AU"/>
              </w:rPr>
            </w:pPr>
            <w:r>
              <w:rPr>
                <w:rFonts w:ascii="Arial" w:hAnsi="Arial"/>
                <w:b/>
                <w:bCs/>
                <w:color w:val="FFFFFF"/>
                <w:sz w:val="14"/>
                <w:szCs w:val="14"/>
              </w:rPr>
              <w:t>42%</w:t>
            </w:r>
          </w:p>
        </w:tc>
      </w:tr>
    </w:tbl>
    <w:p w14:paraId="58E525BC" w14:textId="77777777" w:rsidR="00B71296" w:rsidRPr="00EC326F" w:rsidRDefault="00B71296" w:rsidP="00686700">
      <w:pPr>
        <w:pStyle w:val="Sources"/>
        <w:keepNext/>
      </w:pPr>
      <w:r w:rsidRPr="00EC326F">
        <w:t xml:space="preserve">Notes: </w:t>
      </w:r>
    </w:p>
    <w:p w14:paraId="69E57077" w14:textId="5BA58CF8" w:rsidR="00B71296" w:rsidRDefault="00721AFB" w:rsidP="00A01ACD">
      <w:pPr>
        <w:pStyle w:val="Sources"/>
        <w:numPr>
          <w:ilvl w:val="0"/>
          <w:numId w:val="53"/>
        </w:numPr>
      </w:pPr>
      <w:r w:rsidRPr="00EC326F">
        <w:t>T</w:t>
      </w:r>
      <w:r w:rsidR="00B71296" w:rsidRPr="00EC326F">
        <w:t>he average payment in 2015/16 is understated owing to the data maturity issues with FTB and family payment data. This has a particular impact on the average payments for people in the family non IS and other non IS classes; we would expect these amount</w:t>
      </w:r>
      <w:r w:rsidR="00CD3E41">
        <w:t>s</w:t>
      </w:r>
      <w:r w:rsidR="00B71296" w:rsidRPr="00EC326F">
        <w:t xml:space="preserve"> to ultimately be larger than the figures shown.</w:t>
      </w:r>
    </w:p>
    <w:p w14:paraId="1F418379" w14:textId="458896BF" w:rsidR="0062685D" w:rsidRPr="0062685D" w:rsidRDefault="0062685D" w:rsidP="00A01ACD">
      <w:pPr>
        <w:pStyle w:val="Sources"/>
        <w:numPr>
          <w:ilvl w:val="0"/>
          <w:numId w:val="53"/>
        </w:numPr>
      </w:pPr>
      <w:r>
        <w:t>Exited 4+ years refers to previous welfare recipients who have exited in the past 4-15 years</w:t>
      </w:r>
    </w:p>
    <w:p w14:paraId="221876E6" w14:textId="77777777" w:rsidR="00B71296" w:rsidRDefault="00B71296" w:rsidP="00B71296">
      <w:pPr>
        <w:pStyle w:val="PwCNormal"/>
        <w:numPr>
          <w:ilvl w:val="0"/>
          <w:numId w:val="1"/>
        </w:numPr>
      </w:pPr>
      <w:r w:rsidRPr="00BF1E58">
        <w:t>The total lifetime cost represents a multiple of over 40 times the total amount of 201</w:t>
      </w:r>
      <w:r w:rsidR="00BF1E58">
        <w:t>5</w:t>
      </w:r>
      <w:r w:rsidRPr="00BF1E58">
        <w:t>/1</w:t>
      </w:r>
      <w:r w:rsidR="00BF1E58">
        <w:t>6</w:t>
      </w:r>
      <w:r w:rsidRPr="00BF1E58">
        <w:t xml:space="preserve"> in-scope payments, which was $1</w:t>
      </w:r>
      <w:r w:rsidR="00BF1E58">
        <w:t>11</w:t>
      </w:r>
      <w:r w:rsidRPr="00BF1E58">
        <w:t>.</w:t>
      </w:r>
      <w:r w:rsidR="00BF1E58">
        <w:t>5</w:t>
      </w:r>
      <w:r w:rsidRPr="00BF1E58">
        <w:t> billion. Such a multiplier is perhaps not unreasonable given that we have included the age pension in the valuation, which a significant proportion of the model population are expected to receive in the future for many years post retirement.</w:t>
      </w:r>
    </w:p>
    <w:p w14:paraId="5D0D053C" w14:textId="77777777" w:rsidR="00B71296" w:rsidRPr="00EC326F" w:rsidRDefault="00B71296" w:rsidP="00B71296">
      <w:pPr>
        <w:pStyle w:val="PwCNormal"/>
        <w:numPr>
          <w:ilvl w:val="0"/>
          <w:numId w:val="1"/>
        </w:numPr>
      </w:pPr>
      <w:r w:rsidRPr="00EC326F">
        <w:t>The table shows the contribution of each class and population group to the total lifetime cost, which reflects the number of people in that class and their average lifetime cost. The average lifetime cost for people in each class is driven by the probability of an average person in that starting population entering, remaining in or leaving the system in each future year; combined with the type and amount of payments they are likely to receive whilst they are active in the system.</w:t>
      </w:r>
    </w:p>
    <w:p w14:paraId="578EC76E" w14:textId="77777777" w:rsidR="00B71296" w:rsidRPr="00EC326F" w:rsidRDefault="00B71296" w:rsidP="00B71296">
      <w:pPr>
        <w:pStyle w:val="PwCNormal"/>
        <w:numPr>
          <w:ilvl w:val="0"/>
          <w:numId w:val="1"/>
        </w:numPr>
      </w:pPr>
      <w:r w:rsidRPr="00EC326F">
        <w:t>Unsurprisingly, the current welfare recipient class with the largest total lifetime cost is age pensioners, owing to the number of people in this class and the fact that once in that class, most people remain there for the rest of their lives. Furthermore, the projected future cost of age pension and related payments for current welfare recipients is a significant component of the lifetime costs for all other classes. This is shown in the graph below, which further splits the lifetime costs by class shown in the above table, into the 17 payment categories that we have included in the model.</w:t>
      </w:r>
    </w:p>
    <w:p w14:paraId="1B85B1BC" w14:textId="77777777" w:rsidR="00B71296" w:rsidRPr="00EC326F" w:rsidRDefault="00B71296" w:rsidP="00B71296">
      <w:pPr>
        <w:pStyle w:val="Caption"/>
      </w:pPr>
      <w:r w:rsidRPr="00EC326F">
        <w:lastRenderedPageBreak/>
        <w:t xml:space="preserve">Figure </w:t>
      </w:r>
      <w:fldSimple w:instr=" SEQ Figure \* ARABIC ">
        <w:r w:rsidR="007A42DF">
          <w:rPr>
            <w:noProof/>
          </w:rPr>
          <w:t>2</w:t>
        </w:r>
      </w:fldSimple>
      <w:r w:rsidRPr="00EC326F">
        <w:t>: Composition of lifetime cost ($billion) by welfare class and payment category</w:t>
      </w:r>
    </w:p>
    <w:p w14:paraId="73004CEA" w14:textId="7A00C01C" w:rsidR="00243108" w:rsidRPr="00243108" w:rsidRDefault="00080D50" w:rsidP="00B71296">
      <w:pPr>
        <w:pStyle w:val="PwCNormal-Single"/>
      </w:pPr>
      <w:r w:rsidRPr="00AE3C9B">
        <w:rPr>
          <w:noProof/>
          <w:lang w:eastAsia="en-AU"/>
        </w:rPr>
        <w:drawing>
          <wp:inline distT="0" distB="0" distL="0" distR="0" wp14:anchorId="2E56CE59" wp14:editId="0D87417F">
            <wp:extent cx="5965200" cy="2160000"/>
            <wp:effectExtent l="0" t="0" r="0" b="0"/>
            <wp:docPr id="199" name="Picture 199" descr="This figure is a stacked horizontal bar chart. The vertical axis shows welfare class. The horizontal axis shows lifetime cost by welfare class ranging from 0 to 2,000 billion dollars.&#10;&#10;The bars for each welfare class are split into the lifetime cost associated with the following payment categories; IS studying, IS working age, IS parents, IS carers, IS disability, IS aged, IS dependent, Other – FTB, Other – family, Other – new parents, Other – health and disability, Other – carer, Other – study and skills, Other – remote and regional, Other – general allowances, All other, Rent assistance.&#10;&#10;The lifetime costs by welfare class are: 82 billion dollars for Studying, 4001 billion dollars for Working age, 207 billion dollars for Parents, 119 billion dollars for Carers, 3512 billion dollars for Disability Support, 518 billion dollars for Pension age, 301 billion dollars for Non-IS Family, 41 billion dollars for Non-IS Carer, 74 billion dollars for Non-IS Other, 2412 billion dollars for Exits within 1 to 3 years, 411 billion dollars for Exits post 4 years, and 1.77 trillion dollars for the rest of the Australian population.&#10;&#10;The age pension component of the lifetime cost by welfare class constitutes approximately 35% of the non-age pension income support classes and over 50% of the non-income support and non-welfare recipient classes.&#10;" title=" Composition of lifetime cost ($billion) by welfare class and payment category&#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5200" cy="2160000"/>
                    </a:xfrm>
                    <a:prstGeom prst="rect">
                      <a:avLst/>
                    </a:prstGeom>
                    <a:noFill/>
                    <a:ln>
                      <a:noFill/>
                    </a:ln>
                  </pic:spPr>
                </pic:pic>
              </a:graphicData>
            </a:graphic>
          </wp:inline>
        </w:drawing>
      </w:r>
    </w:p>
    <w:p w14:paraId="6D93A21E" w14:textId="77777777" w:rsidR="009A62AB" w:rsidRPr="002A0A1A" w:rsidRDefault="0033202D" w:rsidP="00B71296">
      <w:pPr>
        <w:pStyle w:val="PwCNormal-Single"/>
      </w:pPr>
      <w:r w:rsidRPr="00EC326F">
        <w:rPr>
          <w:noProof/>
          <w:lang w:eastAsia="en-AU"/>
        </w:rPr>
        <w:drawing>
          <wp:inline distT="0" distB="0" distL="0" distR="0" wp14:anchorId="42FC2AFF" wp14:editId="5C3F714F">
            <wp:extent cx="6264275" cy="355036"/>
            <wp:effectExtent l="0" t="0" r="0" b="6985"/>
            <wp:docPr id="3081" name="Picture 3081"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4275" cy="355036"/>
                    </a:xfrm>
                    <a:prstGeom prst="rect">
                      <a:avLst/>
                    </a:prstGeom>
                    <a:noFill/>
                    <a:ln>
                      <a:noFill/>
                    </a:ln>
                  </pic:spPr>
                </pic:pic>
              </a:graphicData>
            </a:graphic>
          </wp:inline>
        </w:drawing>
      </w:r>
    </w:p>
    <w:p w14:paraId="2851B3DD" w14:textId="1D011CEB" w:rsidR="00BF571F" w:rsidRPr="0062685D" w:rsidRDefault="00BF571F" w:rsidP="00BF571F">
      <w:pPr>
        <w:pStyle w:val="Sources"/>
        <w:keepNext/>
      </w:pPr>
      <w:r w:rsidRPr="00EC326F">
        <w:t xml:space="preserve">Note: </w:t>
      </w:r>
      <w:r>
        <w:t>Exited 4+ years refers to previous welfare recipients who have exited in the past 4-15 years</w:t>
      </w:r>
    </w:p>
    <w:p w14:paraId="53BF5581" w14:textId="77777777" w:rsidR="00A35B20" w:rsidRDefault="00A35B20" w:rsidP="00A35B20">
      <w:pPr>
        <w:pStyle w:val="PwCNormal-Single"/>
      </w:pPr>
    </w:p>
    <w:p w14:paraId="6E401266" w14:textId="77777777" w:rsidR="00B71296" w:rsidRDefault="00B71296" w:rsidP="00B71296">
      <w:pPr>
        <w:pStyle w:val="PwCNormal"/>
        <w:keepLines/>
        <w:numPr>
          <w:ilvl w:val="0"/>
          <w:numId w:val="1"/>
        </w:numPr>
      </w:pPr>
      <w:r w:rsidRPr="00EC326F">
        <w:t xml:space="preserve">We have further developed the information provided for each class to include more information in relation to the number of years for which we expect people to receive some income support payments, some other payments or no payments. </w:t>
      </w:r>
    </w:p>
    <w:p w14:paraId="513D9E27" w14:textId="6B8E6320" w:rsidR="00FD655D" w:rsidRPr="00EC326F" w:rsidRDefault="00FD655D" w:rsidP="00B71296">
      <w:pPr>
        <w:pStyle w:val="PwCNormal"/>
        <w:keepLines/>
        <w:numPr>
          <w:ilvl w:val="0"/>
          <w:numId w:val="1"/>
        </w:numPr>
      </w:pPr>
      <w:r>
        <w:t xml:space="preserve">Note this duration measure captures information on welfare system use over each year; it is not a measure of the length of time or number of fortnightly payment periods spent in receipt of payment. </w:t>
      </w:r>
    </w:p>
    <w:p w14:paraId="2B0EB969" w14:textId="77777777" w:rsidR="00B71296" w:rsidRPr="002A0A1A" w:rsidRDefault="00B71296" w:rsidP="00B71296">
      <w:pPr>
        <w:pStyle w:val="Caption"/>
      </w:pPr>
      <w:r w:rsidRPr="00EC326F">
        <w:t xml:space="preserve">Table </w:t>
      </w:r>
      <w:fldSimple w:instr=" SEQ Table \* ARABIC ">
        <w:r w:rsidR="007A42DF">
          <w:rPr>
            <w:noProof/>
          </w:rPr>
          <w:t>2</w:t>
        </w:r>
      </w:fldSimple>
      <w:r w:rsidRPr="00EC326F">
        <w:t>: Summary of duration results (30 June 2016 valuation)</w:t>
      </w:r>
    </w:p>
    <w:tbl>
      <w:tblPr>
        <w:tblW w:w="9700" w:type="dxa"/>
        <w:tblInd w:w="57" w:type="dxa"/>
        <w:tblLayout w:type="fixed"/>
        <w:tblCellMar>
          <w:left w:w="113" w:type="dxa"/>
          <w:right w:w="113" w:type="dxa"/>
        </w:tblCellMar>
        <w:tblLook w:val="04A0" w:firstRow="1" w:lastRow="0" w:firstColumn="1" w:lastColumn="0" w:noHBand="0" w:noVBand="1"/>
        <w:tblCaption w:val=" Summary of duration results (30 June 2016 valuation)&#10;&#10;"/>
        <w:tblDescription w:val="This table displays data for current welfare recipients in several categories, as well as previous welfare recipients and the rest of the Australian resident population. &#10;&#10;The categories given for current welfare recipients are: studying payments, working age payments, parenting payments, carer payments, disability support, age pensioners, family (non-income support), carer (non-income support) and other (non-income support), as well as a total for all current welfare recipients. Previous welfare recipients are divided into those that exited within 1 to 3 years, and those who took 4 or more years, as well as a combined total. These are shown as rows in the table.&#10;&#10;For each category, there is data for the following columns; expected future lifetime in years, the proportion of future years receiving some income support payments, the proportions of future years receiving some non income support payments only and the proportion of years receiving no welfare payments. &#10;&#10;People in the studying class have the highest expected future lifetime (67 years) whilst age pensions have the lowest (15 years). The rest of the Australian population has a future life expectancy of 62 years. &#10;&#10;Disability support pensioners and age pensioners are both expected to spend 96% of their future years receiving some kind of income support payment.  Student payment recipients and the non IS support client are expected to spend 40-44% of their future lifetime receiving income support payments. &#10;&#10;Age pensioners and disability support pensioners are unlikely to receive only non income support payments in the future (1% of future lifetime years) and also unlikely to move off welfare payments altogether (3% of future lifetime years). &#10;&#10;Student payment recipients, previous welfare recipients and the rest of the Australian population are expected to spend 49-56% of their future years not receiving any welfare payments. &#10;&#10;Further features of the data in this table are discussed in the accompanying text within the report.&#10;"/>
      </w:tblPr>
      <w:tblGrid>
        <w:gridCol w:w="3458"/>
        <w:gridCol w:w="1134"/>
        <w:gridCol w:w="1702"/>
        <w:gridCol w:w="1703"/>
        <w:gridCol w:w="1703"/>
      </w:tblGrid>
      <w:tr w:rsidR="00B71296" w:rsidRPr="00EC326F" w14:paraId="70D1193D" w14:textId="77777777" w:rsidTr="00B71296">
        <w:trPr>
          <w:trHeight w:val="1010"/>
          <w:tblHeader/>
        </w:trPr>
        <w:tc>
          <w:tcPr>
            <w:tcW w:w="3458" w:type="dxa"/>
            <w:tcBorders>
              <w:top w:val="single" w:sz="4" w:space="0" w:color="E02628"/>
              <w:left w:val="nil"/>
              <w:bottom w:val="single" w:sz="4" w:space="0" w:color="FFFFFF" w:themeColor="background1"/>
              <w:right w:val="single" w:sz="4" w:space="0" w:color="FFFFFF"/>
            </w:tcBorders>
            <w:shd w:val="clear" w:color="auto" w:fill="E02628"/>
            <w:hideMark/>
          </w:tcPr>
          <w:p w14:paraId="6EEBA96A" w14:textId="77777777" w:rsidR="00B71296" w:rsidRPr="00EC326F" w:rsidRDefault="00B71296" w:rsidP="00B71296">
            <w:pPr>
              <w:pStyle w:val="PwCNormal"/>
              <w:numPr>
                <w:ilvl w:val="0"/>
                <w:numId w:val="1"/>
              </w:numPr>
              <w:rPr>
                <w:b/>
                <w:snapToGrid/>
                <w:color w:val="FFFFFF" w:themeColor="background1"/>
                <w:sz w:val="14"/>
                <w:szCs w:val="14"/>
                <w:lang w:eastAsia="en-AU"/>
              </w:rPr>
            </w:pPr>
          </w:p>
          <w:p w14:paraId="61CF3128" w14:textId="77777777" w:rsidR="00B71296" w:rsidRPr="00EC326F" w:rsidRDefault="00B71296" w:rsidP="00B71296">
            <w:pPr>
              <w:pStyle w:val="PwCNormal"/>
              <w:numPr>
                <w:ilvl w:val="0"/>
                <w:numId w:val="1"/>
              </w:numPr>
              <w:rPr>
                <w:b/>
                <w:snapToGrid/>
                <w:color w:val="FFFFFF" w:themeColor="background1"/>
                <w:sz w:val="14"/>
                <w:szCs w:val="14"/>
                <w:lang w:eastAsia="en-AU"/>
              </w:rPr>
            </w:pPr>
            <w:r w:rsidRPr="00EC326F">
              <w:rPr>
                <w:b/>
                <w:snapToGrid/>
                <w:color w:val="FFFFFF" w:themeColor="background1"/>
                <w:sz w:val="14"/>
                <w:szCs w:val="14"/>
                <w:lang w:eastAsia="en-AU"/>
              </w:rPr>
              <w:t>Population segment</w:t>
            </w:r>
          </w:p>
        </w:tc>
        <w:tc>
          <w:tcPr>
            <w:tcW w:w="1134"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649DA9DD"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p>
          <w:p w14:paraId="0F8A776D"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Expected future lifetime (years)</w:t>
            </w:r>
          </w:p>
        </w:tc>
        <w:tc>
          <w:tcPr>
            <w:tcW w:w="1702"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4E1458E7"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p>
          <w:p w14:paraId="7DA37A9E" w14:textId="77777777" w:rsidR="00B71296" w:rsidRPr="00EC326F" w:rsidRDefault="00B71296" w:rsidP="00BA0D9B">
            <w:pPr>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Proportion of years rece</w:t>
            </w:r>
            <w:r w:rsidR="00BA0D9B" w:rsidRPr="00EC326F">
              <w:rPr>
                <w:rFonts w:cstheme="minorHAnsi"/>
                <w:b/>
                <w:snapToGrid/>
                <w:color w:val="FFFFFF"/>
                <w:sz w:val="14"/>
                <w:szCs w:val="14"/>
                <w:lang w:eastAsia="en-AU"/>
              </w:rPr>
              <w:t>i</w:t>
            </w:r>
            <w:r w:rsidRPr="00EC326F">
              <w:rPr>
                <w:rFonts w:cstheme="minorHAnsi"/>
                <w:b/>
                <w:snapToGrid/>
                <w:color w:val="FFFFFF"/>
                <w:sz w:val="14"/>
                <w:szCs w:val="14"/>
                <w:lang w:eastAsia="en-AU"/>
              </w:rPr>
              <w:t>ving some income support payments</w:t>
            </w:r>
          </w:p>
        </w:tc>
        <w:tc>
          <w:tcPr>
            <w:tcW w:w="1703"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03A40466"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p>
          <w:p w14:paraId="4649806A"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 xml:space="preserve">Proportion of years </w:t>
            </w:r>
            <w:r w:rsidR="008536E9" w:rsidRPr="00EC326F">
              <w:rPr>
                <w:rFonts w:cstheme="minorHAnsi"/>
                <w:b/>
                <w:snapToGrid/>
                <w:color w:val="FFFFFF"/>
                <w:sz w:val="14"/>
                <w:szCs w:val="14"/>
                <w:lang w:eastAsia="en-AU"/>
              </w:rPr>
              <w:t>receiving</w:t>
            </w:r>
            <w:r w:rsidRPr="00EC326F">
              <w:rPr>
                <w:rFonts w:cstheme="minorHAnsi"/>
                <w:b/>
                <w:snapToGrid/>
                <w:color w:val="FFFFFF"/>
                <w:sz w:val="14"/>
                <w:szCs w:val="14"/>
                <w:lang w:eastAsia="en-AU"/>
              </w:rPr>
              <w:t xml:space="preserve"> some </w:t>
            </w:r>
            <w:r w:rsidR="00CF3257">
              <w:rPr>
                <w:rFonts w:cstheme="minorHAnsi"/>
                <w:b/>
                <w:snapToGrid/>
                <w:color w:val="FFFFFF"/>
                <w:sz w:val="14"/>
                <w:szCs w:val="14"/>
                <w:lang w:eastAsia="en-AU"/>
              </w:rPr>
              <w:t xml:space="preserve">non </w:t>
            </w:r>
            <w:r w:rsidRPr="00EC326F">
              <w:rPr>
                <w:rFonts w:cstheme="minorHAnsi"/>
                <w:b/>
                <w:snapToGrid/>
                <w:color w:val="FFFFFF"/>
                <w:sz w:val="14"/>
                <w:szCs w:val="14"/>
                <w:lang w:eastAsia="en-AU"/>
              </w:rPr>
              <w:t>income support payments</w:t>
            </w:r>
            <w:r w:rsidR="00CF3257">
              <w:rPr>
                <w:rFonts w:cstheme="minorHAnsi"/>
                <w:b/>
                <w:snapToGrid/>
                <w:color w:val="FFFFFF"/>
                <w:sz w:val="14"/>
                <w:szCs w:val="14"/>
                <w:lang w:eastAsia="en-AU"/>
              </w:rPr>
              <w:t xml:space="preserve"> only</w:t>
            </w:r>
          </w:p>
        </w:tc>
        <w:tc>
          <w:tcPr>
            <w:tcW w:w="1703"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0CD047AA"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p>
          <w:p w14:paraId="2D5A007A" w14:textId="77777777" w:rsidR="00B71296" w:rsidRPr="00EC326F" w:rsidRDefault="00B71296" w:rsidP="00CF3257">
            <w:pPr>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 xml:space="preserve">Proportion of years </w:t>
            </w:r>
            <w:r w:rsidR="008536E9" w:rsidRPr="00EC326F">
              <w:rPr>
                <w:rFonts w:cstheme="minorHAnsi"/>
                <w:b/>
                <w:snapToGrid/>
                <w:color w:val="FFFFFF"/>
                <w:sz w:val="14"/>
                <w:szCs w:val="14"/>
                <w:lang w:eastAsia="en-AU"/>
              </w:rPr>
              <w:t>receiving</w:t>
            </w:r>
            <w:r w:rsidRPr="00EC326F">
              <w:rPr>
                <w:rFonts w:cstheme="minorHAnsi"/>
                <w:b/>
                <w:snapToGrid/>
                <w:color w:val="FFFFFF"/>
                <w:sz w:val="14"/>
                <w:szCs w:val="14"/>
                <w:lang w:eastAsia="en-AU"/>
              </w:rPr>
              <w:t xml:space="preserve"> </w:t>
            </w:r>
            <w:r w:rsidR="00CF3257">
              <w:rPr>
                <w:rFonts w:cstheme="minorHAnsi"/>
                <w:b/>
                <w:snapToGrid/>
                <w:color w:val="FFFFFF"/>
                <w:sz w:val="14"/>
                <w:szCs w:val="14"/>
                <w:lang w:eastAsia="en-AU"/>
              </w:rPr>
              <w:t>no welfare</w:t>
            </w:r>
            <w:r w:rsidRPr="00EC326F">
              <w:rPr>
                <w:rFonts w:cstheme="minorHAnsi"/>
                <w:b/>
                <w:snapToGrid/>
                <w:color w:val="FFFFFF"/>
                <w:sz w:val="14"/>
                <w:szCs w:val="14"/>
                <w:lang w:eastAsia="en-AU"/>
              </w:rPr>
              <w:t xml:space="preserve"> payments</w:t>
            </w:r>
          </w:p>
        </w:tc>
      </w:tr>
      <w:tr w:rsidR="00B71296" w:rsidRPr="00EC326F" w14:paraId="574C132F" w14:textId="77777777" w:rsidTr="00B71296">
        <w:trPr>
          <w:trHeight w:val="227"/>
          <w:tblHeader/>
        </w:trPr>
        <w:tc>
          <w:tcPr>
            <w:tcW w:w="3458" w:type="dxa"/>
            <w:tcBorders>
              <w:top w:val="single" w:sz="4" w:space="0" w:color="FFFFFF" w:themeColor="background1"/>
              <w:left w:val="nil"/>
              <w:bottom w:val="single" w:sz="4" w:space="0" w:color="E02628"/>
              <w:right w:val="nil"/>
            </w:tcBorders>
            <w:shd w:val="clear" w:color="auto" w:fill="E02628"/>
            <w:noWrap/>
            <w:vAlign w:val="center"/>
            <w:hideMark/>
          </w:tcPr>
          <w:p w14:paraId="20C23FF5" w14:textId="77777777" w:rsidR="00B71296" w:rsidRPr="00726503" w:rsidRDefault="00B71296" w:rsidP="00B71296">
            <w:pPr>
              <w:kinsoku/>
              <w:overflowPunct/>
              <w:autoSpaceDE/>
              <w:autoSpaceDN/>
              <w:adjustRightInd/>
              <w:snapToGrid/>
              <w:rPr>
                <w:rFonts w:cstheme="minorHAnsi"/>
                <w:snapToGrid/>
                <w:color w:val="FFFFFF" w:themeColor="background1"/>
                <w:sz w:val="14"/>
                <w:szCs w:val="14"/>
                <w:lang w:eastAsia="en-AU"/>
              </w:rPr>
            </w:pPr>
            <w:r w:rsidRPr="00726503">
              <w:rPr>
                <w:rFonts w:cstheme="minorHAnsi"/>
                <w:snapToGrid/>
                <w:color w:val="FFFFFF" w:themeColor="background1"/>
                <w:sz w:val="14"/>
                <w:szCs w:val="14"/>
                <w:lang w:eastAsia="en-AU"/>
              </w:rPr>
              <w:t>Current welfare recipients</w:t>
            </w:r>
          </w:p>
        </w:tc>
        <w:tc>
          <w:tcPr>
            <w:tcW w:w="1134" w:type="dxa"/>
            <w:tcBorders>
              <w:top w:val="single" w:sz="4" w:space="0" w:color="FFFFFF" w:themeColor="background1"/>
              <w:left w:val="nil"/>
              <w:bottom w:val="single" w:sz="4" w:space="0" w:color="E02628"/>
              <w:right w:val="nil"/>
            </w:tcBorders>
            <w:shd w:val="clear" w:color="auto" w:fill="E02628"/>
            <w:noWrap/>
            <w:vAlign w:val="center"/>
            <w:hideMark/>
          </w:tcPr>
          <w:p w14:paraId="571C6B26" w14:textId="77777777" w:rsidR="00B71296" w:rsidRPr="00726503" w:rsidRDefault="00B71296" w:rsidP="00B71296">
            <w:pPr>
              <w:kinsoku/>
              <w:overflowPunct/>
              <w:autoSpaceDE/>
              <w:autoSpaceDN/>
              <w:adjustRightInd/>
              <w:snapToGrid/>
              <w:jc w:val="right"/>
              <w:rPr>
                <w:rFonts w:cstheme="minorHAnsi"/>
                <w:snapToGrid/>
                <w:color w:val="FFFFFF" w:themeColor="background1"/>
                <w:sz w:val="14"/>
                <w:szCs w:val="14"/>
                <w:lang w:eastAsia="en-AU"/>
              </w:rPr>
            </w:pPr>
            <w:r w:rsidRPr="00726503">
              <w:rPr>
                <w:rFonts w:cstheme="minorHAnsi"/>
                <w:snapToGrid/>
                <w:color w:val="FFFFFF" w:themeColor="background1"/>
                <w:sz w:val="14"/>
                <w:szCs w:val="14"/>
                <w:lang w:eastAsia="en-AU"/>
              </w:rPr>
              <w:t> </w:t>
            </w:r>
          </w:p>
        </w:tc>
        <w:tc>
          <w:tcPr>
            <w:tcW w:w="1702" w:type="dxa"/>
            <w:tcBorders>
              <w:top w:val="single" w:sz="4" w:space="0" w:color="FFFFFF" w:themeColor="background1"/>
              <w:left w:val="nil"/>
              <w:bottom w:val="single" w:sz="4" w:space="0" w:color="E02628"/>
              <w:right w:val="nil"/>
            </w:tcBorders>
            <w:shd w:val="clear" w:color="auto" w:fill="E02628"/>
            <w:noWrap/>
            <w:vAlign w:val="center"/>
            <w:hideMark/>
          </w:tcPr>
          <w:p w14:paraId="78478624" w14:textId="77777777" w:rsidR="00B71296" w:rsidRPr="00726503" w:rsidRDefault="00B71296" w:rsidP="00B71296">
            <w:pPr>
              <w:kinsoku/>
              <w:overflowPunct/>
              <w:autoSpaceDE/>
              <w:autoSpaceDN/>
              <w:adjustRightInd/>
              <w:snapToGrid/>
              <w:jc w:val="right"/>
              <w:rPr>
                <w:rFonts w:cstheme="minorHAnsi"/>
                <w:snapToGrid/>
                <w:color w:val="FFFFFF" w:themeColor="background1"/>
                <w:sz w:val="14"/>
                <w:szCs w:val="14"/>
                <w:lang w:eastAsia="en-AU"/>
              </w:rPr>
            </w:pPr>
            <w:r w:rsidRPr="00726503">
              <w:rPr>
                <w:rFonts w:cstheme="minorHAnsi"/>
                <w:snapToGrid/>
                <w:color w:val="FFFFFF" w:themeColor="background1"/>
                <w:sz w:val="14"/>
                <w:szCs w:val="14"/>
                <w:lang w:eastAsia="en-AU"/>
              </w:rPr>
              <w:t> </w:t>
            </w:r>
          </w:p>
        </w:tc>
        <w:tc>
          <w:tcPr>
            <w:tcW w:w="1703" w:type="dxa"/>
            <w:tcBorders>
              <w:top w:val="single" w:sz="4" w:space="0" w:color="FFFFFF" w:themeColor="background1"/>
              <w:left w:val="nil"/>
              <w:bottom w:val="single" w:sz="4" w:space="0" w:color="E02628"/>
              <w:right w:val="nil"/>
            </w:tcBorders>
            <w:shd w:val="clear" w:color="auto" w:fill="E02628"/>
            <w:noWrap/>
            <w:vAlign w:val="center"/>
            <w:hideMark/>
          </w:tcPr>
          <w:p w14:paraId="6AF1FE26" w14:textId="77777777" w:rsidR="00B71296" w:rsidRPr="00726503" w:rsidRDefault="00B71296" w:rsidP="00B71296">
            <w:pPr>
              <w:kinsoku/>
              <w:overflowPunct/>
              <w:autoSpaceDE/>
              <w:autoSpaceDN/>
              <w:adjustRightInd/>
              <w:snapToGrid/>
              <w:jc w:val="right"/>
              <w:rPr>
                <w:rFonts w:cstheme="minorHAnsi"/>
                <w:snapToGrid/>
                <w:color w:val="FFFFFF" w:themeColor="background1"/>
                <w:sz w:val="14"/>
                <w:szCs w:val="14"/>
                <w:lang w:eastAsia="en-AU"/>
              </w:rPr>
            </w:pPr>
            <w:r w:rsidRPr="00726503">
              <w:rPr>
                <w:rFonts w:cstheme="minorHAnsi"/>
                <w:snapToGrid/>
                <w:color w:val="FFFFFF" w:themeColor="background1"/>
                <w:sz w:val="14"/>
                <w:szCs w:val="14"/>
                <w:lang w:eastAsia="en-AU"/>
              </w:rPr>
              <w:t> </w:t>
            </w:r>
          </w:p>
        </w:tc>
        <w:tc>
          <w:tcPr>
            <w:tcW w:w="1703" w:type="dxa"/>
            <w:tcBorders>
              <w:top w:val="single" w:sz="4" w:space="0" w:color="FFFFFF" w:themeColor="background1"/>
              <w:left w:val="nil"/>
              <w:bottom w:val="single" w:sz="4" w:space="0" w:color="E02628"/>
              <w:right w:val="nil"/>
            </w:tcBorders>
            <w:shd w:val="clear" w:color="auto" w:fill="E02628"/>
            <w:noWrap/>
            <w:vAlign w:val="center"/>
            <w:hideMark/>
          </w:tcPr>
          <w:p w14:paraId="60AFE75F" w14:textId="77777777" w:rsidR="00B71296" w:rsidRPr="00726503" w:rsidRDefault="00B71296" w:rsidP="00B71296">
            <w:pPr>
              <w:kinsoku/>
              <w:overflowPunct/>
              <w:autoSpaceDE/>
              <w:autoSpaceDN/>
              <w:adjustRightInd/>
              <w:snapToGrid/>
              <w:jc w:val="right"/>
              <w:rPr>
                <w:rFonts w:cstheme="minorHAnsi"/>
                <w:snapToGrid/>
                <w:color w:val="FFFFFF" w:themeColor="background1"/>
                <w:sz w:val="14"/>
                <w:szCs w:val="14"/>
                <w:lang w:eastAsia="en-AU"/>
              </w:rPr>
            </w:pPr>
          </w:p>
        </w:tc>
      </w:tr>
      <w:tr w:rsidR="00CF3257" w:rsidRPr="00EC326F" w14:paraId="4C64EECC"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1C88CC97" w14:textId="77777777" w:rsidR="00CF3257" w:rsidRPr="00EC326F" w:rsidRDefault="00CF3257" w:rsidP="00CF3257">
            <w:pPr>
              <w:pStyle w:val="TableTextSmall"/>
              <w:ind w:left="227"/>
              <w:rPr>
                <w:snapToGrid/>
                <w:lang w:eastAsia="en-AU"/>
              </w:rPr>
            </w:pPr>
            <w:r w:rsidRPr="00EC326F">
              <w:rPr>
                <w:snapToGrid/>
                <w:lang w:eastAsia="en-AU"/>
              </w:rPr>
              <w:t>- Studying payment recipients</w:t>
            </w:r>
          </w:p>
        </w:tc>
        <w:tc>
          <w:tcPr>
            <w:tcW w:w="1134" w:type="dxa"/>
            <w:tcBorders>
              <w:top w:val="single" w:sz="4" w:space="0" w:color="E02628"/>
              <w:left w:val="nil"/>
              <w:bottom w:val="single" w:sz="4" w:space="0" w:color="E02628"/>
              <w:right w:val="nil"/>
            </w:tcBorders>
            <w:shd w:val="clear" w:color="000000" w:fill="FFFFFF"/>
            <w:noWrap/>
            <w:hideMark/>
          </w:tcPr>
          <w:p w14:paraId="471D8084" w14:textId="77777777" w:rsidR="00CF3257" w:rsidRPr="00632699" w:rsidRDefault="00CF3257" w:rsidP="00CF3257">
            <w:pPr>
              <w:pStyle w:val="TableTextSmall"/>
              <w:jc w:val="center"/>
            </w:pPr>
            <w:r w:rsidRPr="00632699">
              <w:t>67</w:t>
            </w:r>
          </w:p>
        </w:tc>
        <w:tc>
          <w:tcPr>
            <w:tcW w:w="1702" w:type="dxa"/>
            <w:tcBorders>
              <w:top w:val="single" w:sz="4" w:space="0" w:color="E02628"/>
              <w:left w:val="nil"/>
              <w:bottom w:val="single" w:sz="4" w:space="0" w:color="E02628"/>
              <w:right w:val="nil"/>
            </w:tcBorders>
            <w:shd w:val="clear" w:color="000000" w:fill="FFFFFF"/>
            <w:noWrap/>
          </w:tcPr>
          <w:p w14:paraId="51D8229E" w14:textId="77777777" w:rsidR="00CF3257" w:rsidRPr="0078611F" w:rsidRDefault="00CF3257" w:rsidP="00CF3257">
            <w:pPr>
              <w:pStyle w:val="TableTextSmall"/>
              <w:jc w:val="center"/>
            </w:pPr>
            <w:r w:rsidRPr="0078611F">
              <w:t>41%</w:t>
            </w:r>
          </w:p>
        </w:tc>
        <w:tc>
          <w:tcPr>
            <w:tcW w:w="1703" w:type="dxa"/>
            <w:tcBorders>
              <w:top w:val="single" w:sz="4" w:space="0" w:color="E02628"/>
              <w:left w:val="nil"/>
              <w:bottom w:val="single" w:sz="4" w:space="0" w:color="E02628"/>
              <w:right w:val="nil"/>
            </w:tcBorders>
            <w:shd w:val="clear" w:color="000000" w:fill="FFFFFF"/>
            <w:noWrap/>
          </w:tcPr>
          <w:p w14:paraId="6BB4D8FE" w14:textId="77777777" w:rsidR="00CF3257" w:rsidRPr="00000031" w:rsidRDefault="00CF3257" w:rsidP="00CF3257">
            <w:pPr>
              <w:pStyle w:val="TableTextSmall"/>
              <w:jc w:val="center"/>
            </w:pPr>
            <w:r w:rsidRPr="00000031">
              <w:t>10%</w:t>
            </w:r>
          </w:p>
        </w:tc>
        <w:tc>
          <w:tcPr>
            <w:tcW w:w="1703" w:type="dxa"/>
            <w:tcBorders>
              <w:top w:val="single" w:sz="4" w:space="0" w:color="E02628"/>
              <w:left w:val="nil"/>
              <w:bottom w:val="single" w:sz="4" w:space="0" w:color="E02628"/>
              <w:right w:val="nil"/>
            </w:tcBorders>
            <w:shd w:val="clear" w:color="000000" w:fill="FFFFFF"/>
            <w:noWrap/>
          </w:tcPr>
          <w:p w14:paraId="13F58110" w14:textId="77777777" w:rsidR="00CF3257" w:rsidRPr="00373B7E" w:rsidRDefault="00CF3257" w:rsidP="00CF3257">
            <w:pPr>
              <w:pStyle w:val="TableTextSmall"/>
              <w:jc w:val="center"/>
            </w:pPr>
            <w:r w:rsidRPr="00373B7E">
              <w:t>49%</w:t>
            </w:r>
          </w:p>
        </w:tc>
      </w:tr>
      <w:tr w:rsidR="00CF3257" w:rsidRPr="00EC326F" w14:paraId="02222608"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5729D37C" w14:textId="77777777" w:rsidR="00CF3257" w:rsidRPr="00EC326F" w:rsidRDefault="00CF3257" w:rsidP="00CF3257">
            <w:pPr>
              <w:pStyle w:val="TableTextSmall"/>
              <w:ind w:left="227"/>
              <w:rPr>
                <w:snapToGrid/>
                <w:lang w:eastAsia="en-AU"/>
              </w:rPr>
            </w:pPr>
            <w:r w:rsidRPr="00EC326F">
              <w:rPr>
                <w:snapToGrid/>
                <w:lang w:eastAsia="en-AU"/>
              </w:rPr>
              <w:t>- Working age payment recipients</w:t>
            </w:r>
          </w:p>
        </w:tc>
        <w:tc>
          <w:tcPr>
            <w:tcW w:w="1134" w:type="dxa"/>
            <w:tcBorders>
              <w:top w:val="single" w:sz="4" w:space="0" w:color="E02628"/>
              <w:left w:val="nil"/>
              <w:bottom w:val="single" w:sz="4" w:space="0" w:color="E02628"/>
              <w:right w:val="nil"/>
            </w:tcBorders>
            <w:shd w:val="clear" w:color="000000" w:fill="FFFFFF"/>
            <w:noWrap/>
            <w:hideMark/>
          </w:tcPr>
          <w:p w14:paraId="7AA331E8" w14:textId="77777777" w:rsidR="00CF3257" w:rsidRPr="00632699" w:rsidRDefault="00CF3257" w:rsidP="00CF3257">
            <w:pPr>
              <w:pStyle w:val="TableTextSmall"/>
              <w:jc w:val="center"/>
            </w:pPr>
            <w:r w:rsidRPr="00632699">
              <w:t>49</w:t>
            </w:r>
          </w:p>
        </w:tc>
        <w:tc>
          <w:tcPr>
            <w:tcW w:w="1702" w:type="dxa"/>
            <w:tcBorders>
              <w:top w:val="single" w:sz="4" w:space="0" w:color="E02628"/>
              <w:left w:val="nil"/>
              <w:bottom w:val="single" w:sz="4" w:space="0" w:color="E02628"/>
              <w:right w:val="nil"/>
            </w:tcBorders>
            <w:shd w:val="clear" w:color="000000" w:fill="FFFFFF"/>
            <w:noWrap/>
          </w:tcPr>
          <w:p w14:paraId="61BE86C4" w14:textId="77777777" w:rsidR="00CF3257" w:rsidRPr="0078611F" w:rsidRDefault="00CF3257" w:rsidP="00CF3257">
            <w:pPr>
              <w:pStyle w:val="TableTextSmall"/>
              <w:jc w:val="center"/>
            </w:pPr>
            <w:r w:rsidRPr="0078611F">
              <w:t>62%</w:t>
            </w:r>
          </w:p>
        </w:tc>
        <w:tc>
          <w:tcPr>
            <w:tcW w:w="1703" w:type="dxa"/>
            <w:tcBorders>
              <w:top w:val="single" w:sz="4" w:space="0" w:color="E02628"/>
              <w:left w:val="nil"/>
              <w:bottom w:val="single" w:sz="4" w:space="0" w:color="E02628"/>
              <w:right w:val="nil"/>
            </w:tcBorders>
            <w:shd w:val="clear" w:color="000000" w:fill="FFFFFF"/>
            <w:noWrap/>
          </w:tcPr>
          <w:p w14:paraId="65450636" w14:textId="77777777" w:rsidR="00CF3257" w:rsidRPr="00000031" w:rsidRDefault="00CF3257" w:rsidP="00CF3257">
            <w:pPr>
              <w:pStyle w:val="TableTextSmall"/>
              <w:jc w:val="center"/>
            </w:pPr>
            <w:r w:rsidRPr="00000031">
              <w:t>6%</w:t>
            </w:r>
          </w:p>
        </w:tc>
        <w:tc>
          <w:tcPr>
            <w:tcW w:w="1703" w:type="dxa"/>
            <w:tcBorders>
              <w:top w:val="single" w:sz="4" w:space="0" w:color="E02628"/>
              <w:left w:val="nil"/>
              <w:bottom w:val="single" w:sz="4" w:space="0" w:color="E02628"/>
              <w:right w:val="nil"/>
            </w:tcBorders>
            <w:shd w:val="clear" w:color="000000" w:fill="FFFFFF"/>
            <w:noWrap/>
          </w:tcPr>
          <w:p w14:paraId="240C2CDF" w14:textId="77777777" w:rsidR="00CF3257" w:rsidRPr="00373B7E" w:rsidRDefault="00CF3257" w:rsidP="00CF3257">
            <w:pPr>
              <w:pStyle w:val="TableTextSmall"/>
              <w:jc w:val="center"/>
            </w:pPr>
            <w:r w:rsidRPr="00373B7E">
              <w:t>32%</w:t>
            </w:r>
          </w:p>
        </w:tc>
      </w:tr>
      <w:tr w:rsidR="00CF3257" w:rsidRPr="00EC326F" w14:paraId="749DF47C"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7319AB2A" w14:textId="77777777" w:rsidR="00CF3257" w:rsidRPr="00EC326F" w:rsidRDefault="00CF3257" w:rsidP="00CF3257">
            <w:pPr>
              <w:pStyle w:val="TableTextSmall"/>
              <w:ind w:left="227"/>
              <w:rPr>
                <w:snapToGrid/>
                <w:lang w:eastAsia="en-AU"/>
              </w:rPr>
            </w:pPr>
            <w:r w:rsidRPr="00EC326F">
              <w:rPr>
                <w:snapToGrid/>
                <w:lang w:eastAsia="en-AU"/>
              </w:rPr>
              <w:t>- Parenting payment recipients</w:t>
            </w:r>
          </w:p>
        </w:tc>
        <w:tc>
          <w:tcPr>
            <w:tcW w:w="1134" w:type="dxa"/>
            <w:tcBorders>
              <w:top w:val="single" w:sz="4" w:space="0" w:color="E02628"/>
              <w:left w:val="nil"/>
              <w:bottom w:val="single" w:sz="4" w:space="0" w:color="E02628"/>
              <w:right w:val="nil"/>
            </w:tcBorders>
            <w:shd w:val="clear" w:color="000000" w:fill="FFFFFF"/>
            <w:noWrap/>
            <w:hideMark/>
          </w:tcPr>
          <w:p w14:paraId="3AC8552F" w14:textId="77777777" w:rsidR="00CF3257" w:rsidRPr="00632699" w:rsidRDefault="00CF3257" w:rsidP="00CF3257">
            <w:pPr>
              <w:pStyle w:val="TableTextSmall"/>
              <w:jc w:val="center"/>
            </w:pPr>
            <w:r w:rsidRPr="00632699">
              <w:t>57</w:t>
            </w:r>
          </w:p>
        </w:tc>
        <w:tc>
          <w:tcPr>
            <w:tcW w:w="1702" w:type="dxa"/>
            <w:tcBorders>
              <w:top w:val="single" w:sz="4" w:space="0" w:color="E02628"/>
              <w:left w:val="nil"/>
              <w:bottom w:val="single" w:sz="4" w:space="0" w:color="E02628"/>
              <w:right w:val="nil"/>
            </w:tcBorders>
            <w:shd w:val="clear" w:color="000000" w:fill="FFFFFF"/>
            <w:noWrap/>
          </w:tcPr>
          <w:p w14:paraId="3278BE46" w14:textId="77777777" w:rsidR="00CF3257" w:rsidRPr="0078611F" w:rsidRDefault="00CF3257" w:rsidP="00CF3257">
            <w:pPr>
              <w:pStyle w:val="TableTextSmall"/>
              <w:jc w:val="center"/>
            </w:pPr>
            <w:r w:rsidRPr="0078611F">
              <w:t>64%</w:t>
            </w:r>
          </w:p>
        </w:tc>
        <w:tc>
          <w:tcPr>
            <w:tcW w:w="1703" w:type="dxa"/>
            <w:tcBorders>
              <w:top w:val="single" w:sz="4" w:space="0" w:color="E02628"/>
              <w:left w:val="nil"/>
              <w:bottom w:val="single" w:sz="4" w:space="0" w:color="E02628"/>
              <w:right w:val="nil"/>
            </w:tcBorders>
            <w:shd w:val="clear" w:color="000000" w:fill="FFFFFF"/>
            <w:noWrap/>
          </w:tcPr>
          <w:p w14:paraId="5D2840DF" w14:textId="77777777" w:rsidR="00CF3257" w:rsidRPr="00000031" w:rsidRDefault="00CF3257" w:rsidP="00CF3257">
            <w:pPr>
              <w:pStyle w:val="TableTextSmall"/>
              <w:jc w:val="center"/>
            </w:pPr>
            <w:r w:rsidRPr="00000031">
              <w:t>11%</w:t>
            </w:r>
          </w:p>
        </w:tc>
        <w:tc>
          <w:tcPr>
            <w:tcW w:w="1703" w:type="dxa"/>
            <w:tcBorders>
              <w:top w:val="single" w:sz="4" w:space="0" w:color="E02628"/>
              <w:left w:val="nil"/>
              <w:bottom w:val="single" w:sz="4" w:space="0" w:color="E02628"/>
              <w:right w:val="nil"/>
            </w:tcBorders>
            <w:shd w:val="clear" w:color="000000" w:fill="FFFFFF"/>
            <w:noWrap/>
          </w:tcPr>
          <w:p w14:paraId="6C4D82C0" w14:textId="77777777" w:rsidR="00CF3257" w:rsidRPr="00373B7E" w:rsidRDefault="00CF3257" w:rsidP="00CF3257">
            <w:pPr>
              <w:pStyle w:val="TableTextSmall"/>
              <w:jc w:val="center"/>
            </w:pPr>
            <w:r w:rsidRPr="00373B7E">
              <w:t>25%</w:t>
            </w:r>
          </w:p>
        </w:tc>
      </w:tr>
      <w:tr w:rsidR="00CF3257" w:rsidRPr="00EC326F" w14:paraId="6101CC9F"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6AB9393F" w14:textId="77777777" w:rsidR="00CF3257" w:rsidRPr="00EC326F" w:rsidRDefault="00CF3257" w:rsidP="00CF3257">
            <w:pPr>
              <w:pStyle w:val="TableTextSmall"/>
              <w:ind w:left="227"/>
              <w:rPr>
                <w:snapToGrid/>
                <w:lang w:eastAsia="en-AU"/>
              </w:rPr>
            </w:pPr>
            <w:r w:rsidRPr="00EC326F">
              <w:rPr>
                <w:snapToGrid/>
                <w:lang w:eastAsia="en-AU"/>
              </w:rPr>
              <w:t>- Carer payment recipients</w:t>
            </w:r>
          </w:p>
        </w:tc>
        <w:tc>
          <w:tcPr>
            <w:tcW w:w="1134" w:type="dxa"/>
            <w:tcBorders>
              <w:top w:val="single" w:sz="4" w:space="0" w:color="E02628"/>
              <w:left w:val="nil"/>
              <w:bottom w:val="single" w:sz="4" w:space="0" w:color="E02628"/>
              <w:right w:val="nil"/>
            </w:tcBorders>
            <w:shd w:val="clear" w:color="000000" w:fill="FFFFFF"/>
            <w:noWrap/>
            <w:hideMark/>
          </w:tcPr>
          <w:p w14:paraId="5ED61DFF" w14:textId="77777777" w:rsidR="00CF3257" w:rsidRPr="00632699" w:rsidRDefault="00CF3257" w:rsidP="00CF3257">
            <w:pPr>
              <w:pStyle w:val="TableTextSmall"/>
              <w:jc w:val="center"/>
            </w:pPr>
            <w:r w:rsidRPr="00632699">
              <w:t>37</w:t>
            </w:r>
          </w:p>
        </w:tc>
        <w:tc>
          <w:tcPr>
            <w:tcW w:w="1702" w:type="dxa"/>
            <w:tcBorders>
              <w:top w:val="single" w:sz="4" w:space="0" w:color="E02628"/>
              <w:left w:val="nil"/>
              <w:bottom w:val="single" w:sz="4" w:space="0" w:color="E02628"/>
              <w:right w:val="nil"/>
            </w:tcBorders>
            <w:shd w:val="clear" w:color="000000" w:fill="FFFFFF"/>
            <w:noWrap/>
          </w:tcPr>
          <w:p w14:paraId="57499FFE" w14:textId="77777777" w:rsidR="00CF3257" w:rsidRPr="0078611F" w:rsidRDefault="00CF3257" w:rsidP="00CF3257">
            <w:pPr>
              <w:pStyle w:val="TableTextSmall"/>
              <w:jc w:val="center"/>
            </w:pPr>
            <w:r w:rsidRPr="0078611F">
              <w:t>85%</w:t>
            </w:r>
          </w:p>
        </w:tc>
        <w:tc>
          <w:tcPr>
            <w:tcW w:w="1703" w:type="dxa"/>
            <w:tcBorders>
              <w:top w:val="single" w:sz="4" w:space="0" w:color="E02628"/>
              <w:left w:val="nil"/>
              <w:bottom w:val="single" w:sz="4" w:space="0" w:color="E02628"/>
              <w:right w:val="nil"/>
            </w:tcBorders>
            <w:shd w:val="clear" w:color="000000" w:fill="FFFFFF"/>
            <w:noWrap/>
          </w:tcPr>
          <w:p w14:paraId="3E8BC3BE" w14:textId="77777777" w:rsidR="00CF3257" w:rsidRPr="00000031" w:rsidRDefault="00CF3257" w:rsidP="00CF3257">
            <w:pPr>
              <w:pStyle w:val="TableTextSmall"/>
              <w:jc w:val="center"/>
            </w:pPr>
            <w:r w:rsidRPr="00000031">
              <w:t>4%</w:t>
            </w:r>
          </w:p>
        </w:tc>
        <w:tc>
          <w:tcPr>
            <w:tcW w:w="1703" w:type="dxa"/>
            <w:tcBorders>
              <w:top w:val="single" w:sz="4" w:space="0" w:color="E02628"/>
              <w:left w:val="nil"/>
              <w:bottom w:val="single" w:sz="4" w:space="0" w:color="E02628"/>
              <w:right w:val="nil"/>
            </w:tcBorders>
            <w:shd w:val="clear" w:color="000000" w:fill="FFFFFF"/>
            <w:noWrap/>
          </w:tcPr>
          <w:p w14:paraId="12E11C27" w14:textId="77777777" w:rsidR="00CF3257" w:rsidRPr="00373B7E" w:rsidRDefault="00CF3257" w:rsidP="00CF3257">
            <w:pPr>
              <w:pStyle w:val="TableTextSmall"/>
              <w:jc w:val="center"/>
            </w:pPr>
            <w:r w:rsidRPr="00373B7E">
              <w:t>11%</w:t>
            </w:r>
          </w:p>
        </w:tc>
      </w:tr>
      <w:tr w:rsidR="00CF3257" w:rsidRPr="00EC326F" w14:paraId="0D9F329D"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1D13E268" w14:textId="77777777" w:rsidR="00CF3257" w:rsidRPr="00EC326F" w:rsidRDefault="00CF3257" w:rsidP="00CF3257">
            <w:pPr>
              <w:pStyle w:val="TableTextSmall"/>
              <w:ind w:left="227"/>
              <w:rPr>
                <w:snapToGrid/>
                <w:lang w:eastAsia="en-AU"/>
              </w:rPr>
            </w:pPr>
            <w:r w:rsidRPr="00EC326F">
              <w:rPr>
                <w:snapToGrid/>
                <w:lang w:eastAsia="en-AU"/>
              </w:rPr>
              <w:t>- Disability support pensioners</w:t>
            </w:r>
          </w:p>
        </w:tc>
        <w:tc>
          <w:tcPr>
            <w:tcW w:w="1134" w:type="dxa"/>
            <w:tcBorders>
              <w:top w:val="single" w:sz="4" w:space="0" w:color="E02628"/>
              <w:left w:val="nil"/>
              <w:bottom w:val="single" w:sz="4" w:space="0" w:color="E02628"/>
              <w:right w:val="nil"/>
            </w:tcBorders>
            <w:shd w:val="clear" w:color="000000" w:fill="FFFFFF"/>
            <w:noWrap/>
            <w:hideMark/>
          </w:tcPr>
          <w:p w14:paraId="1EE15FD0" w14:textId="77777777" w:rsidR="00CF3257" w:rsidRPr="00632699" w:rsidRDefault="00CF3257" w:rsidP="00CF3257">
            <w:pPr>
              <w:pStyle w:val="TableTextSmall"/>
              <w:jc w:val="center"/>
            </w:pPr>
            <w:r w:rsidRPr="00632699">
              <w:t>34</w:t>
            </w:r>
          </w:p>
        </w:tc>
        <w:tc>
          <w:tcPr>
            <w:tcW w:w="1702" w:type="dxa"/>
            <w:tcBorders>
              <w:top w:val="single" w:sz="4" w:space="0" w:color="E02628"/>
              <w:left w:val="nil"/>
              <w:bottom w:val="single" w:sz="4" w:space="0" w:color="E02628"/>
              <w:right w:val="nil"/>
            </w:tcBorders>
            <w:shd w:val="clear" w:color="000000" w:fill="FFFFFF"/>
            <w:noWrap/>
          </w:tcPr>
          <w:p w14:paraId="47257299" w14:textId="77777777" w:rsidR="00CF3257" w:rsidRPr="0078611F" w:rsidRDefault="00CF3257" w:rsidP="00CF3257">
            <w:pPr>
              <w:pStyle w:val="TableTextSmall"/>
              <w:jc w:val="center"/>
            </w:pPr>
            <w:r w:rsidRPr="0078611F">
              <w:t>96%</w:t>
            </w:r>
          </w:p>
        </w:tc>
        <w:tc>
          <w:tcPr>
            <w:tcW w:w="1703" w:type="dxa"/>
            <w:tcBorders>
              <w:top w:val="single" w:sz="4" w:space="0" w:color="E02628"/>
              <w:left w:val="nil"/>
              <w:bottom w:val="single" w:sz="4" w:space="0" w:color="E02628"/>
              <w:right w:val="nil"/>
            </w:tcBorders>
            <w:shd w:val="clear" w:color="000000" w:fill="FFFFFF"/>
            <w:noWrap/>
          </w:tcPr>
          <w:p w14:paraId="02AA2EBA" w14:textId="77777777" w:rsidR="00CF3257" w:rsidRPr="00000031" w:rsidRDefault="00CF3257" w:rsidP="00CF3257">
            <w:pPr>
              <w:pStyle w:val="TableTextSmall"/>
              <w:jc w:val="center"/>
            </w:pPr>
            <w:r w:rsidRPr="00000031">
              <w:t>1%</w:t>
            </w:r>
          </w:p>
        </w:tc>
        <w:tc>
          <w:tcPr>
            <w:tcW w:w="1703" w:type="dxa"/>
            <w:tcBorders>
              <w:top w:val="single" w:sz="4" w:space="0" w:color="E02628"/>
              <w:left w:val="nil"/>
              <w:bottom w:val="single" w:sz="4" w:space="0" w:color="E02628"/>
              <w:right w:val="nil"/>
            </w:tcBorders>
            <w:shd w:val="clear" w:color="000000" w:fill="FFFFFF"/>
            <w:noWrap/>
          </w:tcPr>
          <w:p w14:paraId="55CF5290" w14:textId="77777777" w:rsidR="00CF3257" w:rsidRPr="00373B7E" w:rsidRDefault="00CF3257" w:rsidP="00CF3257">
            <w:pPr>
              <w:pStyle w:val="TableTextSmall"/>
              <w:jc w:val="center"/>
            </w:pPr>
            <w:r w:rsidRPr="00373B7E">
              <w:t>3%</w:t>
            </w:r>
          </w:p>
        </w:tc>
      </w:tr>
      <w:tr w:rsidR="00CF3257" w:rsidRPr="00EC326F" w14:paraId="5CE4E4E6"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2F65626A" w14:textId="77777777" w:rsidR="00CF3257" w:rsidRPr="00EC326F" w:rsidRDefault="00CF3257" w:rsidP="00CF3257">
            <w:pPr>
              <w:pStyle w:val="TableTextSmall"/>
              <w:ind w:left="227"/>
              <w:rPr>
                <w:snapToGrid/>
                <w:lang w:eastAsia="en-AU"/>
              </w:rPr>
            </w:pPr>
            <w:r w:rsidRPr="00EC326F">
              <w:rPr>
                <w:snapToGrid/>
                <w:lang w:eastAsia="en-AU"/>
              </w:rPr>
              <w:t>- Age pensioners</w:t>
            </w:r>
          </w:p>
        </w:tc>
        <w:tc>
          <w:tcPr>
            <w:tcW w:w="1134" w:type="dxa"/>
            <w:tcBorders>
              <w:top w:val="single" w:sz="4" w:space="0" w:color="E02628"/>
              <w:left w:val="nil"/>
              <w:bottom w:val="single" w:sz="4" w:space="0" w:color="E02628"/>
              <w:right w:val="nil"/>
            </w:tcBorders>
            <w:shd w:val="clear" w:color="000000" w:fill="FFFFFF"/>
            <w:noWrap/>
            <w:hideMark/>
          </w:tcPr>
          <w:p w14:paraId="5F7D4AE2" w14:textId="4DC913D3" w:rsidR="00CF3257" w:rsidRPr="00632699" w:rsidRDefault="00A629D4" w:rsidP="00A629D4">
            <w:pPr>
              <w:pStyle w:val="TableTextSmall"/>
              <w:jc w:val="center"/>
            </w:pPr>
            <w:r w:rsidRPr="00632699">
              <w:t>1</w:t>
            </w:r>
            <w:r>
              <w:t>5</w:t>
            </w:r>
          </w:p>
        </w:tc>
        <w:tc>
          <w:tcPr>
            <w:tcW w:w="1702" w:type="dxa"/>
            <w:tcBorders>
              <w:top w:val="single" w:sz="4" w:space="0" w:color="E02628"/>
              <w:left w:val="nil"/>
              <w:bottom w:val="single" w:sz="4" w:space="0" w:color="E02628"/>
              <w:right w:val="nil"/>
            </w:tcBorders>
            <w:shd w:val="clear" w:color="000000" w:fill="FFFFFF"/>
            <w:noWrap/>
          </w:tcPr>
          <w:p w14:paraId="64AE99CA" w14:textId="77777777" w:rsidR="00CF3257" w:rsidRPr="0078611F" w:rsidRDefault="00CF3257" w:rsidP="00CF3257">
            <w:pPr>
              <w:pStyle w:val="TableTextSmall"/>
              <w:jc w:val="center"/>
            </w:pPr>
            <w:r w:rsidRPr="0078611F">
              <w:t>96%</w:t>
            </w:r>
          </w:p>
        </w:tc>
        <w:tc>
          <w:tcPr>
            <w:tcW w:w="1703" w:type="dxa"/>
            <w:tcBorders>
              <w:top w:val="single" w:sz="4" w:space="0" w:color="E02628"/>
              <w:left w:val="nil"/>
              <w:bottom w:val="single" w:sz="4" w:space="0" w:color="E02628"/>
              <w:right w:val="nil"/>
            </w:tcBorders>
            <w:shd w:val="clear" w:color="000000" w:fill="FFFFFF"/>
            <w:noWrap/>
          </w:tcPr>
          <w:p w14:paraId="194EC47C" w14:textId="77777777" w:rsidR="00CF3257" w:rsidRPr="00000031" w:rsidRDefault="00CF3257" w:rsidP="00CF3257">
            <w:pPr>
              <w:pStyle w:val="TableTextSmall"/>
              <w:jc w:val="center"/>
            </w:pPr>
            <w:r w:rsidRPr="00000031">
              <w:t>1%</w:t>
            </w:r>
          </w:p>
        </w:tc>
        <w:tc>
          <w:tcPr>
            <w:tcW w:w="1703" w:type="dxa"/>
            <w:tcBorders>
              <w:top w:val="single" w:sz="4" w:space="0" w:color="E02628"/>
              <w:left w:val="nil"/>
              <w:bottom w:val="single" w:sz="4" w:space="0" w:color="E02628"/>
              <w:right w:val="nil"/>
            </w:tcBorders>
            <w:shd w:val="clear" w:color="000000" w:fill="FFFFFF"/>
            <w:noWrap/>
          </w:tcPr>
          <w:p w14:paraId="7DD48450" w14:textId="77777777" w:rsidR="00CF3257" w:rsidRPr="00373B7E" w:rsidRDefault="00CF3257" w:rsidP="00CF3257">
            <w:pPr>
              <w:pStyle w:val="TableTextSmall"/>
              <w:jc w:val="center"/>
            </w:pPr>
            <w:r w:rsidRPr="00373B7E">
              <w:t>3%</w:t>
            </w:r>
          </w:p>
        </w:tc>
      </w:tr>
      <w:tr w:rsidR="00CF3257" w:rsidRPr="00EC326F" w14:paraId="06F6844B"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542E44DD" w14:textId="77777777" w:rsidR="00CF3257" w:rsidRPr="00EC326F" w:rsidRDefault="00CF3257" w:rsidP="00CF3257">
            <w:pPr>
              <w:pStyle w:val="TableTextSmall"/>
              <w:ind w:left="227"/>
              <w:rPr>
                <w:snapToGrid/>
                <w:lang w:eastAsia="en-AU"/>
              </w:rPr>
            </w:pPr>
            <w:r w:rsidRPr="00EC326F">
              <w:rPr>
                <w:snapToGrid/>
                <w:lang w:eastAsia="en-AU"/>
              </w:rPr>
              <w:t>- Family non IS clients</w:t>
            </w:r>
          </w:p>
        </w:tc>
        <w:tc>
          <w:tcPr>
            <w:tcW w:w="1134" w:type="dxa"/>
            <w:tcBorders>
              <w:top w:val="single" w:sz="4" w:space="0" w:color="E02628"/>
              <w:left w:val="nil"/>
              <w:bottom w:val="single" w:sz="4" w:space="0" w:color="E02628"/>
              <w:right w:val="nil"/>
            </w:tcBorders>
            <w:shd w:val="clear" w:color="000000" w:fill="FFFFFF"/>
            <w:noWrap/>
            <w:hideMark/>
          </w:tcPr>
          <w:p w14:paraId="0E14AF0D" w14:textId="77777777" w:rsidR="00CF3257" w:rsidRPr="00632699" w:rsidRDefault="00CF3257" w:rsidP="00CF3257">
            <w:pPr>
              <w:pStyle w:val="TableTextSmall"/>
              <w:jc w:val="center"/>
            </w:pPr>
            <w:r w:rsidRPr="00632699">
              <w:t>51</w:t>
            </w:r>
          </w:p>
        </w:tc>
        <w:tc>
          <w:tcPr>
            <w:tcW w:w="1702" w:type="dxa"/>
            <w:tcBorders>
              <w:top w:val="single" w:sz="4" w:space="0" w:color="E02628"/>
              <w:left w:val="nil"/>
              <w:bottom w:val="single" w:sz="4" w:space="0" w:color="E02628"/>
              <w:right w:val="nil"/>
            </w:tcBorders>
            <w:shd w:val="clear" w:color="000000" w:fill="FFFFFF"/>
            <w:noWrap/>
          </w:tcPr>
          <w:p w14:paraId="4A8C3441" w14:textId="77777777" w:rsidR="00CF3257" w:rsidRPr="0078611F" w:rsidRDefault="00CF3257" w:rsidP="00CF3257">
            <w:pPr>
              <w:pStyle w:val="TableTextSmall"/>
              <w:jc w:val="center"/>
            </w:pPr>
            <w:r w:rsidRPr="0078611F">
              <w:t>40%</w:t>
            </w:r>
          </w:p>
        </w:tc>
        <w:tc>
          <w:tcPr>
            <w:tcW w:w="1703" w:type="dxa"/>
            <w:tcBorders>
              <w:top w:val="single" w:sz="4" w:space="0" w:color="E02628"/>
              <w:left w:val="nil"/>
              <w:bottom w:val="single" w:sz="4" w:space="0" w:color="E02628"/>
              <w:right w:val="nil"/>
            </w:tcBorders>
            <w:shd w:val="clear" w:color="000000" w:fill="FFFFFF"/>
            <w:noWrap/>
          </w:tcPr>
          <w:p w14:paraId="7FBD73BB" w14:textId="77777777" w:rsidR="00CF3257" w:rsidRPr="00000031" w:rsidRDefault="00CF3257" w:rsidP="00CF3257">
            <w:pPr>
              <w:pStyle w:val="TableTextSmall"/>
              <w:jc w:val="center"/>
            </w:pPr>
            <w:r w:rsidRPr="00000031">
              <w:t>17%</w:t>
            </w:r>
          </w:p>
        </w:tc>
        <w:tc>
          <w:tcPr>
            <w:tcW w:w="1703" w:type="dxa"/>
            <w:tcBorders>
              <w:top w:val="single" w:sz="4" w:space="0" w:color="E02628"/>
              <w:left w:val="nil"/>
              <w:bottom w:val="single" w:sz="4" w:space="0" w:color="E02628"/>
              <w:right w:val="nil"/>
            </w:tcBorders>
            <w:shd w:val="clear" w:color="000000" w:fill="FFFFFF"/>
            <w:noWrap/>
          </w:tcPr>
          <w:p w14:paraId="220DD023" w14:textId="77777777" w:rsidR="00CF3257" w:rsidRPr="00373B7E" w:rsidRDefault="00CF3257" w:rsidP="00CF3257">
            <w:pPr>
              <w:pStyle w:val="TableTextSmall"/>
              <w:jc w:val="center"/>
            </w:pPr>
            <w:r w:rsidRPr="00373B7E">
              <w:t>43%</w:t>
            </w:r>
          </w:p>
        </w:tc>
      </w:tr>
      <w:tr w:rsidR="00CF3257" w:rsidRPr="00EC326F" w14:paraId="4967935B"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3A3DDFDA" w14:textId="77777777" w:rsidR="00CF3257" w:rsidRPr="00EC326F" w:rsidRDefault="00CF3257" w:rsidP="00CF3257">
            <w:pPr>
              <w:pStyle w:val="TableTextSmall"/>
              <w:ind w:left="227"/>
              <w:rPr>
                <w:snapToGrid/>
                <w:lang w:eastAsia="en-AU"/>
              </w:rPr>
            </w:pPr>
            <w:r w:rsidRPr="00EC326F">
              <w:rPr>
                <w:snapToGrid/>
                <w:lang w:eastAsia="en-AU"/>
              </w:rPr>
              <w:t>- Carer non IS clients</w:t>
            </w:r>
          </w:p>
        </w:tc>
        <w:tc>
          <w:tcPr>
            <w:tcW w:w="1134" w:type="dxa"/>
            <w:tcBorders>
              <w:top w:val="single" w:sz="4" w:space="0" w:color="E02628"/>
              <w:left w:val="nil"/>
              <w:bottom w:val="single" w:sz="4" w:space="0" w:color="E02628"/>
              <w:right w:val="nil"/>
            </w:tcBorders>
            <w:shd w:val="clear" w:color="000000" w:fill="FFFFFF"/>
            <w:noWrap/>
            <w:hideMark/>
          </w:tcPr>
          <w:p w14:paraId="72C18748" w14:textId="77777777" w:rsidR="00CF3257" w:rsidRPr="00632699" w:rsidRDefault="00CF3257" w:rsidP="00CF3257">
            <w:pPr>
              <w:pStyle w:val="TableTextSmall"/>
              <w:jc w:val="center"/>
            </w:pPr>
            <w:r w:rsidRPr="00632699">
              <w:t>39</w:t>
            </w:r>
          </w:p>
        </w:tc>
        <w:tc>
          <w:tcPr>
            <w:tcW w:w="1702" w:type="dxa"/>
            <w:tcBorders>
              <w:top w:val="single" w:sz="4" w:space="0" w:color="E02628"/>
              <w:left w:val="nil"/>
              <w:bottom w:val="single" w:sz="4" w:space="0" w:color="E02628"/>
              <w:right w:val="nil"/>
            </w:tcBorders>
            <w:shd w:val="clear" w:color="000000" w:fill="FFFFFF"/>
            <w:noWrap/>
          </w:tcPr>
          <w:p w14:paraId="056FD43D" w14:textId="77777777" w:rsidR="00CF3257" w:rsidRPr="0078611F" w:rsidRDefault="00CF3257" w:rsidP="00CF3257">
            <w:pPr>
              <w:pStyle w:val="TableTextSmall"/>
              <w:jc w:val="center"/>
            </w:pPr>
            <w:r w:rsidRPr="0078611F">
              <w:t>44%</w:t>
            </w:r>
          </w:p>
        </w:tc>
        <w:tc>
          <w:tcPr>
            <w:tcW w:w="1703" w:type="dxa"/>
            <w:tcBorders>
              <w:top w:val="single" w:sz="4" w:space="0" w:color="E02628"/>
              <w:left w:val="nil"/>
              <w:bottom w:val="single" w:sz="4" w:space="0" w:color="E02628"/>
              <w:right w:val="nil"/>
            </w:tcBorders>
            <w:shd w:val="clear" w:color="000000" w:fill="FFFFFF"/>
            <w:noWrap/>
          </w:tcPr>
          <w:p w14:paraId="2E2DDE09" w14:textId="77777777" w:rsidR="00CF3257" w:rsidRPr="00000031" w:rsidRDefault="00CF3257" w:rsidP="00CF3257">
            <w:pPr>
              <w:pStyle w:val="TableTextSmall"/>
              <w:jc w:val="center"/>
            </w:pPr>
            <w:r w:rsidRPr="00000031">
              <w:t>26%</w:t>
            </w:r>
          </w:p>
        </w:tc>
        <w:tc>
          <w:tcPr>
            <w:tcW w:w="1703" w:type="dxa"/>
            <w:tcBorders>
              <w:top w:val="single" w:sz="4" w:space="0" w:color="E02628"/>
              <w:left w:val="nil"/>
              <w:bottom w:val="single" w:sz="4" w:space="0" w:color="E02628"/>
              <w:right w:val="nil"/>
            </w:tcBorders>
            <w:shd w:val="clear" w:color="000000" w:fill="FFFFFF"/>
            <w:noWrap/>
          </w:tcPr>
          <w:p w14:paraId="30ABC9C0" w14:textId="77777777" w:rsidR="00CF3257" w:rsidRPr="00373B7E" w:rsidRDefault="00CF3257" w:rsidP="00CF3257">
            <w:pPr>
              <w:pStyle w:val="TableTextSmall"/>
              <w:jc w:val="center"/>
            </w:pPr>
            <w:r w:rsidRPr="00373B7E">
              <w:t>30%</w:t>
            </w:r>
          </w:p>
        </w:tc>
      </w:tr>
      <w:tr w:rsidR="00CF3257" w:rsidRPr="00EC326F" w14:paraId="4E7B2777"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258CE446" w14:textId="77777777" w:rsidR="00CF3257" w:rsidRPr="00EC326F" w:rsidRDefault="00CF3257" w:rsidP="00CF3257">
            <w:pPr>
              <w:pStyle w:val="TableTextSmall"/>
              <w:ind w:left="227"/>
              <w:rPr>
                <w:snapToGrid/>
                <w:lang w:eastAsia="en-AU"/>
              </w:rPr>
            </w:pPr>
            <w:r w:rsidRPr="00EC326F">
              <w:rPr>
                <w:snapToGrid/>
                <w:lang w:eastAsia="en-AU"/>
              </w:rPr>
              <w:t>- Other non IS clients</w:t>
            </w:r>
          </w:p>
        </w:tc>
        <w:tc>
          <w:tcPr>
            <w:tcW w:w="1134" w:type="dxa"/>
            <w:tcBorders>
              <w:top w:val="single" w:sz="4" w:space="0" w:color="E02628"/>
              <w:left w:val="nil"/>
              <w:bottom w:val="single" w:sz="4" w:space="0" w:color="E02628"/>
              <w:right w:val="nil"/>
            </w:tcBorders>
            <w:shd w:val="clear" w:color="000000" w:fill="FFFFFF"/>
            <w:noWrap/>
            <w:hideMark/>
          </w:tcPr>
          <w:p w14:paraId="291E1F95" w14:textId="77777777" w:rsidR="00CF3257" w:rsidRPr="00632699" w:rsidRDefault="00CF3257" w:rsidP="00CF3257">
            <w:pPr>
              <w:pStyle w:val="TableTextSmall"/>
              <w:jc w:val="center"/>
            </w:pPr>
            <w:r w:rsidRPr="00632699">
              <w:t>36</w:t>
            </w:r>
          </w:p>
        </w:tc>
        <w:tc>
          <w:tcPr>
            <w:tcW w:w="1702" w:type="dxa"/>
            <w:tcBorders>
              <w:top w:val="single" w:sz="4" w:space="0" w:color="E02628"/>
              <w:left w:val="nil"/>
              <w:bottom w:val="single" w:sz="4" w:space="0" w:color="E02628"/>
              <w:right w:val="nil"/>
            </w:tcBorders>
            <w:shd w:val="clear" w:color="000000" w:fill="FFFFFF"/>
            <w:noWrap/>
          </w:tcPr>
          <w:p w14:paraId="03AE5BEB" w14:textId="77777777" w:rsidR="00CF3257" w:rsidRPr="0078611F" w:rsidRDefault="00CF3257" w:rsidP="00CF3257">
            <w:pPr>
              <w:pStyle w:val="TableTextSmall"/>
              <w:jc w:val="center"/>
            </w:pPr>
            <w:r w:rsidRPr="0078611F">
              <w:t>40%</w:t>
            </w:r>
          </w:p>
        </w:tc>
        <w:tc>
          <w:tcPr>
            <w:tcW w:w="1703" w:type="dxa"/>
            <w:tcBorders>
              <w:top w:val="single" w:sz="4" w:space="0" w:color="E02628"/>
              <w:left w:val="nil"/>
              <w:bottom w:val="single" w:sz="4" w:space="0" w:color="E02628"/>
              <w:right w:val="nil"/>
            </w:tcBorders>
            <w:shd w:val="clear" w:color="000000" w:fill="FFFFFF"/>
            <w:noWrap/>
          </w:tcPr>
          <w:p w14:paraId="5308F01B" w14:textId="77777777" w:rsidR="00CF3257" w:rsidRPr="00000031" w:rsidRDefault="00CF3257" w:rsidP="00CF3257">
            <w:pPr>
              <w:pStyle w:val="TableTextSmall"/>
              <w:jc w:val="center"/>
            </w:pPr>
            <w:r w:rsidRPr="00000031">
              <w:t>23%</w:t>
            </w:r>
          </w:p>
        </w:tc>
        <w:tc>
          <w:tcPr>
            <w:tcW w:w="1703" w:type="dxa"/>
            <w:tcBorders>
              <w:top w:val="single" w:sz="4" w:space="0" w:color="E02628"/>
              <w:left w:val="nil"/>
              <w:bottom w:val="single" w:sz="4" w:space="0" w:color="E02628"/>
              <w:right w:val="nil"/>
            </w:tcBorders>
            <w:shd w:val="clear" w:color="000000" w:fill="FFFFFF"/>
            <w:noWrap/>
          </w:tcPr>
          <w:p w14:paraId="18F01C52" w14:textId="77777777" w:rsidR="00CF3257" w:rsidRPr="00373B7E" w:rsidRDefault="00CF3257" w:rsidP="00CF3257">
            <w:pPr>
              <w:pStyle w:val="TableTextSmall"/>
              <w:jc w:val="center"/>
            </w:pPr>
            <w:r w:rsidRPr="00373B7E">
              <w:t>38%</w:t>
            </w:r>
          </w:p>
        </w:tc>
      </w:tr>
      <w:tr w:rsidR="00CF3257" w:rsidRPr="00EC326F" w14:paraId="7DC62C0C"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65A5EA7A" w14:textId="77777777" w:rsidR="00CF3257" w:rsidRPr="00EC326F" w:rsidRDefault="00CF3257" w:rsidP="00CF3257">
            <w:pPr>
              <w:pStyle w:val="TableTextSmall"/>
              <w:rPr>
                <w:i/>
                <w:snapToGrid/>
                <w:lang w:eastAsia="en-AU"/>
              </w:rPr>
            </w:pPr>
            <w:r w:rsidRPr="00EC326F">
              <w:rPr>
                <w:i/>
                <w:snapToGrid/>
                <w:lang w:eastAsia="en-AU"/>
              </w:rPr>
              <w:t>Total current welfare recipients</w:t>
            </w:r>
          </w:p>
        </w:tc>
        <w:tc>
          <w:tcPr>
            <w:tcW w:w="1134" w:type="dxa"/>
            <w:tcBorders>
              <w:top w:val="single" w:sz="4" w:space="0" w:color="E02628"/>
              <w:left w:val="nil"/>
              <w:bottom w:val="single" w:sz="4" w:space="0" w:color="E02628"/>
              <w:right w:val="nil"/>
            </w:tcBorders>
            <w:shd w:val="clear" w:color="000000" w:fill="FFFFFF"/>
            <w:noWrap/>
            <w:hideMark/>
          </w:tcPr>
          <w:p w14:paraId="292139E4" w14:textId="77777777" w:rsidR="00CF3257" w:rsidRPr="00CF3257" w:rsidRDefault="00CF3257" w:rsidP="00CF3257">
            <w:pPr>
              <w:pStyle w:val="TableTextSmall"/>
              <w:jc w:val="center"/>
              <w:rPr>
                <w:i/>
              </w:rPr>
            </w:pPr>
            <w:r w:rsidRPr="00CF3257">
              <w:rPr>
                <w:i/>
              </w:rPr>
              <w:t>37</w:t>
            </w:r>
          </w:p>
        </w:tc>
        <w:tc>
          <w:tcPr>
            <w:tcW w:w="1702" w:type="dxa"/>
            <w:tcBorders>
              <w:top w:val="single" w:sz="4" w:space="0" w:color="E02628"/>
              <w:left w:val="nil"/>
              <w:bottom w:val="single" w:sz="4" w:space="0" w:color="E02628"/>
              <w:right w:val="nil"/>
            </w:tcBorders>
            <w:shd w:val="clear" w:color="000000" w:fill="FFFFFF"/>
            <w:noWrap/>
          </w:tcPr>
          <w:p w14:paraId="7AB6A50F" w14:textId="77777777" w:rsidR="00CF3257" w:rsidRPr="00CF3257" w:rsidRDefault="00CF3257" w:rsidP="00CF3257">
            <w:pPr>
              <w:pStyle w:val="TableTextSmall"/>
              <w:jc w:val="center"/>
              <w:rPr>
                <w:i/>
              </w:rPr>
            </w:pPr>
            <w:r w:rsidRPr="00CF3257">
              <w:rPr>
                <w:i/>
              </w:rPr>
              <w:t>60%</w:t>
            </w:r>
          </w:p>
        </w:tc>
        <w:tc>
          <w:tcPr>
            <w:tcW w:w="1703" w:type="dxa"/>
            <w:tcBorders>
              <w:top w:val="single" w:sz="4" w:space="0" w:color="E02628"/>
              <w:left w:val="nil"/>
              <w:bottom w:val="single" w:sz="4" w:space="0" w:color="E02628"/>
              <w:right w:val="nil"/>
            </w:tcBorders>
            <w:shd w:val="clear" w:color="000000" w:fill="FFFFFF"/>
            <w:noWrap/>
          </w:tcPr>
          <w:p w14:paraId="4BE72A5B" w14:textId="77777777" w:rsidR="00CF3257" w:rsidRPr="00CF3257" w:rsidRDefault="00CF3257" w:rsidP="00CF3257">
            <w:pPr>
              <w:pStyle w:val="TableTextSmall"/>
              <w:jc w:val="center"/>
              <w:rPr>
                <w:i/>
              </w:rPr>
            </w:pPr>
            <w:r w:rsidRPr="00CF3257">
              <w:rPr>
                <w:i/>
              </w:rPr>
              <w:t>10%</w:t>
            </w:r>
          </w:p>
        </w:tc>
        <w:tc>
          <w:tcPr>
            <w:tcW w:w="1703" w:type="dxa"/>
            <w:tcBorders>
              <w:top w:val="single" w:sz="4" w:space="0" w:color="E02628"/>
              <w:left w:val="nil"/>
              <w:bottom w:val="single" w:sz="4" w:space="0" w:color="E02628"/>
              <w:right w:val="nil"/>
            </w:tcBorders>
            <w:shd w:val="clear" w:color="000000" w:fill="FFFFFF"/>
            <w:noWrap/>
          </w:tcPr>
          <w:p w14:paraId="7E50D346" w14:textId="77777777" w:rsidR="00CF3257" w:rsidRPr="00CF3257" w:rsidRDefault="00CF3257" w:rsidP="00CF3257">
            <w:pPr>
              <w:pStyle w:val="TableTextSmall"/>
              <w:jc w:val="center"/>
              <w:rPr>
                <w:i/>
              </w:rPr>
            </w:pPr>
            <w:r w:rsidRPr="00CF3257">
              <w:rPr>
                <w:i/>
              </w:rPr>
              <w:t>29%</w:t>
            </w:r>
          </w:p>
        </w:tc>
      </w:tr>
      <w:tr w:rsidR="00CF3257" w:rsidRPr="00EC326F" w14:paraId="428DE88A" w14:textId="77777777" w:rsidTr="00B71296">
        <w:trPr>
          <w:trHeight w:val="227"/>
          <w:tblHeader/>
        </w:trPr>
        <w:tc>
          <w:tcPr>
            <w:tcW w:w="3458" w:type="dxa"/>
            <w:tcBorders>
              <w:top w:val="single" w:sz="4" w:space="0" w:color="E02628"/>
              <w:left w:val="nil"/>
              <w:bottom w:val="single" w:sz="4" w:space="0" w:color="E02628"/>
              <w:right w:val="nil"/>
            </w:tcBorders>
            <w:shd w:val="clear" w:color="auto" w:fill="E02628"/>
            <w:noWrap/>
            <w:vAlign w:val="center"/>
            <w:hideMark/>
          </w:tcPr>
          <w:p w14:paraId="3694BFDF" w14:textId="77777777" w:rsidR="00CF3257" w:rsidRPr="00EC326F" w:rsidRDefault="00CF3257" w:rsidP="00CF3257">
            <w:pPr>
              <w:pStyle w:val="TableTextSmall"/>
              <w:rPr>
                <w:snapToGrid/>
                <w:lang w:eastAsia="en-AU"/>
              </w:rPr>
            </w:pPr>
            <w:r w:rsidRPr="00EC326F">
              <w:rPr>
                <w:snapToGrid/>
                <w:color w:val="FFFFFF" w:themeColor="background1"/>
                <w:lang w:eastAsia="en-AU"/>
              </w:rPr>
              <w:t>Previous welfare recipients</w:t>
            </w:r>
          </w:p>
        </w:tc>
        <w:tc>
          <w:tcPr>
            <w:tcW w:w="1134" w:type="dxa"/>
            <w:tcBorders>
              <w:top w:val="single" w:sz="4" w:space="0" w:color="E02628"/>
              <w:left w:val="nil"/>
              <w:bottom w:val="single" w:sz="4" w:space="0" w:color="E02628"/>
              <w:right w:val="nil"/>
            </w:tcBorders>
            <w:shd w:val="clear" w:color="auto" w:fill="E02628"/>
            <w:noWrap/>
            <w:hideMark/>
          </w:tcPr>
          <w:p w14:paraId="03919D11" w14:textId="77777777" w:rsidR="00CF3257" w:rsidRPr="00632699" w:rsidRDefault="00CF3257" w:rsidP="00CF3257">
            <w:pPr>
              <w:pStyle w:val="TableTextSmall"/>
              <w:jc w:val="center"/>
            </w:pPr>
          </w:p>
        </w:tc>
        <w:tc>
          <w:tcPr>
            <w:tcW w:w="1702" w:type="dxa"/>
            <w:tcBorders>
              <w:top w:val="single" w:sz="4" w:space="0" w:color="E02628"/>
              <w:left w:val="nil"/>
              <w:bottom w:val="single" w:sz="4" w:space="0" w:color="E02628"/>
              <w:right w:val="nil"/>
            </w:tcBorders>
            <w:shd w:val="clear" w:color="auto" w:fill="E02628"/>
            <w:noWrap/>
          </w:tcPr>
          <w:p w14:paraId="04433A7E" w14:textId="77777777" w:rsidR="00CF3257" w:rsidRPr="0078611F" w:rsidRDefault="00CF3257" w:rsidP="00CF3257">
            <w:pPr>
              <w:pStyle w:val="TableTextSmall"/>
              <w:jc w:val="center"/>
            </w:pPr>
          </w:p>
        </w:tc>
        <w:tc>
          <w:tcPr>
            <w:tcW w:w="1703" w:type="dxa"/>
            <w:tcBorders>
              <w:top w:val="single" w:sz="4" w:space="0" w:color="E02628"/>
              <w:left w:val="nil"/>
              <w:bottom w:val="single" w:sz="4" w:space="0" w:color="E02628"/>
              <w:right w:val="nil"/>
            </w:tcBorders>
            <w:shd w:val="clear" w:color="auto" w:fill="E02628"/>
            <w:noWrap/>
          </w:tcPr>
          <w:p w14:paraId="2227B8C9" w14:textId="77777777" w:rsidR="00CF3257" w:rsidRPr="00000031" w:rsidRDefault="00CF3257" w:rsidP="00CF3257">
            <w:pPr>
              <w:pStyle w:val="TableTextSmall"/>
              <w:jc w:val="center"/>
            </w:pPr>
          </w:p>
        </w:tc>
        <w:tc>
          <w:tcPr>
            <w:tcW w:w="1703" w:type="dxa"/>
            <w:tcBorders>
              <w:top w:val="single" w:sz="4" w:space="0" w:color="E02628"/>
              <w:left w:val="nil"/>
              <w:bottom w:val="single" w:sz="4" w:space="0" w:color="E02628"/>
              <w:right w:val="nil"/>
            </w:tcBorders>
            <w:shd w:val="clear" w:color="auto" w:fill="E02628"/>
            <w:noWrap/>
          </w:tcPr>
          <w:p w14:paraId="68E8B5A8" w14:textId="77777777" w:rsidR="00CF3257" w:rsidRPr="00373B7E" w:rsidRDefault="00CF3257" w:rsidP="00CF3257">
            <w:pPr>
              <w:pStyle w:val="TableTextSmall"/>
              <w:jc w:val="center"/>
            </w:pPr>
          </w:p>
        </w:tc>
      </w:tr>
      <w:tr w:rsidR="00CF3257" w:rsidRPr="00EC326F" w14:paraId="0843005F"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591ECF4C" w14:textId="77777777" w:rsidR="00CF3257" w:rsidRPr="00EC326F" w:rsidRDefault="00CF3257" w:rsidP="00CF3257">
            <w:pPr>
              <w:pStyle w:val="TableTextSmall"/>
              <w:ind w:left="227"/>
              <w:rPr>
                <w:snapToGrid/>
                <w:lang w:eastAsia="en-AU"/>
              </w:rPr>
            </w:pPr>
            <w:r w:rsidRPr="00EC326F">
              <w:rPr>
                <w:snapToGrid/>
                <w:lang w:eastAsia="en-AU"/>
              </w:rPr>
              <w:t>- Exited 1-3 years</w:t>
            </w:r>
          </w:p>
        </w:tc>
        <w:tc>
          <w:tcPr>
            <w:tcW w:w="1134" w:type="dxa"/>
            <w:tcBorders>
              <w:top w:val="single" w:sz="4" w:space="0" w:color="E02628"/>
              <w:left w:val="nil"/>
              <w:bottom w:val="single" w:sz="4" w:space="0" w:color="E02628"/>
              <w:right w:val="nil"/>
            </w:tcBorders>
            <w:shd w:val="clear" w:color="000000" w:fill="FFFFFF"/>
            <w:noWrap/>
            <w:hideMark/>
          </w:tcPr>
          <w:p w14:paraId="0E03764C" w14:textId="77777777" w:rsidR="00CF3257" w:rsidRPr="00632699" w:rsidRDefault="00CF3257" w:rsidP="00CF3257">
            <w:pPr>
              <w:pStyle w:val="TableTextSmall"/>
              <w:jc w:val="center"/>
            </w:pPr>
            <w:r w:rsidRPr="00632699">
              <w:t>50</w:t>
            </w:r>
          </w:p>
        </w:tc>
        <w:tc>
          <w:tcPr>
            <w:tcW w:w="1702" w:type="dxa"/>
            <w:tcBorders>
              <w:top w:val="single" w:sz="4" w:space="0" w:color="E02628"/>
              <w:left w:val="nil"/>
              <w:bottom w:val="single" w:sz="4" w:space="0" w:color="E02628"/>
              <w:right w:val="nil"/>
            </w:tcBorders>
            <w:shd w:val="clear" w:color="000000" w:fill="FFFFFF"/>
            <w:noWrap/>
          </w:tcPr>
          <w:p w14:paraId="35DDF35D" w14:textId="77777777" w:rsidR="00CF3257" w:rsidRPr="0078611F" w:rsidRDefault="00CF3257" w:rsidP="00CF3257">
            <w:pPr>
              <w:pStyle w:val="TableTextSmall"/>
              <w:jc w:val="center"/>
            </w:pPr>
            <w:r w:rsidRPr="0078611F">
              <w:t>41%</w:t>
            </w:r>
          </w:p>
        </w:tc>
        <w:tc>
          <w:tcPr>
            <w:tcW w:w="1703" w:type="dxa"/>
            <w:tcBorders>
              <w:top w:val="single" w:sz="4" w:space="0" w:color="E02628"/>
              <w:left w:val="nil"/>
              <w:bottom w:val="single" w:sz="4" w:space="0" w:color="E02628"/>
              <w:right w:val="nil"/>
            </w:tcBorders>
            <w:shd w:val="clear" w:color="000000" w:fill="FFFFFF"/>
            <w:noWrap/>
          </w:tcPr>
          <w:p w14:paraId="1ECE01A4" w14:textId="77777777" w:rsidR="00CF3257" w:rsidRPr="00000031" w:rsidRDefault="00CF3257" w:rsidP="00CF3257">
            <w:pPr>
              <w:pStyle w:val="TableTextSmall"/>
              <w:jc w:val="center"/>
            </w:pPr>
            <w:r w:rsidRPr="00000031">
              <w:t>8%</w:t>
            </w:r>
          </w:p>
        </w:tc>
        <w:tc>
          <w:tcPr>
            <w:tcW w:w="1703" w:type="dxa"/>
            <w:tcBorders>
              <w:top w:val="single" w:sz="4" w:space="0" w:color="E02628"/>
              <w:left w:val="nil"/>
              <w:bottom w:val="single" w:sz="4" w:space="0" w:color="E02628"/>
              <w:right w:val="nil"/>
            </w:tcBorders>
            <w:shd w:val="clear" w:color="000000" w:fill="FFFFFF"/>
            <w:noWrap/>
          </w:tcPr>
          <w:p w14:paraId="6021B5A9" w14:textId="77777777" w:rsidR="00CF3257" w:rsidRPr="00373B7E" w:rsidRDefault="00CF3257" w:rsidP="00CF3257">
            <w:pPr>
              <w:pStyle w:val="TableTextSmall"/>
              <w:jc w:val="center"/>
            </w:pPr>
            <w:r w:rsidRPr="00373B7E">
              <w:t>51%</w:t>
            </w:r>
          </w:p>
        </w:tc>
      </w:tr>
      <w:tr w:rsidR="00CF3257" w:rsidRPr="00EC326F" w14:paraId="4AB6B17C"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0D71E62D" w14:textId="77777777" w:rsidR="00CF3257" w:rsidRPr="00EC326F" w:rsidRDefault="00CF3257" w:rsidP="00CF3257">
            <w:pPr>
              <w:pStyle w:val="TableTextSmall"/>
              <w:ind w:left="227"/>
              <w:rPr>
                <w:snapToGrid/>
                <w:lang w:eastAsia="en-AU"/>
              </w:rPr>
            </w:pPr>
            <w:r w:rsidRPr="00EC326F">
              <w:rPr>
                <w:snapToGrid/>
                <w:lang w:eastAsia="en-AU"/>
              </w:rPr>
              <w:t>- Exited 4+ years</w:t>
            </w:r>
          </w:p>
        </w:tc>
        <w:tc>
          <w:tcPr>
            <w:tcW w:w="1134" w:type="dxa"/>
            <w:tcBorders>
              <w:top w:val="single" w:sz="4" w:space="0" w:color="E02628"/>
              <w:left w:val="nil"/>
              <w:bottom w:val="single" w:sz="4" w:space="0" w:color="E02628"/>
              <w:right w:val="nil"/>
            </w:tcBorders>
            <w:shd w:val="clear" w:color="000000" w:fill="FFFFFF"/>
            <w:noWrap/>
            <w:hideMark/>
          </w:tcPr>
          <w:p w14:paraId="6597FF86" w14:textId="77777777" w:rsidR="00CF3257" w:rsidRPr="00632699" w:rsidRDefault="00CF3257" w:rsidP="00CF3257">
            <w:pPr>
              <w:pStyle w:val="TableTextSmall"/>
              <w:jc w:val="center"/>
            </w:pPr>
            <w:r w:rsidRPr="00632699">
              <w:t>44</w:t>
            </w:r>
          </w:p>
        </w:tc>
        <w:tc>
          <w:tcPr>
            <w:tcW w:w="1702" w:type="dxa"/>
            <w:tcBorders>
              <w:top w:val="single" w:sz="4" w:space="0" w:color="E02628"/>
              <w:left w:val="nil"/>
              <w:bottom w:val="single" w:sz="4" w:space="0" w:color="E02628"/>
              <w:right w:val="nil"/>
            </w:tcBorders>
            <w:shd w:val="clear" w:color="000000" w:fill="FFFFFF"/>
            <w:noWrap/>
          </w:tcPr>
          <w:p w14:paraId="133293D8" w14:textId="77777777" w:rsidR="00CF3257" w:rsidRPr="0078611F" w:rsidRDefault="00CF3257" w:rsidP="00CF3257">
            <w:pPr>
              <w:pStyle w:val="TableTextSmall"/>
              <w:jc w:val="center"/>
            </w:pPr>
            <w:r w:rsidRPr="0078611F">
              <w:t>40%</w:t>
            </w:r>
          </w:p>
        </w:tc>
        <w:tc>
          <w:tcPr>
            <w:tcW w:w="1703" w:type="dxa"/>
            <w:tcBorders>
              <w:top w:val="single" w:sz="4" w:space="0" w:color="E02628"/>
              <w:left w:val="nil"/>
              <w:bottom w:val="single" w:sz="4" w:space="0" w:color="E02628"/>
              <w:right w:val="nil"/>
            </w:tcBorders>
            <w:shd w:val="clear" w:color="000000" w:fill="FFFFFF"/>
            <w:noWrap/>
          </w:tcPr>
          <w:p w14:paraId="165E88FB" w14:textId="77777777" w:rsidR="00CF3257" w:rsidRPr="00000031" w:rsidRDefault="00CF3257" w:rsidP="00CF3257">
            <w:pPr>
              <w:pStyle w:val="TableTextSmall"/>
              <w:jc w:val="center"/>
            </w:pPr>
            <w:r w:rsidRPr="00000031">
              <w:t>8%</w:t>
            </w:r>
          </w:p>
        </w:tc>
        <w:tc>
          <w:tcPr>
            <w:tcW w:w="1703" w:type="dxa"/>
            <w:tcBorders>
              <w:top w:val="single" w:sz="4" w:space="0" w:color="E02628"/>
              <w:left w:val="nil"/>
              <w:bottom w:val="single" w:sz="4" w:space="0" w:color="E02628"/>
              <w:right w:val="nil"/>
            </w:tcBorders>
            <w:shd w:val="clear" w:color="000000" w:fill="FFFFFF"/>
            <w:noWrap/>
          </w:tcPr>
          <w:p w14:paraId="43B9D1E9" w14:textId="77777777" w:rsidR="00CF3257" w:rsidRPr="00373B7E" w:rsidRDefault="00CF3257" w:rsidP="00CF3257">
            <w:pPr>
              <w:pStyle w:val="TableTextSmall"/>
              <w:jc w:val="center"/>
            </w:pPr>
            <w:r w:rsidRPr="00373B7E">
              <w:t>52%</w:t>
            </w:r>
          </w:p>
        </w:tc>
      </w:tr>
      <w:tr w:rsidR="00CF3257" w:rsidRPr="00EC326F" w14:paraId="6D4B1D5A"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5DC3B3B8" w14:textId="77777777" w:rsidR="00CF3257" w:rsidRPr="00EC326F" w:rsidRDefault="00CF3257" w:rsidP="00CF3257">
            <w:pPr>
              <w:pStyle w:val="TableTextSmall"/>
              <w:rPr>
                <w:i/>
                <w:snapToGrid/>
                <w:lang w:eastAsia="en-AU"/>
              </w:rPr>
            </w:pPr>
            <w:r w:rsidRPr="00EC326F">
              <w:rPr>
                <w:i/>
                <w:snapToGrid/>
                <w:lang w:eastAsia="en-AU"/>
              </w:rPr>
              <w:t>Total previous welfare recipients</w:t>
            </w:r>
          </w:p>
        </w:tc>
        <w:tc>
          <w:tcPr>
            <w:tcW w:w="1134" w:type="dxa"/>
            <w:tcBorders>
              <w:top w:val="single" w:sz="4" w:space="0" w:color="E02628"/>
              <w:left w:val="nil"/>
              <w:bottom w:val="single" w:sz="4" w:space="0" w:color="E02628"/>
              <w:right w:val="nil"/>
            </w:tcBorders>
            <w:shd w:val="clear" w:color="000000" w:fill="FFFFFF"/>
            <w:noWrap/>
            <w:hideMark/>
          </w:tcPr>
          <w:p w14:paraId="37D2733C" w14:textId="77777777" w:rsidR="00CF3257" w:rsidRPr="00CF3257" w:rsidRDefault="00CF3257" w:rsidP="00CF3257">
            <w:pPr>
              <w:pStyle w:val="TableTextSmall"/>
              <w:jc w:val="center"/>
              <w:rPr>
                <w:i/>
              </w:rPr>
            </w:pPr>
            <w:r w:rsidRPr="00CF3257">
              <w:rPr>
                <w:i/>
              </w:rPr>
              <w:t>46</w:t>
            </w:r>
          </w:p>
        </w:tc>
        <w:tc>
          <w:tcPr>
            <w:tcW w:w="1702" w:type="dxa"/>
            <w:tcBorders>
              <w:top w:val="single" w:sz="4" w:space="0" w:color="E02628"/>
              <w:left w:val="nil"/>
              <w:bottom w:val="single" w:sz="4" w:space="0" w:color="E02628"/>
              <w:right w:val="nil"/>
            </w:tcBorders>
            <w:shd w:val="clear" w:color="000000" w:fill="FFFFFF"/>
            <w:noWrap/>
          </w:tcPr>
          <w:p w14:paraId="1F9B9306" w14:textId="77777777" w:rsidR="00CF3257" w:rsidRPr="00CF3257" w:rsidRDefault="00CF3257" w:rsidP="00CF3257">
            <w:pPr>
              <w:pStyle w:val="TableTextSmall"/>
              <w:jc w:val="center"/>
              <w:rPr>
                <w:i/>
              </w:rPr>
            </w:pPr>
            <w:r w:rsidRPr="00CF3257">
              <w:rPr>
                <w:i/>
              </w:rPr>
              <w:t>41%</w:t>
            </w:r>
          </w:p>
        </w:tc>
        <w:tc>
          <w:tcPr>
            <w:tcW w:w="1703" w:type="dxa"/>
            <w:tcBorders>
              <w:top w:val="single" w:sz="4" w:space="0" w:color="E02628"/>
              <w:left w:val="nil"/>
              <w:bottom w:val="single" w:sz="4" w:space="0" w:color="E02628"/>
              <w:right w:val="nil"/>
            </w:tcBorders>
            <w:shd w:val="clear" w:color="000000" w:fill="FFFFFF"/>
            <w:noWrap/>
          </w:tcPr>
          <w:p w14:paraId="2E6418EF" w14:textId="77777777" w:rsidR="00CF3257" w:rsidRPr="00CF3257" w:rsidRDefault="00CF3257" w:rsidP="00CF3257">
            <w:pPr>
              <w:pStyle w:val="TableTextSmall"/>
              <w:jc w:val="center"/>
              <w:rPr>
                <w:i/>
              </w:rPr>
            </w:pPr>
            <w:r w:rsidRPr="00CF3257">
              <w:rPr>
                <w:i/>
              </w:rPr>
              <w:t>8%</w:t>
            </w:r>
          </w:p>
        </w:tc>
        <w:tc>
          <w:tcPr>
            <w:tcW w:w="1703" w:type="dxa"/>
            <w:tcBorders>
              <w:top w:val="single" w:sz="4" w:space="0" w:color="E02628"/>
              <w:left w:val="nil"/>
              <w:bottom w:val="single" w:sz="4" w:space="0" w:color="E02628"/>
              <w:right w:val="nil"/>
            </w:tcBorders>
            <w:shd w:val="clear" w:color="000000" w:fill="FFFFFF"/>
            <w:noWrap/>
          </w:tcPr>
          <w:p w14:paraId="511D54CD" w14:textId="77777777" w:rsidR="00CF3257" w:rsidRPr="00CF3257" w:rsidRDefault="00CF3257" w:rsidP="00CF3257">
            <w:pPr>
              <w:pStyle w:val="TableTextSmall"/>
              <w:jc w:val="center"/>
              <w:rPr>
                <w:i/>
              </w:rPr>
            </w:pPr>
            <w:r w:rsidRPr="00CF3257">
              <w:rPr>
                <w:i/>
              </w:rPr>
              <w:t>52%</w:t>
            </w:r>
          </w:p>
        </w:tc>
      </w:tr>
      <w:tr w:rsidR="00CF3257" w:rsidRPr="00EC326F" w14:paraId="66C9D498" w14:textId="77777777" w:rsidTr="00B71296">
        <w:trPr>
          <w:trHeight w:val="227"/>
          <w:tblHeader/>
        </w:trPr>
        <w:tc>
          <w:tcPr>
            <w:tcW w:w="3458" w:type="dxa"/>
            <w:tcBorders>
              <w:top w:val="single" w:sz="4" w:space="0" w:color="E02628"/>
              <w:left w:val="nil"/>
              <w:bottom w:val="single" w:sz="4" w:space="0" w:color="E02628"/>
              <w:right w:val="nil"/>
            </w:tcBorders>
            <w:shd w:val="clear" w:color="auto" w:fill="E02628"/>
            <w:noWrap/>
            <w:vAlign w:val="center"/>
            <w:hideMark/>
          </w:tcPr>
          <w:p w14:paraId="75B20093" w14:textId="77777777" w:rsidR="00CF3257" w:rsidRPr="00EC326F" w:rsidRDefault="00CF3257" w:rsidP="00CF3257">
            <w:pPr>
              <w:pStyle w:val="TableTextSmall"/>
              <w:rPr>
                <w:snapToGrid/>
                <w:color w:val="FFFFFF" w:themeColor="background1"/>
                <w:lang w:eastAsia="en-AU"/>
              </w:rPr>
            </w:pPr>
            <w:r w:rsidRPr="00EC326F">
              <w:rPr>
                <w:snapToGrid/>
                <w:color w:val="FFFFFF" w:themeColor="background1"/>
                <w:lang w:eastAsia="en-AU"/>
              </w:rPr>
              <w:t>Rest of Australian resident population</w:t>
            </w:r>
          </w:p>
        </w:tc>
        <w:tc>
          <w:tcPr>
            <w:tcW w:w="1134" w:type="dxa"/>
            <w:tcBorders>
              <w:top w:val="single" w:sz="4" w:space="0" w:color="E02628"/>
              <w:left w:val="nil"/>
              <w:bottom w:val="single" w:sz="4" w:space="0" w:color="E02628"/>
              <w:right w:val="nil"/>
            </w:tcBorders>
            <w:shd w:val="clear" w:color="auto" w:fill="E02628"/>
            <w:noWrap/>
            <w:hideMark/>
          </w:tcPr>
          <w:p w14:paraId="48CD0369" w14:textId="77777777" w:rsidR="00CF3257" w:rsidRPr="00632699" w:rsidRDefault="00CF3257" w:rsidP="00CF3257">
            <w:pPr>
              <w:pStyle w:val="TableTextSmall"/>
              <w:jc w:val="center"/>
            </w:pPr>
          </w:p>
        </w:tc>
        <w:tc>
          <w:tcPr>
            <w:tcW w:w="1702" w:type="dxa"/>
            <w:tcBorders>
              <w:top w:val="single" w:sz="4" w:space="0" w:color="E02628"/>
              <w:left w:val="nil"/>
              <w:bottom w:val="single" w:sz="4" w:space="0" w:color="E02628"/>
              <w:right w:val="nil"/>
            </w:tcBorders>
            <w:shd w:val="clear" w:color="auto" w:fill="E02628"/>
            <w:noWrap/>
          </w:tcPr>
          <w:p w14:paraId="7C089E4B" w14:textId="77777777" w:rsidR="00CF3257" w:rsidRPr="0078611F" w:rsidRDefault="00CF3257" w:rsidP="00CF3257">
            <w:pPr>
              <w:pStyle w:val="TableTextSmall"/>
              <w:jc w:val="center"/>
            </w:pPr>
          </w:p>
        </w:tc>
        <w:tc>
          <w:tcPr>
            <w:tcW w:w="1703" w:type="dxa"/>
            <w:tcBorders>
              <w:top w:val="single" w:sz="4" w:space="0" w:color="E02628"/>
              <w:left w:val="nil"/>
              <w:bottom w:val="single" w:sz="4" w:space="0" w:color="E02628"/>
              <w:right w:val="nil"/>
            </w:tcBorders>
            <w:shd w:val="clear" w:color="auto" w:fill="E02628"/>
            <w:noWrap/>
          </w:tcPr>
          <w:p w14:paraId="71ADAA90" w14:textId="77777777" w:rsidR="00CF3257" w:rsidRPr="00000031" w:rsidRDefault="00CF3257" w:rsidP="00CF3257">
            <w:pPr>
              <w:pStyle w:val="TableTextSmall"/>
              <w:jc w:val="center"/>
            </w:pPr>
          </w:p>
        </w:tc>
        <w:tc>
          <w:tcPr>
            <w:tcW w:w="1703" w:type="dxa"/>
            <w:tcBorders>
              <w:top w:val="single" w:sz="4" w:space="0" w:color="E02628"/>
              <w:left w:val="nil"/>
              <w:bottom w:val="single" w:sz="4" w:space="0" w:color="E02628"/>
              <w:right w:val="nil"/>
            </w:tcBorders>
            <w:shd w:val="clear" w:color="auto" w:fill="E02628"/>
            <w:noWrap/>
          </w:tcPr>
          <w:p w14:paraId="2E755851" w14:textId="77777777" w:rsidR="00CF3257" w:rsidRPr="00373B7E" w:rsidRDefault="00CF3257" w:rsidP="00CF3257">
            <w:pPr>
              <w:pStyle w:val="TableTextSmall"/>
              <w:jc w:val="center"/>
            </w:pPr>
          </w:p>
        </w:tc>
      </w:tr>
      <w:tr w:rsidR="00CF3257" w:rsidRPr="00EC326F" w14:paraId="49CFF88B" w14:textId="77777777" w:rsidTr="00B7129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67EDBBC2" w14:textId="77777777" w:rsidR="00CF3257" w:rsidRPr="00EC326F" w:rsidRDefault="00CF3257" w:rsidP="00CF3257">
            <w:pPr>
              <w:pStyle w:val="TableTextSmall"/>
              <w:ind w:left="227"/>
              <w:rPr>
                <w:i/>
                <w:iCs/>
                <w:snapToGrid/>
                <w:lang w:eastAsia="en-AU"/>
              </w:rPr>
            </w:pPr>
            <w:r w:rsidRPr="00EC326F">
              <w:rPr>
                <w:i/>
                <w:iCs/>
                <w:snapToGrid/>
                <w:lang w:eastAsia="en-AU"/>
              </w:rPr>
              <w:t>- Rest of Australian resident population</w:t>
            </w:r>
          </w:p>
        </w:tc>
        <w:tc>
          <w:tcPr>
            <w:tcW w:w="1134" w:type="dxa"/>
            <w:tcBorders>
              <w:top w:val="single" w:sz="4" w:space="0" w:color="E02628"/>
              <w:left w:val="nil"/>
              <w:bottom w:val="single" w:sz="4" w:space="0" w:color="E02628"/>
              <w:right w:val="nil"/>
            </w:tcBorders>
            <w:shd w:val="clear" w:color="000000" w:fill="FFFFFF"/>
            <w:noWrap/>
            <w:hideMark/>
          </w:tcPr>
          <w:p w14:paraId="2648FAF0" w14:textId="77777777" w:rsidR="00CF3257" w:rsidRPr="00CF3257" w:rsidRDefault="00CF3257" w:rsidP="00CF3257">
            <w:pPr>
              <w:pStyle w:val="TableTextSmall"/>
              <w:jc w:val="center"/>
              <w:rPr>
                <w:i/>
              </w:rPr>
            </w:pPr>
            <w:r w:rsidRPr="00CF3257">
              <w:rPr>
                <w:i/>
              </w:rPr>
              <w:t>62</w:t>
            </w:r>
          </w:p>
        </w:tc>
        <w:tc>
          <w:tcPr>
            <w:tcW w:w="1702" w:type="dxa"/>
            <w:tcBorders>
              <w:top w:val="single" w:sz="4" w:space="0" w:color="E02628"/>
              <w:left w:val="nil"/>
              <w:bottom w:val="single" w:sz="4" w:space="0" w:color="E02628"/>
              <w:right w:val="nil"/>
            </w:tcBorders>
            <w:shd w:val="clear" w:color="000000" w:fill="FFFFFF"/>
            <w:noWrap/>
          </w:tcPr>
          <w:p w14:paraId="58CF8D85" w14:textId="77777777" w:rsidR="00CF3257" w:rsidRPr="00CF3257" w:rsidRDefault="00CF3257" w:rsidP="00CF3257">
            <w:pPr>
              <w:pStyle w:val="TableTextSmall"/>
              <w:jc w:val="center"/>
              <w:rPr>
                <w:i/>
              </w:rPr>
            </w:pPr>
            <w:r w:rsidRPr="00CF3257">
              <w:rPr>
                <w:i/>
              </w:rPr>
              <w:t>35%</w:t>
            </w:r>
          </w:p>
        </w:tc>
        <w:tc>
          <w:tcPr>
            <w:tcW w:w="1703" w:type="dxa"/>
            <w:tcBorders>
              <w:top w:val="single" w:sz="4" w:space="0" w:color="E02628"/>
              <w:left w:val="nil"/>
              <w:bottom w:val="single" w:sz="4" w:space="0" w:color="E02628"/>
              <w:right w:val="nil"/>
            </w:tcBorders>
            <w:shd w:val="clear" w:color="000000" w:fill="FFFFFF"/>
            <w:noWrap/>
          </w:tcPr>
          <w:p w14:paraId="2D751A55" w14:textId="77777777" w:rsidR="00CF3257" w:rsidRPr="00CF3257" w:rsidRDefault="00CF3257" w:rsidP="00CF3257">
            <w:pPr>
              <w:pStyle w:val="TableTextSmall"/>
              <w:jc w:val="center"/>
              <w:rPr>
                <w:i/>
              </w:rPr>
            </w:pPr>
            <w:r w:rsidRPr="00CF3257">
              <w:rPr>
                <w:i/>
              </w:rPr>
              <w:t>9%</w:t>
            </w:r>
          </w:p>
        </w:tc>
        <w:tc>
          <w:tcPr>
            <w:tcW w:w="1703" w:type="dxa"/>
            <w:tcBorders>
              <w:top w:val="single" w:sz="4" w:space="0" w:color="E02628"/>
              <w:left w:val="nil"/>
              <w:bottom w:val="single" w:sz="4" w:space="0" w:color="E02628"/>
              <w:right w:val="nil"/>
            </w:tcBorders>
            <w:shd w:val="clear" w:color="000000" w:fill="FFFFFF"/>
            <w:noWrap/>
          </w:tcPr>
          <w:p w14:paraId="008001C1" w14:textId="77777777" w:rsidR="00CF3257" w:rsidRPr="00CF3257" w:rsidRDefault="00CF3257" w:rsidP="00CF3257">
            <w:pPr>
              <w:pStyle w:val="TableTextSmall"/>
              <w:jc w:val="center"/>
              <w:rPr>
                <w:i/>
              </w:rPr>
            </w:pPr>
            <w:r w:rsidRPr="00CF3257">
              <w:rPr>
                <w:i/>
              </w:rPr>
              <w:t>56%</w:t>
            </w:r>
          </w:p>
        </w:tc>
      </w:tr>
      <w:tr w:rsidR="00CF3257" w:rsidRPr="00EC326F" w14:paraId="5AD6FBFF" w14:textId="77777777" w:rsidTr="00B71296">
        <w:trPr>
          <w:trHeight w:val="227"/>
          <w:tblHeader/>
        </w:trPr>
        <w:tc>
          <w:tcPr>
            <w:tcW w:w="3458" w:type="dxa"/>
            <w:tcBorders>
              <w:top w:val="single" w:sz="4" w:space="0" w:color="E02628"/>
              <w:left w:val="nil"/>
              <w:bottom w:val="single" w:sz="4" w:space="0" w:color="E02628"/>
              <w:right w:val="nil"/>
            </w:tcBorders>
            <w:shd w:val="clear" w:color="auto" w:fill="E02628"/>
            <w:noWrap/>
            <w:vAlign w:val="center"/>
            <w:hideMark/>
          </w:tcPr>
          <w:p w14:paraId="4A7EC583" w14:textId="77777777" w:rsidR="00CF3257" w:rsidRPr="00EC326F" w:rsidRDefault="00CF3257" w:rsidP="00CF3257">
            <w:pPr>
              <w:pStyle w:val="TableTextSmall"/>
              <w:rPr>
                <w:snapToGrid/>
                <w:lang w:eastAsia="en-AU"/>
              </w:rPr>
            </w:pPr>
            <w:r w:rsidRPr="00EC326F">
              <w:rPr>
                <w:snapToGrid/>
                <w:color w:val="FFFFFF" w:themeColor="background1"/>
                <w:lang w:eastAsia="en-AU"/>
              </w:rPr>
              <w:t>Australian resident population</w:t>
            </w:r>
          </w:p>
        </w:tc>
        <w:tc>
          <w:tcPr>
            <w:tcW w:w="1134" w:type="dxa"/>
            <w:tcBorders>
              <w:top w:val="single" w:sz="4" w:space="0" w:color="E02628"/>
              <w:left w:val="nil"/>
              <w:bottom w:val="single" w:sz="4" w:space="0" w:color="E02628"/>
              <w:right w:val="nil"/>
            </w:tcBorders>
            <w:shd w:val="clear" w:color="auto" w:fill="E02628"/>
            <w:noWrap/>
            <w:hideMark/>
          </w:tcPr>
          <w:p w14:paraId="7C6C0FCC" w14:textId="77777777" w:rsidR="00CF3257" w:rsidRPr="00CF3257" w:rsidRDefault="00CF3257" w:rsidP="00CF3257">
            <w:pPr>
              <w:pStyle w:val="TableTextSmall"/>
              <w:jc w:val="center"/>
              <w:rPr>
                <w:color w:val="FFFFFF" w:themeColor="background1"/>
              </w:rPr>
            </w:pPr>
            <w:r w:rsidRPr="00CF3257">
              <w:rPr>
                <w:color w:val="FFFFFF" w:themeColor="background1"/>
              </w:rPr>
              <w:t>51</w:t>
            </w:r>
          </w:p>
        </w:tc>
        <w:tc>
          <w:tcPr>
            <w:tcW w:w="1702" w:type="dxa"/>
            <w:tcBorders>
              <w:top w:val="single" w:sz="4" w:space="0" w:color="E02628"/>
              <w:left w:val="nil"/>
              <w:bottom w:val="single" w:sz="4" w:space="0" w:color="E02628"/>
              <w:right w:val="nil"/>
            </w:tcBorders>
            <w:shd w:val="clear" w:color="auto" w:fill="E02628"/>
            <w:noWrap/>
          </w:tcPr>
          <w:p w14:paraId="58A703D0" w14:textId="77777777" w:rsidR="00CF3257" w:rsidRPr="00CF3257" w:rsidRDefault="00CF3257" w:rsidP="00CF3257">
            <w:pPr>
              <w:pStyle w:val="TableTextSmall"/>
              <w:jc w:val="center"/>
              <w:rPr>
                <w:color w:val="FFFFFF" w:themeColor="background1"/>
              </w:rPr>
            </w:pPr>
            <w:r w:rsidRPr="00CF3257">
              <w:rPr>
                <w:color w:val="FFFFFF" w:themeColor="background1"/>
              </w:rPr>
              <w:t>42%</w:t>
            </w:r>
          </w:p>
        </w:tc>
        <w:tc>
          <w:tcPr>
            <w:tcW w:w="1703" w:type="dxa"/>
            <w:tcBorders>
              <w:top w:val="single" w:sz="4" w:space="0" w:color="E02628"/>
              <w:left w:val="nil"/>
              <w:bottom w:val="single" w:sz="4" w:space="0" w:color="E02628"/>
              <w:right w:val="nil"/>
            </w:tcBorders>
            <w:shd w:val="clear" w:color="auto" w:fill="E02628"/>
            <w:noWrap/>
          </w:tcPr>
          <w:p w14:paraId="1A4A2266" w14:textId="77777777" w:rsidR="00CF3257" w:rsidRPr="00CF3257" w:rsidRDefault="00CF3257" w:rsidP="00CF3257">
            <w:pPr>
              <w:pStyle w:val="TableTextSmall"/>
              <w:jc w:val="center"/>
              <w:rPr>
                <w:color w:val="FFFFFF" w:themeColor="background1"/>
              </w:rPr>
            </w:pPr>
            <w:r w:rsidRPr="00CF3257">
              <w:rPr>
                <w:color w:val="FFFFFF" w:themeColor="background1"/>
              </w:rPr>
              <w:t>9%</w:t>
            </w:r>
          </w:p>
        </w:tc>
        <w:tc>
          <w:tcPr>
            <w:tcW w:w="1703" w:type="dxa"/>
            <w:tcBorders>
              <w:top w:val="single" w:sz="4" w:space="0" w:color="E02628"/>
              <w:left w:val="nil"/>
              <w:bottom w:val="single" w:sz="4" w:space="0" w:color="E02628"/>
              <w:right w:val="nil"/>
            </w:tcBorders>
            <w:shd w:val="clear" w:color="auto" w:fill="E02628"/>
            <w:noWrap/>
          </w:tcPr>
          <w:p w14:paraId="291662BF" w14:textId="77777777" w:rsidR="00CF3257" w:rsidRPr="00CF3257" w:rsidRDefault="00CF3257" w:rsidP="00CF3257">
            <w:pPr>
              <w:pStyle w:val="TableTextSmall"/>
              <w:jc w:val="center"/>
              <w:rPr>
                <w:color w:val="FFFFFF" w:themeColor="background1"/>
              </w:rPr>
            </w:pPr>
            <w:r w:rsidRPr="00CF3257">
              <w:rPr>
                <w:color w:val="FFFFFF" w:themeColor="background1"/>
              </w:rPr>
              <w:t>49%</w:t>
            </w:r>
          </w:p>
        </w:tc>
      </w:tr>
    </w:tbl>
    <w:p w14:paraId="389BB180" w14:textId="4571884B" w:rsidR="00B54D40" w:rsidRPr="0062685D" w:rsidRDefault="00B54D40" w:rsidP="00FD655D">
      <w:pPr>
        <w:pStyle w:val="Sources"/>
        <w:keepNext/>
      </w:pPr>
      <w:r w:rsidRPr="00EC326F">
        <w:t xml:space="preserve">Note: </w:t>
      </w:r>
      <w:r>
        <w:t>Exited 4+ years refers to previous welfare recipients who have exited in the past 4-15 years</w:t>
      </w:r>
    </w:p>
    <w:p w14:paraId="048E51D6" w14:textId="77777777" w:rsidR="00B71296" w:rsidRPr="00B43465" w:rsidRDefault="00B43465" w:rsidP="00B71296">
      <w:pPr>
        <w:pStyle w:val="PwCNormal"/>
        <w:numPr>
          <w:ilvl w:val="0"/>
          <w:numId w:val="0"/>
        </w:numPr>
      </w:pPr>
      <w:r w:rsidRPr="00B43465">
        <w:t>As can be seen current income support recipients are expected to spend a far greater proportion of their future lifetimes receiving income support and this is especially so for recipients of Carer payment, Disability support pension and, unsurprisingly, the age pension.</w:t>
      </w:r>
    </w:p>
    <w:p w14:paraId="62E63D4E" w14:textId="77777777" w:rsidR="00B43465" w:rsidRPr="00B43465" w:rsidRDefault="00B43465" w:rsidP="00B71296">
      <w:pPr>
        <w:pStyle w:val="PwCNormal"/>
        <w:numPr>
          <w:ilvl w:val="0"/>
          <w:numId w:val="0"/>
        </w:numPr>
      </w:pPr>
      <w:r w:rsidRPr="00B43465">
        <w:lastRenderedPageBreak/>
        <w:t>The expected future durations on income support for Students and people in the non income support classes are broadly similar and lower than for other income support recipients, but somewhat higher than those for people who have not received any welfare payments over the time period for which we have data.</w:t>
      </w:r>
    </w:p>
    <w:p w14:paraId="35CACCE0" w14:textId="77777777" w:rsidR="00B71296" w:rsidRPr="00EC326F" w:rsidRDefault="00B71296" w:rsidP="00B71296">
      <w:pPr>
        <w:pStyle w:val="Heading2ExecutiveSummary"/>
      </w:pPr>
      <w:r w:rsidRPr="00EC326F">
        <w:t>Changes in overall lifetime cost</w:t>
      </w:r>
    </w:p>
    <w:p w14:paraId="40228AA9" w14:textId="5743DDA4" w:rsidR="00B71296" w:rsidRPr="00EC326F" w:rsidRDefault="00B71296" w:rsidP="00B71296">
      <w:pPr>
        <w:pStyle w:val="PwCNormal"/>
        <w:numPr>
          <w:ilvl w:val="0"/>
          <w:numId w:val="0"/>
        </w:numPr>
      </w:pPr>
      <w:r w:rsidRPr="00EC326F">
        <w:t xml:space="preserve">The assessment of total lifetime cost has reduced from </w:t>
      </w:r>
      <w:r w:rsidRPr="00EC326F">
        <w:rPr>
          <w:b/>
        </w:rPr>
        <w:t>$4,764 billion</w:t>
      </w:r>
      <w:r w:rsidRPr="00EC326F">
        <w:t xml:space="preserve"> at 30 June 2015 to </w:t>
      </w:r>
      <w:r w:rsidRPr="00EC326F">
        <w:rPr>
          <w:b/>
        </w:rPr>
        <w:t>$4,51</w:t>
      </w:r>
      <w:r w:rsidR="00960BC8">
        <w:rPr>
          <w:b/>
        </w:rPr>
        <w:t>4</w:t>
      </w:r>
      <w:r w:rsidRPr="00EC326F">
        <w:rPr>
          <w:b/>
        </w:rPr>
        <w:t xml:space="preserve"> billion</w:t>
      </w:r>
      <w:r w:rsidRPr="00EC326F">
        <w:t xml:space="preserve"> at 30 June 2016. This is a reduction of </w:t>
      </w:r>
      <w:r w:rsidRPr="00EC326F">
        <w:rPr>
          <w:b/>
        </w:rPr>
        <w:t>$25</w:t>
      </w:r>
      <w:r w:rsidR="00960BC8">
        <w:rPr>
          <w:b/>
        </w:rPr>
        <w:t>0</w:t>
      </w:r>
      <w:r w:rsidRPr="00EC326F">
        <w:rPr>
          <w:b/>
        </w:rPr>
        <w:t xml:space="preserve"> billion</w:t>
      </w:r>
      <w:r w:rsidRPr="00EC326F">
        <w:t xml:space="preserve"> reflecting that the changes arising in our updated assessment have more than offset the effects of the increase in the population and inflation.</w:t>
      </w:r>
    </w:p>
    <w:p w14:paraId="082E54B5" w14:textId="77777777" w:rsidR="00B71296" w:rsidRPr="00EC326F" w:rsidRDefault="00B71296" w:rsidP="00B71296">
      <w:pPr>
        <w:pStyle w:val="PwCNormal"/>
        <w:numPr>
          <w:ilvl w:val="0"/>
          <w:numId w:val="0"/>
        </w:numPr>
      </w:pPr>
      <w:r w:rsidRPr="00EC326F">
        <w:t>The following chart illustrates how we expect</w:t>
      </w:r>
      <w:r w:rsidR="00B43465">
        <w:t>ed</w:t>
      </w:r>
      <w:r w:rsidRPr="00EC326F">
        <w:t xml:space="preserve"> the lifetime cost result to develop based on the assumptions used in the baseline valuation and the reasons for the difference between this forecast and our updated lifetime cost assessment.</w:t>
      </w:r>
    </w:p>
    <w:p w14:paraId="74745906" w14:textId="77777777" w:rsidR="00B71296" w:rsidRPr="002A0A1A" w:rsidRDefault="00B71296" w:rsidP="00B71296">
      <w:pPr>
        <w:pStyle w:val="Caption"/>
      </w:pPr>
      <w:bookmarkStart w:id="4" w:name="_Ref466495700"/>
      <w:r w:rsidRPr="00EC326F">
        <w:t xml:space="preserve">Figure </w:t>
      </w:r>
      <w:fldSimple w:instr=" SEQ Figure \* ARABIC ">
        <w:r w:rsidR="007A42DF">
          <w:rPr>
            <w:noProof/>
          </w:rPr>
          <w:t>3</w:t>
        </w:r>
      </w:fldSimple>
      <w:bookmarkEnd w:id="4"/>
      <w:r w:rsidRPr="00EC326F">
        <w:t>: Explanation of change in lifetime cost</w:t>
      </w:r>
    </w:p>
    <w:p w14:paraId="3C3286B9" w14:textId="284CCD73" w:rsidR="00B71296" w:rsidRPr="00EC326F" w:rsidRDefault="00064170" w:rsidP="00540647">
      <w:pPr>
        <w:pStyle w:val="Bullet1"/>
        <w:numPr>
          <w:ilvl w:val="0"/>
          <w:numId w:val="0"/>
        </w:numPr>
        <w:tabs>
          <w:tab w:val="left" w:pos="720"/>
        </w:tabs>
      </w:pPr>
      <w:r w:rsidRPr="00064170">
        <w:rPr>
          <w:noProof/>
          <w:lang w:eastAsia="en-AU"/>
        </w:rPr>
        <w:drawing>
          <wp:inline distT="0" distB="0" distL="0" distR="0" wp14:anchorId="49817B41" wp14:editId="04DB18D7">
            <wp:extent cx="6264000" cy="2739600"/>
            <wp:effectExtent l="0" t="0" r="3810" b="3810"/>
            <wp:docPr id="304" name="Picture 304" descr="This figure is a column chart. The chart depicts the total change in lifetime cost between the June 2015 and June 2016 valuation by splitting the total change into contributing components. The vertical axis shows total lifetime cost, ranging from $0 to $6 billion. &#10;&#10;The horizontal axis is split into three sections. The first section shows the components contributing to the movement between the Lifetime cost at June 2015 and the Initial forecast. This section consists of the following columns: Lifetime Cost as at June 2015 ($4,764bn), impact of the expected payments during 2015/16 (-$124bn), impact of the adjustment for discounting (+286bn), and Initial forecast ($4,926bn, which is the sum of the earlier columns in this section). The second section shows the components contributing to the movement between the Initial forecast and the Updated forecast. This section consists of the following columns: Initial forecast ($4,926bn), impact of births during 2015/16 (+47bn), impact of net migration during 2015/16 (+$26bn), impact of actual indexation compared to expected indexation (-$135bn), and Updated forecast ($4,864bn, which is the sum of the earlier columns in this section). The third section shows the components contributing to the movement between the Updated forecast and the Lifetime cost at June 2016. This section consists of the following columns: Updated forecast ($4,864bn), impact of method refinements (-$39bn), impact of updated numbers of people in each class (-$19bn), impact of updated class and demographic assumptions (-$157bn), impact of updated utilisation and payment assumptions (+$34bn), impact of policy changes during year (-$28bn), impact of economic module (-$142bn), and Lifetime cost as at June 2016 ($4,514bn, which is the sum of the earlier columns in this section).&#10;&#10;Further details about these sections are discussed in the accompanying text within the report." title=" Explanation of change in lifetime cos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4000" cy="2739600"/>
                    </a:xfrm>
                    <a:prstGeom prst="rect">
                      <a:avLst/>
                    </a:prstGeom>
                    <a:noFill/>
                    <a:ln>
                      <a:noFill/>
                    </a:ln>
                  </pic:spPr>
                </pic:pic>
              </a:graphicData>
            </a:graphic>
          </wp:inline>
        </w:drawing>
      </w:r>
      <w:r w:rsidR="00B71296" w:rsidRPr="00EC326F">
        <w:t>The figure shows these movements in three stages which are discussed in turn below.</w:t>
      </w:r>
    </w:p>
    <w:p w14:paraId="79674C5B" w14:textId="77777777" w:rsidR="00B71296" w:rsidRPr="00EC326F" w:rsidRDefault="00B71296" w:rsidP="00B71296">
      <w:pPr>
        <w:pStyle w:val="Minorheading"/>
      </w:pPr>
      <w:r w:rsidRPr="00EC326F">
        <w:t>Initial forecast</w:t>
      </w:r>
    </w:p>
    <w:p w14:paraId="0AE94782" w14:textId="37E350C0" w:rsidR="00B71296" w:rsidRPr="00EC326F" w:rsidRDefault="00B71296" w:rsidP="00B71296">
      <w:pPr>
        <w:pStyle w:val="Bullet1"/>
        <w:numPr>
          <w:ilvl w:val="0"/>
          <w:numId w:val="0"/>
        </w:numPr>
        <w:tabs>
          <w:tab w:val="left" w:pos="720"/>
        </w:tabs>
      </w:pPr>
      <w:r w:rsidRPr="00EC326F">
        <w:t>As part of the work undertaken for the baseline valuation we provided a partial forecast of the expected</w:t>
      </w:r>
      <w:r w:rsidR="00FB0893">
        <w:t xml:space="preserve"> future</w:t>
      </w:r>
      <w:r w:rsidRPr="00EC326F">
        <w:t xml:space="preserve"> lifetime cost at the 2016 valuation of </w:t>
      </w:r>
      <w:r w:rsidRPr="00EC326F">
        <w:rPr>
          <w:b/>
        </w:rPr>
        <w:t>$4,926bn</w:t>
      </w:r>
      <w:r w:rsidRPr="00EC326F">
        <w:t>. This forecast provide</w:t>
      </w:r>
      <w:r w:rsidR="00145BAE">
        <w:t>d</w:t>
      </w:r>
      <w:r w:rsidRPr="00EC326F">
        <w:t xml:space="preserve"> information about what the result would be if the actual experience over the last 12 months was exactly in line with all the assumptions made for the baseline valuation and there </w:t>
      </w:r>
      <w:r w:rsidR="00145BAE">
        <w:t>were</w:t>
      </w:r>
      <w:r w:rsidRPr="00EC326F">
        <w:t xml:space="preserve"> no changes to the valuation assumptions. </w:t>
      </w:r>
    </w:p>
    <w:p w14:paraId="3268F0DD" w14:textId="77777777" w:rsidR="00B71296" w:rsidRPr="00EC326F" w:rsidRDefault="00B71296" w:rsidP="00B71296">
      <w:pPr>
        <w:pStyle w:val="Bullet1"/>
        <w:numPr>
          <w:ilvl w:val="0"/>
          <w:numId w:val="0"/>
        </w:numPr>
        <w:tabs>
          <w:tab w:val="left" w:pos="720"/>
        </w:tabs>
      </w:pPr>
      <w:r w:rsidRPr="00EC326F">
        <w:t>The initial forecast was partial in that it only included information for the individuals who were part of the 2015 valuation population and expected to also be part of the 2016 valuation population. A complete forecast would need to include the full 2016 population, adding records for newborn children and those migrating into the country and removing records for those emigrating.</w:t>
      </w:r>
    </w:p>
    <w:p w14:paraId="7EED0F52" w14:textId="77777777" w:rsidR="00B71296" w:rsidRPr="00EC326F" w:rsidRDefault="00B71296" w:rsidP="00B71296">
      <w:pPr>
        <w:pStyle w:val="Minorheading"/>
      </w:pPr>
      <w:r w:rsidRPr="00EC326F">
        <w:t>Updated forecast</w:t>
      </w:r>
    </w:p>
    <w:p w14:paraId="6771B01A" w14:textId="77777777" w:rsidR="00B71296" w:rsidRPr="00EC326F" w:rsidRDefault="00B71296" w:rsidP="00B71296">
      <w:pPr>
        <w:pStyle w:val="Bullet1"/>
        <w:numPr>
          <w:ilvl w:val="0"/>
          <w:numId w:val="0"/>
        </w:numPr>
        <w:tabs>
          <w:tab w:val="left" w:pos="720"/>
        </w:tabs>
      </w:pPr>
      <w:r w:rsidRPr="00EC326F">
        <w:t>As the first step of understanding the change in the lifetime cost result we have updated the initial forecast to take into account information on births during the 2015-16 year</w:t>
      </w:r>
      <w:r w:rsidR="00B43465">
        <w:t>,</w:t>
      </w:r>
      <w:r w:rsidRPr="00EC326F">
        <w:t xml:space="preserve"> the changes in population at other ages based on the net migration and the effect of indexation of payments being lower than expected over the year and a downwards revision of future indexation.</w:t>
      </w:r>
    </w:p>
    <w:p w14:paraId="0F7DC444" w14:textId="77777777" w:rsidR="00E04083" w:rsidRDefault="00B71296" w:rsidP="00B71296">
      <w:pPr>
        <w:pStyle w:val="Bullet1"/>
        <w:numPr>
          <w:ilvl w:val="0"/>
          <w:numId w:val="0"/>
        </w:numPr>
        <w:tabs>
          <w:tab w:val="left" w:pos="720"/>
        </w:tabs>
      </w:pPr>
      <w:r w:rsidRPr="00EC326F">
        <w:t xml:space="preserve">The impact of births and net migration are to increase the lifetime cost by $47bn and $26bn respectively. </w:t>
      </w:r>
    </w:p>
    <w:p w14:paraId="66DF30FA" w14:textId="77777777" w:rsidR="00B71296" w:rsidRPr="00EC326F" w:rsidRDefault="00B71296" w:rsidP="00B71296">
      <w:pPr>
        <w:pStyle w:val="Bullet1"/>
        <w:numPr>
          <w:ilvl w:val="0"/>
          <w:numId w:val="0"/>
        </w:numPr>
        <w:tabs>
          <w:tab w:val="left" w:pos="720"/>
        </w:tabs>
      </w:pPr>
      <w:r w:rsidRPr="00EC326F">
        <w:t xml:space="preserve">The actual indexation over the year has been lower than expected and so allowance for this has acted to reduce the lifetime cost by around $135bn. This results in an updated forecast of </w:t>
      </w:r>
      <w:r w:rsidRPr="00EC326F">
        <w:rPr>
          <w:b/>
        </w:rPr>
        <w:t>$4,864bn</w:t>
      </w:r>
      <w:r w:rsidRPr="00EC326F">
        <w:t xml:space="preserve"> which provides a benchmark to which the 2016 valuation result can be compared.</w:t>
      </w:r>
    </w:p>
    <w:p w14:paraId="1B66E394" w14:textId="77777777" w:rsidR="00B71296" w:rsidRPr="00EC326F" w:rsidRDefault="00B71296" w:rsidP="00B71296">
      <w:pPr>
        <w:pStyle w:val="Minorheading"/>
      </w:pPr>
      <w:r w:rsidRPr="00EC326F">
        <w:lastRenderedPageBreak/>
        <w:t xml:space="preserve">Further changes </w:t>
      </w:r>
      <w:r w:rsidR="00CE2965" w:rsidRPr="00EC326F">
        <w:t xml:space="preserve">in the assessment of the </w:t>
      </w:r>
      <w:r w:rsidRPr="00EC326F">
        <w:t>June 2016 lifetime cost</w:t>
      </w:r>
    </w:p>
    <w:p w14:paraId="553568CD" w14:textId="25728BB2" w:rsidR="00B71296" w:rsidRPr="00EC326F" w:rsidRDefault="00B71296" w:rsidP="00B71296">
      <w:pPr>
        <w:pStyle w:val="Bullet1"/>
        <w:numPr>
          <w:ilvl w:val="0"/>
          <w:numId w:val="0"/>
        </w:numPr>
        <w:tabs>
          <w:tab w:val="left" w:pos="720"/>
        </w:tabs>
      </w:pPr>
      <w:r w:rsidRPr="00EC326F">
        <w:t xml:space="preserve">The 2016 lifetime cost of </w:t>
      </w:r>
      <w:r w:rsidRPr="00EC326F">
        <w:rPr>
          <w:b/>
        </w:rPr>
        <w:t>$4,51</w:t>
      </w:r>
      <w:r w:rsidR="00960BC8">
        <w:rPr>
          <w:b/>
        </w:rPr>
        <w:t>4</w:t>
      </w:r>
      <w:r w:rsidRPr="00EC326F">
        <w:rPr>
          <w:b/>
        </w:rPr>
        <w:t>bn</w:t>
      </w:r>
      <w:r w:rsidRPr="00EC326F">
        <w:t xml:space="preserve"> is a reduction of </w:t>
      </w:r>
      <w:r w:rsidRPr="00EC326F">
        <w:rPr>
          <w:b/>
        </w:rPr>
        <w:t>$350bn</w:t>
      </w:r>
      <w:r w:rsidRPr="00EC326F">
        <w:t xml:space="preserve"> from the updated forecast. This reduction arises as a result of a combination of changes which influence the valuation result. They include:</w:t>
      </w:r>
    </w:p>
    <w:p w14:paraId="7D02579C" w14:textId="77777777" w:rsidR="00B71296" w:rsidRPr="00EC326F" w:rsidRDefault="00B71296" w:rsidP="00B71296">
      <w:pPr>
        <w:pStyle w:val="ListBullet"/>
      </w:pPr>
      <w:r w:rsidRPr="00EC326F">
        <w:t>Differences between the actual and expected experience over the 2015-16 year</w:t>
      </w:r>
      <w:r w:rsidR="00B85D1D">
        <w:t>. This influences the number of people in each class at 30 June 2016.</w:t>
      </w:r>
    </w:p>
    <w:p w14:paraId="5DE80563" w14:textId="77777777" w:rsidR="00B71296" w:rsidRPr="00EC326F" w:rsidRDefault="00B71296" w:rsidP="00B71296">
      <w:pPr>
        <w:pStyle w:val="ListBullet"/>
      </w:pPr>
      <w:r w:rsidRPr="00EC326F">
        <w:t>Revisions to the valuation model assumptions which reflect:</w:t>
      </w:r>
    </w:p>
    <w:p w14:paraId="2923A1C6" w14:textId="77777777" w:rsidR="00B71296" w:rsidRPr="00EC326F" w:rsidRDefault="00B71296" w:rsidP="00B71296">
      <w:pPr>
        <w:pStyle w:val="ListBullet2"/>
      </w:pPr>
      <w:r w:rsidRPr="00EC326F">
        <w:t xml:space="preserve">Updated information on the actual experience, such as changes to the expected rates of movement between two classes or changes to the average amount of payments being received when people are in a particular class. </w:t>
      </w:r>
    </w:p>
    <w:p w14:paraId="5701F79A" w14:textId="77777777" w:rsidR="00B71296" w:rsidRPr="00EC326F" w:rsidRDefault="00B71296" w:rsidP="00B71296">
      <w:pPr>
        <w:pStyle w:val="ListBullet2"/>
      </w:pPr>
      <w:r w:rsidRPr="00EC326F">
        <w:t>Updated information on external drivers of welfare utilisation, such as future unemployment rates</w:t>
      </w:r>
    </w:p>
    <w:p w14:paraId="0184C483" w14:textId="77777777" w:rsidR="00B71296" w:rsidRPr="00EC326F" w:rsidRDefault="00B71296" w:rsidP="00B71296">
      <w:pPr>
        <w:pStyle w:val="ListBullet2"/>
      </w:pPr>
      <w:r w:rsidRPr="00EC326F">
        <w:t>Changes to the policy settings</w:t>
      </w:r>
    </w:p>
    <w:p w14:paraId="5D7388D7" w14:textId="77777777" w:rsidR="00B71296" w:rsidRPr="00EC326F" w:rsidRDefault="00B71296" w:rsidP="00B71296">
      <w:pPr>
        <w:pStyle w:val="ListBullet"/>
      </w:pPr>
      <w:r w:rsidRPr="00EC326F">
        <w:t>Changes to the valuation model which are independent of the underlying experience and reflect the methodology improvements implemented at this valuation.</w:t>
      </w:r>
    </w:p>
    <w:p w14:paraId="3455833D" w14:textId="23DA31AA" w:rsidR="00B71296" w:rsidRPr="00EC326F" w:rsidRDefault="003335E9" w:rsidP="00B71296">
      <w:pPr>
        <w:pStyle w:val="Bullet1"/>
        <w:numPr>
          <w:ilvl w:val="0"/>
          <w:numId w:val="0"/>
        </w:numPr>
        <w:tabs>
          <w:tab w:val="left" w:pos="720"/>
        </w:tabs>
      </w:pPr>
      <w:r>
        <w:rPr>
          <w:highlight w:val="yellow"/>
        </w:rPr>
        <w:fldChar w:fldCharType="begin"/>
      </w:r>
      <w:r>
        <w:rPr>
          <w:highlight w:val="yellow"/>
        </w:rPr>
        <w:instrText xml:space="preserve"> REF _Ref466495700 \h </w:instrText>
      </w:r>
      <w:r>
        <w:rPr>
          <w:highlight w:val="yellow"/>
        </w:rPr>
      </w:r>
      <w:r>
        <w:rPr>
          <w:highlight w:val="yellow"/>
        </w:rPr>
        <w:fldChar w:fldCharType="separate"/>
      </w:r>
      <w:r w:rsidR="007A42DF" w:rsidRPr="00EC326F">
        <w:t xml:space="preserve">Figure </w:t>
      </w:r>
      <w:r w:rsidR="007A42DF">
        <w:rPr>
          <w:noProof/>
        </w:rPr>
        <w:t>3</w:t>
      </w:r>
      <w:r>
        <w:rPr>
          <w:highlight w:val="yellow"/>
        </w:rPr>
        <w:fldChar w:fldCharType="end"/>
      </w:r>
      <w:r w:rsidR="00B71296" w:rsidRPr="00EC326F">
        <w:t xml:space="preserve"> </w:t>
      </w:r>
      <w:r w:rsidR="008561D0">
        <w:t>illustrated</w:t>
      </w:r>
      <w:r w:rsidR="00B71296" w:rsidRPr="00EC326F">
        <w:t xml:space="preserve"> how these factors have influenced the result and furthe</w:t>
      </w:r>
      <w:r w:rsidR="00CE2965" w:rsidRPr="00EC326F">
        <w:t>r explanation is provided below.</w:t>
      </w:r>
    </w:p>
    <w:p w14:paraId="4F988603" w14:textId="77777777" w:rsidR="00881F47" w:rsidRPr="00EC326F" w:rsidRDefault="00881F47" w:rsidP="00881F47">
      <w:pPr>
        <w:pStyle w:val="ListBullet"/>
      </w:pPr>
      <w:r w:rsidRPr="00EC326F">
        <w:rPr>
          <w:b/>
        </w:rPr>
        <w:t>Method refinements:</w:t>
      </w:r>
      <w:r w:rsidRPr="00EC326F">
        <w:t xml:space="preserve"> At this second valuation of the welfare system we have implemented a number of changes to </w:t>
      </w:r>
      <w:r w:rsidR="00E04083">
        <w:t>refine</w:t>
      </w:r>
      <w:r w:rsidRPr="00EC326F">
        <w:t xml:space="preserve"> the valuation model. These include</w:t>
      </w:r>
      <w:r w:rsidR="008561D0">
        <w:t xml:space="preserve"> </w:t>
      </w:r>
      <w:r w:rsidR="008561D0" w:rsidRPr="00EC326F">
        <w:t xml:space="preserve">the changes </w:t>
      </w:r>
      <w:r w:rsidR="008561D0">
        <w:t>to the payment category definitions,</w:t>
      </w:r>
      <w:r w:rsidRPr="00EC326F">
        <w:t xml:space="preserve"> the </w:t>
      </w:r>
      <w:r w:rsidR="00E04083">
        <w:t>enhancements</w:t>
      </w:r>
      <w:r w:rsidRPr="00EC326F">
        <w:t xml:space="preserve"> to add class characteristic variables into the model and refined approaches to developing many of the underlying model assumptions. The overall effect of these changes is a lifetime cost reduction of </w:t>
      </w:r>
      <w:r w:rsidRPr="00EC326F">
        <w:rPr>
          <w:b/>
        </w:rPr>
        <w:t>$</w:t>
      </w:r>
      <w:r w:rsidR="008561D0">
        <w:rPr>
          <w:b/>
        </w:rPr>
        <w:t>39</w:t>
      </w:r>
      <w:r w:rsidRPr="00EC326F">
        <w:rPr>
          <w:b/>
        </w:rPr>
        <w:t>bn</w:t>
      </w:r>
      <w:r w:rsidRPr="00EC326F">
        <w:t>.</w:t>
      </w:r>
    </w:p>
    <w:p w14:paraId="295A0C8A" w14:textId="77777777" w:rsidR="00881F47" w:rsidRPr="00EC326F" w:rsidRDefault="00881F47" w:rsidP="00881F47">
      <w:pPr>
        <w:pStyle w:val="ListBullet"/>
      </w:pPr>
      <w:r w:rsidRPr="00EC326F">
        <w:rPr>
          <w:b/>
        </w:rPr>
        <w:t>Updated number and profile of people in each class (compared to the expected position):</w:t>
      </w:r>
      <w:r w:rsidRPr="00EC326F">
        <w:t xml:space="preserve"> This allows for the number and profile of people in each class differing from what was expected based on the June 2015 valuation. In particular there were slightly </w:t>
      </w:r>
      <w:r w:rsidR="008561D0">
        <w:t>fewer</w:t>
      </w:r>
      <w:r w:rsidRPr="00EC326F">
        <w:t xml:space="preserve"> people than expected in some of the </w:t>
      </w:r>
      <w:r w:rsidR="008561D0">
        <w:t>i</w:t>
      </w:r>
      <w:r w:rsidRPr="00EC326F">
        <w:t xml:space="preserve">ncome </w:t>
      </w:r>
      <w:r w:rsidR="008561D0">
        <w:t>s</w:t>
      </w:r>
      <w:r w:rsidRPr="00EC326F">
        <w:t xml:space="preserve">upport classes. This experience resulted in a decrease in the lifetime cost of around </w:t>
      </w:r>
      <w:r w:rsidRPr="00EC326F">
        <w:rPr>
          <w:b/>
        </w:rPr>
        <w:t>$19bn</w:t>
      </w:r>
      <w:r w:rsidRPr="00EC326F">
        <w:t>.</w:t>
      </w:r>
    </w:p>
    <w:p w14:paraId="7E9FCFBD" w14:textId="77777777" w:rsidR="00881F47" w:rsidRPr="00EC326F" w:rsidRDefault="00020F39" w:rsidP="00881F47">
      <w:pPr>
        <w:pStyle w:val="ListBullet"/>
      </w:pPr>
      <w:r w:rsidRPr="00EC326F">
        <w:rPr>
          <w:b/>
        </w:rPr>
        <w:t>Updates to class and demographic assumptions ($157bn decrease):</w:t>
      </w:r>
      <w:r w:rsidRPr="00EC326F">
        <w:t xml:space="preserve"> </w:t>
      </w:r>
      <w:r w:rsidR="00881F47" w:rsidRPr="00EC326F">
        <w:t xml:space="preserve">This component of the change reflects the updates made to the partnering, children and educational attainment assumptions and those made to the class movement assumptions. These updates reflect the latest experience captured in the administrative data and also reflect the explicit consideration of the impact of the new modelling variables on the class movements. </w:t>
      </w:r>
    </w:p>
    <w:p w14:paraId="53F17C0C" w14:textId="77777777" w:rsidR="00881F47" w:rsidRDefault="00881F47" w:rsidP="00881F47">
      <w:pPr>
        <w:pStyle w:val="ListBullet"/>
        <w:numPr>
          <w:ilvl w:val="0"/>
          <w:numId w:val="0"/>
        </w:numPr>
        <w:ind w:left="284"/>
      </w:pPr>
      <w:r w:rsidRPr="00EC326F">
        <w:t xml:space="preserve">The impacts of the demographic and class movement assumption sets are closely inter-related owing to the iterative nature of the model, with changes in person characteristics influencing class movements which in turn influence expectations of the class movements the following year. </w:t>
      </w:r>
      <w:r w:rsidR="00CE2965" w:rsidRPr="00EC326F">
        <w:t>The</w:t>
      </w:r>
      <w:r w:rsidRPr="00EC326F">
        <w:t xml:space="preserve"> main factors underlying the changes from these assumptions </w:t>
      </w:r>
      <w:r w:rsidR="00CE2965" w:rsidRPr="00EC326F">
        <w:t>are</w:t>
      </w:r>
      <w:r w:rsidRPr="00EC326F">
        <w:t>:</w:t>
      </w:r>
    </w:p>
    <w:p w14:paraId="7230B1E5" w14:textId="77777777" w:rsidR="008561D0" w:rsidRPr="00EC326F" w:rsidRDefault="008561D0" w:rsidP="008561D0">
      <w:pPr>
        <w:pStyle w:val="ListBullet2"/>
      </w:pPr>
      <w:r w:rsidRPr="00EC326F">
        <w:t>Around a $40bn decrease from updating the demographic assumptions to reflect more recent experience. This included a decrease in the projected proportion of women with children, resulting in decreased projected numbers of people in Class 3 Parents and Class 7 Non IS Family.</w:t>
      </w:r>
    </w:p>
    <w:p w14:paraId="5125A0B7" w14:textId="69C64E52" w:rsidR="008561D0" w:rsidRPr="00EC326F" w:rsidRDefault="008561D0" w:rsidP="008561D0">
      <w:pPr>
        <w:pStyle w:val="ListBullet2"/>
      </w:pPr>
      <w:r w:rsidRPr="00EC326F">
        <w:t xml:space="preserve">Around a $70bn decrease from changes to entry rates of which the most significant change was a reduction in the assumed entry rate into Class </w:t>
      </w:r>
      <w:r w:rsidR="00FF7EC9">
        <w:t>‘</w:t>
      </w:r>
      <w:r w:rsidRPr="00EC326F">
        <w:t>2 Working Age</w:t>
      </w:r>
      <w:r w:rsidR="00FF7EC9">
        <w:t>’</w:t>
      </w:r>
      <w:r w:rsidRPr="00EC326F">
        <w:t>.</w:t>
      </w:r>
    </w:p>
    <w:p w14:paraId="2B937681" w14:textId="77777777" w:rsidR="008561D0" w:rsidRPr="00EC326F" w:rsidRDefault="008561D0" w:rsidP="008561D0">
      <w:pPr>
        <w:pStyle w:val="ListBullet2"/>
      </w:pPr>
      <w:r w:rsidRPr="00EC326F">
        <w:t xml:space="preserve">Other changes in the assumptions </w:t>
      </w:r>
      <w:r>
        <w:t xml:space="preserve">for </w:t>
      </w:r>
      <w:r w:rsidRPr="00EC326F">
        <w:t xml:space="preserve">movements from the active classes, including a decrease in the assumptions for the number of </w:t>
      </w:r>
      <w:r>
        <w:t xml:space="preserve">subsequent </w:t>
      </w:r>
      <w:r w:rsidRPr="00EC326F">
        <w:t xml:space="preserve">transitions into Class 4 Carers, Class 5 Disability Support and Class 8 Non IS Carer (around </w:t>
      </w:r>
      <w:r w:rsidR="00CD3E41">
        <w:t xml:space="preserve">a </w:t>
      </w:r>
      <w:r w:rsidRPr="00EC326F">
        <w:t>$40bn decrease).</w:t>
      </w:r>
    </w:p>
    <w:p w14:paraId="53360D87" w14:textId="77777777" w:rsidR="00CE2965" w:rsidRPr="00EC326F" w:rsidRDefault="00881F47" w:rsidP="00881F47">
      <w:pPr>
        <w:pStyle w:val="ListBullet"/>
        <w:numPr>
          <w:ilvl w:val="0"/>
          <w:numId w:val="0"/>
        </w:numPr>
        <w:tabs>
          <w:tab w:val="left" w:pos="720"/>
        </w:tabs>
        <w:ind w:left="284"/>
      </w:pPr>
      <w:r w:rsidRPr="00EC326F">
        <w:t>The changes to the underlying assumptions are reflective of recent experience.</w:t>
      </w:r>
    </w:p>
    <w:p w14:paraId="5BB1C5A3" w14:textId="77777777" w:rsidR="00881F47" w:rsidRPr="00EC326F" w:rsidRDefault="00881F47" w:rsidP="00881F47">
      <w:pPr>
        <w:pStyle w:val="ListBullet"/>
      </w:pPr>
      <w:r w:rsidRPr="00EC326F">
        <w:rPr>
          <w:b/>
        </w:rPr>
        <w:t>Updates to utilisation and payment assumptions:</w:t>
      </w:r>
      <w:r w:rsidRPr="00EC326F">
        <w:t xml:space="preserve"> Based on recent experience, there has been an increase in average payment sizes outside of changes which can be explained by movements in indexation. This may suggest that a higher proportion of welfare recipients have been receiving payments for the full year (rather than for just part of the year). The estimated impact of this i</w:t>
      </w:r>
      <w:r w:rsidR="00CD3E41">
        <w:t>s</w:t>
      </w:r>
      <w:r w:rsidRPr="00EC326F">
        <w:t xml:space="preserve"> an increase in the lifetime cost of </w:t>
      </w:r>
      <w:r w:rsidRPr="00EC326F">
        <w:rPr>
          <w:b/>
        </w:rPr>
        <w:t>$3</w:t>
      </w:r>
      <w:r w:rsidR="008561D0">
        <w:rPr>
          <w:b/>
        </w:rPr>
        <w:t>4</w:t>
      </w:r>
      <w:r w:rsidRPr="00EC326F">
        <w:rPr>
          <w:b/>
        </w:rPr>
        <w:t>bn</w:t>
      </w:r>
      <w:r w:rsidRPr="00EC326F">
        <w:t>.</w:t>
      </w:r>
    </w:p>
    <w:p w14:paraId="4DF7F700" w14:textId="77777777" w:rsidR="00CE2965" w:rsidRPr="00EC326F" w:rsidRDefault="00881F47" w:rsidP="00CE2965">
      <w:pPr>
        <w:pStyle w:val="ListBullet"/>
      </w:pPr>
      <w:r w:rsidRPr="00EC326F">
        <w:rPr>
          <w:b/>
        </w:rPr>
        <w:t>Policy changes:</w:t>
      </w:r>
      <w:r w:rsidRPr="00EC326F">
        <w:t xml:space="preserve"> The reduction of </w:t>
      </w:r>
      <w:r w:rsidRPr="00EC326F">
        <w:rPr>
          <w:b/>
        </w:rPr>
        <w:t>$28bn</w:t>
      </w:r>
      <w:r w:rsidRPr="00EC326F">
        <w:t xml:space="preserve"> reflects the changes in policy settings which have occurred over the past year. The</w:t>
      </w:r>
      <w:r w:rsidR="00CE2965" w:rsidRPr="00EC326F">
        <w:t>se are discussed further in the report.</w:t>
      </w:r>
    </w:p>
    <w:p w14:paraId="3CCB8D59" w14:textId="77777777" w:rsidR="00881F47" w:rsidRPr="00EC326F" w:rsidRDefault="00881F47" w:rsidP="00881F47">
      <w:pPr>
        <w:pStyle w:val="ListBullet"/>
      </w:pPr>
      <w:r w:rsidRPr="00EC326F">
        <w:rPr>
          <w:b/>
        </w:rPr>
        <w:lastRenderedPageBreak/>
        <w:t>Economic module:</w:t>
      </w:r>
      <w:r w:rsidRPr="00EC326F">
        <w:t xml:space="preserve"> the economic module is newly introduced at this valuation. The module itself has minimal impact on the valuation result, however in conjunction with introducing the module we have changed the assumption of the long term unemployment rate from an implicit assumption of being a continuation of recent experience</w:t>
      </w:r>
      <w:r w:rsidR="00145BAE">
        <w:t>, which has been around 6%,</w:t>
      </w:r>
      <w:r w:rsidRPr="00EC326F">
        <w:t xml:space="preserve"> to an explicit assumption of a 5% rate. This suggests entries to the welfare system in future years will be lower than assumed for the baseline valuation and exits will be somewhat higher. The effect of this change is a lifetime cost reduction of </w:t>
      </w:r>
      <w:r w:rsidRPr="00EC326F">
        <w:rPr>
          <w:b/>
        </w:rPr>
        <w:t>$142bn</w:t>
      </w:r>
      <w:r w:rsidR="00CE2965" w:rsidRPr="00EC326F">
        <w:t>.</w:t>
      </w:r>
    </w:p>
    <w:p w14:paraId="67FA5AB5" w14:textId="77777777" w:rsidR="00B71296" w:rsidRPr="00EC326F" w:rsidRDefault="00B71296" w:rsidP="00B71296">
      <w:pPr>
        <w:pStyle w:val="Heading2ExecutiveSummary"/>
      </w:pPr>
      <w:r w:rsidRPr="00EC326F">
        <w:t>Changes in class results</w:t>
      </w:r>
    </w:p>
    <w:p w14:paraId="0A76C79F" w14:textId="092C86CA" w:rsidR="008561D0" w:rsidRDefault="008561D0" w:rsidP="008561D0">
      <w:pPr>
        <w:pStyle w:val="PwCNormal"/>
        <w:numPr>
          <w:ilvl w:val="0"/>
          <w:numId w:val="0"/>
        </w:numPr>
      </w:pPr>
      <w:r>
        <w:t xml:space="preserve">The changes seen do not impact on people in each class in the same way. For instance, the reduction in future entry rates into the </w:t>
      </w:r>
      <w:r w:rsidR="00916C7F">
        <w:t>W</w:t>
      </w:r>
      <w:r>
        <w:t xml:space="preserve">orking </w:t>
      </w:r>
      <w:r w:rsidR="00916C7F">
        <w:t>A</w:t>
      </w:r>
      <w:r>
        <w:t>ge class has a much greater impact on people not currently receiving welfare than on current disability support pension and aged pension recipients.</w:t>
      </w:r>
    </w:p>
    <w:p w14:paraId="09D4C787" w14:textId="77777777" w:rsidR="008561D0" w:rsidRDefault="008561D0" w:rsidP="008561D0">
      <w:pPr>
        <w:pStyle w:val="PwCNormal"/>
        <w:numPr>
          <w:ilvl w:val="0"/>
          <w:numId w:val="0"/>
        </w:numPr>
      </w:pPr>
      <w:r>
        <w:t xml:space="preserve">Furthermore, when new predictive variables are introduced to the model the impact is typically fairly neutral for the full population. However the new variables will result in more differentiation between those who are expected </w:t>
      </w:r>
      <w:r w:rsidR="00CD3E41">
        <w:t xml:space="preserve">to </w:t>
      </w:r>
      <w:r>
        <w:t>have higher persistency in the welfare system and those who are expected to have lower persistency in the welfare system. The addition of the new variables this year has led to improved identification of groups within some of the income support classes who are projected to have higher persistency in the welfare system and this has led to increased lifetime costs for these classes. Conversely the new variables have also resulted in better identification of the groups of the population with lower expected persistency in the welfare system and a reduced lifetime cost for the non-income support and non-welfare recipient classes.</w:t>
      </w:r>
    </w:p>
    <w:p w14:paraId="42F73253" w14:textId="77777777" w:rsidR="00B71296" w:rsidRPr="00EC326F" w:rsidRDefault="00B71296" w:rsidP="00B71296">
      <w:pPr>
        <w:pStyle w:val="PwCNormal"/>
        <w:numPr>
          <w:ilvl w:val="0"/>
          <w:numId w:val="0"/>
        </w:numPr>
      </w:pPr>
      <w:r w:rsidRPr="00EC326F">
        <w:t>The following table provides a summary of the changes in the numbers of people in each class and the changes in average lifetime cost for each class.</w:t>
      </w:r>
    </w:p>
    <w:p w14:paraId="20528168" w14:textId="77777777" w:rsidR="00B71296" w:rsidRPr="002A0A1A" w:rsidRDefault="00B71296" w:rsidP="00B71296">
      <w:pPr>
        <w:pStyle w:val="Caption"/>
      </w:pPr>
      <w:r w:rsidRPr="00EC326F">
        <w:t xml:space="preserve">Table </w:t>
      </w:r>
      <w:fldSimple w:instr=" SEQ Table \* ARABIC ">
        <w:r w:rsidR="007A42DF">
          <w:rPr>
            <w:noProof/>
          </w:rPr>
          <w:t>3</w:t>
        </w:r>
      </w:fldSimple>
      <w:r w:rsidRPr="00EC326F">
        <w:t>: Summary of changes in lifetime cost by class</w:t>
      </w:r>
    </w:p>
    <w:tbl>
      <w:tblPr>
        <w:tblW w:w="9837" w:type="dxa"/>
        <w:tblInd w:w="57" w:type="dxa"/>
        <w:tblLayout w:type="fixed"/>
        <w:tblCellMar>
          <w:left w:w="113" w:type="dxa"/>
          <w:right w:w="113" w:type="dxa"/>
        </w:tblCellMar>
        <w:tblLook w:val="04A0" w:firstRow="1" w:lastRow="0" w:firstColumn="1" w:lastColumn="0" w:noHBand="0" w:noVBand="1"/>
        <w:tblCaption w:val=" Summary of changes in lifetime cost by class&#10;&#10;"/>
        <w:tblDescription w:val="This table displays data for current welfare recipients in several categories, as well as previous welfare recipients and the rest of the Australian resident population. &#10;&#10;The rows of data given for current welfare recipients are: studying payments, working age payments, parenting payments, carer payments, disability support, age pensioners, family (non-income support), carer (non-income support) and other (non-income support), as well as a total for all current welfare recipients. Previous welfare recipients are divided into those that exited within 1 to 3 years, and those who took 4 or more years, as well as a combined total. These are shown as rows in the table.&#10;&#10;For each category, there is data for the following columns; the number of people in the June 2015 population, the June 2015 average lifetime cost, the number of people in the June 2016 population, the June 2016 average lifetime cost, the percentage change in the number in the population and the percentage change in the average lifetime cost between 2015 and 2016 valuations. &#10;&#10;The number of people in each class of the population has remained relatively stable for the vast majority of classes.  For the active classes, the most change was seen for the disability support class; the number of clients dropped from 813,000 in June 2015 to 782,000 in June 2016, a reduction of 3.8%. There was a similar decline in the number of people in the Non IS Other client population. There was a 7% increase in the number of people in the Previous Welfare Recipient class between 2015 and 2016 (3,911,000 in 2015 to 4,187,000 in in 2016).&#10;&#10;Average lifetime cost dropped between 2015 and 2016 valuations for; Studying clients (-15%), working age clients (-3.4%), and the non IS clients (between 3.2% and 12.4%), previous welfare recipients (-10.5%) and the rest of the Australian population (-9.7%). Average lifetime costs rose for the other classes except for age pensioners when it remained stable. &#10;&#10;Further features of the data in this table are discussed in the accompanying text within the report.&#10;"/>
      </w:tblPr>
      <w:tblGrid>
        <w:gridCol w:w="3317"/>
        <w:gridCol w:w="1134"/>
        <w:gridCol w:w="1134"/>
        <w:gridCol w:w="1134"/>
        <w:gridCol w:w="1134"/>
        <w:gridCol w:w="992"/>
        <w:gridCol w:w="992"/>
      </w:tblGrid>
      <w:tr w:rsidR="00B71296" w:rsidRPr="00EC326F" w14:paraId="1F1EEA41" w14:textId="77777777" w:rsidTr="001B51D8">
        <w:trPr>
          <w:trHeight w:val="929"/>
          <w:tblHeader/>
        </w:trPr>
        <w:tc>
          <w:tcPr>
            <w:tcW w:w="3317" w:type="dxa"/>
            <w:tcBorders>
              <w:top w:val="single" w:sz="4" w:space="0" w:color="E02628"/>
              <w:left w:val="nil"/>
              <w:bottom w:val="single" w:sz="4" w:space="0" w:color="FFFFFF" w:themeColor="background1"/>
              <w:right w:val="single" w:sz="4" w:space="0" w:color="FFFFFF"/>
            </w:tcBorders>
            <w:shd w:val="clear" w:color="auto" w:fill="E02628"/>
            <w:hideMark/>
          </w:tcPr>
          <w:p w14:paraId="183B31CC" w14:textId="77777777" w:rsidR="00B71296" w:rsidRPr="00EC326F" w:rsidRDefault="00B71296" w:rsidP="00B71296">
            <w:pPr>
              <w:pStyle w:val="PwCNormal"/>
              <w:numPr>
                <w:ilvl w:val="0"/>
                <w:numId w:val="1"/>
              </w:numPr>
              <w:rPr>
                <w:b/>
                <w:snapToGrid/>
                <w:color w:val="FFFFFF" w:themeColor="background1"/>
                <w:sz w:val="14"/>
                <w:szCs w:val="14"/>
                <w:lang w:eastAsia="en-AU"/>
              </w:rPr>
            </w:pPr>
          </w:p>
          <w:p w14:paraId="31F22FBC" w14:textId="77777777" w:rsidR="00B71296" w:rsidRPr="00EC326F" w:rsidRDefault="00B71296" w:rsidP="00B71296">
            <w:pPr>
              <w:pStyle w:val="PwCNormal"/>
              <w:numPr>
                <w:ilvl w:val="0"/>
                <w:numId w:val="1"/>
              </w:numPr>
              <w:rPr>
                <w:b/>
                <w:snapToGrid/>
                <w:color w:val="FFFFFF" w:themeColor="background1"/>
                <w:sz w:val="14"/>
                <w:szCs w:val="14"/>
                <w:lang w:eastAsia="en-AU"/>
              </w:rPr>
            </w:pPr>
            <w:r w:rsidRPr="00EC326F">
              <w:rPr>
                <w:b/>
                <w:snapToGrid/>
                <w:color w:val="FFFFFF" w:themeColor="background1"/>
                <w:sz w:val="14"/>
                <w:szCs w:val="14"/>
                <w:lang w:eastAsia="en-AU"/>
              </w:rPr>
              <w:t>Population segment</w:t>
            </w:r>
          </w:p>
        </w:tc>
        <w:tc>
          <w:tcPr>
            <w:tcW w:w="1134"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331E03DB"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p>
          <w:p w14:paraId="2186CA1E" w14:textId="77777777" w:rsidR="00B71296" w:rsidRDefault="00B71296" w:rsidP="00B71296">
            <w:pPr>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June 2015 population</w:t>
            </w:r>
          </w:p>
          <w:p w14:paraId="4B04A768" w14:textId="04B0076D" w:rsidR="001B51D8" w:rsidRPr="00EC326F" w:rsidRDefault="001B51D8" w:rsidP="00B71296">
            <w:pPr>
              <w:kinsoku/>
              <w:overflowPunct/>
              <w:autoSpaceDE/>
              <w:autoSpaceDN/>
              <w:adjustRightInd/>
              <w:snapToGrid/>
              <w:jc w:val="center"/>
              <w:rPr>
                <w:rFonts w:cstheme="minorHAnsi"/>
                <w:b/>
                <w:snapToGrid/>
                <w:color w:val="FFFFFF"/>
                <w:sz w:val="14"/>
                <w:szCs w:val="14"/>
                <w:lang w:eastAsia="en-AU"/>
              </w:rPr>
            </w:pPr>
          </w:p>
        </w:tc>
        <w:tc>
          <w:tcPr>
            <w:tcW w:w="1134"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0C9717B4"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p>
          <w:p w14:paraId="1B74FC7B"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June 2015</w:t>
            </w:r>
            <w:r w:rsidRPr="00EC326F">
              <w:rPr>
                <w:rFonts w:cstheme="minorHAnsi"/>
                <w:b/>
                <w:snapToGrid/>
                <w:color w:val="FFFFFF"/>
                <w:sz w:val="14"/>
                <w:szCs w:val="14"/>
                <w:lang w:eastAsia="en-AU"/>
              </w:rPr>
              <w:br/>
              <w:t>Average lifetime cost ($’000)</w:t>
            </w:r>
          </w:p>
        </w:tc>
        <w:tc>
          <w:tcPr>
            <w:tcW w:w="1134"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7206B4FA"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p>
          <w:p w14:paraId="0659C0CD" w14:textId="77777777" w:rsidR="001B51D8" w:rsidRDefault="00B71296" w:rsidP="001B51D8">
            <w:pPr>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June 2016 population</w:t>
            </w:r>
          </w:p>
          <w:p w14:paraId="3C463431" w14:textId="70198AB4" w:rsidR="00B71296" w:rsidRPr="00EC326F" w:rsidRDefault="00B71296" w:rsidP="001B51D8">
            <w:pPr>
              <w:kinsoku/>
              <w:overflowPunct/>
              <w:autoSpaceDE/>
              <w:autoSpaceDN/>
              <w:adjustRightInd/>
              <w:snapToGrid/>
              <w:jc w:val="center"/>
              <w:rPr>
                <w:rFonts w:cstheme="minorHAnsi"/>
                <w:b/>
                <w:snapToGrid/>
                <w:color w:val="FFFFFF"/>
                <w:sz w:val="14"/>
                <w:szCs w:val="14"/>
                <w:lang w:eastAsia="en-AU"/>
              </w:rPr>
            </w:pPr>
          </w:p>
        </w:tc>
        <w:tc>
          <w:tcPr>
            <w:tcW w:w="1134"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6C4D0CB9"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p>
          <w:p w14:paraId="62EDF5A3"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June 2016</w:t>
            </w:r>
            <w:r w:rsidRPr="00EC326F">
              <w:rPr>
                <w:rFonts w:cstheme="minorHAnsi"/>
                <w:b/>
                <w:snapToGrid/>
                <w:color w:val="FFFFFF"/>
                <w:sz w:val="14"/>
                <w:szCs w:val="14"/>
                <w:lang w:eastAsia="en-AU"/>
              </w:rPr>
              <w:br/>
              <w:t>Average lifetime cost ($’000)</w:t>
            </w:r>
          </w:p>
        </w:tc>
        <w:tc>
          <w:tcPr>
            <w:tcW w:w="992"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5DF565B9"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p>
          <w:p w14:paraId="2A4C5F8C"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Change in population (%)</w:t>
            </w:r>
          </w:p>
        </w:tc>
        <w:tc>
          <w:tcPr>
            <w:tcW w:w="992"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4EFA4291"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p>
          <w:p w14:paraId="71D8A42B" w14:textId="77777777" w:rsidR="00B71296" w:rsidRPr="00EC326F" w:rsidRDefault="00B71296" w:rsidP="00B71296">
            <w:pPr>
              <w:kinsoku/>
              <w:overflowPunct/>
              <w:autoSpaceDE/>
              <w:autoSpaceDN/>
              <w:adjustRightInd/>
              <w:snapToGrid/>
              <w:jc w:val="center"/>
              <w:rPr>
                <w:rFonts w:cstheme="minorHAnsi"/>
                <w:b/>
                <w:snapToGrid/>
                <w:color w:val="FFFFFF"/>
                <w:sz w:val="14"/>
                <w:szCs w:val="14"/>
                <w:lang w:eastAsia="en-AU"/>
              </w:rPr>
            </w:pPr>
            <w:r w:rsidRPr="00EC326F">
              <w:rPr>
                <w:rFonts w:cstheme="minorHAnsi"/>
                <w:b/>
                <w:snapToGrid/>
                <w:color w:val="FFFFFF"/>
                <w:sz w:val="14"/>
                <w:szCs w:val="14"/>
                <w:lang w:eastAsia="en-AU"/>
              </w:rPr>
              <w:t>Change in Avg. lifetime cost (%)</w:t>
            </w:r>
          </w:p>
        </w:tc>
      </w:tr>
      <w:tr w:rsidR="00B71296" w:rsidRPr="00EC326F" w14:paraId="2AFA345E" w14:textId="77777777" w:rsidTr="001B51D8">
        <w:trPr>
          <w:trHeight w:val="227"/>
          <w:tblHeader/>
        </w:trPr>
        <w:tc>
          <w:tcPr>
            <w:tcW w:w="3317" w:type="dxa"/>
            <w:tcBorders>
              <w:top w:val="single" w:sz="4" w:space="0" w:color="FFFFFF" w:themeColor="background1"/>
              <w:left w:val="nil"/>
              <w:bottom w:val="single" w:sz="4" w:space="0" w:color="E02628"/>
              <w:right w:val="nil"/>
            </w:tcBorders>
            <w:shd w:val="clear" w:color="auto" w:fill="E02628"/>
            <w:noWrap/>
            <w:vAlign w:val="center"/>
            <w:hideMark/>
          </w:tcPr>
          <w:p w14:paraId="000D70FF" w14:textId="77777777" w:rsidR="00B71296" w:rsidRPr="00EC326F" w:rsidRDefault="00B71296" w:rsidP="00B71296">
            <w:pPr>
              <w:kinsoku/>
              <w:overflowPunct/>
              <w:autoSpaceDE/>
              <w:autoSpaceDN/>
              <w:adjustRightInd/>
              <w:snapToGrid/>
              <w:rPr>
                <w:rFonts w:cstheme="minorHAnsi"/>
                <w:snapToGrid/>
                <w:color w:val="FFFFFF" w:themeColor="background1"/>
                <w:sz w:val="14"/>
                <w:szCs w:val="14"/>
                <w:lang w:eastAsia="en-AU"/>
              </w:rPr>
            </w:pPr>
            <w:r w:rsidRPr="00EC326F">
              <w:rPr>
                <w:rFonts w:cstheme="minorHAnsi"/>
                <w:snapToGrid/>
                <w:color w:val="FFFFFF" w:themeColor="background1"/>
                <w:sz w:val="14"/>
                <w:szCs w:val="14"/>
                <w:lang w:eastAsia="en-AU"/>
              </w:rPr>
              <w:t>Current welfare recipients</w:t>
            </w:r>
          </w:p>
        </w:tc>
        <w:tc>
          <w:tcPr>
            <w:tcW w:w="1134" w:type="dxa"/>
            <w:tcBorders>
              <w:top w:val="single" w:sz="4" w:space="0" w:color="FFFFFF" w:themeColor="background1"/>
              <w:left w:val="nil"/>
              <w:bottom w:val="single" w:sz="4" w:space="0" w:color="E02628"/>
              <w:right w:val="nil"/>
            </w:tcBorders>
            <w:shd w:val="clear" w:color="auto" w:fill="E02628"/>
          </w:tcPr>
          <w:p w14:paraId="1EB48EA7" w14:textId="77777777" w:rsidR="00B71296" w:rsidRPr="001B51D8" w:rsidRDefault="00B71296" w:rsidP="00B71296">
            <w:pPr>
              <w:kinsoku/>
              <w:overflowPunct/>
              <w:autoSpaceDE/>
              <w:autoSpaceDN/>
              <w:adjustRightInd/>
              <w:snapToGrid/>
              <w:jc w:val="right"/>
              <w:rPr>
                <w:rFonts w:cstheme="minorHAnsi"/>
                <w:snapToGrid/>
                <w:color w:val="FFFFFF" w:themeColor="background1"/>
                <w:sz w:val="14"/>
                <w:szCs w:val="14"/>
                <w:lang w:eastAsia="en-AU"/>
              </w:rPr>
            </w:pPr>
          </w:p>
        </w:tc>
        <w:tc>
          <w:tcPr>
            <w:tcW w:w="1134" w:type="dxa"/>
            <w:tcBorders>
              <w:top w:val="single" w:sz="4" w:space="0" w:color="FFFFFF" w:themeColor="background1"/>
              <w:left w:val="nil"/>
              <w:bottom w:val="single" w:sz="4" w:space="0" w:color="E02628"/>
              <w:right w:val="nil"/>
            </w:tcBorders>
            <w:shd w:val="clear" w:color="auto" w:fill="E02628"/>
          </w:tcPr>
          <w:p w14:paraId="0FD15000" w14:textId="77777777" w:rsidR="00B71296" w:rsidRPr="001B51D8" w:rsidRDefault="00B71296" w:rsidP="00B71296">
            <w:pPr>
              <w:kinsoku/>
              <w:overflowPunct/>
              <w:autoSpaceDE/>
              <w:autoSpaceDN/>
              <w:adjustRightInd/>
              <w:snapToGrid/>
              <w:jc w:val="right"/>
              <w:rPr>
                <w:rFonts w:cstheme="minorHAnsi"/>
                <w:snapToGrid/>
                <w:color w:val="FFFFFF" w:themeColor="background1"/>
                <w:sz w:val="14"/>
                <w:szCs w:val="14"/>
                <w:lang w:eastAsia="en-AU"/>
              </w:rPr>
            </w:pPr>
          </w:p>
        </w:tc>
        <w:tc>
          <w:tcPr>
            <w:tcW w:w="1134" w:type="dxa"/>
            <w:tcBorders>
              <w:top w:val="single" w:sz="4" w:space="0" w:color="FFFFFF" w:themeColor="background1"/>
              <w:left w:val="nil"/>
              <w:bottom w:val="single" w:sz="4" w:space="0" w:color="E02628"/>
              <w:right w:val="nil"/>
            </w:tcBorders>
            <w:shd w:val="clear" w:color="auto" w:fill="E02628"/>
            <w:noWrap/>
            <w:vAlign w:val="center"/>
            <w:hideMark/>
          </w:tcPr>
          <w:p w14:paraId="6BF6BB02" w14:textId="77777777" w:rsidR="00B71296" w:rsidRPr="001B51D8" w:rsidRDefault="00B71296" w:rsidP="00B71296">
            <w:pPr>
              <w:kinsoku/>
              <w:overflowPunct/>
              <w:autoSpaceDE/>
              <w:autoSpaceDN/>
              <w:adjustRightInd/>
              <w:snapToGrid/>
              <w:jc w:val="right"/>
              <w:rPr>
                <w:rFonts w:cstheme="minorHAnsi"/>
                <w:snapToGrid/>
                <w:color w:val="FFFFFF" w:themeColor="background1"/>
                <w:sz w:val="14"/>
                <w:szCs w:val="14"/>
                <w:lang w:eastAsia="en-AU"/>
              </w:rPr>
            </w:pPr>
            <w:r w:rsidRPr="001B51D8">
              <w:rPr>
                <w:rFonts w:cstheme="minorHAnsi"/>
                <w:snapToGrid/>
                <w:color w:val="FFFFFF" w:themeColor="background1"/>
                <w:sz w:val="14"/>
                <w:szCs w:val="14"/>
                <w:lang w:eastAsia="en-AU"/>
              </w:rPr>
              <w:t> </w:t>
            </w:r>
          </w:p>
        </w:tc>
        <w:tc>
          <w:tcPr>
            <w:tcW w:w="1134" w:type="dxa"/>
            <w:tcBorders>
              <w:top w:val="single" w:sz="4" w:space="0" w:color="FFFFFF" w:themeColor="background1"/>
              <w:left w:val="nil"/>
              <w:bottom w:val="single" w:sz="4" w:space="0" w:color="E02628"/>
              <w:right w:val="nil"/>
            </w:tcBorders>
            <w:shd w:val="clear" w:color="auto" w:fill="E02628"/>
            <w:noWrap/>
            <w:vAlign w:val="center"/>
            <w:hideMark/>
          </w:tcPr>
          <w:p w14:paraId="73711F9A" w14:textId="77777777" w:rsidR="00B71296" w:rsidRPr="001B51D8" w:rsidRDefault="00B71296" w:rsidP="00B71296">
            <w:pPr>
              <w:kinsoku/>
              <w:overflowPunct/>
              <w:autoSpaceDE/>
              <w:autoSpaceDN/>
              <w:adjustRightInd/>
              <w:snapToGrid/>
              <w:jc w:val="right"/>
              <w:rPr>
                <w:rFonts w:cstheme="minorHAnsi"/>
                <w:snapToGrid/>
                <w:color w:val="FFFFFF" w:themeColor="background1"/>
                <w:sz w:val="14"/>
                <w:szCs w:val="14"/>
                <w:lang w:eastAsia="en-AU"/>
              </w:rPr>
            </w:pPr>
            <w:r w:rsidRPr="001B51D8">
              <w:rPr>
                <w:rFonts w:cstheme="minorHAnsi"/>
                <w:snapToGrid/>
                <w:color w:val="FFFFFF" w:themeColor="background1"/>
                <w:sz w:val="14"/>
                <w:szCs w:val="14"/>
                <w:lang w:eastAsia="en-AU"/>
              </w:rPr>
              <w:t> </w:t>
            </w:r>
          </w:p>
        </w:tc>
        <w:tc>
          <w:tcPr>
            <w:tcW w:w="992" w:type="dxa"/>
            <w:tcBorders>
              <w:top w:val="single" w:sz="4" w:space="0" w:color="FFFFFF" w:themeColor="background1"/>
              <w:left w:val="nil"/>
              <w:bottom w:val="single" w:sz="4" w:space="0" w:color="E02628"/>
              <w:right w:val="nil"/>
            </w:tcBorders>
            <w:shd w:val="clear" w:color="auto" w:fill="E02628"/>
            <w:noWrap/>
            <w:vAlign w:val="center"/>
            <w:hideMark/>
          </w:tcPr>
          <w:p w14:paraId="55D65C18" w14:textId="77777777" w:rsidR="00B71296" w:rsidRPr="001B51D8" w:rsidRDefault="00B71296" w:rsidP="00B71296">
            <w:pPr>
              <w:kinsoku/>
              <w:overflowPunct/>
              <w:autoSpaceDE/>
              <w:autoSpaceDN/>
              <w:adjustRightInd/>
              <w:snapToGrid/>
              <w:jc w:val="right"/>
              <w:rPr>
                <w:rFonts w:cstheme="minorHAnsi"/>
                <w:snapToGrid/>
                <w:color w:val="FFFFFF" w:themeColor="background1"/>
                <w:sz w:val="14"/>
                <w:szCs w:val="14"/>
                <w:lang w:eastAsia="en-AU"/>
              </w:rPr>
            </w:pPr>
            <w:r w:rsidRPr="001B51D8">
              <w:rPr>
                <w:rFonts w:cstheme="minorHAnsi"/>
                <w:snapToGrid/>
                <w:color w:val="FFFFFF" w:themeColor="background1"/>
                <w:sz w:val="14"/>
                <w:szCs w:val="14"/>
                <w:lang w:eastAsia="en-AU"/>
              </w:rPr>
              <w:t> </w:t>
            </w:r>
          </w:p>
        </w:tc>
        <w:tc>
          <w:tcPr>
            <w:tcW w:w="992" w:type="dxa"/>
            <w:tcBorders>
              <w:top w:val="single" w:sz="4" w:space="0" w:color="FFFFFF" w:themeColor="background1"/>
              <w:left w:val="nil"/>
              <w:bottom w:val="single" w:sz="4" w:space="0" w:color="E02628"/>
              <w:right w:val="nil"/>
            </w:tcBorders>
            <w:shd w:val="clear" w:color="auto" w:fill="E02628"/>
            <w:noWrap/>
            <w:vAlign w:val="center"/>
            <w:hideMark/>
          </w:tcPr>
          <w:p w14:paraId="1B97D605" w14:textId="77777777" w:rsidR="00B71296" w:rsidRPr="001B51D8" w:rsidRDefault="00B71296" w:rsidP="00B71296">
            <w:pPr>
              <w:kinsoku/>
              <w:overflowPunct/>
              <w:autoSpaceDE/>
              <w:autoSpaceDN/>
              <w:adjustRightInd/>
              <w:snapToGrid/>
              <w:jc w:val="right"/>
              <w:rPr>
                <w:rFonts w:cstheme="minorHAnsi"/>
                <w:snapToGrid/>
                <w:color w:val="FFFFFF" w:themeColor="background1"/>
                <w:sz w:val="14"/>
                <w:szCs w:val="14"/>
                <w:lang w:eastAsia="en-AU"/>
              </w:rPr>
            </w:pPr>
          </w:p>
        </w:tc>
      </w:tr>
      <w:tr w:rsidR="001C1846" w:rsidRPr="00EC326F" w14:paraId="2DEEDA4E"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5BB7B69D" w14:textId="77777777" w:rsidR="001C1846" w:rsidRPr="00EC326F" w:rsidRDefault="001C1846" w:rsidP="001C1846">
            <w:pPr>
              <w:pStyle w:val="TableTextSmall"/>
              <w:ind w:left="227"/>
              <w:rPr>
                <w:snapToGrid/>
                <w:lang w:eastAsia="en-AU"/>
              </w:rPr>
            </w:pPr>
            <w:r w:rsidRPr="00EC326F">
              <w:rPr>
                <w:snapToGrid/>
                <w:lang w:eastAsia="en-AU"/>
              </w:rPr>
              <w:t>- Studying payment recipients</w:t>
            </w:r>
          </w:p>
        </w:tc>
        <w:tc>
          <w:tcPr>
            <w:tcW w:w="1134" w:type="dxa"/>
            <w:tcBorders>
              <w:top w:val="single" w:sz="4" w:space="0" w:color="E02628"/>
              <w:left w:val="nil"/>
              <w:bottom w:val="single" w:sz="4" w:space="0" w:color="E02628"/>
              <w:right w:val="nil"/>
            </w:tcBorders>
            <w:shd w:val="clear" w:color="000000" w:fill="FFFFFF"/>
            <w:vAlign w:val="center"/>
          </w:tcPr>
          <w:p w14:paraId="31E59547" w14:textId="1EEB1EBE" w:rsidR="001C1846" w:rsidRPr="00EC326F" w:rsidRDefault="001C1846" w:rsidP="001C1846">
            <w:pPr>
              <w:pStyle w:val="TableTextSmall"/>
              <w:jc w:val="center"/>
            </w:pPr>
            <w:r>
              <w:rPr>
                <w:rFonts w:ascii="Arial" w:hAnsi="Arial"/>
                <w:color w:val="404040"/>
                <w:sz w:val="14"/>
                <w:szCs w:val="14"/>
              </w:rPr>
              <w:t>391,568</w:t>
            </w:r>
          </w:p>
        </w:tc>
        <w:tc>
          <w:tcPr>
            <w:tcW w:w="1134" w:type="dxa"/>
            <w:tcBorders>
              <w:top w:val="single" w:sz="4" w:space="0" w:color="E02628"/>
              <w:left w:val="nil"/>
              <w:bottom w:val="single" w:sz="4" w:space="0" w:color="E02628"/>
              <w:right w:val="nil"/>
            </w:tcBorders>
            <w:shd w:val="clear" w:color="000000" w:fill="FFFFFF"/>
            <w:vAlign w:val="center"/>
          </w:tcPr>
          <w:p w14:paraId="4F9CA261" w14:textId="3D072289" w:rsidR="001C1846" w:rsidRPr="00EC326F" w:rsidRDefault="001C1846" w:rsidP="001C1846">
            <w:pPr>
              <w:pStyle w:val="TableTextSmall"/>
              <w:jc w:val="center"/>
            </w:pPr>
            <w:r>
              <w:rPr>
                <w:rFonts w:ascii="Arial" w:hAnsi="Arial"/>
                <w:color w:val="404040"/>
                <w:sz w:val="14"/>
                <w:szCs w:val="14"/>
              </w:rPr>
              <w:t>247</w:t>
            </w:r>
          </w:p>
        </w:tc>
        <w:tc>
          <w:tcPr>
            <w:tcW w:w="1134" w:type="dxa"/>
            <w:tcBorders>
              <w:top w:val="single" w:sz="4" w:space="0" w:color="E02628"/>
              <w:left w:val="nil"/>
              <w:bottom w:val="single" w:sz="4" w:space="0" w:color="E02628"/>
              <w:right w:val="nil"/>
            </w:tcBorders>
            <w:shd w:val="clear" w:color="000000" w:fill="FFFFFF"/>
            <w:noWrap/>
            <w:vAlign w:val="center"/>
            <w:hideMark/>
          </w:tcPr>
          <w:p w14:paraId="470E380F" w14:textId="55C4AE7F" w:rsidR="001C1846" w:rsidRPr="00EC326F" w:rsidRDefault="001C1846" w:rsidP="001C1846">
            <w:pPr>
              <w:pStyle w:val="TableTextSmall"/>
              <w:jc w:val="center"/>
            </w:pPr>
            <w:r>
              <w:rPr>
                <w:rFonts w:ascii="Arial" w:hAnsi="Arial"/>
                <w:color w:val="404040"/>
                <w:sz w:val="14"/>
                <w:szCs w:val="14"/>
              </w:rPr>
              <w:t>390,207</w:t>
            </w:r>
          </w:p>
        </w:tc>
        <w:tc>
          <w:tcPr>
            <w:tcW w:w="1134" w:type="dxa"/>
            <w:tcBorders>
              <w:top w:val="single" w:sz="4" w:space="0" w:color="E02628"/>
              <w:left w:val="nil"/>
              <w:bottom w:val="single" w:sz="4" w:space="0" w:color="E02628"/>
              <w:right w:val="nil"/>
            </w:tcBorders>
            <w:shd w:val="clear" w:color="000000" w:fill="FFFFFF"/>
            <w:noWrap/>
            <w:vAlign w:val="center"/>
          </w:tcPr>
          <w:p w14:paraId="0789629B" w14:textId="65FFF250" w:rsidR="001C1846" w:rsidRPr="00EC326F" w:rsidRDefault="001C1846" w:rsidP="001C1846">
            <w:pPr>
              <w:pStyle w:val="TableTextSmall"/>
              <w:jc w:val="center"/>
            </w:pPr>
            <w:r>
              <w:rPr>
                <w:rFonts w:ascii="Arial" w:hAnsi="Arial"/>
                <w:color w:val="404040"/>
                <w:sz w:val="14"/>
                <w:szCs w:val="14"/>
              </w:rPr>
              <w:t>210</w:t>
            </w:r>
          </w:p>
        </w:tc>
        <w:tc>
          <w:tcPr>
            <w:tcW w:w="992" w:type="dxa"/>
            <w:tcBorders>
              <w:top w:val="single" w:sz="4" w:space="0" w:color="E02628"/>
              <w:left w:val="nil"/>
              <w:bottom w:val="single" w:sz="4" w:space="0" w:color="E02628"/>
              <w:right w:val="nil"/>
            </w:tcBorders>
            <w:shd w:val="clear" w:color="000000" w:fill="FFFFFF"/>
            <w:noWrap/>
            <w:vAlign w:val="center"/>
          </w:tcPr>
          <w:p w14:paraId="3C988EE7" w14:textId="26FFC33A" w:rsidR="001C1846" w:rsidRPr="00EC326F" w:rsidRDefault="001C1846" w:rsidP="001C1846">
            <w:pPr>
              <w:pStyle w:val="TableTextSmall"/>
              <w:jc w:val="center"/>
            </w:pPr>
            <w:r>
              <w:rPr>
                <w:rFonts w:ascii="Arial" w:hAnsi="Arial"/>
                <w:color w:val="404040"/>
                <w:sz w:val="14"/>
                <w:szCs w:val="14"/>
              </w:rPr>
              <w:t>-0.3%</w:t>
            </w:r>
          </w:p>
        </w:tc>
        <w:tc>
          <w:tcPr>
            <w:tcW w:w="992" w:type="dxa"/>
            <w:tcBorders>
              <w:top w:val="single" w:sz="4" w:space="0" w:color="E02628"/>
              <w:left w:val="nil"/>
              <w:bottom w:val="single" w:sz="4" w:space="0" w:color="E02628"/>
              <w:right w:val="nil"/>
            </w:tcBorders>
            <w:shd w:val="clear" w:color="000000" w:fill="FFFFFF"/>
            <w:noWrap/>
            <w:vAlign w:val="center"/>
          </w:tcPr>
          <w:p w14:paraId="43AF0F68" w14:textId="0FED5FDC" w:rsidR="001C1846" w:rsidRPr="00EC326F" w:rsidRDefault="001C1846" w:rsidP="001C1846">
            <w:pPr>
              <w:pStyle w:val="TableTextSmall"/>
              <w:jc w:val="center"/>
            </w:pPr>
            <w:r>
              <w:rPr>
                <w:rFonts w:ascii="Arial" w:hAnsi="Arial"/>
                <w:color w:val="404040"/>
                <w:sz w:val="14"/>
                <w:szCs w:val="14"/>
              </w:rPr>
              <w:t>-15.1%</w:t>
            </w:r>
          </w:p>
        </w:tc>
      </w:tr>
      <w:tr w:rsidR="001C1846" w:rsidRPr="00EC326F" w14:paraId="5A7CCEDC"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3F39ADCA" w14:textId="77777777" w:rsidR="001C1846" w:rsidRPr="00EC326F" w:rsidRDefault="001C1846" w:rsidP="001C1846">
            <w:pPr>
              <w:pStyle w:val="TableTextSmall"/>
              <w:ind w:left="227"/>
              <w:rPr>
                <w:snapToGrid/>
                <w:lang w:eastAsia="en-AU"/>
              </w:rPr>
            </w:pPr>
            <w:r w:rsidRPr="00EC326F">
              <w:rPr>
                <w:snapToGrid/>
                <w:lang w:eastAsia="en-AU"/>
              </w:rPr>
              <w:t>- Working age payment recipients</w:t>
            </w:r>
          </w:p>
        </w:tc>
        <w:tc>
          <w:tcPr>
            <w:tcW w:w="1134" w:type="dxa"/>
            <w:tcBorders>
              <w:top w:val="single" w:sz="4" w:space="0" w:color="E02628"/>
              <w:left w:val="nil"/>
              <w:bottom w:val="single" w:sz="4" w:space="0" w:color="E02628"/>
              <w:right w:val="nil"/>
            </w:tcBorders>
            <w:shd w:val="clear" w:color="000000" w:fill="FFFFFF"/>
            <w:vAlign w:val="center"/>
          </w:tcPr>
          <w:p w14:paraId="22CCF4DA" w14:textId="494DCCC5" w:rsidR="001C1846" w:rsidRPr="00EC326F" w:rsidRDefault="001C1846" w:rsidP="001C1846">
            <w:pPr>
              <w:pStyle w:val="TableTextSmall"/>
              <w:jc w:val="center"/>
            </w:pPr>
            <w:r>
              <w:rPr>
                <w:rFonts w:ascii="Arial" w:hAnsi="Arial"/>
                <w:color w:val="404040"/>
                <w:sz w:val="14"/>
                <w:szCs w:val="14"/>
              </w:rPr>
              <w:t>1,301,746</w:t>
            </w:r>
          </w:p>
        </w:tc>
        <w:tc>
          <w:tcPr>
            <w:tcW w:w="1134" w:type="dxa"/>
            <w:tcBorders>
              <w:top w:val="single" w:sz="4" w:space="0" w:color="E02628"/>
              <w:left w:val="nil"/>
              <w:bottom w:val="single" w:sz="4" w:space="0" w:color="E02628"/>
              <w:right w:val="nil"/>
            </w:tcBorders>
            <w:shd w:val="clear" w:color="000000" w:fill="FFFFFF"/>
            <w:vAlign w:val="center"/>
          </w:tcPr>
          <w:p w14:paraId="2BDA1A33" w14:textId="48B57410" w:rsidR="001C1846" w:rsidRPr="00EC326F" w:rsidRDefault="001C1846" w:rsidP="001C1846">
            <w:pPr>
              <w:pStyle w:val="TableTextSmall"/>
              <w:jc w:val="center"/>
            </w:pPr>
            <w:r>
              <w:rPr>
                <w:rFonts w:ascii="Arial" w:hAnsi="Arial"/>
                <w:color w:val="404040"/>
                <w:sz w:val="14"/>
                <w:szCs w:val="14"/>
              </w:rPr>
              <w:t>315</w:t>
            </w:r>
          </w:p>
        </w:tc>
        <w:tc>
          <w:tcPr>
            <w:tcW w:w="1134" w:type="dxa"/>
            <w:tcBorders>
              <w:top w:val="single" w:sz="4" w:space="0" w:color="E02628"/>
              <w:left w:val="nil"/>
              <w:bottom w:val="single" w:sz="4" w:space="0" w:color="E02628"/>
              <w:right w:val="nil"/>
            </w:tcBorders>
            <w:shd w:val="clear" w:color="000000" w:fill="FFFFFF"/>
            <w:noWrap/>
            <w:vAlign w:val="center"/>
            <w:hideMark/>
          </w:tcPr>
          <w:p w14:paraId="692BE98C" w14:textId="4C11B03F" w:rsidR="001C1846" w:rsidRPr="00EC326F" w:rsidRDefault="001C1846" w:rsidP="001C1846">
            <w:pPr>
              <w:pStyle w:val="TableTextSmall"/>
              <w:jc w:val="center"/>
            </w:pPr>
            <w:r>
              <w:rPr>
                <w:rFonts w:ascii="Arial" w:hAnsi="Arial"/>
                <w:color w:val="404040"/>
                <w:sz w:val="14"/>
                <w:szCs w:val="14"/>
              </w:rPr>
              <w:t>1,317,538</w:t>
            </w:r>
          </w:p>
        </w:tc>
        <w:tc>
          <w:tcPr>
            <w:tcW w:w="1134" w:type="dxa"/>
            <w:tcBorders>
              <w:top w:val="single" w:sz="4" w:space="0" w:color="E02628"/>
              <w:left w:val="nil"/>
              <w:bottom w:val="single" w:sz="4" w:space="0" w:color="E02628"/>
              <w:right w:val="nil"/>
            </w:tcBorders>
            <w:shd w:val="clear" w:color="000000" w:fill="FFFFFF"/>
            <w:noWrap/>
            <w:vAlign w:val="center"/>
          </w:tcPr>
          <w:p w14:paraId="54AB8397" w14:textId="73D06158" w:rsidR="001C1846" w:rsidRPr="00EC326F" w:rsidRDefault="001C1846" w:rsidP="001C1846">
            <w:pPr>
              <w:pStyle w:val="TableTextSmall"/>
              <w:jc w:val="center"/>
            </w:pPr>
            <w:r>
              <w:rPr>
                <w:rFonts w:ascii="Arial" w:hAnsi="Arial"/>
                <w:color w:val="404040"/>
                <w:sz w:val="14"/>
                <w:szCs w:val="14"/>
              </w:rPr>
              <w:t>304</w:t>
            </w:r>
          </w:p>
        </w:tc>
        <w:tc>
          <w:tcPr>
            <w:tcW w:w="992" w:type="dxa"/>
            <w:tcBorders>
              <w:top w:val="single" w:sz="4" w:space="0" w:color="E02628"/>
              <w:left w:val="nil"/>
              <w:bottom w:val="single" w:sz="4" w:space="0" w:color="E02628"/>
              <w:right w:val="nil"/>
            </w:tcBorders>
            <w:shd w:val="clear" w:color="000000" w:fill="FFFFFF"/>
            <w:noWrap/>
            <w:vAlign w:val="center"/>
          </w:tcPr>
          <w:p w14:paraId="52E408A1" w14:textId="1C335678" w:rsidR="001C1846" w:rsidRPr="00EC326F" w:rsidRDefault="001C1846" w:rsidP="001C1846">
            <w:pPr>
              <w:pStyle w:val="TableTextSmall"/>
              <w:jc w:val="center"/>
            </w:pPr>
            <w:r>
              <w:rPr>
                <w:rFonts w:ascii="Arial" w:hAnsi="Arial"/>
                <w:color w:val="404040"/>
                <w:sz w:val="14"/>
                <w:szCs w:val="14"/>
              </w:rPr>
              <w:t>1.2%</w:t>
            </w:r>
          </w:p>
        </w:tc>
        <w:tc>
          <w:tcPr>
            <w:tcW w:w="992" w:type="dxa"/>
            <w:tcBorders>
              <w:top w:val="single" w:sz="4" w:space="0" w:color="E02628"/>
              <w:left w:val="nil"/>
              <w:bottom w:val="single" w:sz="4" w:space="0" w:color="E02628"/>
              <w:right w:val="nil"/>
            </w:tcBorders>
            <w:shd w:val="clear" w:color="000000" w:fill="FFFFFF"/>
            <w:noWrap/>
            <w:vAlign w:val="center"/>
          </w:tcPr>
          <w:p w14:paraId="112BDAFD" w14:textId="3469D02C" w:rsidR="001C1846" w:rsidRPr="00EC326F" w:rsidRDefault="001C1846" w:rsidP="001C1846">
            <w:pPr>
              <w:pStyle w:val="TableTextSmall"/>
              <w:jc w:val="center"/>
            </w:pPr>
            <w:r>
              <w:rPr>
                <w:rFonts w:ascii="Arial" w:hAnsi="Arial"/>
                <w:color w:val="404040"/>
                <w:sz w:val="14"/>
                <w:szCs w:val="14"/>
              </w:rPr>
              <w:t>-3.5%</w:t>
            </w:r>
          </w:p>
        </w:tc>
      </w:tr>
      <w:tr w:rsidR="001C1846" w:rsidRPr="00EC326F" w14:paraId="30403314"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0118BB8C" w14:textId="77777777" w:rsidR="001C1846" w:rsidRPr="00EC326F" w:rsidRDefault="001C1846" w:rsidP="001C1846">
            <w:pPr>
              <w:pStyle w:val="TableTextSmall"/>
              <w:ind w:left="227"/>
              <w:rPr>
                <w:snapToGrid/>
                <w:lang w:eastAsia="en-AU"/>
              </w:rPr>
            </w:pPr>
            <w:r w:rsidRPr="00EC326F">
              <w:rPr>
                <w:snapToGrid/>
                <w:lang w:eastAsia="en-AU"/>
              </w:rPr>
              <w:t>- Parenting payment recipients</w:t>
            </w:r>
          </w:p>
        </w:tc>
        <w:tc>
          <w:tcPr>
            <w:tcW w:w="1134" w:type="dxa"/>
            <w:tcBorders>
              <w:top w:val="single" w:sz="4" w:space="0" w:color="E02628"/>
              <w:left w:val="nil"/>
              <w:bottom w:val="single" w:sz="4" w:space="0" w:color="E02628"/>
              <w:right w:val="nil"/>
            </w:tcBorders>
            <w:shd w:val="clear" w:color="000000" w:fill="FFFFFF"/>
            <w:vAlign w:val="center"/>
          </w:tcPr>
          <w:p w14:paraId="2CDF935F" w14:textId="7283B953" w:rsidR="001C1846" w:rsidRPr="00EC326F" w:rsidRDefault="001C1846" w:rsidP="001C1846">
            <w:pPr>
              <w:pStyle w:val="TableTextSmall"/>
              <w:jc w:val="center"/>
            </w:pPr>
            <w:r>
              <w:rPr>
                <w:rFonts w:ascii="Arial" w:hAnsi="Arial"/>
                <w:color w:val="404040"/>
                <w:sz w:val="14"/>
                <w:szCs w:val="14"/>
              </w:rPr>
              <w:t>432,318</w:t>
            </w:r>
          </w:p>
        </w:tc>
        <w:tc>
          <w:tcPr>
            <w:tcW w:w="1134" w:type="dxa"/>
            <w:tcBorders>
              <w:top w:val="single" w:sz="4" w:space="0" w:color="E02628"/>
              <w:left w:val="nil"/>
              <w:bottom w:val="single" w:sz="4" w:space="0" w:color="E02628"/>
              <w:right w:val="nil"/>
            </w:tcBorders>
            <w:shd w:val="clear" w:color="000000" w:fill="FFFFFF"/>
            <w:vAlign w:val="center"/>
          </w:tcPr>
          <w:p w14:paraId="18256F1E" w14:textId="4269983E" w:rsidR="001C1846" w:rsidRPr="00EC326F" w:rsidRDefault="001C1846" w:rsidP="001C1846">
            <w:pPr>
              <w:pStyle w:val="TableTextSmall"/>
              <w:jc w:val="center"/>
            </w:pPr>
            <w:r>
              <w:rPr>
                <w:rFonts w:ascii="Arial" w:hAnsi="Arial"/>
                <w:color w:val="404040"/>
                <w:sz w:val="14"/>
                <w:szCs w:val="14"/>
              </w:rPr>
              <w:t>441</w:t>
            </w:r>
          </w:p>
        </w:tc>
        <w:tc>
          <w:tcPr>
            <w:tcW w:w="1134" w:type="dxa"/>
            <w:tcBorders>
              <w:top w:val="single" w:sz="4" w:space="0" w:color="E02628"/>
              <w:left w:val="nil"/>
              <w:bottom w:val="single" w:sz="4" w:space="0" w:color="E02628"/>
              <w:right w:val="nil"/>
            </w:tcBorders>
            <w:shd w:val="clear" w:color="000000" w:fill="FFFFFF"/>
            <w:noWrap/>
            <w:vAlign w:val="center"/>
            <w:hideMark/>
          </w:tcPr>
          <w:p w14:paraId="6F249B70" w14:textId="68025C5C" w:rsidR="001C1846" w:rsidRPr="00EC326F" w:rsidRDefault="001C1846" w:rsidP="001C1846">
            <w:pPr>
              <w:pStyle w:val="TableTextSmall"/>
              <w:jc w:val="center"/>
            </w:pPr>
            <w:r>
              <w:rPr>
                <w:rFonts w:ascii="Arial" w:hAnsi="Arial"/>
                <w:color w:val="404040"/>
                <w:sz w:val="14"/>
                <w:szCs w:val="14"/>
              </w:rPr>
              <w:t>436,585</w:t>
            </w:r>
          </w:p>
        </w:tc>
        <w:tc>
          <w:tcPr>
            <w:tcW w:w="1134" w:type="dxa"/>
            <w:tcBorders>
              <w:top w:val="single" w:sz="4" w:space="0" w:color="E02628"/>
              <w:left w:val="nil"/>
              <w:bottom w:val="single" w:sz="4" w:space="0" w:color="E02628"/>
              <w:right w:val="nil"/>
            </w:tcBorders>
            <w:shd w:val="clear" w:color="000000" w:fill="FFFFFF"/>
            <w:noWrap/>
            <w:vAlign w:val="center"/>
          </w:tcPr>
          <w:p w14:paraId="6A6C0F75" w14:textId="3D9E2D75" w:rsidR="001C1846" w:rsidRPr="00EC326F" w:rsidRDefault="001C1846" w:rsidP="001C1846">
            <w:pPr>
              <w:pStyle w:val="TableTextSmall"/>
              <w:jc w:val="center"/>
            </w:pPr>
            <w:r>
              <w:rPr>
                <w:rFonts w:ascii="Arial" w:hAnsi="Arial"/>
                <w:color w:val="404040"/>
                <w:sz w:val="14"/>
                <w:szCs w:val="14"/>
              </w:rPr>
              <w:t>475</w:t>
            </w:r>
          </w:p>
        </w:tc>
        <w:tc>
          <w:tcPr>
            <w:tcW w:w="992" w:type="dxa"/>
            <w:tcBorders>
              <w:top w:val="single" w:sz="4" w:space="0" w:color="E02628"/>
              <w:left w:val="nil"/>
              <w:bottom w:val="single" w:sz="4" w:space="0" w:color="E02628"/>
              <w:right w:val="nil"/>
            </w:tcBorders>
            <w:shd w:val="clear" w:color="000000" w:fill="FFFFFF"/>
            <w:noWrap/>
            <w:vAlign w:val="center"/>
          </w:tcPr>
          <w:p w14:paraId="4E99F629" w14:textId="7842BAE4" w:rsidR="001C1846" w:rsidRPr="00EC326F" w:rsidRDefault="001C1846" w:rsidP="001C1846">
            <w:pPr>
              <w:pStyle w:val="TableTextSmall"/>
              <w:jc w:val="center"/>
            </w:pPr>
            <w:r>
              <w:rPr>
                <w:rFonts w:ascii="Arial" w:hAnsi="Arial"/>
                <w:color w:val="404040"/>
                <w:sz w:val="14"/>
                <w:szCs w:val="14"/>
              </w:rPr>
              <w:t>1.0%</w:t>
            </w:r>
          </w:p>
        </w:tc>
        <w:tc>
          <w:tcPr>
            <w:tcW w:w="992" w:type="dxa"/>
            <w:tcBorders>
              <w:top w:val="single" w:sz="4" w:space="0" w:color="E02628"/>
              <w:left w:val="nil"/>
              <w:bottom w:val="single" w:sz="4" w:space="0" w:color="E02628"/>
              <w:right w:val="nil"/>
            </w:tcBorders>
            <w:shd w:val="clear" w:color="000000" w:fill="FFFFFF"/>
            <w:noWrap/>
            <w:vAlign w:val="center"/>
          </w:tcPr>
          <w:p w14:paraId="03856A00" w14:textId="4795C31A" w:rsidR="001C1846" w:rsidRPr="00EC326F" w:rsidRDefault="001C1846" w:rsidP="001C1846">
            <w:pPr>
              <w:pStyle w:val="TableTextSmall"/>
              <w:jc w:val="center"/>
            </w:pPr>
            <w:r>
              <w:rPr>
                <w:rFonts w:ascii="Arial" w:hAnsi="Arial"/>
                <w:color w:val="404040"/>
                <w:sz w:val="14"/>
                <w:szCs w:val="14"/>
              </w:rPr>
              <w:t>7.5%</w:t>
            </w:r>
          </w:p>
        </w:tc>
      </w:tr>
      <w:tr w:rsidR="001C1846" w:rsidRPr="00EC326F" w14:paraId="455B7C7E"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29F45F22" w14:textId="77777777" w:rsidR="001C1846" w:rsidRPr="00EC326F" w:rsidRDefault="001C1846" w:rsidP="001C1846">
            <w:pPr>
              <w:pStyle w:val="TableTextSmall"/>
              <w:ind w:left="227"/>
              <w:rPr>
                <w:snapToGrid/>
                <w:lang w:eastAsia="en-AU"/>
              </w:rPr>
            </w:pPr>
            <w:r w:rsidRPr="00EC326F">
              <w:rPr>
                <w:snapToGrid/>
                <w:lang w:eastAsia="en-AU"/>
              </w:rPr>
              <w:t>- Carer payment recipients</w:t>
            </w:r>
          </w:p>
        </w:tc>
        <w:tc>
          <w:tcPr>
            <w:tcW w:w="1134" w:type="dxa"/>
            <w:tcBorders>
              <w:top w:val="single" w:sz="4" w:space="0" w:color="E02628"/>
              <w:left w:val="nil"/>
              <w:bottom w:val="single" w:sz="4" w:space="0" w:color="E02628"/>
              <w:right w:val="nil"/>
            </w:tcBorders>
            <w:shd w:val="clear" w:color="000000" w:fill="FFFFFF"/>
            <w:vAlign w:val="center"/>
          </w:tcPr>
          <w:p w14:paraId="1EF25F2A" w14:textId="27974D1D" w:rsidR="001C1846" w:rsidRPr="00EC326F" w:rsidRDefault="001C1846" w:rsidP="001C1846">
            <w:pPr>
              <w:pStyle w:val="TableTextSmall"/>
              <w:jc w:val="center"/>
            </w:pPr>
            <w:r>
              <w:rPr>
                <w:rFonts w:ascii="Arial" w:hAnsi="Arial"/>
                <w:color w:val="404040"/>
                <w:sz w:val="14"/>
                <w:szCs w:val="14"/>
              </w:rPr>
              <w:t>265,459</w:t>
            </w:r>
          </w:p>
        </w:tc>
        <w:tc>
          <w:tcPr>
            <w:tcW w:w="1134" w:type="dxa"/>
            <w:tcBorders>
              <w:top w:val="single" w:sz="4" w:space="0" w:color="E02628"/>
              <w:left w:val="nil"/>
              <w:bottom w:val="single" w:sz="4" w:space="0" w:color="E02628"/>
              <w:right w:val="nil"/>
            </w:tcBorders>
            <w:shd w:val="clear" w:color="000000" w:fill="FFFFFF"/>
            <w:vAlign w:val="center"/>
          </w:tcPr>
          <w:p w14:paraId="5339907E" w14:textId="72761A10" w:rsidR="001C1846" w:rsidRPr="00EC326F" w:rsidRDefault="001C1846" w:rsidP="001C1846">
            <w:pPr>
              <w:pStyle w:val="TableTextSmall"/>
              <w:jc w:val="center"/>
            </w:pPr>
            <w:r>
              <w:rPr>
                <w:rFonts w:ascii="Arial" w:hAnsi="Arial"/>
                <w:color w:val="404040"/>
                <w:sz w:val="14"/>
                <w:szCs w:val="14"/>
              </w:rPr>
              <w:t>411</w:t>
            </w:r>
          </w:p>
        </w:tc>
        <w:tc>
          <w:tcPr>
            <w:tcW w:w="1134" w:type="dxa"/>
            <w:tcBorders>
              <w:top w:val="single" w:sz="4" w:space="0" w:color="E02628"/>
              <w:left w:val="nil"/>
              <w:bottom w:val="single" w:sz="4" w:space="0" w:color="E02628"/>
              <w:right w:val="nil"/>
            </w:tcBorders>
            <w:shd w:val="clear" w:color="000000" w:fill="FFFFFF"/>
            <w:noWrap/>
            <w:vAlign w:val="center"/>
            <w:hideMark/>
          </w:tcPr>
          <w:p w14:paraId="6269217D" w14:textId="37D2D16C" w:rsidR="001C1846" w:rsidRPr="00EC326F" w:rsidRDefault="001C1846" w:rsidP="001C1846">
            <w:pPr>
              <w:pStyle w:val="TableTextSmall"/>
              <w:jc w:val="center"/>
            </w:pPr>
            <w:r>
              <w:rPr>
                <w:rFonts w:ascii="Arial" w:hAnsi="Arial"/>
                <w:color w:val="404040"/>
                <w:sz w:val="14"/>
                <w:szCs w:val="14"/>
              </w:rPr>
              <w:t>271,541</w:t>
            </w:r>
          </w:p>
        </w:tc>
        <w:tc>
          <w:tcPr>
            <w:tcW w:w="1134" w:type="dxa"/>
            <w:tcBorders>
              <w:top w:val="single" w:sz="4" w:space="0" w:color="E02628"/>
              <w:left w:val="nil"/>
              <w:bottom w:val="single" w:sz="4" w:space="0" w:color="E02628"/>
              <w:right w:val="nil"/>
            </w:tcBorders>
            <w:shd w:val="clear" w:color="000000" w:fill="FFFFFF"/>
            <w:noWrap/>
            <w:vAlign w:val="center"/>
          </w:tcPr>
          <w:p w14:paraId="7636B1F1" w14:textId="2DB8EE95" w:rsidR="001C1846" w:rsidRPr="00EC326F" w:rsidRDefault="001C1846" w:rsidP="001C1846">
            <w:pPr>
              <w:pStyle w:val="TableTextSmall"/>
              <w:jc w:val="center"/>
            </w:pPr>
            <w:r>
              <w:rPr>
                <w:rFonts w:ascii="Arial" w:hAnsi="Arial"/>
                <w:color w:val="404040"/>
                <w:sz w:val="14"/>
                <w:szCs w:val="14"/>
              </w:rPr>
              <w:t>438</w:t>
            </w:r>
          </w:p>
        </w:tc>
        <w:tc>
          <w:tcPr>
            <w:tcW w:w="992" w:type="dxa"/>
            <w:tcBorders>
              <w:top w:val="single" w:sz="4" w:space="0" w:color="E02628"/>
              <w:left w:val="nil"/>
              <w:bottom w:val="single" w:sz="4" w:space="0" w:color="E02628"/>
              <w:right w:val="nil"/>
            </w:tcBorders>
            <w:shd w:val="clear" w:color="000000" w:fill="FFFFFF"/>
            <w:noWrap/>
            <w:vAlign w:val="center"/>
          </w:tcPr>
          <w:p w14:paraId="2B555C38" w14:textId="2AA59582" w:rsidR="001C1846" w:rsidRPr="00EC326F" w:rsidRDefault="001C1846" w:rsidP="001C1846">
            <w:pPr>
              <w:pStyle w:val="TableTextSmall"/>
              <w:jc w:val="center"/>
            </w:pPr>
            <w:r>
              <w:rPr>
                <w:rFonts w:ascii="Arial" w:hAnsi="Arial"/>
                <w:color w:val="404040"/>
                <w:sz w:val="14"/>
                <w:szCs w:val="14"/>
              </w:rPr>
              <w:t>2.3%</w:t>
            </w:r>
          </w:p>
        </w:tc>
        <w:tc>
          <w:tcPr>
            <w:tcW w:w="992" w:type="dxa"/>
            <w:tcBorders>
              <w:top w:val="single" w:sz="4" w:space="0" w:color="E02628"/>
              <w:left w:val="nil"/>
              <w:bottom w:val="single" w:sz="4" w:space="0" w:color="E02628"/>
              <w:right w:val="nil"/>
            </w:tcBorders>
            <w:shd w:val="clear" w:color="000000" w:fill="FFFFFF"/>
            <w:noWrap/>
            <w:vAlign w:val="center"/>
          </w:tcPr>
          <w:p w14:paraId="04BF98F4" w14:textId="2D656BBA" w:rsidR="001C1846" w:rsidRPr="00EC326F" w:rsidRDefault="001C1846" w:rsidP="001C1846">
            <w:pPr>
              <w:pStyle w:val="TableTextSmall"/>
              <w:jc w:val="center"/>
            </w:pPr>
            <w:r>
              <w:rPr>
                <w:rFonts w:ascii="Arial" w:hAnsi="Arial"/>
                <w:color w:val="404040"/>
                <w:sz w:val="14"/>
                <w:szCs w:val="14"/>
              </w:rPr>
              <w:t>6.5%</w:t>
            </w:r>
          </w:p>
        </w:tc>
      </w:tr>
      <w:tr w:rsidR="001C1846" w:rsidRPr="00EC326F" w14:paraId="7F8BA047"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61C3BBEC" w14:textId="77777777" w:rsidR="001C1846" w:rsidRPr="00EC326F" w:rsidRDefault="001C1846" w:rsidP="001C1846">
            <w:pPr>
              <w:pStyle w:val="TableTextSmall"/>
              <w:ind w:left="227"/>
              <w:rPr>
                <w:snapToGrid/>
                <w:lang w:eastAsia="en-AU"/>
              </w:rPr>
            </w:pPr>
            <w:r w:rsidRPr="00EC326F">
              <w:rPr>
                <w:snapToGrid/>
                <w:lang w:eastAsia="en-AU"/>
              </w:rPr>
              <w:t>- Disability support pensioners</w:t>
            </w:r>
          </w:p>
        </w:tc>
        <w:tc>
          <w:tcPr>
            <w:tcW w:w="1134" w:type="dxa"/>
            <w:tcBorders>
              <w:top w:val="single" w:sz="4" w:space="0" w:color="E02628"/>
              <w:left w:val="nil"/>
              <w:bottom w:val="single" w:sz="4" w:space="0" w:color="E02628"/>
              <w:right w:val="nil"/>
            </w:tcBorders>
            <w:shd w:val="clear" w:color="000000" w:fill="FFFFFF"/>
            <w:vAlign w:val="center"/>
          </w:tcPr>
          <w:p w14:paraId="2D0D37E2" w14:textId="6CB8EB83" w:rsidR="001C1846" w:rsidRPr="00EC326F" w:rsidRDefault="001C1846" w:rsidP="001C1846">
            <w:pPr>
              <w:pStyle w:val="TableTextSmall"/>
              <w:jc w:val="center"/>
            </w:pPr>
            <w:r>
              <w:rPr>
                <w:rFonts w:ascii="Arial" w:hAnsi="Arial"/>
                <w:color w:val="404040"/>
                <w:sz w:val="14"/>
                <w:szCs w:val="14"/>
              </w:rPr>
              <w:t>812,903</w:t>
            </w:r>
          </w:p>
        </w:tc>
        <w:tc>
          <w:tcPr>
            <w:tcW w:w="1134" w:type="dxa"/>
            <w:tcBorders>
              <w:top w:val="single" w:sz="4" w:space="0" w:color="E02628"/>
              <w:left w:val="nil"/>
              <w:bottom w:val="single" w:sz="4" w:space="0" w:color="E02628"/>
              <w:right w:val="nil"/>
            </w:tcBorders>
            <w:shd w:val="clear" w:color="000000" w:fill="FFFFFF"/>
            <w:vAlign w:val="center"/>
          </w:tcPr>
          <w:p w14:paraId="6F25A933" w14:textId="0D300032" w:rsidR="001C1846" w:rsidRPr="00EC326F" w:rsidRDefault="001C1846" w:rsidP="001C1846">
            <w:pPr>
              <w:pStyle w:val="TableTextSmall"/>
              <w:jc w:val="center"/>
            </w:pPr>
            <w:r>
              <w:rPr>
                <w:rFonts w:ascii="Arial" w:hAnsi="Arial"/>
                <w:color w:val="404040"/>
                <w:sz w:val="14"/>
                <w:szCs w:val="14"/>
              </w:rPr>
              <w:t>416</w:t>
            </w:r>
          </w:p>
        </w:tc>
        <w:tc>
          <w:tcPr>
            <w:tcW w:w="1134" w:type="dxa"/>
            <w:tcBorders>
              <w:top w:val="single" w:sz="4" w:space="0" w:color="E02628"/>
              <w:left w:val="nil"/>
              <w:bottom w:val="single" w:sz="4" w:space="0" w:color="E02628"/>
              <w:right w:val="nil"/>
            </w:tcBorders>
            <w:shd w:val="clear" w:color="000000" w:fill="FFFFFF"/>
            <w:noWrap/>
            <w:vAlign w:val="center"/>
            <w:hideMark/>
          </w:tcPr>
          <w:p w14:paraId="12D8EA0A" w14:textId="05843E88" w:rsidR="001C1846" w:rsidRPr="00EC326F" w:rsidRDefault="001C1846" w:rsidP="001C1846">
            <w:pPr>
              <w:pStyle w:val="TableTextSmall"/>
              <w:jc w:val="center"/>
            </w:pPr>
            <w:r>
              <w:rPr>
                <w:rFonts w:ascii="Arial" w:hAnsi="Arial"/>
                <w:color w:val="404040"/>
                <w:sz w:val="14"/>
                <w:szCs w:val="14"/>
              </w:rPr>
              <w:t>781,816</w:t>
            </w:r>
          </w:p>
        </w:tc>
        <w:tc>
          <w:tcPr>
            <w:tcW w:w="1134" w:type="dxa"/>
            <w:tcBorders>
              <w:top w:val="single" w:sz="4" w:space="0" w:color="E02628"/>
              <w:left w:val="nil"/>
              <w:bottom w:val="single" w:sz="4" w:space="0" w:color="E02628"/>
              <w:right w:val="nil"/>
            </w:tcBorders>
            <w:shd w:val="clear" w:color="000000" w:fill="FFFFFF"/>
            <w:noWrap/>
            <w:vAlign w:val="center"/>
          </w:tcPr>
          <w:p w14:paraId="26973350" w14:textId="3D5F9C02" w:rsidR="001C1846" w:rsidRPr="00EC326F" w:rsidRDefault="001C1846" w:rsidP="001C1846">
            <w:pPr>
              <w:pStyle w:val="TableTextSmall"/>
              <w:jc w:val="center"/>
            </w:pPr>
            <w:r>
              <w:rPr>
                <w:rFonts w:ascii="Arial" w:hAnsi="Arial"/>
                <w:color w:val="404040"/>
                <w:sz w:val="14"/>
                <w:szCs w:val="14"/>
              </w:rPr>
              <w:t>450</w:t>
            </w:r>
          </w:p>
        </w:tc>
        <w:tc>
          <w:tcPr>
            <w:tcW w:w="992" w:type="dxa"/>
            <w:tcBorders>
              <w:top w:val="single" w:sz="4" w:space="0" w:color="E02628"/>
              <w:left w:val="nil"/>
              <w:bottom w:val="single" w:sz="4" w:space="0" w:color="E02628"/>
              <w:right w:val="nil"/>
            </w:tcBorders>
            <w:shd w:val="clear" w:color="000000" w:fill="FFFFFF"/>
            <w:noWrap/>
            <w:vAlign w:val="center"/>
          </w:tcPr>
          <w:p w14:paraId="119847F3" w14:textId="17F0BFD6" w:rsidR="001C1846" w:rsidRPr="00EC326F" w:rsidRDefault="001C1846" w:rsidP="001C1846">
            <w:pPr>
              <w:pStyle w:val="TableTextSmall"/>
              <w:jc w:val="center"/>
            </w:pPr>
            <w:r>
              <w:rPr>
                <w:rFonts w:ascii="Arial" w:hAnsi="Arial"/>
                <w:color w:val="404040"/>
                <w:sz w:val="14"/>
                <w:szCs w:val="14"/>
              </w:rPr>
              <w:t>-3.8%</w:t>
            </w:r>
          </w:p>
        </w:tc>
        <w:tc>
          <w:tcPr>
            <w:tcW w:w="992" w:type="dxa"/>
            <w:tcBorders>
              <w:top w:val="single" w:sz="4" w:space="0" w:color="E02628"/>
              <w:left w:val="nil"/>
              <w:bottom w:val="single" w:sz="4" w:space="0" w:color="E02628"/>
              <w:right w:val="nil"/>
            </w:tcBorders>
            <w:shd w:val="clear" w:color="000000" w:fill="FFFFFF"/>
            <w:noWrap/>
            <w:vAlign w:val="center"/>
          </w:tcPr>
          <w:p w14:paraId="1A0CFE7C" w14:textId="09FC36AF" w:rsidR="001C1846" w:rsidRPr="00EC326F" w:rsidRDefault="001C1846" w:rsidP="001C1846">
            <w:pPr>
              <w:pStyle w:val="TableTextSmall"/>
              <w:jc w:val="center"/>
            </w:pPr>
            <w:r>
              <w:rPr>
                <w:rFonts w:ascii="Arial" w:hAnsi="Arial"/>
                <w:color w:val="404040"/>
                <w:sz w:val="14"/>
                <w:szCs w:val="14"/>
              </w:rPr>
              <w:t>8.1%</w:t>
            </w:r>
          </w:p>
        </w:tc>
      </w:tr>
      <w:tr w:rsidR="001C1846" w:rsidRPr="00EC326F" w14:paraId="34BBF4F0"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2A90BDB4" w14:textId="77777777" w:rsidR="001C1846" w:rsidRPr="00EC326F" w:rsidRDefault="001C1846" w:rsidP="001C1846">
            <w:pPr>
              <w:pStyle w:val="TableTextSmall"/>
              <w:ind w:left="227"/>
              <w:rPr>
                <w:snapToGrid/>
                <w:lang w:eastAsia="en-AU"/>
              </w:rPr>
            </w:pPr>
            <w:r w:rsidRPr="00EC326F">
              <w:rPr>
                <w:snapToGrid/>
                <w:lang w:eastAsia="en-AU"/>
              </w:rPr>
              <w:t>- Age pensioners</w:t>
            </w:r>
          </w:p>
        </w:tc>
        <w:tc>
          <w:tcPr>
            <w:tcW w:w="1134" w:type="dxa"/>
            <w:tcBorders>
              <w:top w:val="single" w:sz="4" w:space="0" w:color="E02628"/>
              <w:left w:val="nil"/>
              <w:bottom w:val="single" w:sz="4" w:space="0" w:color="E02628"/>
              <w:right w:val="nil"/>
            </w:tcBorders>
            <w:shd w:val="clear" w:color="000000" w:fill="FFFFFF"/>
            <w:vAlign w:val="center"/>
          </w:tcPr>
          <w:p w14:paraId="0DCA6A40" w14:textId="55042672" w:rsidR="001C1846" w:rsidRPr="00EC326F" w:rsidRDefault="001C1846" w:rsidP="001C1846">
            <w:pPr>
              <w:pStyle w:val="TableTextSmall"/>
              <w:jc w:val="center"/>
            </w:pPr>
            <w:r>
              <w:rPr>
                <w:rFonts w:ascii="Arial" w:hAnsi="Arial"/>
                <w:color w:val="404040"/>
                <w:sz w:val="14"/>
                <w:szCs w:val="14"/>
              </w:rPr>
              <w:t>2,495,162</w:t>
            </w:r>
          </w:p>
        </w:tc>
        <w:tc>
          <w:tcPr>
            <w:tcW w:w="1134" w:type="dxa"/>
            <w:tcBorders>
              <w:top w:val="single" w:sz="4" w:space="0" w:color="E02628"/>
              <w:left w:val="nil"/>
              <w:bottom w:val="single" w:sz="4" w:space="0" w:color="E02628"/>
              <w:right w:val="nil"/>
            </w:tcBorders>
            <w:shd w:val="clear" w:color="000000" w:fill="FFFFFF"/>
            <w:vAlign w:val="center"/>
          </w:tcPr>
          <w:p w14:paraId="295AD425" w14:textId="1B43B683" w:rsidR="001C1846" w:rsidRPr="00EC326F" w:rsidRDefault="001C1846" w:rsidP="001C1846">
            <w:pPr>
              <w:pStyle w:val="TableTextSmall"/>
              <w:jc w:val="center"/>
            </w:pPr>
            <w:r>
              <w:rPr>
                <w:rFonts w:ascii="Arial" w:hAnsi="Arial"/>
                <w:color w:val="404040"/>
                <w:sz w:val="14"/>
                <w:szCs w:val="14"/>
              </w:rPr>
              <w:t>203</w:t>
            </w:r>
          </w:p>
        </w:tc>
        <w:tc>
          <w:tcPr>
            <w:tcW w:w="1134" w:type="dxa"/>
            <w:tcBorders>
              <w:top w:val="single" w:sz="4" w:space="0" w:color="E02628"/>
              <w:left w:val="nil"/>
              <w:bottom w:val="single" w:sz="4" w:space="0" w:color="E02628"/>
              <w:right w:val="nil"/>
            </w:tcBorders>
            <w:shd w:val="clear" w:color="000000" w:fill="FFFFFF"/>
            <w:noWrap/>
            <w:vAlign w:val="center"/>
            <w:hideMark/>
          </w:tcPr>
          <w:p w14:paraId="1C896071" w14:textId="0FBD83ED" w:rsidR="001C1846" w:rsidRPr="00EC326F" w:rsidRDefault="001C1846" w:rsidP="001C1846">
            <w:pPr>
              <w:pStyle w:val="TableTextSmall"/>
              <w:jc w:val="center"/>
            </w:pPr>
            <w:r>
              <w:rPr>
                <w:rFonts w:ascii="Arial" w:hAnsi="Arial"/>
                <w:color w:val="404040"/>
                <w:sz w:val="14"/>
                <w:szCs w:val="14"/>
              </w:rPr>
              <w:t>2,550,939</w:t>
            </w:r>
          </w:p>
        </w:tc>
        <w:tc>
          <w:tcPr>
            <w:tcW w:w="1134" w:type="dxa"/>
            <w:tcBorders>
              <w:top w:val="single" w:sz="4" w:space="0" w:color="E02628"/>
              <w:left w:val="nil"/>
              <w:bottom w:val="single" w:sz="4" w:space="0" w:color="E02628"/>
              <w:right w:val="nil"/>
            </w:tcBorders>
            <w:shd w:val="clear" w:color="000000" w:fill="FFFFFF"/>
            <w:noWrap/>
            <w:vAlign w:val="center"/>
          </w:tcPr>
          <w:p w14:paraId="5D459016" w14:textId="747AE7BF" w:rsidR="001C1846" w:rsidRPr="00EC326F" w:rsidRDefault="001C1846" w:rsidP="001C1846">
            <w:pPr>
              <w:pStyle w:val="TableTextSmall"/>
              <w:jc w:val="center"/>
            </w:pPr>
            <w:r>
              <w:rPr>
                <w:rFonts w:ascii="Arial" w:hAnsi="Arial"/>
                <w:color w:val="404040"/>
                <w:sz w:val="14"/>
                <w:szCs w:val="14"/>
              </w:rPr>
              <w:t>203</w:t>
            </w:r>
          </w:p>
        </w:tc>
        <w:tc>
          <w:tcPr>
            <w:tcW w:w="992" w:type="dxa"/>
            <w:tcBorders>
              <w:top w:val="single" w:sz="4" w:space="0" w:color="E02628"/>
              <w:left w:val="nil"/>
              <w:bottom w:val="single" w:sz="4" w:space="0" w:color="E02628"/>
              <w:right w:val="nil"/>
            </w:tcBorders>
            <w:shd w:val="clear" w:color="000000" w:fill="FFFFFF"/>
            <w:noWrap/>
            <w:vAlign w:val="center"/>
          </w:tcPr>
          <w:p w14:paraId="50B58F4E" w14:textId="2A19839F" w:rsidR="001C1846" w:rsidRPr="00EC326F" w:rsidRDefault="001C1846" w:rsidP="001C1846">
            <w:pPr>
              <w:pStyle w:val="TableTextSmall"/>
              <w:jc w:val="center"/>
            </w:pPr>
            <w:r>
              <w:rPr>
                <w:rFonts w:ascii="Arial" w:hAnsi="Arial"/>
                <w:color w:val="404040"/>
                <w:sz w:val="14"/>
                <w:szCs w:val="14"/>
              </w:rPr>
              <w:t>2.2%</w:t>
            </w:r>
          </w:p>
        </w:tc>
        <w:tc>
          <w:tcPr>
            <w:tcW w:w="992" w:type="dxa"/>
            <w:tcBorders>
              <w:top w:val="single" w:sz="4" w:space="0" w:color="E02628"/>
              <w:left w:val="nil"/>
              <w:bottom w:val="single" w:sz="4" w:space="0" w:color="E02628"/>
              <w:right w:val="nil"/>
            </w:tcBorders>
            <w:shd w:val="clear" w:color="000000" w:fill="FFFFFF"/>
            <w:noWrap/>
            <w:vAlign w:val="center"/>
          </w:tcPr>
          <w:p w14:paraId="60479214" w14:textId="2FDB40B5" w:rsidR="001C1846" w:rsidRPr="00EC326F" w:rsidRDefault="001C1846" w:rsidP="001C1846">
            <w:pPr>
              <w:pStyle w:val="TableTextSmall"/>
              <w:jc w:val="center"/>
            </w:pPr>
            <w:r>
              <w:rPr>
                <w:rFonts w:ascii="Arial" w:hAnsi="Arial"/>
                <w:color w:val="404040"/>
                <w:sz w:val="14"/>
                <w:szCs w:val="14"/>
              </w:rPr>
              <w:t>0.0%</w:t>
            </w:r>
          </w:p>
        </w:tc>
      </w:tr>
      <w:tr w:rsidR="001C1846" w:rsidRPr="00EC326F" w14:paraId="0CD5B308"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29B075B4" w14:textId="77777777" w:rsidR="001C1846" w:rsidRPr="00EC326F" w:rsidRDefault="001C1846" w:rsidP="001C1846">
            <w:pPr>
              <w:pStyle w:val="TableTextSmall"/>
              <w:ind w:left="227"/>
              <w:rPr>
                <w:snapToGrid/>
                <w:lang w:eastAsia="en-AU"/>
              </w:rPr>
            </w:pPr>
            <w:r w:rsidRPr="00EC326F">
              <w:rPr>
                <w:snapToGrid/>
                <w:lang w:eastAsia="en-AU"/>
              </w:rPr>
              <w:t>- Family non IS clients</w:t>
            </w:r>
          </w:p>
        </w:tc>
        <w:tc>
          <w:tcPr>
            <w:tcW w:w="1134" w:type="dxa"/>
            <w:tcBorders>
              <w:top w:val="single" w:sz="4" w:space="0" w:color="E02628"/>
              <w:left w:val="nil"/>
              <w:bottom w:val="single" w:sz="4" w:space="0" w:color="E02628"/>
              <w:right w:val="nil"/>
            </w:tcBorders>
            <w:shd w:val="clear" w:color="000000" w:fill="FFFFFF"/>
            <w:vAlign w:val="center"/>
          </w:tcPr>
          <w:p w14:paraId="71A03E0C" w14:textId="44CF36B8" w:rsidR="001C1846" w:rsidRPr="00EC326F" w:rsidRDefault="001C1846" w:rsidP="001C1846">
            <w:pPr>
              <w:pStyle w:val="TableTextSmall"/>
              <w:jc w:val="center"/>
            </w:pPr>
            <w:r>
              <w:rPr>
                <w:rFonts w:ascii="Arial" w:hAnsi="Arial"/>
                <w:color w:val="404040"/>
                <w:sz w:val="14"/>
                <w:szCs w:val="14"/>
              </w:rPr>
              <w:t>1,546,834</w:t>
            </w:r>
          </w:p>
        </w:tc>
        <w:tc>
          <w:tcPr>
            <w:tcW w:w="1134" w:type="dxa"/>
            <w:tcBorders>
              <w:top w:val="single" w:sz="4" w:space="0" w:color="E02628"/>
              <w:left w:val="nil"/>
              <w:bottom w:val="single" w:sz="4" w:space="0" w:color="E02628"/>
              <w:right w:val="nil"/>
            </w:tcBorders>
            <w:shd w:val="clear" w:color="000000" w:fill="FFFFFF"/>
            <w:vAlign w:val="center"/>
          </w:tcPr>
          <w:p w14:paraId="2B795363" w14:textId="5C72FCAB" w:rsidR="001C1846" w:rsidRPr="00EC326F" w:rsidRDefault="001C1846" w:rsidP="001C1846">
            <w:pPr>
              <w:pStyle w:val="TableTextSmall"/>
              <w:jc w:val="center"/>
            </w:pPr>
            <w:r>
              <w:rPr>
                <w:rFonts w:ascii="Arial" w:hAnsi="Arial"/>
                <w:color w:val="404040"/>
                <w:sz w:val="14"/>
                <w:szCs w:val="14"/>
              </w:rPr>
              <w:t>221</w:t>
            </w:r>
          </w:p>
        </w:tc>
        <w:tc>
          <w:tcPr>
            <w:tcW w:w="1134" w:type="dxa"/>
            <w:tcBorders>
              <w:top w:val="single" w:sz="4" w:space="0" w:color="E02628"/>
              <w:left w:val="nil"/>
              <w:bottom w:val="single" w:sz="4" w:space="0" w:color="E02628"/>
              <w:right w:val="nil"/>
            </w:tcBorders>
            <w:shd w:val="clear" w:color="000000" w:fill="FFFFFF"/>
            <w:noWrap/>
            <w:vAlign w:val="center"/>
            <w:hideMark/>
          </w:tcPr>
          <w:p w14:paraId="6880CEB6" w14:textId="4254256E" w:rsidR="001C1846" w:rsidRPr="00EC326F" w:rsidRDefault="001C1846" w:rsidP="001C1846">
            <w:pPr>
              <w:pStyle w:val="TableTextSmall"/>
              <w:jc w:val="center"/>
            </w:pPr>
            <w:r>
              <w:rPr>
                <w:rFonts w:ascii="Arial" w:hAnsi="Arial"/>
                <w:color w:val="404040"/>
                <w:sz w:val="14"/>
                <w:szCs w:val="14"/>
              </w:rPr>
              <w:t>1,553,941</w:t>
            </w:r>
          </w:p>
        </w:tc>
        <w:tc>
          <w:tcPr>
            <w:tcW w:w="1134" w:type="dxa"/>
            <w:tcBorders>
              <w:top w:val="single" w:sz="4" w:space="0" w:color="E02628"/>
              <w:left w:val="nil"/>
              <w:bottom w:val="single" w:sz="4" w:space="0" w:color="E02628"/>
              <w:right w:val="nil"/>
            </w:tcBorders>
            <w:shd w:val="clear" w:color="000000" w:fill="FFFFFF"/>
            <w:noWrap/>
            <w:vAlign w:val="center"/>
          </w:tcPr>
          <w:p w14:paraId="3086FC7A" w14:textId="312CC9B9" w:rsidR="001C1846" w:rsidRPr="00EC326F" w:rsidRDefault="001C1846" w:rsidP="001C1846">
            <w:pPr>
              <w:pStyle w:val="TableTextSmall"/>
              <w:jc w:val="center"/>
            </w:pPr>
            <w:r>
              <w:rPr>
                <w:rFonts w:ascii="Arial" w:hAnsi="Arial"/>
                <w:color w:val="404040"/>
                <w:sz w:val="14"/>
                <w:szCs w:val="14"/>
              </w:rPr>
              <w:t>194</w:t>
            </w:r>
          </w:p>
        </w:tc>
        <w:tc>
          <w:tcPr>
            <w:tcW w:w="992" w:type="dxa"/>
            <w:tcBorders>
              <w:top w:val="single" w:sz="4" w:space="0" w:color="E02628"/>
              <w:left w:val="nil"/>
              <w:bottom w:val="single" w:sz="4" w:space="0" w:color="E02628"/>
              <w:right w:val="nil"/>
            </w:tcBorders>
            <w:shd w:val="clear" w:color="000000" w:fill="FFFFFF"/>
            <w:noWrap/>
            <w:vAlign w:val="center"/>
          </w:tcPr>
          <w:p w14:paraId="45909E6D" w14:textId="1E43931A" w:rsidR="001C1846" w:rsidRPr="00EC326F" w:rsidRDefault="001C1846" w:rsidP="001C1846">
            <w:pPr>
              <w:pStyle w:val="TableTextSmall"/>
              <w:jc w:val="center"/>
            </w:pPr>
            <w:r>
              <w:rPr>
                <w:rFonts w:ascii="Arial" w:hAnsi="Arial"/>
                <w:color w:val="404040"/>
                <w:sz w:val="14"/>
                <w:szCs w:val="14"/>
              </w:rPr>
              <w:t>0.5%</w:t>
            </w:r>
          </w:p>
        </w:tc>
        <w:tc>
          <w:tcPr>
            <w:tcW w:w="992" w:type="dxa"/>
            <w:tcBorders>
              <w:top w:val="single" w:sz="4" w:space="0" w:color="E02628"/>
              <w:left w:val="nil"/>
              <w:bottom w:val="single" w:sz="4" w:space="0" w:color="E02628"/>
              <w:right w:val="nil"/>
            </w:tcBorders>
            <w:shd w:val="clear" w:color="000000" w:fill="FFFFFF"/>
            <w:noWrap/>
            <w:vAlign w:val="center"/>
          </w:tcPr>
          <w:p w14:paraId="581A87B9" w14:textId="447FE674" w:rsidR="001C1846" w:rsidRPr="00EC326F" w:rsidRDefault="001C1846" w:rsidP="001C1846">
            <w:pPr>
              <w:pStyle w:val="TableTextSmall"/>
              <w:jc w:val="center"/>
            </w:pPr>
            <w:r>
              <w:rPr>
                <w:rFonts w:ascii="Arial" w:hAnsi="Arial"/>
                <w:color w:val="404040"/>
                <w:sz w:val="14"/>
                <w:szCs w:val="14"/>
              </w:rPr>
              <w:t>-12.3%</w:t>
            </w:r>
          </w:p>
        </w:tc>
      </w:tr>
      <w:tr w:rsidR="001C1846" w:rsidRPr="00EC326F" w14:paraId="11EAE446"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7D41DFD1" w14:textId="77777777" w:rsidR="001C1846" w:rsidRPr="00EC326F" w:rsidRDefault="001C1846" w:rsidP="001C1846">
            <w:pPr>
              <w:pStyle w:val="TableTextSmall"/>
              <w:ind w:left="227"/>
              <w:rPr>
                <w:snapToGrid/>
                <w:lang w:eastAsia="en-AU"/>
              </w:rPr>
            </w:pPr>
            <w:r w:rsidRPr="00EC326F">
              <w:rPr>
                <w:snapToGrid/>
                <w:lang w:eastAsia="en-AU"/>
              </w:rPr>
              <w:t>- Carer non IS clients</w:t>
            </w:r>
          </w:p>
        </w:tc>
        <w:tc>
          <w:tcPr>
            <w:tcW w:w="1134" w:type="dxa"/>
            <w:tcBorders>
              <w:top w:val="single" w:sz="4" w:space="0" w:color="E02628"/>
              <w:left w:val="nil"/>
              <w:bottom w:val="single" w:sz="4" w:space="0" w:color="E02628"/>
              <w:right w:val="nil"/>
            </w:tcBorders>
            <w:shd w:val="clear" w:color="000000" w:fill="FFFFFF"/>
            <w:vAlign w:val="center"/>
          </w:tcPr>
          <w:p w14:paraId="633451AE" w14:textId="25F28FB5" w:rsidR="001C1846" w:rsidRPr="00EC326F" w:rsidRDefault="001C1846" w:rsidP="001C1846">
            <w:pPr>
              <w:pStyle w:val="TableTextSmall"/>
              <w:jc w:val="center"/>
            </w:pPr>
            <w:r>
              <w:rPr>
                <w:rFonts w:ascii="Arial" w:hAnsi="Arial"/>
                <w:color w:val="404040"/>
                <w:sz w:val="14"/>
                <w:szCs w:val="14"/>
              </w:rPr>
              <w:t>199,035</w:t>
            </w:r>
          </w:p>
        </w:tc>
        <w:tc>
          <w:tcPr>
            <w:tcW w:w="1134" w:type="dxa"/>
            <w:tcBorders>
              <w:top w:val="single" w:sz="4" w:space="0" w:color="E02628"/>
              <w:left w:val="nil"/>
              <w:bottom w:val="single" w:sz="4" w:space="0" w:color="E02628"/>
              <w:right w:val="nil"/>
            </w:tcBorders>
            <w:shd w:val="clear" w:color="000000" w:fill="FFFFFF"/>
            <w:vAlign w:val="center"/>
          </w:tcPr>
          <w:p w14:paraId="692E6AAF" w14:textId="657FD43D" w:rsidR="001C1846" w:rsidRPr="00EC326F" w:rsidRDefault="001C1846" w:rsidP="001C1846">
            <w:pPr>
              <w:pStyle w:val="TableTextSmall"/>
              <w:jc w:val="center"/>
            </w:pPr>
            <w:r>
              <w:rPr>
                <w:rFonts w:ascii="Arial" w:hAnsi="Arial"/>
                <w:color w:val="404040"/>
                <w:sz w:val="14"/>
                <w:szCs w:val="14"/>
              </w:rPr>
              <w:t>213</w:t>
            </w:r>
          </w:p>
        </w:tc>
        <w:tc>
          <w:tcPr>
            <w:tcW w:w="1134" w:type="dxa"/>
            <w:tcBorders>
              <w:top w:val="single" w:sz="4" w:space="0" w:color="E02628"/>
              <w:left w:val="nil"/>
              <w:bottom w:val="single" w:sz="4" w:space="0" w:color="E02628"/>
              <w:right w:val="nil"/>
            </w:tcBorders>
            <w:shd w:val="clear" w:color="000000" w:fill="FFFFFF"/>
            <w:noWrap/>
            <w:vAlign w:val="center"/>
            <w:hideMark/>
          </w:tcPr>
          <w:p w14:paraId="34BF99AF" w14:textId="73FE1EEB" w:rsidR="001C1846" w:rsidRPr="00EC326F" w:rsidRDefault="001C1846" w:rsidP="001C1846">
            <w:pPr>
              <w:pStyle w:val="TableTextSmall"/>
              <w:jc w:val="center"/>
            </w:pPr>
            <w:r>
              <w:rPr>
                <w:rFonts w:ascii="Arial" w:hAnsi="Arial"/>
                <w:color w:val="404040"/>
                <w:sz w:val="14"/>
                <w:szCs w:val="14"/>
              </w:rPr>
              <w:t>200,678</w:t>
            </w:r>
          </w:p>
        </w:tc>
        <w:tc>
          <w:tcPr>
            <w:tcW w:w="1134" w:type="dxa"/>
            <w:tcBorders>
              <w:top w:val="single" w:sz="4" w:space="0" w:color="E02628"/>
              <w:left w:val="nil"/>
              <w:bottom w:val="single" w:sz="4" w:space="0" w:color="E02628"/>
              <w:right w:val="nil"/>
            </w:tcBorders>
            <w:shd w:val="clear" w:color="000000" w:fill="FFFFFF"/>
            <w:noWrap/>
            <w:vAlign w:val="center"/>
          </w:tcPr>
          <w:p w14:paraId="3577ADCF" w14:textId="76F519C0" w:rsidR="001C1846" w:rsidRPr="00EC326F" w:rsidRDefault="001C1846" w:rsidP="001C1846">
            <w:pPr>
              <w:pStyle w:val="TableTextSmall"/>
              <w:jc w:val="center"/>
            </w:pPr>
            <w:r>
              <w:rPr>
                <w:rFonts w:ascii="Arial" w:hAnsi="Arial"/>
                <w:color w:val="404040"/>
                <w:sz w:val="14"/>
                <w:szCs w:val="14"/>
              </w:rPr>
              <w:t>206</w:t>
            </w:r>
          </w:p>
        </w:tc>
        <w:tc>
          <w:tcPr>
            <w:tcW w:w="992" w:type="dxa"/>
            <w:tcBorders>
              <w:top w:val="single" w:sz="4" w:space="0" w:color="E02628"/>
              <w:left w:val="nil"/>
              <w:bottom w:val="single" w:sz="4" w:space="0" w:color="E02628"/>
              <w:right w:val="nil"/>
            </w:tcBorders>
            <w:shd w:val="clear" w:color="000000" w:fill="FFFFFF"/>
            <w:noWrap/>
            <w:vAlign w:val="center"/>
          </w:tcPr>
          <w:p w14:paraId="4B53B2DE" w14:textId="33E9C8AC" w:rsidR="001C1846" w:rsidRPr="00EC326F" w:rsidRDefault="001C1846" w:rsidP="001C1846">
            <w:pPr>
              <w:pStyle w:val="TableTextSmall"/>
              <w:jc w:val="center"/>
            </w:pPr>
            <w:r>
              <w:rPr>
                <w:rFonts w:ascii="Arial" w:hAnsi="Arial"/>
                <w:color w:val="404040"/>
                <w:sz w:val="14"/>
                <w:szCs w:val="14"/>
              </w:rPr>
              <w:t>0.8%</w:t>
            </w:r>
          </w:p>
        </w:tc>
        <w:tc>
          <w:tcPr>
            <w:tcW w:w="992" w:type="dxa"/>
            <w:tcBorders>
              <w:top w:val="single" w:sz="4" w:space="0" w:color="E02628"/>
              <w:left w:val="nil"/>
              <w:bottom w:val="single" w:sz="4" w:space="0" w:color="E02628"/>
              <w:right w:val="nil"/>
            </w:tcBorders>
            <w:shd w:val="clear" w:color="000000" w:fill="FFFFFF"/>
            <w:noWrap/>
            <w:vAlign w:val="center"/>
          </w:tcPr>
          <w:p w14:paraId="6501D23A" w14:textId="3D731AC8" w:rsidR="001C1846" w:rsidRPr="00EC326F" w:rsidRDefault="001C1846" w:rsidP="001C1846">
            <w:pPr>
              <w:pStyle w:val="TableTextSmall"/>
              <w:jc w:val="center"/>
            </w:pPr>
            <w:r>
              <w:rPr>
                <w:rFonts w:ascii="Arial" w:hAnsi="Arial"/>
                <w:color w:val="404040"/>
                <w:sz w:val="14"/>
                <w:szCs w:val="14"/>
              </w:rPr>
              <w:t>-3.1%</w:t>
            </w:r>
          </w:p>
        </w:tc>
      </w:tr>
      <w:tr w:rsidR="001C1846" w:rsidRPr="00EC326F" w14:paraId="08BE787B"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7B4405CD" w14:textId="77777777" w:rsidR="001C1846" w:rsidRPr="00EC326F" w:rsidRDefault="001C1846" w:rsidP="001C1846">
            <w:pPr>
              <w:pStyle w:val="TableTextSmall"/>
              <w:ind w:left="227"/>
              <w:rPr>
                <w:snapToGrid/>
                <w:lang w:eastAsia="en-AU"/>
              </w:rPr>
            </w:pPr>
            <w:r w:rsidRPr="00EC326F">
              <w:rPr>
                <w:snapToGrid/>
                <w:lang w:eastAsia="en-AU"/>
              </w:rPr>
              <w:t>- Other non IS clients</w:t>
            </w:r>
          </w:p>
        </w:tc>
        <w:tc>
          <w:tcPr>
            <w:tcW w:w="1134" w:type="dxa"/>
            <w:tcBorders>
              <w:top w:val="single" w:sz="4" w:space="0" w:color="E02628"/>
              <w:left w:val="nil"/>
              <w:bottom w:val="single" w:sz="4" w:space="0" w:color="E02628"/>
              <w:right w:val="nil"/>
            </w:tcBorders>
            <w:shd w:val="clear" w:color="000000" w:fill="FFFFFF"/>
            <w:vAlign w:val="center"/>
          </w:tcPr>
          <w:p w14:paraId="7B9F8866" w14:textId="69A32DC6" w:rsidR="001C1846" w:rsidRPr="00EC326F" w:rsidRDefault="001C1846" w:rsidP="001C1846">
            <w:pPr>
              <w:pStyle w:val="TableTextSmall"/>
              <w:jc w:val="center"/>
            </w:pPr>
            <w:r>
              <w:rPr>
                <w:rFonts w:ascii="Arial" w:hAnsi="Arial"/>
                <w:color w:val="404040"/>
                <w:sz w:val="14"/>
                <w:szCs w:val="14"/>
              </w:rPr>
              <w:t>561,012</w:t>
            </w:r>
          </w:p>
        </w:tc>
        <w:tc>
          <w:tcPr>
            <w:tcW w:w="1134" w:type="dxa"/>
            <w:tcBorders>
              <w:top w:val="single" w:sz="4" w:space="0" w:color="E02628"/>
              <w:left w:val="nil"/>
              <w:bottom w:val="single" w:sz="4" w:space="0" w:color="E02628"/>
              <w:right w:val="nil"/>
            </w:tcBorders>
            <w:shd w:val="clear" w:color="000000" w:fill="FFFFFF"/>
            <w:vAlign w:val="center"/>
          </w:tcPr>
          <w:p w14:paraId="3240A5DE" w14:textId="341FE331" w:rsidR="001C1846" w:rsidRPr="00EC326F" w:rsidRDefault="001C1846" w:rsidP="001C1846">
            <w:pPr>
              <w:pStyle w:val="TableTextSmall"/>
              <w:jc w:val="center"/>
            </w:pPr>
            <w:r>
              <w:rPr>
                <w:rFonts w:ascii="Arial" w:hAnsi="Arial"/>
                <w:color w:val="404040"/>
                <w:sz w:val="14"/>
                <w:szCs w:val="14"/>
              </w:rPr>
              <w:t>155</w:t>
            </w:r>
          </w:p>
        </w:tc>
        <w:tc>
          <w:tcPr>
            <w:tcW w:w="1134" w:type="dxa"/>
            <w:tcBorders>
              <w:top w:val="single" w:sz="4" w:space="0" w:color="E02628"/>
              <w:left w:val="nil"/>
              <w:bottom w:val="single" w:sz="4" w:space="0" w:color="E02628"/>
              <w:right w:val="nil"/>
            </w:tcBorders>
            <w:shd w:val="clear" w:color="000000" w:fill="FFFFFF"/>
            <w:noWrap/>
            <w:vAlign w:val="center"/>
            <w:hideMark/>
          </w:tcPr>
          <w:p w14:paraId="75281661" w14:textId="465B959C" w:rsidR="001C1846" w:rsidRPr="00EC326F" w:rsidRDefault="001C1846" w:rsidP="001C1846">
            <w:pPr>
              <w:pStyle w:val="TableTextSmall"/>
              <w:jc w:val="center"/>
            </w:pPr>
            <w:r>
              <w:rPr>
                <w:rFonts w:ascii="Arial" w:hAnsi="Arial"/>
                <w:color w:val="404040"/>
                <w:sz w:val="14"/>
                <w:szCs w:val="14"/>
              </w:rPr>
              <w:t>543,327</w:t>
            </w:r>
          </w:p>
        </w:tc>
        <w:tc>
          <w:tcPr>
            <w:tcW w:w="1134" w:type="dxa"/>
            <w:tcBorders>
              <w:top w:val="single" w:sz="4" w:space="0" w:color="E02628"/>
              <w:left w:val="nil"/>
              <w:bottom w:val="single" w:sz="4" w:space="0" w:color="E02628"/>
              <w:right w:val="nil"/>
            </w:tcBorders>
            <w:shd w:val="clear" w:color="000000" w:fill="FFFFFF"/>
            <w:noWrap/>
            <w:vAlign w:val="center"/>
          </w:tcPr>
          <w:p w14:paraId="1DEF7430" w14:textId="42874E19" w:rsidR="001C1846" w:rsidRPr="00EC326F" w:rsidRDefault="001C1846" w:rsidP="001C1846">
            <w:pPr>
              <w:pStyle w:val="TableTextSmall"/>
              <w:jc w:val="center"/>
            </w:pPr>
            <w:r>
              <w:rPr>
                <w:rFonts w:ascii="Arial" w:hAnsi="Arial"/>
                <w:color w:val="404040"/>
                <w:sz w:val="14"/>
                <w:szCs w:val="14"/>
              </w:rPr>
              <w:t>137</w:t>
            </w:r>
          </w:p>
        </w:tc>
        <w:tc>
          <w:tcPr>
            <w:tcW w:w="992" w:type="dxa"/>
            <w:tcBorders>
              <w:top w:val="single" w:sz="4" w:space="0" w:color="E02628"/>
              <w:left w:val="nil"/>
              <w:bottom w:val="single" w:sz="4" w:space="0" w:color="E02628"/>
              <w:right w:val="nil"/>
            </w:tcBorders>
            <w:shd w:val="clear" w:color="000000" w:fill="FFFFFF"/>
            <w:noWrap/>
            <w:vAlign w:val="center"/>
          </w:tcPr>
          <w:p w14:paraId="06490D1D" w14:textId="5BCBF969" w:rsidR="001C1846" w:rsidRPr="00EC326F" w:rsidRDefault="001C1846" w:rsidP="001C1846">
            <w:pPr>
              <w:pStyle w:val="TableTextSmall"/>
              <w:jc w:val="center"/>
            </w:pPr>
            <w:r>
              <w:rPr>
                <w:rFonts w:ascii="Arial" w:hAnsi="Arial"/>
                <w:color w:val="404040"/>
                <w:sz w:val="14"/>
                <w:szCs w:val="14"/>
              </w:rPr>
              <w:t>-3.2%</w:t>
            </w:r>
          </w:p>
        </w:tc>
        <w:tc>
          <w:tcPr>
            <w:tcW w:w="992" w:type="dxa"/>
            <w:tcBorders>
              <w:top w:val="single" w:sz="4" w:space="0" w:color="E02628"/>
              <w:left w:val="nil"/>
              <w:bottom w:val="single" w:sz="4" w:space="0" w:color="E02628"/>
              <w:right w:val="nil"/>
            </w:tcBorders>
            <w:shd w:val="clear" w:color="000000" w:fill="FFFFFF"/>
            <w:noWrap/>
            <w:vAlign w:val="center"/>
          </w:tcPr>
          <w:p w14:paraId="3B88C370" w14:textId="3E112299" w:rsidR="001C1846" w:rsidRPr="00EC326F" w:rsidRDefault="001C1846" w:rsidP="001C1846">
            <w:pPr>
              <w:pStyle w:val="TableTextSmall"/>
              <w:jc w:val="center"/>
            </w:pPr>
            <w:r>
              <w:rPr>
                <w:rFonts w:ascii="Arial" w:hAnsi="Arial"/>
                <w:color w:val="404040"/>
                <w:sz w:val="14"/>
                <w:szCs w:val="14"/>
              </w:rPr>
              <w:t>-12.0%</w:t>
            </w:r>
          </w:p>
        </w:tc>
      </w:tr>
      <w:tr w:rsidR="001C1846" w:rsidRPr="00EC326F" w14:paraId="68398928"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0E20C387" w14:textId="77777777" w:rsidR="001C1846" w:rsidRPr="00EC326F" w:rsidRDefault="001C1846" w:rsidP="001C1846">
            <w:pPr>
              <w:pStyle w:val="TableTextSmall"/>
              <w:rPr>
                <w:i/>
                <w:snapToGrid/>
                <w:lang w:eastAsia="en-AU"/>
              </w:rPr>
            </w:pPr>
            <w:r w:rsidRPr="00EC326F">
              <w:rPr>
                <w:i/>
                <w:snapToGrid/>
                <w:lang w:eastAsia="en-AU"/>
              </w:rPr>
              <w:t>Total current welfare recipients</w:t>
            </w:r>
          </w:p>
        </w:tc>
        <w:tc>
          <w:tcPr>
            <w:tcW w:w="1134" w:type="dxa"/>
            <w:tcBorders>
              <w:top w:val="single" w:sz="4" w:space="0" w:color="E02628"/>
              <w:left w:val="nil"/>
              <w:bottom w:val="single" w:sz="4" w:space="0" w:color="E02628"/>
              <w:right w:val="nil"/>
            </w:tcBorders>
            <w:shd w:val="clear" w:color="000000" w:fill="FFFFFF"/>
            <w:vAlign w:val="center"/>
          </w:tcPr>
          <w:p w14:paraId="19F9D867" w14:textId="1D8EF647" w:rsidR="001C1846" w:rsidRPr="00EC326F" w:rsidRDefault="001C1846" w:rsidP="001C1846">
            <w:pPr>
              <w:pStyle w:val="TableTextSmall"/>
              <w:jc w:val="center"/>
            </w:pPr>
            <w:r>
              <w:rPr>
                <w:rFonts w:ascii="Arial" w:hAnsi="Arial"/>
                <w:i/>
                <w:iCs/>
                <w:color w:val="404040"/>
                <w:sz w:val="14"/>
                <w:szCs w:val="14"/>
              </w:rPr>
              <w:t>8,006,037</w:t>
            </w:r>
          </w:p>
        </w:tc>
        <w:tc>
          <w:tcPr>
            <w:tcW w:w="1134" w:type="dxa"/>
            <w:tcBorders>
              <w:top w:val="single" w:sz="4" w:space="0" w:color="E02628"/>
              <w:left w:val="nil"/>
              <w:bottom w:val="single" w:sz="4" w:space="0" w:color="E02628"/>
              <w:right w:val="nil"/>
            </w:tcBorders>
            <w:shd w:val="clear" w:color="000000" w:fill="FFFFFF"/>
            <w:vAlign w:val="center"/>
          </w:tcPr>
          <w:p w14:paraId="20EFB066" w14:textId="108AC5AE" w:rsidR="001C1846" w:rsidRPr="00EC326F" w:rsidRDefault="001C1846" w:rsidP="001C1846">
            <w:pPr>
              <w:pStyle w:val="TableTextSmall"/>
              <w:jc w:val="center"/>
            </w:pPr>
            <w:r>
              <w:rPr>
                <w:rFonts w:ascii="Arial" w:hAnsi="Arial"/>
                <w:i/>
                <w:iCs/>
                <w:color w:val="404040"/>
                <w:sz w:val="14"/>
                <w:szCs w:val="14"/>
              </w:rPr>
              <w:t>265</w:t>
            </w:r>
          </w:p>
        </w:tc>
        <w:tc>
          <w:tcPr>
            <w:tcW w:w="1134" w:type="dxa"/>
            <w:tcBorders>
              <w:top w:val="single" w:sz="4" w:space="0" w:color="E02628"/>
              <w:left w:val="nil"/>
              <w:bottom w:val="single" w:sz="4" w:space="0" w:color="E02628"/>
              <w:right w:val="nil"/>
            </w:tcBorders>
            <w:shd w:val="clear" w:color="000000" w:fill="FFFFFF"/>
            <w:noWrap/>
            <w:vAlign w:val="center"/>
            <w:hideMark/>
          </w:tcPr>
          <w:p w14:paraId="264F0FC0" w14:textId="36CE6D6B" w:rsidR="001C1846" w:rsidRPr="00EC326F" w:rsidRDefault="001C1846" w:rsidP="001C1846">
            <w:pPr>
              <w:pStyle w:val="TableTextSmall"/>
              <w:jc w:val="center"/>
            </w:pPr>
            <w:r>
              <w:rPr>
                <w:rFonts w:ascii="Arial" w:hAnsi="Arial"/>
                <w:i/>
                <w:iCs/>
                <w:color w:val="404040"/>
                <w:sz w:val="14"/>
                <w:szCs w:val="14"/>
              </w:rPr>
              <w:t>8,046,572</w:t>
            </w:r>
          </w:p>
        </w:tc>
        <w:tc>
          <w:tcPr>
            <w:tcW w:w="1134" w:type="dxa"/>
            <w:tcBorders>
              <w:top w:val="single" w:sz="4" w:space="0" w:color="E02628"/>
              <w:left w:val="nil"/>
              <w:bottom w:val="single" w:sz="4" w:space="0" w:color="E02628"/>
              <w:right w:val="nil"/>
            </w:tcBorders>
            <w:shd w:val="clear" w:color="000000" w:fill="FFFFFF"/>
            <w:noWrap/>
            <w:vAlign w:val="center"/>
          </w:tcPr>
          <w:p w14:paraId="421BF24C" w14:textId="2848671B" w:rsidR="001C1846" w:rsidRPr="00EC326F" w:rsidRDefault="001C1846" w:rsidP="001C1846">
            <w:pPr>
              <w:pStyle w:val="TableTextSmall"/>
              <w:jc w:val="center"/>
            </w:pPr>
            <w:r>
              <w:rPr>
                <w:rFonts w:ascii="Arial" w:hAnsi="Arial"/>
                <w:i/>
                <w:iCs/>
                <w:color w:val="404040"/>
                <w:sz w:val="14"/>
                <w:szCs w:val="14"/>
              </w:rPr>
              <w:t>260</w:t>
            </w:r>
          </w:p>
        </w:tc>
        <w:tc>
          <w:tcPr>
            <w:tcW w:w="992" w:type="dxa"/>
            <w:tcBorders>
              <w:top w:val="single" w:sz="4" w:space="0" w:color="E02628"/>
              <w:left w:val="nil"/>
              <w:bottom w:val="single" w:sz="4" w:space="0" w:color="E02628"/>
              <w:right w:val="nil"/>
            </w:tcBorders>
            <w:shd w:val="clear" w:color="000000" w:fill="FFFFFF"/>
            <w:noWrap/>
            <w:vAlign w:val="center"/>
          </w:tcPr>
          <w:p w14:paraId="452B1444" w14:textId="7CA84A5A" w:rsidR="001C1846" w:rsidRPr="00EC326F" w:rsidRDefault="001C1846" w:rsidP="001C1846">
            <w:pPr>
              <w:pStyle w:val="TableTextSmall"/>
              <w:jc w:val="center"/>
            </w:pPr>
            <w:r>
              <w:rPr>
                <w:rFonts w:ascii="Arial" w:hAnsi="Arial"/>
                <w:i/>
                <w:iCs/>
                <w:color w:val="404040"/>
                <w:sz w:val="14"/>
                <w:szCs w:val="14"/>
              </w:rPr>
              <w:t>0.5%</w:t>
            </w:r>
          </w:p>
        </w:tc>
        <w:tc>
          <w:tcPr>
            <w:tcW w:w="992" w:type="dxa"/>
            <w:tcBorders>
              <w:top w:val="single" w:sz="4" w:space="0" w:color="E02628"/>
              <w:left w:val="nil"/>
              <w:bottom w:val="single" w:sz="4" w:space="0" w:color="E02628"/>
              <w:right w:val="nil"/>
            </w:tcBorders>
            <w:shd w:val="clear" w:color="000000" w:fill="FFFFFF"/>
            <w:noWrap/>
            <w:vAlign w:val="center"/>
          </w:tcPr>
          <w:p w14:paraId="20B5598F" w14:textId="5F394CD7" w:rsidR="001C1846" w:rsidRPr="00EC326F" w:rsidRDefault="001C1846" w:rsidP="001C1846">
            <w:pPr>
              <w:pStyle w:val="TableTextSmall"/>
              <w:jc w:val="center"/>
            </w:pPr>
            <w:r>
              <w:rPr>
                <w:rFonts w:ascii="Arial" w:hAnsi="Arial"/>
                <w:i/>
                <w:iCs/>
                <w:color w:val="404040"/>
                <w:sz w:val="14"/>
                <w:szCs w:val="14"/>
              </w:rPr>
              <w:t>-1.8%</w:t>
            </w:r>
          </w:p>
        </w:tc>
      </w:tr>
      <w:tr w:rsidR="001C1846" w:rsidRPr="00EC326F" w14:paraId="129FA675" w14:textId="77777777" w:rsidTr="00744519">
        <w:trPr>
          <w:trHeight w:val="227"/>
          <w:tblHeader/>
        </w:trPr>
        <w:tc>
          <w:tcPr>
            <w:tcW w:w="3317" w:type="dxa"/>
            <w:tcBorders>
              <w:top w:val="single" w:sz="4" w:space="0" w:color="E02628"/>
              <w:left w:val="nil"/>
              <w:bottom w:val="single" w:sz="4" w:space="0" w:color="E02628"/>
              <w:right w:val="nil"/>
            </w:tcBorders>
            <w:shd w:val="clear" w:color="auto" w:fill="E02628"/>
            <w:noWrap/>
            <w:vAlign w:val="center"/>
            <w:hideMark/>
          </w:tcPr>
          <w:p w14:paraId="024FA4F1" w14:textId="77777777" w:rsidR="001C1846" w:rsidRPr="00EC326F" w:rsidRDefault="001C1846" w:rsidP="001C1846">
            <w:pPr>
              <w:pStyle w:val="TableTextSmall"/>
              <w:rPr>
                <w:snapToGrid/>
                <w:lang w:eastAsia="en-AU"/>
              </w:rPr>
            </w:pPr>
            <w:r w:rsidRPr="00EC326F">
              <w:rPr>
                <w:snapToGrid/>
                <w:color w:val="FFFFFF" w:themeColor="background1"/>
                <w:lang w:eastAsia="en-AU"/>
              </w:rPr>
              <w:t>Previous welfare recipients</w:t>
            </w:r>
          </w:p>
        </w:tc>
        <w:tc>
          <w:tcPr>
            <w:tcW w:w="1134" w:type="dxa"/>
            <w:tcBorders>
              <w:top w:val="single" w:sz="4" w:space="0" w:color="E02628"/>
              <w:left w:val="nil"/>
              <w:bottom w:val="single" w:sz="4" w:space="0" w:color="E02628"/>
              <w:right w:val="nil"/>
            </w:tcBorders>
            <w:shd w:val="clear" w:color="auto" w:fill="E02628"/>
            <w:vAlign w:val="center"/>
          </w:tcPr>
          <w:p w14:paraId="44776A1F" w14:textId="412BDBC5" w:rsidR="001C1846" w:rsidRPr="00EC326F" w:rsidRDefault="001C1846" w:rsidP="001C1846">
            <w:pPr>
              <w:pStyle w:val="TableTextSmall"/>
              <w:jc w:val="center"/>
            </w:pPr>
            <w:r>
              <w:rPr>
                <w:rFonts w:ascii="Arial" w:hAnsi="Arial"/>
                <w:color w:val="FFFFFF"/>
                <w:sz w:val="14"/>
                <w:szCs w:val="14"/>
              </w:rPr>
              <w:t> </w:t>
            </w:r>
          </w:p>
        </w:tc>
        <w:tc>
          <w:tcPr>
            <w:tcW w:w="1134" w:type="dxa"/>
            <w:tcBorders>
              <w:top w:val="single" w:sz="4" w:space="0" w:color="E02628"/>
              <w:left w:val="nil"/>
              <w:bottom w:val="single" w:sz="4" w:space="0" w:color="E02628"/>
              <w:right w:val="nil"/>
            </w:tcBorders>
            <w:shd w:val="clear" w:color="auto" w:fill="E02628"/>
            <w:vAlign w:val="center"/>
          </w:tcPr>
          <w:p w14:paraId="342F066D" w14:textId="4A9ADD3F" w:rsidR="001C1846" w:rsidRPr="00EC326F" w:rsidRDefault="001C1846" w:rsidP="001C1846">
            <w:pPr>
              <w:pStyle w:val="TableTextSmall"/>
              <w:jc w:val="center"/>
            </w:pPr>
            <w:r>
              <w:rPr>
                <w:rFonts w:ascii="Arial" w:hAnsi="Arial"/>
                <w:color w:val="FFFFFF"/>
                <w:sz w:val="14"/>
                <w:szCs w:val="14"/>
              </w:rPr>
              <w:t> </w:t>
            </w:r>
          </w:p>
        </w:tc>
        <w:tc>
          <w:tcPr>
            <w:tcW w:w="1134" w:type="dxa"/>
            <w:tcBorders>
              <w:top w:val="single" w:sz="4" w:space="0" w:color="E02628"/>
              <w:left w:val="nil"/>
              <w:bottom w:val="single" w:sz="4" w:space="0" w:color="E02628"/>
              <w:right w:val="nil"/>
            </w:tcBorders>
            <w:shd w:val="clear" w:color="auto" w:fill="E02628"/>
            <w:noWrap/>
            <w:vAlign w:val="center"/>
            <w:hideMark/>
          </w:tcPr>
          <w:p w14:paraId="0B1641F1" w14:textId="32269B12" w:rsidR="001C1846" w:rsidRPr="00EC326F" w:rsidRDefault="001C1846" w:rsidP="001C1846">
            <w:pPr>
              <w:pStyle w:val="TableTextSmall"/>
              <w:jc w:val="center"/>
            </w:pPr>
            <w:r>
              <w:rPr>
                <w:rFonts w:ascii="Arial" w:hAnsi="Arial"/>
                <w:color w:val="FFFFFF"/>
                <w:sz w:val="14"/>
                <w:szCs w:val="14"/>
              </w:rPr>
              <w:t> </w:t>
            </w:r>
          </w:p>
        </w:tc>
        <w:tc>
          <w:tcPr>
            <w:tcW w:w="1134" w:type="dxa"/>
            <w:tcBorders>
              <w:top w:val="single" w:sz="4" w:space="0" w:color="E02628"/>
              <w:left w:val="nil"/>
              <w:bottom w:val="single" w:sz="4" w:space="0" w:color="E02628"/>
              <w:right w:val="nil"/>
            </w:tcBorders>
            <w:shd w:val="clear" w:color="auto" w:fill="E02628"/>
            <w:noWrap/>
            <w:vAlign w:val="center"/>
          </w:tcPr>
          <w:p w14:paraId="6FEC72D2" w14:textId="0E17CB92" w:rsidR="001C1846" w:rsidRPr="00EC326F" w:rsidRDefault="001C1846" w:rsidP="001C1846">
            <w:pPr>
              <w:pStyle w:val="TableTextSmall"/>
              <w:jc w:val="center"/>
            </w:pPr>
            <w:r>
              <w:rPr>
                <w:rFonts w:ascii="Arial" w:hAnsi="Arial"/>
                <w:color w:val="FFFFFF"/>
                <w:sz w:val="14"/>
                <w:szCs w:val="14"/>
              </w:rPr>
              <w:t> </w:t>
            </w:r>
          </w:p>
        </w:tc>
        <w:tc>
          <w:tcPr>
            <w:tcW w:w="992" w:type="dxa"/>
            <w:tcBorders>
              <w:top w:val="single" w:sz="4" w:space="0" w:color="E02628"/>
              <w:left w:val="nil"/>
              <w:bottom w:val="single" w:sz="4" w:space="0" w:color="E02628"/>
              <w:right w:val="nil"/>
            </w:tcBorders>
            <w:shd w:val="clear" w:color="auto" w:fill="E02628"/>
            <w:noWrap/>
            <w:vAlign w:val="center"/>
          </w:tcPr>
          <w:p w14:paraId="5CFDCBF0" w14:textId="41E96533" w:rsidR="001C1846" w:rsidRPr="00EC326F" w:rsidRDefault="001C1846" w:rsidP="001C1846">
            <w:pPr>
              <w:pStyle w:val="TableTextSmall"/>
              <w:jc w:val="center"/>
            </w:pPr>
            <w:r>
              <w:rPr>
                <w:rFonts w:ascii="Arial" w:hAnsi="Arial"/>
                <w:color w:val="FFFFFF"/>
                <w:sz w:val="14"/>
                <w:szCs w:val="14"/>
              </w:rPr>
              <w:t> </w:t>
            </w:r>
          </w:p>
        </w:tc>
        <w:tc>
          <w:tcPr>
            <w:tcW w:w="992" w:type="dxa"/>
            <w:tcBorders>
              <w:top w:val="single" w:sz="4" w:space="0" w:color="E02628"/>
              <w:left w:val="nil"/>
              <w:bottom w:val="single" w:sz="4" w:space="0" w:color="E02628"/>
              <w:right w:val="nil"/>
            </w:tcBorders>
            <w:shd w:val="clear" w:color="auto" w:fill="E02628"/>
            <w:noWrap/>
            <w:vAlign w:val="center"/>
          </w:tcPr>
          <w:p w14:paraId="0F859487" w14:textId="31DC221B" w:rsidR="001C1846" w:rsidRPr="00EC326F" w:rsidRDefault="001C1846" w:rsidP="001C1846">
            <w:pPr>
              <w:pStyle w:val="TableTextSmall"/>
              <w:jc w:val="center"/>
            </w:pPr>
            <w:r>
              <w:rPr>
                <w:rFonts w:ascii="Arial" w:hAnsi="Arial"/>
                <w:color w:val="FFFFFF"/>
                <w:sz w:val="14"/>
                <w:szCs w:val="14"/>
              </w:rPr>
              <w:t> </w:t>
            </w:r>
          </w:p>
        </w:tc>
      </w:tr>
      <w:tr w:rsidR="001C1846" w:rsidRPr="00EC326F" w14:paraId="2A340662"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11C19ED0" w14:textId="77777777" w:rsidR="001C1846" w:rsidRPr="00EC326F" w:rsidRDefault="001C1846" w:rsidP="001C1846">
            <w:pPr>
              <w:pStyle w:val="TableTextSmall"/>
              <w:ind w:left="227"/>
              <w:rPr>
                <w:snapToGrid/>
                <w:lang w:eastAsia="en-AU"/>
              </w:rPr>
            </w:pPr>
            <w:r w:rsidRPr="00EC326F">
              <w:rPr>
                <w:snapToGrid/>
                <w:lang w:eastAsia="en-AU"/>
              </w:rPr>
              <w:t>- Exited 1-3 years</w:t>
            </w:r>
          </w:p>
        </w:tc>
        <w:tc>
          <w:tcPr>
            <w:tcW w:w="1134" w:type="dxa"/>
            <w:tcBorders>
              <w:top w:val="single" w:sz="4" w:space="0" w:color="E02628"/>
              <w:left w:val="nil"/>
              <w:bottom w:val="single" w:sz="4" w:space="0" w:color="E02628"/>
              <w:right w:val="nil"/>
            </w:tcBorders>
            <w:shd w:val="clear" w:color="000000" w:fill="FFFFFF"/>
            <w:vAlign w:val="center"/>
          </w:tcPr>
          <w:p w14:paraId="4BF64FE7" w14:textId="405DB54B" w:rsidR="001C1846" w:rsidRPr="00EC326F" w:rsidRDefault="001C1846" w:rsidP="001C1846">
            <w:pPr>
              <w:pStyle w:val="TableTextSmall"/>
              <w:jc w:val="center"/>
            </w:pPr>
            <w:r>
              <w:rPr>
                <w:rFonts w:ascii="Arial" w:hAnsi="Arial"/>
                <w:color w:val="404040"/>
                <w:sz w:val="14"/>
                <w:szCs w:val="14"/>
              </w:rPr>
              <w:t>1,351,179</w:t>
            </w:r>
          </w:p>
        </w:tc>
        <w:tc>
          <w:tcPr>
            <w:tcW w:w="1134" w:type="dxa"/>
            <w:tcBorders>
              <w:top w:val="single" w:sz="4" w:space="0" w:color="E02628"/>
              <w:left w:val="nil"/>
              <w:bottom w:val="single" w:sz="4" w:space="0" w:color="E02628"/>
              <w:right w:val="nil"/>
            </w:tcBorders>
            <w:shd w:val="clear" w:color="000000" w:fill="FFFFFF"/>
            <w:vAlign w:val="center"/>
          </w:tcPr>
          <w:p w14:paraId="43642F8D" w14:textId="6600E592" w:rsidR="001C1846" w:rsidRPr="00EC326F" w:rsidRDefault="001C1846" w:rsidP="001C1846">
            <w:pPr>
              <w:pStyle w:val="TableTextSmall"/>
              <w:jc w:val="center"/>
            </w:pPr>
            <w:r>
              <w:rPr>
                <w:rFonts w:ascii="Arial" w:hAnsi="Arial"/>
                <w:color w:val="404040"/>
                <w:sz w:val="14"/>
                <w:szCs w:val="14"/>
              </w:rPr>
              <w:t>200</w:t>
            </w:r>
          </w:p>
        </w:tc>
        <w:tc>
          <w:tcPr>
            <w:tcW w:w="1134" w:type="dxa"/>
            <w:tcBorders>
              <w:top w:val="single" w:sz="4" w:space="0" w:color="E02628"/>
              <w:left w:val="nil"/>
              <w:bottom w:val="single" w:sz="4" w:space="0" w:color="E02628"/>
              <w:right w:val="nil"/>
            </w:tcBorders>
            <w:shd w:val="clear" w:color="000000" w:fill="FFFFFF"/>
            <w:noWrap/>
            <w:vAlign w:val="center"/>
            <w:hideMark/>
          </w:tcPr>
          <w:p w14:paraId="75811DDE" w14:textId="4B73FE63" w:rsidR="001C1846" w:rsidRPr="00EC326F" w:rsidRDefault="001C1846" w:rsidP="001C1846">
            <w:pPr>
              <w:pStyle w:val="TableTextSmall"/>
              <w:jc w:val="center"/>
            </w:pPr>
            <w:r>
              <w:rPr>
                <w:rFonts w:ascii="Arial" w:hAnsi="Arial"/>
                <w:color w:val="404040"/>
                <w:sz w:val="14"/>
                <w:szCs w:val="14"/>
              </w:rPr>
              <w:t>1,418,858</w:t>
            </w:r>
          </w:p>
        </w:tc>
        <w:tc>
          <w:tcPr>
            <w:tcW w:w="1134" w:type="dxa"/>
            <w:tcBorders>
              <w:top w:val="single" w:sz="4" w:space="0" w:color="E02628"/>
              <w:left w:val="nil"/>
              <w:bottom w:val="single" w:sz="4" w:space="0" w:color="E02628"/>
              <w:right w:val="nil"/>
            </w:tcBorders>
            <w:shd w:val="clear" w:color="000000" w:fill="FFFFFF"/>
            <w:noWrap/>
            <w:vAlign w:val="center"/>
          </w:tcPr>
          <w:p w14:paraId="7563D232" w14:textId="3BF2E878" w:rsidR="001C1846" w:rsidRPr="00EC326F" w:rsidRDefault="001C1846" w:rsidP="001C1846">
            <w:pPr>
              <w:pStyle w:val="TableTextSmall"/>
              <w:jc w:val="center"/>
            </w:pPr>
            <w:r>
              <w:rPr>
                <w:rFonts w:ascii="Arial" w:hAnsi="Arial"/>
                <w:color w:val="404040"/>
                <w:sz w:val="14"/>
                <w:szCs w:val="14"/>
              </w:rPr>
              <w:t>170</w:t>
            </w:r>
          </w:p>
        </w:tc>
        <w:tc>
          <w:tcPr>
            <w:tcW w:w="992" w:type="dxa"/>
            <w:tcBorders>
              <w:top w:val="single" w:sz="4" w:space="0" w:color="E02628"/>
              <w:left w:val="nil"/>
              <w:bottom w:val="single" w:sz="4" w:space="0" w:color="E02628"/>
              <w:right w:val="nil"/>
            </w:tcBorders>
            <w:shd w:val="clear" w:color="000000" w:fill="FFFFFF"/>
            <w:noWrap/>
            <w:vAlign w:val="center"/>
          </w:tcPr>
          <w:p w14:paraId="1183AE72" w14:textId="70CD0886" w:rsidR="001C1846" w:rsidRPr="00EC326F" w:rsidRDefault="001C1846" w:rsidP="001C1846">
            <w:pPr>
              <w:pStyle w:val="TableTextSmall"/>
              <w:jc w:val="center"/>
            </w:pPr>
            <w:r>
              <w:rPr>
                <w:rFonts w:ascii="Arial" w:hAnsi="Arial"/>
                <w:color w:val="404040"/>
                <w:sz w:val="14"/>
                <w:szCs w:val="14"/>
              </w:rPr>
              <w:t>5.0%</w:t>
            </w:r>
          </w:p>
        </w:tc>
        <w:tc>
          <w:tcPr>
            <w:tcW w:w="992" w:type="dxa"/>
            <w:tcBorders>
              <w:top w:val="single" w:sz="4" w:space="0" w:color="E02628"/>
              <w:left w:val="nil"/>
              <w:bottom w:val="single" w:sz="4" w:space="0" w:color="E02628"/>
              <w:right w:val="nil"/>
            </w:tcBorders>
            <w:shd w:val="clear" w:color="000000" w:fill="FFFFFF"/>
            <w:noWrap/>
            <w:vAlign w:val="center"/>
          </w:tcPr>
          <w:p w14:paraId="03C7FCA5" w14:textId="04CD0115" w:rsidR="001C1846" w:rsidRPr="00EC326F" w:rsidRDefault="001C1846" w:rsidP="001C1846">
            <w:pPr>
              <w:pStyle w:val="TableTextSmall"/>
              <w:jc w:val="center"/>
            </w:pPr>
            <w:r>
              <w:rPr>
                <w:rFonts w:ascii="Arial" w:hAnsi="Arial"/>
                <w:color w:val="404040"/>
                <w:sz w:val="14"/>
                <w:szCs w:val="14"/>
              </w:rPr>
              <w:t>-14.7%</w:t>
            </w:r>
          </w:p>
        </w:tc>
      </w:tr>
      <w:tr w:rsidR="001C1846" w:rsidRPr="00EC326F" w14:paraId="752733BD"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28E5992C" w14:textId="77777777" w:rsidR="001C1846" w:rsidRPr="00EC326F" w:rsidRDefault="001C1846" w:rsidP="001C1846">
            <w:pPr>
              <w:pStyle w:val="TableTextSmall"/>
              <w:ind w:left="227"/>
              <w:rPr>
                <w:snapToGrid/>
                <w:lang w:eastAsia="en-AU"/>
              </w:rPr>
            </w:pPr>
            <w:r w:rsidRPr="00EC326F">
              <w:rPr>
                <w:snapToGrid/>
                <w:lang w:eastAsia="en-AU"/>
              </w:rPr>
              <w:t>- Exited 4+ years</w:t>
            </w:r>
          </w:p>
        </w:tc>
        <w:tc>
          <w:tcPr>
            <w:tcW w:w="1134" w:type="dxa"/>
            <w:tcBorders>
              <w:top w:val="single" w:sz="4" w:space="0" w:color="E02628"/>
              <w:left w:val="nil"/>
              <w:bottom w:val="single" w:sz="4" w:space="0" w:color="E02628"/>
              <w:right w:val="nil"/>
            </w:tcBorders>
            <w:shd w:val="clear" w:color="000000" w:fill="FFFFFF"/>
            <w:vAlign w:val="center"/>
          </w:tcPr>
          <w:p w14:paraId="0B31EFF9" w14:textId="310255DE" w:rsidR="001C1846" w:rsidRPr="00EC326F" w:rsidRDefault="001C1846" w:rsidP="001C1846">
            <w:pPr>
              <w:pStyle w:val="TableTextSmall"/>
              <w:jc w:val="center"/>
            </w:pPr>
            <w:r>
              <w:rPr>
                <w:rFonts w:ascii="Arial" w:hAnsi="Arial"/>
                <w:color w:val="404040"/>
                <w:sz w:val="14"/>
                <w:szCs w:val="14"/>
              </w:rPr>
              <w:t>2560041</w:t>
            </w:r>
          </w:p>
        </w:tc>
        <w:tc>
          <w:tcPr>
            <w:tcW w:w="1134" w:type="dxa"/>
            <w:tcBorders>
              <w:top w:val="single" w:sz="4" w:space="0" w:color="E02628"/>
              <w:left w:val="nil"/>
              <w:bottom w:val="single" w:sz="4" w:space="0" w:color="E02628"/>
              <w:right w:val="nil"/>
            </w:tcBorders>
            <w:shd w:val="clear" w:color="000000" w:fill="FFFFFF"/>
            <w:vAlign w:val="center"/>
          </w:tcPr>
          <w:p w14:paraId="15CFE5C5" w14:textId="41A4EF9A" w:rsidR="001C1846" w:rsidRPr="00EC326F" w:rsidRDefault="001C1846" w:rsidP="001C1846">
            <w:pPr>
              <w:pStyle w:val="TableTextSmall"/>
              <w:jc w:val="center"/>
            </w:pPr>
            <w:r>
              <w:rPr>
                <w:rFonts w:ascii="Arial" w:hAnsi="Arial"/>
                <w:color w:val="404040"/>
                <w:sz w:val="14"/>
                <w:szCs w:val="14"/>
              </w:rPr>
              <w:t>160</w:t>
            </w:r>
          </w:p>
        </w:tc>
        <w:tc>
          <w:tcPr>
            <w:tcW w:w="1134" w:type="dxa"/>
            <w:tcBorders>
              <w:top w:val="single" w:sz="4" w:space="0" w:color="E02628"/>
              <w:left w:val="nil"/>
              <w:bottom w:val="single" w:sz="4" w:space="0" w:color="E02628"/>
              <w:right w:val="nil"/>
            </w:tcBorders>
            <w:shd w:val="clear" w:color="000000" w:fill="FFFFFF"/>
            <w:noWrap/>
            <w:vAlign w:val="center"/>
            <w:hideMark/>
          </w:tcPr>
          <w:p w14:paraId="63AE86E3" w14:textId="6F88CB7F" w:rsidR="001C1846" w:rsidRPr="00EC326F" w:rsidRDefault="001C1846" w:rsidP="001C1846">
            <w:pPr>
              <w:pStyle w:val="TableTextSmall"/>
              <w:jc w:val="center"/>
            </w:pPr>
            <w:r>
              <w:rPr>
                <w:rFonts w:ascii="Arial" w:hAnsi="Arial"/>
                <w:color w:val="404040"/>
                <w:sz w:val="14"/>
                <w:szCs w:val="14"/>
              </w:rPr>
              <w:t>2,767,739</w:t>
            </w:r>
          </w:p>
        </w:tc>
        <w:tc>
          <w:tcPr>
            <w:tcW w:w="1134" w:type="dxa"/>
            <w:tcBorders>
              <w:top w:val="single" w:sz="4" w:space="0" w:color="E02628"/>
              <w:left w:val="nil"/>
              <w:bottom w:val="single" w:sz="4" w:space="0" w:color="E02628"/>
              <w:right w:val="nil"/>
            </w:tcBorders>
            <w:shd w:val="clear" w:color="000000" w:fill="FFFFFF"/>
            <w:noWrap/>
            <w:vAlign w:val="center"/>
          </w:tcPr>
          <w:p w14:paraId="3979A7E1" w14:textId="03C4B479" w:rsidR="001C1846" w:rsidRPr="00EC326F" w:rsidRDefault="001C1846" w:rsidP="001C1846">
            <w:pPr>
              <w:pStyle w:val="TableTextSmall"/>
              <w:jc w:val="center"/>
            </w:pPr>
            <w:r>
              <w:rPr>
                <w:rFonts w:ascii="Arial" w:hAnsi="Arial"/>
                <w:color w:val="404040"/>
                <w:sz w:val="14"/>
                <w:szCs w:val="14"/>
              </w:rPr>
              <w:t>149</w:t>
            </w:r>
          </w:p>
        </w:tc>
        <w:tc>
          <w:tcPr>
            <w:tcW w:w="992" w:type="dxa"/>
            <w:tcBorders>
              <w:top w:val="single" w:sz="4" w:space="0" w:color="E02628"/>
              <w:left w:val="nil"/>
              <w:bottom w:val="single" w:sz="4" w:space="0" w:color="E02628"/>
              <w:right w:val="nil"/>
            </w:tcBorders>
            <w:shd w:val="clear" w:color="000000" w:fill="FFFFFF"/>
            <w:noWrap/>
            <w:vAlign w:val="center"/>
          </w:tcPr>
          <w:p w14:paraId="0B2A2E6B" w14:textId="2C4C2953" w:rsidR="001C1846" w:rsidRPr="00EC326F" w:rsidRDefault="001C1846" w:rsidP="001C1846">
            <w:pPr>
              <w:pStyle w:val="TableTextSmall"/>
              <w:jc w:val="center"/>
            </w:pPr>
            <w:r>
              <w:rPr>
                <w:rFonts w:ascii="Arial" w:hAnsi="Arial"/>
                <w:color w:val="404040"/>
                <w:sz w:val="14"/>
                <w:szCs w:val="14"/>
              </w:rPr>
              <w:t>8.1%</w:t>
            </w:r>
          </w:p>
        </w:tc>
        <w:tc>
          <w:tcPr>
            <w:tcW w:w="992" w:type="dxa"/>
            <w:tcBorders>
              <w:top w:val="single" w:sz="4" w:space="0" w:color="E02628"/>
              <w:left w:val="nil"/>
              <w:bottom w:val="single" w:sz="4" w:space="0" w:color="E02628"/>
              <w:right w:val="nil"/>
            </w:tcBorders>
            <w:shd w:val="clear" w:color="000000" w:fill="FFFFFF"/>
            <w:noWrap/>
            <w:vAlign w:val="center"/>
          </w:tcPr>
          <w:p w14:paraId="6C4383E1" w14:textId="05EEB72E" w:rsidR="001C1846" w:rsidRPr="00EC326F" w:rsidRDefault="001C1846" w:rsidP="001C1846">
            <w:pPr>
              <w:pStyle w:val="TableTextSmall"/>
              <w:jc w:val="center"/>
            </w:pPr>
            <w:r>
              <w:rPr>
                <w:rFonts w:ascii="Arial" w:hAnsi="Arial"/>
                <w:color w:val="404040"/>
                <w:sz w:val="14"/>
                <w:szCs w:val="14"/>
              </w:rPr>
              <w:t>-7.2%</w:t>
            </w:r>
          </w:p>
        </w:tc>
      </w:tr>
      <w:tr w:rsidR="001C1846" w:rsidRPr="00EC326F" w14:paraId="1EE8EC71"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7BF8D42A" w14:textId="77777777" w:rsidR="001C1846" w:rsidRPr="00EC326F" w:rsidRDefault="001C1846" w:rsidP="001C1846">
            <w:pPr>
              <w:pStyle w:val="TableTextSmall"/>
              <w:rPr>
                <w:i/>
                <w:snapToGrid/>
                <w:lang w:eastAsia="en-AU"/>
              </w:rPr>
            </w:pPr>
            <w:r w:rsidRPr="00EC326F">
              <w:rPr>
                <w:i/>
                <w:snapToGrid/>
                <w:lang w:eastAsia="en-AU"/>
              </w:rPr>
              <w:t>Total previous welfare recipients</w:t>
            </w:r>
          </w:p>
        </w:tc>
        <w:tc>
          <w:tcPr>
            <w:tcW w:w="1134" w:type="dxa"/>
            <w:tcBorders>
              <w:top w:val="single" w:sz="4" w:space="0" w:color="E02628"/>
              <w:left w:val="nil"/>
              <w:bottom w:val="single" w:sz="4" w:space="0" w:color="E02628"/>
              <w:right w:val="nil"/>
            </w:tcBorders>
            <w:shd w:val="clear" w:color="000000" w:fill="FFFFFF"/>
            <w:vAlign w:val="center"/>
          </w:tcPr>
          <w:p w14:paraId="13F04EDD" w14:textId="3FF01444" w:rsidR="001C1846" w:rsidRPr="00EC326F" w:rsidRDefault="001C1846" w:rsidP="001C1846">
            <w:pPr>
              <w:pStyle w:val="TableTextSmall"/>
              <w:jc w:val="center"/>
            </w:pPr>
            <w:r>
              <w:rPr>
                <w:rFonts w:ascii="Arial" w:hAnsi="Arial"/>
                <w:i/>
                <w:iCs/>
                <w:color w:val="404040"/>
                <w:sz w:val="14"/>
                <w:szCs w:val="14"/>
              </w:rPr>
              <w:t>3,911,220</w:t>
            </w:r>
          </w:p>
        </w:tc>
        <w:tc>
          <w:tcPr>
            <w:tcW w:w="1134" w:type="dxa"/>
            <w:tcBorders>
              <w:top w:val="single" w:sz="4" w:space="0" w:color="E02628"/>
              <w:left w:val="nil"/>
              <w:bottom w:val="single" w:sz="4" w:space="0" w:color="E02628"/>
              <w:right w:val="nil"/>
            </w:tcBorders>
            <w:shd w:val="clear" w:color="000000" w:fill="FFFFFF"/>
            <w:vAlign w:val="center"/>
          </w:tcPr>
          <w:p w14:paraId="050E34A7" w14:textId="78465402" w:rsidR="001C1846" w:rsidRPr="00EC326F" w:rsidRDefault="001C1846" w:rsidP="001C1846">
            <w:pPr>
              <w:pStyle w:val="TableTextSmall"/>
              <w:jc w:val="center"/>
            </w:pPr>
            <w:r>
              <w:rPr>
                <w:rFonts w:ascii="Arial" w:hAnsi="Arial"/>
                <w:i/>
                <w:iCs/>
                <w:color w:val="404040"/>
                <w:sz w:val="14"/>
                <w:szCs w:val="14"/>
              </w:rPr>
              <w:t>174</w:t>
            </w:r>
          </w:p>
        </w:tc>
        <w:tc>
          <w:tcPr>
            <w:tcW w:w="1134" w:type="dxa"/>
            <w:tcBorders>
              <w:top w:val="single" w:sz="4" w:space="0" w:color="E02628"/>
              <w:left w:val="nil"/>
              <w:bottom w:val="single" w:sz="4" w:space="0" w:color="E02628"/>
              <w:right w:val="nil"/>
            </w:tcBorders>
            <w:shd w:val="clear" w:color="000000" w:fill="FFFFFF"/>
            <w:noWrap/>
            <w:vAlign w:val="center"/>
            <w:hideMark/>
          </w:tcPr>
          <w:p w14:paraId="0D069F45" w14:textId="3D11D2BA" w:rsidR="001C1846" w:rsidRPr="00EC326F" w:rsidRDefault="001C1846" w:rsidP="001C1846">
            <w:pPr>
              <w:pStyle w:val="TableTextSmall"/>
              <w:jc w:val="center"/>
            </w:pPr>
            <w:r>
              <w:rPr>
                <w:rFonts w:ascii="Arial" w:hAnsi="Arial"/>
                <w:i/>
                <w:iCs/>
                <w:color w:val="404040"/>
                <w:sz w:val="14"/>
                <w:szCs w:val="14"/>
              </w:rPr>
              <w:t>4,186,597</w:t>
            </w:r>
          </w:p>
        </w:tc>
        <w:tc>
          <w:tcPr>
            <w:tcW w:w="1134" w:type="dxa"/>
            <w:tcBorders>
              <w:top w:val="single" w:sz="4" w:space="0" w:color="E02628"/>
              <w:left w:val="nil"/>
              <w:bottom w:val="single" w:sz="4" w:space="0" w:color="E02628"/>
              <w:right w:val="nil"/>
            </w:tcBorders>
            <w:shd w:val="clear" w:color="000000" w:fill="FFFFFF"/>
            <w:noWrap/>
            <w:vAlign w:val="center"/>
          </w:tcPr>
          <w:p w14:paraId="5218E12C" w14:textId="6FCE091A" w:rsidR="001C1846" w:rsidRPr="00EC326F" w:rsidRDefault="001C1846" w:rsidP="001C1846">
            <w:pPr>
              <w:pStyle w:val="TableTextSmall"/>
              <w:jc w:val="center"/>
            </w:pPr>
            <w:r>
              <w:rPr>
                <w:rFonts w:ascii="Arial" w:hAnsi="Arial"/>
                <w:i/>
                <w:iCs/>
                <w:color w:val="404040"/>
                <w:sz w:val="14"/>
                <w:szCs w:val="14"/>
              </w:rPr>
              <w:t>156</w:t>
            </w:r>
          </w:p>
        </w:tc>
        <w:tc>
          <w:tcPr>
            <w:tcW w:w="992" w:type="dxa"/>
            <w:tcBorders>
              <w:top w:val="single" w:sz="4" w:space="0" w:color="E02628"/>
              <w:left w:val="nil"/>
              <w:bottom w:val="single" w:sz="4" w:space="0" w:color="E02628"/>
              <w:right w:val="nil"/>
            </w:tcBorders>
            <w:shd w:val="clear" w:color="000000" w:fill="FFFFFF"/>
            <w:noWrap/>
            <w:vAlign w:val="center"/>
          </w:tcPr>
          <w:p w14:paraId="1F833D49" w14:textId="4E401AFD" w:rsidR="001C1846" w:rsidRPr="00EC326F" w:rsidRDefault="001C1846" w:rsidP="001C1846">
            <w:pPr>
              <w:pStyle w:val="TableTextSmall"/>
              <w:jc w:val="center"/>
            </w:pPr>
            <w:r>
              <w:rPr>
                <w:rFonts w:ascii="Arial" w:hAnsi="Arial"/>
                <w:i/>
                <w:iCs/>
                <w:color w:val="404040"/>
                <w:sz w:val="14"/>
                <w:szCs w:val="14"/>
              </w:rPr>
              <w:t>7.0%</w:t>
            </w:r>
          </w:p>
        </w:tc>
        <w:tc>
          <w:tcPr>
            <w:tcW w:w="992" w:type="dxa"/>
            <w:tcBorders>
              <w:top w:val="single" w:sz="4" w:space="0" w:color="E02628"/>
              <w:left w:val="nil"/>
              <w:bottom w:val="single" w:sz="4" w:space="0" w:color="E02628"/>
              <w:right w:val="nil"/>
            </w:tcBorders>
            <w:shd w:val="clear" w:color="000000" w:fill="FFFFFF"/>
            <w:noWrap/>
            <w:vAlign w:val="center"/>
          </w:tcPr>
          <w:p w14:paraId="08D2ED5E" w14:textId="0C582F29" w:rsidR="001C1846" w:rsidRPr="00EC326F" w:rsidRDefault="001C1846" w:rsidP="001C1846">
            <w:pPr>
              <w:pStyle w:val="TableTextSmall"/>
              <w:jc w:val="center"/>
            </w:pPr>
            <w:r>
              <w:rPr>
                <w:rFonts w:ascii="Arial" w:hAnsi="Arial"/>
                <w:i/>
                <w:iCs/>
                <w:color w:val="404040"/>
                <w:sz w:val="14"/>
                <w:szCs w:val="14"/>
              </w:rPr>
              <w:t>-10.3%</w:t>
            </w:r>
          </w:p>
        </w:tc>
      </w:tr>
      <w:tr w:rsidR="001C1846" w:rsidRPr="00EC326F" w14:paraId="7EE1E290" w14:textId="77777777" w:rsidTr="00744519">
        <w:trPr>
          <w:trHeight w:val="227"/>
          <w:tblHeader/>
        </w:trPr>
        <w:tc>
          <w:tcPr>
            <w:tcW w:w="3317" w:type="dxa"/>
            <w:tcBorders>
              <w:top w:val="single" w:sz="4" w:space="0" w:color="E02628"/>
              <w:left w:val="nil"/>
              <w:bottom w:val="single" w:sz="4" w:space="0" w:color="E02628"/>
              <w:right w:val="nil"/>
            </w:tcBorders>
            <w:shd w:val="clear" w:color="auto" w:fill="E02628"/>
            <w:noWrap/>
            <w:vAlign w:val="center"/>
            <w:hideMark/>
          </w:tcPr>
          <w:p w14:paraId="68C374DA" w14:textId="77777777" w:rsidR="001C1846" w:rsidRPr="00EC326F" w:rsidRDefault="001C1846" w:rsidP="001C1846">
            <w:pPr>
              <w:pStyle w:val="TableTextSmall"/>
              <w:rPr>
                <w:snapToGrid/>
                <w:color w:val="FFFFFF" w:themeColor="background1"/>
                <w:lang w:eastAsia="en-AU"/>
              </w:rPr>
            </w:pPr>
            <w:r w:rsidRPr="00EC326F">
              <w:rPr>
                <w:snapToGrid/>
                <w:color w:val="FFFFFF" w:themeColor="background1"/>
                <w:lang w:eastAsia="en-AU"/>
              </w:rPr>
              <w:t>Rest of Australian resident population</w:t>
            </w:r>
          </w:p>
        </w:tc>
        <w:tc>
          <w:tcPr>
            <w:tcW w:w="1134" w:type="dxa"/>
            <w:tcBorders>
              <w:top w:val="single" w:sz="4" w:space="0" w:color="E02628"/>
              <w:left w:val="nil"/>
              <w:bottom w:val="single" w:sz="4" w:space="0" w:color="E02628"/>
              <w:right w:val="nil"/>
            </w:tcBorders>
            <w:shd w:val="clear" w:color="auto" w:fill="E02628"/>
            <w:vAlign w:val="center"/>
          </w:tcPr>
          <w:p w14:paraId="2D66CC2D" w14:textId="1D39FFFB" w:rsidR="001C1846" w:rsidRPr="00EC326F" w:rsidRDefault="001C1846" w:rsidP="001C1846">
            <w:pPr>
              <w:pStyle w:val="TableTextSmall"/>
              <w:jc w:val="center"/>
            </w:pPr>
            <w:r>
              <w:rPr>
                <w:rFonts w:ascii="Arial" w:hAnsi="Arial"/>
                <w:color w:val="FFFFFF"/>
                <w:sz w:val="14"/>
                <w:szCs w:val="14"/>
              </w:rPr>
              <w:t> </w:t>
            </w:r>
          </w:p>
        </w:tc>
        <w:tc>
          <w:tcPr>
            <w:tcW w:w="1134" w:type="dxa"/>
            <w:tcBorders>
              <w:top w:val="single" w:sz="4" w:space="0" w:color="E02628"/>
              <w:left w:val="nil"/>
              <w:bottom w:val="single" w:sz="4" w:space="0" w:color="E02628"/>
              <w:right w:val="nil"/>
            </w:tcBorders>
            <w:shd w:val="clear" w:color="auto" w:fill="E02628"/>
            <w:vAlign w:val="center"/>
          </w:tcPr>
          <w:p w14:paraId="5BB3B349" w14:textId="551DF4B5" w:rsidR="001C1846" w:rsidRPr="00EC326F" w:rsidRDefault="001C1846" w:rsidP="001C1846">
            <w:pPr>
              <w:pStyle w:val="TableTextSmall"/>
              <w:jc w:val="center"/>
            </w:pPr>
            <w:r>
              <w:rPr>
                <w:rFonts w:ascii="Arial" w:hAnsi="Arial"/>
                <w:color w:val="FFFFFF"/>
                <w:sz w:val="14"/>
                <w:szCs w:val="14"/>
              </w:rPr>
              <w:t> </w:t>
            </w:r>
          </w:p>
        </w:tc>
        <w:tc>
          <w:tcPr>
            <w:tcW w:w="1134" w:type="dxa"/>
            <w:tcBorders>
              <w:top w:val="single" w:sz="4" w:space="0" w:color="E02628"/>
              <w:left w:val="nil"/>
              <w:bottom w:val="single" w:sz="4" w:space="0" w:color="E02628"/>
              <w:right w:val="nil"/>
            </w:tcBorders>
            <w:shd w:val="clear" w:color="auto" w:fill="E02628"/>
            <w:noWrap/>
            <w:vAlign w:val="center"/>
            <w:hideMark/>
          </w:tcPr>
          <w:p w14:paraId="17F1E8AA" w14:textId="7941AA41" w:rsidR="001C1846" w:rsidRPr="00EC326F" w:rsidRDefault="001C1846" w:rsidP="001C1846">
            <w:pPr>
              <w:pStyle w:val="TableTextSmall"/>
              <w:jc w:val="center"/>
            </w:pPr>
            <w:r>
              <w:rPr>
                <w:rFonts w:ascii="Arial" w:hAnsi="Arial"/>
                <w:color w:val="FFFFFF"/>
                <w:sz w:val="14"/>
                <w:szCs w:val="14"/>
              </w:rPr>
              <w:t> </w:t>
            </w:r>
          </w:p>
        </w:tc>
        <w:tc>
          <w:tcPr>
            <w:tcW w:w="1134" w:type="dxa"/>
            <w:tcBorders>
              <w:top w:val="single" w:sz="4" w:space="0" w:color="E02628"/>
              <w:left w:val="nil"/>
              <w:bottom w:val="single" w:sz="4" w:space="0" w:color="E02628"/>
              <w:right w:val="nil"/>
            </w:tcBorders>
            <w:shd w:val="clear" w:color="auto" w:fill="E02628"/>
            <w:noWrap/>
            <w:vAlign w:val="center"/>
          </w:tcPr>
          <w:p w14:paraId="36777FE0" w14:textId="672D6C08" w:rsidR="001C1846" w:rsidRPr="00EC326F" w:rsidRDefault="001C1846" w:rsidP="001C1846">
            <w:pPr>
              <w:pStyle w:val="TableTextSmall"/>
              <w:jc w:val="center"/>
            </w:pPr>
            <w:r>
              <w:rPr>
                <w:rFonts w:ascii="Arial" w:hAnsi="Arial"/>
                <w:color w:val="FFFFFF"/>
                <w:sz w:val="14"/>
                <w:szCs w:val="14"/>
              </w:rPr>
              <w:t> </w:t>
            </w:r>
          </w:p>
        </w:tc>
        <w:tc>
          <w:tcPr>
            <w:tcW w:w="992" w:type="dxa"/>
            <w:tcBorders>
              <w:top w:val="single" w:sz="4" w:space="0" w:color="E02628"/>
              <w:left w:val="nil"/>
              <w:bottom w:val="single" w:sz="4" w:space="0" w:color="E02628"/>
              <w:right w:val="nil"/>
            </w:tcBorders>
            <w:shd w:val="clear" w:color="auto" w:fill="E02628"/>
            <w:noWrap/>
            <w:vAlign w:val="center"/>
          </w:tcPr>
          <w:p w14:paraId="21717E1B" w14:textId="549668D0" w:rsidR="001C1846" w:rsidRPr="00EC326F" w:rsidRDefault="001C1846" w:rsidP="001C1846">
            <w:pPr>
              <w:pStyle w:val="TableTextSmall"/>
              <w:jc w:val="center"/>
            </w:pPr>
            <w:r>
              <w:rPr>
                <w:rFonts w:ascii="Arial" w:hAnsi="Arial"/>
                <w:color w:val="FFFFFF"/>
                <w:sz w:val="14"/>
                <w:szCs w:val="14"/>
              </w:rPr>
              <w:t> </w:t>
            </w:r>
          </w:p>
        </w:tc>
        <w:tc>
          <w:tcPr>
            <w:tcW w:w="992" w:type="dxa"/>
            <w:tcBorders>
              <w:top w:val="single" w:sz="4" w:space="0" w:color="E02628"/>
              <w:left w:val="nil"/>
              <w:bottom w:val="single" w:sz="4" w:space="0" w:color="E02628"/>
              <w:right w:val="nil"/>
            </w:tcBorders>
            <w:shd w:val="clear" w:color="auto" w:fill="E02628"/>
            <w:noWrap/>
            <w:vAlign w:val="center"/>
          </w:tcPr>
          <w:p w14:paraId="19FFA176" w14:textId="293FE1B5" w:rsidR="001C1846" w:rsidRPr="00EC326F" w:rsidRDefault="001C1846" w:rsidP="001C1846">
            <w:pPr>
              <w:pStyle w:val="TableTextSmall"/>
              <w:jc w:val="center"/>
            </w:pPr>
            <w:r>
              <w:rPr>
                <w:rFonts w:ascii="Arial" w:hAnsi="Arial"/>
                <w:color w:val="FFFFFF"/>
                <w:sz w:val="14"/>
                <w:szCs w:val="14"/>
              </w:rPr>
              <w:t> </w:t>
            </w:r>
          </w:p>
        </w:tc>
      </w:tr>
      <w:tr w:rsidR="001C1846" w:rsidRPr="00EC326F" w14:paraId="0B5EA82A" w14:textId="77777777" w:rsidTr="00744519">
        <w:trPr>
          <w:trHeight w:val="227"/>
          <w:tblHeader/>
        </w:trPr>
        <w:tc>
          <w:tcPr>
            <w:tcW w:w="3317" w:type="dxa"/>
            <w:tcBorders>
              <w:top w:val="single" w:sz="4" w:space="0" w:color="E02628"/>
              <w:left w:val="nil"/>
              <w:bottom w:val="single" w:sz="4" w:space="0" w:color="E02628"/>
              <w:right w:val="nil"/>
            </w:tcBorders>
            <w:shd w:val="clear" w:color="000000" w:fill="FFFFFF"/>
            <w:noWrap/>
            <w:vAlign w:val="center"/>
            <w:hideMark/>
          </w:tcPr>
          <w:p w14:paraId="3ABD9F15" w14:textId="77777777" w:rsidR="001C1846" w:rsidRPr="00EC326F" w:rsidRDefault="001C1846" w:rsidP="001C1846">
            <w:pPr>
              <w:pStyle w:val="TableTextSmall"/>
              <w:ind w:left="227" w:right="-113"/>
              <w:rPr>
                <w:i/>
                <w:iCs/>
                <w:snapToGrid/>
                <w:lang w:eastAsia="en-AU"/>
              </w:rPr>
            </w:pPr>
            <w:r w:rsidRPr="00EC326F">
              <w:rPr>
                <w:i/>
                <w:iCs/>
                <w:snapToGrid/>
                <w:lang w:eastAsia="en-AU"/>
              </w:rPr>
              <w:t>- Rest of Australian resident population</w:t>
            </w:r>
          </w:p>
        </w:tc>
        <w:tc>
          <w:tcPr>
            <w:tcW w:w="1134" w:type="dxa"/>
            <w:tcBorders>
              <w:top w:val="single" w:sz="4" w:space="0" w:color="E02628"/>
              <w:left w:val="nil"/>
              <w:bottom w:val="single" w:sz="4" w:space="0" w:color="E02628"/>
              <w:right w:val="nil"/>
            </w:tcBorders>
            <w:shd w:val="clear" w:color="000000" w:fill="FFFFFF"/>
            <w:vAlign w:val="center"/>
          </w:tcPr>
          <w:p w14:paraId="178CAA58" w14:textId="292B4386" w:rsidR="001C1846" w:rsidRPr="00EC326F" w:rsidRDefault="001C1846" w:rsidP="001C1846">
            <w:pPr>
              <w:pStyle w:val="TableTextSmall"/>
              <w:jc w:val="center"/>
            </w:pPr>
            <w:r>
              <w:rPr>
                <w:rFonts w:ascii="Arial" w:hAnsi="Arial"/>
                <w:color w:val="404040"/>
                <w:sz w:val="14"/>
                <w:szCs w:val="14"/>
              </w:rPr>
              <w:t>11,949,332</w:t>
            </w:r>
          </w:p>
        </w:tc>
        <w:tc>
          <w:tcPr>
            <w:tcW w:w="1134" w:type="dxa"/>
            <w:tcBorders>
              <w:top w:val="single" w:sz="4" w:space="0" w:color="E02628"/>
              <w:left w:val="nil"/>
              <w:bottom w:val="single" w:sz="4" w:space="0" w:color="E02628"/>
              <w:right w:val="nil"/>
            </w:tcBorders>
            <w:shd w:val="clear" w:color="000000" w:fill="FFFFFF"/>
            <w:vAlign w:val="center"/>
          </w:tcPr>
          <w:p w14:paraId="0A6FB0EA" w14:textId="7BCA38ED" w:rsidR="001C1846" w:rsidRPr="00EC326F" w:rsidRDefault="001C1846" w:rsidP="001C1846">
            <w:pPr>
              <w:pStyle w:val="TableTextSmall"/>
              <w:jc w:val="center"/>
            </w:pPr>
            <w:r>
              <w:rPr>
                <w:rFonts w:ascii="Arial" w:hAnsi="Arial"/>
                <w:color w:val="404040"/>
                <w:sz w:val="14"/>
                <w:szCs w:val="14"/>
              </w:rPr>
              <w:t>164</w:t>
            </w:r>
          </w:p>
        </w:tc>
        <w:tc>
          <w:tcPr>
            <w:tcW w:w="1134" w:type="dxa"/>
            <w:tcBorders>
              <w:top w:val="single" w:sz="4" w:space="0" w:color="E02628"/>
              <w:left w:val="nil"/>
              <w:bottom w:val="single" w:sz="4" w:space="0" w:color="E02628"/>
              <w:right w:val="nil"/>
            </w:tcBorders>
            <w:shd w:val="clear" w:color="000000" w:fill="FFFFFF"/>
            <w:noWrap/>
            <w:vAlign w:val="center"/>
            <w:hideMark/>
          </w:tcPr>
          <w:p w14:paraId="79E2A44C" w14:textId="17F6E6B8" w:rsidR="001C1846" w:rsidRPr="00EC326F" w:rsidRDefault="001C1846" w:rsidP="001C1846">
            <w:pPr>
              <w:pStyle w:val="TableTextSmall"/>
              <w:jc w:val="center"/>
            </w:pPr>
            <w:r>
              <w:rPr>
                <w:rFonts w:ascii="Arial" w:hAnsi="Arial"/>
                <w:color w:val="404040"/>
                <w:sz w:val="14"/>
                <w:szCs w:val="14"/>
              </w:rPr>
              <w:t>11,929,432</w:t>
            </w:r>
          </w:p>
        </w:tc>
        <w:tc>
          <w:tcPr>
            <w:tcW w:w="1134" w:type="dxa"/>
            <w:tcBorders>
              <w:top w:val="single" w:sz="4" w:space="0" w:color="E02628"/>
              <w:left w:val="nil"/>
              <w:bottom w:val="single" w:sz="4" w:space="0" w:color="E02628"/>
              <w:right w:val="nil"/>
            </w:tcBorders>
            <w:shd w:val="clear" w:color="000000" w:fill="FFFFFF"/>
            <w:noWrap/>
            <w:vAlign w:val="center"/>
          </w:tcPr>
          <w:p w14:paraId="06C5E6A8" w14:textId="75FDD5D1" w:rsidR="001C1846" w:rsidRPr="00EC326F" w:rsidRDefault="001C1846" w:rsidP="001C1846">
            <w:pPr>
              <w:pStyle w:val="TableTextSmall"/>
              <w:jc w:val="center"/>
            </w:pPr>
            <w:r>
              <w:rPr>
                <w:rFonts w:ascii="Arial" w:hAnsi="Arial"/>
                <w:color w:val="404040"/>
                <w:sz w:val="14"/>
                <w:szCs w:val="14"/>
              </w:rPr>
              <w:t>148</w:t>
            </w:r>
          </w:p>
        </w:tc>
        <w:tc>
          <w:tcPr>
            <w:tcW w:w="992" w:type="dxa"/>
            <w:tcBorders>
              <w:top w:val="single" w:sz="4" w:space="0" w:color="E02628"/>
              <w:left w:val="nil"/>
              <w:bottom w:val="single" w:sz="4" w:space="0" w:color="E02628"/>
              <w:right w:val="nil"/>
            </w:tcBorders>
            <w:shd w:val="clear" w:color="000000" w:fill="FFFFFF"/>
            <w:noWrap/>
            <w:vAlign w:val="center"/>
          </w:tcPr>
          <w:p w14:paraId="712E75FF" w14:textId="26009CE0" w:rsidR="001C1846" w:rsidRPr="00EC326F" w:rsidRDefault="001C1846" w:rsidP="001C1846">
            <w:pPr>
              <w:pStyle w:val="TableTextSmall"/>
              <w:jc w:val="center"/>
            </w:pPr>
            <w:r>
              <w:rPr>
                <w:rFonts w:ascii="Arial" w:hAnsi="Arial"/>
                <w:color w:val="404040"/>
                <w:sz w:val="14"/>
                <w:szCs w:val="14"/>
              </w:rPr>
              <w:t>-0.2%</w:t>
            </w:r>
          </w:p>
        </w:tc>
        <w:tc>
          <w:tcPr>
            <w:tcW w:w="992" w:type="dxa"/>
            <w:tcBorders>
              <w:top w:val="single" w:sz="4" w:space="0" w:color="E02628"/>
              <w:left w:val="nil"/>
              <w:bottom w:val="single" w:sz="4" w:space="0" w:color="E02628"/>
              <w:right w:val="nil"/>
            </w:tcBorders>
            <w:shd w:val="clear" w:color="000000" w:fill="FFFFFF"/>
            <w:noWrap/>
            <w:vAlign w:val="center"/>
          </w:tcPr>
          <w:p w14:paraId="1E71B5F8" w14:textId="59594ACE" w:rsidR="001C1846" w:rsidRPr="00EC326F" w:rsidRDefault="001C1846" w:rsidP="001C1846">
            <w:pPr>
              <w:pStyle w:val="TableTextSmall"/>
              <w:jc w:val="center"/>
            </w:pPr>
            <w:r>
              <w:rPr>
                <w:rFonts w:ascii="Arial" w:hAnsi="Arial"/>
                <w:color w:val="404040"/>
                <w:sz w:val="14"/>
                <w:szCs w:val="14"/>
              </w:rPr>
              <w:t>-9.8%</w:t>
            </w:r>
          </w:p>
        </w:tc>
      </w:tr>
      <w:tr w:rsidR="001C1846" w:rsidRPr="00EC326F" w14:paraId="678F744F" w14:textId="77777777" w:rsidTr="00744519">
        <w:trPr>
          <w:trHeight w:val="227"/>
          <w:tblHeader/>
        </w:trPr>
        <w:tc>
          <w:tcPr>
            <w:tcW w:w="3317" w:type="dxa"/>
            <w:tcBorders>
              <w:top w:val="single" w:sz="4" w:space="0" w:color="E02628"/>
              <w:left w:val="nil"/>
              <w:bottom w:val="single" w:sz="4" w:space="0" w:color="E02628"/>
              <w:right w:val="nil"/>
            </w:tcBorders>
            <w:shd w:val="clear" w:color="auto" w:fill="E02628"/>
            <w:noWrap/>
            <w:vAlign w:val="center"/>
            <w:hideMark/>
          </w:tcPr>
          <w:p w14:paraId="49660828" w14:textId="77777777" w:rsidR="001C1846" w:rsidRPr="00EC326F" w:rsidRDefault="001C1846" w:rsidP="001C1846">
            <w:pPr>
              <w:pStyle w:val="TableTextSmall"/>
              <w:rPr>
                <w:snapToGrid/>
                <w:lang w:eastAsia="en-AU"/>
              </w:rPr>
            </w:pPr>
            <w:r w:rsidRPr="00EC326F">
              <w:rPr>
                <w:snapToGrid/>
                <w:color w:val="FFFFFF" w:themeColor="background1"/>
                <w:lang w:eastAsia="en-AU"/>
              </w:rPr>
              <w:t>Australian resident population</w:t>
            </w:r>
          </w:p>
        </w:tc>
        <w:tc>
          <w:tcPr>
            <w:tcW w:w="1134" w:type="dxa"/>
            <w:tcBorders>
              <w:top w:val="single" w:sz="4" w:space="0" w:color="E02628"/>
              <w:left w:val="nil"/>
              <w:bottom w:val="single" w:sz="4" w:space="0" w:color="E02628"/>
              <w:right w:val="nil"/>
            </w:tcBorders>
            <w:shd w:val="clear" w:color="auto" w:fill="E02628"/>
            <w:vAlign w:val="center"/>
          </w:tcPr>
          <w:p w14:paraId="6A53C982" w14:textId="29545233" w:rsidR="001C1846" w:rsidRPr="00EC326F" w:rsidRDefault="001C1846" w:rsidP="001C1846">
            <w:pPr>
              <w:pStyle w:val="TableTextSmall"/>
              <w:jc w:val="center"/>
              <w:rPr>
                <w:color w:val="FFFFFF" w:themeColor="background1"/>
              </w:rPr>
            </w:pPr>
            <w:r>
              <w:rPr>
                <w:rFonts w:ascii="Arial" w:hAnsi="Arial"/>
                <w:b/>
                <w:bCs/>
                <w:color w:val="FFFFFF"/>
                <w:sz w:val="14"/>
                <w:szCs w:val="14"/>
              </w:rPr>
              <w:t>23,866,589</w:t>
            </w:r>
          </w:p>
        </w:tc>
        <w:tc>
          <w:tcPr>
            <w:tcW w:w="1134" w:type="dxa"/>
            <w:tcBorders>
              <w:top w:val="single" w:sz="4" w:space="0" w:color="E02628"/>
              <w:left w:val="nil"/>
              <w:bottom w:val="single" w:sz="4" w:space="0" w:color="E02628"/>
              <w:right w:val="nil"/>
            </w:tcBorders>
            <w:shd w:val="clear" w:color="auto" w:fill="E02628"/>
            <w:vAlign w:val="center"/>
          </w:tcPr>
          <w:p w14:paraId="2B667E68" w14:textId="22E239FB" w:rsidR="001C1846" w:rsidRPr="00EC326F" w:rsidRDefault="001C1846" w:rsidP="001C1846">
            <w:pPr>
              <w:pStyle w:val="TableTextSmall"/>
              <w:jc w:val="center"/>
              <w:rPr>
                <w:color w:val="FFFFFF" w:themeColor="background1"/>
              </w:rPr>
            </w:pPr>
            <w:r>
              <w:rPr>
                <w:rFonts w:ascii="Arial" w:hAnsi="Arial"/>
                <w:b/>
                <w:bCs/>
                <w:color w:val="FFFFFF"/>
                <w:sz w:val="14"/>
                <w:szCs w:val="14"/>
              </w:rPr>
              <w:t>200</w:t>
            </w:r>
          </w:p>
        </w:tc>
        <w:tc>
          <w:tcPr>
            <w:tcW w:w="1134" w:type="dxa"/>
            <w:tcBorders>
              <w:top w:val="single" w:sz="4" w:space="0" w:color="E02628"/>
              <w:left w:val="nil"/>
              <w:bottom w:val="single" w:sz="4" w:space="0" w:color="E02628"/>
              <w:right w:val="nil"/>
            </w:tcBorders>
            <w:shd w:val="clear" w:color="auto" w:fill="E02628"/>
            <w:noWrap/>
            <w:vAlign w:val="center"/>
            <w:hideMark/>
          </w:tcPr>
          <w:p w14:paraId="160C3121" w14:textId="5BD728A6" w:rsidR="001C1846" w:rsidRPr="00EC326F" w:rsidRDefault="001C1846" w:rsidP="001C1846">
            <w:pPr>
              <w:pStyle w:val="TableTextSmall"/>
              <w:jc w:val="center"/>
              <w:rPr>
                <w:color w:val="FFFFFF" w:themeColor="background1"/>
              </w:rPr>
            </w:pPr>
            <w:r>
              <w:rPr>
                <w:rFonts w:ascii="Arial" w:hAnsi="Arial"/>
                <w:b/>
                <w:bCs/>
                <w:color w:val="FFFFFF"/>
                <w:sz w:val="14"/>
                <w:szCs w:val="14"/>
              </w:rPr>
              <w:t>24,162,601</w:t>
            </w:r>
          </w:p>
        </w:tc>
        <w:tc>
          <w:tcPr>
            <w:tcW w:w="1134" w:type="dxa"/>
            <w:tcBorders>
              <w:top w:val="single" w:sz="4" w:space="0" w:color="E02628"/>
              <w:left w:val="nil"/>
              <w:bottom w:val="single" w:sz="4" w:space="0" w:color="E02628"/>
              <w:right w:val="nil"/>
            </w:tcBorders>
            <w:shd w:val="clear" w:color="auto" w:fill="E02628"/>
            <w:noWrap/>
            <w:vAlign w:val="center"/>
          </w:tcPr>
          <w:p w14:paraId="6CC56E31" w14:textId="683F59AB" w:rsidR="001C1846" w:rsidRPr="00EC326F" w:rsidRDefault="001C1846" w:rsidP="001C1846">
            <w:pPr>
              <w:pStyle w:val="TableTextSmall"/>
              <w:jc w:val="center"/>
              <w:rPr>
                <w:color w:val="FFFFFF" w:themeColor="background1"/>
              </w:rPr>
            </w:pPr>
            <w:r>
              <w:rPr>
                <w:rFonts w:ascii="Arial" w:hAnsi="Arial"/>
                <w:b/>
                <w:bCs/>
                <w:color w:val="FFFFFF"/>
                <w:sz w:val="14"/>
                <w:szCs w:val="14"/>
              </w:rPr>
              <w:t>187</w:t>
            </w:r>
          </w:p>
        </w:tc>
        <w:tc>
          <w:tcPr>
            <w:tcW w:w="992" w:type="dxa"/>
            <w:tcBorders>
              <w:top w:val="single" w:sz="4" w:space="0" w:color="E02628"/>
              <w:left w:val="nil"/>
              <w:bottom w:val="single" w:sz="4" w:space="0" w:color="E02628"/>
              <w:right w:val="nil"/>
            </w:tcBorders>
            <w:shd w:val="clear" w:color="auto" w:fill="E02628"/>
            <w:noWrap/>
            <w:vAlign w:val="center"/>
          </w:tcPr>
          <w:p w14:paraId="6D213845" w14:textId="615FEE81" w:rsidR="001C1846" w:rsidRPr="00EC326F" w:rsidRDefault="001C1846" w:rsidP="001C1846">
            <w:pPr>
              <w:pStyle w:val="TableTextSmall"/>
              <w:jc w:val="center"/>
              <w:rPr>
                <w:color w:val="FFFFFF" w:themeColor="background1"/>
              </w:rPr>
            </w:pPr>
            <w:r>
              <w:rPr>
                <w:rFonts w:ascii="Arial" w:hAnsi="Arial"/>
                <w:b/>
                <w:bCs/>
                <w:color w:val="FFFFFF"/>
                <w:sz w:val="14"/>
                <w:szCs w:val="14"/>
              </w:rPr>
              <w:t>1.2%</w:t>
            </w:r>
          </w:p>
        </w:tc>
        <w:tc>
          <w:tcPr>
            <w:tcW w:w="992" w:type="dxa"/>
            <w:tcBorders>
              <w:top w:val="single" w:sz="4" w:space="0" w:color="E02628"/>
              <w:left w:val="nil"/>
              <w:bottom w:val="single" w:sz="4" w:space="0" w:color="E02628"/>
              <w:right w:val="nil"/>
            </w:tcBorders>
            <w:shd w:val="clear" w:color="auto" w:fill="E02628"/>
            <w:noWrap/>
            <w:vAlign w:val="center"/>
          </w:tcPr>
          <w:p w14:paraId="2E78B39E" w14:textId="1FFE5BC6" w:rsidR="001C1846" w:rsidRPr="00EC326F" w:rsidRDefault="001C1846" w:rsidP="001C1846">
            <w:pPr>
              <w:pStyle w:val="TableTextSmall"/>
              <w:jc w:val="center"/>
              <w:rPr>
                <w:color w:val="FFFFFF" w:themeColor="background1"/>
              </w:rPr>
            </w:pPr>
            <w:r>
              <w:rPr>
                <w:rFonts w:ascii="Arial" w:hAnsi="Arial"/>
                <w:b/>
                <w:bCs/>
                <w:color w:val="FFFFFF"/>
                <w:sz w:val="14"/>
                <w:szCs w:val="14"/>
              </w:rPr>
              <w:t>-6.4%</w:t>
            </w:r>
          </w:p>
        </w:tc>
      </w:tr>
    </w:tbl>
    <w:p w14:paraId="3A19E266" w14:textId="772752FF" w:rsidR="00B54D40" w:rsidRPr="0062685D" w:rsidRDefault="00B54D40" w:rsidP="00780977">
      <w:pPr>
        <w:pStyle w:val="Sources"/>
        <w:keepNext/>
      </w:pPr>
      <w:r w:rsidRPr="00EC326F">
        <w:t xml:space="preserve">Note: </w:t>
      </w:r>
      <w:r>
        <w:t>Exited 4+ years refers to previous welfare recipients who have exited in the past 4-15 years</w:t>
      </w:r>
    </w:p>
    <w:p w14:paraId="056DF895" w14:textId="77777777" w:rsidR="001B51D8" w:rsidRDefault="001B51D8" w:rsidP="001B51D8">
      <w:pPr>
        <w:pStyle w:val="Minorheading"/>
      </w:pPr>
      <w:r>
        <w:t>Changes in numbers of people in each class</w:t>
      </w:r>
    </w:p>
    <w:p w14:paraId="66E62599" w14:textId="77777777" w:rsidR="00B71296" w:rsidRPr="00EC326F" w:rsidRDefault="00B71296" w:rsidP="001B51D8">
      <w:pPr>
        <w:pStyle w:val="PwCNormal"/>
        <w:numPr>
          <w:ilvl w:val="0"/>
          <w:numId w:val="0"/>
        </w:numPr>
      </w:pPr>
      <w:r w:rsidRPr="001B51D8">
        <w:t>The numbers of people within the income support classes has grown slightly over the year, but is less than the overall population growth. Within this the experience varies considerably by class</w:t>
      </w:r>
      <w:r w:rsidR="001B51D8">
        <w:t xml:space="preserve">. </w:t>
      </w:r>
      <w:r w:rsidRPr="00EC326F">
        <w:rPr>
          <w:rStyle w:val="Emphasis"/>
          <w:i w:val="0"/>
          <w:iCs w:val="0"/>
        </w:rPr>
        <w:t>T</w:t>
      </w:r>
      <w:r w:rsidRPr="00EC326F">
        <w:t xml:space="preserve">he numbers of people in the aged pension and carer payment classes have both grown and this was in line with our previous expectations (reflecting past experience and population demographics). Conversely the number of disability </w:t>
      </w:r>
      <w:r w:rsidRPr="00EC326F">
        <w:lastRenderedPageBreak/>
        <w:t xml:space="preserve">support pension recipients has reduced with reduced entries to this class, most likely as a result of the tightening of the eligibility requirements. </w:t>
      </w:r>
    </w:p>
    <w:p w14:paraId="263D44A3" w14:textId="49671990" w:rsidR="00B71296" w:rsidRPr="00EC326F" w:rsidRDefault="00B71296" w:rsidP="00DA56E6">
      <w:pPr>
        <w:pStyle w:val="PwCNormal"/>
        <w:numPr>
          <w:ilvl w:val="0"/>
          <w:numId w:val="1"/>
        </w:numPr>
      </w:pPr>
      <w:r w:rsidRPr="00EC326F">
        <w:t xml:space="preserve">The numbers of people in the </w:t>
      </w:r>
      <w:r w:rsidR="00916C7F">
        <w:t>Studying</w:t>
      </w:r>
      <w:r w:rsidRPr="00EC326F">
        <w:t xml:space="preserve">, </w:t>
      </w:r>
      <w:r w:rsidR="00916C7F">
        <w:t>P</w:t>
      </w:r>
      <w:r w:rsidRPr="00EC326F">
        <w:t xml:space="preserve">arenting and </w:t>
      </w:r>
      <w:r w:rsidR="00916C7F">
        <w:t>W</w:t>
      </w:r>
      <w:r w:rsidRPr="00EC326F">
        <w:t xml:space="preserve">orking </w:t>
      </w:r>
      <w:r w:rsidR="00916C7F">
        <w:t>A</w:t>
      </w:r>
      <w:r w:rsidRPr="00EC326F">
        <w:t xml:space="preserve">ge classes are close to those seen last year. The experience for the </w:t>
      </w:r>
      <w:r w:rsidR="00916C7F">
        <w:t>W</w:t>
      </w:r>
      <w:r w:rsidRPr="00EC326F">
        <w:t xml:space="preserve">orking </w:t>
      </w:r>
      <w:r w:rsidR="00916C7F">
        <w:t>A</w:t>
      </w:r>
      <w:r w:rsidRPr="00EC326F">
        <w:t xml:space="preserve">ge class is particularly interesting as the numbers had been expected to grow over the year, with expected entries exceeding expected exits based on the past entry and exit experience in conjunction with the population demographics. The actual increase to the numbers of people was lower than these expectations with both the number of entries being slightly below expected and the number of exits being slightly higher. Further explanation of the reasons for the change in numbers of people in each </w:t>
      </w:r>
      <w:r w:rsidR="0011562A">
        <w:t>class is provided in section </w:t>
      </w:r>
      <w:r w:rsidR="0011562A">
        <w:fldChar w:fldCharType="begin"/>
      </w:r>
      <w:r w:rsidR="0011562A">
        <w:instrText xml:space="preserve"> REF _Ref466494594 \w \h </w:instrText>
      </w:r>
      <w:r w:rsidR="0011562A">
        <w:fldChar w:fldCharType="separate"/>
      </w:r>
      <w:r w:rsidR="007A42DF">
        <w:t>6.5</w:t>
      </w:r>
      <w:r w:rsidR="0011562A">
        <w:fldChar w:fldCharType="end"/>
      </w:r>
      <w:r w:rsidRPr="00EC326F">
        <w:t>.</w:t>
      </w:r>
    </w:p>
    <w:p w14:paraId="177EE3D4" w14:textId="77777777" w:rsidR="001B51D8" w:rsidRDefault="001B51D8" w:rsidP="001B51D8">
      <w:pPr>
        <w:pStyle w:val="Minorheading"/>
      </w:pPr>
      <w:r>
        <w:t>Changes in average lifetime cost</w:t>
      </w:r>
    </w:p>
    <w:p w14:paraId="79F701D8" w14:textId="44E47B51" w:rsidR="00B71296" w:rsidRPr="00EC326F" w:rsidRDefault="00B71296" w:rsidP="00B71296">
      <w:pPr>
        <w:pStyle w:val="PwCNormal"/>
        <w:numPr>
          <w:ilvl w:val="0"/>
          <w:numId w:val="0"/>
        </w:numPr>
      </w:pPr>
      <w:r w:rsidRPr="00EC326F">
        <w:t>There have been change</w:t>
      </w:r>
      <w:r w:rsidR="00CD3E41">
        <w:t>s</w:t>
      </w:r>
      <w:r w:rsidRPr="00EC326F">
        <w:t xml:space="preserve"> in average lifetime costs in the range -15% to +8% across the classes, with most classes seeing some reductions, in line with the overall lifetime cost movement</w:t>
      </w:r>
      <w:r w:rsidR="00E04083">
        <w:t>,</w:t>
      </w:r>
      <w:r w:rsidRPr="00EC326F">
        <w:t xml:space="preserve"> but </w:t>
      </w:r>
      <w:r w:rsidR="00E04083">
        <w:t>with</w:t>
      </w:r>
      <w:r w:rsidRPr="00EC326F">
        <w:t xml:space="preserve"> increases for people in the </w:t>
      </w:r>
      <w:r w:rsidR="00916C7F">
        <w:t>P</w:t>
      </w:r>
      <w:r w:rsidRPr="00EC326F">
        <w:t xml:space="preserve">arenting, </w:t>
      </w:r>
      <w:r w:rsidR="00916C7F">
        <w:t>C</w:t>
      </w:r>
      <w:r w:rsidRPr="00EC326F">
        <w:t xml:space="preserve">arer and </w:t>
      </w:r>
      <w:r w:rsidR="00916C7F">
        <w:t>D</w:t>
      </w:r>
      <w:r w:rsidRPr="00EC326F">
        <w:t xml:space="preserve">isability </w:t>
      </w:r>
      <w:r w:rsidR="00916C7F">
        <w:t>S</w:t>
      </w:r>
      <w:r w:rsidRPr="00EC326F">
        <w:t xml:space="preserve">upport </w:t>
      </w:r>
      <w:r w:rsidR="00916C7F">
        <w:t>P</w:t>
      </w:r>
      <w:r w:rsidRPr="00EC326F">
        <w:t xml:space="preserve">ension classes and no change for the </w:t>
      </w:r>
      <w:r w:rsidR="00916C7F">
        <w:t>A</w:t>
      </w:r>
      <w:r w:rsidRPr="00EC326F">
        <w:t xml:space="preserve">ge </w:t>
      </w:r>
      <w:r w:rsidR="00916C7F">
        <w:t>P</w:t>
      </w:r>
      <w:r w:rsidRPr="00EC326F">
        <w:t>ension class.</w:t>
      </w:r>
    </w:p>
    <w:p w14:paraId="140EC6C3" w14:textId="77777777" w:rsidR="00B71296" w:rsidRPr="00EC326F" w:rsidRDefault="00B71296" w:rsidP="00B71296">
      <w:pPr>
        <w:pStyle w:val="PwCNormal"/>
        <w:numPr>
          <w:ilvl w:val="0"/>
          <w:numId w:val="0"/>
        </w:numPr>
      </w:pPr>
      <w:r w:rsidRPr="00EC326F">
        <w:t xml:space="preserve">The factors behind these changes are discussed in </w:t>
      </w:r>
      <w:r w:rsidR="0011562A">
        <w:t>section</w:t>
      </w:r>
      <w:r w:rsidRPr="00EC326F">
        <w:t>s</w:t>
      </w:r>
      <w:r w:rsidR="0011562A">
        <w:t xml:space="preserve"> </w:t>
      </w:r>
      <w:r w:rsidR="0011562A">
        <w:fldChar w:fldCharType="begin"/>
      </w:r>
      <w:r w:rsidR="0011562A">
        <w:instrText xml:space="preserve"> REF _Ref437277121 \w \h </w:instrText>
      </w:r>
      <w:r w:rsidR="0011562A">
        <w:fldChar w:fldCharType="separate"/>
      </w:r>
      <w:r w:rsidR="007A42DF">
        <w:t>8</w:t>
      </w:r>
      <w:r w:rsidR="0011562A">
        <w:fldChar w:fldCharType="end"/>
      </w:r>
      <w:r w:rsidR="0011562A">
        <w:t xml:space="preserve">, </w:t>
      </w:r>
      <w:r w:rsidR="0011562A">
        <w:fldChar w:fldCharType="begin"/>
      </w:r>
      <w:r w:rsidR="0011562A">
        <w:instrText xml:space="preserve"> REF _Ref466373125 \w \h </w:instrText>
      </w:r>
      <w:r w:rsidR="0011562A">
        <w:fldChar w:fldCharType="separate"/>
      </w:r>
      <w:r w:rsidR="007A42DF">
        <w:t>9</w:t>
      </w:r>
      <w:r w:rsidR="0011562A">
        <w:fldChar w:fldCharType="end"/>
      </w:r>
      <w:r w:rsidR="0011562A">
        <w:t xml:space="preserve"> and </w:t>
      </w:r>
      <w:r w:rsidR="0011562A">
        <w:fldChar w:fldCharType="begin"/>
      </w:r>
      <w:r w:rsidR="0011562A">
        <w:instrText xml:space="preserve"> REF _Ref466494632 \w \h </w:instrText>
      </w:r>
      <w:r w:rsidR="0011562A">
        <w:fldChar w:fldCharType="separate"/>
      </w:r>
      <w:r w:rsidR="007A42DF">
        <w:t>10</w:t>
      </w:r>
      <w:r w:rsidR="0011562A">
        <w:fldChar w:fldCharType="end"/>
      </w:r>
      <w:r w:rsidRPr="00EC326F">
        <w:t xml:space="preserve"> for each class in turn. Some themes emerge:</w:t>
      </w:r>
    </w:p>
    <w:p w14:paraId="15EBF418" w14:textId="77777777" w:rsidR="00B71296" w:rsidRPr="001B51D8" w:rsidRDefault="00B71296" w:rsidP="00B71296">
      <w:pPr>
        <w:pStyle w:val="ListBullet"/>
      </w:pPr>
      <w:r w:rsidRPr="001B51D8">
        <w:t>There are greater reductions for classes where people are currently not receiving welfare. This reflects the reductions to entry rates and lower long term unemployment assumption, which also serves to reduce the effective future entry rate.</w:t>
      </w:r>
    </w:p>
    <w:p w14:paraId="17FFFA9D" w14:textId="77777777" w:rsidR="00B71296" w:rsidRPr="001B51D8" w:rsidRDefault="00B71296" w:rsidP="00B71296">
      <w:pPr>
        <w:pStyle w:val="ListBullet"/>
      </w:pPr>
      <w:r w:rsidRPr="001B51D8">
        <w:t>There are greater reductions for classes where people currently receiving welfare have a higher likelihood of exiting income support classes to either the non income support o</w:t>
      </w:r>
      <w:r w:rsidR="00CD3E41">
        <w:t>r</w:t>
      </w:r>
      <w:r w:rsidRPr="001B51D8">
        <w:t xml:space="preserve"> non welfare classes in future. Th</w:t>
      </w:r>
      <w:r w:rsidR="00E04083">
        <w:t>ey</w:t>
      </w:r>
      <w:r w:rsidRPr="001B51D8">
        <w:t xml:space="preserve"> also have a reduced likelihood of re-entering the system </w:t>
      </w:r>
      <w:r w:rsidR="001B51D8" w:rsidRPr="001B51D8">
        <w:t>in future years</w:t>
      </w:r>
      <w:r w:rsidRPr="001B51D8">
        <w:t>.</w:t>
      </w:r>
    </w:p>
    <w:p w14:paraId="523E0DDC" w14:textId="77777777" w:rsidR="001B51D8" w:rsidRPr="00DA0C88" w:rsidRDefault="001B51D8" w:rsidP="00B71296">
      <w:pPr>
        <w:pStyle w:val="ListBullet"/>
      </w:pPr>
      <w:r w:rsidRPr="00DA0C88">
        <w:t xml:space="preserve">The inclusion of more variables in the model, together with more refined modelling has led to an improved ability to differentiate between the higher persistency and lower persistency subgroups within the population. </w:t>
      </w:r>
      <w:r w:rsidR="00DA0C88" w:rsidRPr="00DA0C88">
        <w:t>This has tended to increase the assessments of lifetime cost for the classes which already had higher average lifetime costs and reduce them for other classes.</w:t>
      </w:r>
    </w:p>
    <w:p w14:paraId="31A68CEF" w14:textId="77777777" w:rsidR="001B51D8" w:rsidRPr="001B51D8" w:rsidRDefault="00B71296" w:rsidP="00B71296">
      <w:pPr>
        <w:pStyle w:val="ListBullet"/>
      </w:pPr>
      <w:r w:rsidRPr="001B51D8">
        <w:t>The</w:t>
      </w:r>
      <w:r w:rsidR="001B51D8" w:rsidRPr="001B51D8">
        <w:t xml:space="preserve"> impact of new policy changes </w:t>
      </w:r>
      <w:r w:rsidR="00DA0C88">
        <w:t xml:space="preserve">made over the year </w:t>
      </w:r>
      <w:r w:rsidR="001B51D8" w:rsidRPr="001B51D8">
        <w:t xml:space="preserve">has been relatively minor, with many of the areas where recent changes are impacting the experience already considered in the baseline valuation. </w:t>
      </w:r>
    </w:p>
    <w:p w14:paraId="5D7988C2" w14:textId="77777777" w:rsidR="00B71296" w:rsidRPr="00EC326F" w:rsidRDefault="00B71296" w:rsidP="00B71296">
      <w:pPr>
        <w:pStyle w:val="Heading2ExecutiveSummary"/>
      </w:pPr>
      <w:r w:rsidRPr="00EC326F">
        <w:t>Forecasts</w:t>
      </w:r>
    </w:p>
    <w:p w14:paraId="1A8075D0" w14:textId="77777777" w:rsidR="00B71296" w:rsidRPr="00EC326F" w:rsidRDefault="00B71296" w:rsidP="00B71296">
      <w:pPr>
        <w:pStyle w:val="PwCNormal"/>
        <w:numPr>
          <w:ilvl w:val="0"/>
          <w:numId w:val="1"/>
        </w:numPr>
      </w:pPr>
      <w:r w:rsidRPr="00EC326F">
        <w:t>The chart below shows the expected numbers of people in each active welfare class in each of the next 5 years.</w:t>
      </w:r>
    </w:p>
    <w:p w14:paraId="4D345F4A" w14:textId="77777777" w:rsidR="0033202D" w:rsidRPr="00EC326F" w:rsidRDefault="00B71296" w:rsidP="00B71296">
      <w:pPr>
        <w:pStyle w:val="Caption"/>
      </w:pPr>
      <w:r w:rsidRPr="00EC326F">
        <w:t xml:space="preserve">Figure </w:t>
      </w:r>
      <w:r w:rsidRPr="00EC326F">
        <w:rPr>
          <w:bCs w:val="0"/>
        </w:rPr>
        <w:fldChar w:fldCharType="begin"/>
      </w:r>
      <w:r w:rsidRPr="00EC326F">
        <w:rPr>
          <w:bCs w:val="0"/>
        </w:rPr>
        <w:instrText xml:space="preserve"> SEQ Figure \* ARABIC </w:instrText>
      </w:r>
      <w:r w:rsidRPr="00EC326F">
        <w:rPr>
          <w:bCs w:val="0"/>
        </w:rPr>
        <w:fldChar w:fldCharType="separate"/>
      </w:r>
      <w:r w:rsidR="007A42DF">
        <w:rPr>
          <w:bCs w:val="0"/>
          <w:noProof/>
        </w:rPr>
        <w:t>4</w:t>
      </w:r>
      <w:r w:rsidRPr="00EC326F">
        <w:rPr>
          <w:bCs w:val="0"/>
        </w:rPr>
        <w:fldChar w:fldCharType="end"/>
      </w:r>
      <w:r w:rsidRPr="00EC326F">
        <w:t xml:space="preserve">: </w:t>
      </w:r>
      <w:r w:rsidR="00CD3E41" w:rsidRPr="00EC326F">
        <w:t xml:space="preserve">Actual and Projected </w:t>
      </w:r>
      <w:r w:rsidRPr="00EC326F">
        <w:t>numbers of people in each active welfare class</w:t>
      </w:r>
    </w:p>
    <w:p w14:paraId="6D387298" w14:textId="77777777" w:rsidR="00851A26" w:rsidRPr="00EC326F" w:rsidRDefault="00851A26" w:rsidP="00851A26">
      <w:r w:rsidRPr="00EC326F">
        <w:rPr>
          <w:noProof/>
          <w:lang w:eastAsia="en-AU"/>
        </w:rPr>
        <w:drawing>
          <wp:inline distT="0" distB="0" distL="0" distR="0" wp14:anchorId="640BCFA1" wp14:editId="1077C4F4">
            <wp:extent cx="4913223" cy="2160000"/>
            <wp:effectExtent l="0" t="0" r="1905" b="0"/>
            <wp:docPr id="3156" name="Picture 3156" descr="This figure is a grouped column chart. The chart shows the projected number of individuals in each active welfare class for each financial year for the next 5 years. The vertical axis shows the number of individuals ranging from 0 to 3 million. The horizontal axis shows welfare class for active welfare classes 1 to 9.&#10;&#10;For each welfare class on the horizontal axis, there are 6 columns grouped together. The 6 columns show the actual number of people in the class at 30 June 2016 as well as the projected number of people in the class for at each 30 June 2017, 30 June 2018, 30 June 2019, 30 June 2020 and 30 June 2021.&#10;&#10;The expected number of people in each active welfare class at 30 June 2021 is: 365,000 for Studying, 1,296,000 for Working age, 459,000 for Parents, 346 ,000 for Carers, 823,000 for Disability Support, 2,831,000 for Pension age, 1,535,000 for Non-IS Family, 217,000 for Non-IS Carer, and 642,000 for Non-IS Other. &#10;&#10;Further features shown in the chart are discussed in the accompanying text within the report.&#10;" title=" Actual and Projected numbers of people in each active welfare cl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3" t="1631" r="663" b="1631"/>
                    <a:stretch/>
                  </pic:blipFill>
                  <pic:spPr bwMode="auto">
                    <a:xfrm>
                      <a:off x="0" y="0"/>
                      <a:ext cx="4913223"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99133D2" w14:textId="77777777" w:rsidR="00B71296" w:rsidRPr="00EC326F" w:rsidRDefault="00B71296" w:rsidP="00B71296">
      <w:pPr>
        <w:pStyle w:val="Sources"/>
      </w:pPr>
      <w:r w:rsidRPr="00EC326F">
        <w:t>Notes:</w:t>
      </w:r>
    </w:p>
    <w:p w14:paraId="427DC9D8" w14:textId="77777777" w:rsidR="00B71296" w:rsidRPr="00EC326F" w:rsidRDefault="00B71296" w:rsidP="001A4479">
      <w:pPr>
        <w:pStyle w:val="Sources"/>
        <w:numPr>
          <w:ilvl w:val="0"/>
          <w:numId w:val="31"/>
        </w:numPr>
      </w:pPr>
      <w:r w:rsidRPr="00EC326F">
        <w:t>The actual numbers will be slightly higher than this as the population is expected to grow through migration and births. Over this 5 year timeframe migration will have the bigger impact as most people only enter the payment system in their own right in their teenage years.</w:t>
      </w:r>
    </w:p>
    <w:p w14:paraId="6EB5330A" w14:textId="77777777" w:rsidR="00B71296" w:rsidRPr="00EC326F" w:rsidRDefault="00B71296" w:rsidP="001A4479">
      <w:pPr>
        <w:pStyle w:val="Sources"/>
        <w:numPr>
          <w:ilvl w:val="0"/>
          <w:numId w:val="31"/>
        </w:numPr>
        <w:ind w:left="709"/>
      </w:pPr>
      <w:r w:rsidRPr="00EC326F">
        <w:t>Consequently the Department should use this information with care and consider making adjustments for the undercount before using them for purposes such as planning or budgeting.</w:t>
      </w:r>
    </w:p>
    <w:p w14:paraId="38740317" w14:textId="77777777" w:rsidR="0057072F" w:rsidRPr="0057072F" w:rsidRDefault="0057072F" w:rsidP="00B71296">
      <w:pPr>
        <w:pStyle w:val="PwCNormal"/>
      </w:pPr>
      <w:r w:rsidRPr="0057072F">
        <w:lastRenderedPageBreak/>
        <w:t xml:space="preserve">The changing age profile of the population is a big driver of these forecasts with the expected growth in the number of age pensioners being the most notable feature.  The number of people in the carer’s class are also forecast to grow, again reflecting the ageing population. </w:t>
      </w:r>
    </w:p>
    <w:p w14:paraId="55A757F4" w14:textId="77777777" w:rsidR="00B71296" w:rsidRPr="00EC326F" w:rsidRDefault="00B71296" w:rsidP="00B71296">
      <w:pPr>
        <w:pStyle w:val="Heading2ExecutiveSummary"/>
      </w:pPr>
      <w:r w:rsidRPr="00EC326F">
        <w:t>Model sensitivity, use and limitations</w:t>
      </w:r>
    </w:p>
    <w:p w14:paraId="0FE61A3D" w14:textId="77777777" w:rsidR="00B71296" w:rsidRPr="00EC326F" w:rsidRDefault="00B71296" w:rsidP="00B71296">
      <w:pPr>
        <w:pStyle w:val="Heading3ExecutiveSummary"/>
      </w:pPr>
      <w:r w:rsidRPr="00EC326F">
        <w:t>Model assumptions</w:t>
      </w:r>
    </w:p>
    <w:p w14:paraId="09894D89" w14:textId="77777777" w:rsidR="00B71296" w:rsidRPr="00EC326F" w:rsidRDefault="00B71296" w:rsidP="0048265F">
      <w:pPr>
        <w:pStyle w:val="PwCNormal"/>
      </w:pPr>
      <w:r w:rsidRPr="00EC326F">
        <w:t xml:space="preserve">Many of the assumptions underlying the actuarial valuation are developed by considering patterns of past use of the welfare system. In some cases the past experience has been volatile and in others the experience has trended from year to year, most likely as a result of policy changes. Some policy changes are recent and not fully reflected in the observed experience; people may also behave differently in the future than they have in the past. </w:t>
      </w:r>
    </w:p>
    <w:p w14:paraId="73703D29" w14:textId="77777777" w:rsidR="00B71296" w:rsidRPr="00EC326F" w:rsidRDefault="00B71296" w:rsidP="0048265F">
      <w:pPr>
        <w:pStyle w:val="PwCNormal"/>
      </w:pPr>
      <w:r w:rsidRPr="00EC326F">
        <w:t>These considerations mean that the assumptions are inherently uncertain, and the actual future experience may differ from that modelled. This is particularly so when considering assumptions relating to experience far into the future. One example is the future trends in age pension entry and payment, and setting the probability that someone who either is or is not in the system now at age 25, will eventually go on to age pension in 40+ years’ time. Other examples relate to the future macro-economic environment and the assumptions made for the long run inflation, discount and unemployment rates.</w:t>
      </w:r>
    </w:p>
    <w:p w14:paraId="33E7372B" w14:textId="77777777" w:rsidR="00B71296" w:rsidRPr="00EC326F" w:rsidRDefault="00B71296" w:rsidP="00B71296">
      <w:pPr>
        <w:pStyle w:val="PwCNormal"/>
        <w:numPr>
          <w:ilvl w:val="0"/>
          <w:numId w:val="0"/>
        </w:numPr>
      </w:pPr>
      <w:r w:rsidRPr="00EC326F">
        <w:t>The long term nature of the lifetime cost results means they are highly sensitive to some of the</w:t>
      </w:r>
      <w:r w:rsidR="0011562A">
        <w:t xml:space="preserve"> assumptions, as quantified in section </w:t>
      </w:r>
      <w:r w:rsidR="0011562A">
        <w:fldChar w:fldCharType="begin"/>
      </w:r>
      <w:r w:rsidR="0011562A">
        <w:instrText xml:space="preserve"> REF _Ref466494695 \w \h </w:instrText>
      </w:r>
      <w:r w:rsidR="0011562A">
        <w:fldChar w:fldCharType="separate"/>
      </w:r>
      <w:r w:rsidR="007A42DF">
        <w:t>7.5</w:t>
      </w:r>
      <w:r w:rsidR="0011562A">
        <w:fldChar w:fldCharType="end"/>
      </w:r>
      <w:r w:rsidRPr="00EC326F">
        <w:t xml:space="preserve">. For example, a reduction </w:t>
      </w:r>
      <w:r w:rsidRPr="0011562A">
        <w:t>in the assumed discount rate from 6% (which has been adopted for the baseline valuation) to 5%, would add around $1,600 billion to the</w:t>
      </w:r>
      <w:r w:rsidRPr="00EC326F">
        <w:t xml:space="preserve"> total lifetime cost. The results are also quite sensitive to indexation assumptions, long term unemployment rate assumptions and to the mortality rates selected. For instance, we have assumed mortality </w:t>
      </w:r>
      <w:r w:rsidRPr="0011562A">
        <w:t>improvements in line with long term forecasts for the population. These have the effect of increasing the assessed lifetime costs by around $600 billion compared to a scenario where no improvement is adopted.</w:t>
      </w:r>
    </w:p>
    <w:p w14:paraId="483C4E67" w14:textId="77777777" w:rsidR="00B71296" w:rsidRPr="00EC326F" w:rsidRDefault="00B71296" w:rsidP="00B71296">
      <w:pPr>
        <w:pStyle w:val="Heading3ExecutiveSummary"/>
      </w:pPr>
      <w:r w:rsidRPr="00EC326F">
        <w:t>Model use and limitations</w:t>
      </w:r>
    </w:p>
    <w:p w14:paraId="4C98A0D4" w14:textId="77777777" w:rsidR="00B71296" w:rsidRPr="00EC326F" w:rsidRDefault="00B71296" w:rsidP="00B71296">
      <w:pPr>
        <w:pStyle w:val="PwCNormal"/>
        <w:numPr>
          <w:ilvl w:val="0"/>
          <w:numId w:val="0"/>
        </w:numPr>
      </w:pPr>
      <w:r w:rsidRPr="00EC326F">
        <w:t>As well as understanding what the model can do, it is important to bear in mind what the model is not intended to do. Essentially, it is a tool for understanding the long term impact of decisions made today and in the future, at a fairly high system level, and for groups of interest. It is a dynamic model that projects a limited number of factors over a long time period, taking into account how the population will change over that time and considering uncertainty. This contrasts with static models that quantify, at a much more detailed or precise level, the overnight impact of decisions or changes on today’s population. The models can and should work in tandem.</w:t>
      </w:r>
    </w:p>
    <w:p w14:paraId="165ED5EF" w14:textId="2CBF6673" w:rsidR="00B71296" w:rsidRPr="001C5347" w:rsidRDefault="00B71296" w:rsidP="001C5347">
      <w:pPr>
        <w:pStyle w:val="PwCNormal"/>
      </w:pPr>
      <w:r w:rsidRPr="001C5347">
        <w:t>Further, at this stage in its development, the actuarial model is quite financially-focussed. Although future welfare outcomes may be a proxy for underlying employment and health outcomes they have a limited ability to capture the information needed to explore people</w:t>
      </w:r>
      <w:r w:rsidR="0011562A" w:rsidRPr="001C5347">
        <w:t>’</w:t>
      </w:r>
      <w:r w:rsidRPr="001C5347">
        <w:t xml:space="preserve">s holistic life outcomes. An important aim of the investment approach, supporting the mission of the Department, is to positively impact the lifetime wellbeing of people and families in Australia, as well as </w:t>
      </w:r>
      <w:r w:rsidR="001C5347" w:rsidRPr="001C5347">
        <w:t>improve the long-term sustainability of the welfare system</w:t>
      </w:r>
      <w:r w:rsidR="001C5347">
        <w:t>.</w:t>
      </w:r>
      <w:r w:rsidRPr="001C5347">
        <w:t xml:space="preserve"> It will therefore be important, in using the actuarial model to develop interventions, to adopt a framework that considers not just the lifetime cost information generated by the valuation model, but also costs and benefits that are beyond the scope of the model. </w:t>
      </w:r>
    </w:p>
    <w:p w14:paraId="4F420166" w14:textId="77777777" w:rsidR="00B71296" w:rsidRPr="00EC326F" w:rsidRDefault="00B71296" w:rsidP="00B71296">
      <w:pPr>
        <w:pStyle w:val="PwCNormal"/>
        <w:numPr>
          <w:ilvl w:val="0"/>
          <w:numId w:val="0"/>
        </w:numPr>
      </w:pPr>
      <w:r w:rsidRPr="00EC326F">
        <w:t>In particular, as well as outputs from the model, in developing potential policy interventions it will be important to consider:</w:t>
      </w:r>
    </w:p>
    <w:p w14:paraId="323C7C26" w14:textId="77777777" w:rsidR="00B71296" w:rsidRPr="00EC326F" w:rsidRDefault="00B71296" w:rsidP="00B71296">
      <w:pPr>
        <w:pStyle w:val="ListBullet"/>
      </w:pPr>
      <w:r w:rsidRPr="00EC326F">
        <w:t>Short term impacts over the budget forecast period, as determined by detailed overnight costing models</w:t>
      </w:r>
    </w:p>
    <w:p w14:paraId="55738C54" w14:textId="77777777" w:rsidR="00B71296" w:rsidRPr="00EC326F" w:rsidRDefault="00B71296" w:rsidP="00B71296">
      <w:pPr>
        <w:pStyle w:val="ListBullet"/>
      </w:pPr>
      <w:r w:rsidRPr="00EC326F">
        <w:t>Broader costs and benefits to other parts of the system, using more traditional economic approaches such as cost/benefit analysis</w:t>
      </w:r>
    </w:p>
    <w:p w14:paraId="4CDB5A24" w14:textId="77777777" w:rsidR="00B71296" w:rsidRPr="00EC326F" w:rsidRDefault="00B71296" w:rsidP="00B71296">
      <w:pPr>
        <w:pStyle w:val="ListBullet"/>
      </w:pPr>
      <w:r w:rsidRPr="00EC326F">
        <w:t>Qualitative impacts on people’s lives and their lifetime wellbeing</w:t>
      </w:r>
    </w:p>
    <w:p w14:paraId="161DF8F0" w14:textId="77777777" w:rsidR="00B71296" w:rsidRPr="00EC326F" w:rsidRDefault="00B71296" w:rsidP="00B71296">
      <w:pPr>
        <w:pStyle w:val="PwCNormal"/>
        <w:numPr>
          <w:ilvl w:val="0"/>
          <w:numId w:val="1"/>
        </w:numPr>
      </w:pPr>
      <w:r w:rsidRPr="00EC326F">
        <w:t>It will also be important that the actuarial valuation model is used by the Department to identify policy priorities in a systematic way, in conjunction with appropriate expertise and dovetailing with existing policy and investment frameworks. The actuarial valuation model results should be validated in the context of broader qualitative evidence, wellbeing measures, existing policy evaluation frameworks and expertise.</w:t>
      </w:r>
    </w:p>
    <w:p w14:paraId="16E3CB35" w14:textId="77777777" w:rsidR="00B71296" w:rsidRPr="00EC326F" w:rsidRDefault="00B71296" w:rsidP="00B71296">
      <w:pPr>
        <w:pStyle w:val="Heading2ExecutiveSummary"/>
      </w:pPr>
      <w:r w:rsidRPr="00EC326F">
        <w:lastRenderedPageBreak/>
        <w:t>Groups of interest</w:t>
      </w:r>
    </w:p>
    <w:p w14:paraId="3BF776B0" w14:textId="77777777" w:rsidR="00B71296" w:rsidRPr="00E04083" w:rsidRDefault="00B71296" w:rsidP="00E04083">
      <w:pPr>
        <w:pStyle w:val="PwCNormal-keepwithnext"/>
        <w:keepLines/>
      </w:pPr>
      <w:r w:rsidRPr="00E04083">
        <w:t>The intention of the Australian Priority Investment Approach</w:t>
      </w:r>
      <w:r w:rsidRPr="00E04083" w:rsidDel="0063022D">
        <w:t xml:space="preserve"> </w:t>
      </w:r>
      <w:r w:rsidRPr="00E04083">
        <w:t xml:space="preserve">is to ensure funding is directed towards evidence based policy interventions which increase the chances of sustained employment and self-reliance. Over time, this may include ceasing policy settings or interventions that are shown not to reduce the lifetime costs of welfare for particular groups; introducing policy settings or interventions that encourage self-reliance for particular groups; or investing in more tailored and effective policy settings or interventions for individuals and families who are identified as being most at risk of long-term welfare dependency. </w:t>
      </w:r>
    </w:p>
    <w:p w14:paraId="1F910DE3" w14:textId="77777777" w:rsidR="00B71296" w:rsidRPr="00EC326F" w:rsidRDefault="00B71296" w:rsidP="00B71296">
      <w:pPr>
        <w:pStyle w:val="PwCNormal"/>
        <w:numPr>
          <w:ilvl w:val="0"/>
          <w:numId w:val="1"/>
        </w:numPr>
      </w:pPr>
      <w:r w:rsidRPr="00EC326F">
        <w:t>While the total lifetime cost results for current welfare recipients are interesting and provide a useful framework for measuring the impact of future changes at a macro level, they are generally quantifying fairly broad and well-known features of the system rather than introducing new insights. The more interesting question is: what are the factors that can identify one group of people as being likely to leave the system quickly and another to remain on benefits for a long time?</w:t>
      </w:r>
    </w:p>
    <w:p w14:paraId="1ACE900A" w14:textId="77777777" w:rsidR="00B71296" w:rsidRPr="00EC326F" w:rsidRDefault="00B71296" w:rsidP="00B71296">
      <w:pPr>
        <w:pStyle w:val="PwCNormal"/>
        <w:numPr>
          <w:ilvl w:val="0"/>
          <w:numId w:val="1"/>
        </w:numPr>
      </w:pPr>
      <w:r w:rsidRPr="00EC326F">
        <w:t xml:space="preserve">A key function of the valuation model is to provide the ability </w:t>
      </w:r>
      <w:r w:rsidR="00CD3E41">
        <w:t xml:space="preserve">to </w:t>
      </w:r>
      <w:r w:rsidRPr="00EC326F">
        <w:t>quantify lifetime costs for groups with similar characteristics. This information can then be used to identify “groups of interest”, who have relatively high lifetime costs, but where, with more effective policy settings or effective intervention (particularly at welfare entry and transition points), those costs could be reduced and the lifetime wellbeing of the people in the group improved. These groups are candidates for the application of the investment approach.</w:t>
      </w:r>
    </w:p>
    <w:p w14:paraId="0178898E" w14:textId="77777777" w:rsidR="00B71296" w:rsidRPr="00EC326F" w:rsidRDefault="00B71296" w:rsidP="00B71296">
      <w:pPr>
        <w:pStyle w:val="PwCNormal"/>
        <w:numPr>
          <w:ilvl w:val="0"/>
          <w:numId w:val="1"/>
        </w:numPr>
      </w:pPr>
      <w:r w:rsidRPr="00EC326F">
        <w:t>The following framework for considering these groups and developing interventions has been adapted from the workers’ compensation field, which shares the overarching objective of assisting people with capacity to work, to do so.</w:t>
      </w:r>
    </w:p>
    <w:p w14:paraId="0841CFBA" w14:textId="77777777" w:rsidR="00B71296" w:rsidRPr="00EC326F" w:rsidRDefault="00B71296" w:rsidP="00B71296">
      <w:pPr>
        <w:pStyle w:val="Caption"/>
      </w:pPr>
      <w:r w:rsidRPr="00EC326F">
        <w:t xml:space="preserve">Figure </w:t>
      </w:r>
      <w:fldSimple w:instr=" SEQ Figure \* ARABIC ">
        <w:r w:rsidR="007A42DF">
          <w:rPr>
            <w:noProof/>
          </w:rPr>
          <w:t>5</w:t>
        </w:r>
      </w:fldSimple>
      <w:r w:rsidRPr="00EC326F">
        <w:t>: Intervention framework</w:t>
      </w:r>
    </w:p>
    <w:p w14:paraId="3109610D" w14:textId="30D8F177" w:rsidR="0053283B" w:rsidRDefault="0053283B" w:rsidP="00B71296">
      <w:pPr>
        <w:pStyle w:val="Heading3ExecutiveSummary"/>
      </w:pPr>
      <w:r w:rsidRPr="0053283B">
        <w:rPr>
          <w:noProof/>
          <w:lang w:eastAsia="en-AU"/>
        </w:rPr>
        <w:drawing>
          <wp:inline distT="0" distB="0" distL="0" distR="0" wp14:anchorId="40E2C837" wp14:editId="32D3D85E">
            <wp:extent cx="6264275" cy="3239967"/>
            <wp:effectExtent l="0" t="0" r="3175" b="0"/>
            <wp:docPr id="12" name="Picture 12" descr="This figure is a diagram showing the intervention framework. &#10;&#10;The diagram covers the following four points for possible intervention frameworks.&#10;&#10;The first point is prevention. Prevention can be used to keep people from entering the system by encouraging at risk groups of people to become or remain self-reliant.&#10;&#10;The second point is early intervention. Early intervention can be used to encourage people who are able, to quickly regain independence through effective triage and early support.&#10;&#10;The third point is intervention at critical stages. Intervention at critical stages can prevent people from transitioning between payment types by providing effective support at those stages.&#10;&#10;The fourth point is intervention for long term welfare recipients. Intervention for long term welfare recipients can be used to identify and support long term welfare recipients who have capacity to reduce their dependence on the system, to do so.&#10;" title="Interven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4275" cy="3239967"/>
                    </a:xfrm>
                    <a:prstGeom prst="rect">
                      <a:avLst/>
                    </a:prstGeom>
                    <a:noFill/>
                    <a:ln>
                      <a:noFill/>
                    </a:ln>
                  </pic:spPr>
                </pic:pic>
              </a:graphicData>
            </a:graphic>
          </wp:inline>
        </w:drawing>
      </w:r>
    </w:p>
    <w:p w14:paraId="7FACA815" w14:textId="77777777" w:rsidR="00B71296" w:rsidRPr="00EC326F" w:rsidRDefault="00B71296" w:rsidP="00B71296">
      <w:pPr>
        <w:pStyle w:val="Heading3ExecutiveSummary"/>
      </w:pPr>
      <w:r w:rsidRPr="00EC326F">
        <w:t>Initial groups of interest</w:t>
      </w:r>
    </w:p>
    <w:p w14:paraId="1DB93267" w14:textId="77777777" w:rsidR="00B71296" w:rsidRPr="00EC326F" w:rsidRDefault="00B71296" w:rsidP="00B71296">
      <w:pPr>
        <w:pStyle w:val="PwCNormal"/>
        <w:numPr>
          <w:ilvl w:val="0"/>
          <w:numId w:val="1"/>
        </w:numPr>
      </w:pPr>
      <w:r w:rsidRPr="00EC326F">
        <w:t>Our baseline report identified some groups worthy of more detailed exploration, based on these criteria and subsequent work</w:t>
      </w:r>
      <w:r w:rsidR="00615C81">
        <w:t>,</w:t>
      </w:r>
      <w:r w:rsidRPr="00EC326F">
        <w:t xml:space="preserve"> the Department identified three priority groups of interest. We have explored these groups further in </w:t>
      </w:r>
      <w:r w:rsidR="0011562A">
        <w:t>section</w:t>
      </w:r>
      <w:r w:rsidRPr="00EC326F">
        <w:t xml:space="preserve"> </w:t>
      </w:r>
      <w:r w:rsidR="0011562A">
        <w:fldChar w:fldCharType="begin"/>
      </w:r>
      <w:r w:rsidR="0011562A">
        <w:instrText xml:space="preserve"> REF _Ref466494850 \w \h </w:instrText>
      </w:r>
      <w:r w:rsidR="0011562A">
        <w:fldChar w:fldCharType="separate"/>
      </w:r>
      <w:r w:rsidR="007A42DF">
        <w:t>13</w:t>
      </w:r>
      <w:r w:rsidR="0011562A">
        <w:fldChar w:fldCharType="end"/>
      </w:r>
      <w:r w:rsidRPr="00EC326F">
        <w:t xml:space="preserve">, providing a summary of the people within the population who would fall into the group and updated information on their expected outcomes. </w:t>
      </w:r>
    </w:p>
    <w:p w14:paraId="64CF6E29" w14:textId="77777777" w:rsidR="00B71296" w:rsidRPr="00EC326F" w:rsidRDefault="00B71296" w:rsidP="00B71296">
      <w:pPr>
        <w:pStyle w:val="PwCNormal"/>
        <w:numPr>
          <w:ilvl w:val="0"/>
          <w:numId w:val="1"/>
        </w:numPr>
      </w:pPr>
      <w:r w:rsidRPr="00EC326F">
        <w:t>Whilst there have been changes to the average lifetime cost results at a class level, the updated information for these three priority groups reaffirms their high relative average lifetime cost and that many of the people within these groups are expected to receive income support payments over the majority of their future lives.</w:t>
      </w:r>
    </w:p>
    <w:p w14:paraId="04C20572" w14:textId="77777777" w:rsidR="00B71296" w:rsidRPr="00EC326F" w:rsidRDefault="00B71296" w:rsidP="00B71296">
      <w:pPr>
        <w:pStyle w:val="Heading3ExecutiveSummary"/>
      </w:pPr>
      <w:r w:rsidRPr="00EC326F">
        <w:lastRenderedPageBreak/>
        <w:t>Further groups of interest</w:t>
      </w:r>
    </w:p>
    <w:p w14:paraId="2257A522" w14:textId="77777777" w:rsidR="00B71296" w:rsidRPr="00EC326F" w:rsidRDefault="00B71296" w:rsidP="00B71296">
      <w:pPr>
        <w:pStyle w:val="PwCNormal"/>
        <w:numPr>
          <w:ilvl w:val="0"/>
          <w:numId w:val="1"/>
        </w:numPr>
        <w:rPr>
          <w:snapToGrid/>
        </w:rPr>
      </w:pPr>
      <w:r w:rsidRPr="00EC326F">
        <w:t xml:space="preserve">The groups of interest identified through the baseline valuation are not exhaustive and it is anticipated that further groups of interest will be identified or existing groups modified or narrowed subsequent to the 2016 valuation. </w:t>
      </w:r>
    </w:p>
    <w:p w14:paraId="1766BE1B" w14:textId="319EE1FA" w:rsidR="00B71296" w:rsidRPr="00EC326F" w:rsidRDefault="00B71296" w:rsidP="00B71296">
      <w:pPr>
        <w:pStyle w:val="PwCNormal"/>
        <w:numPr>
          <w:ilvl w:val="0"/>
          <w:numId w:val="1"/>
        </w:numPr>
      </w:pPr>
      <w:r w:rsidRPr="00EC326F">
        <w:t xml:space="preserve">The introduction of new </w:t>
      </w:r>
      <w:r w:rsidR="007C1B83" w:rsidRPr="00EC326F">
        <w:t xml:space="preserve">class characteristic </w:t>
      </w:r>
      <w:r w:rsidRPr="00EC326F">
        <w:t xml:space="preserve">variables into the model provides the ability to further distinguish which groups of people are more likely to have high future welfare dependence. For instance, the payment type and employment earnings indicator can be used to develop information about which groups of students are more likely to transition from studying to other forms of welfare support over their lifetime (with high lifetime cost), rather than exiting the </w:t>
      </w:r>
      <w:r w:rsidR="00F70462">
        <w:t>S</w:t>
      </w:r>
      <w:r w:rsidRPr="00EC326F">
        <w:t xml:space="preserve">tudying class and remaining out of the system for the remainder of their lifetime (with low lifetime cost). </w:t>
      </w:r>
    </w:p>
    <w:p w14:paraId="5B97C07D" w14:textId="77777777" w:rsidR="0099104D" w:rsidRDefault="00B71296" w:rsidP="0099104D">
      <w:pPr>
        <w:pStyle w:val="PwCNormal"/>
        <w:numPr>
          <w:ilvl w:val="0"/>
          <w:numId w:val="0"/>
        </w:numPr>
      </w:pPr>
      <w:r w:rsidRPr="00EC326F">
        <w:t xml:space="preserve">The statistical analysis which underpins the risk based assumptions demonstrated that all the </w:t>
      </w:r>
      <w:r w:rsidR="007C1B83" w:rsidRPr="00EC326F">
        <w:t xml:space="preserve">class characteristic </w:t>
      </w:r>
      <w:r w:rsidRPr="00EC326F">
        <w:t xml:space="preserve">variables had some significance in differentiating people’s likely outcomes. In particular, the employment earnings indicator provides additional insights </w:t>
      </w:r>
      <w:r w:rsidR="0099104D" w:rsidRPr="00EC326F">
        <w:t>with those people without employment earnings expected to have a higher future lifetime cost than those with earnings</w:t>
      </w:r>
      <w:r w:rsidR="0099104D">
        <w:t>.</w:t>
      </w:r>
      <w:r w:rsidR="0099104D" w:rsidRPr="00EC326F">
        <w:t xml:space="preserve"> </w:t>
      </w:r>
    </w:p>
    <w:p w14:paraId="67C05B77" w14:textId="77777777" w:rsidR="00B71296" w:rsidRPr="00EC326F" w:rsidRDefault="00B71296" w:rsidP="00B71296">
      <w:pPr>
        <w:pStyle w:val="PwCNormal"/>
        <w:numPr>
          <w:ilvl w:val="0"/>
          <w:numId w:val="1"/>
        </w:numPr>
      </w:pPr>
      <w:r w:rsidRPr="00EC326F">
        <w:t xml:space="preserve">The valuation model is able to be run for any group of people of sufficient size and homogeneity and the model outputs include a range of charts that are available by age, gender and other characteristics. This enables the expected experience for </w:t>
      </w:r>
      <w:r w:rsidR="00615C81">
        <w:t>a</w:t>
      </w:r>
      <w:r w:rsidRPr="00EC326F">
        <w:t xml:space="preserve"> group to be examined in more detail. </w:t>
      </w:r>
    </w:p>
    <w:p w14:paraId="5981DF30" w14:textId="77777777" w:rsidR="00B71296" w:rsidRPr="00EC326F" w:rsidRDefault="00B71296" w:rsidP="00B71296">
      <w:pPr>
        <w:pStyle w:val="PwCNormal"/>
        <w:numPr>
          <w:ilvl w:val="0"/>
          <w:numId w:val="1"/>
        </w:numPr>
      </w:pPr>
      <w:r w:rsidRPr="00EC326F">
        <w:t xml:space="preserve">As part of this valuation report we have examined each class in more detail with the results and relevant charts being shown in </w:t>
      </w:r>
      <w:r w:rsidR="0011562A">
        <w:t>section</w:t>
      </w:r>
      <w:r w:rsidRPr="00EC326F">
        <w:t xml:space="preserve">s </w:t>
      </w:r>
      <w:r w:rsidR="0011562A">
        <w:fldChar w:fldCharType="begin"/>
      </w:r>
      <w:r w:rsidR="0011562A">
        <w:instrText xml:space="preserve"> REF _Ref437277121 \w \h </w:instrText>
      </w:r>
      <w:r w:rsidR="0011562A">
        <w:fldChar w:fldCharType="separate"/>
      </w:r>
      <w:r w:rsidR="007A42DF">
        <w:t>8</w:t>
      </w:r>
      <w:r w:rsidR="0011562A">
        <w:fldChar w:fldCharType="end"/>
      </w:r>
      <w:r w:rsidR="0011562A">
        <w:t xml:space="preserve">, </w:t>
      </w:r>
      <w:r w:rsidR="0011562A">
        <w:fldChar w:fldCharType="begin"/>
      </w:r>
      <w:r w:rsidR="0011562A">
        <w:instrText xml:space="preserve"> REF _Ref466373125 \w \h </w:instrText>
      </w:r>
      <w:r w:rsidR="0011562A">
        <w:fldChar w:fldCharType="separate"/>
      </w:r>
      <w:r w:rsidR="007A42DF">
        <w:t>9</w:t>
      </w:r>
      <w:r w:rsidR="0011562A">
        <w:fldChar w:fldCharType="end"/>
      </w:r>
      <w:r w:rsidR="0011562A">
        <w:t xml:space="preserve"> and </w:t>
      </w:r>
      <w:r w:rsidR="0011562A">
        <w:fldChar w:fldCharType="begin"/>
      </w:r>
      <w:r w:rsidR="0011562A">
        <w:instrText xml:space="preserve"> REF _Ref466494880 \w \h </w:instrText>
      </w:r>
      <w:r w:rsidR="0011562A">
        <w:fldChar w:fldCharType="separate"/>
      </w:r>
      <w:r w:rsidR="007A42DF">
        <w:t>10</w:t>
      </w:r>
      <w:r w:rsidR="0011562A">
        <w:fldChar w:fldCharType="end"/>
      </w:r>
      <w:r w:rsidRPr="00EC326F">
        <w:t>. We anticipate that the Department will build on this analysis over the coming months and use the valuation model to explore the outcomes for further potential groups of interest.</w:t>
      </w:r>
    </w:p>
    <w:p w14:paraId="665C110C" w14:textId="77777777" w:rsidR="00B71296" w:rsidRPr="00EC326F" w:rsidRDefault="00B71296" w:rsidP="00B71296">
      <w:pPr>
        <w:pStyle w:val="PwCNormal"/>
        <w:numPr>
          <w:ilvl w:val="0"/>
          <w:numId w:val="0"/>
        </w:numPr>
      </w:pPr>
      <w:r w:rsidRPr="00EC326F">
        <w:t xml:space="preserve">Ultimately, any further groups of interest will be selected by the Department. </w:t>
      </w:r>
    </w:p>
    <w:p w14:paraId="7506E6AD" w14:textId="77777777" w:rsidR="00B71296" w:rsidRPr="00EC326F" w:rsidRDefault="00B71296" w:rsidP="00B71296">
      <w:pPr>
        <w:pStyle w:val="Heading2ExecutiveSummary"/>
      </w:pPr>
      <w:r w:rsidRPr="00EC326F">
        <w:t>Other insights</w:t>
      </w:r>
    </w:p>
    <w:p w14:paraId="24CC7B94" w14:textId="77777777" w:rsidR="00B71296" w:rsidRPr="00EC326F" w:rsidRDefault="00B71296" w:rsidP="00B71296">
      <w:pPr>
        <w:pStyle w:val="PwCNormal"/>
        <w:numPr>
          <w:ilvl w:val="0"/>
          <w:numId w:val="1"/>
        </w:numPr>
      </w:pPr>
      <w:r w:rsidRPr="00EC326F">
        <w:t>In addition to the results shown above, helpful information and insights can be gleaned from the statistical analysis underlying the model, the model outputs themselves and from exploration of the historical data. These include:</w:t>
      </w:r>
    </w:p>
    <w:p w14:paraId="53AD92A3" w14:textId="77777777" w:rsidR="00B71296" w:rsidRPr="00EC326F" w:rsidRDefault="00B71296" w:rsidP="001A4479">
      <w:pPr>
        <w:pStyle w:val="PwCNormal"/>
        <w:numPr>
          <w:ilvl w:val="0"/>
          <w:numId w:val="32"/>
        </w:numPr>
      </w:pPr>
      <w:r w:rsidRPr="00EC326F">
        <w:t>Forecasts of numbers of welfare recipients expected to enter and leave the system, or move through different welfare classes, against which subsequent experience can be monitored</w:t>
      </w:r>
    </w:p>
    <w:p w14:paraId="44DF680F" w14:textId="77777777" w:rsidR="00B71296" w:rsidRPr="00EC326F" w:rsidRDefault="00B71296" w:rsidP="001A4479">
      <w:pPr>
        <w:pStyle w:val="PwCNormal"/>
        <w:numPr>
          <w:ilvl w:val="0"/>
          <w:numId w:val="32"/>
        </w:numPr>
      </w:pPr>
      <w:r w:rsidRPr="00EC326F">
        <w:t>Information on the groups of people within the population who are receiving welfare payments</w:t>
      </w:r>
    </w:p>
    <w:p w14:paraId="49A7D00E" w14:textId="7C63EF91" w:rsidR="00B71296" w:rsidRPr="00EC326F" w:rsidRDefault="00B71296" w:rsidP="001A4479">
      <w:pPr>
        <w:pStyle w:val="PwCNormal"/>
        <w:numPr>
          <w:ilvl w:val="0"/>
          <w:numId w:val="32"/>
        </w:numPr>
      </w:pPr>
      <w:r w:rsidRPr="00EC326F">
        <w:t xml:space="preserve">Interesting trends or features of the data </w:t>
      </w:r>
    </w:p>
    <w:p w14:paraId="1FE46369" w14:textId="3B76BD03" w:rsidR="001F627D" w:rsidRPr="000747FE" w:rsidRDefault="00B71296" w:rsidP="00552E32">
      <w:pPr>
        <w:pStyle w:val="PwCNormal"/>
        <w:numPr>
          <w:ilvl w:val="0"/>
          <w:numId w:val="1"/>
        </w:numPr>
        <w:sectPr w:rsidR="001F627D" w:rsidRPr="000747FE" w:rsidSect="00522039">
          <w:headerReference w:type="even" r:id="rId24"/>
          <w:headerReference w:type="default" r:id="rId25"/>
          <w:footerReference w:type="even" r:id="rId26"/>
          <w:footerReference w:type="default" r:id="rId27"/>
          <w:headerReference w:type="first" r:id="rId28"/>
          <w:footerReference w:type="first" r:id="rId29"/>
          <w:type w:val="oddPage"/>
          <w:pgSz w:w="11907" w:h="16840" w:code="9"/>
          <w:pgMar w:top="1588" w:right="1021" w:bottom="1418" w:left="1021" w:header="283" w:footer="283" w:gutter="0"/>
          <w:pgNumType w:start="1"/>
          <w:cols w:space="720"/>
          <w:docGrid w:linePitch="299"/>
        </w:sectPr>
      </w:pPr>
      <w:r w:rsidRPr="00EC326F">
        <w:t xml:space="preserve">The report highlights some of these insights throughout the results chapters and in </w:t>
      </w:r>
      <w:r w:rsidR="0011562A">
        <w:t>section</w:t>
      </w:r>
      <w:r w:rsidRPr="0011562A">
        <w:t xml:space="preserve"> </w:t>
      </w:r>
      <w:r w:rsidR="0011562A">
        <w:fldChar w:fldCharType="begin"/>
      </w:r>
      <w:r w:rsidR="0011562A">
        <w:instrText xml:space="preserve"> REF _Ref466494919 \w \h </w:instrText>
      </w:r>
      <w:r w:rsidR="0011562A">
        <w:fldChar w:fldCharType="separate"/>
      </w:r>
      <w:r w:rsidR="007A42DF">
        <w:t>14</w:t>
      </w:r>
      <w:r w:rsidR="0011562A">
        <w:fldChar w:fldCharType="end"/>
      </w:r>
      <w:r w:rsidR="005D6CEC">
        <w:t>.</w:t>
      </w:r>
      <w:r w:rsidR="005D6CEC" w:rsidRPr="0011562A" w:rsidDel="005D6CEC">
        <w:t xml:space="preserve"> </w:t>
      </w:r>
    </w:p>
    <w:p w14:paraId="17C6833F" w14:textId="77777777" w:rsidR="0060364A" w:rsidRPr="00E30A90" w:rsidRDefault="0063015B" w:rsidP="00E30A90">
      <w:pPr>
        <w:pStyle w:val="Heading1"/>
        <w:spacing w:before="8640"/>
        <w:rPr>
          <w:bCs w:val="0"/>
        </w:rPr>
      </w:pPr>
      <w:bookmarkStart w:id="5" w:name="_Toc493844210"/>
      <w:bookmarkStart w:id="6" w:name="_Toc290024755"/>
      <w:bookmarkStart w:id="7" w:name="_Toc292795891"/>
      <w:bookmarkStart w:id="8" w:name="_Toc292795901"/>
      <w:bookmarkStart w:id="9" w:name="_Toc292795948"/>
      <w:bookmarkStart w:id="10" w:name="_Toc292795955"/>
      <w:bookmarkStart w:id="11" w:name="_Toc294534324"/>
      <w:bookmarkStart w:id="12" w:name="_Toc326144380"/>
      <w:bookmarkStart w:id="13" w:name="_Toc326144426"/>
      <w:bookmarkStart w:id="14" w:name="_Toc326144497"/>
      <w:bookmarkStart w:id="15" w:name="_Toc326144519"/>
      <w:bookmarkStart w:id="16" w:name="_Toc326144578"/>
      <w:bookmarkStart w:id="17" w:name="_Toc326144613"/>
      <w:bookmarkStart w:id="18" w:name="_Toc326144707"/>
      <w:r w:rsidRPr="00E30A90">
        <w:rPr>
          <w:bCs w:val="0"/>
          <w:noProof/>
          <w:lang w:eastAsia="en-AU"/>
        </w:rPr>
        <w:lastRenderedPageBreak/>
        <w:drawing>
          <wp:anchor distT="0" distB="0" distL="114300" distR="114300" simplePos="0" relativeHeight="251658240" behindDoc="1" locked="0" layoutInCell="1" allowOverlap="1" wp14:anchorId="430D2BB7" wp14:editId="50874BB3">
            <wp:simplePos x="0" y="0"/>
            <wp:positionH relativeFrom="column">
              <wp:posOffset>-505460</wp:posOffset>
            </wp:positionH>
            <wp:positionV relativeFrom="paragraph">
              <wp:posOffset>-865505</wp:posOffset>
            </wp:positionV>
            <wp:extent cx="7272000" cy="5928370"/>
            <wp:effectExtent l="0" t="0" r="5715" b="0"/>
            <wp:wrapNone/>
            <wp:docPr id="391" name="Picture 391" descr="A young man working at a laptop computer, smiling at the camera." title="Young ma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S\Williams Lea\x_general\images\Royalty free images\People\iStock_000013958680Larg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7272000" cy="5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27D" w:rsidRPr="00E30A90">
        <w:rPr>
          <w:bCs w:val="0"/>
        </w:rPr>
        <w:t xml:space="preserve">Part II: Valuation </w:t>
      </w:r>
      <w:r w:rsidR="005473BA" w:rsidRPr="00E30A90">
        <w:rPr>
          <w:bCs w:val="0"/>
        </w:rPr>
        <w:t>r</w:t>
      </w:r>
      <w:r w:rsidR="001F627D" w:rsidRPr="00E30A90">
        <w:rPr>
          <w:bCs w:val="0"/>
        </w:rPr>
        <w:t>esults</w:t>
      </w:r>
      <w:bookmarkEnd w:id="5"/>
    </w:p>
    <w:p w14:paraId="35A5C208" w14:textId="77777777" w:rsidR="0060364A" w:rsidRPr="002A0A1A" w:rsidRDefault="0060364A" w:rsidP="0060364A"/>
    <w:p w14:paraId="331184F3" w14:textId="77777777" w:rsidR="0060364A" w:rsidRPr="002A0A1A" w:rsidRDefault="0060364A" w:rsidP="0060364A"/>
    <w:p w14:paraId="4226222A" w14:textId="77777777" w:rsidR="002A1520" w:rsidRPr="00EC326F" w:rsidRDefault="002A1520" w:rsidP="0060364A">
      <w:pPr>
        <w:pStyle w:val="Heading2"/>
        <w:spacing w:before="3240"/>
      </w:pPr>
      <w:bookmarkStart w:id="19" w:name="_Toc455499328"/>
      <w:bookmarkStart w:id="20" w:name="_Toc455502349"/>
      <w:bookmarkStart w:id="21" w:name="_Toc493844211"/>
      <w:r w:rsidRPr="00EC326F">
        <w:lastRenderedPageBreak/>
        <w:t>Introduction</w:t>
      </w:r>
      <w:bookmarkEnd w:id="19"/>
      <w:bookmarkEnd w:id="20"/>
      <w:bookmarkEnd w:id="21"/>
    </w:p>
    <w:p w14:paraId="4BF96E76" w14:textId="77777777" w:rsidR="009A0A1E" w:rsidRPr="00EC326F" w:rsidRDefault="00072D5B" w:rsidP="004963A8">
      <w:pPr>
        <w:pStyle w:val="Heading3"/>
      </w:pPr>
      <w:bookmarkStart w:id="22" w:name="_Toc433883833"/>
      <w:bookmarkStart w:id="23" w:name="_Toc455499329"/>
      <w:bookmarkStart w:id="24" w:name="_Toc455502350"/>
      <w:bookmarkStart w:id="25" w:name="_Toc493844212"/>
      <w:bookmarkStart w:id="26" w:name="_Toc433670467"/>
      <w:bookmarkStart w:id="27" w:name="_Toc433670469"/>
      <w:r w:rsidRPr="00EC326F">
        <w:t>Background</w:t>
      </w:r>
      <w:bookmarkEnd w:id="22"/>
      <w:bookmarkEnd w:id="23"/>
      <w:bookmarkEnd w:id="24"/>
      <w:bookmarkEnd w:id="25"/>
    </w:p>
    <w:p w14:paraId="3B0F9077" w14:textId="77777777" w:rsidR="003F0C96" w:rsidRPr="00EC326F" w:rsidRDefault="003F0C96" w:rsidP="00732168">
      <w:pPr>
        <w:pStyle w:val="PwCNormal"/>
      </w:pPr>
      <w:r w:rsidRPr="00EC326F">
        <w:t xml:space="preserve">In its May 2015 Budget, the Commonwealth Government announced an intention to implement the </w:t>
      </w:r>
      <w:r w:rsidR="0063022D" w:rsidRPr="00EC326F">
        <w:t xml:space="preserve">Australian Priority </w:t>
      </w:r>
      <w:r w:rsidRPr="00EC326F">
        <w:t>Investment Approach to welfare in Australia.</w:t>
      </w:r>
    </w:p>
    <w:p w14:paraId="5F25F8C6" w14:textId="77777777" w:rsidR="005617D8" w:rsidRPr="00EC326F" w:rsidRDefault="00B52A95" w:rsidP="00591FD8">
      <w:pPr>
        <w:pStyle w:val="PwCNormal"/>
      </w:pPr>
      <w:r w:rsidRPr="00EC326F">
        <w:t xml:space="preserve">The Department of Social Services (the Department) has set up an Investment Approach Taskforce to implement the Australian </w:t>
      </w:r>
      <w:r w:rsidR="0063022D" w:rsidRPr="00EC326F">
        <w:t xml:space="preserve">Priority </w:t>
      </w:r>
      <w:r w:rsidRPr="00EC326F">
        <w:t>Investment Approach to social welfare with the aim of reducing welfare dependence, and improving the lifetime wellbeing of people and families in Australia.</w:t>
      </w:r>
      <w:r w:rsidR="005617D8" w:rsidRPr="00EC326F">
        <w:t xml:space="preserve"> </w:t>
      </w:r>
      <w:r w:rsidR="00DB6C69" w:rsidRPr="00EC326F">
        <w:t>PricewaterhouseCoopers (PwC)</w:t>
      </w:r>
      <w:r w:rsidR="00617515" w:rsidRPr="00EC326F">
        <w:t>, in conjunction with Data Analysis Australia (DAA)</w:t>
      </w:r>
      <w:r w:rsidR="00DB6C69" w:rsidRPr="00EC326F">
        <w:t xml:space="preserve"> has been engaged by the Department to undertake the actuarial analysis supporting the Australian </w:t>
      </w:r>
      <w:r w:rsidR="0063022D" w:rsidRPr="00EC326F">
        <w:t xml:space="preserve">Priority </w:t>
      </w:r>
      <w:r w:rsidR="00DB6C69" w:rsidRPr="00EC326F">
        <w:t>Investment Approach. PwC will undertake four annual actuarial valuations of the Commonwealth’s</w:t>
      </w:r>
      <w:r w:rsidR="00571B86" w:rsidRPr="00EC326F">
        <w:t xml:space="preserve"> social security and income support system</w:t>
      </w:r>
      <w:r w:rsidR="005617D8" w:rsidRPr="00EC326F">
        <w:t>.</w:t>
      </w:r>
    </w:p>
    <w:p w14:paraId="4EC5B213" w14:textId="77777777" w:rsidR="00212B01" w:rsidRPr="00EC326F" w:rsidRDefault="005617D8" w:rsidP="00B52A95">
      <w:pPr>
        <w:pStyle w:val="PwCNormal"/>
      </w:pPr>
      <w:r w:rsidRPr="00EC326F">
        <w:t xml:space="preserve">The </w:t>
      </w:r>
      <w:r w:rsidR="00571B86" w:rsidRPr="00EC326F">
        <w:t xml:space="preserve">first </w:t>
      </w:r>
      <w:r w:rsidR="00212B01" w:rsidRPr="00EC326F">
        <w:t xml:space="preserve">or ‘baseline’ </w:t>
      </w:r>
      <w:r w:rsidRPr="00EC326F">
        <w:t xml:space="preserve">valuation </w:t>
      </w:r>
      <w:r w:rsidR="00571B86" w:rsidRPr="00EC326F">
        <w:t>estimate</w:t>
      </w:r>
      <w:r w:rsidRPr="00EC326F">
        <w:t>d</w:t>
      </w:r>
      <w:r w:rsidR="00571B86" w:rsidRPr="00EC326F">
        <w:t xml:space="preserve"> the total lifetime costs for the Australian population as at 30</w:t>
      </w:r>
      <w:r w:rsidR="00212B01" w:rsidRPr="00EC326F">
        <w:t> </w:t>
      </w:r>
      <w:r w:rsidR="00571B86" w:rsidRPr="00EC326F">
        <w:t>June</w:t>
      </w:r>
      <w:r w:rsidR="00212B01" w:rsidRPr="00EC326F">
        <w:t> </w:t>
      </w:r>
      <w:r w:rsidR="00571B86" w:rsidRPr="00EC326F">
        <w:t xml:space="preserve">2015. </w:t>
      </w:r>
    </w:p>
    <w:p w14:paraId="114D5D32" w14:textId="77777777" w:rsidR="00DB6C69" w:rsidRPr="00EC326F" w:rsidRDefault="00571B86" w:rsidP="00B52A95">
      <w:pPr>
        <w:pStyle w:val="PwCNormal"/>
      </w:pPr>
      <w:r w:rsidRPr="00EC326F">
        <w:t xml:space="preserve">This report documents the </w:t>
      </w:r>
      <w:r w:rsidR="00212B01" w:rsidRPr="00EC326F">
        <w:t>second</w:t>
      </w:r>
      <w:r w:rsidRPr="00EC326F">
        <w:t xml:space="preserve"> valuation</w:t>
      </w:r>
      <w:r w:rsidR="00212B01" w:rsidRPr="00EC326F">
        <w:t>, undertaken as at 30</w:t>
      </w:r>
      <w:r w:rsidR="00291202" w:rsidRPr="00EC326F">
        <w:t> </w:t>
      </w:r>
      <w:r w:rsidR="00212B01" w:rsidRPr="00EC326F">
        <w:t>June</w:t>
      </w:r>
      <w:r w:rsidR="00291202" w:rsidRPr="00EC326F">
        <w:t> </w:t>
      </w:r>
      <w:r w:rsidR="00212B01" w:rsidRPr="00EC326F">
        <w:t>2016</w:t>
      </w:r>
      <w:r w:rsidRPr="00EC326F">
        <w:t>.</w:t>
      </w:r>
      <w:r w:rsidR="00212B01" w:rsidRPr="00EC326F">
        <w:t xml:space="preserve"> It provides an updated assessment of the total lifetime costs for the Australian population and reflects changes to the population size and demographics, together with changes to payment structures and current and future projected welfare system utilisation.</w:t>
      </w:r>
    </w:p>
    <w:p w14:paraId="5FFCF5EB" w14:textId="77777777" w:rsidR="00DB6C69" w:rsidRPr="00EC326F" w:rsidRDefault="00DB6C69" w:rsidP="004C748D">
      <w:pPr>
        <w:pStyle w:val="Heading3"/>
      </w:pPr>
      <w:bookmarkStart w:id="28" w:name="_Toc436842347"/>
      <w:bookmarkStart w:id="29" w:name="_Toc455499330"/>
      <w:bookmarkStart w:id="30" w:name="_Toc455502351"/>
      <w:bookmarkStart w:id="31" w:name="_Toc493844213"/>
      <w:r w:rsidRPr="00EC326F">
        <w:t>Purpose of the valuation</w:t>
      </w:r>
      <w:bookmarkEnd w:id="28"/>
      <w:bookmarkEnd w:id="29"/>
      <w:bookmarkEnd w:id="30"/>
      <w:bookmarkEnd w:id="31"/>
    </w:p>
    <w:p w14:paraId="06731F67" w14:textId="77777777" w:rsidR="00212B01" w:rsidRPr="00EC326F" w:rsidRDefault="00534EA5" w:rsidP="00A3564B">
      <w:pPr>
        <w:pStyle w:val="PwCNormal"/>
      </w:pPr>
      <w:r w:rsidRPr="00EC326F">
        <w:t xml:space="preserve">The purpose of the actuarial valuation is to underpin the Australian </w:t>
      </w:r>
      <w:r w:rsidR="0063022D" w:rsidRPr="00EC326F">
        <w:t xml:space="preserve">Priority </w:t>
      </w:r>
      <w:r w:rsidR="00F24140" w:rsidRPr="00EC326F">
        <w:t>I</w:t>
      </w:r>
      <w:r w:rsidRPr="00EC326F">
        <w:t xml:space="preserve">nvestment </w:t>
      </w:r>
      <w:r w:rsidR="0063022D" w:rsidRPr="00EC326F">
        <w:t>A</w:t>
      </w:r>
      <w:r w:rsidRPr="00EC326F">
        <w:t>pproach</w:t>
      </w:r>
      <w:r w:rsidR="0063022D" w:rsidRPr="00EC326F">
        <w:t xml:space="preserve"> (“the investment approach”)</w:t>
      </w:r>
      <w:r w:rsidRPr="00EC326F">
        <w:t xml:space="preserve">, by informing decisions on the management of the welfare system that are effective in increasing the capacity of individuals to live independently of welfare; in addressing the risk of intergenerational welfare dependence; and in decreasing Commonwealth long term social security costs. </w:t>
      </w:r>
    </w:p>
    <w:p w14:paraId="09885C88" w14:textId="77777777" w:rsidR="00A3564B" w:rsidRPr="00EC326F" w:rsidRDefault="00534EA5" w:rsidP="00A3564B">
      <w:pPr>
        <w:pStyle w:val="PwCNormal"/>
      </w:pPr>
      <w:r w:rsidRPr="00EC326F">
        <w:t xml:space="preserve">At the macro level the actuarial valuation can be used as a governance tool – to measure and monitor long term costs of the system and evaluate the effectiveness of new policies in improving financial and social outcomes. At the micro level it can provide information on the past experience and expected future cost of specific groups, to help inform targeted policy for people in these groups. </w:t>
      </w:r>
    </w:p>
    <w:p w14:paraId="4F528407" w14:textId="77777777" w:rsidR="00A3564B" w:rsidRPr="00EC326F" w:rsidRDefault="00A3564B" w:rsidP="00A3564B">
      <w:pPr>
        <w:pStyle w:val="PwCNormal"/>
      </w:pPr>
      <w:r w:rsidRPr="00EC326F">
        <w:t xml:space="preserve">The intention of the investment approach is to </w:t>
      </w:r>
      <w:r w:rsidR="00534EA5" w:rsidRPr="00EC326F">
        <w:t>ensure</w:t>
      </w:r>
      <w:r w:rsidRPr="00EC326F">
        <w:t xml:space="preserve"> funding </w:t>
      </w:r>
      <w:r w:rsidR="00534EA5" w:rsidRPr="00EC326F">
        <w:t xml:space="preserve">is directed </w:t>
      </w:r>
      <w:r w:rsidRPr="00EC326F">
        <w:t>towards evidence based policy interventions which increase the chances of sustained employment and self-reliance. Over time, this may include ceasing policy settings or interventions that are shown not to reduce the lifetime costs of welfare for particular groups; introducing or strengthening policy settings or interventions that encourage self-reliance for particular groups; or investing in more tailored and effective policy settings or interventions for individuals and families who are identified as being most at risk of long-term welfare dependency. A key output of the valuation is therefore to quantify lifetime costs for groups with similar characteristics, to inform evidence-based decisions regarding policy settings and potential interventions for these groups.</w:t>
      </w:r>
    </w:p>
    <w:p w14:paraId="2B9FEA58" w14:textId="77777777" w:rsidR="00196839" w:rsidRPr="00EC326F" w:rsidRDefault="00196839" w:rsidP="00DB6C69">
      <w:pPr>
        <w:pStyle w:val="PwCNormal"/>
      </w:pPr>
      <w:r w:rsidRPr="00EC326F">
        <w:t>The actuarial analysis underpinning the investment approach draws on actuarial techniques that were developed for work within the insurance industry and that have successfully been applied in contexts such as injury schemes, and other social policy areas. In the insurance context it is recognised that the long term nature of the commitments made under many insurance contracts make it challenging to obtain a good understanding of an insurer</w:t>
      </w:r>
      <w:r w:rsidR="00571B86" w:rsidRPr="00EC326F">
        <w:t>’</w:t>
      </w:r>
      <w:r w:rsidRPr="00EC326F">
        <w:t xml:space="preserve">s financial position. The </w:t>
      </w:r>
      <w:r w:rsidR="00936F37" w:rsidRPr="00EC326F">
        <w:t>role of actuaries in</w:t>
      </w:r>
      <w:r w:rsidRPr="00EC326F">
        <w:t xml:space="preserve"> valu</w:t>
      </w:r>
      <w:r w:rsidR="00936F37" w:rsidRPr="00EC326F">
        <w:t>ing</w:t>
      </w:r>
      <w:r w:rsidRPr="00EC326F">
        <w:t xml:space="preserve"> insurance liabilities </w:t>
      </w:r>
      <w:r w:rsidR="00936F37" w:rsidRPr="00EC326F">
        <w:t>is now a well-</w:t>
      </w:r>
      <w:r w:rsidRPr="00EC326F">
        <w:t xml:space="preserve">established </w:t>
      </w:r>
      <w:r w:rsidR="00936F37" w:rsidRPr="00EC326F">
        <w:t>statutory requirement</w:t>
      </w:r>
      <w:r w:rsidRPr="00EC326F">
        <w:t>. Such valuations of insurance liabilities help quantify the size of claims reserves needed by the insurer and help ensure the financial solvency of the insurer.</w:t>
      </w:r>
    </w:p>
    <w:p w14:paraId="30EDF7BA" w14:textId="77777777" w:rsidR="00DD298A" w:rsidRPr="00EC326F" w:rsidRDefault="00DB6C69" w:rsidP="00DB6C69">
      <w:pPr>
        <w:pStyle w:val="PwCNormal"/>
        <w:numPr>
          <w:ilvl w:val="0"/>
          <w:numId w:val="0"/>
        </w:numPr>
      </w:pPr>
      <w:r w:rsidRPr="00EC326F">
        <w:t>For the Australian social security system there is no requirement to undertake a valuation for financial reporting purposes</w:t>
      </w:r>
      <w:r w:rsidR="00571B86" w:rsidRPr="00EC326F">
        <w:t xml:space="preserve"> and the </w:t>
      </w:r>
      <w:r w:rsidR="00E95E8D" w:rsidRPr="00EC326F">
        <w:t xml:space="preserve">future cost of the system is not a technical or accounting liability, but rather the present value of a payment stream that will be funded out of future revenue. </w:t>
      </w:r>
      <w:r w:rsidRPr="00EC326F">
        <w:t xml:space="preserve">This is </w:t>
      </w:r>
      <w:r w:rsidR="003F0C96" w:rsidRPr="00EC326F">
        <w:t>an important point, as actuarial valuations in o</w:t>
      </w:r>
      <w:r w:rsidR="00DD298A" w:rsidRPr="00EC326F">
        <w:t>ther contexts, such as general or life insurance</w:t>
      </w:r>
      <w:r w:rsidR="003F0C96" w:rsidRPr="00EC326F">
        <w:t>, injury scheme</w:t>
      </w:r>
      <w:r w:rsidR="00DD298A" w:rsidRPr="00EC326F">
        <w:t>s</w:t>
      </w:r>
      <w:r w:rsidR="003F0C96" w:rsidRPr="00EC326F">
        <w:t>,</w:t>
      </w:r>
      <w:r w:rsidR="00DD298A" w:rsidRPr="00EC326F">
        <w:t xml:space="preserve"> or</w:t>
      </w:r>
      <w:r w:rsidR="003F0C96" w:rsidRPr="00EC326F">
        <w:t xml:space="preserve"> </w:t>
      </w:r>
      <w:r w:rsidR="00DD298A" w:rsidRPr="00EC326F">
        <w:t>defined benefit superannuation funds, are subject to a range of requirements and standards that do not apply in the social security system context.</w:t>
      </w:r>
      <w:r w:rsidRPr="00EC326F">
        <w:t xml:space="preserve"> </w:t>
      </w:r>
      <w:r w:rsidR="00DD298A" w:rsidRPr="00EC326F">
        <w:t>Furthermore</w:t>
      </w:r>
      <w:r w:rsidR="008E2AF8" w:rsidRPr="00EC326F">
        <w:t>, the order of magnitude of th</w:t>
      </w:r>
      <w:r w:rsidR="00E95E8D" w:rsidRPr="00EC326F">
        <w:t xml:space="preserve">e </w:t>
      </w:r>
      <w:r w:rsidR="008E2AF8" w:rsidRPr="00EC326F">
        <w:t>Commonwealth’s social security</w:t>
      </w:r>
      <w:r w:rsidR="00E95E8D" w:rsidRPr="00EC326F">
        <w:t xml:space="preserve"> system </w:t>
      </w:r>
      <w:r w:rsidR="008E2AF8" w:rsidRPr="00EC326F">
        <w:t>is far greater than is the case for most actuarial valuations cond</w:t>
      </w:r>
      <w:r w:rsidR="00A06660" w:rsidRPr="00EC326F">
        <w:t>ucted in Australia.</w:t>
      </w:r>
    </w:p>
    <w:p w14:paraId="34457888" w14:textId="77777777" w:rsidR="00DB6C69" w:rsidRPr="00EC326F" w:rsidRDefault="00DD298A" w:rsidP="00DB6C69">
      <w:pPr>
        <w:pStyle w:val="PwCNormal"/>
        <w:numPr>
          <w:ilvl w:val="0"/>
          <w:numId w:val="0"/>
        </w:numPr>
      </w:pPr>
      <w:r w:rsidRPr="00EC326F">
        <w:t>T</w:t>
      </w:r>
      <w:r w:rsidR="00DB6C69" w:rsidRPr="00EC326F">
        <w:t>he actuarial valuation provides a longer term perspective of the financial commitments implicit in the current system and provides information on:</w:t>
      </w:r>
    </w:p>
    <w:p w14:paraId="682DCAB4" w14:textId="77777777" w:rsidR="00DB6C69" w:rsidRPr="00EC326F" w:rsidRDefault="00DB6C69" w:rsidP="00732168">
      <w:pPr>
        <w:pStyle w:val="ListBullet"/>
      </w:pPr>
      <w:r w:rsidRPr="00EC326F">
        <w:t>The future cost of the system</w:t>
      </w:r>
      <w:r w:rsidR="00535DF5" w:rsidRPr="00EC326F">
        <w:t xml:space="preserve"> (lifetime cost)</w:t>
      </w:r>
      <w:r w:rsidR="00617515" w:rsidRPr="00EC326F">
        <w:t>.</w:t>
      </w:r>
    </w:p>
    <w:p w14:paraId="3FC6384D" w14:textId="77777777" w:rsidR="00DB6C69" w:rsidRPr="00EC326F" w:rsidRDefault="00DB6C69" w:rsidP="00732168">
      <w:pPr>
        <w:pStyle w:val="ListBullet"/>
      </w:pPr>
      <w:r w:rsidRPr="00EC326F">
        <w:lastRenderedPageBreak/>
        <w:t>How the different payment types (programs) contribute to this overall cost</w:t>
      </w:r>
      <w:r w:rsidR="005B4676" w:rsidRPr="00EC326F">
        <w:t>.</w:t>
      </w:r>
    </w:p>
    <w:p w14:paraId="326AC4CE" w14:textId="77777777" w:rsidR="005B4676" w:rsidRPr="00EC326F" w:rsidRDefault="005B4676" w:rsidP="00732168">
      <w:pPr>
        <w:pStyle w:val="ListBullet"/>
      </w:pPr>
      <w:r w:rsidRPr="00EC326F">
        <w:t xml:space="preserve">Which factors drive the overall </w:t>
      </w:r>
      <w:r w:rsidR="00535DF5" w:rsidRPr="00EC326F">
        <w:t>lifetime cost</w:t>
      </w:r>
      <w:r w:rsidRPr="00EC326F">
        <w:t xml:space="preserve"> and annual expenditures</w:t>
      </w:r>
      <w:r w:rsidR="004C4A86" w:rsidRPr="00EC326F">
        <w:t>.</w:t>
      </w:r>
    </w:p>
    <w:p w14:paraId="450CDCB7" w14:textId="77777777" w:rsidR="00212B01" w:rsidRPr="00EC326F" w:rsidRDefault="00212B01" w:rsidP="00212B01">
      <w:pPr>
        <w:pStyle w:val="ListBullet"/>
      </w:pPr>
      <w:r w:rsidRPr="00EC326F">
        <w:t>How the cost is changing and a view as to the financial sustainability of the system.</w:t>
      </w:r>
    </w:p>
    <w:p w14:paraId="197C3612" w14:textId="77777777" w:rsidR="00212B01" w:rsidRPr="00EC326F" w:rsidRDefault="00212B01" w:rsidP="00212B01">
      <w:pPr>
        <w:pStyle w:val="ListBullet"/>
      </w:pPr>
      <w:r w:rsidRPr="00EC326F">
        <w:t>The impacts of changes, including: demographic changes, policy changes, economic changes.</w:t>
      </w:r>
    </w:p>
    <w:p w14:paraId="4D32FEFE" w14:textId="77777777" w:rsidR="00DB6C69" w:rsidRPr="00EC326F" w:rsidRDefault="00DB6C69" w:rsidP="00732168">
      <w:pPr>
        <w:pStyle w:val="ListBullet"/>
      </w:pPr>
      <w:r w:rsidRPr="00EC326F">
        <w:t xml:space="preserve">How different </w:t>
      </w:r>
      <w:r w:rsidR="003D3020" w:rsidRPr="00EC326F">
        <w:t>group</w:t>
      </w:r>
      <w:r w:rsidRPr="00EC326F">
        <w:t>s of people within the system contribute to the cost</w:t>
      </w:r>
      <w:r w:rsidR="00617515" w:rsidRPr="00EC326F">
        <w:t>.</w:t>
      </w:r>
    </w:p>
    <w:p w14:paraId="386D47CA" w14:textId="77777777" w:rsidR="00DB6C69" w:rsidRPr="00EC326F" w:rsidRDefault="00DB6C69" w:rsidP="00732168">
      <w:pPr>
        <w:pStyle w:val="ListBullet"/>
      </w:pPr>
      <w:r w:rsidRPr="00EC326F">
        <w:t xml:space="preserve">The factors which explain why some </w:t>
      </w:r>
      <w:r w:rsidR="003D3020" w:rsidRPr="00EC326F">
        <w:t>group</w:t>
      </w:r>
      <w:r w:rsidRPr="00EC326F">
        <w:t>s are more or less costly than others</w:t>
      </w:r>
      <w:r w:rsidR="00617515" w:rsidRPr="00EC326F">
        <w:t>.</w:t>
      </w:r>
    </w:p>
    <w:p w14:paraId="5367F157" w14:textId="77777777" w:rsidR="0090298C" w:rsidRPr="00EC326F" w:rsidRDefault="0090298C" w:rsidP="0090298C">
      <w:pPr>
        <w:pStyle w:val="Heading3"/>
      </w:pPr>
      <w:bookmarkStart w:id="32" w:name="_Toc437881422"/>
      <w:bookmarkStart w:id="33" w:name="_Toc437690610"/>
      <w:bookmarkStart w:id="34" w:name="_Toc437704565"/>
      <w:bookmarkStart w:id="35" w:name="_Toc437858521"/>
      <w:bookmarkStart w:id="36" w:name="_Toc437864071"/>
      <w:bookmarkStart w:id="37" w:name="_Toc437881423"/>
      <w:bookmarkStart w:id="38" w:name="_Toc441246266"/>
      <w:bookmarkStart w:id="39" w:name="_Toc441246382"/>
      <w:bookmarkStart w:id="40" w:name="_Toc441312274"/>
      <w:bookmarkStart w:id="41" w:name="_Toc441337399"/>
      <w:bookmarkStart w:id="42" w:name="_Toc441562765"/>
      <w:bookmarkStart w:id="43" w:name="_Toc441562891"/>
      <w:bookmarkStart w:id="44" w:name="_Toc441246267"/>
      <w:bookmarkStart w:id="45" w:name="_Toc441246383"/>
      <w:bookmarkStart w:id="46" w:name="_Toc441312275"/>
      <w:bookmarkStart w:id="47" w:name="_Toc441337400"/>
      <w:bookmarkStart w:id="48" w:name="_Toc441562766"/>
      <w:bookmarkStart w:id="49" w:name="_Toc441562892"/>
      <w:bookmarkStart w:id="50" w:name="_Toc441246268"/>
      <w:bookmarkStart w:id="51" w:name="_Toc441246384"/>
      <w:bookmarkStart w:id="52" w:name="_Toc441312276"/>
      <w:bookmarkStart w:id="53" w:name="_Toc441337401"/>
      <w:bookmarkStart w:id="54" w:name="_Toc441562767"/>
      <w:bookmarkStart w:id="55" w:name="_Toc441562893"/>
      <w:bookmarkStart w:id="56" w:name="_Toc441246269"/>
      <w:bookmarkStart w:id="57" w:name="_Toc441246385"/>
      <w:bookmarkStart w:id="58" w:name="_Toc441312277"/>
      <w:bookmarkStart w:id="59" w:name="_Toc441337402"/>
      <w:bookmarkStart w:id="60" w:name="_Toc441562768"/>
      <w:bookmarkStart w:id="61" w:name="_Toc441562894"/>
      <w:bookmarkStart w:id="62" w:name="_Toc441246270"/>
      <w:bookmarkStart w:id="63" w:name="_Toc441246386"/>
      <w:bookmarkStart w:id="64" w:name="_Toc441312278"/>
      <w:bookmarkStart w:id="65" w:name="_Toc441337403"/>
      <w:bookmarkStart w:id="66" w:name="_Toc441562769"/>
      <w:bookmarkStart w:id="67" w:name="_Toc441562895"/>
      <w:bookmarkStart w:id="68" w:name="_Toc441246271"/>
      <w:bookmarkStart w:id="69" w:name="_Toc441246387"/>
      <w:bookmarkStart w:id="70" w:name="_Toc441312279"/>
      <w:bookmarkStart w:id="71" w:name="_Toc441337404"/>
      <w:bookmarkStart w:id="72" w:name="_Toc441562770"/>
      <w:bookmarkStart w:id="73" w:name="_Toc441562896"/>
      <w:bookmarkStart w:id="74" w:name="_Toc441246272"/>
      <w:bookmarkStart w:id="75" w:name="_Toc441246388"/>
      <w:bookmarkStart w:id="76" w:name="_Toc441312280"/>
      <w:bookmarkStart w:id="77" w:name="_Toc441337405"/>
      <w:bookmarkStart w:id="78" w:name="_Toc441562771"/>
      <w:bookmarkStart w:id="79" w:name="_Toc441562897"/>
      <w:bookmarkStart w:id="80" w:name="_Toc441246273"/>
      <w:bookmarkStart w:id="81" w:name="_Toc441246389"/>
      <w:bookmarkStart w:id="82" w:name="_Toc441312281"/>
      <w:bookmarkStart w:id="83" w:name="_Toc441337406"/>
      <w:bookmarkStart w:id="84" w:name="_Toc441562772"/>
      <w:bookmarkStart w:id="85" w:name="_Toc441562898"/>
      <w:bookmarkStart w:id="86" w:name="_Toc441246274"/>
      <w:bookmarkStart w:id="87" w:name="_Toc441246390"/>
      <w:bookmarkStart w:id="88" w:name="_Toc441312282"/>
      <w:bookmarkStart w:id="89" w:name="_Toc441337407"/>
      <w:bookmarkStart w:id="90" w:name="_Toc441562773"/>
      <w:bookmarkStart w:id="91" w:name="_Toc441562899"/>
      <w:bookmarkStart w:id="92" w:name="_Toc441246275"/>
      <w:bookmarkStart w:id="93" w:name="_Toc441246391"/>
      <w:bookmarkStart w:id="94" w:name="_Toc441312283"/>
      <w:bookmarkStart w:id="95" w:name="_Toc441337408"/>
      <w:bookmarkStart w:id="96" w:name="_Toc441562774"/>
      <w:bookmarkStart w:id="97" w:name="_Toc441562900"/>
      <w:bookmarkStart w:id="98" w:name="_Toc493844214"/>
      <w:bookmarkStart w:id="99" w:name="_Toc436842349"/>
      <w:bookmarkStart w:id="100" w:name="_Toc455499331"/>
      <w:bookmarkStart w:id="101" w:name="_Toc45550235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EC326F">
        <w:t>Scope of valuation</w:t>
      </w:r>
      <w:bookmarkEnd w:id="98"/>
    </w:p>
    <w:p w14:paraId="55A27218" w14:textId="77777777" w:rsidR="0090298C" w:rsidRPr="00EC326F" w:rsidRDefault="0090298C" w:rsidP="0090298C">
      <w:pPr>
        <w:pStyle w:val="PwCNormal"/>
      </w:pPr>
      <w:r w:rsidRPr="00EC326F">
        <w:t>The scope of the valuation can be considered in terms of:</w:t>
      </w:r>
    </w:p>
    <w:p w14:paraId="53FFD43D" w14:textId="77777777" w:rsidR="0090298C" w:rsidRPr="00EC326F" w:rsidRDefault="0090298C" w:rsidP="0090298C">
      <w:pPr>
        <w:pStyle w:val="ListBullet"/>
      </w:pPr>
      <w:r w:rsidRPr="00EC326F">
        <w:t xml:space="preserve">the payments to be included (covered in </w:t>
      </w:r>
      <w:r w:rsidR="0011562A">
        <w:t>section</w:t>
      </w:r>
      <w:r w:rsidR="004C4A86" w:rsidRPr="00EC326F">
        <w:t xml:space="preserve"> </w:t>
      </w:r>
      <w:r w:rsidR="00EC326F">
        <w:fldChar w:fldCharType="begin"/>
      </w:r>
      <w:r w:rsidR="00EC326F">
        <w:instrText xml:space="preserve"> REF _Ref466491047 \n \h </w:instrText>
      </w:r>
      <w:r w:rsidR="00EC326F">
        <w:fldChar w:fldCharType="separate"/>
      </w:r>
      <w:r w:rsidR="007A42DF">
        <w:t>3.2</w:t>
      </w:r>
      <w:r w:rsidR="00EC326F">
        <w:fldChar w:fldCharType="end"/>
      </w:r>
      <w:r w:rsidRPr="00EC326F">
        <w:t>)</w:t>
      </w:r>
    </w:p>
    <w:p w14:paraId="187E19FB" w14:textId="77777777" w:rsidR="0090298C" w:rsidRPr="00EC326F" w:rsidRDefault="0090298C" w:rsidP="0090298C">
      <w:pPr>
        <w:pStyle w:val="ListBullet"/>
      </w:pPr>
      <w:r w:rsidRPr="00EC326F">
        <w:t xml:space="preserve">the people for which those payments are included (covered in </w:t>
      </w:r>
      <w:r w:rsidR="0011562A">
        <w:t>section</w:t>
      </w:r>
      <w:r w:rsidRPr="00EC326F">
        <w:t xml:space="preserve"> </w:t>
      </w:r>
      <w:r w:rsidR="00EC326F" w:rsidRPr="00EC326F">
        <w:fldChar w:fldCharType="begin"/>
      </w:r>
      <w:r w:rsidR="00EC326F" w:rsidRPr="00EC326F">
        <w:instrText xml:space="preserve"> REF _Ref466491097 \n \h </w:instrText>
      </w:r>
      <w:r w:rsidR="00EC326F">
        <w:instrText xml:space="preserve"> \* MERGEFORMAT </w:instrText>
      </w:r>
      <w:r w:rsidR="00EC326F" w:rsidRPr="00EC326F">
        <w:fldChar w:fldCharType="separate"/>
      </w:r>
      <w:r w:rsidR="007A42DF">
        <w:t>6</w:t>
      </w:r>
      <w:r w:rsidR="00EC326F" w:rsidRPr="00EC326F">
        <w:fldChar w:fldCharType="end"/>
      </w:r>
      <w:r w:rsidRPr="00EC326F">
        <w:t>), and</w:t>
      </w:r>
    </w:p>
    <w:p w14:paraId="38B7624A" w14:textId="77777777" w:rsidR="0090298C" w:rsidRPr="00EC326F" w:rsidRDefault="0090298C" w:rsidP="0090298C">
      <w:pPr>
        <w:pStyle w:val="ListBullet"/>
      </w:pPr>
      <w:r w:rsidRPr="00EC326F">
        <w:t>the time periods to be included (see below).</w:t>
      </w:r>
    </w:p>
    <w:p w14:paraId="6E427BE2" w14:textId="77777777" w:rsidR="0090298C" w:rsidRPr="00EC326F" w:rsidRDefault="0090298C" w:rsidP="0090298C">
      <w:pPr>
        <w:pStyle w:val="PwCNormal"/>
      </w:pPr>
      <w:r w:rsidRPr="00EC326F">
        <w:t xml:space="preserve">The valuation includes all payments made to people in the </w:t>
      </w:r>
      <w:r w:rsidR="004706E4">
        <w:t>in-scope</w:t>
      </w:r>
      <w:r w:rsidRPr="00EC326F">
        <w:t xml:space="preserve"> population for the period starting from the valuation date and for their remaining lifetimes.</w:t>
      </w:r>
    </w:p>
    <w:p w14:paraId="0797867D" w14:textId="77777777" w:rsidR="0090298C" w:rsidRPr="00EC326F" w:rsidRDefault="0090298C" w:rsidP="0090298C">
      <w:pPr>
        <w:pStyle w:val="PwCNormal"/>
        <w:numPr>
          <w:ilvl w:val="0"/>
          <w:numId w:val="0"/>
        </w:numPr>
      </w:pPr>
      <w:r w:rsidRPr="00EC326F">
        <w:t>The payments have been assessed on an accruals basis, reflecting the timing of when each person’s payment entitlements accrue rather than when the payment is actually made.</w:t>
      </w:r>
    </w:p>
    <w:p w14:paraId="5B0F26C6" w14:textId="77777777" w:rsidR="0090298C" w:rsidRPr="00EC326F" w:rsidRDefault="0090298C" w:rsidP="0090298C">
      <w:pPr>
        <w:pStyle w:val="Heading3"/>
      </w:pPr>
      <w:bookmarkStart w:id="102" w:name="_Toc493844215"/>
      <w:r w:rsidRPr="00EC326F">
        <w:t>Terminology</w:t>
      </w:r>
      <w:bookmarkEnd w:id="102"/>
    </w:p>
    <w:p w14:paraId="6F4F7110" w14:textId="77777777" w:rsidR="0090298C" w:rsidRPr="00EC326F" w:rsidRDefault="0090298C" w:rsidP="00591FD8">
      <w:pPr>
        <w:pStyle w:val="PwCNormal"/>
        <w:numPr>
          <w:ilvl w:val="0"/>
          <w:numId w:val="0"/>
        </w:numPr>
      </w:pPr>
      <w:r w:rsidRPr="00EC326F">
        <w:t>The terminology and definition used for the key result of the actuarial valuation is critical to its communication. Reflecting the person-centred nature of the model, the agreed terminology has been built from the central concept of a lifetime cost</w:t>
      </w:r>
      <w:r w:rsidR="00985933" w:rsidRPr="00EC326F">
        <w:t xml:space="preserve"> and</w:t>
      </w:r>
      <w:r w:rsidRPr="00EC326F">
        <w:t xml:space="preserve"> </w:t>
      </w:r>
      <w:r w:rsidR="00985933" w:rsidRPr="00EC326F">
        <w:t>maintained from the baseline valuation. The key definition is</w:t>
      </w:r>
      <w:r w:rsidRPr="00EC326F">
        <w:t xml:space="preserve">: </w:t>
      </w:r>
    </w:p>
    <w:p w14:paraId="55B16BAC" w14:textId="77777777" w:rsidR="0090298C" w:rsidRPr="00EC326F" w:rsidRDefault="0090298C" w:rsidP="0090298C">
      <w:pPr>
        <w:pStyle w:val="Hangingindent1"/>
        <w:rPr>
          <w:i/>
        </w:rPr>
      </w:pPr>
      <w:r w:rsidRPr="00EC326F">
        <w:rPr>
          <w:b/>
        </w:rPr>
        <w:t>Lifetime cost:</w:t>
      </w:r>
      <w:r w:rsidRPr="00EC326F">
        <w:t xml:space="preserve"> </w:t>
      </w:r>
      <w:r w:rsidRPr="00EC326F">
        <w:rPr>
          <w:i/>
        </w:rPr>
        <w:t>the net present value of future in-scope payments made to a person over the remainder of their natural lifetime at the valuation date.</w:t>
      </w:r>
    </w:p>
    <w:p w14:paraId="127C7EE0" w14:textId="77777777" w:rsidR="0090298C" w:rsidRPr="00EC326F" w:rsidRDefault="0090298C" w:rsidP="0090298C">
      <w:pPr>
        <w:pStyle w:val="PwCNormal"/>
      </w:pPr>
      <w:r w:rsidRPr="00EC326F">
        <w:t xml:space="preserve">This concept includes all </w:t>
      </w:r>
      <w:r w:rsidRPr="00EC326F">
        <w:rPr>
          <w:b/>
        </w:rPr>
        <w:t>future</w:t>
      </w:r>
      <w:r w:rsidRPr="00EC326F">
        <w:t xml:space="preserve"> payments after the valuation date, noting that current and previous welfare recipients will also have a history of past payments which is not included, given the future focus of the model.</w:t>
      </w:r>
    </w:p>
    <w:p w14:paraId="4D1C259A" w14:textId="77777777" w:rsidR="0090298C" w:rsidRPr="00EC326F" w:rsidRDefault="0090298C" w:rsidP="0090298C">
      <w:pPr>
        <w:pStyle w:val="Heading4"/>
      </w:pPr>
      <w:r w:rsidRPr="00EC326F">
        <w:t>Total Lifetime Cost</w:t>
      </w:r>
    </w:p>
    <w:p w14:paraId="4BDB50B3" w14:textId="77777777" w:rsidR="0090298C" w:rsidRPr="00EC326F" w:rsidRDefault="0090298C" w:rsidP="0090298C">
      <w:pPr>
        <w:pStyle w:val="PwCNormal"/>
        <w:numPr>
          <w:ilvl w:val="0"/>
          <w:numId w:val="0"/>
        </w:numPr>
      </w:pPr>
      <w:r w:rsidRPr="00EC326F">
        <w:t>The total lifetime cost can be assessed for any group of people within the model population. In the discussion on the results we examine the total lifetime cost for the whole model population and for four groups of people in the population</w:t>
      </w:r>
      <w:r w:rsidR="00985933" w:rsidRPr="00EC326F">
        <w:t xml:space="preserve"> at the valuation date</w:t>
      </w:r>
      <w:r w:rsidRPr="00EC326F">
        <w:t>:</w:t>
      </w:r>
    </w:p>
    <w:p w14:paraId="37B3AF01" w14:textId="77777777" w:rsidR="0090298C" w:rsidRPr="00EC326F" w:rsidRDefault="0090298C" w:rsidP="0090298C">
      <w:pPr>
        <w:pStyle w:val="ListBullet"/>
      </w:pPr>
      <w:r w:rsidRPr="00EC326F">
        <w:t xml:space="preserve">Current </w:t>
      </w:r>
      <w:r w:rsidR="00985933" w:rsidRPr="00EC326F">
        <w:t xml:space="preserve">income support </w:t>
      </w:r>
      <w:r w:rsidRPr="00EC326F">
        <w:t>welfare recipients - this includes any person wh</w:t>
      </w:r>
      <w:r w:rsidR="00985933" w:rsidRPr="00EC326F">
        <w:t>o received an income support payment at any point in the 2015</w:t>
      </w:r>
      <w:r w:rsidRPr="00EC326F">
        <w:t>/1</w:t>
      </w:r>
      <w:r w:rsidR="00985933" w:rsidRPr="00EC326F">
        <w:t>6</w:t>
      </w:r>
      <w:r w:rsidRPr="00EC326F">
        <w:t xml:space="preserve"> year. </w:t>
      </w:r>
    </w:p>
    <w:p w14:paraId="034D9A40" w14:textId="77777777" w:rsidR="00985933" w:rsidRPr="00EC326F" w:rsidRDefault="00985933" w:rsidP="00985933">
      <w:pPr>
        <w:pStyle w:val="ListBullet"/>
      </w:pPr>
      <w:r w:rsidRPr="00EC326F">
        <w:t xml:space="preserve">Current non-income support welfare recipients - this includes any person who received a payment but did not receive any income support payments in the 2015/16 year. </w:t>
      </w:r>
    </w:p>
    <w:p w14:paraId="53233768" w14:textId="77777777" w:rsidR="00985933" w:rsidRPr="00EC326F" w:rsidRDefault="00985933" w:rsidP="0090298C">
      <w:pPr>
        <w:pStyle w:val="ListBullet"/>
      </w:pPr>
      <w:r w:rsidRPr="00EC326F">
        <w:t>Previous welfare recipients. This includes any person who did not receive any payments in the 2015/16 year but who is known to have previously received one of the in-scope payments. Within this group we distinguish between:</w:t>
      </w:r>
    </w:p>
    <w:p w14:paraId="0911666E" w14:textId="77777777" w:rsidR="0090298C" w:rsidRPr="00EC326F" w:rsidRDefault="0090298C" w:rsidP="00985933">
      <w:pPr>
        <w:pStyle w:val="ListBullet2"/>
      </w:pPr>
      <w:r w:rsidRPr="00EC326F">
        <w:t>Recent exits – people who exited in the last three years. This is people who received a payment in 2012/13</w:t>
      </w:r>
      <w:r w:rsidR="00985933" w:rsidRPr="00EC326F">
        <w:t>,</w:t>
      </w:r>
      <w:r w:rsidRPr="00EC326F">
        <w:t xml:space="preserve"> 2013/14 </w:t>
      </w:r>
      <w:r w:rsidR="00985933" w:rsidRPr="00EC326F">
        <w:t xml:space="preserve">or 2014/15 </w:t>
      </w:r>
      <w:r w:rsidRPr="00EC326F">
        <w:t>but no payment in the current year.</w:t>
      </w:r>
    </w:p>
    <w:p w14:paraId="7B9345AD" w14:textId="77777777" w:rsidR="0090298C" w:rsidRPr="00EC326F" w:rsidRDefault="0090298C" w:rsidP="00985933">
      <w:pPr>
        <w:pStyle w:val="ListBullet2"/>
      </w:pPr>
      <w:r w:rsidRPr="00EC326F">
        <w:t>Older exits – other people who are known to have previously received a payment.</w:t>
      </w:r>
    </w:p>
    <w:p w14:paraId="5BE4F522" w14:textId="77777777" w:rsidR="0090298C" w:rsidRPr="00EC326F" w:rsidRDefault="0090298C" w:rsidP="0090298C">
      <w:pPr>
        <w:pStyle w:val="ListBullet"/>
      </w:pPr>
      <w:r w:rsidRPr="00EC326F">
        <w:t>Rest of the Australian population – the remainder of the model population.</w:t>
      </w:r>
    </w:p>
    <w:p w14:paraId="799CF9C8" w14:textId="77777777" w:rsidR="0090298C" w:rsidRPr="00EC326F" w:rsidRDefault="0090298C" w:rsidP="0090298C">
      <w:pPr>
        <w:pStyle w:val="ListBullet"/>
        <w:numPr>
          <w:ilvl w:val="0"/>
          <w:numId w:val="0"/>
        </w:numPr>
      </w:pPr>
      <w:r w:rsidRPr="00EC326F">
        <w:t xml:space="preserve">Future migrants and unborn children are not included in the estimate of total lifetime cost, but will appear in future valuations once they migrate or are born, and at that time will contribute to an increase in the total lifetime cost. </w:t>
      </w:r>
    </w:p>
    <w:p w14:paraId="16276518" w14:textId="77777777" w:rsidR="0090298C" w:rsidRPr="00EC326F" w:rsidRDefault="0090298C" w:rsidP="0090298C">
      <w:pPr>
        <w:pStyle w:val="Heading4"/>
      </w:pPr>
      <w:r w:rsidRPr="00EC326F">
        <w:lastRenderedPageBreak/>
        <w:t>Average Lifetime Cost</w:t>
      </w:r>
    </w:p>
    <w:p w14:paraId="005E11E1" w14:textId="77777777" w:rsidR="0090298C" w:rsidRPr="00EC326F" w:rsidRDefault="0090298C" w:rsidP="0090298C">
      <w:pPr>
        <w:pStyle w:val="PwCNormal"/>
      </w:pPr>
      <w:r w:rsidRPr="00EC326F">
        <w:t xml:space="preserve">For any group of people the lifetime cost can be considered in terms of the number of people in the group and the lifetime cost per person. Through this report we use the term </w:t>
      </w:r>
      <w:r w:rsidRPr="00EC326F">
        <w:rPr>
          <w:b/>
        </w:rPr>
        <w:t>average lifetime cost</w:t>
      </w:r>
      <w:r w:rsidRPr="00EC326F">
        <w:t xml:space="preserve"> to refer to the per person lifetime cost for a group of people.</w:t>
      </w:r>
    </w:p>
    <w:p w14:paraId="33E09525" w14:textId="77777777" w:rsidR="0090298C" w:rsidRPr="00EC326F" w:rsidRDefault="0090298C" w:rsidP="0090298C">
      <w:pPr>
        <w:pStyle w:val="PwCNormal"/>
        <w:numPr>
          <w:ilvl w:val="0"/>
          <w:numId w:val="0"/>
        </w:numPr>
      </w:pPr>
      <w:r w:rsidRPr="00EC326F">
        <w:t xml:space="preserve">As discussed elsewhere, while the model does simulate the lifetime trajectory of each individual, it is only intended that results ever be considered for a similar group of individuals – either in total or on average for that group. Over time, as the model is developed further, the size of the group for which results are meaningful and statistically robust may reduce, enabling increasingly granular outputs. </w:t>
      </w:r>
    </w:p>
    <w:p w14:paraId="49C66CF5" w14:textId="77777777" w:rsidR="0090298C" w:rsidRPr="00EC326F" w:rsidRDefault="0090298C" w:rsidP="00985933">
      <w:pPr>
        <w:pStyle w:val="PwCNormal-keepwithnext"/>
      </w:pPr>
      <w:r w:rsidRPr="00EC326F">
        <w:t>In considering total and average lifetime cost results, the following points should therefore be noted:</w:t>
      </w:r>
    </w:p>
    <w:p w14:paraId="5C4EC3ED" w14:textId="77777777" w:rsidR="0090298C" w:rsidRPr="00EC326F" w:rsidRDefault="0090298C" w:rsidP="0090298C">
      <w:pPr>
        <w:pStyle w:val="Bullet1"/>
      </w:pPr>
      <w:r w:rsidRPr="00EC326F">
        <w:t xml:space="preserve">The actuarial valuation model is designed as a whole of population model with the purpose being to produce population and population group information rather than information for defined individuals. As such it captures the different risk characteristics that are important at a population level, but does not reflect all the factors that may result in different outcomes or different levels of payment for individual people. </w:t>
      </w:r>
    </w:p>
    <w:p w14:paraId="54BF3B88" w14:textId="77777777" w:rsidR="0090298C" w:rsidRPr="00EC326F" w:rsidRDefault="0090298C" w:rsidP="0090298C">
      <w:pPr>
        <w:pStyle w:val="Bullet1"/>
      </w:pPr>
      <w:r w:rsidRPr="00EC326F">
        <w:t xml:space="preserve">The total lifetime costs and averages can be assessed across the whole population or groups of people, within the following guidelines. </w:t>
      </w:r>
    </w:p>
    <w:p w14:paraId="475BA17B" w14:textId="77777777" w:rsidR="0090298C" w:rsidRPr="00EC326F" w:rsidRDefault="0090298C" w:rsidP="0090298C">
      <w:pPr>
        <w:pStyle w:val="Bullet2"/>
      </w:pPr>
      <w:r w:rsidRPr="00EC326F">
        <w:t>Such groups should include at least 1000 people.</w:t>
      </w:r>
    </w:p>
    <w:p w14:paraId="214EB3B1" w14:textId="77777777" w:rsidR="0090298C" w:rsidRPr="00EC326F" w:rsidRDefault="0090298C" w:rsidP="0090298C">
      <w:pPr>
        <w:pStyle w:val="Bullet2"/>
      </w:pPr>
      <w:r w:rsidRPr="00EC326F">
        <w:t>Group level results will be more reliable when the groups are homogeneous. For example, results could be calculated for all the following groups:</w:t>
      </w:r>
    </w:p>
    <w:p w14:paraId="63505621" w14:textId="77777777" w:rsidR="0090298C" w:rsidRPr="00EC326F" w:rsidRDefault="0090298C" w:rsidP="0090298C">
      <w:pPr>
        <w:pStyle w:val="Bullet3"/>
      </w:pPr>
      <w:r w:rsidRPr="00EC326F">
        <w:t>Female age pensioners</w:t>
      </w:r>
    </w:p>
    <w:p w14:paraId="1C051F1C" w14:textId="77777777" w:rsidR="0090298C" w:rsidRPr="00EC326F" w:rsidRDefault="0090298C" w:rsidP="0090298C">
      <w:pPr>
        <w:pStyle w:val="Bullet3"/>
      </w:pPr>
      <w:r w:rsidRPr="00EC326F">
        <w:t>Female age pensioners who are 70-75</w:t>
      </w:r>
    </w:p>
    <w:p w14:paraId="0B8736F6" w14:textId="77777777" w:rsidR="0090298C" w:rsidRPr="00EC326F" w:rsidRDefault="0090298C" w:rsidP="0090298C">
      <w:pPr>
        <w:pStyle w:val="Bullet3"/>
      </w:pPr>
      <w:r w:rsidRPr="00EC326F">
        <w:t>Female age pensioners who are 70-75 and are partnered</w:t>
      </w:r>
    </w:p>
    <w:p w14:paraId="5D544146" w14:textId="77777777" w:rsidR="0090298C" w:rsidRPr="00EC326F" w:rsidRDefault="0090298C" w:rsidP="0090298C">
      <w:pPr>
        <w:pStyle w:val="Bullet3"/>
      </w:pPr>
      <w:r w:rsidRPr="00EC326F">
        <w:t>Etc.</w:t>
      </w:r>
    </w:p>
    <w:p w14:paraId="04590655" w14:textId="77777777" w:rsidR="0090298C" w:rsidRPr="00EC326F" w:rsidRDefault="0090298C" w:rsidP="0090298C">
      <w:pPr>
        <w:pStyle w:val="ListContinue2"/>
      </w:pPr>
      <w:r w:rsidRPr="00EC326F">
        <w:t xml:space="preserve">As groups are more highly specified, the more similar the people are within them. This means there is less variability in expected average lifetime cost within these more highly specified groups. </w:t>
      </w:r>
    </w:p>
    <w:p w14:paraId="66548D92" w14:textId="77777777" w:rsidR="0090298C" w:rsidRPr="00EC326F" w:rsidRDefault="0090298C" w:rsidP="0090298C">
      <w:pPr>
        <w:pStyle w:val="Bullet1"/>
      </w:pPr>
      <w:r w:rsidRPr="00EC326F">
        <w:t xml:space="preserve">The ability of the model to differentiate average lifetime costs between different people is limited by the extent of the factors included in the model. </w:t>
      </w:r>
    </w:p>
    <w:p w14:paraId="54C7F7B3" w14:textId="58A57BC1" w:rsidR="0090298C" w:rsidRPr="00EC326F" w:rsidRDefault="0090298C" w:rsidP="0090298C">
      <w:pPr>
        <w:pStyle w:val="Bullet2"/>
      </w:pPr>
      <w:r w:rsidRPr="00EC326F">
        <w:t xml:space="preserve">For the </w:t>
      </w:r>
      <w:r w:rsidR="009A7F01" w:rsidRPr="00EC326F">
        <w:t>baseline valuation</w:t>
      </w:r>
      <w:r w:rsidRPr="00EC326F">
        <w:t xml:space="preserve"> model </w:t>
      </w:r>
      <w:r w:rsidR="009A7F01" w:rsidRPr="00EC326F">
        <w:t>the factors used to differentiate outcomes included the person’s starting class, their age and gender</w:t>
      </w:r>
      <w:r w:rsidRPr="00EC326F">
        <w:t xml:space="preserve">, </w:t>
      </w:r>
      <w:r w:rsidR="009A7F01" w:rsidRPr="00EC326F">
        <w:t>their</w:t>
      </w:r>
      <w:r w:rsidRPr="00EC326F">
        <w:t xml:space="preserve"> partner status, family composition and welfare history. </w:t>
      </w:r>
      <w:r w:rsidR="009A7F01" w:rsidRPr="00EC326F">
        <w:t xml:space="preserve">Further differences arose as a result of the differential mortality assumptions used for </w:t>
      </w:r>
      <w:r w:rsidR="00B36672">
        <w:t>I</w:t>
      </w:r>
      <w:r w:rsidR="009A7F01" w:rsidRPr="00EC326F">
        <w:t xml:space="preserve">ndigenous people and disability </w:t>
      </w:r>
      <w:r w:rsidR="004B5674" w:rsidRPr="00EC326F">
        <w:t xml:space="preserve">support </w:t>
      </w:r>
      <w:r w:rsidR="009A7F01" w:rsidRPr="00EC326F">
        <w:t>pensioners.</w:t>
      </w:r>
    </w:p>
    <w:p w14:paraId="167669D1" w14:textId="77777777" w:rsidR="009A7F01" w:rsidRPr="00EC326F" w:rsidRDefault="009A7F01" w:rsidP="0090298C">
      <w:pPr>
        <w:pStyle w:val="Bullet2"/>
      </w:pPr>
      <w:r w:rsidRPr="00EC326F">
        <w:t xml:space="preserve">For this 2016 valuation we have introduced a number of further factors into the model for some groups within the population. These factors focus on the income support recipients and include, for instance, information on the payment types received and whether income support recipients have any earnings from employment. The factors are discussed in detail in </w:t>
      </w:r>
      <w:r w:rsidR="0011562A">
        <w:t>section</w:t>
      </w:r>
      <w:r w:rsidRPr="00EC326F">
        <w:t xml:space="preserve"> </w:t>
      </w:r>
      <w:r w:rsidR="00A5498C">
        <w:fldChar w:fldCharType="begin"/>
      </w:r>
      <w:r w:rsidR="00A5498C">
        <w:instrText xml:space="preserve"> REF _Ref466491172 \w \h </w:instrText>
      </w:r>
      <w:r w:rsidR="00A5498C">
        <w:fldChar w:fldCharType="separate"/>
      </w:r>
      <w:r w:rsidR="007A42DF">
        <w:t>4.3</w:t>
      </w:r>
      <w:r w:rsidR="00A5498C">
        <w:fldChar w:fldCharType="end"/>
      </w:r>
      <w:r w:rsidRPr="00EC326F">
        <w:t xml:space="preserve">. </w:t>
      </w:r>
    </w:p>
    <w:p w14:paraId="57C63DF5" w14:textId="05EA34E1" w:rsidR="0090298C" w:rsidRPr="00EC326F" w:rsidRDefault="0090298C" w:rsidP="0090298C">
      <w:pPr>
        <w:pStyle w:val="Bullet2"/>
      </w:pPr>
      <w:r w:rsidRPr="00EC326F">
        <w:t xml:space="preserve">Even where characteristics are not explicitly analysed within the assumption setting process we may be able to see some differences in average lifetime cost if other factors operate as proxies. For instance, the average lifetime cost for 30 year old people in the </w:t>
      </w:r>
      <w:r w:rsidR="00916C7F">
        <w:t>W</w:t>
      </w:r>
      <w:r w:rsidRPr="00EC326F">
        <w:t xml:space="preserve">orking </w:t>
      </w:r>
      <w:r w:rsidR="00916C7F">
        <w:t>A</w:t>
      </w:r>
      <w:r w:rsidRPr="00EC326F">
        <w:t>ge class currently living in one part of the country may differ to an equivalent group living somewhere else, although we have not explicitly included geographic location as a predictor in the model. The difference could arise if these groups have different demographic profiles or if features of their welfare history such as the average past duration in the payment system were different.</w:t>
      </w:r>
    </w:p>
    <w:p w14:paraId="6B43C155" w14:textId="77777777" w:rsidR="0090298C" w:rsidRPr="00EC326F" w:rsidRDefault="0090298C" w:rsidP="0090298C">
      <w:pPr>
        <w:pStyle w:val="Bullet1"/>
      </w:pPr>
      <w:r w:rsidRPr="00EC326F">
        <w:t>Even for the most homogenous possible group, the average lifetime cost is the average of a range of costs each arising from a different possible future life trajectory. Many important determinants of costs such as future family composition and the length of a person’s remaining life cannot be known with certainty, and can only be represented by probability distributions.</w:t>
      </w:r>
    </w:p>
    <w:p w14:paraId="215CD836" w14:textId="77777777" w:rsidR="00DB6C69" w:rsidRPr="00EC326F" w:rsidRDefault="00DB6C69" w:rsidP="00784B2F">
      <w:pPr>
        <w:pStyle w:val="Heading3"/>
      </w:pPr>
      <w:bookmarkStart w:id="103" w:name="_Toc493844216"/>
      <w:r w:rsidRPr="00EC326F">
        <w:lastRenderedPageBreak/>
        <w:t>Reliances</w:t>
      </w:r>
      <w:bookmarkEnd w:id="99"/>
      <w:bookmarkEnd w:id="100"/>
      <w:bookmarkEnd w:id="101"/>
      <w:bookmarkEnd w:id="103"/>
    </w:p>
    <w:p w14:paraId="01DF4CB0" w14:textId="77777777" w:rsidR="009D7C35" w:rsidRPr="00EC326F" w:rsidRDefault="009D7C35" w:rsidP="009A7F01">
      <w:pPr>
        <w:pStyle w:val="PwCNormal-keepwithnext"/>
      </w:pPr>
      <w:r w:rsidRPr="00EC326F">
        <w:t xml:space="preserve">This report has been prepared at the request of the </w:t>
      </w:r>
      <w:r w:rsidR="005B4676" w:rsidRPr="00EC326F">
        <w:t xml:space="preserve">Department </w:t>
      </w:r>
      <w:r w:rsidRPr="00EC326F">
        <w:t>to document the Actuarial Valuation of Australia’s social security and income support system as at 30</w:t>
      </w:r>
      <w:r w:rsidR="009A7F01" w:rsidRPr="00EC326F">
        <w:t> </w:t>
      </w:r>
      <w:r w:rsidRPr="00EC326F">
        <w:t>June</w:t>
      </w:r>
      <w:r w:rsidR="009A7F01" w:rsidRPr="00EC326F">
        <w:t> 2016</w:t>
      </w:r>
      <w:r w:rsidRPr="00EC326F">
        <w:t>. It is not intended, or necessarily suitable, for any other purpose.</w:t>
      </w:r>
    </w:p>
    <w:p w14:paraId="6E8DB0D6" w14:textId="77777777" w:rsidR="009D7C35" w:rsidRPr="00EC326F" w:rsidRDefault="009D7C35" w:rsidP="009D7C35">
      <w:pPr>
        <w:pStyle w:val="PwCNormal"/>
        <w:numPr>
          <w:ilvl w:val="0"/>
          <w:numId w:val="0"/>
        </w:numPr>
      </w:pPr>
      <w:r w:rsidRPr="00EC326F">
        <w:t xml:space="preserve">The report relies on the completeness and accuracy of information compiled and provided by </w:t>
      </w:r>
      <w:r w:rsidR="005B4676" w:rsidRPr="00EC326F">
        <w:t>the Department</w:t>
      </w:r>
      <w:r w:rsidRPr="00EC326F">
        <w:t xml:space="preserve">. We have not verified that data is accurate or complete, but we have checked it for internal consistency and for consistency with other information summaries produced by </w:t>
      </w:r>
      <w:r w:rsidR="005B4676" w:rsidRPr="00EC326F">
        <w:t>the Department</w:t>
      </w:r>
      <w:r w:rsidRPr="00EC326F">
        <w:t xml:space="preserve">. We note that </w:t>
      </w:r>
      <w:r w:rsidR="005B4676" w:rsidRPr="00EC326F">
        <w:t xml:space="preserve">the Department </w:t>
      </w:r>
      <w:r w:rsidRPr="00EC326F">
        <w:t xml:space="preserve">also does not give any warranty as to the reliability or accuracy of the data provided to PwC for the valuation. </w:t>
      </w:r>
    </w:p>
    <w:p w14:paraId="4CC5E4B9" w14:textId="77777777" w:rsidR="009D7C35" w:rsidRPr="00EC326F" w:rsidRDefault="009D7C35" w:rsidP="009D7C35">
      <w:pPr>
        <w:pStyle w:val="PwCNormal"/>
      </w:pPr>
      <w:r w:rsidRPr="00EC326F">
        <w:t xml:space="preserve">There is a limitation to the accuracy of the results contained in this report because of the inherent uncertainty of any estimation of </w:t>
      </w:r>
      <w:r w:rsidR="00E95E8D" w:rsidRPr="00EC326F">
        <w:t>such long term costs</w:t>
      </w:r>
      <w:r w:rsidRPr="00EC326F">
        <w:t xml:space="preserve">. The issue of uncertainty is expanded upon in </w:t>
      </w:r>
      <w:r w:rsidR="0011562A">
        <w:t>section</w:t>
      </w:r>
      <w:r w:rsidRPr="00EC326F">
        <w:t xml:space="preserve"> </w:t>
      </w:r>
      <w:r w:rsidR="00EC326F" w:rsidRPr="00EC326F">
        <w:fldChar w:fldCharType="begin"/>
      </w:r>
      <w:r w:rsidR="00EC326F" w:rsidRPr="00EC326F">
        <w:instrText xml:space="preserve"> REF _Ref466491736 \n \h </w:instrText>
      </w:r>
      <w:r w:rsidR="00EC326F">
        <w:instrText xml:space="preserve"> \* MERGEFORMAT </w:instrText>
      </w:r>
      <w:r w:rsidR="00EC326F" w:rsidRPr="00EC326F">
        <w:fldChar w:fldCharType="separate"/>
      </w:r>
      <w:r w:rsidR="007A42DF">
        <w:t>7.5</w:t>
      </w:r>
      <w:r w:rsidR="00EC326F" w:rsidRPr="00EC326F">
        <w:fldChar w:fldCharType="end"/>
      </w:r>
      <w:r w:rsidRPr="00EC326F">
        <w:t xml:space="preserve"> of this report.</w:t>
      </w:r>
    </w:p>
    <w:p w14:paraId="5EE47C06" w14:textId="77777777" w:rsidR="009D7C35" w:rsidRPr="00EC326F" w:rsidRDefault="009D7C35" w:rsidP="009D7C35">
      <w:pPr>
        <w:pStyle w:val="PwCNormal"/>
        <w:numPr>
          <w:ilvl w:val="0"/>
          <w:numId w:val="0"/>
        </w:numPr>
      </w:pPr>
      <w:r w:rsidRPr="00EC326F">
        <w:t xml:space="preserve">We accept no liability for loss or damage howsoever arising in the use of this report by </w:t>
      </w:r>
      <w:r w:rsidR="005B4676" w:rsidRPr="00EC326F">
        <w:t xml:space="preserve">the Department </w:t>
      </w:r>
      <w:r w:rsidRPr="00EC326F">
        <w:t>for other than the purpose stated above, nor for any use of this report, without full understanding of the reliance</w:t>
      </w:r>
      <w:r w:rsidR="005B4676" w:rsidRPr="00EC326F">
        <w:t>s</w:t>
      </w:r>
      <w:r w:rsidRPr="00EC326F">
        <w:t xml:space="preserve"> and limitations noted above, or for errors or omissions arising from the provision of inaccurate or incomplete information to us. We accept no liability for loss or damages howsoever arising in the use of this report by third parties.</w:t>
      </w:r>
    </w:p>
    <w:p w14:paraId="7E76E4D1" w14:textId="77777777" w:rsidR="009D7C35" w:rsidRPr="00EC326F" w:rsidRDefault="009D7C35" w:rsidP="00A16606">
      <w:pPr>
        <w:pStyle w:val="PwCNormal"/>
      </w:pPr>
      <w:r w:rsidRPr="00EC326F">
        <w:t>The report has been prepared by the PwC Actuarial team led by Christa Marjoribanks</w:t>
      </w:r>
      <w:r w:rsidR="005C1ED3" w:rsidRPr="00EC326F">
        <w:t>, Michael Playford</w:t>
      </w:r>
      <w:r w:rsidRPr="00EC326F">
        <w:t xml:space="preserve"> and Rosi Winn. The PwC team has been provided with statistical modelling assistance by a team of statisticians from Data Analysis Australia</w:t>
      </w:r>
      <w:r w:rsidR="00E95E8D" w:rsidRPr="00EC326F">
        <w:t>, led by Dr John Henstridge</w:t>
      </w:r>
      <w:r w:rsidRPr="00EC326F">
        <w:t>.</w:t>
      </w:r>
    </w:p>
    <w:p w14:paraId="323522AF" w14:textId="77777777" w:rsidR="00336221" w:rsidRPr="00EC326F" w:rsidRDefault="00336221" w:rsidP="00784B2F">
      <w:pPr>
        <w:pStyle w:val="Heading3"/>
      </w:pPr>
      <w:bookmarkStart w:id="104" w:name="_Toc455499332"/>
      <w:bookmarkStart w:id="105" w:name="_Toc455502353"/>
      <w:bookmarkStart w:id="106" w:name="_Toc493844217"/>
      <w:bookmarkEnd w:id="26"/>
      <w:bookmarkEnd w:id="27"/>
      <w:r w:rsidRPr="00EC326F">
        <w:t>Professional standards</w:t>
      </w:r>
      <w:bookmarkEnd w:id="104"/>
      <w:bookmarkEnd w:id="105"/>
      <w:bookmarkEnd w:id="106"/>
    </w:p>
    <w:p w14:paraId="3B8057AF" w14:textId="77777777" w:rsidR="00336221" w:rsidRPr="00EC326F" w:rsidRDefault="00336221" w:rsidP="00336221">
      <w:pPr>
        <w:pStyle w:val="PwCNormal"/>
      </w:pPr>
      <w:r w:rsidRPr="00EC326F">
        <w:t>The advice in this report is Prescribed Actuarial Advice as defined in the Code of Professional Conduct issued by the Actuaries Institute. The advice is intended to satisfy that Code.</w:t>
      </w:r>
    </w:p>
    <w:p w14:paraId="45B0B2AF" w14:textId="77777777" w:rsidR="00D02F8C" w:rsidRPr="00EC326F" w:rsidRDefault="00D02F8C" w:rsidP="00336221">
      <w:pPr>
        <w:pStyle w:val="PwCNormal"/>
      </w:pPr>
      <w:r w:rsidRPr="00EC326F">
        <w:t>The International Actuarial Association has published an International Standard of Actuarial Practice 2 (ISAP 2) “Financial Analysis of Social Security Programs”. It is our view that the standard is not intended to cover the type of social benefit system in Australia; it focuses on schemes with narrower scopes and elements of funding. As such, we do not consider it relevant to this valuation.</w:t>
      </w:r>
    </w:p>
    <w:p w14:paraId="26C3C2CF" w14:textId="77777777" w:rsidR="00391648" w:rsidRPr="002A0A1A" w:rsidRDefault="00271CB6" w:rsidP="00391648">
      <w:pPr>
        <w:pStyle w:val="PwCNormal"/>
        <w:numPr>
          <w:ilvl w:val="0"/>
          <w:numId w:val="0"/>
        </w:numPr>
      </w:pPr>
      <w:r w:rsidRPr="00EC326F">
        <w:rPr>
          <w:noProof/>
          <w:highlight w:val="yellow"/>
          <w:lang w:eastAsia="en-AU"/>
        </w:rPr>
        <w:drawing>
          <wp:anchor distT="0" distB="0" distL="114300" distR="114300" simplePos="0" relativeHeight="251652096" behindDoc="0" locked="0" layoutInCell="1" allowOverlap="1" wp14:anchorId="680317A3" wp14:editId="5B843F63">
            <wp:simplePos x="0" y="0"/>
            <wp:positionH relativeFrom="page">
              <wp:posOffset>3453130</wp:posOffset>
            </wp:positionH>
            <wp:positionV relativeFrom="page">
              <wp:posOffset>9098280</wp:posOffset>
            </wp:positionV>
            <wp:extent cx="3438000" cy="694800"/>
            <wp:effectExtent l="0" t="0" r="0" b="0"/>
            <wp:wrapNone/>
            <wp:docPr id="126" name="Picture 126" descr="Decorative image of houses and trees."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8000" cy="69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553DE" w14:textId="77777777" w:rsidR="00391648" w:rsidRPr="002A0A1A" w:rsidRDefault="00391648" w:rsidP="00391648">
      <w:pPr>
        <w:pStyle w:val="PwCNormal"/>
        <w:numPr>
          <w:ilvl w:val="0"/>
          <w:numId w:val="0"/>
        </w:numPr>
        <w:sectPr w:rsidR="00391648" w:rsidRPr="002A0A1A" w:rsidSect="00522039">
          <w:headerReference w:type="even" r:id="rId32"/>
          <w:headerReference w:type="default" r:id="rId33"/>
          <w:footerReference w:type="even" r:id="rId34"/>
          <w:footerReference w:type="default" r:id="rId35"/>
          <w:headerReference w:type="first" r:id="rId36"/>
          <w:footerReference w:type="first" r:id="rId37"/>
          <w:type w:val="oddPage"/>
          <w:pgSz w:w="11907" w:h="16840" w:code="9"/>
          <w:pgMar w:top="1588" w:right="1021" w:bottom="1418" w:left="1021" w:header="567" w:footer="567" w:gutter="0"/>
          <w:cols w:space="227"/>
          <w:docGrid w:linePitch="360"/>
        </w:sectPr>
      </w:pPr>
    </w:p>
    <w:p w14:paraId="303F4F3B" w14:textId="77777777" w:rsidR="00F87ADC" w:rsidRPr="00EC326F" w:rsidRDefault="00F87ADC" w:rsidP="008D3BDB">
      <w:pPr>
        <w:pStyle w:val="Heading2"/>
      </w:pPr>
      <w:bookmarkStart w:id="107" w:name="_Toc433971859"/>
      <w:bookmarkStart w:id="108" w:name="_Toc455499333"/>
      <w:bookmarkStart w:id="109" w:name="_Toc455502354"/>
      <w:bookmarkStart w:id="110" w:name="_Ref464479987"/>
      <w:bookmarkStart w:id="111" w:name="_Ref464479988"/>
      <w:bookmarkStart w:id="112" w:name="_Toc493844218"/>
      <w:bookmarkStart w:id="113" w:name="_Ref433896635"/>
      <w:bookmarkEnd w:id="107"/>
      <w:r w:rsidRPr="00EC326F">
        <w:lastRenderedPageBreak/>
        <w:t>Method</w:t>
      </w:r>
      <w:bookmarkEnd w:id="108"/>
      <w:bookmarkEnd w:id="109"/>
      <w:bookmarkEnd w:id="110"/>
      <w:bookmarkEnd w:id="111"/>
      <w:bookmarkEnd w:id="112"/>
    </w:p>
    <w:p w14:paraId="07CF4D46" w14:textId="77777777" w:rsidR="008F6978" w:rsidRPr="00EC326F" w:rsidRDefault="008F6978" w:rsidP="00591FD8">
      <w:pPr>
        <w:pStyle w:val="Heading3"/>
      </w:pPr>
      <w:bookmarkStart w:id="114" w:name="_Toc441246281"/>
      <w:bookmarkStart w:id="115" w:name="_Toc441246397"/>
      <w:bookmarkStart w:id="116" w:name="_Toc441312289"/>
      <w:bookmarkStart w:id="117" w:name="_Toc441337414"/>
      <w:bookmarkStart w:id="118" w:name="_Toc441562780"/>
      <w:bookmarkStart w:id="119" w:name="_Toc441562906"/>
      <w:bookmarkStart w:id="120" w:name="_Toc493844219"/>
      <w:bookmarkStart w:id="121" w:name="_Toc437456595"/>
      <w:bookmarkStart w:id="122" w:name="_Toc455499343"/>
      <w:bookmarkStart w:id="123" w:name="_Toc455502364"/>
      <w:bookmarkStart w:id="124" w:name="_Ref437276343"/>
      <w:bookmarkEnd w:id="114"/>
      <w:bookmarkEnd w:id="115"/>
      <w:bookmarkEnd w:id="116"/>
      <w:bookmarkEnd w:id="117"/>
      <w:bookmarkEnd w:id="118"/>
      <w:bookmarkEnd w:id="119"/>
      <w:r w:rsidRPr="00EC326F">
        <w:t>Overview of valuation method</w:t>
      </w:r>
      <w:bookmarkEnd w:id="120"/>
    </w:p>
    <w:p w14:paraId="36D42ACE" w14:textId="77777777" w:rsidR="008F6978" w:rsidRPr="00EC326F" w:rsidRDefault="008F6978" w:rsidP="008F6978">
      <w:pPr>
        <w:pStyle w:val="PwCNormal"/>
      </w:pPr>
      <w:r w:rsidRPr="00EC326F">
        <w:t xml:space="preserve">The </w:t>
      </w:r>
      <w:r w:rsidR="00591FD8" w:rsidRPr="00EC326F">
        <w:t>overarching methodology</w:t>
      </w:r>
      <w:r w:rsidRPr="00EC326F">
        <w:t xml:space="preserve"> </w:t>
      </w:r>
      <w:r w:rsidR="00591FD8" w:rsidRPr="00EC326F">
        <w:t>for the valuation of the Australian social security and income support system has been retained from the baseline valuation. This approach reflects</w:t>
      </w:r>
      <w:r w:rsidRPr="00EC326F">
        <w:t xml:space="preserve"> the Department’s objectives which include:</w:t>
      </w:r>
    </w:p>
    <w:p w14:paraId="047AF968" w14:textId="77777777" w:rsidR="008F6978" w:rsidRPr="00EC326F" w:rsidRDefault="008F6978" w:rsidP="008F6978">
      <w:pPr>
        <w:pStyle w:val="ListBullet"/>
      </w:pPr>
      <w:r w:rsidRPr="00EC326F">
        <w:t>Provide estimates of the future costs of the social security system (lifetime cost)</w:t>
      </w:r>
    </w:p>
    <w:p w14:paraId="7CBEB2B7" w14:textId="77777777" w:rsidR="008F6978" w:rsidRPr="00EC326F" w:rsidRDefault="008F6978" w:rsidP="008F6978">
      <w:pPr>
        <w:pStyle w:val="ListBullet"/>
      </w:pPr>
      <w:r w:rsidRPr="00EC326F">
        <w:t>Provide average lifetime cost estimates for groups of people</w:t>
      </w:r>
    </w:p>
    <w:p w14:paraId="3ADB0F91" w14:textId="77777777" w:rsidR="008F6978" w:rsidRPr="00EC326F" w:rsidRDefault="008F6978" w:rsidP="008F6978">
      <w:pPr>
        <w:pStyle w:val="ListBullet"/>
      </w:pPr>
      <w:r w:rsidRPr="00EC326F">
        <w:t>Provide insights into the behaviour of groups of welfare recipients</w:t>
      </w:r>
    </w:p>
    <w:p w14:paraId="00F0F589" w14:textId="77777777" w:rsidR="008F6978" w:rsidRPr="00EC326F" w:rsidRDefault="008F6978" w:rsidP="008F6978">
      <w:pPr>
        <w:pStyle w:val="ListBullet"/>
      </w:pPr>
      <w:r w:rsidRPr="00EC326F">
        <w:t>Provide insight into key drivers of lifetime cost and their respective influence, and</w:t>
      </w:r>
    </w:p>
    <w:p w14:paraId="370843AA" w14:textId="77777777" w:rsidR="008F6978" w:rsidRPr="00EC326F" w:rsidRDefault="008F6978" w:rsidP="008F6978">
      <w:pPr>
        <w:pStyle w:val="ListBullet"/>
      </w:pPr>
      <w:r w:rsidRPr="00EC326F">
        <w:t>Flexibility for the model to develop over time</w:t>
      </w:r>
    </w:p>
    <w:p w14:paraId="5318A1C1" w14:textId="77777777" w:rsidR="008F6978" w:rsidRPr="00EC326F" w:rsidRDefault="008F6978" w:rsidP="008F6978">
      <w:pPr>
        <w:pStyle w:val="PwCNormal"/>
      </w:pPr>
      <w:r w:rsidRPr="00EC326F">
        <w:t xml:space="preserve">These requirements suggest an individual person approach is needed rather than an aggregate approach and we have used a full population model and a simulation modelling approach as we consider that this provides maximum flexibility and will be able to provide information on all possible groups. </w:t>
      </w:r>
    </w:p>
    <w:p w14:paraId="73025BFA" w14:textId="77777777" w:rsidR="008F6978" w:rsidRPr="00EC326F" w:rsidRDefault="008F6978" w:rsidP="008F6978">
      <w:pPr>
        <w:pStyle w:val="PwCNormal"/>
      </w:pPr>
      <w:r w:rsidRPr="00EC326F">
        <w:t>The model uses annual data and projects annual payments.</w:t>
      </w:r>
    </w:p>
    <w:p w14:paraId="3C8F711E" w14:textId="77777777" w:rsidR="008F6978" w:rsidRPr="00EC326F" w:rsidRDefault="004C4A86" w:rsidP="008F6978">
      <w:pPr>
        <w:pStyle w:val="PwCNormal"/>
      </w:pPr>
      <w:r w:rsidRPr="00EC326F">
        <w:t>The graphic</w:t>
      </w:r>
      <w:r w:rsidR="008F6978" w:rsidRPr="00EC326F">
        <w:t xml:space="preserve"> below represents the components of the valuation model and how the component modules that comprise the model interact with each other. </w:t>
      </w:r>
    </w:p>
    <w:p w14:paraId="65F369EE" w14:textId="77777777" w:rsidR="008F6978" w:rsidRPr="00EC326F" w:rsidRDefault="008F6978" w:rsidP="008F6978">
      <w:pPr>
        <w:pStyle w:val="Caption"/>
      </w:pPr>
      <w:r w:rsidRPr="00EC326F">
        <w:t xml:space="preserve">Figure </w:t>
      </w:r>
      <w:fldSimple w:instr=" SEQ Figure \* ARABIC ">
        <w:r w:rsidR="007A42DF">
          <w:rPr>
            <w:noProof/>
          </w:rPr>
          <w:t>6</w:t>
        </w:r>
      </w:fldSimple>
      <w:r w:rsidRPr="00EC326F">
        <w:t>: Overview of Method</w:t>
      </w:r>
    </w:p>
    <w:p w14:paraId="4633CE17" w14:textId="77777777" w:rsidR="008F6978" w:rsidRPr="00EC326F" w:rsidRDefault="008F6978" w:rsidP="008F6978">
      <w:pPr>
        <w:pStyle w:val="PwCNormal"/>
      </w:pPr>
      <w:r w:rsidRPr="00EC326F">
        <w:rPr>
          <w:noProof/>
          <w:snapToGrid/>
          <w:lang w:eastAsia="en-AU"/>
        </w:rPr>
        <w:drawing>
          <wp:inline distT="0" distB="0" distL="0" distR="0" wp14:anchorId="1F8B16B8" wp14:editId="757CE8F1">
            <wp:extent cx="6219727" cy="4312328"/>
            <wp:effectExtent l="0" t="0" r="0" b="0"/>
            <wp:docPr id="289" name="Picture 289" descr="This figure is an infographic diagram which provides an overview of the model. It shows the different modules that connect together to form the overall model.&#10;&#10;Discussion of the elements shown in the diagram can be found in the accompanying text within the report.&#10;&#10;The general order of the modules is as follows: the population module output is combined with the assumptions modules outputs to feed into the projection module. The projection module output is then used as an input into the results module.&#10;" title=" Overview of Meth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diagra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19727" cy="4312328"/>
                    </a:xfrm>
                    <a:prstGeom prst="rect">
                      <a:avLst/>
                    </a:prstGeom>
                  </pic:spPr>
                </pic:pic>
              </a:graphicData>
            </a:graphic>
          </wp:inline>
        </w:drawing>
      </w:r>
    </w:p>
    <w:p w14:paraId="4C762125" w14:textId="77777777" w:rsidR="008F6978" w:rsidRPr="00EC326F" w:rsidRDefault="008F6978" w:rsidP="001B0063">
      <w:pPr>
        <w:pStyle w:val="PwCNormal-keepwithnext"/>
      </w:pPr>
      <w:r w:rsidRPr="00EC326F">
        <w:lastRenderedPageBreak/>
        <w:t>A description of each of the modules follows.</w:t>
      </w:r>
    </w:p>
    <w:p w14:paraId="6AE26BA5" w14:textId="77777777" w:rsidR="008F6978" w:rsidRPr="00EC326F" w:rsidRDefault="008F6978" w:rsidP="008F6978">
      <w:pPr>
        <w:pStyle w:val="Heading4"/>
      </w:pPr>
      <w:r w:rsidRPr="00EC326F">
        <w:t>Population module</w:t>
      </w:r>
    </w:p>
    <w:p w14:paraId="0B4885AA" w14:textId="77777777" w:rsidR="008F6978" w:rsidRPr="00EC326F" w:rsidRDefault="008F6978" w:rsidP="008F6978">
      <w:pPr>
        <w:pStyle w:val="PwCNormal"/>
      </w:pPr>
      <w:r w:rsidRPr="00EC326F">
        <w:t xml:space="preserve">The population module is used to generate an individual welfare recipient dataset for use in the simulation model. It represents the population at the valuation date and contains person records for all current and previous welfare recipients as well as all potential future welfare recipients i.e. </w:t>
      </w:r>
      <w:r w:rsidR="004C4A86" w:rsidRPr="00EC326F">
        <w:t xml:space="preserve">it is </w:t>
      </w:r>
      <w:r w:rsidRPr="00EC326F">
        <w:t>representative of the full resident population of Australia.</w:t>
      </w:r>
    </w:p>
    <w:p w14:paraId="783C93CF" w14:textId="77777777" w:rsidR="008F6978" w:rsidRPr="00EC326F" w:rsidRDefault="008F6978" w:rsidP="008F6978">
      <w:pPr>
        <w:pStyle w:val="PwCNormal"/>
        <w:numPr>
          <w:ilvl w:val="0"/>
          <w:numId w:val="0"/>
        </w:numPr>
      </w:pPr>
      <w:r w:rsidRPr="00EC326F">
        <w:t>It includes actual and imputed data for current and recent welfare recipients and representative data for the rest of the population.</w:t>
      </w:r>
    </w:p>
    <w:p w14:paraId="46FF7039" w14:textId="77777777" w:rsidR="008F6978" w:rsidRPr="00EC326F" w:rsidRDefault="008F6978" w:rsidP="008F6978">
      <w:pPr>
        <w:pStyle w:val="PwCNormal"/>
        <w:numPr>
          <w:ilvl w:val="0"/>
          <w:numId w:val="0"/>
        </w:numPr>
      </w:pPr>
      <w:r w:rsidRPr="00EC326F">
        <w:t xml:space="preserve">For the </w:t>
      </w:r>
      <w:r w:rsidR="00591FD8" w:rsidRPr="00EC326F">
        <w:t>2016 valuation</w:t>
      </w:r>
      <w:r w:rsidRPr="00EC326F">
        <w:t xml:space="preserve"> model we included people solely as individuals: we identified existing partners and children and modelled these going forward to allow us to examine how changes in these may influence people’s interactions with the welfare system. However we have not modelled people in households, nor have we taken into account specific information on the use of welfare by related people whether partners, parents or children.</w:t>
      </w:r>
    </w:p>
    <w:p w14:paraId="508116A5" w14:textId="77777777" w:rsidR="008F6978" w:rsidRPr="00EC326F" w:rsidRDefault="008F6978" w:rsidP="008F6978">
      <w:pPr>
        <w:pStyle w:val="Heading4"/>
      </w:pPr>
      <w:r w:rsidRPr="00EC326F">
        <w:t>Assumptions modules</w:t>
      </w:r>
    </w:p>
    <w:p w14:paraId="034E8CEA" w14:textId="77777777" w:rsidR="008F6978" w:rsidRPr="00EC326F" w:rsidRDefault="008F6978" w:rsidP="008F6978">
      <w:pPr>
        <w:pStyle w:val="PwCNormal"/>
        <w:numPr>
          <w:ilvl w:val="0"/>
          <w:numId w:val="0"/>
        </w:numPr>
      </w:pPr>
      <w:r w:rsidRPr="00EC326F">
        <w:t xml:space="preserve">There are a number of modules which are used to develop the key assumptions for projecting individuals’ trajectories through life and their interactions with the welfare system. </w:t>
      </w:r>
    </w:p>
    <w:p w14:paraId="77809FBB" w14:textId="77777777" w:rsidR="008F6978" w:rsidRPr="00EC326F" w:rsidRDefault="008F6978" w:rsidP="008F6978">
      <w:pPr>
        <w:pStyle w:val="PwCNormal"/>
        <w:numPr>
          <w:ilvl w:val="0"/>
          <w:numId w:val="0"/>
        </w:numPr>
      </w:pPr>
      <w:r w:rsidRPr="00EC326F">
        <w:t>These assumptions include:</w:t>
      </w:r>
    </w:p>
    <w:p w14:paraId="1C7CC804" w14:textId="77777777" w:rsidR="008F6978" w:rsidRPr="00EC326F" w:rsidRDefault="008F6978" w:rsidP="008F6978">
      <w:pPr>
        <w:pStyle w:val="ListBullet"/>
      </w:pPr>
      <w:r w:rsidRPr="00EC326F">
        <w:t xml:space="preserve">Flow assumptions </w:t>
      </w:r>
      <w:r w:rsidR="00591FD8" w:rsidRPr="00EC326F">
        <w:t>– reflecting peoples changing demographic characteristics</w:t>
      </w:r>
    </w:p>
    <w:p w14:paraId="7A120E67" w14:textId="77777777" w:rsidR="008F6978" w:rsidRPr="00EC326F" w:rsidRDefault="008F6978" w:rsidP="008F6978">
      <w:pPr>
        <w:pStyle w:val="ListBullet"/>
      </w:pPr>
      <w:r w:rsidRPr="00EC326F">
        <w:t>Welfare utilisation – class movement assumptions and payment category utilisation assumptions</w:t>
      </w:r>
    </w:p>
    <w:p w14:paraId="21BF742A" w14:textId="77777777" w:rsidR="008F6978" w:rsidRPr="00EC326F" w:rsidRDefault="008F6978" w:rsidP="008F6978">
      <w:pPr>
        <w:pStyle w:val="ListBullet"/>
      </w:pPr>
      <w:r w:rsidRPr="00EC326F">
        <w:t xml:space="preserve">Payment assumptions </w:t>
      </w:r>
    </w:p>
    <w:p w14:paraId="48D834B7" w14:textId="77777777" w:rsidR="008F6978" w:rsidRPr="00EC326F" w:rsidRDefault="008F6978" w:rsidP="008F6978">
      <w:pPr>
        <w:pStyle w:val="ListBullet"/>
      </w:pPr>
      <w:r w:rsidRPr="00EC326F">
        <w:t xml:space="preserve">Adjustments </w:t>
      </w:r>
      <w:r w:rsidR="00591FD8" w:rsidRPr="00EC326F">
        <w:t>– both economic and other adjustments</w:t>
      </w:r>
    </w:p>
    <w:p w14:paraId="296B38EF" w14:textId="77777777" w:rsidR="008F6978" w:rsidRPr="003515A2" w:rsidRDefault="008F6978" w:rsidP="008F6978">
      <w:pPr>
        <w:pStyle w:val="ListBullet"/>
      </w:pPr>
      <w:r w:rsidRPr="00EC326F">
        <w:t xml:space="preserve">Indexation and discounting </w:t>
      </w:r>
      <w:r w:rsidRPr="003515A2">
        <w:t xml:space="preserve">assumptions </w:t>
      </w:r>
    </w:p>
    <w:p w14:paraId="1173E43F" w14:textId="77777777" w:rsidR="008F6978" w:rsidRPr="003515A2" w:rsidRDefault="008F6978" w:rsidP="008F6978">
      <w:pPr>
        <w:pStyle w:val="PwCNormal"/>
        <w:numPr>
          <w:ilvl w:val="0"/>
          <w:numId w:val="0"/>
        </w:numPr>
      </w:pPr>
      <w:r w:rsidRPr="003515A2">
        <w:t xml:space="preserve">They are discussed in </w:t>
      </w:r>
      <w:r w:rsidR="00591FD8" w:rsidRPr="003515A2">
        <w:t xml:space="preserve">turn in </w:t>
      </w:r>
      <w:r w:rsidR="0011562A">
        <w:t>section</w:t>
      </w:r>
      <w:r w:rsidRPr="003515A2">
        <w:t xml:space="preserve"> </w:t>
      </w:r>
      <w:r w:rsidR="003515A2" w:rsidRPr="003515A2">
        <w:fldChar w:fldCharType="begin"/>
      </w:r>
      <w:r w:rsidR="003515A2" w:rsidRPr="003515A2">
        <w:instrText xml:space="preserve"> REF _Ref465266660 \n \h </w:instrText>
      </w:r>
      <w:r w:rsidR="003515A2">
        <w:instrText xml:space="preserve"> \* MERGEFORMAT </w:instrText>
      </w:r>
      <w:r w:rsidR="003515A2" w:rsidRPr="003515A2">
        <w:fldChar w:fldCharType="separate"/>
      </w:r>
      <w:r w:rsidR="007A42DF">
        <w:t>5</w:t>
      </w:r>
      <w:r w:rsidR="003515A2" w:rsidRPr="003515A2">
        <w:fldChar w:fldCharType="end"/>
      </w:r>
      <w:r w:rsidRPr="003515A2">
        <w:t>.</w:t>
      </w:r>
    </w:p>
    <w:p w14:paraId="2607F9F0" w14:textId="77777777" w:rsidR="00944D28" w:rsidRPr="003515A2" w:rsidRDefault="00944D28" w:rsidP="00944D28">
      <w:pPr>
        <w:pStyle w:val="Heading4"/>
      </w:pPr>
      <w:r w:rsidRPr="003515A2">
        <w:t>Projection module</w:t>
      </w:r>
    </w:p>
    <w:p w14:paraId="1B0C36BE" w14:textId="77777777" w:rsidR="00944D28" w:rsidRPr="00EC326F" w:rsidRDefault="00944D28" w:rsidP="00944D28">
      <w:pPr>
        <w:pStyle w:val="PwCNormal"/>
        <w:numPr>
          <w:ilvl w:val="0"/>
          <w:numId w:val="0"/>
        </w:numPr>
      </w:pPr>
      <w:r w:rsidRPr="003515A2">
        <w:t>The projection module is at the heart of the modelling and is used to project the path of each individual through their lifetime. The projections simulate people’s future trajectories through life and the resultant interactions with the payment system. They include projecting</w:t>
      </w:r>
      <w:r w:rsidRPr="00EC326F">
        <w:t xml:space="preserve"> individual characteristics such as basic demographics, partnering and children and the person’s interactions with the welfare system and the types and amounts of payments received. </w:t>
      </w:r>
    </w:p>
    <w:p w14:paraId="3E9CE699" w14:textId="77777777" w:rsidR="00944D28" w:rsidRPr="00EC326F" w:rsidRDefault="00944D28" w:rsidP="00944D28">
      <w:pPr>
        <w:pStyle w:val="PwCNormal"/>
      </w:pPr>
      <w:r w:rsidRPr="00EC326F">
        <w:t>The module operates by applying assumptions to simulate the future trajectory of each person in the population, their welfare utilisation and payments in each future year. It operates iteratively with the experience in one year providing the starting point for the next year’s iteration.</w:t>
      </w:r>
    </w:p>
    <w:p w14:paraId="244751AD" w14:textId="44F59053" w:rsidR="00944D28" w:rsidRPr="00EC326F" w:rsidRDefault="00944D28" w:rsidP="00944D28">
      <w:pPr>
        <w:pStyle w:val="PwCNormal"/>
        <w:numPr>
          <w:ilvl w:val="0"/>
          <w:numId w:val="0"/>
        </w:numPr>
      </w:pPr>
      <w:r w:rsidRPr="00EC326F">
        <w:t xml:space="preserve">The model population and all of the model assumptions feed into </w:t>
      </w:r>
      <w:r w:rsidRPr="003515A2">
        <w:t>this central module.</w:t>
      </w:r>
      <w:r w:rsidR="00A475C5" w:rsidRPr="003515A2">
        <w:t xml:space="preserve"> </w:t>
      </w:r>
      <w:r w:rsidR="003515A2" w:rsidRPr="003515A2">
        <w:fldChar w:fldCharType="begin"/>
      </w:r>
      <w:r w:rsidR="003515A2" w:rsidRPr="003515A2">
        <w:instrText xml:space="preserve"> REF _Ref466491738 \h </w:instrText>
      </w:r>
      <w:r w:rsidR="003515A2">
        <w:instrText xml:space="preserve"> \* MERGEFORMAT </w:instrText>
      </w:r>
      <w:r w:rsidR="003515A2" w:rsidRPr="003515A2">
        <w:fldChar w:fldCharType="separate"/>
      </w:r>
      <w:r w:rsidR="007A42DF" w:rsidRPr="00EC326F">
        <w:t xml:space="preserve">Figure </w:t>
      </w:r>
      <w:r w:rsidR="007A42DF">
        <w:rPr>
          <w:noProof/>
        </w:rPr>
        <w:t>8</w:t>
      </w:r>
      <w:r w:rsidR="003515A2" w:rsidRPr="003515A2">
        <w:fldChar w:fldCharType="end"/>
      </w:r>
      <w:r w:rsidR="0011562A">
        <w:t>,</w:t>
      </w:r>
      <w:r w:rsidR="003515A2" w:rsidRPr="003515A2">
        <w:t xml:space="preserve"> </w:t>
      </w:r>
      <w:r w:rsidR="0011562A">
        <w:t>s</w:t>
      </w:r>
      <w:r w:rsidR="003515A2" w:rsidRPr="003515A2">
        <w:t>ect</w:t>
      </w:r>
      <w:r w:rsidR="00A475C5" w:rsidRPr="003515A2">
        <w:t xml:space="preserve">ion </w:t>
      </w:r>
      <w:r w:rsidR="003515A2" w:rsidRPr="003515A2">
        <w:fldChar w:fldCharType="begin"/>
      </w:r>
      <w:r w:rsidR="003515A2" w:rsidRPr="003515A2">
        <w:instrText xml:space="preserve"> REF _Ref466491737 \n \h </w:instrText>
      </w:r>
      <w:r w:rsidR="003515A2">
        <w:instrText xml:space="preserve"> \* MERGEFORMAT </w:instrText>
      </w:r>
      <w:r w:rsidR="003515A2" w:rsidRPr="003515A2">
        <w:fldChar w:fldCharType="separate"/>
      </w:r>
      <w:r w:rsidR="007A42DF">
        <w:t>4.4</w:t>
      </w:r>
      <w:r w:rsidR="003515A2" w:rsidRPr="003515A2">
        <w:fldChar w:fldCharType="end"/>
      </w:r>
      <w:r w:rsidR="00A475C5" w:rsidRPr="003515A2">
        <w:t xml:space="preserve"> represents a single iteration of the annual modelling cycle.</w:t>
      </w:r>
    </w:p>
    <w:p w14:paraId="5F15285F" w14:textId="77777777" w:rsidR="008F6978" w:rsidRPr="00EC326F" w:rsidRDefault="008F6978" w:rsidP="008F6978">
      <w:pPr>
        <w:pStyle w:val="Heading4"/>
      </w:pPr>
      <w:r w:rsidRPr="00EC326F">
        <w:t>Results module</w:t>
      </w:r>
    </w:p>
    <w:p w14:paraId="49BAAC23" w14:textId="77777777" w:rsidR="008F6978" w:rsidRPr="00EC326F" w:rsidRDefault="008F6978" w:rsidP="00763503">
      <w:pPr>
        <w:pStyle w:val="PwCNormal"/>
      </w:pPr>
      <w:r w:rsidRPr="00EC326F">
        <w:t xml:space="preserve">The projection module produces </w:t>
      </w:r>
      <w:r w:rsidR="00944D28" w:rsidRPr="00EC326F">
        <w:t xml:space="preserve">highly </w:t>
      </w:r>
      <w:r w:rsidRPr="00EC326F">
        <w:t>detailed outputs which include information on each person’s welfare utilisation for each future year. The results module is the tool used to summarise these detailed outputs and develop information for use by the Department, and produce the total lifetime costs and class level results presented in this report.</w:t>
      </w:r>
    </w:p>
    <w:p w14:paraId="196A9C93" w14:textId="269DB7AF" w:rsidR="00944D28" w:rsidRPr="00EC326F" w:rsidRDefault="00944D28" w:rsidP="00021020">
      <w:pPr>
        <w:pStyle w:val="PwCNormal"/>
        <w:numPr>
          <w:ilvl w:val="0"/>
          <w:numId w:val="1"/>
        </w:numPr>
      </w:pPr>
      <w:r w:rsidRPr="00EC326F">
        <w:t xml:space="preserve">This results </w:t>
      </w:r>
      <w:r w:rsidR="00021020" w:rsidRPr="00EC326F">
        <w:t>mod</w:t>
      </w:r>
      <w:r w:rsidRPr="00EC326F">
        <w:t xml:space="preserve">ule provides </w:t>
      </w:r>
      <w:r w:rsidR="00021020" w:rsidRPr="00EC326F">
        <w:t>some standard information (‘</w:t>
      </w:r>
      <w:r w:rsidRPr="00EC326F">
        <w:t>results</w:t>
      </w:r>
      <w:r w:rsidR="00021020" w:rsidRPr="00EC326F">
        <w:t xml:space="preserve">’) and </w:t>
      </w:r>
      <w:r w:rsidRPr="00EC326F">
        <w:t xml:space="preserve">the detailed projection module output </w:t>
      </w:r>
      <w:r w:rsidR="00021020" w:rsidRPr="00EC326F">
        <w:t xml:space="preserve">can also be used to investigate the expected </w:t>
      </w:r>
      <w:r w:rsidR="00FB0893">
        <w:t xml:space="preserve">future </w:t>
      </w:r>
      <w:r w:rsidR="00021020" w:rsidRPr="00EC326F">
        <w:t xml:space="preserve">experience of specific groups. </w:t>
      </w:r>
    </w:p>
    <w:p w14:paraId="2A056F6C" w14:textId="77777777" w:rsidR="00021020" w:rsidRPr="00EC326F" w:rsidRDefault="00021020" w:rsidP="00021020">
      <w:pPr>
        <w:pStyle w:val="PwCNormal"/>
        <w:numPr>
          <w:ilvl w:val="0"/>
          <w:numId w:val="1"/>
        </w:numPr>
      </w:pPr>
      <w:r w:rsidRPr="00EC326F">
        <w:t xml:space="preserve">The </w:t>
      </w:r>
      <w:r w:rsidR="00944D28" w:rsidRPr="00EC326F">
        <w:t>results</w:t>
      </w:r>
      <w:r w:rsidRPr="00EC326F">
        <w:t xml:space="preserve"> include the following categories of information:</w:t>
      </w:r>
    </w:p>
    <w:p w14:paraId="2D9048AB" w14:textId="77777777" w:rsidR="00021020" w:rsidRPr="00EC326F" w:rsidRDefault="00021020" w:rsidP="00021020">
      <w:pPr>
        <w:pStyle w:val="Bullet1"/>
      </w:pPr>
      <w:r w:rsidRPr="00EC326F">
        <w:t>Lifetime cost results – e.g. overall lifetime cost results; lifetime cost results for different payment categories.</w:t>
      </w:r>
    </w:p>
    <w:p w14:paraId="13409813" w14:textId="77777777" w:rsidR="00021020" w:rsidRPr="00EC326F" w:rsidRDefault="00021020" w:rsidP="00021020">
      <w:pPr>
        <w:pStyle w:val="Bullet1"/>
      </w:pPr>
      <w:r w:rsidRPr="00EC326F">
        <w:lastRenderedPageBreak/>
        <w:t>Major group information and results – e.g. average lifetime cost information; demographic information; information on expected future trajectories.</w:t>
      </w:r>
    </w:p>
    <w:p w14:paraId="3016BD1D" w14:textId="77777777" w:rsidR="00021020" w:rsidRPr="00EC326F" w:rsidRDefault="00021020" w:rsidP="00021020">
      <w:pPr>
        <w:pStyle w:val="Bullet1"/>
      </w:pPr>
      <w:r w:rsidRPr="00EC326F">
        <w:t xml:space="preserve">Lifetime cost forecasts, which will be used to understand the drivers of changes in the lifetime cost in future years. </w:t>
      </w:r>
    </w:p>
    <w:p w14:paraId="7361BB74" w14:textId="77777777" w:rsidR="00021020" w:rsidRPr="00EC326F" w:rsidRDefault="00021020" w:rsidP="00021020">
      <w:pPr>
        <w:pStyle w:val="Bullet1"/>
      </w:pPr>
      <w:r w:rsidRPr="00EC326F">
        <w:t xml:space="preserve">Projections of future welfare recipient numbers and expenditures (both limited to the current </w:t>
      </w:r>
      <w:r w:rsidR="004706E4">
        <w:t>in-scope</w:t>
      </w:r>
      <w:r w:rsidRPr="00EC326F">
        <w:t xml:space="preserve"> population).</w:t>
      </w:r>
    </w:p>
    <w:p w14:paraId="07613AA5" w14:textId="77777777" w:rsidR="00944D28" w:rsidRPr="00EC326F" w:rsidRDefault="00944D28" w:rsidP="00944D28">
      <w:pPr>
        <w:pStyle w:val="Heading3"/>
      </w:pPr>
      <w:bookmarkStart w:id="125" w:name="_Toc493844220"/>
      <w:r w:rsidRPr="00EC326F">
        <w:t>Model uses</w:t>
      </w:r>
      <w:bookmarkEnd w:id="125"/>
    </w:p>
    <w:p w14:paraId="381375D4" w14:textId="77777777" w:rsidR="00944D28" w:rsidRPr="00EC326F" w:rsidRDefault="00944D28" w:rsidP="00021020">
      <w:pPr>
        <w:pStyle w:val="PwCNormal"/>
        <w:numPr>
          <w:ilvl w:val="0"/>
          <w:numId w:val="1"/>
        </w:numPr>
      </w:pPr>
      <w:r w:rsidRPr="00EC326F">
        <w:t>The valuation model design provides a flexible framework for exploring welfare system dynamics and the related lifetime cost outcomes.</w:t>
      </w:r>
    </w:p>
    <w:p w14:paraId="5D9C0E18" w14:textId="0B9C7790" w:rsidR="00944D28" w:rsidRPr="00EC326F" w:rsidRDefault="00944D28" w:rsidP="00021020">
      <w:pPr>
        <w:pStyle w:val="PwCNormal"/>
        <w:numPr>
          <w:ilvl w:val="0"/>
          <w:numId w:val="1"/>
        </w:numPr>
      </w:pPr>
      <w:r w:rsidRPr="00EC326F">
        <w:t xml:space="preserve">The main results provide information on the current Australian population, which people are utilising welfare now and </w:t>
      </w:r>
      <w:r w:rsidR="004659BC" w:rsidRPr="00EC326F">
        <w:t xml:space="preserve">how the types and amounts of welfare payments vary across different groups of the population. They also provide information on the lifetime cost for different groups and the expected </w:t>
      </w:r>
      <w:r w:rsidR="00FB0893">
        <w:t xml:space="preserve">future </w:t>
      </w:r>
      <w:r w:rsidR="004659BC" w:rsidRPr="00EC326F">
        <w:t>pathways through the welfare system.</w:t>
      </w:r>
    </w:p>
    <w:p w14:paraId="46D5A4E1" w14:textId="77777777" w:rsidR="004659BC" w:rsidRPr="00EC326F" w:rsidRDefault="004659BC" w:rsidP="00021020">
      <w:pPr>
        <w:pStyle w:val="PwCNormal"/>
        <w:numPr>
          <w:ilvl w:val="0"/>
          <w:numId w:val="1"/>
        </w:numPr>
      </w:pPr>
      <w:r w:rsidRPr="00EC326F">
        <w:t>This information can be examined further for groups of people defined by age, gender, current payment or a range of other characteristics.</w:t>
      </w:r>
    </w:p>
    <w:p w14:paraId="0D2336BD" w14:textId="77777777" w:rsidR="00021020" w:rsidRPr="00EC326F" w:rsidRDefault="00021020" w:rsidP="00021020">
      <w:pPr>
        <w:pStyle w:val="PwCNormal"/>
        <w:numPr>
          <w:ilvl w:val="0"/>
          <w:numId w:val="1"/>
        </w:numPr>
      </w:pPr>
      <w:r w:rsidRPr="00EC326F">
        <w:t>The model can be used at a “system level” to consider the likely future welfare utilisation of the Australian population as it grows and the demographic profile shifts over the coming years. We know that the population is expected to both grow and age; by considering which people within the population are more likely to draw on supports from the welfare system we can see how the numbers of people seeking to access different payments may vary in future.</w:t>
      </w:r>
    </w:p>
    <w:p w14:paraId="1AF7B2D3" w14:textId="77777777" w:rsidR="00944D28" w:rsidRPr="002A0A1A" w:rsidRDefault="00944D28" w:rsidP="00944D28">
      <w:pPr>
        <w:pStyle w:val="PwCNormal"/>
        <w:numPr>
          <w:ilvl w:val="0"/>
          <w:numId w:val="0"/>
        </w:numPr>
      </w:pPr>
      <w:r w:rsidRPr="00EC326F">
        <w:t xml:space="preserve">The valuation also </w:t>
      </w:r>
      <w:r w:rsidR="004659BC" w:rsidRPr="00EC326F">
        <w:t>provides the ability to explore</w:t>
      </w:r>
      <w:r w:rsidRPr="00EC326F">
        <w:t xml:space="preserve"> the sensitivity of the model results to changes in the model assumptions, and the model has the facility to quantify the impact of other assumption changes reasonably readily.</w:t>
      </w:r>
      <w:r w:rsidR="004659BC" w:rsidRPr="00EC326F">
        <w:t xml:space="preserve"> This provides a platform through which different scenarios can be explored and their potential impact assessed over both the short and longer term. For example, the model could be used to explore the impact of different economic scenarios, changes in payment design (payment eligibility, amounts or indexation) or changes in fertility rates or the retirement age. </w:t>
      </w:r>
    </w:p>
    <w:p w14:paraId="2B940B0A" w14:textId="77777777" w:rsidR="00021020" w:rsidRPr="00EC326F" w:rsidRDefault="00021020" w:rsidP="00021020">
      <w:pPr>
        <w:pStyle w:val="Heading3"/>
      </w:pPr>
      <w:bookmarkStart w:id="126" w:name="_Toc493844221"/>
      <w:r w:rsidRPr="00EC326F">
        <w:t>Limitations of the actuarial model</w:t>
      </w:r>
      <w:bookmarkEnd w:id="126"/>
    </w:p>
    <w:p w14:paraId="697855EC" w14:textId="77777777" w:rsidR="00CF5085" w:rsidRPr="00EC326F" w:rsidRDefault="00021020" w:rsidP="00021020">
      <w:pPr>
        <w:pStyle w:val="PwCNormal"/>
        <w:numPr>
          <w:ilvl w:val="0"/>
          <w:numId w:val="0"/>
        </w:numPr>
      </w:pPr>
      <w:r w:rsidRPr="00EC326F">
        <w:t xml:space="preserve">As well as understanding what the model can do, it is important to bear in mind what the model is not intended to do. </w:t>
      </w:r>
    </w:p>
    <w:p w14:paraId="48853007" w14:textId="77777777" w:rsidR="00021020" w:rsidRPr="00EC326F" w:rsidRDefault="00021020" w:rsidP="00021020">
      <w:pPr>
        <w:pStyle w:val="PwCNormal"/>
        <w:numPr>
          <w:ilvl w:val="0"/>
          <w:numId w:val="0"/>
        </w:numPr>
      </w:pPr>
      <w:r w:rsidRPr="00EC326F">
        <w:t>Essentially, it is a tool for understanding the long term impact of decisions made today and in the future, at a fairly high “system” level, and for groups of interest. It is a dynamic model that projects a limited number of factors over a long time period, taking into account how the population will change over that time and considering uncertainty. This contrasts with static models that quantify, at a much more detailed or precise level, the “overnight” impact of decisions or changes on today’s population. The models can and should work in tandem.</w:t>
      </w:r>
    </w:p>
    <w:p w14:paraId="38904899" w14:textId="77777777" w:rsidR="00CF5085" w:rsidRPr="00EC326F" w:rsidRDefault="00CF5085" w:rsidP="00021020">
      <w:pPr>
        <w:pStyle w:val="PwCNormal"/>
        <w:numPr>
          <w:ilvl w:val="0"/>
          <w:numId w:val="0"/>
        </w:numPr>
      </w:pPr>
      <w:r w:rsidRPr="00EC326F">
        <w:t>T</w:t>
      </w:r>
      <w:r w:rsidR="00021020" w:rsidRPr="00EC326F">
        <w:t xml:space="preserve">he actuarial model, particularly at this stage of its development, is quite financially-focussed. An important aim of the investment approach, supporting the mission of the Department, is to positively impact the lifetime wellbeing of people and families in Australia, as well as reduce welfare costs. It will therefore be important, in using the actuarial model to develop interventions, to adopt a framework that considers not just “savings” generated by the model, but also costs and benefits that are beyond the scope of the model. </w:t>
      </w:r>
    </w:p>
    <w:p w14:paraId="123DD713" w14:textId="77777777" w:rsidR="00021020" w:rsidRPr="00EC326F" w:rsidRDefault="00021020" w:rsidP="00021020">
      <w:pPr>
        <w:pStyle w:val="PwCNormal"/>
        <w:numPr>
          <w:ilvl w:val="0"/>
          <w:numId w:val="0"/>
        </w:numPr>
      </w:pPr>
      <w:r w:rsidRPr="00EC326F">
        <w:t xml:space="preserve">In </w:t>
      </w:r>
      <w:r w:rsidR="00CF5085" w:rsidRPr="00EC326F">
        <w:t xml:space="preserve">identifying groups of interest and </w:t>
      </w:r>
      <w:r w:rsidRPr="00EC326F">
        <w:t>developing potential policy interventions</w:t>
      </w:r>
      <w:r w:rsidR="00CF5085" w:rsidRPr="00EC326F">
        <w:t>,</w:t>
      </w:r>
      <w:r w:rsidRPr="00EC326F">
        <w:t xml:space="preserve"> it will be important to consider</w:t>
      </w:r>
      <w:r w:rsidR="00CF5085" w:rsidRPr="00EC326F">
        <w:t xml:space="preserve"> the actuarial model results together with other sources of information, such as</w:t>
      </w:r>
      <w:r w:rsidRPr="00EC326F">
        <w:t>:</w:t>
      </w:r>
    </w:p>
    <w:p w14:paraId="69709DEF" w14:textId="77777777" w:rsidR="00021020" w:rsidRPr="00EC326F" w:rsidRDefault="00021020" w:rsidP="00021020">
      <w:pPr>
        <w:pStyle w:val="ListBullet"/>
      </w:pPr>
      <w:r w:rsidRPr="00EC326F">
        <w:t>Short term impacts over the budget forecast period, as determined by detailed “overnight” costing models.</w:t>
      </w:r>
    </w:p>
    <w:p w14:paraId="2067D635" w14:textId="77777777" w:rsidR="00021020" w:rsidRPr="00EC326F" w:rsidRDefault="00021020" w:rsidP="00021020">
      <w:pPr>
        <w:pStyle w:val="ListBullet"/>
      </w:pPr>
      <w:r w:rsidRPr="00EC326F">
        <w:t>Broader costs and benefits to other parts of the system, using more traditional economic approaches such as cost:benefit analysis.</w:t>
      </w:r>
    </w:p>
    <w:p w14:paraId="4A9176CF" w14:textId="77777777" w:rsidR="00021020" w:rsidRPr="00EC326F" w:rsidRDefault="00021020" w:rsidP="00021020">
      <w:pPr>
        <w:pStyle w:val="ListBullet"/>
      </w:pPr>
      <w:r w:rsidRPr="00EC326F">
        <w:t xml:space="preserve">Qualitative </w:t>
      </w:r>
      <w:r w:rsidR="00CF5085" w:rsidRPr="00EC326F">
        <w:t xml:space="preserve">expertise and research, such as evidence of </w:t>
      </w:r>
      <w:r w:rsidRPr="00EC326F">
        <w:t xml:space="preserve">impacts </w:t>
      </w:r>
      <w:r w:rsidR="00CF5085" w:rsidRPr="00EC326F">
        <w:t>of different policy options on</w:t>
      </w:r>
      <w:r w:rsidRPr="00EC326F">
        <w:t xml:space="preserve"> people’s lives and their lifetime wellbeing.</w:t>
      </w:r>
    </w:p>
    <w:p w14:paraId="4987CEF2" w14:textId="77777777" w:rsidR="003D1206" w:rsidRPr="00EC326F" w:rsidRDefault="003D1206" w:rsidP="003D1206">
      <w:pPr>
        <w:pStyle w:val="PwCNormal"/>
      </w:pPr>
    </w:p>
    <w:p w14:paraId="7A1AFB64" w14:textId="77777777" w:rsidR="003D1206" w:rsidRPr="00EC326F" w:rsidRDefault="003D1206" w:rsidP="003D1206">
      <w:pPr>
        <w:pStyle w:val="PwCNormal"/>
        <w:sectPr w:rsidR="003D1206" w:rsidRPr="00EC326F" w:rsidSect="00CC5ACB">
          <w:headerReference w:type="default" r:id="rId39"/>
          <w:pgSz w:w="11907" w:h="16840" w:code="9"/>
          <w:pgMar w:top="1588" w:right="1021" w:bottom="1418" w:left="1021" w:header="567" w:footer="567" w:gutter="0"/>
          <w:cols w:space="227"/>
          <w:docGrid w:linePitch="360"/>
        </w:sectPr>
      </w:pPr>
    </w:p>
    <w:p w14:paraId="782B3797" w14:textId="77777777" w:rsidR="00965B9B" w:rsidRPr="00EC326F" w:rsidRDefault="00965B9B" w:rsidP="00965B9B">
      <w:pPr>
        <w:pStyle w:val="Heading2"/>
      </w:pPr>
      <w:bookmarkStart w:id="127" w:name="_Toc493844222"/>
      <w:r w:rsidRPr="00EC326F">
        <w:lastRenderedPageBreak/>
        <w:t>Data and definitions</w:t>
      </w:r>
      <w:bookmarkEnd w:id="127"/>
    </w:p>
    <w:p w14:paraId="2D009D42" w14:textId="77777777" w:rsidR="00591FD8" w:rsidRPr="00EC326F" w:rsidRDefault="00350AF0" w:rsidP="00784B2F">
      <w:pPr>
        <w:pStyle w:val="Heading3"/>
      </w:pPr>
      <w:bookmarkStart w:id="128" w:name="_Ref466494121"/>
      <w:bookmarkStart w:id="129" w:name="_Ref466494253"/>
      <w:bookmarkStart w:id="130" w:name="_Toc493844223"/>
      <w:r w:rsidRPr="00EC326F">
        <w:t>Data</w:t>
      </w:r>
      <w:bookmarkEnd w:id="128"/>
      <w:bookmarkEnd w:id="129"/>
      <w:bookmarkEnd w:id="130"/>
      <w:r w:rsidRPr="00EC326F">
        <w:t xml:space="preserve"> </w:t>
      </w:r>
    </w:p>
    <w:p w14:paraId="0B9DBB21" w14:textId="77777777" w:rsidR="00350AF0" w:rsidRPr="00EC326F" w:rsidRDefault="00591FD8" w:rsidP="00591FD8">
      <w:pPr>
        <w:pStyle w:val="Heading4"/>
      </w:pPr>
      <w:r w:rsidRPr="00EC326F">
        <w:t xml:space="preserve">Data </w:t>
      </w:r>
      <w:r w:rsidR="00350AF0" w:rsidRPr="00EC326F">
        <w:t>provided by the Department</w:t>
      </w:r>
      <w:bookmarkEnd w:id="121"/>
      <w:bookmarkEnd w:id="122"/>
      <w:bookmarkEnd w:id="123"/>
    </w:p>
    <w:p w14:paraId="3D20A5C6" w14:textId="77777777" w:rsidR="00350AF0" w:rsidRPr="00EC326F" w:rsidRDefault="00350AF0" w:rsidP="00E2563E">
      <w:pPr>
        <w:pStyle w:val="PwCNormal-keepwithnext"/>
      </w:pPr>
      <w:r w:rsidRPr="00EC326F">
        <w:t>The Investment Approach Taskforce has d</w:t>
      </w:r>
      <w:r w:rsidR="00DE1EFA" w:rsidRPr="00EC326F">
        <w:t xml:space="preserve">eveloped a longitudinal data </w:t>
      </w:r>
      <w:r w:rsidR="00965504" w:rsidRPr="00EC326F">
        <w:t xml:space="preserve">suite </w:t>
      </w:r>
      <w:r w:rsidRPr="00EC326F">
        <w:t>to support its work. Th</w:t>
      </w:r>
      <w:r w:rsidR="008C7E39" w:rsidRPr="00EC326F">
        <w:t>is</w:t>
      </w:r>
      <w:r w:rsidRPr="00EC326F">
        <w:t xml:space="preserve"> has been developed from administrative data extracted by the Taskforce from the Department of Human Services. It consists of a large series of datasets which contain the information required for the analysis.</w:t>
      </w:r>
    </w:p>
    <w:p w14:paraId="28846D08" w14:textId="77777777" w:rsidR="00740CFF" w:rsidRPr="00EC326F" w:rsidRDefault="00350AF0" w:rsidP="005F5E23">
      <w:pPr>
        <w:pStyle w:val="PwCNormal"/>
        <w:numPr>
          <w:ilvl w:val="0"/>
          <w:numId w:val="0"/>
        </w:numPr>
      </w:pPr>
      <w:r w:rsidRPr="00EC326F">
        <w:t xml:space="preserve">The data extracted </w:t>
      </w:r>
      <w:r w:rsidR="004C4A86" w:rsidRPr="00EC326F">
        <w:t xml:space="preserve">includes entitlements data for regular payments, one-time payments and family tax benefit and characteristics data for a large number of different person characteristics. It </w:t>
      </w:r>
      <w:r w:rsidRPr="00EC326F">
        <w:t>covers the 1</w:t>
      </w:r>
      <w:r w:rsidR="000F233E" w:rsidRPr="00EC326F">
        <w:t>5</w:t>
      </w:r>
      <w:r w:rsidRPr="00EC326F">
        <w:t xml:space="preserve"> financial years from 2001/02 to 201</w:t>
      </w:r>
      <w:r w:rsidR="004C4A86" w:rsidRPr="00EC326F">
        <w:t>5</w:t>
      </w:r>
      <w:r w:rsidRPr="00EC326F">
        <w:t>/1</w:t>
      </w:r>
      <w:r w:rsidR="004C4A86" w:rsidRPr="00EC326F">
        <w:t>6</w:t>
      </w:r>
      <w:r w:rsidRPr="00EC326F">
        <w:t xml:space="preserve">. We have not used earlier time periods as we have been advised by the Department that the information that is currently included in </w:t>
      </w:r>
      <w:r w:rsidR="00965504" w:rsidRPr="00EC326F">
        <w:t xml:space="preserve">the longitudinal data suite </w:t>
      </w:r>
      <w:r w:rsidRPr="00EC326F">
        <w:t xml:space="preserve">for earlier time periods is of limited completeness and quality. </w:t>
      </w:r>
    </w:p>
    <w:p w14:paraId="7B57860C" w14:textId="77777777" w:rsidR="00BD22AF" w:rsidRPr="00EC326F" w:rsidRDefault="00BD22AF" w:rsidP="005F5E23">
      <w:pPr>
        <w:pStyle w:val="PwCNormal"/>
        <w:numPr>
          <w:ilvl w:val="0"/>
          <w:numId w:val="0"/>
        </w:numPr>
        <w:rPr>
          <w:rFonts w:ascii="Helv" w:hAnsi="Helv" w:cs="Helv"/>
          <w:snapToGrid/>
          <w:color w:val="4F4F4F"/>
          <w:lang w:eastAsia="en-AU"/>
        </w:rPr>
      </w:pPr>
      <w:r w:rsidRPr="00EC326F">
        <w:rPr>
          <w:rFonts w:ascii="Helv" w:hAnsi="Helv" w:cs="Helv"/>
          <w:snapToGrid/>
          <w:color w:val="4F4F4F"/>
          <w:lang w:eastAsia="en-AU"/>
        </w:rPr>
        <w:t>The extracted data represents a selection of the data available in the Department of Human Services’ Enterprise Data Warehouse. The selected data includes detailed historic entitlement information as well as higher priority historic demographic information. Moving forward, the Department and PwC are identifying areas to enhance the modelling dataset. As more questions are asked of the model, and as the sophistication of the questions asked also increases, the analysis of more detailed historic data is likely to be required. The data extraction and inclusion process will be one of continuous improvement.</w:t>
      </w:r>
    </w:p>
    <w:p w14:paraId="67BE78C3" w14:textId="77777777" w:rsidR="005857F3" w:rsidRPr="00EC326F" w:rsidRDefault="005857F3" w:rsidP="005F5E23">
      <w:pPr>
        <w:pStyle w:val="PwCNormal"/>
        <w:numPr>
          <w:ilvl w:val="0"/>
          <w:numId w:val="0"/>
        </w:numPr>
      </w:pPr>
      <w:r w:rsidRPr="00EC326F">
        <w:rPr>
          <w:rFonts w:ascii="Helv" w:hAnsi="Helv" w:cs="Helv"/>
          <w:snapToGrid/>
          <w:color w:val="4F4F4F"/>
          <w:lang w:eastAsia="en-AU"/>
        </w:rPr>
        <w:t xml:space="preserve">Further information on the source data and its preparation for use in the valuation is provided in </w:t>
      </w:r>
      <w:r w:rsidRPr="00EC326F">
        <w:rPr>
          <w:rFonts w:ascii="Helv" w:hAnsi="Helv" w:cs="Helv"/>
          <w:snapToGrid/>
          <w:color w:val="4F4F4F"/>
          <w:lang w:eastAsia="en-AU"/>
        </w:rPr>
        <w:fldChar w:fldCharType="begin"/>
      </w:r>
      <w:r w:rsidRPr="00EC326F">
        <w:rPr>
          <w:rFonts w:ascii="Helv" w:hAnsi="Helv" w:cs="Helv"/>
          <w:snapToGrid/>
          <w:color w:val="4F4F4F"/>
          <w:lang w:eastAsia="en-AU"/>
        </w:rPr>
        <w:instrText xml:space="preserve"> REF _Ref464480642 \n \h </w:instrText>
      </w:r>
      <w:r w:rsidRPr="00EC326F">
        <w:rPr>
          <w:rFonts w:ascii="Helv" w:hAnsi="Helv" w:cs="Helv"/>
          <w:snapToGrid/>
          <w:color w:val="4F4F4F"/>
          <w:lang w:eastAsia="en-AU"/>
        </w:rPr>
      </w:r>
      <w:r w:rsidRPr="00EC326F">
        <w:rPr>
          <w:rFonts w:ascii="Helv" w:hAnsi="Helv" w:cs="Helv"/>
          <w:snapToGrid/>
          <w:color w:val="4F4F4F"/>
          <w:lang w:eastAsia="en-AU"/>
        </w:rPr>
        <w:fldChar w:fldCharType="separate"/>
      </w:r>
      <w:r w:rsidR="007A42DF">
        <w:rPr>
          <w:rFonts w:ascii="Helv" w:hAnsi="Helv" w:cs="Helv"/>
          <w:snapToGrid/>
          <w:color w:val="4F4F4F"/>
          <w:lang w:eastAsia="en-AU"/>
        </w:rPr>
        <w:t>Appendix B</w:t>
      </w:r>
      <w:r w:rsidRPr="00EC326F">
        <w:rPr>
          <w:rFonts w:ascii="Helv" w:hAnsi="Helv" w:cs="Helv"/>
          <w:snapToGrid/>
          <w:color w:val="4F4F4F"/>
          <w:lang w:eastAsia="en-AU"/>
        </w:rPr>
        <w:fldChar w:fldCharType="end"/>
      </w:r>
      <w:r w:rsidRPr="00EC326F">
        <w:rPr>
          <w:rFonts w:ascii="Helv" w:hAnsi="Helv" w:cs="Helv"/>
          <w:snapToGrid/>
          <w:color w:val="4F4F4F"/>
          <w:lang w:eastAsia="en-AU"/>
        </w:rPr>
        <w:t>.</w:t>
      </w:r>
    </w:p>
    <w:p w14:paraId="112BBB2B" w14:textId="77777777" w:rsidR="00B235F7" w:rsidRPr="00EC326F" w:rsidRDefault="00B235F7" w:rsidP="00591FD8">
      <w:pPr>
        <w:pStyle w:val="Heading4"/>
      </w:pPr>
      <w:bookmarkStart w:id="131" w:name="_Toc455499344"/>
      <w:bookmarkStart w:id="132" w:name="_Toc455502365"/>
      <w:bookmarkStart w:id="133" w:name="_Toc455503897"/>
      <w:r w:rsidRPr="00EC326F">
        <w:t>Maturity of data</w:t>
      </w:r>
      <w:bookmarkEnd w:id="131"/>
      <w:bookmarkEnd w:id="132"/>
      <w:bookmarkEnd w:id="133"/>
    </w:p>
    <w:p w14:paraId="55B80A6E" w14:textId="77777777" w:rsidR="003C3C52" w:rsidRDefault="00B235F7" w:rsidP="003C3C52">
      <w:pPr>
        <w:pStyle w:val="PwCNormal"/>
        <w:numPr>
          <w:ilvl w:val="0"/>
          <w:numId w:val="0"/>
        </w:numPr>
      </w:pPr>
      <w:r w:rsidRPr="00EC326F">
        <w:t>The data was extracted with an ‘as at’ date (the date at which data is cut-off) of 30 June 201</w:t>
      </w:r>
      <w:r w:rsidR="00B5416B" w:rsidRPr="00EC326F">
        <w:t>6</w:t>
      </w:r>
      <w:r w:rsidRPr="00EC326F">
        <w:t xml:space="preserve"> (aligning to the valuation date) and an ‘as known as’ date (the date to which information known is recorded) of 30 June 201</w:t>
      </w:r>
      <w:r w:rsidR="00E10296" w:rsidRPr="00EC326F">
        <w:t>6</w:t>
      </w:r>
      <w:r w:rsidRPr="00EC326F">
        <w:t>.</w:t>
      </w:r>
      <w:r w:rsidR="003C3C52">
        <w:t xml:space="preserve"> </w:t>
      </w:r>
    </w:p>
    <w:p w14:paraId="10750571" w14:textId="77777777" w:rsidR="00E10296" w:rsidRPr="00EC326F" w:rsidRDefault="003C3C52" w:rsidP="00B235F7">
      <w:pPr>
        <w:pStyle w:val="PwCNormal"/>
        <w:numPr>
          <w:ilvl w:val="0"/>
          <w:numId w:val="0"/>
        </w:numPr>
      </w:pPr>
      <w:r w:rsidRPr="00EC326F">
        <w:t>The ‘as known as’ date of 30 June 2016 was selected after consideration of the Department’s requirements for timely results and consideration of the patterns of future changes to the data beyond the date chosen which indicate that a three month lag would be needed to resolve the most major impacts.</w:t>
      </w:r>
      <w:r>
        <w:t xml:space="preserve"> </w:t>
      </w:r>
      <w:r w:rsidR="00B235F7" w:rsidRPr="00EC326F">
        <w:t>The selection of 30 June 201</w:t>
      </w:r>
      <w:r w:rsidR="00E10296" w:rsidRPr="00EC326F">
        <w:t>6</w:t>
      </w:r>
      <w:r w:rsidR="00B235F7" w:rsidRPr="00EC326F">
        <w:t xml:space="preserve"> as the ‘as known as’ date gives rise to the possibility of new information being received after this point in time which changes the data and</w:t>
      </w:r>
      <w:r w:rsidR="00956ECC" w:rsidRPr="00EC326F">
        <w:t>,</w:t>
      </w:r>
      <w:r w:rsidR="00B235F7" w:rsidRPr="00EC326F">
        <w:t xml:space="preserve"> in particular</w:t>
      </w:r>
      <w:r w:rsidR="00956ECC" w:rsidRPr="00EC326F">
        <w:t>,</w:t>
      </w:r>
      <w:r w:rsidR="00B235F7" w:rsidRPr="00EC326F">
        <w:t xml:space="preserve"> that for the most recent financial year. </w:t>
      </w:r>
    </w:p>
    <w:p w14:paraId="745E6D9B" w14:textId="77777777" w:rsidR="00B235F7" w:rsidRPr="00EC326F" w:rsidRDefault="00E10296" w:rsidP="00E10296">
      <w:pPr>
        <w:pStyle w:val="PwCNormal"/>
        <w:numPr>
          <w:ilvl w:val="0"/>
          <w:numId w:val="0"/>
        </w:numPr>
      </w:pPr>
      <w:r w:rsidRPr="00EC326F">
        <w:t xml:space="preserve">During the course of the baseline valuation and in considering previous studies on data maturity undertaken by the Department, we noted </w:t>
      </w:r>
      <w:r w:rsidR="00956ECC" w:rsidRPr="00EC326F">
        <w:t>significant</w:t>
      </w:r>
      <w:r w:rsidR="00B235F7" w:rsidRPr="00EC326F">
        <w:t xml:space="preserve"> maturity issues for </w:t>
      </w:r>
      <w:r w:rsidR="00706A36" w:rsidRPr="00EC326F">
        <w:t>Family Tax benefits</w:t>
      </w:r>
      <w:r w:rsidR="008C7E39" w:rsidRPr="00EC326F">
        <w:t>, child care benefit</w:t>
      </w:r>
      <w:r w:rsidR="00706A36" w:rsidRPr="00EC326F">
        <w:t xml:space="preserve"> and child care </w:t>
      </w:r>
      <w:r w:rsidR="008C7E39" w:rsidRPr="00EC326F">
        <w:t>rebate</w:t>
      </w:r>
      <w:r w:rsidR="00706A36" w:rsidRPr="00EC326F">
        <w:t xml:space="preserve"> as people’s entitlements for all these payment types are updated as new claims are made and information for existing claimants updated as people submit their tax returns.</w:t>
      </w:r>
      <w:r w:rsidRPr="00EC326F">
        <w:t xml:space="preserve"> </w:t>
      </w:r>
      <w:r w:rsidR="00706A36" w:rsidRPr="00EC326F">
        <w:t>It would be necessary to wait until the end of September or later to obtain materially more complete data for these payment categories.</w:t>
      </w:r>
    </w:p>
    <w:p w14:paraId="659FBDEE" w14:textId="77777777" w:rsidR="00A46CE2" w:rsidRPr="00EC326F" w:rsidRDefault="00706A36" w:rsidP="00B235F7">
      <w:pPr>
        <w:pStyle w:val="PwCNormal"/>
        <w:numPr>
          <w:ilvl w:val="0"/>
          <w:numId w:val="0"/>
        </w:numPr>
      </w:pPr>
      <w:r w:rsidRPr="00EC326F">
        <w:t xml:space="preserve">There is also the potential for more minor immaturity issues in other payment types as a result of </w:t>
      </w:r>
      <w:r w:rsidR="009B48F0" w:rsidRPr="00EC326F">
        <w:t xml:space="preserve">a number of factors, including: </w:t>
      </w:r>
      <w:r w:rsidRPr="00EC326F">
        <w:t>people making applications for payments which then take time to be approve</w:t>
      </w:r>
      <w:r w:rsidR="005E111E" w:rsidRPr="00EC326F">
        <w:t>d</w:t>
      </w:r>
      <w:r w:rsidRPr="00EC326F">
        <w:t xml:space="preserve"> and the payments subsequently </w:t>
      </w:r>
      <w:r w:rsidR="009B48F0" w:rsidRPr="00EC326F">
        <w:t xml:space="preserve">being </w:t>
      </w:r>
      <w:r w:rsidRPr="00EC326F">
        <w:t>backdated</w:t>
      </w:r>
      <w:r w:rsidR="009B48F0" w:rsidRPr="00EC326F">
        <w:t>; time taken to adjust partial payments as people provide information on their income; changes as people have payments suspended or reinstated; and late reporting of deaths</w:t>
      </w:r>
      <w:r w:rsidR="00A46CE2">
        <w:t xml:space="preserve">. The Departmental analyses suggest </w:t>
      </w:r>
      <w:r w:rsidR="003C3C52">
        <w:t xml:space="preserve">these </w:t>
      </w:r>
      <w:r w:rsidR="00A46CE2">
        <w:t>factors result in the numbers of people receiving each income support payment to vary by 1-2% between those immediately being observed as receiving payments for any fortnight and a retrospective view of this. These data changes occur gradually over a number of months. When considered over a full financial year rather than for a single fortnightly payment period, we observed a net change in the numbers of people receiving income support payment types (in the 2014/15 year) to be between 0.4% and 1.8%. The most significant contributors to this difference was new entries to the system and people re-entering. Income support payments were only slightly affected by maturity, with reductions in payment amounts of 0.1% to 1.1%.</w:t>
      </w:r>
    </w:p>
    <w:p w14:paraId="3C463F95" w14:textId="77777777" w:rsidR="000C17D9" w:rsidRPr="00EC326F" w:rsidRDefault="00956ECC" w:rsidP="00350AF0">
      <w:pPr>
        <w:pStyle w:val="PwCNormal"/>
        <w:numPr>
          <w:ilvl w:val="0"/>
          <w:numId w:val="0"/>
        </w:numPr>
      </w:pPr>
      <w:r w:rsidRPr="00EC326F">
        <w:t xml:space="preserve">At the current </w:t>
      </w:r>
      <w:r w:rsidRPr="003515A2">
        <w:t>and previous</w:t>
      </w:r>
      <w:r w:rsidR="00E10296" w:rsidRPr="003515A2">
        <w:t xml:space="preserve"> valuation, t</w:t>
      </w:r>
      <w:r w:rsidR="00E91F2C" w:rsidRPr="003515A2">
        <w:t xml:space="preserve">he maturity issues </w:t>
      </w:r>
      <w:r w:rsidRPr="003515A2">
        <w:t xml:space="preserve">have been </w:t>
      </w:r>
      <w:r w:rsidR="00E91F2C" w:rsidRPr="003515A2">
        <w:t xml:space="preserve">managed through development of modelling classes which recognise the delay in receipt of information for Family Tax benefits and child care benefits (see section </w:t>
      </w:r>
      <w:r w:rsidR="00E91F2C" w:rsidRPr="003515A2">
        <w:fldChar w:fldCharType="begin"/>
      </w:r>
      <w:r w:rsidR="00E91F2C" w:rsidRPr="003515A2">
        <w:instrText xml:space="preserve"> REF _Ref437372987 \r \h </w:instrText>
      </w:r>
      <w:r w:rsidR="00482046" w:rsidRPr="003515A2">
        <w:instrText xml:space="preserve"> \* MERGEFORMAT </w:instrText>
      </w:r>
      <w:r w:rsidR="00E91F2C" w:rsidRPr="003515A2">
        <w:fldChar w:fldCharType="separate"/>
      </w:r>
      <w:r w:rsidR="007A42DF">
        <w:t>3.4</w:t>
      </w:r>
      <w:r w:rsidR="00E91F2C" w:rsidRPr="003515A2">
        <w:fldChar w:fldCharType="end"/>
      </w:r>
      <w:r w:rsidR="00E91F2C" w:rsidRPr="003515A2">
        <w:t>)</w:t>
      </w:r>
      <w:r w:rsidRPr="00EC326F">
        <w:t xml:space="preserve"> and</w:t>
      </w:r>
      <w:r w:rsidR="00E91F2C" w:rsidRPr="00EC326F">
        <w:t xml:space="preserve"> through the careful selection of the time periods over which the experience has been analysed in developing assumptions</w:t>
      </w:r>
      <w:r w:rsidRPr="00EC326F">
        <w:t xml:space="preserve">. In the baseline valuation, </w:t>
      </w:r>
      <w:r w:rsidR="008C7E39" w:rsidRPr="00EC326F">
        <w:t xml:space="preserve">some adjustments </w:t>
      </w:r>
      <w:r w:rsidRPr="00EC326F">
        <w:t xml:space="preserve">were made </w:t>
      </w:r>
      <w:r w:rsidR="008C7E39" w:rsidRPr="00EC326F">
        <w:t xml:space="preserve">to the population data </w:t>
      </w:r>
      <w:r w:rsidRPr="00EC326F">
        <w:t xml:space="preserve">to </w:t>
      </w:r>
      <w:r w:rsidR="008C7E39" w:rsidRPr="00EC326F">
        <w:t>reflect the undercount of FTB and child care in the 2014/15 records</w:t>
      </w:r>
      <w:r w:rsidR="00E91F2C" w:rsidRPr="00EC326F">
        <w:t>.</w:t>
      </w:r>
      <w:r w:rsidR="00E10296" w:rsidRPr="00EC326F">
        <w:t xml:space="preserve"> At the current valuation, we have improved on this approach by undertaking a detailed data maturity analysis to identify areas of the valuation data requiring a maturity adjustment.</w:t>
      </w:r>
      <w:r w:rsidRPr="00EC326F">
        <w:t xml:space="preserve"> The analysis involved a comparison of the valuation data used </w:t>
      </w:r>
      <w:r w:rsidRPr="00EC326F">
        <w:lastRenderedPageBreak/>
        <w:t>for the 30</w:t>
      </w:r>
      <w:r w:rsidR="000A6C7B" w:rsidRPr="00EC326F">
        <w:t> </w:t>
      </w:r>
      <w:r w:rsidRPr="00EC326F">
        <w:t>June</w:t>
      </w:r>
      <w:r w:rsidR="000A6C7B" w:rsidRPr="00EC326F">
        <w:t> </w:t>
      </w:r>
      <w:r w:rsidRPr="00EC326F">
        <w:t>2015 valuation (which had an as known as date of 30</w:t>
      </w:r>
      <w:r w:rsidR="000A6C7B" w:rsidRPr="00EC326F">
        <w:t> </w:t>
      </w:r>
      <w:r w:rsidRPr="00EC326F">
        <w:t>June</w:t>
      </w:r>
      <w:r w:rsidR="000A6C7B" w:rsidRPr="00EC326F">
        <w:t> </w:t>
      </w:r>
      <w:r w:rsidRPr="00EC326F">
        <w:t xml:space="preserve">2015) </w:t>
      </w:r>
      <w:r w:rsidR="00A24223" w:rsidRPr="00EC326F">
        <w:t>t</w:t>
      </w:r>
      <w:r w:rsidRPr="00EC326F">
        <w:t>o data with the same 30</w:t>
      </w:r>
      <w:r w:rsidR="000A6C7B" w:rsidRPr="00EC326F">
        <w:t> </w:t>
      </w:r>
      <w:r w:rsidRPr="00EC326F">
        <w:t>June</w:t>
      </w:r>
      <w:r w:rsidR="000A6C7B" w:rsidRPr="00EC326F">
        <w:t> </w:t>
      </w:r>
      <w:r w:rsidRPr="00EC326F">
        <w:t xml:space="preserve">2015 cut-off but with an as known as date of </w:t>
      </w:r>
      <w:r w:rsidR="00C332E3" w:rsidRPr="00EC326F">
        <w:t>31 March 2016</w:t>
      </w:r>
      <w:r w:rsidR="000C17D9" w:rsidRPr="00EC326F">
        <w:t>.</w:t>
      </w:r>
    </w:p>
    <w:p w14:paraId="6E021516" w14:textId="77777777" w:rsidR="000C17D9" w:rsidRPr="00EC326F" w:rsidRDefault="000C17D9" w:rsidP="00350AF0">
      <w:pPr>
        <w:pStyle w:val="PwCNormal"/>
        <w:numPr>
          <w:ilvl w:val="0"/>
          <w:numId w:val="0"/>
        </w:numPr>
      </w:pPr>
      <w:r w:rsidRPr="00EC326F">
        <w:t>We note that some degree of data development is expected as the data matures and that any adjustments will only be an approximation of the actual development and will themselves need to be based on assumptions drawn from past development patterns. We note also that making data adjustments adds to the complexity of the overall model and modelling process. For these reasons, adjustments were only made where they were expected to have a material impact on the valuation results (at an overall or c</w:t>
      </w:r>
      <w:r w:rsidR="00CA5E6A" w:rsidRPr="00EC326F">
        <w:t>l</w:t>
      </w:r>
      <w:r w:rsidRPr="00EC326F">
        <w:t>ass l</w:t>
      </w:r>
      <w:r w:rsidR="00CA5E6A" w:rsidRPr="00EC326F">
        <w:t>e</w:t>
      </w:r>
      <w:r w:rsidRPr="00EC326F">
        <w:t>vel) or to improve the robustness of the overall modelling process.</w:t>
      </w:r>
      <w:r w:rsidR="00CA5E6A" w:rsidRPr="00EC326F">
        <w:t xml:space="preserve"> </w:t>
      </w:r>
    </w:p>
    <w:p w14:paraId="60EFE4A7" w14:textId="77777777" w:rsidR="004D5AD7" w:rsidRPr="00EC326F" w:rsidRDefault="000C17D9" w:rsidP="00CA5E6A">
      <w:pPr>
        <w:pStyle w:val="PwCNormal"/>
        <w:numPr>
          <w:ilvl w:val="0"/>
          <w:numId w:val="0"/>
        </w:numPr>
      </w:pPr>
      <w:r w:rsidRPr="00EC326F">
        <w:t>At this valuation,</w:t>
      </w:r>
      <w:r w:rsidR="00CA5E6A" w:rsidRPr="00EC326F">
        <w:t xml:space="preserve"> adjustments were made to the valuation data to allow for additional utilisation of payment categories H, I and J and to allow for </w:t>
      </w:r>
      <w:r w:rsidR="00B56EAB" w:rsidRPr="00EC326F">
        <w:t xml:space="preserve">the undercount of </w:t>
      </w:r>
      <w:r w:rsidR="00CA5E6A" w:rsidRPr="00EC326F">
        <w:t xml:space="preserve">children. Adjustments were also made to the </w:t>
      </w:r>
      <w:r w:rsidR="00B56EAB" w:rsidRPr="00EC326F">
        <w:t xml:space="preserve">number of </w:t>
      </w:r>
      <w:r w:rsidR="00CA5E6A" w:rsidRPr="00EC326F">
        <w:t xml:space="preserve">entrants and re-entrants </w:t>
      </w:r>
      <w:r w:rsidR="00B56EAB" w:rsidRPr="00EC326F">
        <w:t xml:space="preserve">projected </w:t>
      </w:r>
      <w:r w:rsidR="00CA5E6A" w:rsidRPr="00EC326F">
        <w:t>in the first projection year to allow for movements from classes 10 and 12 into active welfare classes.</w:t>
      </w:r>
    </w:p>
    <w:p w14:paraId="6E23B7A7" w14:textId="77777777" w:rsidR="00332404" w:rsidRPr="00EC326F" w:rsidRDefault="00332404" w:rsidP="00332404">
      <w:pPr>
        <w:pStyle w:val="Heading4"/>
      </w:pPr>
      <w:bookmarkStart w:id="134" w:name="_Toc437456596"/>
      <w:bookmarkStart w:id="135" w:name="_Toc455499346"/>
      <w:bookmarkStart w:id="136" w:name="_Toc455502367"/>
      <w:r w:rsidRPr="00EC326F">
        <w:t>Other data sources</w:t>
      </w:r>
      <w:bookmarkEnd w:id="134"/>
      <w:bookmarkEnd w:id="135"/>
      <w:bookmarkEnd w:id="136"/>
    </w:p>
    <w:p w14:paraId="6B496B77" w14:textId="77777777" w:rsidR="00332404" w:rsidRPr="00EC326F" w:rsidRDefault="00332404" w:rsidP="00332404">
      <w:pPr>
        <w:pStyle w:val="Minorheading"/>
      </w:pPr>
      <w:bookmarkStart w:id="137" w:name="_Toc455499347"/>
      <w:bookmarkStart w:id="138" w:name="_Toc455502368"/>
      <w:bookmarkStart w:id="139" w:name="_Toc455503900"/>
      <w:r w:rsidRPr="00EC326F">
        <w:t>ABS Data</w:t>
      </w:r>
      <w:bookmarkEnd w:id="137"/>
      <w:bookmarkEnd w:id="138"/>
      <w:bookmarkEnd w:id="139"/>
    </w:p>
    <w:p w14:paraId="7AACA059" w14:textId="77777777" w:rsidR="00332404" w:rsidRPr="00EC326F" w:rsidRDefault="00332404" w:rsidP="00332404">
      <w:pPr>
        <w:pStyle w:val="PwCNormal"/>
      </w:pPr>
      <w:r w:rsidRPr="00EC326F">
        <w:t>We have used data from the 1% Confidentialised Unit Record File (CURF) from the 2011 Census</w:t>
      </w:r>
      <w:r w:rsidRPr="00EC326F">
        <w:rPr>
          <w:rStyle w:val="FootnoteReference"/>
        </w:rPr>
        <w:footnoteReference w:id="2"/>
      </w:r>
      <w:r w:rsidRPr="00EC326F">
        <w:t xml:space="preserve"> in developing the population dataset. The CURF contains information about individuals, dwellings and families and these can be linked. We have used all these information sources.</w:t>
      </w:r>
    </w:p>
    <w:p w14:paraId="4B907ABB" w14:textId="77777777" w:rsidR="00332404" w:rsidRPr="00EC326F" w:rsidRDefault="00332404" w:rsidP="00332404">
      <w:pPr>
        <w:pStyle w:val="PwCNormal"/>
      </w:pPr>
      <w:r w:rsidRPr="00EC326F">
        <w:t>We have drawn on a number of other Census summaries extracted using TableBuilder</w:t>
      </w:r>
      <w:r w:rsidRPr="00EC326F">
        <w:rPr>
          <w:rStyle w:val="FootnoteReference"/>
        </w:rPr>
        <w:footnoteReference w:id="3"/>
      </w:r>
      <w:r w:rsidRPr="00EC326F">
        <w:t>, a tool developed by the ABS for providing Census information.</w:t>
      </w:r>
      <w:r w:rsidR="00532267">
        <w:t xml:space="preserve"> We also made use of information published by the ABS on the estimated resident population </w:t>
      </w:r>
      <w:r w:rsidR="00402830">
        <w:t>for Australia</w:t>
      </w:r>
      <w:r w:rsidR="00532267">
        <w:t>.</w:t>
      </w:r>
    </w:p>
    <w:p w14:paraId="00C13047" w14:textId="77777777" w:rsidR="00332404" w:rsidRPr="00EC326F" w:rsidRDefault="00332404" w:rsidP="00332404">
      <w:pPr>
        <w:pStyle w:val="Minorheading"/>
      </w:pPr>
      <w:bookmarkStart w:id="140" w:name="_Toc455499348"/>
      <w:bookmarkStart w:id="141" w:name="_Toc455502369"/>
      <w:bookmarkStart w:id="142" w:name="_Toc455503901"/>
      <w:r w:rsidRPr="00EC326F">
        <w:t>HILDA Survey Data</w:t>
      </w:r>
      <w:bookmarkEnd w:id="140"/>
      <w:bookmarkEnd w:id="141"/>
      <w:bookmarkEnd w:id="142"/>
    </w:p>
    <w:p w14:paraId="0E65CD31" w14:textId="77777777" w:rsidR="00332404" w:rsidRPr="00EC326F" w:rsidRDefault="00332404" w:rsidP="00332404">
      <w:pPr>
        <w:pStyle w:val="PwCNormal"/>
        <w:numPr>
          <w:ilvl w:val="0"/>
          <w:numId w:val="0"/>
        </w:numPr>
      </w:pPr>
      <w:r w:rsidRPr="00EC326F">
        <w:t>The Household, Income and Labour Dynamics in Australia (HILDA) Survey is a household-based panel study which began in 2001 and is managed by the University of Melbourne. It collects information about economic and subjective well-being, labour market dynamics and family dynamics. Information is collected annually through interviews with all adult members of each household. The survey covered around 7,500 households and 14,000 individuals in wave 1 with around 5,000 additional people being included in wave 11.</w:t>
      </w:r>
    </w:p>
    <w:p w14:paraId="727D8985" w14:textId="77777777" w:rsidR="00332404" w:rsidRPr="00EC326F" w:rsidRDefault="00332404" w:rsidP="00332404">
      <w:pPr>
        <w:pStyle w:val="PwCNormal"/>
        <w:numPr>
          <w:ilvl w:val="0"/>
          <w:numId w:val="0"/>
        </w:numPr>
      </w:pPr>
      <w:r w:rsidRPr="00EC326F">
        <w:t>We have used the HILDA survey in developing the demographic assumptions described later in the report.</w:t>
      </w:r>
    </w:p>
    <w:p w14:paraId="5511ABEA" w14:textId="77777777" w:rsidR="00332404" w:rsidRPr="00EC326F" w:rsidRDefault="00332404" w:rsidP="00332404">
      <w:pPr>
        <w:pStyle w:val="Minorheading"/>
      </w:pPr>
      <w:bookmarkStart w:id="143" w:name="_Toc455499349"/>
      <w:bookmarkStart w:id="144" w:name="_Toc455502370"/>
      <w:bookmarkStart w:id="145" w:name="_Toc455503902"/>
      <w:r w:rsidRPr="00EC326F">
        <w:t>Life tables</w:t>
      </w:r>
      <w:bookmarkEnd w:id="143"/>
      <w:bookmarkEnd w:id="144"/>
      <w:bookmarkEnd w:id="145"/>
    </w:p>
    <w:p w14:paraId="21FD0428" w14:textId="77777777" w:rsidR="00332404" w:rsidRPr="00EC326F" w:rsidRDefault="00332404" w:rsidP="00332404">
      <w:pPr>
        <w:pStyle w:val="PwCNormal"/>
        <w:numPr>
          <w:ilvl w:val="0"/>
          <w:numId w:val="0"/>
        </w:numPr>
      </w:pPr>
      <w:r w:rsidRPr="00EC326F">
        <w:t>We have referenced the Australian Life Tables 2010-12</w:t>
      </w:r>
      <w:r w:rsidRPr="00EC326F">
        <w:rPr>
          <w:rStyle w:val="FootnoteReference"/>
        </w:rPr>
        <w:footnoteReference w:id="4"/>
      </w:r>
      <w:r w:rsidRPr="00EC326F">
        <w:t xml:space="preserve"> in developing the mortality assumptions used in the valuation model. These life tables are based on the mortality of male and female Australians over the three calendar years centred on the 2011 Census of Population and Housing (the Census). These life tables are developed by the Australian Government Actuary.</w:t>
      </w:r>
    </w:p>
    <w:p w14:paraId="02952556" w14:textId="77777777" w:rsidR="00332404" w:rsidRPr="00EC326F" w:rsidRDefault="00332404" w:rsidP="00332404">
      <w:pPr>
        <w:pStyle w:val="Minorheading"/>
      </w:pPr>
      <w:bookmarkStart w:id="146" w:name="_Toc455499350"/>
      <w:bookmarkStart w:id="147" w:name="_Toc455502371"/>
      <w:bookmarkStart w:id="148" w:name="_Toc455503903"/>
      <w:r w:rsidRPr="00EC326F">
        <w:t>Other information sources</w:t>
      </w:r>
      <w:bookmarkEnd w:id="146"/>
      <w:bookmarkEnd w:id="147"/>
      <w:bookmarkEnd w:id="148"/>
    </w:p>
    <w:p w14:paraId="2EC60D90" w14:textId="77777777" w:rsidR="00332404" w:rsidRPr="00EC326F" w:rsidRDefault="00332404" w:rsidP="00332404">
      <w:pPr>
        <w:pStyle w:val="PwCNormal"/>
      </w:pPr>
      <w:r w:rsidRPr="00EC326F">
        <w:t>We have also used a number of other sources of information in developing our model and the assumptions. These are discussed in the relevant sections of this report and include economic data and forecasts, population projections and details of the welfare system and payment design, the eligibility criteria and indexation rates applying.</w:t>
      </w:r>
    </w:p>
    <w:p w14:paraId="7F03256D" w14:textId="77777777" w:rsidR="00350AF0" w:rsidRPr="00EC326F" w:rsidRDefault="00350AF0" w:rsidP="005857F3">
      <w:pPr>
        <w:pStyle w:val="Heading4"/>
      </w:pPr>
      <w:bookmarkStart w:id="149" w:name="_Toc437456598"/>
      <w:bookmarkStart w:id="150" w:name="_Toc455499352"/>
      <w:bookmarkStart w:id="151" w:name="_Toc455502373"/>
      <w:r w:rsidRPr="00EC326F">
        <w:lastRenderedPageBreak/>
        <w:t>Summary of the data used for assumption development</w:t>
      </w:r>
      <w:bookmarkEnd w:id="149"/>
      <w:bookmarkEnd w:id="150"/>
      <w:bookmarkEnd w:id="151"/>
    </w:p>
    <w:p w14:paraId="36BFCED1" w14:textId="2DB0BBE7" w:rsidR="00350AF0" w:rsidRPr="00EC326F" w:rsidRDefault="00350AF0" w:rsidP="00350AF0">
      <w:pPr>
        <w:pStyle w:val="PwCNormal"/>
        <w:keepNext/>
        <w:numPr>
          <w:ilvl w:val="0"/>
          <w:numId w:val="0"/>
        </w:numPr>
      </w:pPr>
      <w:r w:rsidRPr="00EC326F">
        <w:t xml:space="preserve">The main data sources used to develop the model assumptions are shown in </w:t>
      </w:r>
      <w:r w:rsidR="001645C2" w:rsidRPr="00EC326F">
        <w:fldChar w:fldCharType="begin"/>
      </w:r>
      <w:r w:rsidR="001645C2" w:rsidRPr="00EC326F">
        <w:instrText xml:space="preserve"> REF _Ref437529489 \h </w:instrText>
      </w:r>
      <w:r w:rsidR="00482046" w:rsidRPr="00EC326F">
        <w:instrText xml:space="preserve"> \* MERGEFORMAT </w:instrText>
      </w:r>
      <w:r w:rsidR="001645C2" w:rsidRPr="00EC326F">
        <w:fldChar w:fldCharType="separate"/>
      </w:r>
      <w:r w:rsidR="007A42DF" w:rsidRPr="00EC326F">
        <w:t xml:space="preserve">Table </w:t>
      </w:r>
      <w:r w:rsidR="007A42DF">
        <w:t>4</w:t>
      </w:r>
      <w:r w:rsidR="001645C2" w:rsidRPr="00EC326F">
        <w:fldChar w:fldCharType="end"/>
      </w:r>
      <w:r w:rsidRPr="00EC326F">
        <w:t xml:space="preserve"> below.</w:t>
      </w:r>
    </w:p>
    <w:p w14:paraId="776E0A74" w14:textId="77777777" w:rsidR="00350AF0" w:rsidRPr="00EC326F" w:rsidRDefault="00350AF0" w:rsidP="00350AF0">
      <w:pPr>
        <w:pStyle w:val="Caption"/>
      </w:pPr>
      <w:bookmarkStart w:id="152" w:name="_Ref437529489"/>
      <w:r w:rsidRPr="00EC326F">
        <w:t xml:space="preserve">Table </w:t>
      </w:r>
      <w:fldSimple w:instr=" SEQ Table \* ARABIC ">
        <w:r w:rsidR="007A42DF">
          <w:rPr>
            <w:noProof/>
          </w:rPr>
          <w:t>4</w:t>
        </w:r>
      </w:fldSimple>
      <w:bookmarkEnd w:id="152"/>
      <w:r w:rsidRPr="00EC326F">
        <w:t>: Social security data used for assumption development</w:t>
      </w:r>
    </w:p>
    <w:tbl>
      <w:tblPr>
        <w:tblStyle w:val="Tables-APBase"/>
        <w:tblW w:w="5000" w:type="pct"/>
        <w:tblBorders>
          <w:bottom w:val="single" w:sz="4" w:space="0" w:color="E0301E"/>
          <w:right w:val="none" w:sz="0" w:space="0" w:color="auto"/>
          <w:insideH w:val="single" w:sz="4" w:space="0" w:color="E0301E"/>
          <w:insideV w:val="none" w:sz="0" w:space="0" w:color="auto"/>
        </w:tblBorders>
        <w:tblLayout w:type="fixed"/>
        <w:tblLook w:val="04A0" w:firstRow="1" w:lastRow="0" w:firstColumn="1" w:lastColumn="0" w:noHBand="0" w:noVBand="1"/>
        <w:tblCaption w:val=" Social security data used for assumption development"/>
        <w:tblDescription w:val="This table lists an assumption set, specific individual assumptions, and the data or information sources that were used to generate those assumptions.&#10;&#10;There are eight assumption sets: policy settings, demographic assumptions (whole population), demographic assumptions (selected classes), welfare class movement assumptions, payment utilisation assumptions, payment assumptions, economic adjustment assumptions and economic assumptions.&#10;&#10;For policy settings the specific individual assumptions are; &quot;Eligibility criteria for each payment type&quot;, &quot;Payment structures for each payment type&quot; and &quot;Policy change impacts&quot;. &quot;DSS summary information&quot;, &quot;Centrelink payment guides&quot;, &quot;Legislation&quot; and “DSS internal analysis” are the relevant information sources.&#10;&#10;The demographic assumptions (whole population) set lists &quot;Mortality&quot;, &quot;Partner status&quot;, &quot;Having children (fertility, taking on care of children)&quot; and &quot;Education status&quot; as assumptions, and lists &quot;DSS data&quot;, &quot;Population statistics&quot;, &quot;Life tables&quot;, &quot;Research on population experience&quot;, and &quot;HILDA Survey&quot; as sources of information.&#10;&#10;The demographic assumptions (selected classes) set lists &quot;Employment earnings indicator&quot;, &quot;Payment type&quot;, &quot; Care Recipient information for Carer payment recipients (age, relationship to carer, primary medical condition)” and &quot; Primary medical condition for DSP recipients &quot; as assumptions, and lists &quot;DSS data&quot; as the source of information.&#10;&#10;For welfare class movement assumptions, the table lists &quot;New entrants to the payment system&quot;, &quot;Movements between welfare classes&quot; and &quot;Exits from the payment system&quot; as assumptions, for which &quot;DSS data&quot;, &quot;Supplemented by information on benefit design&quot;, and &quot;Modelled mortality&quot; are listed as sources.&#10;&#10;Payment utilisation set makes assumptions &quot;For each payment category and people in each class&quot;, and uses &quot;DSS data, supplemented by information on benefit design&quot; as a source.&#10;&#10;The payment assumptions set makes assumptions &quot;For people receiving payments in each payment category&quot;, and uses DSS data supplemented by information on benefit design.&#10;&#10;The economic adjustment assumptions are “Unemployment rate” and “Relationships between welfare class movements and unemployment rate” This sources are &quot;Economic forecasts&quot;, &quot;Past economic data and DSS data&quot; and &quot;Research on past experience and any other relevant experience&quot;.&#10;&#10;Finally, the economic assumptions are for &quot;Indexation&quot; and &quot;Discounting&quot;, which use &quot;External economic data&quot; and &quot;Referencing information on benefit design&quot; as sources.&#10;"/>
      </w:tblPr>
      <w:tblGrid>
        <w:gridCol w:w="2260"/>
        <w:gridCol w:w="3997"/>
        <w:gridCol w:w="3824"/>
      </w:tblGrid>
      <w:tr w:rsidR="00350AF0" w:rsidRPr="00EC326F" w14:paraId="3BC80673" w14:textId="77777777" w:rsidTr="00055EA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shd w:val="clear" w:color="auto" w:fill="E0301E"/>
          </w:tcPr>
          <w:p w14:paraId="5393FEDF" w14:textId="77777777" w:rsidR="00350AF0" w:rsidRPr="00EC326F" w:rsidRDefault="00350AF0" w:rsidP="00C069F7">
            <w:pPr>
              <w:pStyle w:val="TableColumnHeadingNormal"/>
            </w:pPr>
            <w:r w:rsidRPr="00EC326F">
              <w:t>Assumption Set</w:t>
            </w:r>
          </w:p>
        </w:tc>
        <w:tc>
          <w:tcPr>
            <w:tcW w:w="3260" w:type="dxa"/>
            <w:shd w:val="clear" w:color="auto" w:fill="E0301E"/>
          </w:tcPr>
          <w:p w14:paraId="6FA59F3B" w14:textId="77777777" w:rsidR="00350AF0" w:rsidRPr="00EC326F" w:rsidRDefault="00350AF0" w:rsidP="00C069F7">
            <w:pPr>
              <w:pStyle w:val="TableColumnHeadingNormal"/>
              <w:cnfStyle w:val="100000000000" w:firstRow="1" w:lastRow="0" w:firstColumn="0" w:lastColumn="0" w:oddVBand="0" w:evenVBand="0" w:oddHBand="0" w:evenHBand="0" w:firstRowFirstColumn="0" w:firstRowLastColumn="0" w:lastRowFirstColumn="0" w:lastRowLastColumn="0"/>
            </w:pPr>
            <w:r w:rsidRPr="00EC326F">
              <w:t>Specific individual assumptions</w:t>
            </w:r>
          </w:p>
        </w:tc>
        <w:tc>
          <w:tcPr>
            <w:tcW w:w="3119" w:type="dxa"/>
            <w:shd w:val="clear" w:color="auto" w:fill="E0301E"/>
          </w:tcPr>
          <w:p w14:paraId="3FDA7BB1" w14:textId="77777777" w:rsidR="00350AF0" w:rsidRPr="00EC326F" w:rsidRDefault="00350AF0" w:rsidP="00C069F7">
            <w:pPr>
              <w:pStyle w:val="TableColumnHeadingNormal"/>
              <w:cnfStyle w:val="100000000000" w:firstRow="1" w:lastRow="0" w:firstColumn="0" w:lastColumn="0" w:oddVBand="0" w:evenVBand="0" w:oddHBand="0" w:evenHBand="0" w:firstRowFirstColumn="0" w:firstRowLastColumn="0" w:lastRowFirstColumn="0" w:lastRowLastColumn="0"/>
            </w:pPr>
            <w:r w:rsidRPr="00EC326F">
              <w:t>Information sources</w:t>
            </w:r>
          </w:p>
        </w:tc>
      </w:tr>
      <w:tr w:rsidR="00350AF0" w:rsidRPr="00EC326F" w14:paraId="7120D84C" w14:textId="77777777" w:rsidTr="00055EA9">
        <w:tc>
          <w:tcPr>
            <w:tcW w:w="1843" w:type="dxa"/>
          </w:tcPr>
          <w:p w14:paraId="03AC38C1" w14:textId="77777777" w:rsidR="00350AF0" w:rsidRPr="00EC326F" w:rsidRDefault="00350AF0" w:rsidP="00C069F7">
            <w:pPr>
              <w:pStyle w:val="TableTextSmalltopic"/>
            </w:pPr>
            <w:r w:rsidRPr="00EC326F">
              <w:t>Policy settings</w:t>
            </w:r>
          </w:p>
        </w:tc>
        <w:tc>
          <w:tcPr>
            <w:tcW w:w="3260" w:type="dxa"/>
          </w:tcPr>
          <w:p w14:paraId="010A08D4" w14:textId="77777777" w:rsidR="00350AF0" w:rsidRPr="00EC326F" w:rsidRDefault="00350AF0" w:rsidP="00C069F7">
            <w:pPr>
              <w:pStyle w:val="TableTextSmall"/>
            </w:pPr>
            <w:r w:rsidRPr="00EC326F">
              <w:t>Eligibility criteria for each payment type</w:t>
            </w:r>
          </w:p>
          <w:p w14:paraId="79014FC7" w14:textId="77777777" w:rsidR="00000E27" w:rsidRPr="00EC326F" w:rsidRDefault="00350AF0" w:rsidP="00C069F7">
            <w:pPr>
              <w:pStyle w:val="TableTextSmall"/>
            </w:pPr>
            <w:r w:rsidRPr="00EC326F">
              <w:t>Payment structures for each payment type</w:t>
            </w:r>
          </w:p>
          <w:p w14:paraId="425E9049" w14:textId="77777777" w:rsidR="008C7E39" w:rsidRPr="00EC326F" w:rsidRDefault="008C7E39" w:rsidP="00C069F7">
            <w:pPr>
              <w:pStyle w:val="TableTextSmall"/>
              <w:rPr>
                <w:highlight w:val="yellow"/>
              </w:rPr>
            </w:pPr>
            <w:r w:rsidRPr="00EC326F">
              <w:t>Policy change impacts</w:t>
            </w:r>
          </w:p>
        </w:tc>
        <w:tc>
          <w:tcPr>
            <w:tcW w:w="3119" w:type="dxa"/>
          </w:tcPr>
          <w:p w14:paraId="40D223CD" w14:textId="77777777" w:rsidR="00350AF0" w:rsidRPr="00EC326F" w:rsidRDefault="00350AF0" w:rsidP="00C069F7">
            <w:pPr>
              <w:pStyle w:val="TableTextSmall"/>
            </w:pPr>
            <w:r w:rsidRPr="00EC326F">
              <w:t xml:space="preserve">DSS summary information </w:t>
            </w:r>
          </w:p>
          <w:p w14:paraId="58B43CCC" w14:textId="77777777" w:rsidR="00350AF0" w:rsidRPr="00EC326F" w:rsidRDefault="00350AF0" w:rsidP="00C069F7">
            <w:pPr>
              <w:pStyle w:val="TableTextSmall"/>
            </w:pPr>
            <w:r w:rsidRPr="00EC326F">
              <w:t>Centrelink payment guides</w:t>
            </w:r>
          </w:p>
          <w:p w14:paraId="158D4956" w14:textId="77777777" w:rsidR="005857F3" w:rsidRPr="00EC326F" w:rsidRDefault="00350AF0" w:rsidP="005857F3">
            <w:pPr>
              <w:pStyle w:val="TableTextSmall"/>
            </w:pPr>
            <w:r w:rsidRPr="00EC326F">
              <w:t>Legislation</w:t>
            </w:r>
            <w:r w:rsidR="005857F3" w:rsidRPr="00EC326F">
              <w:t xml:space="preserve"> and supporting explanatory memoranda</w:t>
            </w:r>
          </w:p>
          <w:p w14:paraId="684318F2" w14:textId="77777777" w:rsidR="005857F3" w:rsidRPr="00EC326F" w:rsidRDefault="005857F3" w:rsidP="005857F3">
            <w:pPr>
              <w:pStyle w:val="TableTextSmall"/>
              <w:rPr>
                <w:highlight w:val="yellow"/>
              </w:rPr>
            </w:pPr>
            <w:r w:rsidRPr="00EC326F">
              <w:t>DSS internal analysis of selected policy changes</w:t>
            </w:r>
          </w:p>
        </w:tc>
      </w:tr>
      <w:tr w:rsidR="00350AF0" w:rsidRPr="00EC326F" w14:paraId="175A4809" w14:textId="77777777" w:rsidTr="00055EA9">
        <w:tc>
          <w:tcPr>
            <w:tcW w:w="1843" w:type="dxa"/>
          </w:tcPr>
          <w:p w14:paraId="1416DA64" w14:textId="77777777" w:rsidR="00350AF0" w:rsidRPr="00EC326F" w:rsidRDefault="00350AF0" w:rsidP="00C069F7">
            <w:pPr>
              <w:pStyle w:val="TableTextSmalltopic"/>
            </w:pPr>
            <w:r w:rsidRPr="00EC326F">
              <w:t xml:space="preserve">Demographic assumptions </w:t>
            </w:r>
            <w:r w:rsidR="00332404" w:rsidRPr="00EC326F">
              <w:br/>
              <w:t>(whole population)</w:t>
            </w:r>
          </w:p>
        </w:tc>
        <w:tc>
          <w:tcPr>
            <w:tcW w:w="3260" w:type="dxa"/>
          </w:tcPr>
          <w:p w14:paraId="4BC4EEB1" w14:textId="77777777" w:rsidR="00350AF0" w:rsidRPr="00EC326F" w:rsidRDefault="00350AF0" w:rsidP="00C069F7">
            <w:pPr>
              <w:pStyle w:val="TableTextSmall"/>
            </w:pPr>
            <w:r w:rsidRPr="00EC326F">
              <w:t xml:space="preserve">Mortality </w:t>
            </w:r>
          </w:p>
          <w:p w14:paraId="5D05D743" w14:textId="77777777" w:rsidR="00350AF0" w:rsidRPr="00EC326F" w:rsidRDefault="00350AF0" w:rsidP="00C069F7">
            <w:pPr>
              <w:pStyle w:val="TableTextSmall"/>
            </w:pPr>
            <w:r w:rsidRPr="00EC326F">
              <w:t xml:space="preserve">Partner status </w:t>
            </w:r>
          </w:p>
          <w:p w14:paraId="442012CF" w14:textId="77777777" w:rsidR="00350AF0" w:rsidRPr="00EC326F" w:rsidRDefault="00350AF0" w:rsidP="00C069F7">
            <w:pPr>
              <w:pStyle w:val="TableTextSmall"/>
            </w:pPr>
            <w:r w:rsidRPr="00EC326F">
              <w:t>Having children (fertility, taking on care of children)</w:t>
            </w:r>
          </w:p>
          <w:p w14:paraId="1D7E7780" w14:textId="77777777" w:rsidR="00350AF0" w:rsidRPr="00EC326F" w:rsidRDefault="00350AF0" w:rsidP="00C069F7">
            <w:pPr>
              <w:pStyle w:val="TableTextSmall"/>
              <w:rPr>
                <w:highlight w:val="yellow"/>
              </w:rPr>
            </w:pPr>
            <w:r w:rsidRPr="00EC326F">
              <w:t xml:space="preserve">Education status </w:t>
            </w:r>
          </w:p>
        </w:tc>
        <w:tc>
          <w:tcPr>
            <w:tcW w:w="3119" w:type="dxa"/>
          </w:tcPr>
          <w:p w14:paraId="17BB3D59" w14:textId="77777777" w:rsidR="00350AF0" w:rsidRPr="00EC326F" w:rsidRDefault="00350AF0" w:rsidP="00C069F7">
            <w:pPr>
              <w:pStyle w:val="TableTextSmall"/>
            </w:pPr>
            <w:r w:rsidRPr="00EC326F">
              <w:t>DSS data</w:t>
            </w:r>
          </w:p>
          <w:p w14:paraId="052D3CA1" w14:textId="77777777" w:rsidR="00350AF0" w:rsidRPr="00EC326F" w:rsidRDefault="00350AF0" w:rsidP="00C069F7">
            <w:pPr>
              <w:pStyle w:val="TableTextSmall"/>
            </w:pPr>
            <w:r w:rsidRPr="00EC326F">
              <w:t>Population statistics</w:t>
            </w:r>
          </w:p>
          <w:p w14:paraId="337B8FEE" w14:textId="77777777" w:rsidR="00350AF0" w:rsidRPr="00EC326F" w:rsidRDefault="00350AF0" w:rsidP="00C069F7">
            <w:pPr>
              <w:pStyle w:val="TableTextSmall"/>
            </w:pPr>
            <w:r w:rsidRPr="00EC326F">
              <w:t>Life tables</w:t>
            </w:r>
          </w:p>
          <w:p w14:paraId="264D7414" w14:textId="77777777" w:rsidR="00350AF0" w:rsidRPr="00EC326F" w:rsidRDefault="00350AF0" w:rsidP="00C069F7">
            <w:pPr>
              <w:pStyle w:val="TableTextSmall"/>
            </w:pPr>
            <w:r w:rsidRPr="00EC326F">
              <w:t>Research on population experience</w:t>
            </w:r>
          </w:p>
          <w:p w14:paraId="046AFC36" w14:textId="77777777" w:rsidR="00350AF0" w:rsidRPr="00EC326F" w:rsidRDefault="00350AF0" w:rsidP="00C069F7">
            <w:pPr>
              <w:pStyle w:val="TableTextSmall"/>
              <w:rPr>
                <w:highlight w:val="yellow"/>
              </w:rPr>
            </w:pPr>
            <w:r w:rsidRPr="00EC326F">
              <w:t>HILDA Survey</w:t>
            </w:r>
          </w:p>
        </w:tc>
      </w:tr>
      <w:tr w:rsidR="005857F3" w:rsidRPr="00EC326F" w14:paraId="19EAF4D5" w14:textId="77777777" w:rsidTr="00055EA9">
        <w:tc>
          <w:tcPr>
            <w:tcW w:w="1843" w:type="dxa"/>
          </w:tcPr>
          <w:p w14:paraId="7D8A3F62" w14:textId="77777777" w:rsidR="005857F3" w:rsidRPr="00EC326F" w:rsidRDefault="005857F3" w:rsidP="00C069F7">
            <w:pPr>
              <w:pStyle w:val="TableTextSmalltopic"/>
            </w:pPr>
            <w:r w:rsidRPr="00EC326F">
              <w:t xml:space="preserve">Demographic assumptions </w:t>
            </w:r>
            <w:r w:rsidR="00332404" w:rsidRPr="00EC326F">
              <w:br/>
            </w:r>
            <w:r w:rsidRPr="00EC326F">
              <w:t>(selected classes)</w:t>
            </w:r>
          </w:p>
        </w:tc>
        <w:tc>
          <w:tcPr>
            <w:tcW w:w="3260" w:type="dxa"/>
          </w:tcPr>
          <w:p w14:paraId="3BAE82B2" w14:textId="77777777" w:rsidR="005857F3" w:rsidRPr="00EC326F" w:rsidRDefault="005857F3" w:rsidP="00C069F7">
            <w:pPr>
              <w:pStyle w:val="TableTextSmall"/>
            </w:pPr>
            <w:r w:rsidRPr="00EC326F">
              <w:t>Employment earnings indicator</w:t>
            </w:r>
          </w:p>
          <w:p w14:paraId="30D8B650" w14:textId="77777777" w:rsidR="005857F3" w:rsidRPr="00EC326F" w:rsidRDefault="005857F3" w:rsidP="00C069F7">
            <w:pPr>
              <w:pStyle w:val="TableTextSmall"/>
            </w:pPr>
            <w:r w:rsidRPr="00EC326F">
              <w:t>Payment type</w:t>
            </w:r>
          </w:p>
          <w:p w14:paraId="04D6F821" w14:textId="62B351FA" w:rsidR="005857F3" w:rsidRPr="00EC326F" w:rsidRDefault="00FE6871" w:rsidP="00C069F7">
            <w:pPr>
              <w:pStyle w:val="TableTextSmall"/>
            </w:pPr>
            <w:r>
              <w:t xml:space="preserve">Care recipient </w:t>
            </w:r>
            <w:r w:rsidR="005857F3" w:rsidRPr="00EC326F">
              <w:t xml:space="preserve">information for Carer payment recipients (age, relationship to carer, primary medical condition) </w:t>
            </w:r>
          </w:p>
          <w:p w14:paraId="45F9AE07" w14:textId="77777777" w:rsidR="005857F3" w:rsidRPr="00EC326F" w:rsidRDefault="005857F3" w:rsidP="005857F3">
            <w:pPr>
              <w:pStyle w:val="TableTextSmall"/>
            </w:pPr>
            <w:r w:rsidRPr="00EC326F">
              <w:t>Primary medical condition for DSP recipients</w:t>
            </w:r>
          </w:p>
        </w:tc>
        <w:tc>
          <w:tcPr>
            <w:tcW w:w="3119" w:type="dxa"/>
          </w:tcPr>
          <w:p w14:paraId="16962A8C" w14:textId="77777777" w:rsidR="005857F3" w:rsidRPr="00EC326F" w:rsidRDefault="005857F3" w:rsidP="00332404">
            <w:pPr>
              <w:pStyle w:val="TableTextSmall"/>
            </w:pPr>
            <w:r w:rsidRPr="00EC326F">
              <w:t>DSS data</w:t>
            </w:r>
          </w:p>
        </w:tc>
      </w:tr>
      <w:tr w:rsidR="00350AF0" w:rsidRPr="00EC326F" w14:paraId="23405662" w14:textId="77777777" w:rsidTr="00055EA9">
        <w:tc>
          <w:tcPr>
            <w:tcW w:w="1843" w:type="dxa"/>
          </w:tcPr>
          <w:p w14:paraId="65BF5D27" w14:textId="77777777" w:rsidR="00350AF0" w:rsidRPr="00EC326F" w:rsidRDefault="00350AF0" w:rsidP="00C069F7">
            <w:pPr>
              <w:pStyle w:val="TableTextSmalltopic"/>
            </w:pPr>
            <w:r w:rsidRPr="00EC326F">
              <w:t>Welfare class movement assumptions</w:t>
            </w:r>
          </w:p>
        </w:tc>
        <w:tc>
          <w:tcPr>
            <w:tcW w:w="3260" w:type="dxa"/>
          </w:tcPr>
          <w:p w14:paraId="79658FD5" w14:textId="77777777" w:rsidR="00350AF0" w:rsidRPr="00EC326F" w:rsidRDefault="00350AF0" w:rsidP="00C069F7">
            <w:pPr>
              <w:pStyle w:val="TableTextSmall"/>
            </w:pPr>
            <w:r w:rsidRPr="00EC326F">
              <w:t>New entrants to the payment system</w:t>
            </w:r>
          </w:p>
          <w:p w14:paraId="484BE972" w14:textId="77777777" w:rsidR="00350AF0" w:rsidRPr="00EC326F" w:rsidRDefault="00350AF0" w:rsidP="00C069F7">
            <w:pPr>
              <w:pStyle w:val="TableTextSmall"/>
            </w:pPr>
            <w:r w:rsidRPr="00EC326F">
              <w:t>Movements between welfare classes</w:t>
            </w:r>
          </w:p>
          <w:p w14:paraId="2347990D" w14:textId="77777777" w:rsidR="00350AF0" w:rsidRPr="00EC326F" w:rsidRDefault="00350AF0" w:rsidP="00C069F7">
            <w:pPr>
              <w:pStyle w:val="TableTextSmall"/>
            </w:pPr>
            <w:r w:rsidRPr="00EC326F">
              <w:t>Exits from the payment system</w:t>
            </w:r>
          </w:p>
        </w:tc>
        <w:tc>
          <w:tcPr>
            <w:tcW w:w="3119" w:type="dxa"/>
          </w:tcPr>
          <w:p w14:paraId="0CC74B03" w14:textId="77777777" w:rsidR="00350AF0" w:rsidRPr="00EC326F" w:rsidRDefault="00350AF0" w:rsidP="00C069F7">
            <w:pPr>
              <w:pStyle w:val="TableTextSmall"/>
            </w:pPr>
            <w:r w:rsidRPr="00EC326F">
              <w:t>DSS data</w:t>
            </w:r>
          </w:p>
          <w:p w14:paraId="549569E9" w14:textId="77777777" w:rsidR="00350AF0" w:rsidRPr="00EC326F" w:rsidRDefault="00350AF0" w:rsidP="00C069F7">
            <w:pPr>
              <w:pStyle w:val="TableTextSmall"/>
            </w:pPr>
            <w:r w:rsidRPr="00EC326F">
              <w:t>Supplemented by information on benefit design</w:t>
            </w:r>
          </w:p>
          <w:p w14:paraId="030CF5DA" w14:textId="77777777" w:rsidR="00350AF0" w:rsidRPr="00EC326F" w:rsidRDefault="00350AF0" w:rsidP="00C069F7">
            <w:pPr>
              <w:pStyle w:val="TableTextSmall"/>
            </w:pPr>
            <w:r w:rsidRPr="00EC326F">
              <w:t>Modelled mortality</w:t>
            </w:r>
          </w:p>
        </w:tc>
      </w:tr>
      <w:tr w:rsidR="00350AF0" w:rsidRPr="00EC326F" w14:paraId="5C1A9D17" w14:textId="77777777" w:rsidTr="00055EA9">
        <w:tc>
          <w:tcPr>
            <w:tcW w:w="1843" w:type="dxa"/>
          </w:tcPr>
          <w:p w14:paraId="763EAB31" w14:textId="77777777" w:rsidR="00350AF0" w:rsidRPr="00EC326F" w:rsidRDefault="00350AF0" w:rsidP="00C069F7">
            <w:pPr>
              <w:pStyle w:val="TableTextSmalltopic"/>
            </w:pPr>
            <w:r w:rsidRPr="00EC326F">
              <w:t>Payment utilisation assumptions</w:t>
            </w:r>
          </w:p>
        </w:tc>
        <w:tc>
          <w:tcPr>
            <w:tcW w:w="3260" w:type="dxa"/>
          </w:tcPr>
          <w:p w14:paraId="5D3A737B" w14:textId="77777777" w:rsidR="00000E27" w:rsidRPr="00EC326F" w:rsidRDefault="00350AF0" w:rsidP="00C069F7">
            <w:pPr>
              <w:pStyle w:val="TableTextSmall"/>
            </w:pPr>
            <w:r w:rsidRPr="00EC326F">
              <w:t>For each payment category and people in each class</w:t>
            </w:r>
          </w:p>
        </w:tc>
        <w:tc>
          <w:tcPr>
            <w:tcW w:w="3119" w:type="dxa"/>
          </w:tcPr>
          <w:p w14:paraId="266D191E" w14:textId="77777777" w:rsidR="00350AF0" w:rsidRPr="00EC326F" w:rsidRDefault="00350AF0" w:rsidP="00C069F7">
            <w:pPr>
              <w:pStyle w:val="TableTextSmall"/>
            </w:pPr>
            <w:r w:rsidRPr="00EC326F">
              <w:t>DSS data</w:t>
            </w:r>
          </w:p>
          <w:p w14:paraId="426948CC" w14:textId="77777777" w:rsidR="00350AF0" w:rsidRPr="00EC326F" w:rsidRDefault="00350AF0" w:rsidP="00C069F7">
            <w:pPr>
              <w:pStyle w:val="TableTextSmall"/>
            </w:pPr>
            <w:r w:rsidRPr="00EC326F">
              <w:t>Supplemented by information on benefit design</w:t>
            </w:r>
          </w:p>
        </w:tc>
      </w:tr>
      <w:tr w:rsidR="00350AF0" w:rsidRPr="00EC326F" w14:paraId="6989034B" w14:textId="77777777" w:rsidTr="00055EA9">
        <w:tc>
          <w:tcPr>
            <w:tcW w:w="1843" w:type="dxa"/>
          </w:tcPr>
          <w:p w14:paraId="0409532D" w14:textId="77777777" w:rsidR="00350AF0" w:rsidRPr="00EC326F" w:rsidRDefault="00350AF0" w:rsidP="00C069F7">
            <w:pPr>
              <w:pStyle w:val="TableTextSmalltopic"/>
            </w:pPr>
            <w:r w:rsidRPr="00EC326F">
              <w:t xml:space="preserve">Payment assumptions </w:t>
            </w:r>
          </w:p>
        </w:tc>
        <w:tc>
          <w:tcPr>
            <w:tcW w:w="3260" w:type="dxa"/>
          </w:tcPr>
          <w:p w14:paraId="74C89453" w14:textId="77777777" w:rsidR="00000E27" w:rsidRPr="00EC326F" w:rsidRDefault="00350AF0" w:rsidP="00C069F7">
            <w:pPr>
              <w:pStyle w:val="TableTextSmall"/>
            </w:pPr>
            <w:r w:rsidRPr="00EC326F">
              <w:t>For people receiving payments in each payment category</w:t>
            </w:r>
          </w:p>
        </w:tc>
        <w:tc>
          <w:tcPr>
            <w:tcW w:w="3119" w:type="dxa"/>
          </w:tcPr>
          <w:p w14:paraId="4DEF3015" w14:textId="77777777" w:rsidR="00350AF0" w:rsidRPr="00EC326F" w:rsidRDefault="00350AF0" w:rsidP="00C069F7">
            <w:pPr>
              <w:pStyle w:val="TableTextSmall"/>
            </w:pPr>
            <w:r w:rsidRPr="00EC326F">
              <w:t>DSS data</w:t>
            </w:r>
          </w:p>
          <w:p w14:paraId="6C148040" w14:textId="77777777" w:rsidR="00350AF0" w:rsidRPr="00EC326F" w:rsidRDefault="00350AF0" w:rsidP="00C069F7">
            <w:pPr>
              <w:pStyle w:val="TableTextSmall"/>
            </w:pPr>
            <w:r w:rsidRPr="00EC326F">
              <w:t>Supplemented by information on benefit design</w:t>
            </w:r>
          </w:p>
        </w:tc>
      </w:tr>
      <w:tr w:rsidR="00350AF0" w:rsidRPr="00EC326F" w14:paraId="28E2469C" w14:textId="77777777" w:rsidTr="00055EA9">
        <w:tc>
          <w:tcPr>
            <w:tcW w:w="1843" w:type="dxa"/>
          </w:tcPr>
          <w:p w14:paraId="485051C0" w14:textId="77777777" w:rsidR="00350AF0" w:rsidRPr="00EC326F" w:rsidRDefault="00350AF0" w:rsidP="00C069F7">
            <w:pPr>
              <w:pStyle w:val="TableTextSmalltopic"/>
            </w:pPr>
            <w:r w:rsidRPr="00EC326F">
              <w:t xml:space="preserve">Economic adjustment assumptions </w:t>
            </w:r>
          </w:p>
        </w:tc>
        <w:tc>
          <w:tcPr>
            <w:tcW w:w="3260" w:type="dxa"/>
          </w:tcPr>
          <w:p w14:paraId="4C5D161B" w14:textId="77777777" w:rsidR="00332404" w:rsidRPr="00EC326F" w:rsidRDefault="00332404" w:rsidP="00C069F7">
            <w:pPr>
              <w:pStyle w:val="TableTextSmall"/>
            </w:pPr>
            <w:r w:rsidRPr="00EC326F">
              <w:t>Unemployment rate</w:t>
            </w:r>
          </w:p>
          <w:p w14:paraId="2A25DE1B" w14:textId="77777777" w:rsidR="00350AF0" w:rsidRPr="00EC326F" w:rsidRDefault="00332404" w:rsidP="00C069F7">
            <w:pPr>
              <w:pStyle w:val="TableTextSmall"/>
            </w:pPr>
            <w:r w:rsidRPr="00EC326F">
              <w:t xml:space="preserve">Relationships between welfare class movements and unemployment rate </w:t>
            </w:r>
          </w:p>
        </w:tc>
        <w:tc>
          <w:tcPr>
            <w:tcW w:w="3119" w:type="dxa"/>
          </w:tcPr>
          <w:p w14:paraId="09C6728D" w14:textId="77777777" w:rsidR="00350AF0" w:rsidRPr="00EC326F" w:rsidRDefault="00350AF0" w:rsidP="00C069F7">
            <w:pPr>
              <w:pStyle w:val="TableTextSmall"/>
            </w:pPr>
            <w:r w:rsidRPr="00EC326F">
              <w:t>Economic forecasts</w:t>
            </w:r>
          </w:p>
          <w:p w14:paraId="1D253C4E" w14:textId="77777777" w:rsidR="00332404" w:rsidRPr="00EC326F" w:rsidRDefault="00350AF0" w:rsidP="00C069F7">
            <w:pPr>
              <w:pStyle w:val="TableTextSmall"/>
            </w:pPr>
            <w:r w:rsidRPr="00EC326F">
              <w:t>Past economic data</w:t>
            </w:r>
          </w:p>
          <w:p w14:paraId="38872ED7" w14:textId="77777777" w:rsidR="00350AF0" w:rsidRPr="00EC326F" w:rsidRDefault="00350AF0" w:rsidP="00332404">
            <w:pPr>
              <w:pStyle w:val="TableTextSmall"/>
            </w:pPr>
            <w:r w:rsidRPr="00EC326F">
              <w:t>DSS data</w:t>
            </w:r>
          </w:p>
          <w:p w14:paraId="351CB1EB" w14:textId="77777777" w:rsidR="00332404" w:rsidRPr="00EC326F" w:rsidRDefault="00332404" w:rsidP="00332404">
            <w:pPr>
              <w:pStyle w:val="TableTextSmall"/>
            </w:pPr>
            <w:r w:rsidRPr="00EC326F">
              <w:t>Supplemented by input from economic experts</w:t>
            </w:r>
          </w:p>
        </w:tc>
      </w:tr>
      <w:tr w:rsidR="00350AF0" w:rsidRPr="00EC326F" w14:paraId="1DFFAADE" w14:textId="77777777" w:rsidTr="00055EA9">
        <w:tc>
          <w:tcPr>
            <w:tcW w:w="1843" w:type="dxa"/>
          </w:tcPr>
          <w:p w14:paraId="0BBB9808" w14:textId="77777777" w:rsidR="00350AF0" w:rsidRPr="00EC326F" w:rsidRDefault="00350AF0" w:rsidP="00C069F7">
            <w:pPr>
              <w:pStyle w:val="TableTextSmalltopic"/>
            </w:pPr>
            <w:r w:rsidRPr="00EC326F">
              <w:t>Economic assumptions</w:t>
            </w:r>
          </w:p>
        </w:tc>
        <w:tc>
          <w:tcPr>
            <w:tcW w:w="3260" w:type="dxa"/>
          </w:tcPr>
          <w:p w14:paraId="36C417B7" w14:textId="77777777" w:rsidR="00350AF0" w:rsidRPr="00EC326F" w:rsidRDefault="00350AF0" w:rsidP="00C069F7">
            <w:pPr>
              <w:pStyle w:val="TableTextSmall"/>
            </w:pPr>
            <w:r w:rsidRPr="00EC326F">
              <w:t>Indexation</w:t>
            </w:r>
          </w:p>
          <w:p w14:paraId="1BCE92C9" w14:textId="77777777" w:rsidR="00000E27" w:rsidRPr="00EC326F" w:rsidRDefault="00350AF0" w:rsidP="00C069F7">
            <w:pPr>
              <w:pStyle w:val="TableTextSmall"/>
            </w:pPr>
            <w:r w:rsidRPr="00EC326F">
              <w:t>Discounting</w:t>
            </w:r>
          </w:p>
        </w:tc>
        <w:tc>
          <w:tcPr>
            <w:tcW w:w="3119" w:type="dxa"/>
          </w:tcPr>
          <w:p w14:paraId="5EE1F18C" w14:textId="77777777" w:rsidR="00350AF0" w:rsidRPr="00EC326F" w:rsidRDefault="00350AF0" w:rsidP="00C069F7">
            <w:pPr>
              <w:pStyle w:val="TableTextSmall"/>
            </w:pPr>
            <w:r w:rsidRPr="00EC326F">
              <w:t>External economic data</w:t>
            </w:r>
          </w:p>
          <w:p w14:paraId="1CFC8178" w14:textId="77777777" w:rsidR="00350AF0" w:rsidRPr="00EC326F" w:rsidRDefault="00350AF0" w:rsidP="00C069F7">
            <w:pPr>
              <w:pStyle w:val="TableTextSmall"/>
            </w:pPr>
            <w:r w:rsidRPr="00EC326F">
              <w:t>Referencing information on benefit design</w:t>
            </w:r>
          </w:p>
        </w:tc>
      </w:tr>
    </w:tbl>
    <w:p w14:paraId="744ACB0E" w14:textId="77777777" w:rsidR="005857F3" w:rsidRPr="002A0A1A" w:rsidRDefault="005857F3" w:rsidP="00511F69">
      <w:pPr>
        <w:pStyle w:val="PwCNormal-Single"/>
      </w:pPr>
    </w:p>
    <w:p w14:paraId="745CD211" w14:textId="77777777" w:rsidR="00F77E6A" w:rsidRPr="00EC326F" w:rsidRDefault="00F77E6A" w:rsidP="00F77E6A">
      <w:pPr>
        <w:pStyle w:val="Heading3"/>
      </w:pPr>
      <w:bookmarkStart w:id="153" w:name="_Ref466491047"/>
      <w:bookmarkStart w:id="154" w:name="_Toc493844224"/>
      <w:r w:rsidRPr="00EC326F">
        <w:t>Scope of payments</w:t>
      </w:r>
      <w:bookmarkEnd w:id="153"/>
      <w:bookmarkEnd w:id="154"/>
    </w:p>
    <w:p w14:paraId="27F3CB4A" w14:textId="77777777" w:rsidR="00F77E6A" w:rsidRPr="00EC326F" w:rsidRDefault="00F77E6A" w:rsidP="00F77E6A">
      <w:pPr>
        <w:pStyle w:val="PwCNormal"/>
      </w:pPr>
      <w:r w:rsidRPr="00EC326F">
        <w:t>During the 201</w:t>
      </w:r>
      <w:r w:rsidR="00C105DC" w:rsidRPr="00EC326F">
        <w:t>5</w:t>
      </w:r>
      <w:r w:rsidRPr="00EC326F">
        <w:t>/1</w:t>
      </w:r>
      <w:r w:rsidR="00C105DC" w:rsidRPr="00EC326F">
        <w:t>6</w:t>
      </w:r>
      <w:r w:rsidRPr="00EC326F">
        <w:t xml:space="preserve"> year the Department was responsible for $</w:t>
      </w:r>
      <w:r w:rsidR="00152AEF" w:rsidRPr="00EC326F">
        <w:t>111.5</w:t>
      </w:r>
      <w:r w:rsidRPr="00EC326F">
        <w:t xml:space="preserve"> billion of </w:t>
      </w:r>
      <w:r w:rsidR="00511F69" w:rsidRPr="00EC326F">
        <w:t xml:space="preserve">payment </w:t>
      </w:r>
      <w:r w:rsidRPr="00EC326F">
        <w:t xml:space="preserve">entitlements. </w:t>
      </w:r>
    </w:p>
    <w:p w14:paraId="4ECAAC20" w14:textId="77777777" w:rsidR="00F77E6A" w:rsidRPr="00EC326F" w:rsidRDefault="00F77E6A" w:rsidP="00152AEF">
      <w:pPr>
        <w:pStyle w:val="PwCNormal"/>
      </w:pPr>
      <w:r w:rsidRPr="00EC326F">
        <w:t>PwC have worked together with the Department’s staff to define which payments should be in scope. There are around 100 payment types in the data of which around 8</w:t>
      </w:r>
      <w:r w:rsidR="00152AEF" w:rsidRPr="00EC326F">
        <w:t>5</w:t>
      </w:r>
      <w:r w:rsidRPr="00EC326F">
        <w:t xml:space="preserve"> were determined to be in-scope. </w:t>
      </w:r>
      <w:r w:rsidR="00152AEF" w:rsidRPr="00EC326F">
        <w:t xml:space="preserve">The excluded payments total approximately $30 million with the main </w:t>
      </w:r>
      <w:r w:rsidRPr="00EC326F">
        <w:t>payment</w:t>
      </w:r>
      <w:r w:rsidR="00152AEF" w:rsidRPr="00EC326F">
        <w:t xml:space="preserve"> type excluded being the flexible support payment which is outside of the policy responsibility of the Department. </w:t>
      </w:r>
      <w:r w:rsidRPr="00EC326F">
        <w:t xml:space="preserve">Payment types were excluded if they were for payments that have been discontinued or replaced, for example the Back to School bonus </w:t>
      </w:r>
      <w:r w:rsidR="00152AEF" w:rsidRPr="00EC326F">
        <w:t xml:space="preserve">was </w:t>
      </w:r>
      <w:r w:rsidRPr="00EC326F">
        <w:t>excluded as were some supplements that have been out of use for many years.</w:t>
      </w:r>
    </w:p>
    <w:p w14:paraId="503A2416" w14:textId="77777777" w:rsidR="00C105DC" w:rsidRPr="00EC326F" w:rsidRDefault="00C105DC" w:rsidP="00F77E6A">
      <w:pPr>
        <w:pStyle w:val="PwCNormal"/>
      </w:pPr>
      <w:r w:rsidRPr="00EC326F">
        <w:t>Some slight refinements have been made to the scope of payments</w:t>
      </w:r>
      <w:r w:rsidR="00716483" w:rsidRPr="00EC326F">
        <w:t xml:space="preserve"> for the 2016 valuation.</w:t>
      </w:r>
    </w:p>
    <w:p w14:paraId="61873F60" w14:textId="4EE7EEB4" w:rsidR="00F77E6A" w:rsidRPr="00EC326F" w:rsidRDefault="00F77E6A" w:rsidP="00511F69">
      <w:pPr>
        <w:pStyle w:val="PwCNormal"/>
      </w:pPr>
      <w:r w:rsidRPr="00EC326F">
        <w:t xml:space="preserve">The list of in-scope payments being valued is </w:t>
      </w:r>
      <w:r w:rsidRPr="003515A2">
        <w:t xml:space="preserve">provided in </w:t>
      </w:r>
      <w:r w:rsidR="003515A2">
        <w:fldChar w:fldCharType="begin"/>
      </w:r>
      <w:r w:rsidR="003515A2">
        <w:instrText xml:space="preserve"> REF _Ref465248939 \h </w:instrText>
      </w:r>
      <w:r w:rsidR="003515A2">
        <w:fldChar w:fldCharType="separate"/>
      </w:r>
      <w:r w:rsidR="007A42DF" w:rsidRPr="00EC326F">
        <w:t xml:space="preserve">Table </w:t>
      </w:r>
      <w:r w:rsidR="007A42DF">
        <w:rPr>
          <w:noProof/>
        </w:rPr>
        <w:t>5</w:t>
      </w:r>
      <w:r w:rsidR="003515A2">
        <w:fldChar w:fldCharType="end"/>
      </w:r>
      <w:r w:rsidR="003515A2">
        <w:t xml:space="preserve"> and </w:t>
      </w:r>
      <w:r w:rsidR="003515A2">
        <w:fldChar w:fldCharType="begin"/>
      </w:r>
      <w:r w:rsidR="003515A2">
        <w:instrText xml:space="preserve"> REF _Ref466491871 \h </w:instrText>
      </w:r>
      <w:r w:rsidR="003515A2">
        <w:fldChar w:fldCharType="separate"/>
      </w:r>
      <w:r w:rsidR="007A42DF" w:rsidRPr="00EC326F">
        <w:t xml:space="preserve">Table </w:t>
      </w:r>
      <w:r w:rsidR="007A42DF">
        <w:rPr>
          <w:noProof/>
        </w:rPr>
        <w:t>6</w:t>
      </w:r>
      <w:r w:rsidR="003515A2">
        <w:fldChar w:fldCharType="end"/>
      </w:r>
      <w:r w:rsidR="00152AEF" w:rsidRPr="003515A2">
        <w:t xml:space="preserve"> below </w:t>
      </w:r>
      <w:r w:rsidRPr="003515A2">
        <w:t>and generally includes payments for which the Department has policy responsibility as at 30 June 201</w:t>
      </w:r>
      <w:r w:rsidR="00716483" w:rsidRPr="003515A2">
        <w:t>6</w:t>
      </w:r>
      <w:r w:rsidR="00511F69" w:rsidRPr="003515A2">
        <w:t>, together with child care payments which were included in the scope of the baseline valuation and have continued</w:t>
      </w:r>
      <w:r w:rsidR="00511F69" w:rsidRPr="00EC326F">
        <w:t xml:space="preserve"> to be included for consistency although the portfolio responsibilities for child care transitioned to the Department of Education and Training on 21 September 2015. This list of in-scope payments </w:t>
      </w:r>
      <w:r w:rsidRPr="00EC326F">
        <w:t>includ</w:t>
      </w:r>
      <w:r w:rsidR="00511F69" w:rsidRPr="00EC326F">
        <w:t>es</w:t>
      </w:r>
      <w:r w:rsidRPr="00EC326F">
        <w:t xml:space="preserve"> income support payments to both working age people and age pensioners, family payments, and various supplementary payments and allowances. </w:t>
      </w:r>
    </w:p>
    <w:p w14:paraId="1C97287C" w14:textId="77777777" w:rsidR="00F77E6A" w:rsidRPr="00EC326F" w:rsidRDefault="00F77E6A" w:rsidP="00F77E6A">
      <w:pPr>
        <w:pStyle w:val="PwCNormal"/>
      </w:pPr>
      <w:r w:rsidRPr="00EC326F">
        <w:t xml:space="preserve">The scope does not include veterans’ payments, concession card benefits, aged care payments or payments under the National Disability Insurance Scheme (NDIS) (note this list is not exhaustive). </w:t>
      </w:r>
    </w:p>
    <w:p w14:paraId="6DF8D205" w14:textId="77777777" w:rsidR="00F77E6A" w:rsidRPr="00EC326F" w:rsidRDefault="00A5484F" w:rsidP="00511F69">
      <w:pPr>
        <w:pStyle w:val="PwCNormal-keepwithnext"/>
      </w:pPr>
      <w:r w:rsidRPr="00EC326F">
        <w:rPr>
          <w:noProof/>
          <w:lang w:eastAsia="en-AU"/>
        </w:rPr>
        <w:lastRenderedPageBreak/>
        <w:drawing>
          <wp:anchor distT="0" distB="0" distL="114300" distR="114300" simplePos="0" relativeHeight="251662336" behindDoc="0" locked="0" layoutInCell="1" allowOverlap="1" wp14:anchorId="54DADE0F" wp14:editId="7B80A023">
            <wp:simplePos x="0" y="0"/>
            <wp:positionH relativeFrom="page">
              <wp:posOffset>4568453</wp:posOffset>
            </wp:positionH>
            <wp:positionV relativeFrom="page">
              <wp:posOffset>9194450</wp:posOffset>
            </wp:positionV>
            <wp:extent cx="2426335" cy="723265"/>
            <wp:effectExtent l="0" t="0" r="0" b="635"/>
            <wp:wrapNone/>
            <wp:docPr id="127" name="Picture 127" descr="Decorative image of people walking, walking a dog and riding a bik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633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E6A" w:rsidRPr="00EC326F">
        <w:t xml:space="preserve">The total amount of </w:t>
      </w:r>
      <w:r w:rsidR="004706E4">
        <w:t>in-scope</w:t>
      </w:r>
      <w:r w:rsidR="00F77E6A" w:rsidRPr="00EC326F">
        <w:t xml:space="preserve"> payments paid in each of the last five financial years is shown below. </w:t>
      </w:r>
    </w:p>
    <w:p w14:paraId="7D9DF3C3" w14:textId="77777777" w:rsidR="00F77E6A" w:rsidRPr="00EC326F" w:rsidRDefault="00F77E6A" w:rsidP="00F77E6A">
      <w:pPr>
        <w:pStyle w:val="Caption"/>
      </w:pPr>
      <w:r w:rsidRPr="00EC326F">
        <w:t xml:space="preserve">Figure </w:t>
      </w:r>
      <w:fldSimple w:instr=" SEQ Figure \* ARABIC ">
        <w:r w:rsidR="007A42DF">
          <w:rPr>
            <w:noProof/>
          </w:rPr>
          <w:t>7</w:t>
        </w:r>
      </w:fldSimple>
      <w:r w:rsidRPr="00EC326F">
        <w:t>: In</w:t>
      </w:r>
      <w:r w:rsidR="004706E4">
        <w:t>-</w:t>
      </w:r>
      <w:r w:rsidRPr="00EC326F">
        <w:t>scope payments by financial year 201</w:t>
      </w:r>
      <w:r w:rsidR="00EA1093" w:rsidRPr="00EC326F">
        <w:t>1</w:t>
      </w:r>
      <w:r w:rsidRPr="00EC326F">
        <w:t>/1</w:t>
      </w:r>
      <w:r w:rsidR="00EA1093" w:rsidRPr="00EC326F">
        <w:t>2</w:t>
      </w:r>
      <w:r w:rsidRPr="00EC326F">
        <w:t xml:space="preserve"> – 201</w:t>
      </w:r>
      <w:r w:rsidR="00EA1093" w:rsidRPr="00EC326F">
        <w:t>5</w:t>
      </w:r>
      <w:r w:rsidRPr="00EC326F">
        <w:t>/1</w:t>
      </w:r>
      <w:r w:rsidR="00EA1093" w:rsidRPr="00EC326F">
        <w:t>6</w:t>
      </w:r>
    </w:p>
    <w:p w14:paraId="2F9D7A0D" w14:textId="77777777" w:rsidR="00EA1093" w:rsidRPr="002A0A1A" w:rsidRDefault="00EA1093" w:rsidP="00EA1093">
      <w:r w:rsidRPr="00EC326F">
        <w:rPr>
          <w:noProof/>
          <w:lang w:eastAsia="en-AU"/>
        </w:rPr>
        <w:drawing>
          <wp:inline distT="0" distB="0" distL="0" distR="0" wp14:anchorId="04C34EAA" wp14:editId="1ED6AA50">
            <wp:extent cx="3983148" cy="2160000"/>
            <wp:effectExtent l="0" t="0" r="0" b="0"/>
            <wp:docPr id="122" name="Picture 122" descr="This figure is a column chart. The chart shows the total amount of in scope payments paid in each of the last five financial years. The vertical axis shows the total in scope payments and ranges from 0 to 120 billion dollars. The horizontal axis shows financial years from 2011/12 to 2015/16. &#10;&#10;The total in-scope payments made in each of the last five financial years were: 98.4 billion dollars in 2011/12, 103.3 billion dollars in 2012/13, 111.2 billion dollars in 2013/14, 116.1 billion dollars in 2014/15 and 111.5 billion dollars in 2015/16.&#10;" title=" In-scope payments by financial year 2011/12 –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76" t="1631" r="676" b="1631"/>
                    <a:stretch/>
                  </pic:blipFill>
                  <pic:spPr bwMode="auto">
                    <a:xfrm>
                      <a:off x="0" y="0"/>
                      <a:ext cx="398314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7600217" w14:textId="77777777" w:rsidR="00EA1093" w:rsidRPr="00EC326F" w:rsidRDefault="00EA1093" w:rsidP="00EA1093">
      <w:pPr>
        <w:pStyle w:val="Sources"/>
      </w:pPr>
      <w:r w:rsidRPr="00EC326F">
        <w:t xml:space="preserve">Note: the payments are slightly understated for the most recent year as some of the family tax benefit payments and much of the child care benefit payments are made after the end of the financial year and are therefore not captured under the 30 June ‘as known as’ date. As </w:t>
      </w:r>
      <w:r w:rsidR="00511F69" w:rsidRPr="00EC326F">
        <w:t xml:space="preserve">was </w:t>
      </w:r>
      <w:r w:rsidRPr="00EC326F">
        <w:t>expected, the payments in the 2014/15 year have retrospectively increased since the baseline valuation.</w:t>
      </w:r>
    </w:p>
    <w:p w14:paraId="493CFD21" w14:textId="77777777" w:rsidR="00F77E6A" w:rsidRPr="00EC326F" w:rsidRDefault="00F77E6A" w:rsidP="00F77E6A">
      <w:pPr>
        <w:pStyle w:val="Heading3"/>
      </w:pPr>
      <w:bookmarkStart w:id="155" w:name="_Toc493844225"/>
      <w:r w:rsidRPr="00EC326F">
        <w:t>Payment type categorisation</w:t>
      </w:r>
      <w:bookmarkEnd w:id="155"/>
    </w:p>
    <w:p w14:paraId="43C7AD7C" w14:textId="77777777" w:rsidR="00F77E6A" w:rsidRPr="00EC326F" w:rsidRDefault="00F77E6A" w:rsidP="00F77E6A">
      <w:pPr>
        <w:pStyle w:val="PwCNormal"/>
      </w:pPr>
      <w:r w:rsidRPr="00EC326F">
        <w:t>The payment types have been grouped into 17 broader payment categories for modelling in the valuation. The amounts of payments received by each person within each category are considered in building the valuation models and setting the assumptions. This categorisation is intended to achieve a balance between the benefit of the valuation model capturing the different features of each payment and the costs of having the additional complexity of more payment categories in the model. We considered the following criteria for grouping payment types into categories:</w:t>
      </w:r>
    </w:p>
    <w:p w14:paraId="5E57475C" w14:textId="77777777" w:rsidR="00F77E6A" w:rsidRPr="00EC326F" w:rsidRDefault="00F77E6A" w:rsidP="00F77E6A">
      <w:pPr>
        <w:pStyle w:val="Bullet1"/>
      </w:pPr>
      <w:r w:rsidRPr="00EC326F">
        <w:t>The purpose of the payment</w:t>
      </w:r>
    </w:p>
    <w:p w14:paraId="5559820A" w14:textId="77777777" w:rsidR="00F77E6A" w:rsidRPr="00EC326F" w:rsidRDefault="00F77E6A" w:rsidP="00F77E6A">
      <w:pPr>
        <w:pStyle w:val="Bullet1"/>
      </w:pPr>
      <w:r w:rsidRPr="00EC326F">
        <w:t>The eligibility criteria and target group</w:t>
      </w:r>
    </w:p>
    <w:p w14:paraId="65DEAFDE" w14:textId="77777777" w:rsidR="00F77E6A" w:rsidRPr="00EC326F" w:rsidRDefault="00F77E6A" w:rsidP="00F77E6A">
      <w:pPr>
        <w:pStyle w:val="Bullet1"/>
      </w:pPr>
      <w:r w:rsidRPr="00EC326F">
        <w:t>The indexation regime applying</w:t>
      </w:r>
    </w:p>
    <w:p w14:paraId="2B0DC99E" w14:textId="77777777" w:rsidR="00F77E6A" w:rsidRPr="00EC326F" w:rsidRDefault="00F77E6A" w:rsidP="00F77E6A">
      <w:pPr>
        <w:pStyle w:val="Bullet1"/>
      </w:pPr>
      <w:r w:rsidRPr="00EC326F">
        <w:t>The importance of the payment within the whole system: its relative size in terms of expenditure and the number of people receiving payments</w:t>
      </w:r>
    </w:p>
    <w:p w14:paraId="4AFC7070" w14:textId="77777777" w:rsidR="00716483" w:rsidRPr="00EC326F" w:rsidRDefault="00F77E6A" w:rsidP="00C105DC">
      <w:pPr>
        <w:pStyle w:val="PwCNormal"/>
        <w:numPr>
          <w:ilvl w:val="0"/>
          <w:numId w:val="0"/>
        </w:numPr>
      </w:pPr>
      <w:r w:rsidRPr="00EC326F">
        <w:t>In general we have separated supplements from the main pension payments as these are often subject to different indexation and, as not all pension recipients will receive all the supplements, it allows for cleaner modelling (especially of the main payment).</w:t>
      </w:r>
      <w:r w:rsidR="00A5484F" w:rsidRPr="00EC326F">
        <w:t xml:space="preserve"> </w:t>
      </w:r>
      <w:r w:rsidR="00C105DC" w:rsidRPr="00EC326F">
        <w:t xml:space="preserve">The resultant payment categories are described below. </w:t>
      </w:r>
    </w:p>
    <w:p w14:paraId="517261D0" w14:textId="77777777" w:rsidR="00C105DC" w:rsidRPr="00EC326F" w:rsidRDefault="00C105DC" w:rsidP="00C105DC">
      <w:pPr>
        <w:pStyle w:val="PwCNormal"/>
        <w:numPr>
          <w:ilvl w:val="0"/>
          <w:numId w:val="0"/>
        </w:numPr>
      </w:pPr>
      <w:r w:rsidRPr="00EC326F">
        <w:t xml:space="preserve">Note that people may receive payments from a number of different payment categories during </w:t>
      </w:r>
      <w:r w:rsidR="00A5484F" w:rsidRPr="00EC326F">
        <w:t>each</w:t>
      </w:r>
      <w:r w:rsidRPr="00EC326F">
        <w:t xml:space="preserve"> year.</w:t>
      </w:r>
    </w:p>
    <w:p w14:paraId="2C1F3C55" w14:textId="77777777" w:rsidR="00C105DC" w:rsidRPr="00EC326F" w:rsidRDefault="00C105DC" w:rsidP="00C105DC">
      <w:pPr>
        <w:pStyle w:val="Heading4"/>
      </w:pPr>
      <w:r w:rsidRPr="00EC326F">
        <w:lastRenderedPageBreak/>
        <w:t>Income support payment categories</w:t>
      </w:r>
    </w:p>
    <w:p w14:paraId="455A6591" w14:textId="77777777" w:rsidR="00EE3DB2" w:rsidRPr="00EC326F" w:rsidRDefault="00C105DC" w:rsidP="00C105DC">
      <w:pPr>
        <w:pStyle w:val="PwCNormal"/>
        <w:keepNext/>
      </w:pPr>
      <w:r w:rsidRPr="00EC326F">
        <w:t>There are seven income support payment categories which capture the main financial supports provided when people are of pension age or of working age and either not able to work or not able to find work. People can only access one of these payment types during each fortnightly assessment period.</w:t>
      </w:r>
      <w:r w:rsidR="00EE3DB2" w:rsidRPr="00EC326F">
        <w:t xml:space="preserve"> </w:t>
      </w:r>
    </w:p>
    <w:p w14:paraId="37F7399A" w14:textId="77777777" w:rsidR="00C105DC" w:rsidRPr="00EC326F" w:rsidRDefault="00EE3DB2" w:rsidP="00C105DC">
      <w:pPr>
        <w:pStyle w:val="PwCNormal"/>
        <w:keepNext/>
      </w:pPr>
      <w:r w:rsidRPr="00EC326F">
        <w:t>These categories have been retained from the baseline valuation with no changes in their definitions.</w:t>
      </w:r>
    </w:p>
    <w:p w14:paraId="22699F31" w14:textId="77777777" w:rsidR="00C105DC" w:rsidRPr="00EC326F" w:rsidRDefault="00C105DC" w:rsidP="002C719E">
      <w:pPr>
        <w:pStyle w:val="Caption"/>
      </w:pPr>
      <w:bookmarkStart w:id="156" w:name="_Ref465248939"/>
      <w:r w:rsidRPr="00EC326F">
        <w:t xml:space="preserve">Table </w:t>
      </w:r>
      <w:fldSimple w:instr=" SEQ Table \* ARABIC ">
        <w:r w:rsidR="007A42DF">
          <w:rPr>
            <w:noProof/>
          </w:rPr>
          <w:t>5</w:t>
        </w:r>
      </w:fldSimple>
      <w:bookmarkEnd w:id="156"/>
      <w:r w:rsidRPr="00EC326F">
        <w:t>: Income support payment categories and components</w:t>
      </w:r>
    </w:p>
    <w:tbl>
      <w:tblPr>
        <w:tblStyle w:val="Tables-APBase"/>
        <w:tblW w:w="3234" w:type="pct"/>
        <w:tblInd w:w="108" w:type="dxa"/>
        <w:tblBorders>
          <w:top w:val="single" w:sz="6" w:space="0" w:color="E0301E"/>
          <w:left w:val="none" w:sz="0" w:space="0" w:color="auto"/>
          <w:bottom w:val="single" w:sz="6" w:space="0" w:color="E0301E"/>
          <w:right w:val="none" w:sz="0" w:space="0" w:color="auto"/>
          <w:insideH w:val="single" w:sz="6" w:space="0" w:color="E0301E"/>
          <w:insideV w:val="single" w:sz="6" w:space="0" w:color="EB8C00"/>
        </w:tblBorders>
        <w:tblLayout w:type="fixed"/>
        <w:tblLook w:val="04A0" w:firstRow="1" w:lastRow="0" w:firstColumn="1" w:lastColumn="0" w:noHBand="0" w:noVBand="1"/>
        <w:tblCaption w:val=" Income support payment categories and components&#10;"/>
        <w:tblDescription w:val="This table lists the income support payment categories that have been used in the modelling. &#10;The income support payment categories are: &quot;A - IS Studying&quot;, &quot;B - IS Working Age&quot;, &quot;C - IS Parents&quot;, &quot;D - IS Carer&quot;, &quot;E - IS Disability&quot;, &quot;F - IS Age&quot; and &quot;G - IS Dependent&quot;.&#10;&#10;The second column lists the component payments within the payment categories. &#10;&#10;The first section has a heading of &quot;A - IS Studying&quot; and lists &quot;Abstudy - studying&quot;, &quot;Austudy&quot; and &quot;Youth Allowance (Student)&quot; underneath it.&#10;&#10;Second is &quot;B - IS Working Age&quot;, with &quot;Abstudy - working&quot;, &quot;Austudy - working&quot;, &quot;Newstart&quot;, &quot;Sickness Allowance&quot;, &quot;Special Benefit&quot; and &quot;Youth Allowance (other)&quot;.&#10;&#10;After that is the &quot;C - IS Parents&quot; section, with &quot;Parenting Payment - Partnered&quot; and &quot;Parenting Payment - Single&quot;.&#10;&#10;Fourth is &quot;D - IS Carer&quot; for people receiving the Carer Payment.&#10;&#10;The next category is &quot;E - IS Disability&quot;, with people receiving the disability support pension.&#10;&#10;The &quot;F - IS Age&quot; category lists &quot;Age Pension&quot;, &quot;Widow B Pension&quot; and &quot;Wife Pension&quot;.&#10;&#10;The final category is &quot;G - IS Dependant&quot;, with &quot;Partner Allowance&quot; and &quot;Widow Allowance&quot;.&#10;"/>
      </w:tblPr>
      <w:tblGrid>
        <w:gridCol w:w="3260"/>
        <w:gridCol w:w="3260"/>
      </w:tblGrid>
      <w:tr w:rsidR="00C105DC" w:rsidRPr="00EC326F" w14:paraId="02C667CC" w14:textId="77777777" w:rsidTr="00B36672">
        <w:trPr>
          <w:cnfStyle w:val="100000000000" w:firstRow="1" w:lastRow="0" w:firstColumn="0" w:lastColumn="0" w:oddVBand="0" w:evenVBand="0" w:oddHBand="0" w:evenHBand="0" w:firstRowFirstColumn="0" w:firstRowLastColumn="0" w:lastRowFirstColumn="0" w:lastRowLastColumn="0"/>
          <w:trHeight w:val="258"/>
        </w:trPr>
        <w:tc>
          <w:tcPr>
            <w:cnfStyle w:val="000000000100" w:firstRow="0" w:lastRow="0" w:firstColumn="0" w:lastColumn="0" w:oddVBand="0" w:evenVBand="0" w:oddHBand="0" w:evenHBand="0" w:firstRowFirstColumn="1" w:firstRowLastColumn="0" w:lastRowFirstColumn="0" w:lastRowLastColumn="0"/>
            <w:tcW w:w="3260" w:type="dxa"/>
            <w:tcBorders>
              <w:bottom w:val="single" w:sz="6" w:space="0" w:color="E0301E"/>
            </w:tcBorders>
            <w:shd w:val="clear" w:color="auto" w:fill="E0301E"/>
          </w:tcPr>
          <w:p w14:paraId="490CD0E6" w14:textId="77777777" w:rsidR="00C105DC" w:rsidRPr="00EC326F" w:rsidRDefault="00C105DC" w:rsidP="00511F69">
            <w:pPr>
              <w:pStyle w:val="TableTextSmall"/>
              <w:keepNext/>
              <w:jc w:val="center"/>
              <w:rPr>
                <w:rFonts w:cstheme="minorHAnsi"/>
                <w:b/>
                <w:color w:val="FFFFFF" w:themeColor="background1"/>
                <w:szCs w:val="16"/>
              </w:rPr>
            </w:pPr>
            <w:r w:rsidRPr="00EC326F">
              <w:rPr>
                <w:rFonts w:cstheme="minorHAnsi"/>
                <w:b/>
                <w:color w:val="FFFFFF" w:themeColor="background1"/>
                <w:szCs w:val="16"/>
              </w:rPr>
              <w:t>Income support (IS) payment categor</w:t>
            </w:r>
            <w:r w:rsidR="002C719E" w:rsidRPr="00EC326F">
              <w:rPr>
                <w:rFonts w:cstheme="minorHAnsi"/>
                <w:b/>
                <w:color w:val="FFFFFF" w:themeColor="background1"/>
                <w:szCs w:val="16"/>
              </w:rPr>
              <w:t>y</w:t>
            </w:r>
          </w:p>
        </w:tc>
        <w:tc>
          <w:tcPr>
            <w:tcW w:w="3260" w:type="dxa"/>
            <w:tcBorders>
              <w:bottom w:val="single" w:sz="6" w:space="0" w:color="E0301E"/>
            </w:tcBorders>
            <w:shd w:val="clear" w:color="auto" w:fill="E0301E"/>
          </w:tcPr>
          <w:p w14:paraId="0BB6E6F1" w14:textId="77777777" w:rsidR="00C105DC" w:rsidRPr="00EC326F" w:rsidRDefault="00C105DC" w:rsidP="00511F69">
            <w:pPr>
              <w:pStyle w:val="TableTextSmall"/>
              <w:keepNext/>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Cs w:val="16"/>
              </w:rPr>
            </w:pPr>
            <w:r w:rsidRPr="00EC326F">
              <w:rPr>
                <w:rFonts w:cstheme="minorHAnsi"/>
                <w:b/>
                <w:color w:val="FFFFFF" w:themeColor="background1"/>
                <w:szCs w:val="16"/>
              </w:rPr>
              <w:t>Components</w:t>
            </w:r>
          </w:p>
        </w:tc>
      </w:tr>
      <w:tr w:rsidR="00C105DC" w:rsidRPr="00EC326F" w14:paraId="4FBAA2F9" w14:textId="77777777" w:rsidTr="00B36672">
        <w:trPr>
          <w:cantSplit/>
          <w:trHeight w:val="280"/>
        </w:trPr>
        <w:tc>
          <w:tcPr>
            <w:tcW w:w="3260" w:type="dxa"/>
            <w:tcBorders>
              <w:right w:val="single" w:sz="4" w:space="0" w:color="E0301E" w:themeColor="accent6"/>
            </w:tcBorders>
          </w:tcPr>
          <w:p w14:paraId="1088B216" w14:textId="77777777" w:rsidR="00C105DC" w:rsidRPr="00EC326F" w:rsidRDefault="00C105DC" w:rsidP="00511F69">
            <w:pPr>
              <w:pStyle w:val="TableTextSmall"/>
              <w:keepNext/>
              <w:rPr>
                <w:rFonts w:cstheme="minorHAnsi"/>
                <w:szCs w:val="16"/>
              </w:rPr>
            </w:pPr>
            <w:r w:rsidRPr="00EC326F">
              <w:rPr>
                <w:rFonts w:cstheme="minorHAnsi"/>
                <w:szCs w:val="16"/>
              </w:rPr>
              <w:t>A - IS Studying</w:t>
            </w:r>
          </w:p>
        </w:tc>
        <w:tc>
          <w:tcPr>
            <w:tcW w:w="3260" w:type="dxa"/>
            <w:tcBorders>
              <w:left w:val="single" w:sz="4" w:space="0" w:color="E0301E" w:themeColor="accent6"/>
            </w:tcBorders>
          </w:tcPr>
          <w:p w14:paraId="6724B994" w14:textId="77777777" w:rsidR="00C105DC" w:rsidRPr="00EC326F" w:rsidRDefault="00C105DC" w:rsidP="00511F69">
            <w:pPr>
              <w:pStyle w:val="TableTextSmall"/>
              <w:keepNext/>
              <w:rPr>
                <w:rFonts w:cstheme="minorHAnsi"/>
                <w:szCs w:val="16"/>
              </w:rPr>
            </w:pPr>
            <w:r w:rsidRPr="00EC326F">
              <w:rPr>
                <w:rFonts w:cstheme="minorHAnsi"/>
                <w:szCs w:val="16"/>
              </w:rPr>
              <w:t>Abstudy - studying</w:t>
            </w:r>
          </w:p>
          <w:p w14:paraId="06F04D78" w14:textId="77777777" w:rsidR="00C105DC" w:rsidRPr="00EC326F" w:rsidRDefault="00C105DC" w:rsidP="00511F69">
            <w:pPr>
              <w:pStyle w:val="TableTextSmall"/>
              <w:keepNext/>
              <w:rPr>
                <w:rFonts w:cstheme="minorHAnsi"/>
                <w:szCs w:val="16"/>
              </w:rPr>
            </w:pPr>
            <w:r w:rsidRPr="00EC326F">
              <w:rPr>
                <w:rFonts w:cstheme="minorHAnsi"/>
                <w:szCs w:val="16"/>
              </w:rPr>
              <w:t>Austudy</w:t>
            </w:r>
          </w:p>
          <w:p w14:paraId="4BD89AE2" w14:textId="77777777" w:rsidR="00C105DC" w:rsidRPr="00EC326F" w:rsidRDefault="00C105DC" w:rsidP="00511F69">
            <w:pPr>
              <w:pStyle w:val="TableTextSmall"/>
              <w:keepNext/>
              <w:rPr>
                <w:rFonts w:cstheme="minorHAnsi"/>
                <w:szCs w:val="16"/>
              </w:rPr>
            </w:pPr>
            <w:r w:rsidRPr="00EC326F">
              <w:rPr>
                <w:rFonts w:cstheme="minorHAnsi"/>
                <w:szCs w:val="16"/>
              </w:rPr>
              <w:t>YA (Student)</w:t>
            </w:r>
          </w:p>
        </w:tc>
      </w:tr>
      <w:tr w:rsidR="00C105DC" w:rsidRPr="00EC326F" w14:paraId="7BDC81CA" w14:textId="77777777" w:rsidTr="00B36672">
        <w:trPr>
          <w:cantSplit/>
          <w:trHeight w:val="280"/>
        </w:trPr>
        <w:tc>
          <w:tcPr>
            <w:tcW w:w="3260" w:type="dxa"/>
            <w:tcBorders>
              <w:right w:val="single" w:sz="4" w:space="0" w:color="E0301E" w:themeColor="accent6"/>
            </w:tcBorders>
          </w:tcPr>
          <w:p w14:paraId="460B0040" w14:textId="77777777" w:rsidR="00C105DC" w:rsidRPr="00EC326F" w:rsidRDefault="00C105DC" w:rsidP="00752BA6">
            <w:pPr>
              <w:pStyle w:val="TableTextSmall"/>
              <w:rPr>
                <w:rFonts w:cstheme="minorHAnsi"/>
                <w:szCs w:val="16"/>
              </w:rPr>
            </w:pPr>
            <w:r w:rsidRPr="00EC326F">
              <w:rPr>
                <w:rFonts w:cstheme="minorHAnsi"/>
                <w:szCs w:val="16"/>
              </w:rPr>
              <w:t>B - IS Working Age</w:t>
            </w:r>
          </w:p>
        </w:tc>
        <w:tc>
          <w:tcPr>
            <w:tcW w:w="3260" w:type="dxa"/>
            <w:tcBorders>
              <w:left w:val="single" w:sz="4" w:space="0" w:color="E0301E" w:themeColor="accent6"/>
            </w:tcBorders>
          </w:tcPr>
          <w:p w14:paraId="2F157044" w14:textId="77777777" w:rsidR="00C105DC" w:rsidRPr="00EC326F" w:rsidRDefault="00C105DC" w:rsidP="00C105DC">
            <w:pPr>
              <w:pStyle w:val="TableTextSmall"/>
              <w:rPr>
                <w:rFonts w:cstheme="minorHAnsi"/>
                <w:szCs w:val="16"/>
              </w:rPr>
            </w:pPr>
            <w:r w:rsidRPr="00EC326F">
              <w:rPr>
                <w:rFonts w:cstheme="minorHAnsi"/>
                <w:szCs w:val="16"/>
              </w:rPr>
              <w:t>Abstudy - working</w:t>
            </w:r>
          </w:p>
          <w:p w14:paraId="6480B273" w14:textId="77777777" w:rsidR="00C105DC" w:rsidRPr="00EC326F" w:rsidRDefault="00C105DC" w:rsidP="00C105DC">
            <w:pPr>
              <w:pStyle w:val="TableTextSmall"/>
              <w:rPr>
                <w:rFonts w:cstheme="minorHAnsi"/>
                <w:szCs w:val="16"/>
              </w:rPr>
            </w:pPr>
            <w:r w:rsidRPr="00EC326F">
              <w:rPr>
                <w:rFonts w:cstheme="minorHAnsi"/>
                <w:szCs w:val="16"/>
              </w:rPr>
              <w:t>Austudy - working</w:t>
            </w:r>
          </w:p>
          <w:p w14:paraId="384AC623" w14:textId="77777777" w:rsidR="00C105DC" w:rsidRPr="00EC326F" w:rsidRDefault="00C105DC" w:rsidP="00C105DC">
            <w:pPr>
              <w:pStyle w:val="TableTextSmall"/>
              <w:rPr>
                <w:rFonts w:cstheme="minorHAnsi"/>
                <w:szCs w:val="16"/>
              </w:rPr>
            </w:pPr>
            <w:r w:rsidRPr="00EC326F">
              <w:rPr>
                <w:rFonts w:cstheme="minorHAnsi"/>
                <w:szCs w:val="16"/>
              </w:rPr>
              <w:t>Newstart</w:t>
            </w:r>
          </w:p>
          <w:p w14:paraId="279FF6D2" w14:textId="77777777" w:rsidR="00C105DC" w:rsidRPr="00EC326F" w:rsidRDefault="00C105DC" w:rsidP="00C105DC">
            <w:pPr>
              <w:pStyle w:val="TableTextSmall"/>
              <w:rPr>
                <w:rFonts w:cstheme="minorHAnsi"/>
                <w:szCs w:val="16"/>
              </w:rPr>
            </w:pPr>
            <w:r w:rsidRPr="00EC326F">
              <w:rPr>
                <w:rFonts w:cstheme="minorHAnsi"/>
                <w:szCs w:val="16"/>
              </w:rPr>
              <w:t>Sickness Allowance</w:t>
            </w:r>
          </w:p>
          <w:p w14:paraId="3ECCA26B" w14:textId="77777777" w:rsidR="00C105DC" w:rsidRPr="00EC326F" w:rsidRDefault="00C105DC" w:rsidP="00C105DC">
            <w:pPr>
              <w:pStyle w:val="TableTextSmall"/>
              <w:rPr>
                <w:rFonts w:cstheme="minorHAnsi"/>
                <w:szCs w:val="16"/>
              </w:rPr>
            </w:pPr>
            <w:r w:rsidRPr="00EC326F">
              <w:rPr>
                <w:rFonts w:cstheme="minorHAnsi"/>
                <w:szCs w:val="16"/>
              </w:rPr>
              <w:t>Special Benefit</w:t>
            </w:r>
          </w:p>
          <w:p w14:paraId="4B7FAB54" w14:textId="77777777" w:rsidR="00C105DC" w:rsidRPr="00EC326F" w:rsidRDefault="00C105DC" w:rsidP="00C105DC">
            <w:pPr>
              <w:pStyle w:val="TableTextSmall"/>
              <w:rPr>
                <w:rFonts w:cstheme="minorHAnsi"/>
                <w:szCs w:val="16"/>
              </w:rPr>
            </w:pPr>
            <w:r w:rsidRPr="00EC326F">
              <w:rPr>
                <w:rFonts w:cstheme="minorHAnsi"/>
                <w:szCs w:val="16"/>
              </w:rPr>
              <w:t>YA (other)</w:t>
            </w:r>
          </w:p>
        </w:tc>
      </w:tr>
      <w:tr w:rsidR="00C105DC" w:rsidRPr="00EC326F" w14:paraId="5C811918" w14:textId="77777777" w:rsidTr="00B36672">
        <w:trPr>
          <w:cantSplit/>
          <w:trHeight w:val="280"/>
        </w:trPr>
        <w:tc>
          <w:tcPr>
            <w:tcW w:w="3260" w:type="dxa"/>
            <w:tcBorders>
              <w:right w:val="single" w:sz="4" w:space="0" w:color="E0301E" w:themeColor="accent6"/>
            </w:tcBorders>
          </w:tcPr>
          <w:p w14:paraId="556C1F23" w14:textId="77777777" w:rsidR="00C105DC" w:rsidRPr="00EC326F" w:rsidRDefault="00C105DC" w:rsidP="00752BA6">
            <w:pPr>
              <w:pStyle w:val="TableTextSmall"/>
              <w:rPr>
                <w:rFonts w:cstheme="minorHAnsi"/>
                <w:szCs w:val="16"/>
              </w:rPr>
            </w:pPr>
            <w:r w:rsidRPr="00EC326F">
              <w:rPr>
                <w:rFonts w:cstheme="minorHAnsi"/>
                <w:szCs w:val="16"/>
              </w:rPr>
              <w:t>C - IS Parents</w:t>
            </w:r>
          </w:p>
        </w:tc>
        <w:tc>
          <w:tcPr>
            <w:tcW w:w="3260" w:type="dxa"/>
            <w:tcBorders>
              <w:left w:val="single" w:sz="4" w:space="0" w:color="E0301E" w:themeColor="accent6"/>
            </w:tcBorders>
          </w:tcPr>
          <w:p w14:paraId="2FF36C30" w14:textId="77777777" w:rsidR="00C105DC" w:rsidRPr="00EC326F" w:rsidRDefault="00C105DC" w:rsidP="00C105DC">
            <w:pPr>
              <w:pStyle w:val="TableTextSmall"/>
              <w:rPr>
                <w:rFonts w:cstheme="minorHAnsi"/>
                <w:szCs w:val="16"/>
              </w:rPr>
            </w:pPr>
            <w:r w:rsidRPr="00EC326F">
              <w:rPr>
                <w:rFonts w:cstheme="minorHAnsi"/>
                <w:szCs w:val="16"/>
              </w:rPr>
              <w:t>Parenting Payment - Partnered</w:t>
            </w:r>
          </w:p>
          <w:p w14:paraId="288A4B8D" w14:textId="77777777" w:rsidR="00C105DC" w:rsidRPr="00EC326F" w:rsidRDefault="00C105DC" w:rsidP="00C105DC">
            <w:pPr>
              <w:pStyle w:val="TableTextSmall"/>
              <w:rPr>
                <w:rFonts w:cstheme="minorHAnsi"/>
                <w:szCs w:val="16"/>
              </w:rPr>
            </w:pPr>
            <w:r w:rsidRPr="00EC326F">
              <w:rPr>
                <w:rFonts w:cstheme="minorHAnsi"/>
                <w:szCs w:val="16"/>
              </w:rPr>
              <w:t>Parenting Payment - Single</w:t>
            </w:r>
          </w:p>
        </w:tc>
      </w:tr>
      <w:tr w:rsidR="00C105DC" w:rsidRPr="00EC326F" w14:paraId="0A1604B3" w14:textId="77777777" w:rsidTr="00B36672">
        <w:trPr>
          <w:cantSplit/>
          <w:trHeight w:val="258"/>
        </w:trPr>
        <w:tc>
          <w:tcPr>
            <w:tcW w:w="3260" w:type="dxa"/>
            <w:tcBorders>
              <w:right w:val="single" w:sz="4" w:space="0" w:color="E0301E" w:themeColor="accent6"/>
            </w:tcBorders>
          </w:tcPr>
          <w:p w14:paraId="5FAC8263" w14:textId="77777777" w:rsidR="00C105DC" w:rsidRPr="00EC326F" w:rsidRDefault="00C105DC" w:rsidP="00752BA6">
            <w:pPr>
              <w:pStyle w:val="TableTextSmall"/>
              <w:rPr>
                <w:rFonts w:cstheme="minorHAnsi"/>
                <w:szCs w:val="16"/>
              </w:rPr>
            </w:pPr>
            <w:r w:rsidRPr="00EC326F">
              <w:rPr>
                <w:rFonts w:cstheme="minorHAnsi"/>
                <w:szCs w:val="16"/>
              </w:rPr>
              <w:t>D - IS Carer</w:t>
            </w:r>
          </w:p>
        </w:tc>
        <w:tc>
          <w:tcPr>
            <w:tcW w:w="3260" w:type="dxa"/>
            <w:tcBorders>
              <w:left w:val="single" w:sz="4" w:space="0" w:color="E0301E" w:themeColor="accent6"/>
            </w:tcBorders>
          </w:tcPr>
          <w:p w14:paraId="7812F38B" w14:textId="77777777" w:rsidR="00C105DC" w:rsidRPr="00EC326F" w:rsidRDefault="00C105DC" w:rsidP="00752BA6">
            <w:pPr>
              <w:pStyle w:val="TableTextSmall"/>
              <w:rPr>
                <w:rFonts w:cstheme="minorHAnsi"/>
                <w:szCs w:val="16"/>
              </w:rPr>
            </w:pPr>
            <w:r w:rsidRPr="00EC326F">
              <w:rPr>
                <w:rFonts w:cstheme="minorHAnsi"/>
                <w:szCs w:val="16"/>
              </w:rPr>
              <w:t>Carer Payment</w:t>
            </w:r>
          </w:p>
        </w:tc>
      </w:tr>
      <w:tr w:rsidR="00C105DC" w:rsidRPr="00EC326F" w14:paraId="12446FDA" w14:textId="77777777" w:rsidTr="00B36672">
        <w:trPr>
          <w:cantSplit/>
          <w:trHeight w:val="280"/>
        </w:trPr>
        <w:tc>
          <w:tcPr>
            <w:tcW w:w="3260" w:type="dxa"/>
            <w:tcBorders>
              <w:right w:val="single" w:sz="4" w:space="0" w:color="E0301E" w:themeColor="accent6"/>
            </w:tcBorders>
          </w:tcPr>
          <w:p w14:paraId="09BEFB68" w14:textId="77777777" w:rsidR="00C105DC" w:rsidRPr="00EC326F" w:rsidRDefault="00C105DC" w:rsidP="00752BA6">
            <w:pPr>
              <w:pStyle w:val="TableTextSmall"/>
              <w:rPr>
                <w:rFonts w:cstheme="minorHAnsi"/>
                <w:szCs w:val="16"/>
              </w:rPr>
            </w:pPr>
            <w:r w:rsidRPr="00EC326F">
              <w:rPr>
                <w:rFonts w:cstheme="minorHAnsi"/>
                <w:szCs w:val="16"/>
              </w:rPr>
              <w:t>E - IS Disability</w:t>
            </w:r>
          </w:p>
        </w:tc>
        <w:tc>
          <w:tcPr>
            <w:tcW w:w="3260" w:type="dxa"/>
            <w:tcBorders>
              <w:left w:val="single" w:sz="4" w:space="0" w:color="E0301E" w:themeColor="accent6"/>
            </w:tcBorders>
          </w:tcPr>
          <w:p w14:paraId="7EBF76FB" w14:textId="77777777" w:rsidR="00C105DC" w:rsidRPr="00EC326F" w:rsidRDefault="00C105DC" w:rsidP="00C105DC">
            <w:pPr>
              <w:pStyle w:val="TableTextSmall"/>
              <w:rPr>
                <w:rFonts w:cstheme="minorHAnsi"/>
                <w:szCs w:val="16"/>
              </w:rPr>
            </w:pPr>
            <w:r w:rsidRPr="00EC326F">
              <w:rPr>
                <w:rFonts w:cstheme="minorHAnsi"/>
                <w:szCs w:val="16"/>
              </w:rPr>
              <w:t>Disability Support Pension</w:t>
            </w:r>
          </w:p>
        </w:tc>
      </w:tr>
      <w:tr w:rsidR="00C105DC" w:rsidRPr="00EC326F" w14:paraId="0AC57B96" w14:textId="77777777" w:rsidTr="00B36672">
        <w:trPr>
          <w:cantSplit/>
          <w:trHeight w:val="280"/>
        </w:trPr>
        <w:tc>
          <w:tcPr>
            <w:tcW w:w="3260" w:type="dxa"/>
            <w:tcBorders>
              <w:right w:val="single" w:sz="4" w:space="0" w:color="E0301E" w:themeColor="accent6"/>
            </w:tcBorders>
          </w:tcPr>
          <w:p w14:paraId="6683AAA0" w14:textId="77777777" w:rsidR="00C105DC" w:rsidRPr="00EC326F" w:rsidRDefault="00C105DC" w:rsidP="00752BA6">
            <w:pPr>
              <w:pStyle w:val="TableTextSmall"/>
              <w:rPr>
                <w:rFonts w:cstheme="minorHAnsi"/>
                <w:szCs w:val="16"/>
              </w:rPr>
            </w:pPr>
            <w:r w:rsidRPr="00EC326F">
              <w:rPr>
                <w:rFonts w:cstheme="minorHAnsi"/>
                <w:szCs w:val="16"/>
              </w:rPr>
              <w:t>F - IS Age</w:t>
            </w:r>
          </w:p>
        </w:tc>
        <w:tc>
          <w:tcPr>
            <w:tcW w:w="3260" w:type="dxa"/>
            <w:tcBorders>
              <w:left w:val="single" w:sz="4" w:space="0" w:color="E0301E" w:themeColor="accent6"/>
            </w:tcBorders>
          </w:tcPr>
          <w:p w14:paraId="6435B150" w14:textId="77777777" w:rsidR="00C105DC" w:rsidRPr="00EC326F" w:rsidRDefault="00C105DC" w:rsidP="00C105DC">
            <w:pPr>
              <w:pStyle w:val="TableTextSmall"/>
              <w:rPr>
                <w:rFonts w:cstheme="minorHAnsi"/>
                <w:szCs w:val="16"/>
              </w:rPr>
            </w:pPr>
            <w:r w:rsidRPr="00EC326F">
              <w:rPr>
                <w:rFonts w:cstheme="minorHAnsi"/>
                <w:szCs w:val="16"/>
              </w:rPr>
              <w:t>Age Pension</w:t>
            </w:r>
          </w:p>
          <w:p w14:paraId="7AE02732" w14:textId="77777777" w:rsidR="00C105DC" w:rsidRPr="00EC326F" w:rsidRDefault="00C105DC" w:rsidP="00C105DC">
            <w:pPr>
              <w:pStyle w:val="TableTextSmall"/>
              <w:rPr>
                <w:rFonts w:cstheme="minorHAnsi"/>
                <w:szCs w:val="16"/>
              </w:rPr>
            </w:pPr>
            <w:r w:rsidRPr="00EC326F">
              <w:rPr>
                <w:rFonts w:cstheme="minorHAnsi"/>
                <w:szCs w:val="16"/>
              </w:rPr>
              <w:t>Widow B Pension</w:t>
            </w:r>
          </w:p>
          <w:p w14:paraId="044CA0E7" w14:textId="77777777" w:rsidR="00C105DC" w:rsidRPr="00EC326F" w:rsidRDefault="00C105DC" w:rsidP="00C105DC">
            <w:pPr>
              <w:pStyle w:val="TableTextSmall"/>
              <w:rPr>
                <w:rFonts w:cstheme="minorHAnsi"/>
                <w:szCs w:val="16"/>
              </w:rPr>
            </w:pPr>
            <w:r w:rsidRPr="00EC326F">
              <w:rPr>
                <w:rFonts w:cstheme="minorHAnsi"/>
                <w:szCs w:val="16"/>
              </w:rPr>
              <w:t>Wife Pension</w:t>
            </w:r>
          </w:p>
        </w:tc>
      </w:tr>
      <w:tr w:rsidR="00C105DC" w:rsidRPr="00EC326F" w14:paraId="38B7EF57" w14:textId="77777777" w:rsidTr="00B36672">
        <w:trPr>
          <w:cantSplit/>
          <w:trHeight w:val="280"/>
        </w:trPr>
        <w:tc>
          <w:tcPr>
            <w:tcW w:w="3260" w:type="dxa"/>
            <w:tcBorders>
              <w:right w:val="single" w:sz="4" w:space="0" w:color="E0301E" w:themeColor="accent6"/>
            </w:tcBorders>
          </w:tcPr>
          <w:p w14:paraId="5522EFC6" w14:textId="77777777" w:rsidR="00C105DC" w:rsidRPr="00EC326F" w:rsidRDefault="00C105DC" w:rsidP="00752BA6">
            <w:pPr>
              <w:pStyle w:val="TableTextSmall"/>
              <w:rPr>
                <w:rFonts w:cstheme="minorHAnsi"/>
                <w:szCs w:val="16"/>
              </w:rPr>
            </w:pPr>
            <w:r w:rsidRPr="00EC326F">
              <w:rPr>
                <w:rFonts w:cstheme="minorHAnsi"/>
                <w:szCs w:val="16"/>
              </w:rPr>
              <w:t>G - IS Dependent</w:t>
            </w:r>
          </w:p>
        </w:tc>
        <w:tc>
          <w:tcPr>
            <w:tcW w:w="3260" w:type="dxa"/>
            <w:tcBorders>
              <w:left w:val="single" w:sz="4" w:space="0" w:color="E0301E" w:themeColor="accent6"/>
            </w:tcBorders>
          </w:tcPr>
          <w:p w14:paraId="3855674E" w14:textId="77777777" w:rsidR="00C105DC" w:rsidRPr="00EC326F" w:rsidRDefault="00C105DC" w:rsidP="00C105DC">
            <w:pPr>
              <w:pStyle w:val="TableTextSmall"/>
              <w:rPr>
                <w:rFonts w:cstheme="minorHAnsi"/>
                <w:szCs w:val="16"/>
              </w:rPr>
            </w:pPr>
            <w:r w:rsidRPr="00EC326F">
              <w:rPr>
                <w:rFonts w:cstheme="minorHAnsi"/>
                <w:szCs w:val="16"/>
              </w:rPr>
              <w:t>Partner Allowance</w:t>
            </w:r>
          </w:p>
          <w:p w14:paraId="3F68F626" w14:textId="77777777" w:rsidR="00C105DC" w:rsidRPr="00EC326F" w:rsidRDefault="00C105DC" w:rsidP="00C105DC">
            <w:pPr>
              <w:pStyle w:val="TableTextSmall"/>
              <w:rPr>
                <w:rFonts w:cstheme="minorHAnsi"/>
                <w:szCs w:val="16"/>
              </w:rPr>
            </w:pPr>
            <w:r w:rsidRPr="00EC326F">
              <w:rPr>
                <w:rFonts w:cstheme="minorHAnsi"/>
                <w:szCs w:val="16"/>
              </w:rPr>
              <w:t>Widow Allowance</w:t>
            </w:r>
          </w:p>
        </w:tc>
      </w:tr>
    </w:tbl>
    <w:p w14:paraId="6A7B5A26" w14:textId="77777777" w:rsidR="00B36672" w:rsidRPr="00EC326F" w:rsidRDefault="00B36672" w:rsidP="00B36672">
      <w:pPr>
        <w:pStyle w:val="Sources"/>
        <w:keepNext/>
      </w:pPr>
      <w:r w:rsidRPr="00EC326F">
        <w:t xml:space="preserve">Notes: </w:t>
      </w:r>
    </w:p>
    <w:p w14:paraId="4FE9E39D" w14:textId="32BD3DB1" w:rsidR="002007B1" w:rsidRDefault="00B36672" w:rsidP="00B36672">
      <w:pPr>
        <w:pStyle w:val="Sources"/>
      </w:pPr>
      <w:r>
        <w:t>Abstudy - working and Austudy - working include apprenticeships</w:t>
      </w:r>
    </w:p>
    <w:p w14:paraId="193E5732" w14:textId="5ACDD7CC" w:rsidR="00B36672" w:rsidRPr="00EC326F" w:rsidRDefault="00B36672" w:rsidP="00B36672">
      <w:pPr>
        <w:pStyle w:val="Sources"/>
      </w:pPr>
      <w:r>
        <w:t>YA (other) includes both job seekers and apprenticeships.</w:t>
      </w:r>
    </w:p>
    <w:p w14:paraId="0365A6CA" w14:textId="77777777" w:rsidR="00C105DC" w:rsidRPr="00EC326F" w:rsidRDefault="00C105DC" w:rsidP="00C105DC">
      <w:pPr>
        <w:pStyle w:val="PwCNormal"/>
        <w:numPr>
          <w:ilvl w:val="0"/>
          <w:numId w:val="0"/>
        </w:numPr>
      </w:pPr>
      <w:r w:rsidRPr="00EC326F">
        <w:t>These payment categories align closely with the income support class definitions</w:t>
      </w:r>
      <w:r w:rsidR="00716483" w:rsidRPr="00EC326F">
        <w:t xml:space="preserve"> (discussed in</w:t>
      </w:r>
      <w:r w:rsidR="003515A2">
        <w:t xml:space="preserve"> </w:t>
      </w:r>
      <w:r w:rsidR="0011562A">
        <w:t>section</w:t>
      </w:r>
      <w:r w:rsidR="003515A2">
        <w:t xml:space="preserve"> </w:t>
      </w:r>
      <w:r w:rsidR="003515A2">
        <w:fldChar w:fldCharType="begin"/>
      </w:r>
      <w:r w:rsidR="003515A2">
        <w:instrText xml:space="preserve"> REF _Ref466491941 \n \h </w:instrText>
      </w:r>
      <w:r w:rsidR="003515A2">
        <w:fldChar w:fldCharType="separate"/>
      </w:r>
      <w:r w:rsidR="007A42DF">
        <w:t>3.4</w:t>
      </w:r>
      <w:r w:rsidR="003515A2">
        <w:fldChar w:fldCharType="end"/>
      </w:r>
      <w:r w:rsidR="00716483" w:rsidRPr="00EC326F">
        <w:t>)</w:t>
      </w:r>
      <w:r w:rsidRPr="00EC326F">
        <w:t>:</w:t>
      </w:r>
    </w:p>
    <w:p w14:paraId="6DBC401D" w14:textId="77777777" w:rsidR="00C105DC" w:rsidRPr="00EC326F" w:rsidRDefault="00C105DC" w:rsidP="00C105DC">
      <w:pPr>
        <w:pStyle w:val="ListBullet"/>
      </w:pPr>
      <w:r w:rsidRPr="00EC326F">
        <w:t xml:space="preserve">For the Working Age class people receive some payments in either category B or G. </w:t>
      </w:r>
    </w:p>
    <w:p w14:paraId="69F4833B" w14:textId="57E87009" w:rsidR="00C105DC" w:rsidRPr="00EC326F" w:rsidRDefault="00C105DC" w:rsidP="00C105DC">
      <w:pPr>
        <w:pStyle w:val="ListBullet"/>
      </w:pPr>
      <w:r w:rsidRPr="00EC326F">
        <w:t xml:space="preserve">For the other five income support classes everyone in the class receives some payments in the related payment category. For example everyone in class </w:t>
      </w:r>
      <w:r w:rsidR="001C6B01">
        <w:t>‘</w:t>
      </w:r>
      <w:r w:rsidRPr="00EC326F">
        <w:t>3</w:t>
      </w:r>
      <w:r w:rsidR="001C6B01">
        <w:t xml:space="preserve"> </w:t>
      </w:r>
      <w:r w:rsidRPr="00EC326F">
        <w:t>Parent</w:t>
      </w:r>
      <w:r w:rsidR="00FF7EC9">
        <w:t>s</w:t>
      </w:r>
      <w:r w:rsidR="001C6B01">
        <w:t>’</w:t>
      </w:r>
      <w:r w:rsidRPr="00EC326F">
        <w:t xml:space="preserve"> receives some payments in category C.</w:t>
      </w:r>
    </w:p>
    <w:p w14:paraId="645B6172" w14:textId="77777777" w:rsidR="002C719E" w:rsidRPr="00EC326F" w:rsidRDefault="002C719E" w:rsidP="00511F69">
      <w:pPr>
        <w:pStyle w:val="Heading4"/>
        <w:widowControl w:val="0"/>
      </w:pPr>
      <w:r w:rsidRPr="00EC326F">
        <w:t>Non income support payment categories</w:t>
      </w:r>
    </w:p>
    <w:p w14:paraId="20B64BA6" w14:textId="77777777" w:rsidR="002C719E" w:rsidRPr="00EC326F" w:rsidRDefault="002C719E" w:rsidP="002C719E">
      <w:pPr>
        <w:pStyle w:val="PwCNormal"/>
        <w:keepNext/>
        <w:keepLines/>
        <w:numPr>
          <w:ilvl w:val="0"/>
          <w:numId w:val="0"/>
        </w:numPr>
      </w:pPr>
      <w:r w:rsidRPr="00EC326F">
        <w:t>There are ten non income support payment categories which capture the other supplements, allowances and payments provided. These include pension supplements, major payments such as Energy Supplement, Family Tax Benefit, child care payments and a large number of smaller payments.</w:t>
      </w:r>
    </w:p>
    <w:p w14:paraId="0C80F51A" w14:textId="77777777" w:rsidR="002C719E" w:rsidRPr="00EC326F" w:rsidRDefault="002C719E" w:rsidP="00511F69">
      <w:pPr>
        <w:pStyle w:val="PwCNormal"/>
      </w:pPr>
      <w:r w:rsidRPr="00EC326F">
        <w:t xml:space="preserve">Some of these payments are paid regularly throughout the year and may be received alongside an income support payment; others are one off payments or link to the tax system. </w:t>
      </w:r>
    </w:p>
    <w:p w14:paraId="4A479919" w14:textId="77777777" w:rsidR="00511F69" w:rsidRPr="00EC326F" w:rsidRDefault="00511F69" w:rsidP="00511F69">
      <w:pPr>
        <w:pStyle w:val="PwCNormal"/>
      </w:pPr>
      <w:r w:rsidRPr="00EC326F">
        <w:t>Following a full review by the Department, t</w:t>
      </w:r>
      <w:r w:rsidR="00EE3DB2" w:rsidRPr="00EC326F">
        <w:t xml:space="preserve">here have been a </w:t>
      </w:r>
      <w:r w:rsidR="00716483" w:rsidRPr="00EC326F">
        <w:t xml:space="preserve">small </w:t>
      </w:r>
      <w:r w:rsidR="00EE3DB2" w:rsidRPr="00EC326F">
        <w:t>number of changes made to these payment category definitions since the baseline valuation</w:t>
      </w:r>
      <w:r w:rsidR="00042517" w:rsidRPr="00EC326F">
        <w:t xml:space="preserve"> (</w:t>
      </w:r>
      <w:r w:rsidRPr="00EC326F">
        <w:t xml:space="preserve">as </w:t>
      </w:r>
      <w:r w:rsidR="00042517" w:rsidRPr="00EC326F">
        <w:t xml:space="preserve">marked in </w:t>
      </w:r>
      <w:r w:rsidRPr="00EC326F">
        <w:t>the table</w:t>
      </w:r>
      <w:r w:rsidR="00042517" w:rsidRPr="00EC326F">
        <w:t xml:space="preserve"> below)</w:t>
      </w:r>
      <w:r w:rsidR="00EE3DB2" w:rsidRPr="00EC326F">
        <w:t>. Some component payments have been reassigned to different classes for improved modelling</w:t>
      </w:r>
      <w:r w:rsidRPr="00EC326F">
        <w:t>, others for better</w:t>
      </w:r>
      <w:r w:rsidR="00EE3DB2" w:rsidRPr="00EC326F">
        <w:t xml:space="preserve"> consistency</w:t>
      </w:r>
      <w:r w:rsidRPr="00EC326F">
        <w:t xml:space="preserve"> with the treatment of similar or related payments</w:t>
      </w:r>
      <w:r w:rsidR="00EE3DB2" w:rsidRPr="00EC326F">
        <w:t>.</w:t>
      </w:r>
      <w:r w:rsidR="00716483" w:rsidRPr="00EC326F">
        <w:t xml:space="preserve"> </w:t>
      </w:r>
    </w:p>
    <w:p w14:paraId="37C925D4" w14:textId="77777777" w:rsidR="00EE3DB2" w:rsidRPr="00EC326F" w:rsidRDefault="00EE3DB2" w:rsidP="002C719E">
      <w:pPr>
        <w:pStyle w:val="PwCNormal"/>
        <w:keepNext/>
        <w:keepLines/>
        <w:numPr>
          <w:ilvl w:val="0"/>
          <w:numId w:val="0"/>
        </w:numPr>
      </w:pPr>
      <w:r w:rsidRPr="00EC326F">
        <w:lastRenderedPageBreak/>
        <w:t>The details of each payment category, the component payment types and changes are set out in the table below.</w:t>
      </w:r>
    </w:p>
    <w:p w14:paraId="3ABD1660" w14:textId="77777777" w:rsidR="002C719E" w:rsidRPr="00EC326F" w:rsidRDefault="002C719E" w:rsidP="002C719E">
      <w:pPr>
        <w:pStyle w:val="Caption"/>
      </w:pPr>
      <w:bookmarkStart w:id="157" w:name="_Ref466491871"/>
      <w:r w:rsidRPr="00EC326F">
        <w:t xml:space="preserve">Table </w:t>
      </w:r>
      <w:fldSimple w:instr=" SEQ Table \* ARABIC ">
        <w:r w:rsidR="007A42DF">
          <w:rPr>
            <w:noProof/>
          </w:rPr>
          <w:t>6</w:t>
        </w:r>
      </w:fldSimple>
      <w:bookmarkEnd w:id="157"/>
      <w:r w:rsidRPr="00EC326F">
        <w:t>: Non-Income support payment categories and components</w:t>
      </w:r>
    </w:p>
    <w:tbl>
      <w:tblPr>
        <w:tblStyle w:val="Tables-APBase"/>
        <w:tblW w:w="4922" w:type="pct"/>
        <w:tblInd w:w="108" w:type="dxa"/>
        <w:tblBorders>
          <w:top w:val="single" w:sz="6" w:space="0" w:color="E0301E"/>
          <w:left w:val="none" w:sz="0" w:space="0" w:color="auto"/>
          <w:bottom w:val="single" w:sz="6" w:space="0" w:color="E0301E"/>
          <w:right w:val="none" w:sz="0" w:space="0" w:color="auto"/>
          <w:insideH w:val="single" w:sz="6" w:space="0" w:color="E0301E"/>
          <w:insideV w:val="single" w:sz="6" w:space="0" w:color="EB8C00"/>
        </w:tblBorders>
        <w:tblLayout w:type="fixed"/>
        <w:tblLook w:val="04A0" w:firstRow="1" w:lastRow="0" w:firstColumn="1" w:lastColumn="0" w:noHBand="0" w:noVBand="1"/>
        <w:tblCaption w:val=" Non-Income support payment categories and components"/>
        <w:tblDescription w:val="This table lists the non income payment categories that have been used in the modelling.&#10;&#10;The non-income support section lists 10 payment categories: &quot;H - Other FTB&quot;, &quot;I - Other Family&quot;, &quot;J - Other New Parent&quot;, &quot;L - Other Health &amp; Disability&quot;, &quot;M - Other Carer&quot;, &quot;N - Other Study &amp; Skills&quot;, &quot;O - Other Remote &amp; Regional&quot;, &quot;P - Other General Allowances (for general pension supplements)&quot;, &quot;Q - All Other&quot; and “R – Rent Assistance” and one payment category &quot;K - Other Living&quot; which was not used for the 2016 Valuation. &#10;&#10;The second column labelled “Components” lists the payments which make up the non-income support payment categories. &#10;&#10;The first category is listed as &quot;H - Other FTB&quot; and has seven payments: &quot;Family Tax Benefit A&quot;, &quot;Family Tax Benefit A Supplement&quot;, &quot;Family Tax Benefit B&quot;, &quot;Family Tax Benefit B Supplement&quot;, &quot;Large Family Supplement&quot;, &quot;Family Tax Benefit - old&quot;, “Multiple Birth Allowance”.&#10;&#10;The second category is &quot;I - Other Family&quot; and has another seven: &quot;Child Care Payments&quot;, &quot;Double Orphan Pension&quot;, &quot;Schoolkids Bonus&quot;, &quot;Single Income Family Supplement&quot;, &quot;Child Care Benefit and Child Care Rebate&quot; and “Baby Bonus”.&#10;&#10;&quot;J - Other New Parents&quot; has six payments: &quot;Dad and Partner Pay&quot;, &quot;Maternity Payments&quot;, &quot;Newborn Payment&quot;, &quot;Parental Leave Pay&quot;, &quot;Stillborn Baby Payment&quot; and “Baby Bonus”.&#10;Next is the &quot;L - Other Health &amp; Disability&quot; category, for people receiving &quot;Mobility Allowance&quot;, &quot;Essential Medical Equipment Payment&quot;, &quot;Incentive Allowance&quot; and &quot;Youth Disability Supplement&quot;&#10;&#10;The fifth category is &quot;M - Other Carer&quot; and contains &quot;Carer Allowance&quot;, &quot;Carer Supplement&quot;, &quot;Child Disability Assistance Payment&quot; and &quot;Carer Supplement - old&quot; payments.&#10;&#10;The &quot;N - Other Study &amp; Skills&quot; category contains &quot;CDEP Supplement&quot;, &quot;Education Supplements&quot;, &quot;Fares Allowance&quot;, &quot;Relocation Allowances&quot;, &quot;Training supplements&quot;, &quot;Education Entry Payment&quot;, &quot;Language Literacy &amp; Numeracy Supplement&quot;, &quot;Pensioner Education Supplement&quot;, &quot;Relocation Scholarship&quot;, &quot;School Fees Allowance&quot;, &quot;School Term Allowance&quot;, &quot;Student Start-up Scholarship&quot;, “Student Start up Loan”,&quot;Work for the dole&quot; and &quot;Work Program Supplement&quot;.&#10;&#10;The &quot;O - Other Remote &amp; Regional&quot; category includes the &quot;Assistance for Isolated Children&quot; and &quot;Remote Area Allowance&quot; payments.&#10;&#10;The &quot;P - Other General Allowances&quot; category has the following components: &quot;General Supplement&quot;, &quot;Income Support Bonus&quot;, &quot;Low Income Supplement&quot;, &quot;Income Management &quot;, &quot;Pension Supplement &quot;, &quot;Pension Bonus Scheme Payment&quot;, &quot;Pension Bonus Top-Up Payment&quot;, &quot;Pensioner Loan&quot;, “Energy Supplement”, “Living Allowances”, “Pharmaceutical Allowance”, “Residential Costs”, “Telephone Allowance”, “Utilities Allowance” and “Incidentals Allowance” payments.&#10;&#10;The &quot;Q - All Other&quot; category includes the &quot;Bereavement Allowance&quot;, &quot;Bereavement Lump Sum&quot; and &quot;Crisis Payment&quot;.&#10;&#10;The final payment category “R – rent assistance” includes only the “Rent Assistance” Payment.&#10;&#10;A third column notes any changes to the payment category mapping since the baseline valuation. The changes are;&#10;• Multiple birth allowance has been reassigned into Category H from Category I&#10;• Baby bonus has been included in the scope and assigned into Category J&#10;• The “K – Other Living” category has not been used for the 2016 valuation. The rent assistance payment has been stripped out of “K- Other Living” and put into a new category “R – Rent Assistance”. The other “K – Other Living” payments have been reassigned to category P. &#10;• The new Student Loan payment has been assigned to Category N &#10;• Assistance for Older Australians has been split out of the primary payment category and assigned to Category P. Seniors supplements and concessions has been included in the scope and assigned into Category P"/>
      </w:tblPr>
      <w:tblGrid>
        <w:gridCol w:w="2554"/>
        <w:gridCol w:w="3260"/>
        <w:gridCol w:w="4110"/>
      </w:tblGrid>
      <w:tr w:rsidR="00EE3DB2" w:rsidRPr="00EC326F" w14:paraId="5798A598" w14:textId="77777777" w:rsidTr="00F11DF8">
        <w:trPr>
          <w:cnfStyle w:val="100000000000" w:firstRow="1" w:lastRow="0" w:firstColumn="0" w:lastColumn="0" w:oddVBand="0" w:evenVBand="0" w:oddHBand="0" w:evenHBand="0" w:firstRowFirstColumn="0" w:firstRowLastColumn="0" w:lastRowFirstColumn="0" w:lastRowLastColumn="0"/>
          <w:cantSplit/>
          <w:trHeight w:val="280"/>
        </w:trPr>
        <w:tc>
          <w:tcPr>
            <w:cnfStyle w:val="000000000100" w:firstRow="0" w:lastRow="0" w:firstColumn="0" w:lastColumn="0" w:oddVBand="0" w:evenVBand="0" w:oddHBand="0" w:evenHBand="0" w:firstRowFirstColumn="1" w:firstRowLastColumn="0" w:lastRowFirstColumn="0" w:lastRowLastColumn="0"/>
            <w:tcW w:w="2553" w:type="dxa"/>
            <w:tcBorders>
              <w:bottom w:val="single" w:sz="6" w:space="0" w:color="E0301E"/>
            </w:tcBorders>
            <w:shd w:val="clear" w:color="auto" w:fill="E0301E"/>
          </w:tcPr>
          <w:p w14:paraId="03102AFC" w14:textId="77777777" w:rsidR="00EE3DB2" w:rsidRPr="00EC326F" w:rsidRDefault="00EE3DB2" w:rsidP="00511F69">
            <w:pPr>
              <w:pStyle w:val="TableTextSmall"/>
              <w:keepNext/>
              <w:jc w:val="center"/>
              <w:rPr>
                <w:rFonts w:cstheme="minorHAnsi"/>
                <w:szCs w:val="16"/>
              </w:rPr>
            </w:pPr>
            <w:r w:rsidRPr="00EC326F">
              <w:rPr>
                <w:rFonts w:cstheme="minorHAnsi"/>
                <w:b/>
                <w:color w:val="FFFFFF" w:themeColor="background1"/>
                <w:szCs w:val="16"/>
              </w:rPr>
              <w:t>Non income support (Non-IS) payment categories</w:t>
            </w:r>
          </w:p>
        </w:tc>
        <w:tc>
          <w:tcPr>
            <w:tcW w:w="3260" w:type="dxa"/>
            <w:tcBorders>
              <w:bottom w:val="single" w:sz="6" w:space="0" w:color="E0301E"/>
            </w:tcBorders>
            <w:shd w:val="clear" w:color="auto" w:fill="E0301E"/>
            <w:vAlign w:val="top"/>
          </w:tcPr>
          <w:p w14:paraId="1E4DAB50" w14:textId="77777777" w:rsidR="00EE3DB2" w:rsidRPr="00EC326F" w:rsidRDefault="00EE3DB2" w:rsidP="00511F69">
            <w:pPr>
              <w:pStyle w:val="TableTextSmall"/>
              <w:keepNext/>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Cs w:val="16"/>
              </w:rPr>
            </w:pPr>
            <w:r w:rsidRPr="00EC326F">
              <w:rPr>
                <w:rFonts w:cstheme="minorHAnsi"/>
                <w:b/>
                <w:color w:val="FFFFFF" w:themeColor="background1"/>
                <w:szCs w:val="16"/>
              </w:rPr>
              <w:t>Components</w:t>
            </w:r>
          </w:p>
        </w:tc>
        <w:tc>
          <w:tcPr>
            <w:tcW w:w="4110" w:type="dxa"/>
            <w:tcBorders>
              <w:bottom w:val="single" w:sz="6" w:space="0" w:color="E0301E"/>
            </w:tcBorders>
            <w:shd w:val="clear" w:color="auto" w:fill="E0301E"/>
            <w:vAlign w:val="top"/>
          </w:tcPr>
          <w:p w14:paraId="24B1E486" w14:textId="77777777" w:rsidR="00EE3DB2" w:rsidRPr="00EC326F" w:rsidRDefault="00EE3DB2" w:rsidP="00511F69">
            <w:pPr>
              <w:pStyle w:val="TableTextSmall"/>
              <w:keepNext/>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Cs w:val="16"/>
              </w:rPr>
            </w:pPr>
            <w:r w:rsidRPr="00EC326F">
              <w:rPr>
                <w:rFonts w:cstheme="minorHAnsi"/>
                <w:b/>
                <w:color w:val="FFFFFF" w:themeColor="background1"/>
                <w:szCs w:val="16"/>
              </w:rPr>
              <w:t>Changes since baseline valuation</w:t>
            </w:r>
          </w:p>
        </w:tc>
      </w:tr>
      <w:tr w:rsidR="00EE3DB2" w:rsidRPr="00EC326F" w14:paraId="09E720BE" w14:textId="77777777" w:rsidTr="00F11DF8">
        <w:trPr>
          <w:cantSplit/>
          <w:trHeight w:val="280"/>
        </w:trPr>
        <w:tc>
          <w:tcPr>
            <w:tcW w:w="2553" w:type="dxa"/>
            <w:tcBorders>
              <w:right w:val="single" w:sz="4" w:space="0" w:color="E0301E" w:themeColor="accent6"/>
            </w:tcBorders>
          </w:tcPr>
          <w:p w14:paraId="1615ABE9" w14:textId="77777777" w:rsidR="00EE3DB2" w:rsidRPr="00EC326F" w:rsidRDefault="00EE3DB2" w:rsidP="003F33BA">
            <w:pPr>
              <w:pStyle w:val="TableTextSmall"/>
              <w:rPr>
                <w:rFonts w:cstheme="minorHAnsi"/>
                <w:b/>
                <w:color w:val="FFFFFF" w:themeColor="background1"/>
                <w:szCs w:val="16"/>
              </w:rPr>
            </w:pPr>
            <w:r w:rsidRPr="00EC326F">
              <w:rPr>
                <w:rFonts w:cstheme="minorHAnsi"/>
                <w:szCs w:val="16"/>
              </w:rPr>
              <w:t>H - Other FTB</w:t>
            </w:r>
          </w:p>
        </w:tc>
        <w:tc>
          <w:tcPr>
            <w:tcW w:w="3260" w:type="dxa"/>
            <w:tcBorders>
              <w:left w:val="single" w:sz="4" w:space="0" w:color="E0301E" w:themeColor="accent6"/>
              <w:right w:val="single" w:sz="4" w:space="0" w:color="E0301E" w:themeColor="accent6"/>
            </w:tcBorders>
          </w:tcPr>
          <w:p w14:paraId="5870CE81" w14:textId="77777777" w:rsidR="00EE3DB2" w:rsidRPr="00EC326F" w:rsidRDefault="00EE3DB2" w:rsidP="002C719E">
            <w:pPr>
              <w:pStyle w:val="TableTextSmall"/>
              <w:rPr>
                <w:rFonts w:cstheme="minorHAnsi"/>
                <w:szCs w:val="16"/>
              </w:rPr>
            </w:pPr>
            <w:r w:rsidRPr="00EC326F">
              <w:rPr>
                <w:rFonts w:cstheme="minorHAnsi"/>
                <w:szCs w:val="16"/>
              </w:rPr>
              <w:t>Family Tax Benefit A</w:t>
            </w:r>
          </w:p>
          <w:p w14:paraId="7AAF01ED" w14:textId="77777777" w:rsidR="00EE3DB2" w:rsidRPr="00EC326F" w:rsidRDefault="00EE3DB2" w:rsidP="002C719E">
            <w:pPr>
              <w:pStyle w:val="TableTextSmall"/>
              <w:rPr>
                <w:rFonts w:cstheme="minorHAnsi"/>
                <w:szCs w:val="16"/>
              </w:rPr>
            </w:pPr>
            <w:r w:rsidRPr="00EC326F">
              <w:rPr>
                <w:rFonts w:cstheme="minorHAnsi"/>
                <w:szCs w:val="16"/>
              </w:rPr>
              <w:t>Family Tax Benefit A Supplement</w:t>
            </w:r>
          </w:p>
          <w:p w14:paraId="26E9E3D9" w14:textId="77777777" w:rsidR="00EE3DB2" w:rsidRPr="00EC326F" w:rsidRDefault="00EE3DB2" w:rsidP="002C719E">
            <w:pPr>
              <w:pStyle w:val="TableTextSmall"/>
              <w:rPr>
                <w:rFonts w:cstheme="minorHAnsi"/>
                <w:szCs w:val="16"/>
              </w:rPr>
            </w:pPr>
            <w:r w:rsidRPr="00EC326F">
              <w:rPr>
                <w:rFonts w:cstheme="minorHAnsi"/>
                <w:szCs w:val="16"/>
              </w:rPr>
              <w:t>Family Tax Benefit B</w:t>
            </w:r>
          </w:p>
          <w:p w14:paraId="75D6D452" w14:textId="77777777" w:rsidR="00EE3DB2" w:rsidRPr="00EC326F" w:rsidRDefault="00EE3DB2" w:rsidP="002C719E">
            <w:pPr>
              <w:pStyle w:val="TableTextSmall"/>
              <w:rPr>
                <w:rFonts w:cstheme="minorHAnsi"/>
                <w:szCs w:val="16"/>
              </w:rPr>
            </w:pPr>
            <w:r w:rsidRPr="00EC326F">
              <w:rPr>
                <w:rFonts w:cstheme="minorHAnsi"/>
                <w:szCs w:val="16"/>
              </w:rPr>
              <w:t>Family Tax Benefit B Supplement</w:t>
            </w:r>
          </w:p>
          <w:p w14:paraId="4D9C3B7C" w14:textId="77777777" w:rsidR="00EE3DB2" w:rsidRPr="00EC326F" w:rsidRDefault="00EE3DB2" w:rsidP="002C719E">
            <w:pPr>
              <w:pStyle w:val="TableTextSmall"/>
              <w:rPr>
                <w:rFonts w:cstheme="minorHAnsi"/>
                <w:szCs w:val="16"/>
              </w:rPr>
            </w:pPr>
            <w:r w:rsidRPr="00EC326F">
              <w:rPr>
                <w:rFonts w:cstheme="minorHAnsi"/>
                <w:szCs w:val="16"/>
              </w:rPr>
              <w:t xml:space="preserve">Family Tax Benefit </w:t>
            </w:r>
            <w:r w:rsidR="00831CA5" w:rsidRPr="00EC326F">
              <w:rPr>
                <w:rFonts w:cstheme="minorHAnsi"/>
                <w:szCs w:val="16"/>
              </w:rPr>
              <w:t>–</w:t>
            </w:r>
            <w:r w:rsidRPr="00EC326F">
              <w:rPr>
                <w:rFonts w:cstheme="minorHAnsi"/>
                <w:szCs w:val="16"/>
              </w:rPr>
              <w:t xml:space="preserve"> old</w:t>
            </w:r>
          </w:p>
          <w:p w14:paraId="7DA2DAE3" w14:textId="77777777" w:rsidR="00831CA5" w:rsidRPr="00EC326F" w:rsidRDefault="00831CA5" w:rsidP="00831CA5">
            <w:pPr>
              <w:pStyle w:val="TableTextSmall"/>
              <w:rPr>
                <w:rFonts w:cstheme="minorHAnsi"/>
                <w:szCs w:val="16"/>
              </w:rPr>
            </w:pPr>
            <w:r w:rsidRPr="00EC326F">
              <w:rPr>
                <w:rFonts w:cstheme="minorHAnsi"/>
                <w:szCs w:val="16"/>
              </w:rPr>
              <w:t>Multiple Birth Allowance</w:t>
            </w:r>
          </w:p>
          <w:p w14:paraId="6BB4244F" w14:textId="77777777" w:rsidR="00355117" w:rsidRPr="00EC326F" w:rsidRDefault="00355117" w:rsidP="00831CA5">
            <w:pPr>
              <w:pStyle w:val="TableTextSmall"/>
              <w:rPr>
                <w:rFonts w:cstheme="minorHAnsi"/>
                <w:szCs w:val="16"/>
              </w:rPr>
            </w:pPr>
            <w:r w:rsidRPr="00EC326F">
              <w:rPr>
                <w:rFonts w:cstheme="minorHAnsi"/>
                <w:szCs w:val="16"/>
              </w:rPr>
              <w:t>Large Family Supplement</w:t>
            </w:r>
          </w:p>
        </w:tc>
        <w:tc>
          <w:tcPr>
            <w:tcW w:w="4110" w:type="dxa"/>
            <w:tcBorders>
              <w:left w:val="single" w:sz="4" w:space="0" w:color="E0301E" w:themeColor="accent6"/>
            </w:tcBorders>
          </w:tcPr>
          <w:p w14:paraId="78E1CFA0" w14:textId="77777777" w:rsidR="00B46271" w:rsidRPr="00EC326F" w:rsidRDefault="00042517" w:rsidP="00511F69">
            <w:pPr>
              <w:pStyle w:val="TableTextSmall"/>
              <w:rPr>
                <w:rFonts w:cstheme="minorHAnsi"/>
                <w:szCs w:val="16"/>
              </w:rPr>
            </w:pPr>
            <w:r w:rsidRPr="00EC326F">
              <w:rPr>
                <w:rFonts w:cstheme="minorHAnsi"/>
                <w:szCs w:val="16"/>
              </w:rPr>
              <w:t>Multiple birth allowance has been reassigned into Category H from Category I</w:t>
            </w:r>
          </w:p>
        </w:tc>
      </w:tr>
      <w:tr w:rsidR="00EE3DB2" w:rsidRPr="00EC326F" w14:paraId="3D8CB2CA" w14:textId="77777777" w:rsidTr="00F11DF8">
        <w:trPr>
          <w:cantSplit/>
          <w:trHeight w:val="280"/>
        </w:trPr>
        <w:tc>
          <w:tcPr>
            <w:tcW w:w="2553" w:type="dxa"/>
            <w:tcBorders>
              <w:right w:val="single" w:sz="4" w:space="0" w:color="E0301E" w:themeColor="accent6"/>
            </w:tcBorders>
          </w:tcPr>
          <w:p w14:paraId="02DFD6FE" w14:textId="77777777" w:rsidR="00EE3DB2" w:rsidRPr="00EC326F" w:rsidRDefault="00EE3DB2" w:rsidP="003F33BA">
            <w:pPr>
              <w:pStyle w:val="TableTextSmall"/>
              <w:rPr>
                <w:rFonts w:cstheme="minorHAnsi"/>
                <w:szCs w:val="16"/>
              </w:rPr>
            </w:pPr>
            <w:r w:rsidRPr="00EC326F">
              <w:rPr>
                <w:rFonts w:cstheme="minorHAnsi"/>
                <w:szCs w:val="16"/>
              </w:rPr>
              <w:t>I - Other Family</w:t>
            </w:r>
          </w:p>
        </w:tc>
        <w:tc>
          <w:tcPr>
            <w:tcW w:w="3260" w:type="dxa"/>
            <w:tcBorders>
              <w:left w:val="single" w:sz="4" w:space="0" w:color="E0301E" w:themeColor="accent6"/>
              <w:right w:val="single" w:sz="4" w:space="0" w:color="E0301E" w:themeColor="accent6"/>
            </w:tcBorders>
          </w:tcPr>
          <w:p w14:paraId="60478A11" w14:textId="77777777" w:rsidR="00831CA5" w:rsidRPr="00EC326F" w:rsidRDefault="00831CA5" w:rsidP="00831CA5">
            <w:pPr>
              <w:pStyle w:val="TableTextSmall"/>
              <w:rPr>
                <w:rFonts w:cstheme="minorHAnsi"/>
                <w:szCs w:val="16"/>
              </w:rPr>
            </w:pPr>
            <w:r w:rsidRPr="00EC326F">
              <w:rPr>
                <w:rFonts w:cstheme="minorHAnsi"/>
                <w:szCs w:val="16"/>
              </w:rPr>
              <w:t xml:space="preserve">Child Care Benefit </w:t>
            </w:r>
          </w:p>
          <w:p w14:paraId="33888612" w14:textId="77777777" w:rsidR="00831CA5" w:rsidRPr="00EC326F" w:rsidRDefault="00831CA5" w:rsidP="00831CA5">
            <w:pPr>
              <w:pStyle w:val="TableTextSmall"/>
              <w:rPr>
                <w:rFonts w:cstheme="minorHAnsi"/>
                <w:szCs w:val="16"/>
              </w:rPr>
            </w:pPr>
            <w:r w:rsidRPr="00EC326F">
              <w:rPr>
                <w:rFonts w:cstheme="minorHAnsi"/>
                <w:szCs w:val="16"/>
              </w:rPr>
              <w:t>Child Care Rebate</w:t>
            </w:r>
          </w:p>
          <w:p w14:paraId="178C2D7E" w14:textId="77777777" w:rsidR="00EE3DB2" w:rsidRPr="00EC326F" w:rsidRDefault="00EE3DB2" w:rsidP="002C719E">
            <w:pPr>
              <w:pStyle w:val="TableTextSmall"/>
              <w:rPr>
                <w:rFonts w:cstheme="minorHAnsi"/>
                <w:szCs w:val="16"/>
              </w:rPr>
            </w:pPr>
            <w:r w:rsidRPr="00EC326F">
              <w:rPr>
                <w:rFonts w:cstheme="minorHAnsi"/>
                <w:szCs w:val="16"/>
              </w:rPr>
              <w:t>Child Care Payments</w:t>
            </w:r>
          </w:p>
          <w:p w14:paraId="77BA0327" w14:textId="77777777" w:rsidR="00EE3DB2" w:rsidRPr="00EC326F" w:rsidRDefault="00EE3DB2" w:rsidP="002C719E">
            <w:pPr>
              <w:pStyle w:val="TableTextSmall"/>
              <w:rPr>
                <w:rFonts w:cstheme="minorHAnsi"/>
                <w:szCs w:val="16"/>
              </w:rPr>
            </w:pPr>
            <w:r w:rsidRPr="00EC326F">
              <w:rPr>
                <w:rFonts w:cstheme="minorHAnsi"/>
                <w:szCs w:val="16"/>
              </w:rPr>
              <w:t>Double Orphan Pension</w:t>
            </w:r>
          </w:p>
          <w:p w14:paraId="3617DAD7" w14:textId="77777777" w:rsidR="00EE3DB2" w:rsidRPr="00EC326F" w:rsidRDefault="00EE3DB2" w:rsidP="002C719E">
            <w:pPr>
              <w:pStyle w:val="TableTextSmall"/>
              <w:rPr>
                <w:rFonts w:cstheme="minorHAnsi"/>
                <w:szCs w:val="16"/>
              </w:rPr>
            </w:pPr>
            <w:r w:rsidRPr="00EC326F">
              <w:rPr>
                <w:rFonts w:cstheme="minorHAnsi"/>
                <w:szCs w:val="16"/>
              </w:rPr>
              <w:t>Schoolkids Bonus</w:t>
            </w:r>
          </w:p>
          <w:p w14:paraId="4C3344B1" w14:textId="77777777" w:rsidR="00EE3DB2" w:rsidRPr="00EC326F" w:rsidRDefault="00EE3DB2" w:rsidP="00511F69">
            <w:pPr>
              <w:pStyle w:val="TableTextSmall"/>
              <w:rPr>
                <w:rFonts w:cstheme="minorHAnsi"/>
                <w:strike/>
                <w:szCs w:val="16"/>
              </w:rPr>
            </w:pPr>
            <w:r w:rsidRPr="00EC326F">
              <w:rPr>
                <w:rFonts w:cstheme="minorHAnsi"/>
                <w:szCs w:val="16"/>
              </w:rPr>
              <w:t>Single Income Family Supplement</w:t>
            </w:r>
          </w:p>
        </w:tc>
        <w:tc>
          <w:tcPr>
            <w:tcW w:w="4110" w:type="dxa"/>
            <w:tcBorders>
              <w:left w:val="single" w:sz="4" w:space="0" w:color="E0301E" w:themeColor="accent6"/>
            </w:tcBorders>
          </w:tcPr>
          <w:p w14:paraId="65DF2B4A" w14:textId="77777777" w:rsidR="00EE3DB2" w:rsidRPr="00EC326F" w:rsidRDefault="00042517" w:rsidP="00511F69">
            <w:pPr>
              <w:pStyle w:val="TableTextSmall"/>
              <w:rPr>
                <w:rFonts w:cstheme="minorHAnsi"/>
                <w:szCs w:val="16"/>
                <w:highlight w:val="green"/>
              </w:rPr>
            </w:pPr>
            <w:r w:rsidRPr="00EC326F">
              <w:rPr>
                <w:rFonts w:cstheme="minorHAnsi"/>
                <w:szCs w:val="16"/>
              </w:rPr>
              <w:t>Multiple birth allowance has been reassigned into Category H from Category I</w:t>
            </w:r>
          </w:p>
        </w:tc>
      </w:tr>
      <w:tr w:rsidR="00EE3DB2" w:rsidRPr="00EC326F" w14:paraId="5C22369F" w14:textId="77777777" w:rsidTr="00F11DF8">
        <w:trPr>
          <w:cantSplit/>
          <w:trHeight w:val="280"/>
        </w:trPr>
        <w:tc>
          <w:tcPr>
            <w:tcW w:w="2553" w:type="dxa"/>
            <w:tcBorders>
              <w:right w:val="single" w:sz="4" w:space="0" w:color="E0301E" w:themeColor="accent6"/>
            </w:tcBorders>
          </w:tcPr>
          <w:p w14:paraId="59B3C15A" w14:textId="77777777" w:rsidR="00EE3DB2" w:rsidRPr="00EC326F" w:rsidRDefault="00EE3DB2" w:rsidP="003F33BA">
            <w:pPr>
              <w:pStyle w:val="TableTextSmall"/>
              <w:rPr>
                <w:rFonts w:cstheme="minorHAnsi"/>
                <w:szCs w:val="16"/>
              </w:rPr>
            </w:pPr>
            <w:r w:rsidRPr="00EC326F">
              <w:rPr>
                <w:rFonts w:cstheme="minorHAnsi"/>
                <w:szCs w:val="16"/>
              </w:rPr>
              <w:t>J - Other New Parent</w:t>
            </w:r>
          </w:p>
        </w:tc>
        <w:tc>
          <w:tcPr>
            <w:tcW w:w="3260" w:type="dxa"/>
            <w:tcBorders>
              <w:left w:val="single" w:sz="4" w:space="0" w:color="E0301E" w:themeColor="accent6"/>
              <w:right w:val="single" w:sz="4" w:space="0" w:color="E0301E" w:themeColor="accent6"/>
            </w:tcBorders>
          </w:tcPr>
          <w:p w14:paraId="600D8EF5" w14:textId="77777777" w:rsidR="00EE3DB2" w:rsidRPr="00EC326F" w:rsidRDefault="00EE3DB2" w:rsidP="002C719E">
            <w:pPr>
              <w:pStyle w:val="TableTextSmall"/>
              <w:rPr>
                <w:rFonts w:cstheme="minorHAnsi"/>
                <w:szCs w:val="16"/>
              </w:rPr>
            </w:pPr>
            <w:r w:rsidRPr="00EC326F">
              <w:rPr>
                <w:rFonts w:cstheme="minorHAnsi"/>
                <w:szCs w:val="16"/>
              </w:rPr>
              <w:t>Dad and Partner Pay</w:t>
            </w:r>
          </w:p>
          <w:p w14:paraId="0332311D" w14:textId="77777777" w:rsidR="00EE3DB2" w:rsidRPr="00EC326F" w:rsidRDefault="00EE3DB2" w:rsidP="002C719E">
            <w:pPr>
              <w:pStyle w:val="TableTextSmall"/>
              <w:rPr>
                <w:rFonts w:cstheme="minorHAnsi"/>
                <w:szCs w:val="16"/>
              </w:rPr>
            </w:pPr>
            <w:r w:rsidRPr="00EC326F">
              <w:rPr>
                <w:rFonts w:cstheme="minorHAnsi"/>
                <w:szCs w:val="16"/>
              </w:rPr>
              <w:t>Maternity Payments</w:t>
            </w:r>
          </w:p>
          <w:p w14:paraId="3792CC6C" w14:textId="77777777" w:rsidR="00EE3DB2" w:rsidRPr="00EC326F" w:rsidRDefault="00EE3DB2" w:rsidP="002C719E">
            <w:pPr>
              <w:pStyle w:val="TableTextSmall"/>
              <w:rPr>
                <w:rFonts w:cstheme="minorHAnsi"/>
                <w:szCs w:val="16"/>
              </w:rPr>
            </w:pPr>
            <w:r w:rsidRPr="00EC326F">
              <w:rPr>
                <w:rFonts w:cstheme="minorHAnsi"/>
                <w:szCs w:val="16"/>
              </w:rPr>
              <w:t>Newborn Payment</w:t>
            </w:r>
          </w:p>
          <w:p w14:paraId="15B92F7E" w14:textId="77777777" w:rsidR="00EE3DB2" w:rsidRPr="00EC326F" w:rsidRDefault="00EE3DB2" w:rsidP="002C719E">
            <w:pPr>
              <w:pStyle w:val="TableTextSmall"/>
              <w:rPr>
                <w:rFonts w:cstheme="minorHAnsi"/>
                <w:szCs w:val="16"/>
              </w:rPr>
            </w:pPr>
            <w:r w:rsidRPr="00EC326F">
              <w:rPr>
                <w:rFonts w:cstheme="minorHAnsi"/>
                <w:szCs w:val="16"/>
              </w:rPr>
              <w:t>Parental Leave Pay</w:t>
            </w:r>
          </w:p>
          <w:p w14:paraId="7C5FC099" w14:textId="77777777" w:rsidR="00EE3DB2" w:rsidRPr="00EC326F" w:rsidRDefault="00EE3DB2" w:rsidP="002C719E">
            <w:pPr>
              <w:pStyle w:val="TableTextSmall"/>
              <w:rPr>
                <w:rFonts w:cstheme="minorHAnsi"/>
                <w:szCs w:val="16"/>
              </w:rPr>
            </w:pPr>
            <w:r w:rsidRPr="00EC326F">
              <w:rPr>
                <w:rFonts w:cstheme="minorHAnsi"/>
                <w:szCs w:val="16"/>
              </w:rPr>
              <w:t>Stillborn Baby Payment</w:t>
            </w:r>
          </w:p>
          <w:p w14:paraId="006CA6E5" w14:textId="77777777" w:rsidR="00831CA5" w:rsidRPr="00EC326F" w:rsidRDefault="00831CA5" w:rsidP="002C719E">
            <w:pPr>
              <w:pStyle w:val="TableTextSmall"/>
              <w:rPr>
                <w:rFonts w:cstheme="minorHAnsi"/>
                <w:szCs w:val="16"/>
              </w:rPr>
            </w:pPr>
            <w:r w:rsidRPr="00EC326F">
              <w:rPr>
                <w:rFonts w:cstheme="minorHAnsi"/>
                <w:szCs w:val="16"/>
              </w:rPr>
              <w:t>Baby bonus</w:t>
            </w:r>
          </w:p>
        </w:tc>
        <w:tc>
          <w:tcPr>
            <w:tcW w:w="4110" w:type="dxa"/>
            <w:tcBorders>
              <w:left w:val="single" w:sz="4" w:space="0" w:color="E0301E" w:themeColor="accent6"/>
            </w:tcBorders>
          </w:tcPr>
          <w:p w14:paraId="634B55AA" w14:textId="77777777" w:rsidR="00EE3DB2" w:rsidRPr="00EC326F" w:rsidRDefault="00042517" w:rsidP="00511F69">
            <w:pPr>
              <w:pStyle w:val="TableTextSmall"/>
              <w:rPr>
                <w:rFonts w:cstheme="minorHAnsi"/>
                <w:szCs w:val="16"/>
              </w:rPr>
            </w:pPr>
            <w:r w:rsidRPr="00EC326F">
              <w:rPr>
                <w:rFonts w:cstheme="minorHAnsi"/>
                <w:szCs w:val="16"/>
              </w:rPr>
              <w:t>Baby bonus has been included in the scope and assigned into Category J</w:t>
            </w:r>
          </w:p>
        </w:tc>
      </w:tr>
      <w:tr w:rsidR="00EE3DB2" w:rsidRPr="00EC326F" w14:paraId="798EC894" w14:textId="77777777" w:rsidTr="00F11DF8">
        <w:trPr>
          <w:cantSplit/>
          <w:trHeight w:val="280"/>
        </w:trPr>
        <w:tc>
          <w:tcPr>
            <w:tcW w:w="2553" w:type="dxa"/>
            <w:tcBorders>
              <w:right w:val="single" w:sz="4" w:space="0" w:color="E0301E" w:themeColor="accent6"/>
            </w:tcBorders>
          </w:tcPr>
          <w:p w14:paraId="27964B3A" w14:textId="77777777" w:rsidR="00EE3DB2" w:rsidRPr="00EC326F" w:rsidRDefault="00EE3DB2" w:rsidP="002C719E">
            <w:pPr>
              <w:pStyle w:val="TableTextSmall"/>
              <w:rPr>
                <w:rFonts w:cstheme="minorHAnsi"/>
                <w:szCs w:val="16"/>
              </w:rPr>
            </w:pPr>
            <w:r w:rsidRPr="00EC326F">
              <w:rPr>
                <w:rFonts w:cstheme="minorHAnsi"/>
                <w:szCs w:val="16"/>
              </w:rPr>
              <w:t xml:space="preserve">K - Other Living </w:t>
            </w:r>
          </w:p>
        </w:tc>
        <w:tc>
          <w:tcPr>
            <w:tcW w:w="3260" w:type="dxa"/>
            <w:tcBorders>
              <w:left w:val="single" w:sz="4" w:space="0" w:color="E0301E" w:themeColor="accent6"/>
              <w:right w:val="single" w:sz="4" w:space="0" w:color="E0301E" w:themeColor="accent6"/>
            </w:tcBorders>
          </w:tcPr>
          <w:p w14:paraId="4BD0C543" w14:textId="77777777" w:rsidR="00EE3DB2" w:rsidRPr="00EC326F" w:rsidRDefault="00716483" w:rsidP="00716483">
            <w:pPr>
              <w:pStyle w:val="TableTextSmall"/>
              <w:rPr>
                <w:rFonts w:cstheme="minorHAnsi"/>
                <w:i/>
                <w:szCs w:val="16"/>
              </w:rPr>
            </w:pPr>
            <w:r w:rsidRPr="00EC326F">
              <w:rPr>
                <w:rFonts w:cstheme="minorHAnsi"/>
                <w:i/>
                <w:szCs w:val="16"/>
              </w:rPr>
              <w:t>(None - this category has not been used for the 2016 valuation)</w:t>
            </w:r>
          </w:p>
        </w:tc>
        <w:tc>
          <w:tcPr>
            <w:tcW w:w="4110" w:type="dxa"/>
            <w:tcBorders>
              <w:left w:val="single" w:sz="4" w:space="0" w:color="E0301E" w:themeColor="accent6"/>
            </w:tcBorders>
          </w:tcPr>
          <w:p w14:paraId="232C8956" w14:textId="77777777" w:rsidR="00042517" w:rsidRPr="00EC326F" w:rsidRDefault="00042517" w:rsidP="00042517">
            <w:pPr>
              <w:pStyle w:val="TableTextSmall"/>
              <w:rPr>
                <w:rFonts w:cstheme="minorHAnsi"/>
                <w:szCs w:val="16"/>
              </w:rPr>
            </w:pPr>
            <w:r w:rsidRPr="00EC326F">
              <w:rPr>
                <w:rFonts w:cstheme="minorHAnsi"/>
                <w:szCs w:val="16"/>
              </w:rPr>
              <w:t>Rent Assistance has been reassigned to new category R.</w:t>
            </w:r>
          </w:p>
          <w:p w14:paraId="7E9D7497" w14:textId="77777777" w:rsidR="00EE3DB2" w:rsidRPr="00EC326F" w:rsidRDefault="00042517" w:rsidP="00042517">
            <w:pPr>
              <w:pStyle w:val="TableTextSmall"/>
              <w:rPr>
                <w:rFonts w:cstheme="minorHAnsi"/>
                <w:szCs w:val="16"/>
              </w:rPr>
            </w:pPr>
            <w:r w:rsidRPr="00EC326F">
              <w:rPr>
                <w:rFonts w:cstheme="minorHAnsi"/>
                <w:szCs w:val="16"/>
              </w:rPr>
              <w:t>Other payments have been reassigned to category P for improved consistency.</w:t>
            </w:r>
          </w:p>
        </w:tc>
      </w:tr>
      <w:tr w:rsidR="00EE3DB2" w:rsidRPr="00EC326F" w14:paraId="5D07529B" w14:textId="77777777" w:rsidTr="00F11DF8">
        <w:trPr>
          <w:cantSplit/>
          <w:trHeight w:val="280"/>
        </w:trPr>
        <w:tc>
          <w:tcPr>
            <w:tcW w:w="2553" w:type="dxa"/>
            <w:tcBorders>
              <w:right w:val="single" w:sz="4" w:space="0" w:color="E0301E" w:themeColor="accent6"/>
            </w:tcBorders>
          </w:tcPr>
          <w:p w14:paraId="75B1BC31" w14:textId="77777777" w:rsidR="00EE3DB2" w:rsidRPr="00EC326F" w:rsidRDefault="00EE3DB2" w:rsidP="003F33BA">
            <w:pPr>
              <w:pStyle w:val="TableTextSmall"/>
              <w:rPr>
                <w:rFonts w:cstheme="minorHAnsi"/>
                <w:szCs w:val="16"/>
              </w:rPr>
            </w:pPr>
            <w:r w:rsidRPr="00EC326F">
              <w:rPr>
                <w:rFonts w:cstheme="minorHAnsi"/>
                <w:szCs w:val="16"/>
              </w:rPr>
              <w:t>L - Other Health &amp; Disability</w:t>
            </w:r>
          </w:p>
        </w:tc>
        <w:tc>
          <w:tcPr>
            <w:tcW w:w="3260" w:type="dxa"/>
            <w:tcBorders>
              <w:left w:val="single" w:sz="4" w:space="0" w:color="E0301E" w:themeColor="accent6"/>
              <w:right w:val="single" w:sz="4" w:space="0" w:color="E0301E" w:themeColor="accent6"/>
            </w:tcBorders>
          </w:tcPr>
          <w:p w14:paraId="3E8D8954" w14:textId="77777777" w:rsidR="00EE3DB2" w:rsidRPr="00EC326F" w:rsidRDefault="00EE3DB2" w:rsidP="002C719E">
            <w:pPr>
              <w:pStyle w:val="TableTextSmall"/>
              <w:rPr>
                <w:rFonts w:cstheme="minorHAnsi"/>
                <w:szCs w:val="16"/>
              </w:rPr>
            </w:pPr>
            <w:r w:rsidRPr="00EC326F">
              <w:rPr>
                <w:rFonts w:cstheme="minorHAnsi"/>
                <w:szCs w:val="16"/>
              </w:rPr>
              <w:t>Mobility Allowance</w:t>
            </w:r>
          </w:p>
          <w:p w14:paraId="56DA3A26" w14:textId="77777777" w:rsidR="00EE3DB2" w:rsidRPr="00EC326F" w:rsidRDefault="00EE3DB2" w:rsidP="002C719E">
            <w:pPr>
              <w:pStyle w:val="TableTextSmall"/>
              <w:rPr>
                <w:rFonts w:cstheme="minorHAnsi"/>
                <w:szCs w:val="16"/>
              </w:rPr>
            </w:pPr>
            <w:r w:rsidRPr="00EC326F">
              <w:rPr>
                <w:rFonts w:cstheme="minorHAnsi"/>
                <w:szCs w:val="16"/>
              </w:rPr>
              <w:t>Essential Medical Equipment Payment</w:t>
            </w:r>
          </w:p>
          <w:p w14:paraId="0CF5AD75" w14:textId="77777777" w:rsidR="00EE3DB2" w:rsidRPr="00EC326F" w:rsidRDefault="00EE3DB2" w:rsidP="002C719E">
            <w:pPr>
              <w:pStyle w:val="TableTextSmall"/>
              <w:rPr>
                <w:rFonts w:cstheme="minorHAnsi"/>
                <w:szCs w:val="16"/>
              </w:rPr>
            </w:pPr>
            <w:r w:rsidRPr="00EC326F">
              <w:rPr>
                <w:rFonts w:cstheme="minorHAnsi"/>
                <w:szCs w:val="16"/>
              </w:rPr>
              <w:t>Incentive Allowance</w:t>
            </w:r>
          </w:p>
          <w:p w14:paraId="480C1953" w14:textId="77777777" w:rsidR="00EE3DB2" w:rsidRPr="00EC326F" w:rsidRDefault="00EE3DB2" w:rsidP="002C719E">
            <w:pPr>
              <w:pStyle w:val="TableTextSmall"/>
              <w:rPr>
                <w:rFonts w:cstheme="minorHAnsi"/>
                <w:szCs w:val="16"/>
              </w:rPr>
            </w:pPr>
            <w:r w:rsidRPr="00EC326F">
              <w:rPr>
                <w:rFonts w:cstheme="minorHAnsi"/>
                <w:szCs w:val="16"/>
              </w:rPr>
              <w:t>Youth Disability Supplement</w:t>
            </w:r>
          </w:p>
        </w:tc>
        <w:tc>
          <w:tcPr>
            <w:tcW w:w="4110" w:type="dxa"/>
            <w:tcBorders>
              <w:left w:val="single" w:sz="4" w:space="0" w:color="E0301E" w:themeColor="accent6"/>
            </w:tcBorders>
          </w:tcPr>
          <w:p w14:paraId="13346B5C" w14:textId="77777777" w:rsidR="00EE3DB2" w:rsidRPr="00EC326F" w:rsidRDefault="00355117" w:rsidP="002C719E">
            <w:pPr>
              <w:pStyle w:val="TableTextSmall"/>
              <w:rPr>
                <w:rFonts w:cstheme="minorHAnsi"/>
                <w:i/>
                <w:szCs w:val="16"/>
              </w:rPr>
            </w:pPr>
            <w:r w:rsidRPr="00EC326F">
              <w:rPr>
                <w:rFonts w:cstheme="minorHAnsi"/>
                <w:i/>
                <w:szCs w:val="16"/>
              </w:rPr>
              <w:t>No changes</w:t>
            </w:r>
          </w:p>
        </w:tc>
      </w:tr>
      <w:tr w:rsidR="00EE3DB2" w:rsidRPr="00EC326F" w14:paraId="383C1661" w14:textId="77777777" w:rsidTr="00F11DF8">
        <w:trPr>
          <w:cantSplit/>
          <w:trHeight w:val="280"/>
        </w:trPr>
        <w:tc>
          <w:tcPr>
            <w:tcW w:w="2553" w:type="dxa"/>
            <w:tcBorders>
              <w:right w:val="single" w:sz="4" w:space="0" w:color="E0301E" w:themeColor="accent6"/>
            </w:tcBorders>
          </w:tcPr>
          <w:p w14:paraId="7CF8E842" w14:textId="77777777" w:rsidR="00EE3DB2" w:rsidRPr="00EC326F" w:rsidRDefault="00EE3DB2" w:rsidP="003F33BA">
            <w:pPr>
              <w:pStyle w:val="TableTextSmall"/>
              <w:rPr>
                <w:rFonts w:cstheme="minorHAnsi"/>
                <w:szCs w:val="16"/>
              </w:rPr>
            </w:pPr>
            <w:r w:rsidRPr="00EC326F">
              <w:rPr>
                <w:rFonts w:cstheme="minorHAnsi"/>
                <w:szCs w:val="16"/>
              </w:rPr>
              <w:t>M - Other Carer</w:t>
            </w:r>
          </w:p>
        </w:tc>
        <w:tc>
          <w:tcPr>
            <w:tcW w:w="3260" w:type="dxa"/>
            <w:tcBorders>
              <w:left w:val="single" w:sz="4" w:space="0" w:color="E0301E" w:themeColor="accent6"/>
              <w:right w:val="single" w:sz="4" w:space="0" w:color="E0301E" w:themeColor="accent6"/>
            </w:tcBorders>
          </w:tcPr>
          <w:p w14:paraId="73F33804" w14:textId="77777777" w:rsidR="00EE3DB2" w:rsidRPr="00EC326F" w:rsidRDefault="00EE3DB2" w:rsidP="002C719E">
            <w:pPr>
              <w:pStyle w:val="TableTextSmall"/>
              <w:rPr>
                <w:rFonts w:cstheme="minorHAnsi"/>
                <w:szCs w:val="16"/>
              </w:rPr>
            </w:pPr>
            <w:r w:rsidRPr="00EC326F">
              <w:rPr>
                <w:rFonts w:cstheme="minorHAnsi"/>
                <w:szCs w:val="16"/>
              </w:rPr>
              <w:t>Carer Allowance</w:t>
            </w:r>
          </w:p>
          <w:p w14:paraId="54B8DE06" w14:textId="77777777" w:rsidR="00EE3DB2" w:rsidRPr="00EC326F" w:rsidRDefault="00EE3DB2" w:rsidP="002C719E">
            <w:pPr>
              <w:pStyle w:val="TableTextSmall"/>
              <w:rPr>
                <w:rFonts w:cstheme="minorHAnsi"/>
                <w:szCs w:val="16"/>
              </w:rPr>
            </w:pPr>
            <w:r w:rsidRPr="00EC326F">
              <w:rPr>
                <w:rFonts w:cstheme="minorHAnsi"/>
                <w:szCs w:val="16"/>
              </w:rPr>
              <w:t>Carer Supplement</w:t>
            </w:r>
          </w:p>
          <w:p w14:paraId="532A6DA9" w14:textId="77777777" w:rsidR="00EE3DB2" w:rsidRPr="00EC326F" w:rsidRDefault="00EE3DB2" w:rsidP="002C719E">
            <w:pPr>
              <w:pStyle w:val="TableTextSmall"/>
              <w:rPr>
                <w:rFonts w:cstheme="minorHAnsi"/>
                <w:szCs w:val="16"/>
              </w:rPr>
            </w:pPr>
            <w:r w:rsidRPr="00EC326F">
              <w:rPr>
                <w:rFonts w:cstheme="minorHAnsi"/>
                <w:szCs w:val="16"/>
              </w:rPr>
              <w:t>Child Disability Assistance Payment</w:t>
            </w:r>
          </w:p>
          <w:p w14:paraId="1DBDD24D" w14:textId="77777777" w:rsidR="00EE3DB2" w:rsidRPr="00EC326F" w:rsidRDefault="00EE3DB2" w:rsidP="002C719E">
            <w:pPr>
              <w:pStyle w:val="TableTextSmall"/>
              <w:rPr>
                <w:rFonts w:cstheme="minorHAnsi"/>
                <w:szCs w:val="16"/>
              </w:rPr>
            </w:pPr>
            <w:r w:rsidRPr="00EC326F">
              <w:rPr>
                <w:rFonts w:cstheme="minorHAnsi"/>
                <w:szCs w:val="16"/>
              </w:rPr>
              <w:t>Carer Supplement - old</w:t>
            </w:r>
          </w:p>
        </w:tc>
        <w:tc>
          <w:tcPr>
            <w:tcW w:w="4110" w:type="dxa"/>
            <w:tcBorders>
              <w:left w:val="single" w:sz="4" w:space="0" w:color="E0301E" w:themeColor="accent6"/>
            </w:tcBorders>
          </w:tcPr>
          <w:p w14:paraId="163988A6" w14:textId="77777777" w:rsidR="00EE3DB2" w:rsidRPr="00EC326F" w:rsidRDefault="00355117" w:rsidP="002C719E">
            <w:pPr>
              <w:pStyle w:val="TableTextSmall"/>
              <w:rPr>
                <w:rFonts w:cstheme="minorHAnsi"/>
                <w:i/>
                <w:szCs w:val="16"/>
              </w:rPr>
            </w:pPr>
            <w:r w:rsidRPr="00EC326F">
              <w:rPr>
                <w:rFonts w:cstheme="minorHAnsi"/>
                <w:i/>
                <w:szCs w:val="16"/>
              </w:rPr>
              <w:t>No changes</w:t>
            </w:r>
          </w:p>
        </w:tc>
      </w:tr>
      <w:tr w:rsidR="00EE3DB2" w:rsidRPr="00EC326F" w14:paraId="2DCACD8C" w14:textId="77777777" w:rsidTr="00F11DF8">
        <w:trPr>
          <w:cantSplit/>
          <w:trHeight w:val="280"/>
        </w:trPr>
        <w:tc>
          <w:tcPr>
            <w:tcW w:w="2553" w:type="dxa"/>
            <w:tcBorders>
              <w:right w:val="single" w:sz="4" w:space="0" w:color="E0301E" w:themeColor="accent6"/>
            </w:tcBorders>
          </w:tcPr>
          <w:p w14:paraId="74336B6A" w14:textId="77777777" w:rsidR="00EE3DB2" w:rsidRPr="00EC326F" w:rsidRDefault="00EE3DB2" w:rsidP="003F33BA">
            <w:pPr>
              <w:pStyle w:val="TableTextSmall"/>
              <w:rPr>
                <w:rFonts w:cstheme="minorHAnsi"/>
                <w:szCs w:val="16"/>
              </w:rPr>
            </w:pPr>
            <w:r w:rsidRPr="00EC326F">
              <w:rPr>
                <w:rFonts w:cstheme="minorHAnsi"/>
                <w:szCs w:val="16"/>
              </w:rPr>
              <w:t>N - Other Study &amp; Skills</w:t>
            </w:r>
          </w:p>
        </w:tc>
        <w:tc>
          <w:tcPr>
            <w:tcW w:w="3260" w:type="dxa"/>
            <w:tcBorders>
              <w:left w:val="single" w:sz="4" w:space="0" w:color="E0301E" w:themeColor="accent6"/>
              <w:right w:val="single" w:sz="4" w:space="0" w:color="E0301E" w:themeColor="accent6"/>
            </w:tcBorders>
          </w:tcPr>
          <w:p w14:paraId="73ACBC16" w14:textId="77777777" w:rsidR="00EE3DB2" w:rsidRPr="00EC326F" w:rsidRDefault="00EE3DB2" w:rsidP="002C719E">
            <w:pPr>
              <w:pStyle w:val="TableTextSmall"/>
              <w:rPr>
                <w:rFonts w:cstheme="minorHAnsi"/>
                <w:szCs w:val="16"/>
              </w:rPr>
            </w:pPr>
            <w:r w:rsidRPr="00EC326F">
              <w:rPr>
                <w:rFonts w:cstheme="minorHAnsi"/>
                <w:szCs w:val="16"/>
              </w:rPr>
              <w:t>CDEP Supplement</w:t>
            </w:r>
          </w:p>
          <w:p w14:paraId="44B89E7D" w14:textId="77777777" w:rsidR="00EE3DB2" w:rsidRPr="00EC326F" w:rsidRDefault="00EE3DB2" w:rsidP="002C719E">
            <w:pPr>
              <w:pStyle w:val="TableTextSmall"/>
              <w:rPr>
                <w:rFonts w:cstheme="minorHAnsi"/>
                <w:szCs w:val="16"/>
              </w:rPr>
            </w:pPr>
            <w:r w:rsidRPr="00EC326F">
              <w:rPr>
                <w:rFonts w:cstheme="minorHAnsi"/>
                <w:szCs w:val="16"/>
              </w:rPr>
              <w:t>Education Supplements</w:t>
            </w:r>
          </w:p>
          <w:p w14:paraId="79A4FD0B" w14:textId="77777777" w:rsidR="00EE3DB2" w:rsidRPr="00EC326F" w:rsidRDefault="00EE3DB2" w:rsidP="002C719E">
            <w:pPr>
              <w:pStyle w:val="TableTextSmall"/>
              <w:rPr>
                <w:rFonts w:cstheme="minorHAnsi"/>
                <w:szCs w:val="16"/>
              </w:rPr>
            </w:pPr>
            <w:r w:rsidRPr="00EC326F">
              <w:rPr>
                <w:rFonts w:cstheme="minorHAnsi"/>
                <w:szCs w:val="16"/>
              </w:rPr>
              <w:t>Fares Allowance</w:t>
            </w:r>
          </w:p>
          <w:p w14:paraId="498C94D1" w14:textId="77777777" w:rsidR="00EE3DB2" w:rsidRPr="00EC326F" w:rsidRDefault="00EE3DB2" w:rsidP="002C719E">
            <w:pPr>
              <w:pStyle w:val="TableTextSmall"/>
              <w:rPr>
                <w:rFonts w:cstheme="minorHAnsi"/>
                <w:szCs w:val="16"/>
              </w:rPr>
            </w:pPr>
            <w:r w:rsidRPr="00EC326F">
              <w:rPr>
                <w:rFonts w:cstheme="minorHAnsi"/>
                <w:szCs w:val="16"/>
              </w:rPr>
              <w:t>Relocation Allowances</w:t>
            </w:r>
          </w:p>
          <w:p w14:paraId="3135FFA7" w14:textId="77777777" w:rsidR="00EE3DB2" w:rsidRPr="00EC326F" w:rsidRDefault="00EE3DB2" w:rsidP="002C719E">
            <w:pPr>
              <w:pStyle w:val="TableTextSmall"/>
              <w:rPr>
                <w:rFonts w:cstheme="minorHAnsi"/>
                <w:szCs w:val="16"/>
              </w:rPr>
            </w:pPr>
            <w:r w:rsidRPr="00EC326F">
              <w:rPr>
                <w:rFonts w:cstheme="minorHAnsi"/>
                <w:szCs w:val="16"/>
              </w:rPr>
              <w:t>Training supplements</w:t>
            </w:r>
          </w:p>
          <w:p w14:paraId="7F9D6874" w14:textId="77777777" w:rsidR="00EE3DB2" w:rsidRPr="00EC326F" w:rsidRDefault="00EE3DB2" w:rsidP="002C719E">
            <w:pPr>
              <w:pStyle w:val="TableTextSmall"/>
              <w:rPr>
                <w:rFonts w:cstheme="minorHAnsi"/>
                <w:szCs w:val="16"/>
              </w:rPr>
            </w:pPr>
            <w:r w:rsidRPr="00EC326F">
              <w:rPr>
                <w:rFonts w:cstheme="minorHAnsi"/>
                <w:szCs w:val="16"/>
              </w:rPr>
              <w:t>Education Entry Payment</w:t>
            </w:r>
          </w:p>
          <w:p w14:paraId="54BD3296" w14:textId="77777777" w:rsidR="00EE3DB2" w:rsidRPr="00EC326F" w:rsidRDefault="00EE3DB2" w:rsidP="002C719E">
            <w:pPr>
              <w:pStyle w:val="TableTextSmall"/>
              <w:rPr>
                <w:rFonts w:cstheme="minorHAnsi"/>
                <w:szCs w:val="16"/>
              </w:rPr>
            </w:pPr>
            <w:r w:rsidRPr="00EC326F">
              <w:rPr>
                <w:rFonts w:cstheme="minorHAnsi"/>
                <w:szCs w:val="16"/>
              </w:rPr>
              <w:t>Language Literacy &amp; Numeracy Supplement</w:t>
            </w:r>
          </w:p>
          <w:p w14:paraId="794A757D" w14:textId="77777777" w:rsidR="00EE3DB2" w:rsidRPr="00EC326F" w:rsidRDefault="00EE3DB2" w:rsidP="002C719E">
            <w:pPr>
              <w:pStyle w:val="TableTextSmall"/>
              <w:rPr>
                <w:rFonts w:cstheme="minorHAnsi"/>
                <w:szCs w:val="16"/>
              </w:rPr>
            </w:pPr>
            <w:r w:rsidRPr="00EC326F">
              <w:rPr>
                <w:rFonts w:cstheme="minorHAnsi"/>
                <w:szCs w:val="16"/>
              </w:rPr>
              <w:t>Pensioner Education Supplement</w:t>
            </w:r>
          </w:p>
          <w:p w14:paraId="388A23D0" w14:textId="77777777" w:rsidR="00EE3DB2" w:rsidRPr="00EC326F" w:rsidRDefault="00EE3DB2" w:rsidP="002C719E">
            <w:pPr>
              <w:pStyle w:val="TableTextSmall"/>
              <w:rPr>
                <w:rFonts w:cstheme="minorHAnsi"/>
                <w:szCs w:val="16"/>
              </w:rPr>
            </w:pPr>
            <w:r w:rsidRPr="00EC326F">
              <w:rPr>
                <w:rFonts w:cstheme="minorHAnsi"/>
                <w:szCs w:val="16"/>
              </w:rPr>
              <w:t>Relocation Scholarship</w:t>
            </w:r>
          </w:p>
          <w:p w14:paraId="268CAF84" w14:textId="77777777" w:rsidR="00EE3DB2" w:rsidRPr="00EC326F" w:rsidRDefault="00EE3DB2" w:rsidP="002C719E">
            <w:pPr>
              <w:pStyle w:val="TableTextSmall"/>
              <w:rPr>
                <w:rFonts w:cstheme="minorHAnsi"/>
                <w:szCs w:val="16"/>
              </w:rPr>
            </w:pPr>
            <w:r w:rsidRPr="00EC326F">
              <w:rPr>
                <w:rFonts w:cstheme="minorHAnsi"/>
                <w:szCs w:val="16"/>
              </w:rPr>
              <w:t>School Fees Allowance</w:t>
            </w:r>
          </w:p>
          <w:p w14:paraId="7E362355" w14:textId="77777777" w:rsidR="00EE3DB2" w:rsidRPr="00EC326F" w:rsidRDefault="00EE3DB2" w:rsidP="002C719E">
            <w:pPr>
              <w:pStyle w:val="TableTextSmall"/>
              <w:rPr>
                <w:rFonts w:cstheme="minorHAnsi"/>
                <w:szCs w:val="16"/>
              </w:rPr>
            </w:pPr>
            <w:r w:rsidRPr="00EC326F">
              <w:rPr>
                <w:rFonts w:cstheme="minorHAnsi"/>
                <w:szCs w:val="16"/>
              </w:rPr>
              <w:t>School Term Allowance</w:t>
            </w:r>
          </w:p>
          <w:p w14:paraId="7DF65F8C" w14:textId="77777777" w:rsidR="00EE3DB2" w:rsidRPr="00EC326F" w:rsidRDefault="00EE3DB2" w:rsidP="002C719E">
            <w:pPr>
              <w:pStyle w:val="TableTextSmall"/>
              <w:rPr>
                <w:rFonts w:cstheme="minorHAnsi"/>
                <w:szCs w:val="16"/>
              </w:rPr>
            </w:pPr>
            <w:r w:rsidRPr="00EC326F">
              <w:rPr>
                <w:rFonts w:cstheme="minorHAnsi"/>
                <w:szCs w:val="16"/>
              </w:rPr>
              <w:t>Student Start-up Scholarship</w:t>
            </w:r>
          </w:p>
          <w:p w14:paraId="6FBC7ECF" w14:textId="77777777" w:rsidR="00355117" w:rsidRPr="00EC326F" w:rsidRDefault="00355117" w:rsidP="00355117">
            <w:pPr>
              <w:pStyle w:val="TableTextSmall"/>
              <w:rPr>
                <w:rFonts w:cstheme="minorHAnsi"/>
                <w:szCs w:val="16"/>
              </w:rPr>
            </w:pPr>
            <w:r w:rsidRPr="00EC326F">
              <w:rPr>
                <w:rFonts w:cstheme="minorHAnsi"/>
                <w:szCs w:val="16"/>
              </w:rPr>
              <w:t>Student Start-up Loan</w:t>
            </w:r>
          </w:p>
          <w:p w14:paraId="2D59BC44" w14:textId="77777777" w:rsidR="00EE3DB2" w:rsidRPr="00EC326F" w:rsidRDefault="00EE3DB2" w:rsidP="002C719E">
            <w:pPr>
              <w:pStyle w:val="TableTextSmall"/>
              <w:rPr>
                <w:rFonts w:cstheme="minorHAnsi"/>
                <w:szCs w:val="16"/>
              </w:rPr>
            </w:pPr>
            <w:r w:rsidRPr="00EC326F">
              <w:rPr>
                <w:rFonts w:cstheme="minorHAnsi"/>
                <w:szCs w:val="16"/>
              </w:rPr>
              <w:t>Work for the dole</w:t>
            </w:r>
          </w:p>
          <w:p w14:paraId="66985A49" w14:textId="77777777" w:rsidR="00355117" w:rsidRPr="00EC326F" w:rsidRDefault="00355117" w:rsidP="002C719E">
            <w:pPr>
              <w:pStyle w:val="TableTextSmall"/>
              <w:rPr>
                <w:rFonts w:cstheme="minorHAnsi"/>
                <w:szCs w:val="16"/>
              </w:rPr>
            </w:pPr>
            <w:r w:rsidRPr="00EC326F">
              <w:rPr>
                <w:rFonts w:cstheme="minorHAnsi"/>
                <w:szCs w:val="16"/>
              </w:rPr>
              <w:t>Work program supplement</w:t>
            </w:r>
          </w:p>
        </w:tc>
        <w:tc>
          <w:tcPr>
            <w:tcW w:w="4110" w:type="dxa"/>
            <w:tcBorders>
              <w:left w:val="single" w:sz="4" w:space="0" w:color="E0301E" w:themeColor="accent6"/>
            </w:tcBorders>
          </w:tcPr>
          <w:p w14:paraId="7DCC9DB3" w14:textId="77777777" w:rsidR="00EE3DB2" w:rsidRPr="00EC326F" w:rsidRDefault="00042517" w:rsidP="002C719E">
            <w:pPr>
              <w:pStyle w:val="TableTextSmall"/>
              <w:rPr>
                <w:rFonts w:cstheme="minorHAnsi"/>
                <w:szCs w:val="16"/>
              </w:rPr>
            </w:pPr>
            <w:r w:rsidRPr="00EC326F">
              <w:rPr>
                <w:rFonts w:cstheme="minorHAnsi"/>
                <w:szCs w:val="16"/>
              </w:rPr>
              <w:t>The new Student Loan payment has been assigned to Category N</w:t>
            </w:r>
          </w:p>
        </w:tc>
      </w:tr>
      <w:tr w:rsidR="00EE3DB2" w:rsidRPr="00EC326F" w14:paraId="7F54C954" w14:textId="77777777" w:rsidTr="00F11DF8">
        <w:trPr>
          <w:cantSplit/>
          <w:trHeight w:val="280"/>
        </w:trPr>
        <w:tc>
          <w:tcPr>
            <w:tcW w:w="2553" w:type="dxa"/>
            <w:tcBorders>
              <w:right w:val="single" w:sz="4" w:space="0" w:color="E0301E" w:themeColor="accent6"/>
            </w:tcBorders>
          </w:tcPr>
          <w:p w14:paraId="583C2E87" w14:textId="77777777" w:rsidR="00EE3DB2" w:rsidRPr="00EC326F" w:rsidRDefault="00EE3DB2" w:rsidP="003F33BA">
            <w:pPr>
              <w:pStyle w:val="TableTextSmall"/>
              <w:rPr>
                <w:rFonts w:cstheme="minorHAnsi"/>
                <w:szCs w:val="16"/>
              </w:rPr>
            </w:pPr>
            <w:r w:rsidRPr="00EC326F">
              <w:rPr>
                <w:rFonts w:cstheme="minorHAnsi"/>
                <w:szCs w:val="16"/>
              </w:rPr>
              <w:t>O - Other Remote &amp; Regional</w:t>
            </w:r>
          </w:p>
        </w:tc>
        <w:tc>
          <w:tcPr>
            <w:tcW w:w="3260" w:type="dxa"/>
            <w:tcBorders>
              <w:left w:val="single" w:sz="4" w:space="0" w:color="E0301E" w:themeColor="accent6"/>
              <w:right w:val="single" w:sz="4" w:space="0" w:color="E0301E" w:themeColor="accent6"/>
            </w:tcBorders>
          </w:tcPr>
          <w:p w14:paraId="17D1D380" w14:textId="77777777" w:rsidR="00EE3DB2" w:rsidRPr="00EC326F" w:rsidRDefault="00EE3DB2" w:rsidP="002C719E">
            <w:pPr>
              <w:pStyle w:val="TableTextSmall"/>
              <w:rPr>
                <w:rFonts w:cstheme="minorHAnsi"/>
                <w:szCs w:val="16"/>
              </w:rPr>
            </w:pPr>
            <w:r w:rsidRPr="00EC326F">
              <w:rPr>
                <w:rFonts w:cstheme="minorHAnsi"/>
                <w:szCs w:val="16"/>
              </w:rPr>
              <w:t>Assistance for Isolated Children</w:t>
            </w:r>
          </w:p>
          <w:p w14:paraId="67ABA2E6" w14:textId="77777777" w:rsidR="00EE3DB2" w:rsidRPr="00EC326F" w:rsidRDefault="00EE3DB2" w:rsidP="002C719E">
            <w:pPr>
              <w:pStyle w:val="TableTextSmall"/>
              <w:rPr>
                <w:rFonts w:cstheme="minorHAnsi"/>
                <w:szCs w:val="16"/>
              </w:rPr>
            </w:pPr>
            <w:r w:rsidRPr="00EC326F">
              <w:rPr>
                <w:rFonts w:cstheme="minorHAnsi"/>
                <w:szCs w:val="16"/>
              </w:rPr>
              <w:t>Remote Area Allowance</w:t>
            </w:r>
          </w:p>
        </w:tc>
        <w:tc>
          <w:tcPr>
            <w:tcW w:w="4110" w:type="dxa"/>
            <w:tcBorders>
              <w:left w:val="single" w:sz="4" w:space="0" w:color="E0301E" w:themeColor="accent6"/>
            </w:tcBorders>
          </w:tcPr>
          <w:p w14:paraId="3E9543BF" w14:textId="77777777" w:rsidR="00EE3DB2" w:rsidRPr="00EC326F" w:rsidRDefault="00355117" w:rsidP="002C719E">
            <w:pPr>
              <w:pStyle w:val="TableTextSmall"/>
              <w:rPr>
                <w:rFonts w:cstheme="minorHAnsi"/>
                <w:i/>
                <w:szCs w:val="16"/>
              </w:rPr>
            </w:pPr>
            <w:r w:rsidRPr="00EC326F">
              <w:rPr>
                <w:rFonts w:cstheme="minorHAnsi"/>
                <w:i/>
                <w:szCs w:val="16"/>
              </w:rPr>
              <w:t>No changes</w:t>
            </w:r>
          </w:p>
        </w:tc>
      </w:tr>
      <w:tr w:rsidR="00EE3DB2" w:rsidRPr="00EC326F" w14:paraId="4BC514B2" w14:textId="77777777" w:rsidTr="00F11DF8">
        <w:trPr>
          <w:cantSplit/>
          <w:trHeight w:val="280"/>
        </w:trPr>
        <w:tc>
          <w:tcPr>
            <w:tcW w:w="2553" w:type="dxa"/>
            <w:tcBorders>
              <w:right w:val="single" w:sz="4" w:space="0" w:color="E0301E" w:themeColor="accent6"/>
            </w:tcBorders>
          </w:tcPr>
          <w:p w14:paraId="72BC9EA3" w14:textId="77777777" w:rsidR="00EE3DB2" w:rsidRPr="00EC326F" w:rsidRDefault="00EE3DB2" w:rsidP="003F33BA">
            <w:pPr>
              <w:pStyle w:val="TableTextSmall"/>
              <w:rPr>
                <w:rFonts w:cstheme="minorHAnsi"/>
                <w:szCs w:val="16"/>
              </w:rPr>
            </w:pPr>
            <w:r w:rsidRPr="00EC326F">
              <w:rPr>
                <w:rFonts w:cstheme="minorHAnsi"/>
                <w:szCs w:val="16"/>
              </w:rPr>
              <w:lastRenderedPageBreak/>
              <w:t>P - Other General Allowances (for general pension supplements)</w:t>
            </w:r>
          </w:p>
        </w:tc>
        <w:tc>
          <w:tcPr>
            <w:tcW w:w="3260" w:type="dxa"/>
            <w:tcBorders>
              <w:left w:val="single" w:sz="4" w:space="0" w:color="E0301E" w:themeColor="accent6"/>
              <w:right w:val="single" w:sz="4" w:space="0" w:color="E0301E" w:themeColor="accent6"/>
            </w:tcBorders>
          </w:tcPr>
          <w:p w14:paraId="491ECE9F" w14:textId="77777777" w:rsidR="00EE3DB2" w:rsidRPr="00EC326F" w:rsidRDefault="00EE3DB2" w:rsidP="002C719E">
            <w:pPr>
              <w:pStyle w:val="TableTextSmall"/>
              <w:rPr>
                <w:rFonts w:cstheme="minorHAnsi"/>
                <w:szCs w:val="16"/>
              </w:rPr>
            </w:pPr>
            <w:r w:rsidRPr="00EC326F">
              <w:rPr>
                <w:rFonts w:cstheme="minorHAnsi"/>
                <w:szCs w:val="16"/>
              </w:rPr>
              <w:t>General Supplement</w:t>
            </w:r>
          </w:p>
          <w:p w14:paraId="3DE989E5" w14:textId="77777777" w:rsidR="00EE3DB2" w:rsidRPr="00EC326F" w:rsidRDefault="00EE3DB2" w:rsidP="002C719E">
            <w:pPr>
              <w:pStyle w:val="TableTextSmall"/>
              <w:rPr>
                <w:rFonts w:cstheme="minorHAnsi"/>
                <w:szCs w:val="16"/>
              </w:rPr>
            </w:pPr>
            <w:r w:rsidRPr="00EC326F">
              <w:rPr>
                <w:rFonts w:cstheme="minorHAnsi"/>
                <w:szCs w:val="16"/>
              </w:rPr>
              <w:t>Income Support Bonus</w:t>
            </w:r>
          </w:p>
          <w:p w14:paraId="435BF1C1" w14:textId="77777777" w:rsidR="00EE3DB2" w:rsidRPr="00EC326F" w:rsidRDefault="00EE3DB2" w:rsidP="002C719E">
            <w:pPr>
              <w:pStyle w:val="TableTextSmall"/>
              <w:rPr>
                <w:rFonts w:cstheme="minorHAnsi"/>
                <w:szCs w:val="16"/>
              </w:rPr>
            </w:pPr>
            <w:r w:rsidRPr="00EC326F">
              <w:rPr>
                <w:rFonts w:cstheme="minorHAnsi"/>
                <w:szCs w:val="16"/>
              </w:rPr>
              <w:t>Low Income Supplement</w:t>
            </w:r>
          </w:p>
          <w:p w14:paraId="3956519B" w14:textId="77777777" w:rsidR="00EE3DB2" w:rsidRPr="00EC326F" w:rsidRDefault="00EE3DB2" w:rsidP="002C719E">
            <w:pPr>
              <w:pStyle w:val="TableTextSmall"/>
              <w:rPr>
                <w:rFonts w:cstheme="minorHAnsi"/>
                <w:szCs w:val="16"/>
              </w:rPr>
            </w:pPr>
            <w:r w:rsidRPr="00EC326F">
              <w:rPr>
                <w:rFonts w:cstheme="minorHAnsi"/>
                <w:szCs w:val="16"/>
              </w:rPr>
              <w:t xml:space="preserve">Income Management </w:t>
            </w:r>
          </w:p>
          <w:p w14:paraId="3F856EA4" w14:textId="77777777" w:rsidR="00EE3DB2" w:rsidRPr="00EC326F" w:rsidRDefault="00EE3DB2" w:rsidP="002C719E">
            <w:pPr>
              <w:pStyle w:val="TableTextSmall"/>
              <w:rPr>
                <w:rFonts w:cstheme="minorHAnsi"/>
                <w:szCs w:val="16"/>
              </w:rPr>
            </w:pPr>
            <w:r w:rsidRPr="00EC326F">
              <w:rPr>
                <w:rFonts w:cstheme="minorHAnsi"/>
                <w:szCs w:val="16"/>
              </w:rPr>
              <w:t xml:space="preserve">Pension Supplement </w:t>
            </w:r>
          </w:p>
          <w:p w14:paraId="7CF2606B" w14:textId="77777777" w:rsidR="00EE3DB2" w:rsidRPr="00EC326F" w:rsidRDefault="00EE3DB2" w:rsidP="002C719E">
            <w:pPr>
              <w:pStyle w:val="TableTextSmall"/>
              <w:rPr>
                <w:rFonts w:cstheme="minorHAnsi"/>
                <w:szCs w:val="16"/>
              </w:rPr>
            </w:pPr>
            <w:r w:rsidRPr="00EC326F">
              <w:rPr>
                <w:rFonts w:cstheme="minorHAnsi"/>
                <w:szCs w:val="16"/>
              </w:rPr>
              <w:t>Pension Bonus Scheme Payment</w:t>
            </w:r>
          </w:p>
          <w:p w14:paraId="7969D6B6" w14:textId="77777777" w:rsidR="00EE3DB2" w:rsidRPr="00EC326F" w:rsidRDefault="00EE3DB2" w:rsidP="002C719E">
            <w:pPr>
              <w:pStyle w:val="TableTextSmall"/>
              <w:rPr>
                <w:rFonts w:cstheme="minorHAnsi"/>
                <w:szCs w:val="16"/>
              </w:rPr>
            </w:pPr>
            <w:r w:rsidRPr="00EC326F">
              <w:rPr>
                <w:rFonts w:cstheme="minorHAnsi"/>
                <w:szCs w:val="16"/>
              </w:rPr>
              <w:t>Pension Bonus Top-Up Payment</w:t>
            </w:r>
          </w:p>
          <w:p w14:paraId="6C5F0F68" w14:textId="77777777" w:rsidR="00EE3DB2" w:rsidRPr="00EC326F" w:rsidRDefault="00EE3DB2" w:rsidP="002C719E">
            <w:pPr>
              <w:pStyle w:val="TableTextSmall"/>
              <w:rPr>
                <w:rFonts w:cstheme="minorHAnsi"/>
                <w:szCs w:val="16"/>
              </w:rPr>
            </w:pPr>
            <w:r w:rsidRPr="00EC326F">
              <w:rPr>
                <w:rFonts w:cstheme="minorHAnsi"/>
                <w:szCs w:val="16"/>
              </w:rPr>
              <w:t>Pensioner Loan</w:t>
            </w:r>
          </w:p>
          <w:p w14:paraId="15DEFC66" w14:textId="77777777" w:rsidR="007C6E6D" w:rsidRPr="00EC326F" w:rsidRDefault="007C6E6D" w:rsidP="007C6E6D">
            <w:pPr>
              <w:pStyle w:val="TableTextSmall"/>
              <w:rPr>
                <w:rFonts w:cstheme="minorHAnsi"/>
                <w:szCs w:val="16"/>
              </w:rPr>
            </w:pPr>
            <w:r w:rsidRPr="00EC326F">
              <w:rPr>
                <w:rFonts w:cstheme="minorHAnsi"/>
                <w:szCs w:val="16"/>
              </w:rPr>
              <w:t>Energy Supplement</w:t>
            </w:r>
          </w:p>
          <w:p w14:paraId="26859306" w14:textId="77777777" w:rsidR="007C6E6D" w:rsidRPr="00EC326F" w:rsidRDefault="007C6E6D" w:rsidP="007C6E6D">
            <w:pPr>
              <w:pStyle w:val="TableTextSmall"/>
              <w:rPr>
                <w:rFonts w:cstheme="minorHAnsi"/>
                <w:szCs w:val="16"/>
              </w:rPr>
            </w:pPr>
            <w:r w:rsidRPr="00EC326F">
              <w:rPr>
                <w:rFonts w:cstheme="minorHAnsi"/>
                <w:szCs w:val="16"/>
              </w:rPr>
              <w:t>Living Allowances</w:t>
            </w:r>
          </w:p>
          <w:p w14:paraId="6D6608F8" w14:textId="77777777" w:rsidR="007C6E6D" w:rsidRPr="00EC326F" w:rsidRDefault="007C6E6D" w:rsidP="007C6E6D">
            <w:pPr>
              <w:pStyle w:val="TableTextSmall"/>
              <w:rPr>
                <w:rFonts w:cstheme="minorHAnsi"/>
                <w:szCs w:val="16"/>
              </w:rPr>
            </w:pPr>
            <w:r w:rsidRPr="00EC326F">
              <w:rPr>
                <w:rFonts w:cstheme="minorHAnsi"/>
                <w:szCs w:val="16"/>
              </w:rPr>
              <w:t>Pharmaceutical Allowance</w:t>
            </w:r>
          </w:p>
          <w:p w14:paraId="7E731058" w14:textId="77777777" w:rsidR="007C6E6D" w:rsidRPr="00EC326F" w:rsidRDefault="007C6E6D" w:rsidP="007C6E6D">
            <w:pPr>
              <w:pStyle w:val="TableTextSmall"/>
              <w:rPr>
                <w:rFonts w:cstheme="minorHAnsi"/>
                <w:szCs w:val="16"/>
              </w:rPr>
            </w:pPr>
            <w:r w:rsidRPr="00EC326F">
              <w:rPr>
                <w:rFonts w:cstheme="minorHAnsi"/>
                <w:szCs w:val="16"/>
              </w:rPr>
              <w:t>Residential Costs</w:t>
            </w:r>
          </w:p>
          <w:p w14:paraId="1F4702B9" w14:textId="77777777" w:rsidR="007C6E6D" w:rsidRPr="00EC326F" w:rsidRDefault="007C6E6D" w:rsidP="007C6E6D">
            <w:pPr>
              <w:pStyle w:val="TableTextSmall"/>
              <w:rPr>
                <w:rFonts w:cstheme="minorHAnsi"/>
                <w:szCs w:val="16"/>
              </w:rPr>
            </w:pPr>
            <w:r w:rsidRPr="00EC326F">
              <w:rPr>
                <w:rFonts w:cstheme="minorHAnsi"/>
                <w:szCs w:val="16"/>
              </w:rPr>
              <w:t>Telephone Allowance</w:t>
            </w:r>
          </w:p>
          <w:p w14:paraId="02402557" w14:textId="77777777" w:rsidR="007C6E6D" w:rsidRPr="00EC326F" w:rsidRDefault="007C6E6D" w:rsidP="007C6E6D">
            <w:pPr>
              <w:pStyle w:val="TableTextSmall"/>
              <w:rPr>
                <w:rFonts w:cstheme="minorHAnsi"/>
                <w:szCs w:val="16"/>
              </w:rPr>
            </w:pPr>
            <w:r w:rsidRPr="00EC326F">
              <w:rPr>
                <w:rFonts w:cstheme="minorHAnsi"/>
                <w:szCs w:val="16"/>
              </w:rPr>
              <w:t>Utilities Allowance</w:t>
            </w:r>
          </w:p>
          <w:p w14:paraId="71E51B92" w14:textId="77777777" w:rsidR="007C6E6D" w:rsidRPr="00EC326F" w:rsidRDefault="007C6E6D" w:rsidP="007C6E6D">
            <w:pPr>
              <w:pStyle w:val="TableTextSmall"/>
              <w:rPr>
                <w:rFonts w:cstheme="minorHAnsi"/>
                <w:szCs w:val="16"/>
              </w:rPr>
            </w:pPr>
            <w:r w:rsidRPr="00EC326F">
              <w:rPr>
                <w:rFonts w:cstheme="minorHAnsi"/>
                <w:szCs w:val="16"/>
              </w:rPr>
              <w:t>Incidentals Allowances</w:t>
            </w:r>
          </w:p>
        </w:tc>
        <w:tc>
          <w:tcPr>
            <w:tcW w:w="4110" w:type="dxa"/>
            <w:tcBorders>
              <w:left w:val="single" w:sz="4" w:space="0" w:color="E0301E" w:themeColor="accent6"/>
            </w:tcBorders>
          </w:tcPr>
          <w:p w14:paraId="7D5FAD3E" w14:textId="77777777" w:rsidR="00042517" w:rsidRPr="00EC326F" w:rsidRDefault="00042517" w:rsidP="00042517">
            <w:pPr>
              <w:pStyle w:val="TableTextSmall"/>
              <w:rPr>
                <w:rFonts w:cstheme="minorHAnsi"/>
                <w:szCs w:val="16"/>
              </w:rPr>
            </w:pPr>
            <w:r w:rsidRPr="00EC326F">
              <w:rPr>
                <w:rFonts w:cstheme="minorHAnsi"/>
                <w:szCs w:val="16"/>
              </w:rPr>
              <w:t>Payment types that are now included within pension supplements have been reassigned from old category K. This is for greater consistency in category definitions over time.</w:t>
            </w:r>
          </w:p>
          <w:p w14:paraId="5A86285F" w14:textId="77777777" w:rsidR="00042517" w:rsidRPr="00EC326F" w:rsidRDefault="00042517" w:rsidP="00042517">
            <w:pPr>
              <w:pStyle w:val="TableTextSmall"/>
              <w:rPr>
                <w:rFonts w:cstheme="minorHAnsi"/>
                <w:szCs w:val="16"/>
              </w:rPr>
            </w:pPr>
            <w:r w:rsidRPr="00EC326F">
              <w:rPr>
                <w:rFonts w:cstheme="minorHAnsi"/>
                <w:szCs w:val="16"/>
              </w:rPr>
              <w:t>Assistance for Older Australians has been split out of the primary payment category and assigned to Category P.</w:t>
            </w:r>
          </w:p>
          <w:p w14:paraId="67C7A04C" w14:textId="77777777" w:rsidR="00042517" w:rsidRPr="00EC326F" w:rsidRDefault="00042517" w:rsidP="00042517">
            <w:pPr>
              <w:pStyle w:val="TableTextSmall"/>
              <w:rPr>
                <w:rFonts w:cstheme="minorHAnsi"/>
                <w:szCs w:val="16"/>
              </w:rPr>
            </w:pPr>
            <w:r w:rsidRPr="00EC326F">
              <w:rPr>
                <w:rFonts w:cstheme="minorHAnsi"/>
                <w:szCs w:val="16"/>
              </w:rPr>
              <w:t>Seniors supplements and concessions has been included in the scope and assigned into Category P</w:t>
            </w:r>
          </w:p>
          <w:p w14:paraId="705D7101" w14:textId="77777777" w:rsidR="00EE3DB2" w:rsidRPr="00EC326F" w:rsidRDefault="00EE3DB2" w:rsidP="00D07163">
            <w:pPr>
              <w:pStyle w:val="TableTextSmall"/>
              <w:rPr>
                <w:rFonts w:cstheme="minorHAnsi"/>
                <w:szCs w:val="16"/>
              </w:rPr>
            </w:pPr>
          </w:p>
        </w:tc>
      </w:tr>
      <w:tr w:rsidR="00EE3DB2" w:rsidRPr="00EC326F" w14:paraId="5550E4C0" w14:textId="77777777" w:rsidTr="00F11DF8">
        <w:trPr>
          <w:cantSplit/>
          <w:trHeight w:val="280"/>
        </w:trPr>
        <w:tc>
          <w:tcPr>
            <w:tcW w:w="2553" w:type="dxa"/>
            <w:tcBorders>
              <w:right w:val="single" w:sz="4" w:space="0" w:color="E0301E" w:themeColor="accent6"/>
            </w:tcBorders>
          </w:tcPr>
          <w:p w14:paraId="62B7C8B4" w14:textId="77777777" w:rsidR="00EE3DB2" w:rsidRPr="00EC326F" w:rsidRDefault="00EE3DB2" w:rsidP="003F33BA">
            <w:pPr>
              <w:pStyle w:val="TableTextSmall"/>
              <w:rPr>
                <w:rFonts w:cstheme="minorHAnsi"/>
                <w:szCs w:val="16"/>
              </w:rPr>
            </w:pPr>
            <w:r w:rsidRPr="00EC326F">
              <w:rPr>
                <w:rFonts w:cstheme="minorHAnsi"/>
                <w:szCs w:val="16"/>
              </w:rPr>
              <w:t>Q - All Other</w:t>
            </w:r>
          </w:p>
        </w:tc>
        <w:tc>
          <w:tcPr>
            <w:tcW w:w="3260" w:type="dxa"/>
            <w:tcBorders>
              <w:left w:val="single" w:sz="4" w:space="0" w:color="E0301E" w:themeColor="accent6"/>
              <w:right w:val="single" w:sz="4" w:space="0" w:color="E0301E" w:themeColor="accent6"/>
            </w:tcBorders>
          </w:tcPr>
          <w:p w14:paraId="3F9B8BA4" w14:textId="77777777" w:rsidR="00EE3DB2" w:rsidRPr="00EC326F" w:rsidRDefault="00EE3DB2" w:rsidP="002C719E">
            <w:pPr>
              <w:pStyle w:val="TableTextSmall"/>
              <w:rPr>
                <w:rFonts w:cstheme="minorHAnsi"/>
                <w:szCs w:val="16"/>
              </w:rPr>
            </w:pPr>
            <w:r w:rsidRPr="00EC326F">
              <w:rPr>
                <w:rFonts w:cstheme="minorHAnsi"/>
                <w:szCs w:val="16"/>
              </w:rPr>
              <w:t xml:space="preserve">Bereavement Allowance </w:t>
            </w:r>
          </w:p>
          <w:p w14:paraId="4D48DBC8" w14:textId="77777777" w:rsidR="00EE3DB2" w:rsidRPr="00EC326F" w:rsidRDefault="00EE3DB2" w:rsidP="002C719E">
            <w:pPr>
              <w:pStyle w:val="TableTextSmall"/>
              <w:rPr>
                <w:rFonts w:cstheme="minorHAnsi"/>
                <w:szCs w:val="16"/>
              </w:rPr>
            </w:pPr>
            <w:r w:rsidRPr="00EC326F">
              <w:rPr>
                <w:rFonts w:cstheme="minorHAnsi"/>
                <w:szCs w:val="16"/>
              </w:rPr>
              <w:t xml:space="preserve">Bereavement Lump Sum </w:t>
            </w:r>
          </w:p>
          <w:p w14:paraId="7F247340" w14:textId="77777777" w:rsidR="00EE3DB2" w:rsidRPr="00EC326F" w:rsidRDefault="00EE3DB2" w:rsidP="002C719E">
            <w:pPr>
              <w:pStyle w:val="TableTextSmall"/>
              <w:rPr>
                <w:rFonts w:cstheme="minorHAnsi"/>
                <w:szCs w:val="16"/>
              </w:rPr>
            </w:pPr>
            <w:r w:rsidRPr="00EC326F">
              <w:rPr>
                <w:rFonts w:cstheme="minorHAnsi"/>
                <w:szCs w:val="16"/>
              </w:rPr>
              <w:t>Crisis Payment</w:t>
            </w:r>
          </w:p>
        </w:tc>
        <w:tc>
          <w:tcPr>
            <w:tcW w:w="4110" w:type="dxa"/>
            <w:tcBorders>
              <w:left w:val="single" w:sz="4" w:space="0" w:color="E0301E" w:themeColor="accent6"/>
            </w:tcBorders>
          </w:tcPr>
          <w:p w14:paraId="34665829" w14:textId="77777777" w:rsidR="00EE3DB2" w:rsidRPr="00EC326F" w:rsidRDefault="00355117" w:rsidP="002C719E">
            <w:pPr>
              <w:pStyle w:val="TableTextSmall"/>
              <w:rPr>
                <w:rFonts w:cstheme="minorHAnsi"/>
                <w:i/>
                <w:szCs w:val="16"/>
              </w:rPr>
            </w:pPr>
            <w:r w:rsidRPr="00EC326F">
              <w:rPr>
                <w:rFonts w:cstheme="minorHAnsi"/>
                <w:i/>
                <w:szCs w:val="16"/>
              </w:rPr>
              <w:t>No changes</w:t>
            </w:r>
          </w:p>
        </w:tc>
      </w:tr>
      <w:tr w:rsidR="00EE3DB2" w:rsidRPr="00EC326F" w14:paraId="7969799F" w14:textId="77777777" w:rsidTr="00F11DF8">
        <w:trPr>
          <w:cantSplit/>
          <w:trHeight w:val="280"/>
        </w:trPr>
        <w:tc>
          <w:tcPr>
            <w:tcW w:w="2553" w:type="dxa"/>
            <w:tcBorders>
              <w:right w:val="single" w:sz="4" w:space="0" w:color="E0301E" w:themeColor="accent6"/>
            </w:tcBorders>
          </w:tcPr>
          <w:p w14:paraId="1B647B02" w14:textId="77777777" w:rsidR="00EE3DB2" w:rsidRPr="00EC326F" w:rsidRDefault="00EE3DB2" w:rsidP="003F33BA">
            <w:pPr>
              <w:pStyle w:val="TableTextSmall"/>
              <w:rPr>
                <w:rFonts w:cstheme="minorHAnsi"/>
                <w:szCs w:val="16"/>
              </w:rPr>
            </w:pPr>
            <w:r w:rsidRPr="00EC326F">
              <w:rPr>
                <w:rFonts w:cstheme="minorHAnsi"/>
                <w:szCs w:val="16"/>
              </w:rPr>
              <w:t>R – Rent Assistance</w:t>
            </w:r>
          </w:p>
        </w:tc>
        <w:tc>
          <w:tcPr>
            <w:tcW w:w="3260" w:type="dxa"/>
            <w:tcBorders>
              <w:left w:val="single" w:sz="4" w:space="0" w:color="E0301E" w:themeColor="accent6"/>
              <w:right w:val="single" w:sz="4" w:space="0" w:color="E0301E" w:themeColor="accent6"/>
            </w:tcBorders>
          </w:tcPr>
          <w:p w14:paraId="78CFCCB9" w14:textId="77777777" w:rsidR="00EE3DB2" w:rsidRPr="00EC326F" w:rsidRDefault="00EE3DB2" w:rsidP="00EE3DB2">
            <w:pPr>
              <w:pStyle w:val="TableTextSmall"/>
              <w:rPr>
                <w:rFonts w:cstheme="minorHAnsi"/>
                <w:szCs w:val="16"/>
              </w:rPr>
            </w:pPr>
            <w:r w:rsidRPr="00EC326F">
              <w:rPr>
                <w:rFonts w:cstheme="minorHAnsi"/>
                <w:szCs w:val="16"/>
              </w:rPr>
              <w:t>Rent Assistance</w:t>
            </w:r>
          </w:p>
        </w:tc>
        <w:tc>
          <w:tcPr>
            <w:tcW w:w="4110" w:type="dxa"/>
            <w:tcBorders>
              <w:left w:val="single" w:sz="4" w:space="0" w:color="E0301E" w:themeColor="accent6"/>
            </w:tcBorders>
          </w:tcPr>
          <w:p w14:paraId="56EDBC9B" w14:textId="77777777" w:rsidR="00EE3DB2" w:rsidRPr="00EC326F" w:rsidRDefault="007C6E6D" w:rsidP="003F33BA">
            <w:pPr>
              <w:pStyle w:val="TableTextSmall"/>
              <w:rPr>
                <w:rFonts w:cstheme="minorHAnsi"/>
                <w:szCs w:val="16"/>
              </w:rPr>
            </w:pPr>
            <w:r w:rsidRPr="00EC326F">
              <w:rPr>
                <w:rFonts w:cstheme="minorHAnsi"/>
                <w:szCs w:val="16"/>
              </w:rPr>
              <w:t>New payment category created for improved modelling.</w:t>
            </w:r>
          </w:p>
        </w:tc>
      </w:tr>
    </w:tbl>
    <w:p w14:paraId="5E6BB781" w14:textId="77777777" w:rsidR="00F77E6A" w:rsidRPr="002A0A1A" w:rsidRDefault="00F77E6A" w:rsidP="00A5484F">
      <w:pPr>
        <w:pStyle w:val="PwCNormal"/>
        <w:keepNext/>
        <w:keepLines/>
        <w:numPr>
          <w:ilvl w:val="0"/>
          <w:numId w:val="0"/>
        </w:numPr>
      </w:pPr>
      <w:r w:rsidRPr="00EC326F">
        <w:t>People can access many of these payment types (and hence categories) during a year and some payments categories such as P – other general allowances are utilised by a high proportion of the people in receipt of Commonwealth welfare payments.</w:t>
      </w:r>
    </w:p>
    <w:p w14:paraId="656BBBAF" w14:textId="77777777" w:rsidR="00907125" w:rsidRPr="00EC326F" w:rsidRDefault="00907125" w:rsidP="00907125">
      <w:pPr>
        <w:pStyle w:val="Heading3"/>
      </w:pPr>
      <w:bookmarkStart w:id="158" w:name="_Ref437372987"/>
      <w:bookmarkStart w:id="159" w:name="_Toc455499360"/>
      <w:bookmarkStart w:id="160" w:name="_Toc455502381"/>
      <w:bookmarkStart w:id="161" w:name="_Ref466491941"/>
      <w:bookmarkStart w:id="162" w:name="_Toc493844226"/>
      <w:r w:rsidRPr="00EC326F">
        <w:t>Welfare class definition</w:t>
      </w:r>
      <w:bookmarkEnd w:id="158"/>
      <w:bookmarkEnd w:id="159"/>
      <w:bookmarkEnd w:id="160"/>
      <w:r w:rsidR="00A5484F" w:rsidRPr="00EC326F">
        <w:t>s</w:t>
      </w:r>
      <w:bookmarkEnd w:id="161"/>
      <w:bookmarkEnd w:id="162"/>
    </w:p>
    <w:p w14:paraId="710C1106" w14:textId="77777777" w:rsidR="00907125" w:rsidRPr="00EC326F" w:rsidRDefault="00907125" w:rsidP="00907125">
      <w:pPr>
        <w:pStyle w:val="PwCNormal"/>
        <w:numPr>
          <w:ilvl w:val="0"/>
          <w:numId w:val="0"/>
        </w:numPr>
      </w:pPr>
      <w:r w:rsidRPr="00EC326F">
        <w:t>From our previous experience and research we know that past and current receipt of welfare is a very strong predictor of future receipt of welfare. For example, some groups of payment recipients have few exits and it is highly likely a current payment recipient would also receive the payment next year.</w:t>
      </w:r>
    </w:p>
    <w:p w14:paraId="76F5F4F5" w14:textId="230D0F3E" w:rsidR="00907125" w:rsidRPr="00EC326F" w:rsidRDefault="00907125" w:rsidP="00907125">
      <w:pPr>
        <w:pStyle w:val="PwCNormal"/>
        <w:numPr>
          <w:ilvl w:val="0"/>
          <w:numId w:val="0"/>
        </w:numPr>
      </w:pPr>
      <w:r w:rsidRPr="00EC326F">
        <w:t xml:space="preserve">Therefore, we have created broad welfare class groupings which reflect each person’s life situation and use of welfare for consideration in the modelling. There are twelve </w:t>
      </w:r>
      <w:r w:rsidRPr="00EC326F">
        <w:rPr>
          <w:b/>
        </w:rPr>
        <w:t>welfare classes</w:t>
      </w:r>
      <w:r w:rsidRPr="00EC326F">
        <w:t xml:space="preserve"> to which a person can belong and </w:t>
      </w:r>
      <w:r w:rsidR="00023C97" w:rsidRPr="00EC326F">
        <w:t>t</w:t>
      </w:r>
      <w:r w:rsidRPr="00EC326F">
        <w:t xml:space="preserve">hese are summarised in </w:t>
      </w:r>
      <w:r w:rsidR="00200A39" w:rsidRPr="00EC326F">
        <w:fldChar w:fldCharType="begin"/>
      </w:r>
      <w:r w:rsidR="00200A39" w:rsidRPr="00EC326F">
        <w:instrText xml:space="preserve"> REF _Ref448302540 \h </w:instrText>
      </w:r>
      <w:r w:rsidR="00200A39" w:rsidRPr="00EC326F">
        <w:fldChar w:fldCharType="separate"/>
      </w:r>
      <w:r w:rsidR="007A42DF" w:rsidRPr="00EC326F">
        <w:t xml:space="preserve">Table </w:t>
      </w:r>
      <w:r w:rsidR="007A42DF">
        <w:rPr>
          <w:noProof/>
        </w:rPr>
        <w:t>7</w:t>
      </w:r>
      <w:r w:rsidR="00200A39" w:rsidRPr="00EC326F">
        <w:fldChar w:fldCharType="end"/>
      </w:r>
      <w:r w:rsidRPr="00EC326F">
        <w:t xml:space="preserve"> below.</w:t>
      </w:r>
    </w:p>
    <w:p w14:paraId="54C35CDB" w14:textId="77777777" w:rsidR="00200A39" w:rsidRPr="00EC326F" w:rsidRDefault="00200A39" w:rsidP="00907125">
      <w:pPr>
        <w:pStyle w:val="PwCNormal"/>
        <w:numPr>
          <w:ilvl w:val="0"/>
          <w:numId w:val="0"/>
        </w:numPr>
      </w:pPr>
      <w:r w:rsidRPr="00EC326F">
        <w:t xml:space="preserve">These classes have been defined by reference to the payment types currently being received; however the types have been grouped so that the classes are more a reflection of an individual’s life situation than that of the detailed payment type structure per se. Most of the welfare classes contain people who receive one or more of a number of payment types. For example the Studying class contains people who received student income support payments </w:t>
      </w:r>
      <w:r w:rsidR="00042517" w:rsidRPr="00EC326F">
        <w:t xml:space="preserve">being </w:t>
      </w:r>
      <w:r w:rsidRPr="00EC326F">
        <w:t>Austudy, Abstudy or Youth allowance (students).</w:t>
      </w:r>
    </w:p>
    <w:p w14:paraId="65CE0F27" w14:textId="77777777" w:rsidR="00200A39" w:rsidRPr="00EC326F" w:rsidRDefault="00200A39" w:rsidP="00200A39">
      <w:pPr>
        <w:pStyle w:val="PwCNormal"/>
        <w:numPr>
          <w:ilvl w:val="0"/>
          <w:numId w:val="0"/>
        </w:numPr>
      </w:pPr>
      <w:r w:rsidRPr="00EC326F">
        <w:t xml:space="preserve">People are assigned to a single unique class each year. </w:t>
      </w:r>
    </w:p>
    <w:p w14:paraId="2D2843F4" w14:textId="77777777" w:rsidR="00200A39" w:rsidRPr="00EC326F" w:rsidRDefault="00200A39" w:rsidP="00200A39">
      <w:pPr>
        <w:pStyle w:val="PwCNormal"/>
        <w:numPr>
          <w:ilvl w:val="0"/>
          <w:numId w:val="0"/>
        </w:numPr>
      </w:pPr>
      <w:r w:rsidRPr="00EC326F">
        <w:t xml:space="preserve">The classes are defined in a hierarchical way so that any person in receipt of any income support payment during the financial year will be assigned to one of the active income support classes. People receiving more than one type of income support payment during a year will be assigned to </w:t>
      </w:r>
      <w:r w:rsidR="00042517" w:rsidRPr="00EC326F">
        <w:t xml:space="preserve">a </w:t>
      </w:r>
      <w:r w:rsidRPr="00EC326F">
        <w:t>class</w:t>
      </w:r>
      <w:r w:rsidR="00042517" w:rsidRPr="00EC326F">
        <w:t xml:space="preserve"> based on the most recent payment</w:t>
      </w:r>
      <w:r w:rsidRPr="00EC326F">
        <w:t>. For example, a 65 year old person who received the Disability Support Pension for the first 7 months of the year and the Age Pension for the last 5 months will be assigned to class ‘6 Pension Age’.</w:t>
      </w:r>
    </w:p>
    <w:p w14:paraId="7CC3B9FC" w14:textId="77777777" w:rsidR="00200A39" w:rsidRPr="00EC326F" w:rsidRDefault="00200A39" w:rsidP="00907125">
      <w:pPr>
        <w:pStyle w:val="PwCNormal"/>
        <w:numPr>
          <w:ilvl w:val="0"/>
          <w:numId w:val="0"/>
        </w:numPr>
      </w:pPr>
      <w:r w:rsidRPr="00EC326F">
        <w:t>People not receiving income support payments will be assigned to non-income support classes ‘7 Non IS Family’, ‘8 Non IS Carer’ and ‘9 Non IS Other’. These are also defined hierarchically in the following order of precedence: carer, family, other. The remainder of the population will be assigned to one of the inactive classes. This hierarchy will ensure that each person is assigned to a unique class for each year.</w:t>
      </w:r>
    </w:p>
    <w:p w14:paraId="7BC2EA49" w14:textId="77777777" w:rsidR="00907125" w:rsidRPr="00EC326F" w:rsidRDefault="00907125" w:rsidP="00907125">
      <w:pPr>
        <w:pStyle w:val="Caption"/>
      </w:pPr>
      <w:bookmarkStart w:id="163" w:name="_Ref448302540"/>
      <w:r w:rsidRPr="00EC326F">
        <w:lastRenderedPageBreak/>
        <w:t xml:space="preserve">Table </w:t>
      </w:r>
      <w:fldSimple w:instr=" SEQ Table \* ARABIC ">
        <w:r w:rsidR="007A42DF">
          <w:rPr>
            <w:noProof/>
          </w:rPr>
          <w:t>7</w:t>
        </w:r>
      </w:fldSimple>
      <w:bookmarkEnd w:id="163"/>
      <w:r w:rsidRPr="00EC326F">
        <w:t xml:space="preserve">: </w:t>
      </w:r>
      <w:r w:rsidR="00200A39" w:rsidRPr="00EC326F">
        <w:t>Welfare classes and m</w:t>
      </w:r>
      <w:r w:rsidRPr="00EC326F">
        <w:t xml:space="preserve">apping of payment types to </w:t>
      </w:r>
      <w:r w:rsidR="00200A39" w:rsidRPr="00EC326F">
        <w:t>them</w:t>
      </w:r>
    </w:p>
    <w:tbl>
      <w:tblPr>
        <w:tblStyle w:val="Tables-APBase"/>
        <w:tblW w:w="4711" w:type="pct"/>
        <w:tblInd w:w="108" w:type="dxa"/>
        <w:tblBorders>
          <w:left w:val="none" w:sz="0" w:space="0" w:color="auto"/>
          <w:bottom w:val="single" w:sz="4" w:space="0" w:color="E0301E"/>
          <w:insideH w:val="single" w:sz="4" w:space="0" w:color="E0301E"/>
          <w:insideV w:val="single" w:sz="4" w:space="0" w:color="E0301E" w:themeColor="accent6"/>
        </w:tblBorders>
        <w:tblLayout w:type="fixed"/>
        <w:tblLook w:val="04A0" w:firstRow="1" w:lastRow="0" w:firstColumn="1" w:lastColumn="0" w:noHBand="0" w:noVBand="1"/>
        <w:tblCaption w:val=" Welfare classes and mapping of payment types to them&#10;"/>
        <w:tblDescription w:val="This table provides the criteria that define what welfare class a person belongs to. There are three columns; one which contains active income support classes, the second is for the active, non income support classes and the final column lists the non active welfare. &#10;&#10;The definitions for the active, income support classes are as follows;&#10;&#10;1 Studying - People receiving any Studying income support payments (payment category A) as their most recent income support payment.&#10;&#10;2 Working Age - People receiving any Working Age income support payment or Dependant income support payment (payment category B or G).&#10;&#10;3 Parenting - People receiving Parenting Payment (Partnered or Single) as their most recent income support payment (payment category C).&#10;&#10;4 Carers - People receiving Carer Payment (payment category D) as their most recent income support payment.&#10;&#10;5 Disability support - People receiving Disability Support Pension (payment category E) as their most recent income support payment.&#10;&#10;6 Pension Age People receiving any Age income support payments (payment category F) as their most recent income support payment.&#10;&#10;The definitions for the active, non income support classes are as follows;&#10;&#10;7 Non IS Family - People not receiving any carer payments but receiving one or more of the following payment categories in the previous year:&#10;• Other FTB &#10;• Other Family &#10;• Other New Parent&#10;&#10;8 Non IS Carer - People receiving any Other Carers payments.&#10;&#10;9 Non IS Other - People receiving payments but not in any other welfare recipient class.&#10;&#10;The definitions for the inactive classes are as follows;&#10;&#10;10 Previous welfare recipient - People who were previously in one of classes 1 to 9 but are not for the latest year.&#10;&#10;11 Dead - People who have died during the previous year or in prior years.&#10;&#10;12 Rest of Aust. Population - Rest of modelled population.&#10;"/>
      </w:tblPr>
      <w:tblGrid>
        <w:gridCol w:w="3545"/>
        <w:gridCol w:w="3401"/>
        <w:gridCol w:w="2552"/>
      </w:tblGrid>
      <w:tr w:rsidR="00907125" w:rsidRPr="00EC326F" w14:paraId="0A362F67" w14:textId="77777777" w:rsidTr="002C08A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45" w:type="dxa"/>
            <w:shd w:val="clear" w:color="auto" w:fill="E0301E"/>
          </w:tcPr>
          <w:p w14:paraId="7FA2E887" w14:textId="77777777" w:rsidR="00907125" w:rsidRPr="00EC326F" w:rsidRDefault="00907125" w:rsidP="00726503">
            <w:pPr>
              <w:pStyle w:val="TableTextSmall"/>
              <w:keepNext/>
              <w:jc w:val="center"/>
              <w:rPr>
                <w:rFonts w:asciiTheme="majorHAnsi" w:hAnsiTheme="majorHAnsi" w:cstheme="majorHAnsi"/>
                <w:b/>
                <w:color w:val="FFFFFF" w:themeColor="background1"/>
              </w:rPr>
            </w:pPr>
            <w:r w:rsidRPr="00EC326F">
              <w:rPr>
                <w:rFonts w:asciiTheme="majorHAnsi" w:hAnsiTheme="majorHAnsi" w:cstheme="majorHAnsi"/>
                <w:b/>
                <w:color w:val="FFFFFF" w:themeColor="background1"/>
              </w:rPr>
              <w:t>Active – income support</w:t>
            </w:r>
            <w:r w:rsidR="00023C97" w:rsidRPr="00EC326F">
              <w:rPr>
                <w:rFonts w:asciiTheme="majorHAnsi" w:hAnsiTheme="majorHAnsi" w:cstheme="majorHAnsi"/>
                <w:b/>
                <w:color w:val="FFFFFF" w:themeColor="background1"/>
              </w:rPr>
              <w:t xml:space="preserve"> (IS)</w:t>
            </w:r>
          </w:p>
        </w:tc>
        <w:tc>
          <w:tcPr>
            <w:tcW w:w="3401" w:type="dxa"/>
            <w:shd w:val="clear" w:color="auto" w:fill="E0301E"/>
          </w:tcPr>
          <w:p w14:paraId="27BF868B" w14:textId="77777777" w:rsidR="00907125" w:rsidRPr="00EC326F" w:rsidRDefault="00907125" w:rsidP="00726503">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EC326F">
              <w:rPr>
                <w:rFonts w:asciiTheme="majorHAnsi" w:hAnsiTheme="majorHAnsi" w:cstheme="majorHAnsi"/>
                <w:b/>
                <w:color w:val="FFFFFF" w:themeColor="background1"/>
              </w:rPr>
              <w:t>Active – non income support</w:t>
            </w:r>
            <w:r w:rsidR="00023C97" w:rsidRPr="00EC326F">
              <w:rPr>
                <w:rFonts w:asciiTheme="majorHAnsi" w:hAnsiTheme="majorHAnsi" w:cstheme="majorHAnsi"/>
                <w:b/>
                <w:color w:val="FFFFFF" w:themeColor="background1"/>
              </w:rPr>
              <w:t xml:space="preserve"> (Non IS)</w:t>
            </w:r>
          </w:p>
        </w:tc>
        <w:tc>
          <w:tcPr>
            <w:tcW w:w="2552" w:type="dxa"/>
            <w:shd w:val="clear" w:color="auto" w:fill="E0301E"/>
          </w:tcPr>
          <w:p w14:paraId="799953F1" w14:textId="77777777" w:rsidR="00907125" w:rsidRPr="00EC326F" w:rsidRDefault="00907125" w:rsidP="00726503">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EC326F">
              <w:rPr>
                <w:rFonts w:asciiTheme="majorHAnsi" w:hAnsiTheme="majorHAnsi" w:cstheme="majorHAnsi"/>
                <w:b/>
                <w:color w:val="FFFFFF" w:themeColor="background1"/>
              </w:rPr>
              <w:t>Inactive classes</w:t>
            </w:r>
          </w:p>
        </w:tc>
      </w:tr>
      <w:tr w:rsidR="00907125" w:rsidRPr="00EC326F" w14:paraId="71D26172" w14:textId="77777777" w:rsidTr="002C08A6">
        <w:tc>
          <w:tcPr>
            <w:tcW w:w="3545" w:type="dxa"/>
          </w:tcPr>
          <w:p w14:paraId="5BC536CB" w14:textId="77777777" w:rsidR="00907125" w:rsidRPr="00EC326F" w:rsidRDefault="00907125" w:rsidP="00726503">
            <w:pPr>
              <w:pStyle w:val="TableTextSmalltopic"/>
              <w:keepNext/>
            </w:pPr>
            <w:r w:rsidRPr="00EC326F">
              <w:t xml:space="preserve">1 Studying </w:t>
            </w:r>
          </w:p>
          <w:p w14:paraId="37D3E250" w14:textId="77777777" w:rsidR="00907125" w:rsidRPr="00EC326F" w:rsidRDefault="00907125" w:rsidP="00726503">
            <w:pPr>
              <w:pStyle w:val="TableTextSmall"/>
              <w:keepNext/>
            </w:pPr>
            <w:r w:rsidRPr="00EC326F">
              <w:t>People receiving</w:t>
            </w:r>
            <w:r w:rsidR="00D07163" w:rsidRPr="00EC326F">
              <w:t xml:space="preserve"> any Studying income support payments (payment category A) as their most recent income support payment.</w:t>
            </w:r>
          </w:p>
        </w:tc>
        <w:tc>
          <w:tcPr>
            <w:tcW w:w="3401" w:type="dxa"/>
          </w:tcPr>
          <w:p w14:paraId="569DE55D" w14:textId="77777777" w:rsidR="00907125" w:rsidRPr="00EC326F" w:rsidRDefault="00907125" w:rsidP="00726503">
            <w:pPr>
              <w:pStyle w:val="TableTextSmalltopic"/>
              <w:keepNext/>
            </w:pPr>
            <w:r w:rsidRPr="00EC326F">
              <w:t>7 Non IS Family</w:t>
            </w:r>
          </w:p>
          <w:p w14:paraId="0274F383" w14:textId="77777777" w:rsidR="00907125" w:rsidRPr="00EC326F" w:rsidRDefault="00907125" w:rsidP="00726503">
            <w:pPr>
              <w:pStyle w:val="TableTextSmall"/>
              <w:keepNext/>
            </w:pPr>
            <w:r w:rsidRPr="00EC326F">
              <w:t xml:space="preserve">People </w:t>
            </w:r>
            <w:r w:rsidR="00CD1654" w:rsidRPr="00EC326F">
              <w:t xml:space="preserve">not receiving any carer payments but </w:t>
            </w:r>
            <w:r w:rsidRPr="00EC326F">
              <w:t xml:space="preserve">receiving one or more of the following </w:t>
            </w:r>
            <w:r w:rsidR="00D07163" w:rsidRPr="00EC326F">
              <w:t xml:space="preserve">payment categories </w:t>
            </w:r>
            <w:r w:rsidRPr="00EC326F">
              <w:t>in the previous year:</w:t>
            </w:r>
          </w:p>
          <w:p w14:paraId="5BAE8A15" w14:textId="77777777" w:rsidR="00907125" w:rsidRPr="00EC326F" w:rsidRDefault="00200A39" w:rsidP="00726503">
            <w:pPr>
              <w:pStyle w:val="TableBullet1Small"/>
              <w:keepNext/>
            </w:pPr>
            <w:r w:rsidRPr="00EC326F">
              <w:t xml:space="preserve">Other </w:t>
            </w:r>
            <w:r w:rsidR="00D07163" w:rsidRPr="00EC326F">
              <w:t xml:space="preserve">FTB </w:t>
            </w:r>
          </w:p>
          <w:p w14:paraId="51F428E3" w14:textId="77777777" w:rsidR="00D07163" w:rsidRPr="00EC326F" w:rsidRDefault="00D07163" w:rsidP="00726503">
            <w:pPr>
              <w:pStyle w:val="TableBullet1Small"/>
              <w:keepNext/>
            </w:pPr>
            <w:r w:rsidRPr="00EC326F">
              <w:t xml:space="preserve">Other Family </w:t>
            </w:r>
          </w:p>
          <w:p w14:paraId="1ED17478" w14:textId="77777777" w:rsidR="00D07163" w:rsidRPr="00EC326F" w:rsidRDefault="00D07163" w:rsidP="00726503">
            <w:pPr>
              <w:pStyle w:val="TableBullet1Small"/>
              <w:keepNext/>
            </w:pPr>
            <w:r w:rsidRPr="00EC326F">
              <w:t xml:space="preserve">Other New Parent </w:t>
            </w:r>
          </w:p>
        </w:tc>
        <w:tc>
          <w:tcPr>
            <w:tcW w:w="2552" w:type="dxa"/>
          </w:tcPr>
          <w:p w14:paraId="646DD790" w14:textId="77777777" w:rsidR="00907125" w:rsidRPr="00EC326F" w:rsidRDefault="00907125" w:rsidP="00726503">
            <w:pPr>
              <w:pStyle w:val="TableTextSmalltopic"/>
              <w:keepNext/>
            </w:pPr>
            <w:r w:rsidRPr="00EC326F">
              <w:t>10 Previous welfare recipient</w:t>
            </w:r>
          </w:p>
          <w:p w14:paraId="64F3A373" w14:textId="77777777" w:rsidR="00907125" w:rsidRPr="00EC326F" w:rsidRDefault="00907125" w:rsidP="00726503">
            <w:pPr>
              <w:pStyle w:val="TableTextSmall"/>
              <w:keepNext/>
            </w:pPr>
            <w:r w:rsidRPr="00EC326F">
              <w:t>People who were previously in one of classes 1 to 9 but are not for the latest year.</w:t>
            </w:r>
          </w:p>
        </w:tc>
      </w:tr>
      <w:tr w:rsidR="00907125" w:rsidRPr="00EC326F" w14:paraId="2ABA0B70" w14:textId="77777777" w:rsidTr="002C08A6">
        <w:tc>
          <w:tcPr>
            <w:tcW w:w="3545" w:type="dxa"/>
          </w:tcPr>
          <w:p w14:paraId="2EF1371E" w14:textId="77777777" w:rsidR="00907125" w:rsidRPr="00EC326F" w:rsidRDefault="00907125" w:rsidP="00907125">
            <w:pPr>
              <w:pStyle w:val="TableTextSmalltopic"/>
            </w:pPr>
            <w:r w:rsidRPr="00EC326F">
              <w:t xml:space="preserve">2 Working Age </w:t>
            </w:r>
          </w:p>
          <w:p w14:paraId="76DC5888" w14:textId="77777777" w:rsidR="00907125" w:rsidRPr="00EC326F" w:rsidRDefault="00907125" w:rsidP="00023C97">
            <w:pPr>
              <w:pStyle w:val="TableTextSmall"/>
              <w:rPr>
                <w:highlight w:val="yellow"/>
              </w:rPr>
            </w:pPr>
            <w:r w:rsidRPr="00EC326F">
              <w:t>People receiving</w:t>
            </w:r>
            <w:r w:rsidR="00023C97" w:rsidRPr="00EC326F">
              <w:t xml:space="preserve"> any Working Age income support payment or Dependant income support payment (payment category B or G).</w:t>
            </w:r>
          </w:p>
        </w:tc>
        <w:tc>
          <w:tcPr>
            <w:tcW w:w="3401" w:type="dxa"/>
          </w:tcPr>
          <w:p w14:paraId="7E3D430D" w14:textId="77777777" w:rsidR="00907125" w:rsidRPr="00EC326F" w:rsidRDefault="00907125" w:rsidP="00907125">
            <w:pPr>
              <w:pStyle w:val="TableTextSmalltopic"/>
            </w:pPr>
            <w:r w:rsidRPr="00EC326F">
              <w:t>8 Non IS Carer</w:t>
            </w:r>
          </w:p>
          <w:p w14:paraId="0F424E6D" w14:textId="77777777" w:rsidR="00907125" w:rsidRPr="00EC326F" w:rsidRDefault="00907125" w:rsidP="00023C97">
            <w:pPr>
              <w:pStyle w:val="TableTextSmall"/>
              <w:rPr>
                <w:highlight w:val="yellow"/>
              </w:rPr>
            </w:pPr>
            <w:r w:rsidRPr="00EC326F">
              <w:t xml:space="preserve">People receiving any </w:t>
            </w:r>
            <w:r w:rsidR="00023C97" w:rsidRPr="00EC326F">
              <w:t>O</w:t>
            </w:r>
            <w:r w:rsidRPr="00EC326F">
              <w:t xml:space="preserve">ther </w:t>
            </w:r>
            <w:r w:rsidR="00023C97" w:rsidRPr="00EC326F">
              <w:t>C</w:t>
            </w:r>
            <w:r w:rsidRPr="00EC326F">
              <w:t>arers payment</w:t>
            </w:r>
            <w:r w:rsidR="00023C97" w:rsidRPr="00EC326F">
              <w:t>s</w:t>
            </w:r>
          </w:p>
        </w:tc>
        <w:tc>
          <w:tcPr>
            <w:tcW w:w="2552" w:type="dxa"/>
          </w:tcPr>
          <w:p w14:paraId="7DC75315" w14:textId="77777777" w:rsidR="00907125" w:rsidRPr="00EC326F" w:rsidRDefault="00907125" w:rsidP="00907125">
            <w:pPr>
              <w:pStyle w:val="TableTextSmalltopic"/>
            </w:pPr>
            <w:r w:rsidRPr="00EC326F">
              <w:t>11 Dead</w:t>
            </w:r>
          </w:p>
          <w:p w14:paraId="62CB4244" w14:textId="77777777" w:rsidR="00907125" w:rsidRPr="00EC326F" w:rsidRDefault="00907125" w:rsidP="00907125">
            <w:pPr>
              <w:pStyle w:val="TableTextSmall"/>
            </w:pPr>
            <w:r w:rsidRPr="00EC326F">
              <w:t>People who have died during the previous year or in prior years.</w:t>
            </w:r>
          </w:p>
        </w:tc>
      </w:tr>
      <w:tr w:rsidR="00907125" w:rsidRPr="00EC326F" w14:paraId="330200C6" w14:textId="77777777" w:rsidTr="002C08A6">
        <w:tc>
          <w:tcPr>
            <w:tcW w:w="3545" w:type="dxa"/>
          </w:tcPr>
          <w:p w14:paraId="3E558E45" w14:textId="77777777" w:rsidR="00907125" w:rsidRPr="00EC326F" w:rsidRDefault="00907125" w:rsidP="00907125">
            <w:pPr>
              <w:pStyle w:val="TableTextSmalltopic"/>
            </w:pPr>
            <w:r w:rsidRPr="00EC326F">
              <w:t xml:space="preserve">3 Parenting </w:t>
            </w:r>
          </w:p>
          <w:p w14:paraId="733FCAF3" w14:textId="77777777" w:rsidR="00907125" w:rsidRPr="00EC326F" w:rsidRDefault="00907125" w:rsidP="00023C97">
            <w:pPr>
              <w:pStyle w:val="TableTextSmall"/>
              <w:rPr>
                <w:highlight w:val="yellow"/>
              </w:rPr>
            </w:pPr>
            <w:r w:rsidRPr="00EC326F">
              <w:t>People receiving</w:t>
            </w:r>
            <w:r w:rsidR="00023C97" w:rsidRPr="00EC326F">
              <w:t xml:space="preserve"> </w:t>
            </w:r>
            <w:r w:rsidRPr="00EC326F">
              <w:t>Parenting Payment (Partnered</w:t>
            </w:r>
            <w:r w:rsidR="00023C97" w:rsidRPr="00EC326F">
              <w:t xml:space="preserve"> or Single</w:t>
            </w:r>
            <w:r w:rsidRPr="00EC326F">
              <w:t>)</w:t>
            </w:r>
            <w:r w:rsidR="00023C97" w:rsidRPr="00EC326F">
              <w:t xml:space="preserve"> as their most recent income support payment</w:t>
            </w:r>
            <w:r w:rsidR="00511F69" w:rsidRPr="00EC326F">
              <w:t xml:space="preserve"> (payment category </w:t>
            </w:r>
            <w:r w:rsidR="00CD1654" w:rsidRPr="00EC326F">
              <w:t>C)</w:t>
            </w:r>
            <w:r w:rsidR="00023C97" w:rsidRPr="00EC326F">
              <w:t>.</w:t>
            </w:r>
          </w:p>
        </w:tc>
        <w:tc>
          <w:tcPr>
            <w:tcW w:w="3401" w:type="dxa"/>
          </w:tcPr>
          <w:p w14:paraId="7159BCF8" w14:textId="77777777" w:rsidR="00907125" w:rsidRPr="00EC326F" w:rsidRDefault="00907125" w:rsidP="00907125">
            <w:pPr>
              <w:pStyle w:val="TableTextSmalltopic"/>
            </w:pPr>
            <w:r w:rsidRPr="00EC326F">
              <w:t>9 Non IS Other</w:t>
            </w:r>
          </w:p>
          <w:p w14:paraId="1AB35721" w14:textId="77777777" w:rsidR="00907125" w:rsidRPr="00EC326F" w:rsidRDefault="00907125" w:rsidP="00907125">
            <w:pPr>
              <w:pStyle w:val="TableTextSmall"/>
              <w:rPr>
                <w:highlight w:val="yellow"/>
              </w:rPr>
            </w:pPr>
            <w:r w:rsidRPr="00EC326F">
              <w:t xml:space="preserve">People receiving payments but not in any other </w:t>
            </w:r>
            <w:r w:rsidR="00D07163" w:rsidRPr="00EC326F">
              <w:t xml:space="preserve">welfare recipient </w:t>
            </w:r>
            <w:r w:rsidRPr="00EC326F">
              <w:t>class.</w:t>
            </w:r>
          </w:p>
        </w:tc>
        <w:tc>
          <w:tcPr>
            <w:tcW w:w="2552" w:type="dxa"/>
          </w:tcPr>
          <w:p w14:paraId="6D224927" w14:textId="77777777" w:rsidR="00907125" w:rsidRPr="00EC326F" w:rsidRDefault="00907125" w:rsidP="00907125">
            <w:pPr>
              <w:pStyle w:val="TableTextSmalltopic"/>
            </w:pPr>
            <w:r w:rsidRPr="00EC326F">
              <w:t>12 Rest of Aust. population</w:t>
            </w:r>
          </w:p>
          <w:p w14:paraId="575D57E6" w14:textId="77777777" w:rsidR="00907125" w:rsidRPr="00EC326F" w:rsidRDefault="00907125" w:rsidP="00907125">
            <w:pPr>
              <w:pStyle w:val="TableTextSmall"/>
            </w:pPr>
            <w:r w:rsidRPr="00EC326F">
              <w:t>Rest of modelled population.</w:t>
            </w:r>
          </w:p>
        </w:tc>
      </w:tr>
      <w:tr w:rsidR="00907125" w:rsidRPr="00EC326F" w14:paraId="2C517AF4" w14:textId="77777777" w:rsidTr="002C08A6">
        <w:trPr>
          <w:cantSplit/>
        </w:trPr>
        <w:tc>
          <w:tcPr>
            <w:tcW w:w="3545" w:type="dxa"/>
          </w:tcPr>
          <w:p w14:paraId="6EE48D2F" w14:textId="77777777" w:rsidR="00907125" w:rsidRPr="00EC326F" w:rsidRDefault="00907125" w:rsidP="00907125">
            <w:pPr>
              <w:pStyle w:val="TableTextSmalltopic"/>
            </w:pPr>
            <w:r w:rsidRPr="00EC326F">
              <w:t xml:space="preserve">4 Carers </w:t>
            </w:r>
          </w:p>
          <w:p w14:paraId="51093B6F" w14:textId="77777777" w:rsidR="00907125" w:rsidRPr="00EC326F" w:rsidRDefault="00907125" w:rsidP="00CD1654">
            <w:pPr>
              <w:pStyle w:val="TableTextSmall"/>
              <w:rPr>
                <w:highlight w:val="yellow"/>
              </w:rPr>
            </w:pPr>
            <w:r w:rsidRPr="00EC326F">
              <w:t>People receiving</w:t>
            </w:r>
            <w:r w:rsidR="00023C97" w:rsidRPr="00EC326F">
              <w:t xml:space="preserve"> </w:t>
            </w:r>
            <w:r w:rsidRPr="00EC326F">
              <w:t>Carer Payment</w:t>
            </w:r>
            <w:r w:rsidR="00023C97" w:rsidRPr="00EC326F">
              <w:t xml:space="preserve"> </w:t>
            </w:r>
            <w:r w:rsidR="00CD1654" w:rsidRPr="00EC326F">
              <w:t xml:space="preserve">(payment category D) </w:t>
            </w:r>
            <w:r w:rsidR="00023C97" w:rsidRPr="00EC326F">
              <w:t>as their most recent income support payment.</w:t>
            </w:r>
          </w:p>
        </w:tc>
        <w:tc>
          <w:tcPr>
            <w:tcW w:w="3401" w:type="dxa"/>
          </w:tcPr>
          <w:p w14:paraId="6A39F8CC" w14:textId="77777777" w:rsidR="00907125" w:rsidRPr="00EC326F" w:rsidRDefault="00907125" w:rsidP="00907125">
            <w:pPr>
              <w:pStyle w:val="TableTextSmall"/>
              <w:rPr>
                <w:rFonts w:ascii="Georgia" w:hAnsi="Georgia"/>
                <w:highlight w:val="yellow"/>
              </w:rPr>
            </w:pPr>
          </w:p>
        </w:tc>
        <w:tc>
          <w:tcPr>
            <w:tcW w:w="2552" w:type="dxa"/>
          </w:tcPr>
          <w:p w14:paraId="4D0AA464" w14:textId="77777777" w:rsidR="00907125" w:rsidRPr="00EC326F" w:rsidRDefault="00907125" w:rsidP="00907125">
            <w:pPr>
              <w:pStyle w:val="TableTextSmall"/>
              <w:rPr>
                <w:rFonts w:ascii="Georgia" w:hAnsi="Georgia"/>
                <w:highlight w:val="yellow"/>
              </w:rPr>
            </w:pPr>
          </w:p>
        </w:tc>
      </w:tr>
      <w:tr w:rsidR="00907125" w:rsidRPr="00EC326F" w14:paraId="1C675DDC" w14:textId="77777777" w:rsidTr="002C08A6">
        <w:tc>
          <w:tcPr>
            <w:tcW w:w="3545" w:type="dxa"/>
          </w:tcPr>
          <w:p w14:paraId="4CE6A853" w14:textId="77777777" w:rsidR="00907125" w:rsidRPr="00EC326F" w:rsidRDefault="00907125" w:rsidP="00907125">
            <w:pPr>
              <w:pStyle w:val="TableTextSmalltopic"/>
            </w:pPr>
            <w:r w:rsidRPr="00EC326F">
              <w:t>5 Disability support</w:t>
            </w:r>
          </w:p>
          <w:p w14:paraId="47D44F25" w14:textId="77777777" w:rsidR="00907125" w:rsidRPr="00EC326F" w:rsidRDefault="00907125" w:rsidP="00CD1654">
            <w:pPr>
              <w:pStyle w:val="TableTextSmall"/>
            </w:pPr>
            <w:r w:rsidRPr="00EC326F">
              <w:t>People receiving</w:t>
            </w:r>
            <w:r w:rsidR="00023C97" w:rsidRPr="00EC326F">
              <w:t xml:space="preserve"> </w:t>
            </w:r>
            <w:r w:rsidRPr="00EC326F">
              <w:t>Disability Support Pension</w:t>
            </w:r>
            <w:r w:rsidR="00023C97" w:rsidRPr="00EC326F">
              <w:t xml:space="preserve"> </w:t>
            </w:r>
            <w:r w:rsidR="00CD1654" w:rsidRPr="00EC326F">
              <w:t xml:space="preserve">(payment category E) </w:t>
            </w:r>
            <w:r w:rsidR="00023C97" w:rsidRPr="00EC326F">
              <w:t>as their most recent income support payment.</w:t>
            </w:r>
          </w:p>
        </w:tc>
        <w:tc>
          <w:tcPr>
            <w:tcW w:w="3401" w:type="dxa"/>
          </w:tcPr>
          <w:p w14:paraId="36ED13DC" w14:textId="77777777" w:rsidR="00907125" w:rsidRPr="00EC326F" w:rsidRDefault="00907125" w:rsidP="00907125">
            <w:pPr>
              <w:pStyle w:val="TableTextSmall"/>
              <w:rPr>
                <w:rFonts w:ascii="Georgia" w:hAnsi="Georgia"/>
                <w:highlight w:val="yellow"/>
              </w:rPr>
            </w:pPr>
          </w:p>
        </w:tc>
        <w:tc>
          <w:tcPr>
            <w:tcW w:w="2552" w:type="dxa"/>
          </w:tcPr>
          <w:p w14:paraId="401FBB75" w14:textId="77777777" w:rsidR="00907125" w:rsidRPr="00EC326F" w:rsidRDefault="00907125" w:rsidP="00907125">
            <w:pPr>
              <w:pStyle w:val="TableTextSmall"/>
              <w:rPr>
                <w:rFonts w:ascii="Georgia" w:hAnsi="Georgia"/>
                <w:highlight w:val="yellow"/>
              </w:rPr>
            </w:pPr>
          </w:p>
        </w:tc>
      </w:tr>
      <w:tr w:rsidR="00907125" w:rsidRPr="00EC326F" w14:paraId="654488FF" w14:textId="77777777" w:rsidTr="002C08A6">
        <w:tc>
          <w:tcPr>
            <w:tcW w:w="3545" w:type="dxa"/>
          </w:tcPr>
          <w:p w14:paraId="4488790B" w14:textId="77777777" w:rsidR="00907125" w:rsidRPr="00EC326F" w:rsidRDefault="00907125" w:rsidP="00907125">
            <w:pPr>
              <w:pStyle w:val="TableTextSmalltopic"/>
            </w:pPr>
            <w:r w:rsidRPr="00EC326F">
              <w:t xml:space="preserve">6 Pension Age </w:t>
            </w:r>
          </w:p>
          <w:p w14:paraId="429876B5" w14:textId="77777777" w:rsidR="00907125" w:rsidRPr="00EC326F" w:rsidRDefault="00023C97" w:rsidP="00023C97">
            <w:pPr>
              <w:pStyle w:val="TableTextSmall"/>
              <w:rPr>
                <w:highlight w:val="yellow"/>
              </w:rPr>
            </w:pPr>
            <w:r w:rsidRPr="00EC326F">
              <w:t>People receiving any Age income support payments (payment category F) as their most recent income support payment.</w:t>
            </w:r>
          </w:p>
        </w:tc>
        <w:tc>
          <w:tcPr>
            <w:tcW w:w="3401" w:type="dxa"/>
          </w:tcPr>
          <w:p w14:paraId="6E0EE42E" w14:textId="77777777" w:rsidR="00907125" w:rsidRPr="00EC326F" w:rsidRDefault="00907125" w:rsidP="00907125">
            <w:pPr>
              <w:pStyle w:val="TableTextSmall"/>
              <w:rPr>
                <w:rFonts w:ascii="Georgia" w:hAnsi="Georgia"/>
                <w:highlight w:val="yellow"/>
              </w:rPr>
            </w:pPr>
          </w:p>
        </w:tc>
        <w:tc>
          <w:tcPr>
            <w:tcW w:w="2552" w:type="dxa"/>
          </w:tcPr>
          <w:p w14:paraId="4C549E2A" w14:textId="77777777" w:rsidR="00907125" w:rsidRPr="00EC326F" w:rsidRDefault="00907125" w:rsidP="00907125">
            <w:pPr>
              <w:pStyle w:val="TableTextSmall"/>
              <w:rPr>
                <w:rFonts w:ascii="Georgia" w:hAnsi="Georgia"/>
                <w:highlight w:val="yellow"/>
              </w:rPr>
            </w:pPr>
          </w:p>
        </w:tc>
      </w:tr>
    </w:tbl>
    <w:p w14:paraId="11489361" w14:textId="77777777" w:rsidR="00C55329" w:rsidRPr="00C55329" w:rsidRDefault="00C55329" w:rsidP="00C55329">
      <w:pPr>
        <w:pStyle w:val="PwCNormal-Single"/>
        <w:rPr>
          <w:rStyle w:val="IntenseEmphasis"/>
          <w:i w:val="0"/>
          <w:iCs w:val="0"/>
          <w:color w:val="404040" w:themeColor="text1" w:themeTint="BF"/>
        </w:rPr>
      </w:pPr>
    </w:p>
    <w:p w14:paraId="284AA391" w14:textId="77777777" w:rsidR="00B46271" w:rsidRPr="00C55329" w:rsidRDefault="00200A39" w:rsidP="00763503">
      <w:pPr>
        <w:pStyle w:val="PwCNormal"/>
        <w:rPr>
          <w:rStyle w:val="IntenseEmphasis"/>
          <w:b/>
          <w:i w:val="0"/>
          <w:color w:val="404040" w:themeColor="text1" w:themeTint="BF"/>
        </w:rPr>
      </w:pPr>
      <w:r w:rsidRPr="00C55329">
        <w:rPr>
          <w:rStyle w:val="IntenseEmphasis"/>
          <w:b/>
          <w:i w:val="0"/>
          <w:color w:val="404040" w:themeColor="text1" w:themeTint="BF"/>
        </w:rPr>
        <w:t>Note</w:t>
      </w:r>
      <w:r w:rsidR="00B46271" w:rsidRPr="00C55329">
        <w:rPr>
          <w:rStyle w:val="IntenseEmphasis"/>
          <w:b/>
          <w:i w:val="0"/>
          <w:color w:val="404040" w:themeColor="text1" w:themeTint="BF"/>
        </w:rPr>
        <w:t xml:space="preserve"> there is an important </w:t>
      </w:r>
      <w:r w:rsidR="00294214" w:rsidRPr="00C55329">
        <w:rPr>
          <w:rStyle w:val="IntenseEmphasis"/>
          <w:b/>
          <w:i w:val="0"/>
          <w:color w:val="404040" w:themeColor="text1" w:themeTint="BF"/>
        </w:rPr>
        <w:t>distinction</w:t>
      </w:r>
      <w:r w:rsidR="00B46271" w:rsidRPr="00C55329">
        <w:rPr>
          <w:rStyle w:val="IntenseEmphasis"/>
          <w:b/>
          <w:i w:val="0"/>
          <w:color w:val="404040" w:themeColor="text1" w:themeTint="BF"/>
        </w:rPr>
        <w:t xml:space="preserve"> between the class and payment category definitions:</w:t>
      </w:r>
    </w:p>
    <w:p w14:paraId="5271B569" w14:textId="77777777" w:rsidR="00B46271" w:rsidRPr="00C55329" w:rsidRDefault="00294214" w:rsidP="001A4479">
      <w:pPr>
        <w:pStyle w:val="PwCNormal"/>
        <w:numPr>
          <w:ilvl w:val="0"/>
          <w:numId w:val="36"/>
        </w:numPr>
        <w:rPr>
          <w:rStyle w:val="IntenseEmphasis"/>
          <w:b/>
          <w:i w:val="0"/>
          <w:color w:val="404040" w:themeColor="text1" w:themeTint="BF"/>
        </w:rPr>
      </w:pPr>
      <w:r w:rsidRPr="00C55329">
        <w:rPr>
          <w:rStyle w:val="IntenseEmphasis"/>
          <w:b/>
          <w:i w:val="0"/>
          <w:color w:val="404040" w:themeColor="text1" w:themeTint="BF"/>
        </w:rPr>
        <w:t>I</w:t>
      </w:r>
      <w:r w:rsidR="00200A39" w:rsidRPr="00C55329">
        <w:rPr>
          <w:rStyle w:val="IntenseEmphasis"/>
          <w:b/>
          <w:i w:val="0"/>
          <w:color w:val="404040" w:themeColor="text1" w:themeTint="BF"/>
        </w:rPr>
        <w:t xml:space="preserve">ndividuals are assigned to a single </w:t>
      </w:r>
      <w:r w:rsidR="00B46271" w:rsidRPr="00C55329">
        <w:rPr>
          <w:rStyle w:val="IntenseEmphasis"/>
          <w:b/>
          <w:i w:val="0"/>
          <w:color w:val="404040" w:themeColor="text1" w:themeTint="BF"/>
        </w:rPr>
        <w:t xml:space="preserve">unique </w:t>
      </w:r>
      <w:r w:rsidR="00200A39" w:rsidRPr="00C55329">
        <w:rPr>
          <w:rStyle w:val="IntenseEmphasis"/>
          <w:b/>
          <w:i w:val="0"/>
          <w:color w:val="404040" w:themeColor="text1" w:themeTint="BF"/>
        </w:rPr>
        <w:t xml:space="preserve">class </w:t>
      </w:r>
      <w:r w:rsidR="00B46271" w:rsidRPr="00C55329">
        <w:rPr>
          <w:rStyle w:val="IntenseEmphasis"/>
          <w:b/>
          <w:i w:val="0"/>
          <w:color w:val="404040" w:themeColor="text1" w:themeTint="BF"/>
        </w:rPr>
        <w:t>for each year</w:t>
      </w:r>
      <w:r w:rsidRPr="00C55329">
        <w:rPr>
          <w:rStyle w:val="IntenseEmphasis"/>
          <w:b/>
          <w:i w:val="0"/>
          <w:color w:val="404040" w:themeColor="text1" w:themeTint="BF"/>
        </w:rPr>
        <w:t>. Th</w:t>
      </w:r>
      <w:r w:rsidR="00C55329">
        <w:rPr>
          <w:rStyle w:val="IntenseEmphasis"/>
          <w:b/>
          <w:i w:val="0"/>
          <w:color w:val="404040" w:themeColor="text1" w:themeTint="BF"/>
        </w:rPr>
        <w:t>is</w:t>
      </w:r>
      <w:r w:rsidRPr="00C55329">
        <w:rPr>
          <w:rStyle w:val="IntenseEmphasis"/>
          <w:b/>
          <w:i w:val="0"/>
          <w:color w:val="404040" w:themeColor="text1" w:themeTint="BF"/>
        </w:rPr>
        <w:t xml:space="preserve"> class information is a way of assigning the population into unique segments</w:t>
      </w:r>
      <w:r w:rsidR="00C55329">
        <w:rPr>
          <w:rStyle w:val="IntenseEmphasis"/>
          <w:b/>
          <w:i w:val="0"/>
          <w:color w:val="404040" w:themeColor="text1" w:themeTint="BF"/>
        </w:rPr>
        <w:t>, however</w:t>
      </w:r>
    </w:p>
    <w:p w14:paraId="6F495EC6" w14:textId="77777777" w:rsidR="00B46271" w:rsidRPr="00C55329" w:rsidRDefault="00294214" w:rsidP="00726503">
      <w:pPr>
        <w:pStyle w:val="PwCNormal"/>
        <w:numPr>
          <w:ilvl w:val="0"/>
          <w:numId w:val="36"/>
        </w:numPr>
        <w:spacing w:after="240"/>
        <w:ind w:left="777" w:hanging="357"/>
        <w:rPr>
          <w:rStyle w:val="IntenseEmphasis"/>
          <w:b/>
          <w:i w:val="0"/>
          <w:color w:val="404040" w:themeColor="text1" w:themeTint="BF"/>
        </w:rPr>
      </w:pPr>
      <w:r w:rsidRPr="00C55329">
        <w:rPr>
          <w:rStyle w:val="IntenseEmphasis"/>
          <w:b/>
          <w:i w:val="0"/>
          <w:color w:val="404040" w:themeColor="text1" w:themeTint="BF"/>
        </w:rPr>
        <w:t>I</w:t>
      </w:r>
      <w:r w:rsidR="00200A39" w:rsidRPr="00C55329">
        <w:rPr>
          <w:rStyle w:val="IntenseEmphasis"/>
          <w:b/>
          <w:i w:val="0"/>
          <w:color w:val="404040" w:themeColor="text1" w:themeTint="BF"/>
        </w:rPr>
        <w:t xml:space="preserve">ndividuals </w:t>
      </w:r>
      <w:r w:rsidRPr="00C55329">
        <w:rPr>
          <w:rStyle w:val="IntenseEmphasis"/>
          <w:b/>
          <w:i w:val="0"/>
          <w:color w:val="404040" w:themeColor="text1" w:themeTint="BF"/>
        </w:rPr>
        <w:t>can receive</w:t>
      </w:r>
      <w:r w:rsidR="00200A39" w:rsidRPr="00C55329">
        <w:rPr>
          <w:rStyle w:val="IntenseEmphasis"/>
          <w:b/>
          <w:i w:val="0"/>
          <w:color w:val="404040" w:themeColor="text1" w:themeTint="BF"/>
        </w:rPr>
        <w:t xml:space="preserve"> </w:t>
      </w:r>
      <w:r w:rsidR="00C55329">
        <w:rPr>
          <w:rStyle w:val="IntenseEmphasis"/>
          <w:b/>
          <w:i w:val="0"/>
          <w:color w:val="404040" w:themeColor="text1" w:themeTint="BF"/>
        </w:rPr>
        <w:t xml:space="preserve">payments from </w:t>
      </w:r>
      <w:r w:rsidR="00200A39" w:rsidRPr="00C55329">
        <w:rPr>
          <w:rStyle w:val="IntenseEmphasis"/>
          <w:b/>
          <w:i w:val="0"/>
          <w:color w:val="404040" w:themeColor="text1" w:themeTint="BF"/>
        </w:rPr>
        <w:t xml:space="preserve">multiple payment categories </w:t>
      </w:r>
      <w:r w:rsidRPr="00C55329">
        <w:rPr>
          <w:rStyle w:val="IntenseEmphasis"/>
          <w:b/>
          <w:i w:val="0"/>
          <w:color w:val="404040" w:themeColor="text1" w:themeTint="BF"/>
        </w:rPr>
        <w:t xml:space="preserve">in </w:t>
      </w:r>
      <w:r w:rsidR="00200A39" w:rsidRPr="00C55329">
        <w:rPr>
          <w:rStyle w:val="IntenseEmphasis"/>
          <w:b/>
          <w:i w:val="0"/>
          <w:color w:val="404040" w:themeColor="text1" w:themeTint="BF"/>
        </w:rPr>
        <w:t>a</w:t>
      </w:r>
      <w:r w:rsidRPr="00C55329">
        <w:rPr>
          <w:rStyle w:val="IntenseEmphasis"/>
          <w:b/>
          <w:i w:val="0"/>
          <w:color w:val="404040" w:themeColor="text1" w:themeTint="BF"/>
        </w:rPr>
        <w:t>ny</w:t>
      </w:r>
      <w:r w:rsidR="00200A39" w:rsidRPr="00C55329">
        <w:rPr>
          <w:rStyle w:val="IntenseEmphasis"/>
          <w:b/>
          <w:i w:val="0"/>
          <w:color w:val="404040" w:themeColor="text1" w:themeTint="BF"/>
        </w:rPr>
        <w:t xml:space="preserve"> year. </w:t>
      </w:r>
    </w:p>
    <w:p w14:paraId="6CC5C5C4" w14:textId="58A402CA" w:rsidR="00200A39" w:rsidRPr="00EC326F" w:rsidRDefault="00200A39" w:rsidP="00200A39">
      <w:pPr>
        <w:pStyle w:val="PwCNormal"/>
      </w:pPr>
      <w:r w:rsidRPr="00EC326F">
        <w:t xml:space="preserve">By way of example a person who enters class </w:t>
      </w:r>
      <w:r w:rsidR="001C6B01">
        <w:t>‘</w:t>
      </w:r>
      <w:r w:rsidRPr="00EC326F">
        <w:t>4 Carer</w:t>
      </w:r>
      <w:r w:rsidR="001C6B01">
        <w:t>s’</w:t>
      </w:r>
      <w:r w:rsidRPr="00EC326F">
        <w:t xml:space="preserve"> during the year m</w:t>
      </w:r>
      <w:r w:rsidR="00CD1654" w:rsidRPr="00EC326F">
        <w:t>ight</w:t>
      </w:r>
      <w:r w:rsidRPr="00EC326F">
        <w:t xml:space="preserve"> receive Carer IS payments together with </w:t>
      </w:r>
      <w:r w:rsidR="00CD1654" w:rsidRPr="00EC326F">
        <w:t>FTB and Other Family payments, Other General Allowances (pension supplements) and Other Carer payments (carers supplement and/or allowance).</w:t>
      </w:r>
      <w:r w:rsidR="00511F69" w:rsidRPr="00EC326F">
        <w:t xml:space="preserve"> They are in a single class for the year but receive payments from multiple payment categories.</w:t>
      </w:r>
    </w:p>
    <w:p w14:paraId="7A40E982" w14:textId="77777777" w:rsidR="00CD1654" w:rsidRPr="00EC326F" w:rsidRDefault="00CD1654" w:rsidP="00CD1654">
      <w:pPr>
        <w:pStyle w:val="Minorheading"/>
      </w:pPr>
      <w:r w:rsidRPr="00EC326F">
        <w:t>Lagged definition for class 7</w:t>
      </w:r>
    </w:p>
    <w:p w14:paraId="274B236E" w14:textId="77777777" w:rsidR="00907125" w:rsidRPr="00EC326F" w:rsidRDefault="00042517" w:rsidP="00907125">
      <w:pPr>
        <w:pStyle w:val="PwCNormal"/>
      </w:pPr>
      <w:r w:rsidRPr="00EC326F">
        <w:t xml:space="preserve">As </w:t>
      </w:r>
      <w:r w:rsidR="00907125" w:rsidRPr="00EC326F">
        <w:t>FTB and family payments can be received as part of an income tax assessment post 30 June relating to a previous year, some people who are eligible for 201</w:t>
      </w:r>
      <w:r w:rsidR="00CD1654" w:rsidRPr="00EC326F">
        <w:t>5</w:t>
      </w:r>
      <w:r w:rsidR="00907125" w:rsidRPr="00EC326F">
        <w:t>-1</w:t>
      </w:r>
      <w:r w:rsidR="00CD1654" w:rsidRPr="00EC326F">
        <w:t>6</w:t>
      </w:r>
      <w:r w:rsidR="00907125" w:rsidRPr="00EC326F">
        <w:t xml:space="preserve"> payments would not yet have relevant data recorded as at 30 June 201</w:t>
      </w:r>
      <w:r w:rsidR="00CD1654" w:rsidRPr="00EC326F">
        <w:t>6</w:t>
      </w:r>
      <w:r w:rsidR="00907125" w:rsidRPr="00EC326F">
        <w:t>. For modelling purposes, it is important that classes for a given year are not expected to change significantly as future data becomes available. In order to provide this stability, people are assigned to class ‘7 Non IS Family’ based on whether they are eligible for family payments in the previous year instead of the current year.</w:t>
      </w:r>
    </w:p>
    <w:p w14:paraId="089AE88A" w14:textId="77777777" w:rsidR="00907125" w:rsidRPr="00EC326F" w:rsidRDefault="00907125" w:rsidP="00907125">
      <w:pPr>
        <w:pStyle w:val="PwCNormal"/>
      </w:pPr>
      <w:r w:rsidRPr="00EC326F">
        <w:t>Consequently, new welfare entrants eligible for family payments for the first year will be assigned to class ‘9 Non IS Other’, moving to class ‘7 Non IS Family’ in the second year. People who are no longer eligible for family payments will remain in class ‘7 Non IS Family’ for a year before they move to class ‘10 Previous Welfare Recipient’.</w:t>
      </w:r>
    </w:p>
    <w:p w14:paraId="39D7A4BD" w14:textId="77777777" w:rsidR="00907125" w:rsidRPr="00EC326F" w:rsidRDefault="00907125" w:rsidP="00907125">
      <w:pPr>
        <w:pStyle w:val="Heading4"/>
      </w:pPr>
      <w:bookmarkStart w:id="164" w:name="_Toc455499361"/>
      <w:bookmarkStart w:id="165" w:name="_Toc455502382"/>
      <w:bookmarkStart w:id="166" w:name="_Toc455503914"/>
      <w:r w:rsidRPr="00EC326F">
        <w:lastRenderedPageBreak/>
        <w:t>Welfare class examples and considerations</w:t>
      </w:r>
      <w:bookmarkEnd w:id="164"/>
      <w:bookmarkEnd w:id="165"/>
      <w:bookmarkEnd w:id="166"/>
    </w:p>
    <w:p w14:paraId="20D7BFC1" w14:textId="77777777" w:rsidR="00907125" w:rsidRPr="00EC326F" w:rsidRDefault="00907125" w:rsidP="002843A0">
      <w:pPr>
        <w:pStyle w:val="PwCNormal-keepwithnext"/>
      </w:pPr>
      <w:r w:rsidRPr="00EC326F">
        <w:t>The steps in assigning each person to a class are as follows:</w:t>
      </w:r>
    </w:p>
    <w:p w14:paraId="0FE40178" w14:textId="19833301" w:rsidR="00907125" w:rsidRPr="00EC326F" w:rsidRDefault="00907125" w:rsidP="00907125">
      <w:pPr>
        <w:pStyle w:val="ListBullet"/>
      </w:pPr>
      <w:r w:rsidRPr="00EC326F">
        <w:t xml:space="preserve">If an individual received an income support payment at any point during the year, then their class at the end of the year is determined by their most recent income support payment, with reference to the payment mapping in </w:t>
      </w:r>
      <w:r w:rsidRPr="00EC326F">
        <w:fldChar w:fldCharType="begin"/>
      </w:r>
      <w:r w:rsidRPr="00EC326F">
        <w:instrText xml:space="preserve"> REF _Ref448302540 \h  \* MERGEFORMAT </w:instrText>
      </w:r>
      <w:r w:rsidRPr="00EC326F">
        <w:fldChar w:fldCharType="separate"/>
      </w:r>
      <w:r w:rsidR="007A42DF" w:rsidRPr="00EC326F">
        <w:t xml:space="preserve">Table </w:t>
      </w:r>
      <w:r w:rsidR="007A42DF">
        <w:t>7</w:t>
      </w:r>
      <w:r w:rsidRPr="00EC326F">
        <w:fldChar w:fldCharType="end"/>
      </w:r>
      <w:r w:rsidRPr="00EC326F">
        <w:t>.</w:t>
      </w:r>
    </w:p>
    <w:p w14:paraId="39190E78" w14:textId="779BCDF7" w:rsidR="00907125" w:rsidRPr="00EC326F" w:rsidRDefault="00907125" w:rsidP="00907125">
      <w:pPr>
        <w:pStyle w:val="ListBullet"/>
      </w:pPr>
      <w:r w:rsidRPr="00EC326F">
        <w:t xml:space="preserve">If an individual did not receive an income support payment but received a non-income support payment, their class is as follows (again with reference to be payment mapping in </w:t>
      </w:r>
      <w:r w:rsidRPr="00EC326F">
        <w:fldChar w:fldCharType="begin"/>
      </w:r>
      <w:r w:rsidRPr="00EC326F">
        <w:instrText xml:space="preserve"> REF _Ref448302540 \h  \* MERGEFORMAT </w:instrText>
      </w:r>
      <w:r w:rsidRPr="00EC326F">
        <w:fldChar w:fldCharType="separate"/>
      </w:r>
      <w:r w:rsidR="007A42DF" w:rsidRPr="00EC326F">
        <w:t xml:space="preserve">Table </w:t>
      </w:r>
      <w:r w:rsidR="007A42DF">
        <w:t>7</w:t>
      </w:r>
      <w:r w:rsidRPr="00EC326F">
        <w:fldChar w:fldCharType="end"/>
      </w:r>
      <w:r w:rsidRPr="00EC326F">
        <w:t>)</w:t>
      </w:r>
    </w:p>
    <w:p w14:paraId="114CDC13" w14:textId="77777777" w:rsidR="00907125" w:rsidRPr="00EC326F" w:rsidRDefault="00907125" w:rsidP="00CD1654">
      <w:pPr>
        <w:pStyle w:val="ListBullet2"/>
      </w:pPr>
      <w:r w:rsidRPr="00EC326F">
        <w:t>08 Non-IS Carer if any carer payment was received during the year; if not then</w:t>
      </w:r>
    </w:p>
    <w:p w14:paraId="4CA38D82" w14:textId="77777777" w:rsidR="00907125" w:rsidRPr="00EC326F" w:rsidRDefault="00907125" w:rsidP="00CD1654">
      <w:pPr>
        <w:pStyle w:val="ListBullet2"/>
      </w:pPr>
      <w:r w:rsidRPr="00EC326F">
        <w:t xml:space="preserve">07 Non-IS Family if any family payment was received during the </w:t>
      </w:r>
      <w:r w:rsidRPr="00EC326F">
        <w:rPr>
          <w:u w:val="single"/>
        </w:rPr>
        <w:t>previous</w:t>
      </w:r>
      <w:r w:rsidRPr="00EC326F">
        <w:t>* year; if not then</w:t>
      </w:r>
    </w:p>
    <w:p w14:paraId="39788E71" w14:textId="77777777" w:rsidR="00907125" w:rsidRPr="00EC326F" w:rsidRDefault="00907125" w:rsidP="00CD1654">
      <w:pPr>
        <w:pStyle w:val="ListBullet2"/>
      </w:pPr>
      <w:r w:rsidRPr="00EC326F">
        <w:t>09 Non-IS Other</w:t>
      </w:r>
    </w:p>
    <w:p w14:paraId="60FD5333" w14:textId="77777777" w:rsidR="00042517" w:rsidRPr="00EC326F" w:rsidRDefault="00042517" w:rsidP="00042517">
      <w:pPr>
        <w:pStyle w:val="ListBullet"/>
      </w:pPr>
      <w:r w:rsidRPr="00EC326F">
        <w:t>If an individual did not receive any payment at all during the year but has received an in-scope payment over the last 15 years, then their class is 10 Previous Welfare Recipient</w:t>
      </w:r>
    </w:p>
    <w:p w14:paraId="716DB6AC" w14:textId="77777777" w:rsidR="00042517" w:rsidRPr="00EC326F" w:rsidRDefault="00042517" w:rsidP="00042517">
      <w:pPr>
        <w:pStyle w:val="ListBullet"/>
      </w:pPr>
      <w:r w:rsidRPr="00EC326F">
        <w:t>If an individual did not receive any payment at all during the year and has not received an in-scope payment over the last 15 years, then their class is 12 Rest of Aust. Population</w:t>
      </w:r>
    </w:p>
    <w:p w14:paraId="1905DAF3" w14:textId="77777777" w:rsidR="00042517" w:rsidRPr="00EC326F" w:rsidRDefault="00042517" w:rsidP="00042517">
      <w:pPr>
        <w:pStyle w:val="ListBullet"/>
      </w:pPr>
      <w:r w:rsidRPr="00EC326F">
        <w:t>An individual is only in 11 Dead if he or she was not alive at any point during the year. If an individual dies in a year, their class is not affected in that year.</w:t>
      </w:r>
    </w:p>
    <w:p w14:paraId="10AD5680" w14:textId="77777777" w:rsidR="00907125" w:rsidRPr="00EC326F" w:rsidRDefault="00907125" w:rsidP="00907125">
      <w:pPr>
        <w:pStyle w:val="PwCNormal"/>
        <w:numPr>
          <w:ilvl w:val="0"/>
          <w:numId w:val="0"/>
        </w:numPr>
      </w:pPr>
      <w:r w:rsidRPr="00EC326F">
        <w:t>The following examples illustrate the treatment of individuals in the class structure under hypothetical scenarios.</w:t>
      </w:r>
    </w:p>
    <w:p w14:paraId="64DC2525" w14:textId="746456B3" w:rsidR="00907125" w:rsidRPr="00EC326F" w:rsidRDefault="00907125" w:rsidP="00907125">
      <w:pPr>
        <w:pStyle w:val="PwCNormal"/>
        <w:numPr>
          <w:ilvl w:val="0"/>
          <w:numId w:val="0"/>
        </w:numPr>
      </w:pPr>
      <w:r w:rsidRPr="00EC326F">
        <w:t>Example 1: No payments received for 201</w:t>
      </w:r>
      <w:r w:rsidR="00F918C5">
        <w:t>4</w:t>
      </w:r>
      <w:r w:rsidRPr="00EC326F">
        <w:t>/1</w:t>
      </w:r>
      <w:r w:rsidR="00F918C5">
        <w:t>5</w:t>
      </w:r>
      <w:r w:rsidRPr="00EC326F">
        <w:t>, Newstart Allowance received for 201</w:t>
      </w:r>
      <w:r w:rsidR="00F918C5">
        <w:t>5</w:t>
      </w:r>
      <w:r w:rsidRPr="00EC326F">
        <w:t>/1</w:t>
      </w:r>
      <w:r w:rsidR="00F918C5">
        <w:t>6</w:t>
      </w:r>
      <w:r w:rsidRPr="00EC326F">
        <w:t xml:space="preserve"> – Individual entered the system during the year as no payments were made in 201</w:t>
      </w:r>
      <w:r w:rsidR="00F918C5">
        <w:t>4</w:t>
      </w:r>
      <w:r w:rsidRPr="00EC326F">
        <w:t>/1</w:t>
      </w:r>
      <w:r w:rsidR="00F918C5">
        <w:t>5</w:t>
      </w:r>
      <w:r w:rsidRPr="00EC326F">
        <w:t xml:space="preserve"> but a payment was made in 201</w:t>
      </w:r>
      <w:r w:rsidR="00F918C5">
        <w:t>5</w:t>
      </w:r>
      <w:r w:rsidRPr="00EC326F">
        <w:t>/1</w:t>
      </w:r>
      <w:r w:rsidR="00F918C5">
        <w:t>6</w:t>
      </w:r>
      <w:r w:rsidR="00FF7EC9">
        <w:t>. Individual enters into class ‘</w:t>
      </w:r>
      <w:r w:rsidRPr="00EC326F">
        <w:t>2 Working Age</w:t>
      </w:r>
      <w:r w:rsidR="00FF7EC9">
        <w:t>’</w:t>
      </w:r>
      <w:r w:rsidRPr="00EC326F">
        <w:t xml:space="preserve"> at June 201</w:t>
      </w:r>
      <w:r w:rsidR="00F918C5">
        <w:t>6</w:t>
      </w:r>
      <w:r w:rsidRPr="00EC326F">
        <w:t xml:space="preserve"> as Newstart Allowance is in this class.</w:t>
      </w:r>
    </w:p>
    <w:p w14:paraId="6C89E291" w14:textId="0D2C9D9E" w:rsidR="00907125" w:rsidRPr="00EC326F" w:rsidRDefault="00907125" w:rsidP="00907125">
      <w:pPr>
        <w:pStyle w:val="PwCNormal"/>
        <w:numPr>
          <w:ilvl w:val="0"/>
          <w:numId w:val="0"/>
        </w:numPr>
      </w:pPr>
      <w:r w:rsidRPr="00EC326F">
        <w:t>Example 2: Carer Allowance received for 201</w:t>
      </w:r>
      <w:r w:rsidR="00F918C5">
        <w:t>4</w:t>
      </w:r>
      <w:r w:rsidRPr="00EC326F">
        <w:t>/1</w:t>
      </w:r>
      <w:r w:rsidR="00F918C5">
        <w:t>5</w:t>
      </w:r>
      <w:r w:rsidRPr="00EC326F">
        <w:t>, no payment received for 201</w:t>
      </w:r>
      <w:r w:rsidR="00F918C5">
        <w:t>5</w:t>
      </w:r>
      <w:r w:rsidRPr="00EC326F">
        <w:t>/1</w:t>
      </w:r>
      <w:r w:rsidR="00F918C5">
        <w:t>6</w:t>
      </w:r>
      <w:r w:rsidRPr="00EC326F">
        <w:t xml:space="preserve"> – Individual was in class 08 Non-IS Carer at June 201</w:t>
      </w:r>
      <w:r w:rsidR="00F918C5">
        <w:t>5</w:t>
      </w:r>
      <w:r w:rsidRPr="00EC326F">
        <w:t xml:space="preserve"> and exits the system, moving to Class 10 Previous Welfare Recipient at June 201</w:t>
      </w:r>
      <w:r w:rsidR="00F918C5">
        <w:t>6</w:t>
      </w:r>
      <w:r w:rsidRPr="00EC326F">
        <w:t>.</w:t>
      </w:r>
    </w:p>
    <w:p w14:paraId="00C5C49F" w14:textId="7B1C67C4" w:rsidR="00907125" w:rsidRPr="00EC326F" w:rsidRDefault="00907125" w:rsidP="00907125">
      <w:pPr>
        <w:pStyle w:val="PwCNormal"/>
        <w:numPr>
          <w:ilvl w:val="0"/>
          <w:numId w:val="0"/>
        </w:numPr>
      </w:pPr>
      <w:r w:rsidRPr="00EC326F">
        <w:t xml:space="preserve">Example </w:t>
      </w:r>
      <w:r w:rsidR="00CD1654" w:rsidRPr="00EC326F">
        <w:t>3</w:t>
      </w:r>
      <w:r w:rsidRPr="00EC326F">
        <w:t>: FTB amount received for 201</w:t>
      </w:r>
      <w:r w:rsidR="00F918C5">
        <w:t>5</w:t>
      </w:r>
      <w:r w:rsidRPr="00EC326F">
        <w:t>/1</w:t>
      </w:r>
      <w:r w:rsidR="00F918C5">
        <w:t>6</w:t>
      </w:r>
      <w:r w:rsidRPr="00EC326F">
        <w:t>, no payments received for 201</w:t>
      </w:r>
      <w:r w:rsidR="00F918C5">
        <w:t>4</w:t>
      </w:r>
      <w:r w:rsidRPr="00EC326F">
        <w:t>/1</w:t>
      </w:r>
      <w:r w:rsidR="00F918C5">
        <w:t>5</w:t>
      </w:r>
      <w:r w:rsidRPr="00EC326F">
        <w:t xml:space="preserve"> – Individual allocated to class 09 Non-IS Other at June 201</w:t>
      </w:r>
      <w:r w:rsidR="00F918C5">
        <w:t>6</w:t>
      </w:r>
      <w:r w:rsidRPr="00EC326F">
        <w:t xml:space="preserve"> as no family payment was made in the previous year. Individual was inactive in 201</w:t>
      </w:r>
      <w:r w:rsidR="00F918C5">
        <w:t>4</w:t>
      </w:r>
      <w:r w:rsidRPr="00EC326F">
        <w:t>/1</w:t>
      </w:r>
      <w:r w:rsidR="00F918C5">
        <w:t>5</w:t>
      </w:r>
      <w:r w:rsidRPr="00EC326F">
        <w:t xml:space="preserve"> so this is an entry into the system.</w:t>
      </w:r>
    </w:p>
    <w:p w14:paraId="3E14C9A0" w14:textId="77777777" w:rsidR="00907125" w:rsidRPr="00EC326F" w:rsidRDefault="00907125" w:rsidP="00907125">
      <w:pPr>
        <w:pStyle w:val="PwCNormal"/>
        <w:numPr>
          <w:ilvl w:val="0"/>
          <w:numId w:val="0"/>
        </w:numPr>
      </w:pPr>
      <w:r w:rsidRPr="00EC326F">
        <w:t>As can be seen the class of an individual depends on the payments over a full year. We have discussed below how changes in different circumstances will be reflected in the class of an individual, and the timing of this:</w:t>
      </w:r>
    </w:p>
    <w:p w14:paraId="3E87CC01" w14:textId="77777777" w:rsidR="00907125" w:rsidRPr="00EC326F" w:rsidRDefault="00907125" w:rsidP="003F33BA">
      <w:pPr>
        <w:pStyle w:val="ListBullet"/>
      </w:pPr>
      <w:r w:rsidRPr="00EC326F">
        <w:t>A move from one income support class to another income support class during the year will be immediately reflected in an individual’s class status at the current year end</w:t>
      </w:r>
      <w:r w:rsidR="00CD1654" w:rsidRPr="00EC326F">
        <w:t xml:space="preserve">. </w:t>
      </w:r>
      <w:r w:rsidRPr="00EC326F">
        <w:t>A move from a non-income support class to an income support class during the year will also be immediately reflected in an individual’s class status at the current year end</w:t>
      </w:r>
    </w:p>
    <w:p w14:paraId="7AAA0F3D" w14:textId="77777777" w:rsidR="00907125" w:rsidRPr="00EC326F" w:rsidRDefault="00907125" w:rsidP="00907125">
      <w:pPr>
        <w:pStyle w:val="ListBullet"/>
      </w:pPr>
      <w:r w:rsidRPr="00EC326F">
        <w:t>Exits from an income support class during the year to a non-income support class will not be reflected in an individual’s class status until the following year end</w:t>
      </w:r>
    </w:p>
    <w:p w14:paraId="69177EEF" w14:textId="77777777" w:rsidR="00907125" w:rsidRPr="00EC326F" w:rsidRDefault="00907125" w:rsidP="00907125">
      <w:pPr>
        <w:pStyle w:val="ListBullet"/>
      </w:pPr>
      <w:r w:rsidRPr="00EC326F">
        <w:t>Exits from the welfare system, from either income or non-income support payments, during the year will not be reflected in an individual’s class status until the following year end</w:t>
      </w:r>
    </w:p>
    <w:p w14:paraId="456D86B1" w14:textId="77777777" w:rsidR="00907125" w:rsidRPr="00EC326F" w:rsidRDefault="00907125" w:rsidP="00CD1654">
      <w:pPr>
        <w:pStyle w:val="PwCNormal"/>
        <w:numPr>
          <w:ilvl w:val="0"/>
          <w:numId w:val="0"/>
        </w:numPr>
      </w:pPr>
      <w:r w:rsidRPr="00EC326F">
        <w:t>There is a practical consideration that these features should be considered when conducting any programme evaluation, and in particular how quickly changes in payments will be reflected by class movements. In these circumstances, supplementary analysis or consideration of other model outputs may be of use.</w:t>
      </w:r>
    </w:p>
    <w:p w14:paraId="15D51569" w14:textId="77777777" w:rsidR="00F77E6A" w:rsidRPr="002A0A1A" w:rsidRDefault="00F77E6A" w:rsidP="00F77E6A">
      <w:pPr>
        <w:pStyle w:val="PwCNormal"/>
        <w:numPr>
          <w:ilvl w:val="0"/>
          <w:numId w:val="0"/>
        </w:numPr>
      </w:pPr>
      <w:r w:rsidRPr="00EC326F">
        <w:rPr>
          <w:noProof/>
          <w:highlight w:val="yellow"/>
          <w:lang w:eastAsia="en-AU"/>
        </w:rPr>
        <w:drawing>
          <wp:anchor distT="0" distB="0" distL="114300" distR="114300" simplePos="0" relativeHeight="251654144" behindDoc="0" locked="0" layoutInCell="1" allowOverlap="1" wp14:anchorId="401802EC" wp14:editId="76F84A83">
            <wp:simplePos x="0" y="0"/>
            <wp:positionH relativeFrom="page">
              <wp:posOffset>5930265</wp:posOffset>
            </wp:positionH>
            <wp:positionV relativeFrom="page">
              <wp:posOffset>9392674</wp:posOffset>
            </wp:positionV>
            <wp:extent cx="1198245" cy="568325"/>
            <wp:effectExtent l="0" t="0" r="1905" b="3175"/>
            <wp:wrapNone/>
            <wp:docPr id="288" name="Picture 288" descr="Decorative image of several peopl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8245"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32035" w14:textId="77777777" w:rsidR="00F77E6A" w:rsidRPr="002A0A1A" w:rsidRDefault="00F77E6A" w:rsidP="00F77E6A">
      <w:pPr>
        <w:pStyle w:val="PwCNormal"/>
        <w:numPr>
          <w:ilvl w:val="0"/>
          <w:numId w:val="0"/>
        </w:numPr>
        <w:sectPr w:rsidR="00F77E6A" w:rsidRPr="002A0A1A" w:rsidSect="00CC5ACB">
          <w:pgSz w:w="11907" w:h="16840" w:code="9"/>
          <w:pgMar w:top="1588" w:right="1021" w:bottom="1418" w:left="1021" w:header="567" w:footer="567" w:gutter="0"/>
          <w:cols w:space="227"/>
          <w:docGrid w:linePitch="360"/>
        </w:sectPr>
      </w:pPr>
    </w:p>
    <w:p w14:paraId="4F175A88" w14:textId="77777777" w:rsidR="008F6978" w:rsidRPr="00EC326F" w:rsidRDefault="008F6978" w:rsidP="008F6978">
      <w:pPr>
        <w:pStyle w:val="Heading2"/>
      </w:pPr>
      <w:bookmarkStart w:id="167" w:name="_Ref465929967"/>
      <w:bookmarkStart w:id="168" w:name="_Toc493844227"/>
      <w:bookmarkStart w:id="169" w:name="_Ref441049475"/>
      <w:bookmarkStart w:id="170" w:name="_Toc455499353"/>
      <w:bookmarkStart w:id="171" w:name="_Toc455502374"/>
      <w:r w:rsidRPr="00EC326F">
        <w:lastRenderedPageBreak/>
        <w:t>Refinements for 2016 valuation</w:t>
      </w:r>
      <w:bookmarkEnd w:id="167"/>
      <w:bookmarkEnd w:id="168"/>
    </w:p>
    <w:p w14:paraId="4DF905F9" w14:textId="77777777" w:rsidR="008F6978" w:rsidRPr="00EC326F" w:rsidRDefault="008F6978" w:rsidP="008F6978">
      <w:pPr>
        <w:pStyle w:val="Heading3"/>
      </w:pPr>
      <w:bookmarkStart w:id="172" w:name="_Toc493844228"/>
      <w:r w:rsidRPr="00EC326F">
        <w:t>Staged development of model</w:t>
      </w:r>
      <w:bookmarkEnd w:id="172"/>
    </w:p>
    <w:p w14:paraId="6566F0E1" w14:textId="77777777" w:rsidR="009527FB" w:rsidRPr="00EC326F" w:rsidRDefault="008F6978" w:rsidP="009527FB">
      <w:pPr>
        <w:pStyle w:val="PwCNormal"/>
      </w:pPr>
      <w:r w:rsidRPr="00EC326F">
        <w:t xml:space="preserve">The actuarial valuation model has been designed to provide the Department with a comprehensive and flexible platform that can be further developed over time. </w:t>
      </w:r>
    </w:p>
    <w:p w14:paraId="3933D642" w14:textId="77777777" w:rsidR="009527FB" w:rsidRPr="00EC326F" w:rsidRDefault="009527FB" w:rsidP="009527FB">
      <w:pPr>
        <w:pStyle w:val="Heading4"/>
      </w:pPr>
      <w:r w:rsidRPr="00EC326F">
        <w:t>Baseline valuation approach</w:t>
      </w:r>
    </w:p>
    <w:p w14:paraId="14AF78BF" w14:textId="77777777" w:rsidR="009527FB" w:rsidRPr="00EC326F" w:rsidRDefault="008F6978" w:rsidP="009527FB">
      <w:pPr>
        <w:pStyle w:val="PwCNormal"/>
      </w:pPr>
      <w:r w:rsidRPr="00EC326F">
        <w:t xml:space="preserve">During the baseline </w:t>
      </w:r>
      <w:r w:rsidR="009527FB" w:rsidRPr="00EC326F">
        <w:t>valuation</w:t>
      </w:r>
      <w:r w:rsidRPr="00EC326F">
        <w:t xml:space="preserve"> the model </w:t>
      </w:r>
      <w:r w:rsidR="009527FB" w:rsidRPr="00EC326F">
        <w:t>was</w:t>
      </w:r>
      <w:r w:rsidRPr="00EC326F">
        <w:t xml:space="preserve"> built in stages, adopting a “try, test, learn” philosophy from the start, in collaboration with the Department. </w:t>
      </w:r>
      <w:r w:rsidR="009527FB" w:rsidRPr="00EC326F">
        <w:t>In particular the valuation development approach used two key stages:</w:t>
      </w:r>
    </w:p>
    <w:p w14:paraId="2AB7F7E7" w14:textId="77777777" w:rsidR="008F6978" w:rsidRPr="00EC326F" w:rsidRDefault="008F6978" w:rsidP="008F6978">
      <w:pPr>
        <w:pStyle w:val="Bullet1"/>
      </w:pPr>
      <w:r w:rsidRPr="00EC326F">
        <w:t xml:space="preserve">First a simplified version of the model </w:t>
      </w:r>
      <w:r w:rsidR="009527FB" w:rsidRPr="00EC326F">
        <w:t xml:space="preserve">was developed </w:t>
      </w:r>
      <w:r w:rsidRPr="00EC326F">
        <w:t>which contains each of the main modules but calibrated with assumptions which only reflect each person’s age, gender and starting class. We refer to this as the foundation model and the assumptions used as foundation assumptions.</w:t>
      </w:r>
    </w:p>
    <w:p w14:paraId="6EAE1B74" w14:textId="77777777" w:rsidR="008F6978" w:rsidRPr="00EC326F" w:rsidRDefault="008F6978" w:rsidP="008F6978">
      <w:pPr>
        <w:pStyle w:val="Bullet1"/>
      </w:pPr>
      <w:r w:rsidRPr="00EC326F">
        <w:t xml:space="preserve">Then </w:t>
      </w:r>
      <w:r w:rsidR="009527FB" w:rsidRPr="00EC326F">
        <w:t xml:space="preserve">the full model was developed by </w:t>
      </w:r>
      <w:r w:rsidRPr="00EC326F">
        <w:t xml:space="preserve">refining each module to include more detailed information on each person’s individual characteristics and welfare history. This included undertaking detailed analyses to refine key parts of each set of assumptions to </w:t>
      </w:r>
      <w:r w:rsidR="002718BB" w:rsidRPr="00EC326F">
        <w:t>consider</w:t>
      </w:r>
      <w:r w:rsidRPr="00EC326F">
        <w:t xml:space="preserve"> </w:t>
      </w:r>
      <w:r w:rsidR="002718BB" w:rsidRPr="00EC326F">
        <w:t>a range of</w:t>
      </w:r>
      <w:r w:rsidRPr="00EC326F">
        <w:t xml:space="preserve"> </w:t>
      </w:r>
      <w:r w:rsidR="002718BB" w:rsidRPr="00EC326F">
        <w:t xml:space="preserve">the </w:t>
      </w:r>
      <w:r w:rsidRPr="00EC326F">
        <w:t xml:space="preserve">individual </w:t>
      </w:r>
      <w:r w:rsidR="002718BB" w:rsidRPr="00EC326F">
        <w:t xml:space="preserve">person </w:t>
      </w:r>
      <w:r w:rsidRPr="00EC326F">
        <w:t>characteristic</w:t>
      </w:r>
      <w:r w:rsidR="002718BB" w:rsidRPr="00EC326F">
        <w:t>s</w:t>
      </w:r>
      <w:r w:rsidRPr="00EC326F">
        <w:t xml:space="preserve"> and the person’s welfare history in the model assumptions. </w:t>
      </w:r>
    </w:p>
    <w:p w14:paraId="2860165F" w14:textId="77777777" w:rsidR="009527FB" w:rsidRPr="00EC326F" w:rsidRDefault="008F6978" w:rsidP="008F6978">
      <w:pPr>
        <w:pStyle w:val="Bullet2"/>
        <w:numPr>
          <w:ilvl w:val="0"/>
          <w:numId w:val="0"/>
        </w:numPr>
      </w:pPr>
      <w:r w:rsidRPr="00EC326F">
        <w:t xml:space="preserve">This approach was valuable as it allowed us to progress quickly to a view of the overall costs and understand the relative contribution of each population segment and payment category. With a limited window of time for model development this helped ensure that the complex modelling effort was focussed on the more important assumptions. </w:t>
      </w:r>
    </w:p>
    <w:p w14:paraId="0946FD47" w14:textId="77777777" w:rsidR="00FA092A" w:rsidRPr="00EC326F" w:rsidRDefault="008F6978" w:rsidP="008F6978">
      <w:pPr>
        <w:pStyle w:val="Bullet2"/>
        <w:numPr>
          <w:ilvl w:val="0"/>
          <w:numId w:val="0"/>
        </w:numPr>
      </w:pPr>
      <w:r w:rsidRPr="00EC326F">
        <w:t>In preparing the final baseline model the time and complexity required to introduce each risk characteristic</w:t>
      </w:r>
      <w:r w:rsidR="002718BB" w:rsidRPr="00EC326F">
        <w:t xml:space="preserve"> </w:t>
      </w:r>
      <w:r w:rsidR="00D73E2A" w:rsidRPr="00EC326F">
        <w:t>was</w:t>
      </w:r>
      <w:r w:rsidR="002718BB" w:rsidRPr="00EC326F">
        <w:t xml:space="preserve"> balanced</w:t>
      </w:r>
      <w:r w:rsidRPr="00EC326F">
        <w:t xml:space="preserve"> with the need for robust, timely results. As agreed with the Department, during this phase of work we applied the principle of “optimising” the utility of the model without compromising its quality or the timeliness of its delivery. This resulted in us continuing to adopt foundation assumptions in a number of areas where we considered the risk based models to be of less value, or where data was sparse</w:t>
      </w:r>
      <w:r w:rsidR="00FA092A" w:rsidRPr="00EC326F">
        <w:t>.</w:t>
      </w:r>
    </w:p>
    <w:p w14:paraId="036F3A34" w14:textId="77777777" w:rsidR="008F6978" w:rsidRPr="00EC326F" w:rsidRDefault="008F6978" w:rsidP="008F6978">
      <w:pPr>
        <w:pStyle w:val="PwCNormal"/>
        <w:numPr>
          <w:ilvl w:val="0"/>
          <w:numId w:val="0"/>
        </w:numPr>
      </w:pPr>
      <w:r w:rsidRPr="00EC326F">
        <w:t>The foundation model and assumptions provided additional benefit in that they assisted with the risk management and model validation by providing a model form that was easy to replicate and check and could then form a point of comparison for the final more complex risk based model. Further, the foundation assumptions are in a form that is practical to present and visualise, and this was useful in supporting the discussions we had with the Department on the past experience.</w:t>
      </w:r>
    </w:p>
    <w:p w14:paraId="5D189336" w14:textId="77777777" w:rsidR="009527FB" w:rsidRPr="00EC326F" w:rsidRDefault="009527FB" w:rsidP="009527FB">
      <w:pPr>
        <w:pStyle w:val="Heading4"/>
      </w:pPr>
      <w:r w:rsidRPr="00EC326F">
        <w:t>2016 valuation approach</w:t>
      </w:r>
    </w:p>
    <w:p w14:paraId="12D472E9" w14:textId="77777777" w:rsidR="00DD75AF" w:rsidRPr="00EC326F" w:rsidRDefault="00FA092A" w:rsidP="008F6978">
      <w:pPr>
        <w:pStyle w:val="PwCNormal"/>
        <w:numPr>
          <w:ilvl w:val="0"/>
          <w:numId w:val="0"/>
        </w:numPr>
      </w:pPr>
      <w:r w:rsidRPr="00EC326F">
        <w:t xml:space="preserve">For the 2016 valuation we have further developed the valuation model </w:t>
      </w:r>
      <w:r w:rsidR="00705B2E">
        <w:t>and its</w:t>
      </w:r>
      <w:r w:rsidRPr="00EC326F">
        <w:t xml:space="preserve"> assumptions. </w:t>
      </w:r>
      <w:r w:rsidR="00DD75AF" w:rsidRPr="00EC326F">
        <w:t>Details of these developments are discussed through the remainder of this section.</w:t>
      </w:r>
    </w:p>
    <w:p w14:paraId="7B490485" w14:textId="77777777" w:rsidR="009527FB" w:rsidRPr="00EC326F" w:rsidRDefault="00705B2E" w:rsidP="008F6978">
      <w:pPr>
        <w:pStyle w:val="PwCNormal"/>
        <w:numPr>
          <w:ilvl w:val="0"/>
          <w:numId w:val="0"/>
        </w:numPr>
      </w:pPr>
      <w:r>
        <w:t>Given</w:t>
      </w:r>
      <w:r w:rsidR="00DD75AF" w:rsidRPr="00EC326F">
        <w:t xml:space="preserve"> the benefits identified during the baseline model development</w:t>
      </w:r>
      <w:r>
        <w:t>,</w:t>
      </w:r>
      <w:r w:rsidR="00DD75AF" w:rsidRPr="00EC326F">
        <w:t xml:space="preserve"> we have retained the two-stage development approach that was used </w:t>
      </w:r>
      <w:r>
        <w:t>in</w:t>
      </w:r>
      <w:r w:rsidR="00DD75AF" w:rsidRPr="00EC326F">
        <w:t xml:space="preserve"> developing the assumptions for the baseline valuation. Using this approach we first develop a relatively simple foundation set of assumptions (typically reflecting age, gender and starting class) before progressing to develop the full risk-based assumptions.</w:t>
      </w:r>
    </w:p>
    <w:p w14:paraId="3B3F6524" w14:textId="77777777" w:rsidR="009527FB" w:rsidRPr="00EC326F" w:rsidRDefault="009527FB" w:rsidP="009527FB">
      <w:pPr>
        <w:pStyle w:val="Heading4"/>
      </w:pPr>
      <w:r w:rsidRPr="00EC326F">
        <w:t>Subsequent valuations</w:t>
      </w:r>
    </w:p>
    <w:p w14:paraId="0A17F59E" w14:textId="77777777" w:rsidR="008F6978" w:rsidRPr="002A0A1A" w:rsidRDefault="008F6978" w:rsidP="00763503">
      <w:pPr>
        <w:pStyle w:val="PwCNormal"/>
        <w:numPr>
          <w:ilvl w:val="0"/>
          <w:numId w:val="0"/>
        </w:numPr>
      </w:pPr>
      <w:r w:rsidRPr="00EC326F">
        <w:t>The model will continue to be further developed in conjunction with the Department over the remaining years of PwC’s contract, refining the analysis and exploring the use of more data. The priorities for model improvement ahead of the next (30 June 201</w:t>
      </w:r>
      <w:r w:rsidR="009527FB" w:rsidRPr="00EC326F">
        <w:t>7</w:t>
      </w:r>
      <w:r w:rsidRPr="00EC326F">
        <w:t xml:space="preserve">) valuation will be discussed and agreed with the Department and IDC. </w:t>
      </w:r>
    </w:p>
    <w:p w14:paraId="54365237" w14:textId="77777777" w:rsidR="008F6978" w:rsidRPr="00EC326F" w:rsidRDefault="008F6978" w:rsidP="008F6978">
      <w:pPr>
        <w:pStyle w:val="Heading3"/>
      </w:pPr>
      <w:bookmarkStart w:id="173" w:name="_Toc493844229"/>
      <w:r w:rsidRPr="00EC326F">
        <w:lastRenderedPageBreak/>
        <w:t xml:space="preserve">Overview of </w:t>
      </w:r>
      <w:r w:rsidR="00FA092A" w:rsidRPr="00EC326F">
        <w:t>model developments</w:t>
      </w:r>
      <w:r w:rsidRPr="00EC326F">
        <w:t xml:space="preserve"> for 2016 valuation</w:t>
      </w:r>
      <w:bookmarkEnd w:id="173"/>
    </w:p>
    <w:p w14:paraId="42FCDB13" w14:textId="77777777" w:rsidR="00DD75AF" w:rsidRPr="00EC326F" w:rsidRDefault="00DD75AF" w:rsidP="00DD75AF">
      <w:pPr>
        <w:pStyle w:val="PwCNormal-keepwithnext"/>
      </w:pPr>
      <w:r w:rsidRPr="00EC326F">
        <w:t>The</w:t>
      </w:r>
      <w:r w:rsidR="00470BC4" w:rsidRPr="00EC326F">
        <w:t xml:space="preserve"> model developments</w:t>
      </w:r>
      <w:r w:rsidRPr="00EC326F">
        <w:t xml:space="preserve"> can be categorised as follows:</w:t>
      </w:r>
    </w:p>
    <w:p w14:paraId="796D5299" w14:textId="77777777" w:rsidR="00DD75AF" w:rsidRPr="00EC326F" w:rsidRDefault="00DD75AF" w:rsidP="002718BB">
      <w:pPr>
        <w:pStyle w:val="ListBullet"/>
        <w:keepNext/>
      </w:pPr>
      <w:r w:rsidRPr="00EC326F">
        <w:rPr>
          <w:b/>
        </w:rPr>
        <w:t>Model updates</w:t>
      </w:r>
      <w:r w:rsidRPr="00EC326F">
        <w:t>: the updating of the model and assumptions to reflect new data. This update includes consideration of any changes in the welfare system itself; the welfare experience over the last year; changes to the population and the external environment.</w:t>
      </w:r>
    </w:p>
    <w:p w14:paraId="7206AA98" w14:textId="77777777" w:rsidR="00DD75AF" w:rsidRPr="00EC326F" w:rsidRDefault="00DD75AF" w:rsidP="00DD75AF">
      <w:pPr>
        <w:pStyle w:val="ListBullet"/>
      </w:pPr>
      <w:r w:rsidRPr="00EC326F">
        <w:rPr>
          <w:b/>
        </w:rPr>
        <w:t>Model refinements</w:t>
      </w:r>
      <w:r w:rsidRPr="00EC326F">
        <w:t>: changes made to further develop the inner workings of the model based on the learnings gathered during the baseline valuation, feedback and through having a longer modelling timeframe available for model development.</w:t>
      </w:r>
    </w:p>
    <w:p w14:paraId="04CB8288" w14:textId="77777777" w:rsidR="00DD75AF" w:rsidRPr="00EC326F" w:rsidRDefault="00DD75AF" w:rsidP="00DD75AF">
      <w:pPr>
        <w:pStyle w:val="ListBullet"/>
      </w:pPr>
      <w:r w:rsidRPr="00EC326F">
        <w:rPr>
          <w:b/>
        </w:rPr>
        <w:t>Model extensions</w:t>
      </w:r>
      <w:r w:rsidRPr="00EC326F">
        <w:t>: changes made to provide additional functionality or consider further information</w:t>
      </w:r>
      <w:r w:rsidR="002718BB" w:rsidRPr="00EC326F">
        <w:t xml:space="preserve"> in the model.</w:t>
      </w:r>
    </w:p>
    <w:p w14:paraId="0E5B51E2" w14:textId="77777777" w:rsidR="008F6978" w:rsidRPr="00EC326F" w:rsidRDefault="00470BC4" w:rsidP="008F6978">
      <w:pPr>
        <w:pStyle w:val="PwCNormal"/>
        <w:numPr>
          <w:ilvl w:val="0"/>
          <w:numId w:val="0"/>
        </w:numPr>
      </w:pPr>
      <w:r w:rsidRPr="00EC326F">
        <w:t>The table below provides summary of these developments</w:t>
      </w:r>
      <w:r w:rsidR="00FD137B" w:rsidRPr="00EC326F">
        <w:t>.</w:t>
      </w:r>
    </w:p>
    <w:p w14:paraId="60610099" w14:textId="77777777" w:rsidR="00DD75AF" w:rsidRPr="002A0A1A" w:rsidRDefault="00470BC4" w:rsidP="00470BC4">
      <w:pPr>
        <w:pStyle w:val="Caption"/>
      </w:pPr>
      <w:r w:rsidRPr="00EC326F">
        <w:t xml:space="preserve">Table </w:t>
      </w:r>
      <w:fldSimple w:instr=" SEQ Table \* ARABIC ">
        <w:r w:rsidR="007A42DF">
          <w:rPr>
            <w:noProof/>
          </w:rPr>
          <w:t>8</w:t>
        </w:r>
      </w:fldSimple>
      <w:r w:rsidRPr="00EC326F">
        <w:t>: Summary of model developments for 2016 valuation</w:t>
      </w:r>
    </w:p>
    <w:tbl>
      <w:tblPr>
        <w:tblStyle w:val="LightList-Accent6"/>
        <w:tblW w:w="9498" w:type="dxa"/>
        <w:tblInd w:w="108" w:type="dxa"/>
        <w:tblLayout w:type="fixed"/>
        <w:tblLook w:val="04A0" w:firstRow="1" w:lastRow="0" w:firstColumn="1" w:lastColumn="0" w:noHBand="0" w:noVBand="1"/>
        <w:tblCaption w:val=" Summary of model developments for 2016 valuation"/>
        <w:tblDescription w:val="This table summarises the model development for the 2016 valuation.&#10;&#10;There are two columns. The left-most column is labelled “Item” and contains the following; Policy settings, data, population module (data maturity), demographic (flow) assumptions, data and assumptions new class special data variables, class movement assumptions, payment utilization and payment size assumptions, adjustment module and  projection and results modules. &#10;&#10;The second column is labelled “Details” contains text explaining any updates, refinements, and/or extensions made for the 2016 valuation.&#10;&#10;For policy settings the details are; &#10;• Updates: to reflect changes to the policy settings between 30 June 2015 and 30 June 2016&#10;• Refinements: improved methodology for making adjustments to reflect the current policy settings.&#10;&#10;For data, the details are;&#10;• Refinements: Further work has been undertaken to redefine the payment category definitions and mappings for supplements and allowances.&#10;&#10;For Population module (data maturity), the details are;&#10;• Refinements: The 2016 valuation analysis has explored the extent of data maturity issues and developed explicit adjustments for the main areas where data is immature.&#10;• Refinements: The approach for developing the 2016 valuation population module now uses a more detailed algorithm for projecting the population demographic characteristics from the census date to the valuation date.&#10;&#10;For Demographic (flow) assumptions, the details are;&#10;• Refinements: Further work has been undertaken to refine the assumptions for partnering, children and educational attainment.&#10;• Refinements: we have reviewed and refined the mortality assumptions, most notably to reflect DSP medical condition information.&#10;&#10;For Data and Assumptions for new class specific data variables, the details are;&#10;• Extensions: The model has been extended significantly to include the data and forward modelling of five new class characteristic variable groups for relevant classes:&#10;– payment type (classes 1, 2, 3)&#10;– employment earnings indicator (classes 1-5)&#10;– primary care recipient age, relationship to carers and medical condition category (class 4)&#10;– number of adult care recipients and number of child care recipients (class 8)&#10;– DSP medical condition category (class 5)&#10;&#10;For Class movement assumptions, the details are;&#10;• Updates: the assumptions are updated to reflect recent experience and current policy settings&#10;• Refinements: the assumptions have been refined by including new risk based assumptions for classes 5 and 7&#10;• Extensions: the assumptions are extended to consider the influence of the class characteristic variables on class movements&#10;&#10;For payment utilisation and payment size assumptions, the details are;&#10;• Updates: the assumptions are updated to reflect recent experience and current policy settings&#10;• Refinements: the assumptions have been refined to:&#10;– reflect the revised payment categories&#10;– provide improved modelling of the interactions between utilisation of family payments, FTB and new parent payments.&#10;• Extensions: the assumptions are extended to consider the influence of the class characteristic variables on payment utilisation and size&#10;• Extensions: the number of utilisation and payment models which allow for risk characteristic variables was increased.&#10;&#10;For the adjustments module, the details are;&#10;• Extensions: an economic module has been developed and adopted into the 2016 valuation model&#10;• Refinements: the adjustments module has been refined to provide improved functionality and flexibility.&#10;&#10;For the projection and results modules, the details are;&#10;• Extensions: the module has been extended to provide the additional functionality needed to implement the class characteristic variable modelling and refinements to the payment models.&#10;• Refinements: the projection and results modules have been refined to incorporate improvements identified during the baseline valuation.&#10;"/>
      </w:tblPr>
      <w:tblGrid>
        <w:gridCol w:w="1701"/>
        <w:gridCol w:w="7797"/>
      </w:tblGrid>
      <w:tr w:rsidR="00FD137B" w:rsidRPr="00EC326F" w14:paraId="1BFE49F8" w14:textId="77777777" w:rsidTr="00055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0460E1F3" w14:textId="77777777" w:rsidR="00FD137B" w:rsidRPr="00EC326F" w:rsidRDefault="00FD137B" w:rsidP="00FD137B">
            <w:pPr>
              <w:pStyle w:val="TableColumnHeadingSmall"/>
            </w:pPr>
            <w:r w:rsidRPr="00EC326F">
              <w:t xml:space="preserve">Item </w:t>
            </w:r>
          </w:p>
        </w:tc>
        <w:tc>
          <w:tcPr>
            <w:tcW w:w="7797" w:type="dxa"/>
          </w:tcPr>
          <w:p w14:paraId="13C8DE21" w14:textId="77777777" w:rsidR="00FD137B" w:rsidRPr="00EC326F" w:rsidRDefault="00FD137B" w:rsidP="00FD137B">
            <w:pPr>
              <w:pStyle w:val="TableColumnHeadingSmall"/>
              <w:cnfStyle w:val="100000000000" w:firstRow="1" w:lastRow="0" w:firstColumn="0" w:lastColumn="0" w:oddVBand="0" w:evenVBand="0" w:oddHBand="0" w:evenHBand="0" w:firstRowFirstColumn="0" w:firstRowLastColumn="0" w:lastRowFirstColumn="0" w:lastRowLastColumn="0"/>
            </w:pPr>
            <w:r w:rsidRPr="00EC326F">
              <w:t>Details</w:t>
            </w:r>
          </w:p>
        </w:tc>
      </w:tr>
      <w:tr w:rsidR="00FD137B" w:rsidRPr="00EC326F" w14:paraId="191BF879" w14:textId="77777777" w:rsidTr="00055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68687E" w14:textId="77777777" w:rsidR="00FD137B" w:rsidRPr="00EC326F" w:rsidRDefault="00FD137B" w:rsidP="00FD137B">
            <w:pPr>
              <w:pStyle w:val="TableTextSmall"/>
            </w:pPr>
            <w:r w:rsidRPr="00EC326F">
              <w:t>Policy settings</w:t>
            </w:r>
          </w:p>
        </w:tc>
        <w:tc>
          <w:tcPr>
            <w:tcW w:w="7797" w:type="dxa"/>
          </w:tcPr>
          <w:p w14:paraId="117D627F" w14:textId="77777777" w:rsidR="00FD137B" w:rsidRPr="00EC326F" w:rsidRDefault="00FD137B" w:rsidP="00FD137B">
            <w:pPr>
              <w:pStyle w:val="TableBullet1Small"/>
              <w:cnfStyle w:val="000000100000" w:firstRow="0" w:lastRow="0" w:firstColumn="0" w:lastColumn="0" w:oddVBand="0" w:evenVBand="0" w:oddHBand="1" w:evenHBand="0" w:firstRowFirstColumn="0" w:firstRowLastColumn="0" w:lastRowFirstColumn="0" w:lastRowLastColumn="0"/>
            </w:pPr>
            <w:r w:rsidRPr="00EC326F">
              <w:rPr>
                <w:b/>
              </w:rPr>
              <w:t>Updates:</w:t>
            </w:r>
            <w:r w:rsidRPr="00EC326F">
              <w:t xml:space="preserve"> to reflect changes to the policy settings between 30 June 2015 and 30 June 2016</w:t>
            </w:r>
          </w:p>
          <w:p w14:paraId="123868DF" w14:textId="77777777" w:rsidR="00FD137B" w:rsidRPr="00EC326F" w:rsidRDefault="00FD137B" w:rsidP="00FD137B">
            <w:pPr>
              <w:pStyle w:val="TableBullet1Small"/>
              <w:cnfStyle w:val="000000100000" w:firstRow="0" w:lastRow="0" w:firstColumn="0" w:lastColumn="0" w:oddVBand="0" w:evenVBand="0" w:oddHBand="1" w:evenHBand="0" w:firstRowFirstColumn="0" w:firstRowLastColumn="0" w:lastRowFirstColumn="0" w:lastRowLastColumn="0"/>
            </w:pPr>
            <w:r w:rsidRPr="00EC326F">
              <w:rPr>
                <w:b/>
              </w:rPr>
              <w:t>Refinements:</w:t>
            </w:r>
            <w:r w:rsidRPr="00EC326F">
              <w:t xml:space="preserve"> improved methodology for making adjustments to reflect the current policy settings.</w:t>
            </w:r>
          </w:p>
        </w:tc>
      </w:tr>
      <w:tr w:rsidR="00FD137B" w:rsidRPr="00EC326F" w14:paraId="0C5C94B5" w14:textId="77777777" w:rsidTr="00055EA9">
        <w:tc>
          <w:tcPr>
            <w:cnfStyle w:val="001000000000" w:firstRow="0" w:lastRow="0" w:firstColumn="1" w:lastColumn="0" w:oddVBand="0" w:evenVBand="0" w:oddHBand="0" w:evenHBand="0" w:firstRowFirstColumn="0" w:firstRowLastColumn="0" w:lastRowFirstColumn="0" w:lastRowLastColumn="0"/>
            <w:tcW w:w="1701" w:type="dxa"/>
          </w:tcPr>
          <w:p w14:paraId="6117FC0B" w14:textId="77777777" w:rsidR="00FD137B" w:rsidRPr="00EC326F" w:rsidRDefault="00FD137B" w:rsidP="00FD137B">
            <w:pPr>
              <w:pStyle w:val="TableTextSmall"/>
            </w:pPr>
            <w:r w:rsidRPr="00EC326F">
              <w:t xml:space="preserve">Data </w:t>
            </w:r>
          </w:p>
        </w:tc>
        <w:tc>
          <w:tcPr>
            <w:tcW w:w="7797" w:type="dxa"/>
          </w:tcPr>
          <w:p w14:paraId="702D13C6" w14:textId="77777777" w:rsidR="00FD137B" w:rsidRPr="00EC326F" w:rsidRDefault="00FD137B" w:rsidP="00FD137B">
            <w:pPr>
              <w:pStyle w:val="TableBullet1Small"/>
              <w:cnfStyle w:val="000000000000" w:firstRow="0" w:lastRow="0" w:firstColumn="0" w:lastColumn="0" w:oddVBand="0" w:evenVBand="0" w:oddHBand="0" w:evenHBand="0" w:firstRowFirstColumn="0" w:firstRowLastColumn="0" w:lastRowFirstColumn="0" w:lastRowLastColumn="0"/>
            </w:pPr>
            <w:r w:rsidRPr="00EC326F">
              <w:rPr>
                <w:b/>
              </w:rPr>
              <w:t>Refinements:</w:t>
            </w:r>
            <w:r w:rsidRPr="00EC326F">
              <w:t xml:space="preserve"> Further work has been undertaken to redefine the payment category definitions and mappings for supplements and allowances.</w:t>
            </w:r>
          </w:p>
        </w:tc>
      </w:tr>
      <w:tr w:rsidR="00FD137B" w:rsidRPr="00EC326F" w14:paraId="278CC635" w14:textId="77777777" w:rsidTr="00055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6C1AE4E" w14:textId="77777777" w:rsidR="00FD137B" w:rsidRPr="00EC326F" w:rsidRDefault="00FD137B" w:rsidP="00FD137B">
            <w:pPr>
              <w:pStyle w:val="TableTextSmall"/>
            </w:pPr>
            <w:r w:rsidRPr="00EC326F">
              <w:t>Population module (data maturity)</w:t>
            </w:r>
          </w:p>
        </w:tc>
        <w:tc>
          <w:tcPr>
            <w:tcW w:w="7797" w:type="dxa"/>
          </w:tcPr>
          <w:p w14:paraId="5F48DC45" w14:textId="77777777" w:rsidR="00FD137B" w:rsidRPr="00EC326F" w:rsidRDefault="00FD137B" w:rsidP="00FD137B">
            <w:pPr>
              <w:pStyle w:val="TableBullet1Small"/>
              <w:cnfStyle w:val="000000100000" w:firstRow="0" w:lastRow="0" w:firstColumn="0" w:lastColumn="0" w:oddVBand="0" w:evenVBand="0" w:oddHBand="1" w:evenHBand="0" w:firstRowFirstColumn="0" w:firstRowLastColumn="0" w:lastRowFirstColumn="0" w:lastRowLastColumn="0"/>
            </w:pPr>
            <w:r w:rsidRPr="00EC326F">
              <w:rPr>
                <w:b/>
              </w:rPr>
              <w:t>Refinements:</w:t>
            </w:r>
            <w:r w:rsidRPr="00EC326F">
              <w:t xml:space="preserve"> The 2016 valuation analysis has explored the extent of </w:t>
            </w:r>
            <w:r w:rsidR="00F76E38" w:rsidRPr="00EC326F">
              <w:t xml:space="preserve">data </w:t>
            </w:r>
            <w:r w:rsidRPr="00EC326F">
              <w:t>maturity issues and developed explicit adjustments for the main areas where data is immature.</w:t>
            </w:r>
          </w:p>
          <w:p w14:paraId="09373F87" w14:textId="77777777" w:rsidR="00683C98" w:rsidRPr="00EC326F" w:rsidRDefault="00683C98" w:rsidP="0007221A">
            <w:pPr>
              <w:pStyle w:val="TableBullet1Small"/>
              <w:cnfStyle w:val="000000100000" w:firstRow="0" w:lastRow="0" w:firstColumn="0" w:lastColumn="0" w:oddVBand="0" w:evenVBand="0" w:oddHBand="1" w:evenHBand="0" w:firstRowFirstColumn="0" w:firstRowLastColumn="0" w:lastRowFirstColumn="0" w:lastRowLastColumn="0"/>
            </w:pPr>
            <w:r w:rsidRPr="00EC326F">
              <w:rPr>
                <w:b/>
              </w:rPr>
              <w:t>Refinements:</w:t>
            </w:r>
            <w:r w:rsidRPr="00EC326F">
              <w:t xml:space="preserve"> The </w:t>
            </w:r>
            <w:r w:rsidR="00926FAA" w:rsidRPr="00EC326F">
              <w:t xml:space="preserve">approach for developing the </w:t>
            </w:r>
            <w:r w:rsidRPr="00EC326F">
              <w:t xml:space="preserve">2016 valuation </w:t>
            </w:r>
            <w:r w:rsidR="00926FAA" w:rsidRPr="00EC326F">
              <w:t xml:space="preserve">population module </w:t>
            </w:r>
            <w:r w:rsidR="0007221A" w:rsidRPr="00EC326F">
              <w:t>now uses a more detailed algorithm for projecting the population demographic characteristics from the census date to the valuation date.</w:t>
            </w:r>
          </w:p>
        </w:tc>
      </w:tr>
      <w:tr w:rsidR="00FD137B" w:rsidRPr="00EC326F" w14:paraId="14D8D691" w14:textId="77777777" w:rsidTr="00055EA9">
        <w:tc>
          <w:tcPr>
            <w:cnfStyle w:val="001000000000" w:firstRow="0" w:lastRow="0" w:firstColumn="1" w:lastColumn="0" w:oddVBand="0" w:evenVBand="0" w:oddHBand="0" w:evenHBand="0" w:firstRowFirstColumn="0" w:firstRowLastColumn="0" w:lastRowFirstColumn="0" w:lastRowLastColumn="0"/>
            <w:tcW w:w="1701" w:type="dxa"/>
          </w:tcPr>
          <w:p w14:paraId="5E9CA084" w14:textId="77777777" w:rsidR="00FD137B" w:rsidRPr="00EC326F" w:rsidRDefault="00FD137B" w:rsidP="00FD137B">
            <w:pPr>
              <w:pStyle w:val="TableTextSmall"/>
            </w:pPr>
            <w:r w:rsidRPr="00EC326F">
              <w:t>Demographic (flow) assumptions</w:t>
            </w:r>
          </w:p>
        </w:tc>
        <w:tc>
          <w:tcPr>
            <w:tcW w:w="7797" w:type="dxa"/>
          </w:tcPr>
          <w:p w14:paraId="39C6C9CF" w14:textId="77777777" w:rsidR="00FD137B" w:rsidRPr="00EC326F" w:rsidRDefault="00FD137B" w:rsidP="00FD137B">
            <w:pPr>
              <w:pStyle w:val="TableBullet1Small"/>
              <w:cnfStyle w:val="000000000000" w:firstRow="0" w:lastRow="0" w:firstColumn="0" w:lastColumn="0" w:oddVBand="0" w:evenVBand="0" w:oddHBand="0" w:evenHBand="0" w:firstRowFirstColumn="0" w:firstRowLastColumn="0" w:lastRowFirstColumn="0" w:lastRowLastColumn="0"/>
            </w:pPr>
            <w:r w:rsidRPr="00EC326F">
              <w:rPr>
                <w:b/>
              </w:rPr>
              <w:t>Refinements:</w:t>
            </w:r>
            <w:r w:rsidRPr="00EC326F">
              <w:t xml:space="preserve"> Further work has been undertaken to refine the assumptions for partnering, children and educational attainment.</w:t>
            </w:r>
          </w:p>
          <w:p w14:paraId="1A38EC95" w14:textId="77777777" w:rsidR="00FD137B" w:rsidRPr="00EC326F" w:rsidRDefault="00FD137B" w:rsidP="00FD137B">
            <w:pPr>
              <w:pStyle w:val="TableBullet1Small"/>
              <w:cnfStyle w:val="000000000000" w:firstRow="0" w:lastRow="0" w:firstColumn="0" w:lastColumn="0" w:oddVBand="0" w:evenVBand="0" w:oddHBand="0" w:evenHBand="0" w:firstRowFirstColumn="0" w:firstRowLastColumn="0" w:lastRowFirstColumn="0" w:lastRowLastColumn="0"/>
            </w:pPr>
            <w:r w:rsidRPr="00EC326F">
              <w:rPr>
                <w:b/>
              </w:rPr>
              <w:t>Refinements:</w:t>
            </w:r>
            <w:r w:rsidRPr="00EC326F">
              <w:t xml:space="preserve"> we have reviewed and refined the mortality assumptions, most notably to reflect DSP medical condition information.</w:t>
            </w:r>
          </w:p>
        </w:tc>
      </w:tr>
      <w:tr w:rsidR="00FD137B" w:rsidRPr="00EC326F" w14:paraId="491AABC1" w14:textId="77777777" w:rsidTr="00055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AC2242" w14:textId="77777777" w:rsidR="00FD137B" w:rsidRPr="00EC326F" w:rsidDel="00D424FB" w:rsidRDefault="00FD137B" w:rsidP="00EB6711">
            <w:pPr>
              <w:pStyle w:val="TableTextSmall"/>
            </w:pPr>
            <w:r w:rsidRPr="00EC326F">
              <w:t xml:space="preserve">Data and Assumptions for </w:t>
            </w:r>
            <w:r w:rsidR="00EB6711" w:rsidRPr="00EC326F">
              <w:t>n</w:t>
            </w:r>
            <w:r w:rsidRPr="00EC326F">
              <w:t xml:space="preserve">ew class specific </w:t>
            </w:r>
            <w:r w:rsidR="00683C98" w:rsidRPr="00EC326F">
              <w:t xml:space="preserve">data </w:t>
            </w:r>
            <w:r w:rsidRPr="00EC326F">
              <w:t>variables</w:t>
            </w:r>
          </w:p>
        </w:tc>
        <w:tc>
          <w:tcPr>
            <w:tcW w:w="7797" w:type="dxa"/>
          </w:tcPr>
          <w:p w14:paraId="2FAB36EA" w14:textId="77777777" w:rsidR="00FD137B" w:rsidRPr="00EC326F" w:rsidRDefault="00FD137B" w:rsidP="00FD137B">
            <w:pPr>
              <w:pStyle w:val="TableBullet1Small"/>
              <w:cnfStyle w:val="000000100000" w:firstRow="0" w:lastRow="0" w:firstColumn="0" w:lastColumn="0" w:oddVBand="0" w:evenVBand="0" w:oddHBand="1" w:evenHBand="0" w:firstRowFirstColumn="0" w:firstRowLastColumn="0" w:lastRowFirstColumn="0" w:lastRowLastColumn="0"/>
              <w:rPr>
                <w:b/>
              </w:rPr>
            </w:pPr>
            <w:r w:rsidRPr="00EC326F">
              <w:rPr>
                <w:b/>
              </w:rPr>
              <w:t xml:space="preserve">Extensions: </w:t>
            </w:r>
            <w:r w:rsidRPr="00EC326F">
              <w:t>The model has been extended significantly to include the data and forward modelling of f</w:t>
            </w:r>
            <w:r w:rsidR="00F76E38" w:rsidRPr="00EC326F">
              <w:t>ive</w:t>
            </w:r>
            <w:r w:rsidRPr="00EC326F">
              <w:t xml:space="preserve"> new </w:t>
            </w:r>
            <w:r w:rsidR="007C1B83" w:rsidRPr="00EC326F">
              <w:t xml:space="preserve">class characteristic </w:t>
            </w:r>
            <w:r w:rsidRPr="00EC326F">
              <w:t>variable groups for relevant classes:</w:t>
            </w:r>
          </w:p>
          <w:p w14:paraId="566668ED" w14:textId="77777777" w:rsidR="00FD137B" w:rsidRPr="00EC326F" w:rsidRDefault="00FD137B" w:rsidP="00FD137B">
            <w:pPr>
              <w:pStyle w:val="TableBullet2Small"/>
              <w:cnfStyle w:val="000000100000" w:firstRow="0" w:lastRow="0" w:firstColumn="0" w:lastColumn="0" w:oddVBand="0" w:evenVBand="0" w:oddHBand="1" w:evenHBand="0" w:firstRowFirstColumn="0" w:firstRowLastColumn="0" w:lastRowFirstColumn="0" w:lastRowLastColumn="0"/>
              <w:rPr>
                <w:b/>
              </w:rPr>
            </w:pPr>
            <w:r w:rsidRPr="00EC326F">
              <w:t>payment type (classes 1, 2, 3)</w:t>
            </w:r>
          </w:p>
          <w:p w14:paraId="31D43599" w14:textId="77777777" w:rsidR="00FD137B" w:rsidRPr="00EC326F" w:rsidRDefault="00F76E38" w:rsidP="00FD137B">
            <w:pPr>
              <w:pStyle w:val="TableBullet2Small"/>
              <w:cnfStyle w:val="000000100000" w:firstRow="0" w:lastRow="0" w:firstColumn="0" w:lastColumn="0" w:oddVBand="0" w:evenVBand="0" w:oddHBand="1" w:evenHBand="0" w:firstRowFirstColumn="0" w:firstRowLastColumn="0" w:lastRowFirstColumn="0" w:lastRowLastColumn="0"/>
              <w:rPr>
                <w:b/>
              </w:rPr>
            </w:pPr>
            <w:r w:rsidRPr="00EC326F">
              <w:t xml:space="preserve">employment </w:t>
            </w:r>
            <w:r w:rsidR="00FD137B" w:rsidRPr="00EC326F">
              <w:t>earnings indicator (classes 1-5)</w:t>
            </w:r>
          </w:p>
          <w:p w14:paraId="3518FED5" w14:textId="145CDBA2" w:rsidR="00FD137B" w:rsidRPr="00EC326F" w:rsidRDefault="00F76E38" w:rsidP="00FD137B">
            <w:pPr>
              <w:pStyle w:val="TableBullet2Small"/>
              <w:cnfStyle w:val="000000100000" w:firstRow="0" w:lastRow="0" w:firstColumn="0" w:lastColumn="0" w:oddVBand="0" w:evenVBand="0" w:oddHBand="1" w:evenHBand="0" w:firstRowFirstColumn="0" w:firstRowLastColumn="0" w:lastRowFirstColumn="0" w:lastRowLastColumn="0"/>
              <w:rPr>
                <w:b/>
              </w:rPr>
            </w:pPr>
            <w:r w:rsidRPr="00EC326F">
              <w:t xml:space="preserve">primary </w:t>
            </w:r>
            <w:r w:rsidR="00FE6871">
              <w:t xml:space="preserve">care recipient </w:t>
            </w:r>
            <w:r w:rsidRPr="00EC326F">
              <w:t xml:space="preserve">age, relationship to carers and medical condition category </w:t>
            </w:r>
            <w:r w:rsidR="00FD137B" w:rsidRPr="00EC326F">
              <w:t>(class 4)</w:t>
            </w:r>
          </w:p>
          <w:p w14:paraId="1AF4F976" w14:textId="66C7AFD4" w:rsidR="00F76E38" w:rsidRPr="00EC326F" w:rsidRDefault="00F76E38" w:rsidP="00FD137B">
            <w:pPr>
              <w:pStyle w:val="TableBullet2Small"/>
              <w:cnfStyle w:val="000000100000" w:firstRow="0" w:lastRow="0" w:firstColumn="0" w:lastColumn="0" w:oddVBand="0" w:evenVBand="0" w:oddHBand="1" w:evenHBand="0" w:firstRowFirstColumn="0" w:firstRowLastColumn="0" w:lastRowFirstColumn="0" w:lastRowLastColumn="0"/>
            </w:pPr>
            <w:r w:rsidRPr="00EC326F">
              <w:t xml:space="preserve">number of adult </w:t>
            </w:r>
            <w:r w:rsidR="00FE6871">
              <w:t>care recipient</w:t>
            </w:r>
            <w:r w:rsidR="00FE6871" w:rsidRPr="00EC326F">
              <w:t xml:space="preserve">s </w:t>
            </w:r>
            <w:r w:rsidRPr="00EC326F">
              <w:t xml:space="preserve">and number of child </w:t>
            </w:r>
            <w:r w:rsidR="00FE6871">
              <w:t>care recipients</w:t>
            </w:r>
            <w:r w:rsidR="00FE6871" w:rsidRPr="00EC326F">
              <w:t xml:space="preserve"> </w:t>
            </w:r>
            <w:r w:rsidRPr="00EC326F">
              <w:t>(class 8)</w:t>
            </w:r>
          </w:p>
          <w:p w14:paraId="4312F3AA" w14:textId="77777777" w:rsidR="00FD137B" w:rsidRPr="00EC326F" w:rsidRDefault="00FD137B" w:rsidP="00F76E38">
            <w:pPr>
              <w:pStyle w:val="TableBullet2Small"/>
              <w:cnfStyle w:val="000000100000" w:firstRow="0" w:lastRow="0" w:firstColumn="0" w:lastColumn="0" w:oddVBand="0" w:evenVBand="0" w:oddHBand="1" w:evenHBand="0" w:firstRowFirstColumn="0" w:firstRowLastColumn="0" w:lastRowFirstColumn="0" w:lastRowLastColumn="0"/>
              <w:rPr>
                <w:b/>
              </w:rPr>
            </w:pPr>
            <w:r w:rsidRPr="00EC326F">
              <w:t xml:space="preserve">DSP </w:t>
            </w:r>
            <w:r w:rsidR="00F76E38" w:rsidRPr="00EC326F">
              <w:t>medical condition category</w:t>
            </w:r>
            <w:r w:rsidRPr="00EC326F">
              <w:t xml:space="preserve"> (class 5)</w:t>
            </w:r>
          </w:p>
        </w:tc>
      </w:tr>
      <w:tr w:rsidR="00FD137B" w:rsidRPr="00EC326F" w14:paraId="44FD4A39" w14:textId="77777777" w:rsidTr="00055EA9">
        <w:tc>
          <w:tcPr>
            <w:cnfStyle w:val="001000000000" w:firstRow="0" w:lastRow="0" w:firstColumn="1" w:lastColumn="0" w:oddVBand="0" w:evenVBand="0" w:oddHBand="0" w:evenHBand="0" w:firstRowFirstColumn="0" w:firstRowLastColumn="0" w:lastRowFirstColumn="0" w:lastRowLastColumn="0"/>
            <w:tcW w:w="1701" w:type="dxa"/>
          </w:tcPr>
          <w:p w14:paraId="1F3BF3A4" w14:textId="77777777" w:rsidR="00FD137B" w:rsidRPr="00EC326F" w:rsidDel="00D424FB" w:rsidRDefault="00FD137B" w:rsidP="00FD137B">
            <w:pPr>
              <w:pStyle w:val="TableTextSmall"/>
            </w:pPr>
            <w:r w:rsidRPr="00EC326F">
              <w:t>Class movement assumptions</w:t>
            </w:r>
          </w:p>
        </w:tc>
        <w:tc>
          <w:tcPr>
            <w:tcW w:w="7797" w:type="dxa"/>
          </w:tcPr>
          <w:p w14:paraId="59FE9CF7" w14:textId="77777777" w:rsidR="00FD137B" w:rsidRPr="00EC326F" w:rsidRDefault="00FD137B" w:rsidP="00FD137B">
            <w:pPr>
              <w:pStyle w:val="TableBullet1Small"/>
              <w:cnfStyle w:val="000000000000" w:firstRow="0" w:lastRow="0" w:firstColumn="0" w:lastColumn="0" w:oddVBand="0" w:evenVBand="0" w:oddHBand="0" w:evenHBand="0" w:firstRowFirstColumn="0" w:firstRowLastColumn="0" w:lastRowFirstColumn="0" w:lastRowLastColumn="0"/>
              <w:rPr>
                <w:b/>
              </w:rPr>
            </w:pPr>
            <w:r w:rsidRPr="00EC326F">
              <w:rPr>
                <w:b/>
              </w:rPr>
              <w:t xml:space="preserve">Updates: </w:t>
            </w:r>
            <w:r w:rsidRPr="00EC326F">
              <w:t>the assumptions are updated to reflect recent experience and current policy settings</w:t>
            </w:r>
          </w:p>
          <w:p w14:paraId="17D88706" w14:textId="77777777" w:rsidR="002718BB" w:rsidRPr="00EC326F" w:rsidRDefault="002718BB" w:rsidP="00B96B29">
            <w:pPr>
              <w:pStyle w:val="TableBullet1Small"/>
              <w:cnfStyle w:val="000000000000" w:firstRow="0" w:lastRow="0" w:firstColumn="0" w:lastColumn="0" w:oddVBand="0" w:evenVBand="0" w:oddHBand="0" w:evenHBand="0" w:firstRowFirstColumn="0" w:firstRowLastColumn="0" w:lastRowFirstColumn="0" w:lastRowLastColumn="0"/>
              <w:rPr>
                <w:b/>
              </w:rPr>
            </w:pPr>
            <w:r w:rsidRPr="00EC326F">
              <w:rPr>
                <w:b/>
              </w:rPr>
              <w:t xml:space="preserve">Refinements: </w:t>
            </w:r>
            <w:r w:rsidRPr="00EC326F">
              <w:t>the assumptions have been refined by including new risk based assumptions for classes 5 and 7</w:t>
            </w:r>
          </w:p>
          <w:p w14:paraId="68C0BC1B" w14:textId="77777777" w:rsidR="00FD137B" w:rsidRPr="00EC326F" w:rsidRDefault="00FD137B" w:rsidP="00B96B29">
            <w:pPr>
              <w:pStyle w:val="TableBullet1Small"/>
              <w:cnfStyle w:val="000000000000" w:firstRow="0" w:lastRow="0" w:firstColumn="0" w:lastColumn="0" w:oddVBand="0" w:evenVBand="0" w:oddHBand="0" w:evenHBand="0" w:firstRowFirstColumn="0" w:firstRowLastColumn="0" w:lastRowFirstColumn="0" w:lastRowLastColumn="0"/>
              <w:rPr>
                <w:b/>
              </w:rPr>
            </w:pPr>
            <w:r w:rsidRPr="00EC326F">
              <w:rPr>
                <w:b/>
              </w:rPr>
              <w:t xml:space="preserve">Extensions: </w:t>
            </w:r>
            <w:r w:rsidRPr="00EC326F">
              <w:t xml:space="preserve">the assumptions </w:t>
            </w:r>
            <w:r w:rsidR="00F76E38" w:rsidRPr="00EC326F">
              <w:t>ar</w:t>
            </w:r>
            <w:r w:rsidRPr="00EC326F">
              <w:t xml:space="preserve">e extended to consider the influence of the </w:t>
            </w:r>
            <w:r w:rsidR="00B96B29" w:rsidRPr="00EC326F">
              <w:t>class characteristic</w:t>
            </w:r>
            <w:r w:rsidRPr="00EC326F">
              <w:t xml:space="preserve"> variables on class movements</w:t>
            </w:r>
          </w:p>
        </w:tc>
      </w:tr>
      <w:tr w:rsidR="00FD137B" w:rsidRPr="00EC326F" w14:paraId="061C0AF1" w14:textId="77777777" w:rsidTr="00055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415548F" w14:textId="77777777" w:rsidR="00FD137B" w:rsidRPr="00EC326F" w:rsidRDefault="00FD137B" w:rsidP="00FD137B">
            <w:pPr>
              <w:pStyle w:val="TableTextSmall"/>
            </w:pPr>
            <w:r w:rsidRPr="00EC326F">
              <w:t>Payment utilisation and payment size assumptions</w:t>
            </w:r>
          </w:p>
        </w:tc>
        <w:tc>
          <w:tcPr>
            <w:tcW w:w="7797" w:type="dxa"/>
          </w:tcPr>
          <w:p w14:paraId="0159C25A" w14:textId="77777777" w:rsidR="00FD137B" w:rsidRPr="00EC326F" w:rsidRDefault="00FD137B" w:rsidP="00FD137B">
            <w:pPr>
              <w:pStyle w:val="TableBullet1Small"/>
              <w:cnfStyle w:val="000000100000" w:firstRow="0" w:lastRow="0" w:firstColumn="0" w:lastColumn="0" w:oddVBand="0" w:evenVBand="0" w:oddHBand="1" w:evenHBand="0" w:firstRowFirstColumn="0" w:firstRowLastColumn="0" w:lastRowFirstColumn="0" w:lastRowLastColumn="0"/>
              <w:rPr>
                <w:b/>
              </w:rPr>
            </w:pPr>
            <w:r w:rsidRPr="00EC326F">
              <w:rPr>
                <w:b/>
              </w:rPr>
              <w:t xml:space="preserve">Updates: </w:t>
            </w:r>
            <w:r w:rsidRPr="00EC326F">
              <w:t>the assumptions are updated to reflect recent experience and current policy settings</w:t>
            </w:r>
          </w:p>
          <w:p w14:paraId="6B81A659" w14:textId="77777777" w:rsidR="00FD137B" w:rsidRPr="00EC326F" w:rsidRDefault="00FD137B" w:rsidP="00FD137B">
            <w:pPr>
              <w:pStyle w:val="TableBullet1Small"/>
              <w:cnfStyle w:val="000000100000" w:firstRow="0" w:lastRow="0" w:firstColumn="0" w:lastColumn="0" w:oddVBand="0" w:evenVBand="0" w:oddHBand="1" w:evenHBand="0" w:firstRowFirstColumn="0" w:firstRowLastColumn="0" w:lastRowFirstColumn="0" w:lastRowLastColumn="0"/>
              <w:rPr>
                <w:b/>
              </w:rPr>
            </w:pPr>
            <w:r w:rsidRPr="00EC326F">
              <w:rPr>
                <w:b/>
              </w:rPr>
              <w:t xml:space="preserve">Refinements: </w:t>
            </w:r>
            <w:r w:rsidRPr="00EC326F">
              <w:t xml:space="preserve">the assumptions </w:t>
            </w:r>
            <w:r w:rsidR="002718BB" w:rsidRPr="00EC326F">
              <w:t>have</w:t>
            </w:r>
            <w:r w:rsidRPr="00EC326F">
              <w:t xml:space="preserve"> be</w:t>
            </w:r>
            <w:r w:rsidR="002718BB" w:rsidRPr="00EC326F">
              <w:t>en</w:t>
            </w:r>
            <w:r w:rsidRPr="00EC326F">
              <w:t xml:space="preserve"> refined to:</w:t>
            </w:r>
          </w:p>
          <w:p w14:paraId="67D79240" w14:textId="77777777" w:rsidR="00FD137B" w:rsidRPr="00EC326F" w:rsidRDefault="00FD137B" w:rsidP="00FD137B">
            <w:pPr>
              <w:pStyle w:val="TableBullet2Small"/>
              <w:cnfStyle w:val="000000100000" w:firstRow="0" w:lastRow="0" w:firstColumn="0" w:lastColumn="0" w:oddVBand="0" w:evenVBand="0" w:oddHBand="1" w:evenHBand="0" w:firstRowFirstColumn="0" w:firstRowLastColumn="0" w:lastRowFirstColumn="0" w:lastRowLastColumn="0"/>
              <w:rPr>
                <w:b/>
              </w:rPr>
            </w:pPr>
            <w:r w:rsidRPr="00EC326F">
              <w:t>reflect the revised payment categories</w:t>
            </w:r>
          </w:p>
          <w:p w14:paraId="5412989C" w14:textId="77777777" w:rsidR="00FD137B" w:rsidRPr="00EC326F" w:rsidRDefault="00FD137B" w:rsidP="00FD137B">
            <w:pPr>
              <w:pStyle w:val="TableBullet2Small"/>
              <w:cnfStyle w:val="000000100000" w:firstRow="0" w:lastRow="0" w:firstColumn="0" w:lastColumn="0" w:oddVBand="0" w:evenVBand="0" w:oddHBand="1" w:evenHBand="0" w:firstRowFirstColumn="0" w:firstRowLastColumn="0" w:lastRowFirstColumn="0" w:lastRowLastColumn="0"/>
              <w:rPr>
                <w:b/>
              </w:rPr>
            </w:pPr>
            <w:r w:rsidRPr="00EC326F">
              <w:t>provide improved modelling of the interactions between utilisation of family payments, FTB and new parent payments.</w:t>
            </w:r>
          </w:p>
          <w:p w14:paraId="68758012" w14:textId="77777777" w:rsidR="00FD137B" w:rsidRPr="00EC326F" w:rsidRDefault="00FD137B" w:rsidP="00FD137B">
            <w:pPr>
              <w:pStyle w:val="TableBullet1Small"/>
              <w:cnfStyle w:val="000000100000" w:firstRow="0" w:lastRow="0" w:firstColumn="0" w:lastColumn="0" w:oddVBand="0" w:evenVBand="0" w:oddHBand="1" w:evenHBand="0" w:firstRowFirstColumn="0" w:firstRowLastColumn="0" w:lastRowFirstColumn="0" w:lastRowLastColumn="0"/>
              <w:rPr>
                <w:b/>
              </w:rPr>
            </w:pPr>
            <w:r w:rsidRPr="00EC326F">
              <w:rPr>
                <w:b/>
              </w:rPr>
              <w:t xml:space="preserve">Extensions: </w:t>
            </w:r>
            <w:r w:rsidRPr="00EC326F">
              <w:t xml:space="preserve">the assumptions </w:t>
            </w:r>
            <w:r w:rsidR="00F76E38" w:rsidRPr="00EC326F">
              <w:t>ar</w:t>
            </w:r>
            <w:r w:rsidRPr="00EC326F">
              <w:t xml:space="preserve">e extended to consider the influence of the </w:t>
            </w:r>
            <w:r w:rsidR="00B96B29" w:rsidRPr="00EC326F">
              <w:t>class characteristic</w:t>
            </w:r>
            <w:r w:rsidRPr="00EC326F">
              <w:t xml:space="preserve"> variables on payment utilisation </w:t>
            </w:r>
            <w:r w:rsidR="00F76E38" w:rsidRPr="00EC326F">
              <w:t>and</w:t>
            </w:r>
            <w:r w:rsidRPr="00EC326F">
              <w:t xml:space="preserve"> size</w:t>
            </w:r>
          </w:p>
          <w:p w14:paraId="7EBF25DA" w14:textId="77777777" w:rsidR="00FD137B" w:rsidRPr="00EC326F" w:rsidRDefault="00FD137B" w:rsidP="00C55329">
            <w:pPr>
              <w:pStyle w:val="TableBullet1Small"/>
              <w:cnfStyle w:val="000000100000" w:firstRow="0" w:lastRow="0" w:firstColumn="0" w:lastColumn="0" w:oddVBand="0" w:evenVBand="0" w:oddHBand="1" w:evenHBand="0" w:firstRowFirstColumn="0" w:firstRowLastColumn="0" w:lastRowFirstColumn="0" w:lastRowLastColumn="0"/>
              <w:rPr>
                <w:b/>
              </w:rPr>
            </w:pPr>
            <w:r w:rsidRPr="00EC326F">
              <w:rPr>
                <w:b/>
              </w:rPr>
              <w:t>Extensions:</w:t>
            </w:r>
            <w:r w:rsidRPr="00EC326F">
              <w:t xml:space="preserve"> </w:t>
            </w:r>
            <w:r w:rsidR="00377B1F" w:rsidRPr="00EC326F">
              <w:t xml:space="preserve">the number of </w:t>
            </w:r>
            <w:r w:rsidR="00C55329">
              <w:t>utilisation</w:t>
            </w:r>
            <w:r w:rsidR="00377B1F" w:rsidRPr="00EC326F">
              <w:t xml:space="preserve"> and payment models which allow for risk characteristic variables was increased</w:t>
            </w:r>
            <w:r w:rsidR="00C55329">
              <w:t>.</w:t>
            </w:r>
            <w:r w:rsidR="00377B1F" w:rsidRPr="00EC326F">
              <w:t xml:space="preserve"> </w:t>
            </w:r>
          </w:p>
        </w:tc>
      </w:tr>
      <w:tr w:rsidR="00FD137B" w:rsidRPr="00EC326F" w14:paraId="3AAEE325" w14:textId="77777777" w:rsidTr="00055EA9">
        <w:tc>
          <w:tcPr>
            <w:cnfStyle w:val="001000000000" w:firstRow="0" w:lastRow="0" w:firstColumn="1" w:lastColumn="0" w:oddVBand="0" w:evenVBand="0" w:oddHBand="0" w:evenHBand="0" w:firstRowFirstColumn="0" w:firstRowLastColumn="0" w:lastRowFirstColumn="0" w:lastRowLastColumn="0"/>
            <w:tcW w:w="1701" w:type="dxa"/>
          </w:tcPr>
          <w:p w14:paraId="7CDC8502" w14:textId="77777777" w:rsidR="00FD137B" w:rsidRPr="00EC326F" w:rsidRDefault="00FD137B" w:rsidP="00F76E38">
            <w:pPr>
              <w:pStyle w:val="TableTextSmall"/>
            </w:pPr>
            <w:r w:rsidRPr="00EC326F">
              <w:t>Adjustment</w:t>
            </w:r>
            <w:r w:rsidR="00C0593F">
              <w:t>s</w:t>
            </w:r>
            <w:r w:rsidRPr="00EC326F">
              <w:t xml:space="preserve"> module </w:t>
            </w:r>
          </w:p>
        </w:tc>
        <w:tc>
          <w:tcPr>
            <w:tcW w:w="7797" w:type="dxa"/>
          </w:tcPr>
          <w:p w14:paraId="32E7862E" w14:textId="77777777" w:rsidR="00FD137B" w:rsidRPr="00EC326F" w:rsidRDefault="00FD137B" w:rsidP="00F76E38">
            <w:pPr>
              <w:pStyle w:val="TableBullet1Small"/>
              <w:cnfStyle w:val="000000000000" w:firstRow="0" w:lastRow="0" w:firstColumn="0" w:lastColumn="0" w:oddVBand="0" w:evenVBand="0" w:oddHBand="0" w:evenHBand="0" w:firstRowFirstColumn="0" w:firstRowLastColumn="0" w:lastRowFirstColumn="0" w:lastRowLastColumn="0"/>
              <w:rPr>
                <w:b/>
              </w:rPr>
            </w:pPr>
            <w:r w:rsidRPr="00EC326F">
              <w:rPr>
                <w:b/>
              </w:rPr>
              <w:t xml:space="preserve">Extensions: </w:t>
            </w:r>
            <w:r w:rsidRPr="00EC326F">
              <w:t xml:space="preserve">an economic module </w:t>
            </w:r>
            <w:r w:rsidR="00F76E38" w:rsidRPr="00EC326F">
              <w:t>has been developed and</w:t>
            </w:r>
            <w:r w:rsidRPr="00EC326F">
              <w:t xml:space="preserve"> adopted into the 2016 valuation model</w:t>
            </w:r>
          </w:p>
          <w:p w14:paraId="77134E47" w14:textId="77777777" w:rsidR="00F76E38" w:rsidRPr="00EC326F" w:rsidRDefault="00F76E38" w:rsidP="00F76E38">
            <w:pPr>
              <w:pStyle w:val="TableBullet1Small"/>
              <w:cnfStyle w:val="000000000000" w:firstRow="0" w:lastRow="0" w:firstColumn="0" w:lastColumn="0" w:oddVBand="0" w:evenVBand="0" w:oddHBand="0" w:evenHBand="0" w:firstRowFirstColumn="0" w:firstRowLastColumn="0" w:lastRowFirstColumn="0" w:lastRowLastColumn="0"/>
              <w:rPr>
                <w:b/>
              </w:rPr>
            </w:pPr>
            <w:r w:rsidRPr="00EC326F">
              <w:rPr>
                <w:b/>
              </w:rPr>
              <w:t xml:space="preserve">Refinements: </w:t>
            </w:r>
            <w:r w:rsidRPr="00EC326F">
              <w:t>the adjustments module has been refined to provide improved functionality and flexibility.</w:t>
            </w:r>
          </w:p>
        </w:tc>
      </w:tr>
      <w:tr w:rsidR="00FD137B" w:rsidRPr="00EC326F" w14:paraId="381C09BE" w14:textId="77777777" w:rsidTr="00055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24CC4E7" w14:textId="77777777" w:rsidR="00FD137B" w:rsidRPr="00EC326F" w:rsidRDefault="00FD137B" w:rsidP="00FD137B">
            <w:pPr>
              <w:pStyle w:val="TableTextSmall"/>
            </w:pPr>
            <w:r w:rsidRPr="00EC326F">
              <w:t xml:space="preserve">Projection </w:t>
            </w:r>
            <w:r w:rsidR="00F76E38" w:rsidRPr="00EC326F">
              <w:t xml:space="preserve">and results </w:t>
            </w:r>
            <w:r w:rsidRPr="00EC326F">
              <w:t>module</w:t>
            </w:r>
            <w:r w:rsidR="00F76E38" w:rsidRPr="00EC326F">
              <w:t>s</w:t>
            </w:r>
          </w:p>
        </w:tc>
        <w:tc>
          <w:tcPr>
            <w:tcW w:w="7797" w:type="dxa"/>
          </w:tcPr>
          <w:p w14:paraId="362AB02E" w14:textId="77777777" w:rsidR="00FD137B" w:rsidRPr="00EC326F" w:rsidRDefault="00FD137B" w:rsidP="00FD137B">
            <w:pPr>
              <w:pStyle w:val="TableBullet1Small"/>
              <w:cnfStyle w:val="000000100000" w:firstRow="0" w:lastRow="0" w:firstColumn="0" w:lastColumn="0" w:oddVBand="0" w:evenVBand="0" w:oddHBand="1" w:evenHBand="0" w:firstRowFirstColumn="0" w:firstRowLastColumn="0" w:lastRowFirstColumn="0" w:lastRowLastColumn="0"/>
              <w:rPr>
                <w:b/>
              </w:rPr>
            </w:pPr>
            <w:r w:rsidRPr="00EC326F">
              <w:rPr>
                <w:b/>
              </w:rPr>
              <w:t xml:space="preserve">Extensions: </w:t>
            </w:r>
            <w:r w:rsidRPr="00EC326F">
              <w:t xml:space="preserve">the module </w:t>
            </w:r>
            <w:r w:rsidR="00F76E38" w:rsidRPr="00EC326F">
              <w:t>has been</w:t>
            </w:r>
            <w:r w:rsidRPr="00EC326F">
              <w:t xml:space="preserve"> extended to provide the </w:t>
            </w:r>
            <w:r w:rsidR="00683C98" w:rsidRPr="00EC326F">
              <w:t xml:space="preserve">additional </w:t>
            </w:r>
            <w:r w:rsidRPr="00EC326F">
              <w:t xml:space="preserve">functionality needed to implement the </w:t>
            </w:r>
            <w:r w:rsidR="00B96B29" w:rsidRPr="00EC326F">
              <w:t>class characteristic</w:t>
            </w:r>
            <w:r w:rsidRPr="00EC326F">
              <w:t xml:space="preserve"> variable modelling and refinements to the payment models.</w:t>
            </w:r>
          </w:p>
          <w:p w14:paraId="1EB59B85" w14:textId="77777777" w:rsidR="00FD137B" w:rsidRPr="00EC326F" w:rsidRDefault="00FD137B" w:rsidP="002718BB">
            <w:pPr>
              <w:pStyle w:val="TableBullet1Small"/>
              <w:cnfStyle w:val="000000100000" w:firstRow="0" w:lastRow="0" w:firstColumn="0" w:lastColumn="0" w:oddVBand="0" w:evenVBand="0" w:oddHBand="1" w:evenHBand="0" w:firstRowFirstColumn="0" w:firstRowLastColumn="0" w:lastRowFirstColumn="0" w:lastRowLastColumn="0"/>
              <w:rPr>
                <w:b/>
              </w:rPr>
            </w:pPr>
            <w:r w:rsidRPr="00EC326F">
              <w:rPr>
                <w:b/>
              </w:rPr>
              <w:t xml:space="preserve">Refinements: </w:t>
            </w:r>
            <w:r w:rsidRPr="00EC326F">
              <w:t xml:space="preserve">the projection </w:t>
            </w:r>
            <w:r w:rsidR="00F76E38" w:rsidRPr="00EC326F">
              <w:t xml:space="preserve">and results </w:t>
            </w:r>
            <w:r w:rsidRPr="00EC326F">
              <w:t>module</w:t>
            </w:r>
            <w:r w:rsidR="00F76E38" w:rsidRPr="00EC326F">
              <w:t xml:space="preserve">s </w:t>
            </w:r>
            <w:r w:rsidR="002718BB" w:rsidRPr="00EC326F">
              <w:t>have</w:t>
            </w:r>
            <w:r w:rsidRPr="00EC326F">
              <w:t xml:space="preserve"> be</w:t>
            </w:r>
            <w:r w:rsidR="002718BB" w:rsidRPr="00EC326F">
              <w:t>en</w:t>
            </w:r>
            <w:r w:rsidRPr="00EC326F">
              <w:t xml:space="preserve"> refined to incorporate improvements identified during the baseline valuation.</w:t>
            </w:r>
          </w:p>
        </w:tc>
      </w:tr>
    </w:tbl>
    <w:p w14:paraId="26AEA25B" w14:textId="77777777" w:rsidR="00DD75AF" w:rsidRPr="00EC326F" w:rsidRDefault="00683C98" w:rsidP="008F6978">
      <w:pPr>
        <w:pStyle w:val="PwCNormal"/>
        <w:numPr>
          <w:ilvl w:val="0"/>
          <w:numId w:val="0"/>
        </w:numPr>
      </w:pPr>
      <w:r w:rsidRPr="00EC326F">
        <w:t>The most significant of these developments are the model extensions to add</w:t>
      </w:r>
      <w:r w:rsidR="004E079F" w:rsidRPr="00EC326F">
        <w:t xml:space="preserve"> the</w:t>
      </w:r>
      <w:r w:rsidRPr="00EC326F">
        <w:t xml:space="preserve"> </w:t>
      </w:r>
      <w:r w:rsidR="004E079F" w:rsidRPr="00EC326F">
        <w:t>class characteristic</w:t>
      </w:r>
      <w:r w:rsidRPr="00EC326F">
        <w:t xml:space="preserve"> variables into the model and the development of the economic module</w:t>
      </w:r>
      <w:r w:rsidR="002718BB" w:rsidRPr="00EC326F">
        <w:t>, together with the updating of the population and assumptions to reflect the current policy settings and latest year of experience</w:t>
      </w:r>
      <w:r w:rsidRPr="00EC326F">
        <w:t>.</w:t>
      </w:r>
    </w:p>
    <w:p w14:paraId="149738DB" w14:textId="77777777" w:rsidR="008F6978" w:rsidRPr="00EC326F" w:rsidRDefault="00683C98" w:rsidP="008F6978">
      <w:pPr>
        <w:pStyle w:val="Heading3"/>
      </w:pPr>
      <w:bookmarkStart w:id="174" w:name="_Ref466491172"/>
      <w:bookmarkStart w:id="175" w:name="_Toc493844230"/>
      <w:r w:rsidRPr="00EC326F">
        <w:lastRenderedPageBreak/>
        <w:t xml:space="preserve">Addition </w:t>
      </w:r>
      <w:r w:rsidR="008F6978" w:rsidRPr="00EC326F">
        <w:t xml:space="preserve">of </w:t>
      </w:r>
      <w:r w:rsidR="00B96B29" w:rsidRPr="00EC326F">
        <w:t>class characteristic</w:t>
      </w:r>
      <w:r w:rsidR="008F6978" w:rsidRPr="00EC326F">
        <w:t xml:space="preserve"> variables</w:t>
      </w:r>
      <w:bookmarkEnd w:id="174"/>
      <w:bookmarkEnd w:id="175"/>
    </w:p>
    <w:p w14:paraId="086CDB17" w14:textId="77777777" w:rsidR="00926FAA" w:rsidRPr="00EC326F" w:rsidRDefault="00763503" w:rsidP="00EB6711">
      <w:pPr>
        <w:pStyle w:val="PwCNormal"/>
        <w:rPr>
          <w:snapToGrid/>
        </w:rPr>
      </w:pPr>
      <w:r w:rsidRPr="00EC326F">
        <w:t>Several new</w:t>
      </w:r>
      <w:r w:rsidR="00B96B29" w:rsidRPr="00EC326F">
        <w:t xml:space="preserve"> class characteristic</w:t>
      </w:r>
      <w:r w:rsidRPr="00EC326F">
        <w:t xml:space="preserve"> variables have been added to the valuation model</w:t>
      </w:r>
      <w:r w:rsidR="00926FAA" w:rsidRPr="00EC326F">
        <w:t xml:space="preserve"> for the 2016 valuation</w:t>
      </w:r>
      <w:r w:rsidRPr="00EC326F">
        <w:t xml:space="preserve">. </w:t>
      </w:r>
      <w:r w:rsidR="00926FAA" w:rsidRPr="00EC326F">
        <w:t>These</w:t>
      </w:r>
      <w:r w:rsidRPr="00EC326F">
        <w:t xml:space="preserve"> variables were selected </w:t>
      </w:r>
      <w:r w:rsidR="00926FAA" w:rsidRPr="00EC326F">
        <w:t>by</w:t>
      </w:r>
      <w:r w:rsidRPr="00EC326F">
        <w:t xml:space="preserve"> the Department. </w:t>
      </w:r>
    </w:p>
    <w:p w14:paraId="531DB74E" w14:textId="77777777" w:rsidR="00C75845" w:rsidRPr="00EC326F" w:rsidRDefault="00C75845" w:rsidP="006132EB">
      <w:pPr>
        <w:pStyle w:val="PwCNormal"/>
        <w:rPr>
          <w:snapToGrid/>
        </w:rPr>
      </w:pPr>
      <w:r w:rsidRPr="00EC326F">
        <w:t>These</w:t>
      </w:r>
      <w:r w:rsidR="00B96B29" w:rsidRPr="00EC326F">
        <w:t xml:space="preserve"> new</w:t>
      </w:r>
      <w:r w:rsidRPr="00EC326F">
        <w:t xml:space="preserve"> variables have been included in this valuation to provide improved information o</w:t>
      </w:r>
      <w:r w:rsidR="00644D7F">
        <w:t>n</w:t>
      </w:r>
      <w:r w:rsidRPr="00EC326F">
        <w:t xml:space="preserve"> the r</w:t>
      </w:r>
      <w:r w:rsidR="00644D7F">
        <w:t>isk characteristics which drive</w:t>
      </w:r>
      <w:r w:rsidRPr="00EC326F">
        <w:t xml:space="preserve"> outcomes for different groups of welfare recipients. </w:t>
      </w:r>
      <w:r w:rsidR="00763503" w:rsidRPr="00EC326F">
        <w:t>The new</w:t>
      </w:r>
      <w:r w:rsidR="00B96B29" w:rsidRPr="00EC326F">
        <w:t xml:space="preserve"> class characteristic</w:t>
      </w:r>
      <w:r w:rsidR="00763503" w:rsidRPr="00EC326F">
        <w:t xml:space="preserve"> variables that have been included are shown in </w:t>
      </w:r>
      <w:r w:rsidRPr="00EC326F">
        <w:t>the table below.</w:t>
      </w:r>
    </w:p>
    <w:p w14:paraId="360DFCC9" w14:textId="77777777" w:rsidR="00763503" w:rsidRPr="00EC326F" w:rsidRDefault="00763503" w:rsidP="00763503">
      <w:pPr>
        <w:pStyle w:val="Caption"/>
      </w:pPr>
      <w:bookmarkStart w:id="176" w:name="_Ref464652932"/>
      <w:bookmarkStart w:id="177" w:name="_Ref464653516"/>
      <w:r w:rsidRPr="00EC326F">
        <w:t xml:space="preserve">Table </w:t>
      </w:r>
      <w:fldSimple w:instr=" SEQ Table \* ARABIC ">
        <w:r w:rsidR="007A42DF">
          <w:rPr>
            <w:noProof/>
          </w:rPr>
          <w:t>9</w:t>
        </w:r>
      </w:fldSimple>
      <w:r w:rsidRPr="00EC326F">
        <w:t xml:space="preserve">: </w:t>
      </w:r>
      <w:bookmarkEnd w:id="176"/>
      <w:r w:rsidR="00C55329">
        <w:t>New c</w:t>
      </w:r>
      <w:r w:rsidR="00B96B29" w:rsidRPr="00EC326F">
        <w:t>lass characteristic</w:t>
      </w:r>
      <w:r w:rsidRPr="00EC326F">
        <w:t xml:space="preserve"> variables</w:t>
      </w:r>
      <w:bookmarkEnd w:id="177"/>
    </w:p>
    <w:tbl>
      <w:tblPr>
        <w:tblStyle w:val="Tables-APBase"/>
        <w:tblW w:w="4781" w:type="pct"/>
        <w:tblInd w:w="108" w:type="dxa"/>
        <w:tblBorders>
          <w:left w:val="none" w:sz="0" w:space="0" w:color="auto"/>
          <w:bottom w:val="single" w:sz="4" w:space="0" w:color="E0301E"/>
          <w:insideH w:val="single" w:sz="4" w:space="0" w:color="E0301E"/>
          <w:insideV w:val="single" w:sz="4" w:space="0" w:color="E0301E" w:themeColor="accent6"/>
        </w:tblBorders>
        <w:tblLayout w:type="fixed"/>
        <w:tblLook w:val="04A0" w:firstRow="1" w:lastRow="0" w:firstColumn="1" w:lastColumn="0" w:noHBand="0" w:noVBand="1"/>
        <w:tblCaption w:val=" New class characteristic variables"/>
        <w:tblDescription w:val="This table lists and defines the new class characteristic variables and identifies the classes they are relevant too.&#10;&#10;Primary Care Recipient Age is defined as the Age of primary care recipient at 30th of June each year. It is relevant to class 4 only.&#10;&#10;Primary Care Recipient Relationship is defined as the relationship between the carer and primary care recipient. Relationship type grouped into Child, Parent, Partner, Other or Unknown. It is relevant to class 4 only.&#10;&#10;Primary Care Recipient Medical Condition is defined as the medical condition of the primary care recipient grouped into one of ten categories. It is relevant to class 4 only.&#10;&#10;Number of Adult Care recipients is defined as the number of adult care recipients, banded to 0, 1, or more than 1 adults. It is relevant to class 8 only.&#10;&#10;DSP Primary Medical Condition is defined as the primary medical condition of a disability support pension recipient grouped into one of ten categories. It is relevant to class 5 only.&#10;&#10;Employment earnings indicator is defined as an indicator showing whether the welfare recipient earned any income over the year from employment. It is relevant to classes 1,2,3,4 and 5.&#10;&#10;Payment type is the final new variable. It is defined as the most recent income support payment type the welfare recipient received relating to that welfare recipients class for the year. (See Table 5 for a list of relevant payment types). It is relevant to classes 1,2 and 3. &#10;&#10;Further features of the data in this table are discussed in the accompanying text within the report.&#10;"/>
      </w:tblPr>
      <w:tblGrid>
        <w:gridCol w:w="2835"/>
        <w:gridCol w:w="5811"/>
        <w:gridCol w:w="993"/>
      </w:tblGrid>
      <w:tr w:rsidR="00C1032B" w:rsidRPr="00EC326F" w14:paraId="739D6A1B" w14:textId="77777777" w:rsidTr="001F61A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35" w:type="dxa"/>
            <w:shd w:val="clear" w:color="auto" w:fill="E0301E"/>
            <w:hideMark/>
          </w:tcPr>
          <w:p w14:paraId="51A76F81" w14:textId="77777777" w:rsidR="00C1032B" w:rsidRPr="00EC326F" w:rsidRDefault="00C1032B" w:rsidP="00D73E2A">
            <w:pPr>
              <w:pStyle w:val="TableColumnHeadingSmall"/>
            </w:pPr>
            <w:r w:rsidRPr="00EC326F">
              <w:t>Variable</w:t>
            </w:r>
          </w:p>
        </w:tc>
        <w:tc>
          <w:tcPr>
            <w:tcW w:w="5812" w:type="dxa"/>
            <w:shd w:val="clear" w:color="auto" w:fill="E0301E"/>
            <w:hideMark/>
          </w:tcPr>
          <w:p w14:paraId="1F6D8274" w14:textId="77777777" w:rsidR="00C1032B" w:rsidRPr="00EC326F" w:rsidRDefault="00C1032B" w:rsidP="00EB6711">
            <w:pPr>
              <w:pStyle w:val="TableColumnHeadingSmall"/>
              <w:cnfStyle w:val="100000000000" w:firstRow="1" w:lastRow="0" w:firstColumn="0" w:lastColumn="0" w:oddVBand="0" w:evenVBand="0" w:oddHBand="0" w:evenHBand="0" w:firstRowFirstColumn="0" w:firstRowLastColumn="0" w:lastRowFirstColumn="0" w:lastRowLastColumn="0"/>
            </w:pPr>
            <w:r w:rsidRPr="00EC326F">
              <w:t>Description</w:t>
            </w:r>
          </w:p>
        </w:tc>
        <w:tc>
          <w:tcPr>
            <w:tcW w:w="993" w:type="dxa"/>
            <w:shd w:val="clear" w:color="auto" w:fill="E0301E"/>
            <w:hideMark/>
          </w:tcPr>
          <w:p w14:paraId="473266C5" w14:textId="77777777" w:rsidR="00C1032B" w:rsidRPr="00EC326F" w:rsidRDefault="00C1032B" w:rsidP="00EB6711">
            <w:pPr>
              <w:pStyle w:val="TableColumnHeadingSmall"/>
              <w:cnfStyle w:val="100000000000" w:firstRow="1" w:lastRow="0" w:firstColumn="0" w:lastColumn="0" w:oddVBand="0" w:evenVBand="0" w:oddHBand="0" w:evenHBand="0" w:firstRowFirstColumn="0" w:firstRowLastColumn="0" w:lastRowFirstColumn="0" w:lastRowLastColumn="0"/>
            </w:pPr>
            <w:r w:rsidRPr="00EC326F">
              <w:t>Relevant Classes</w:t>
            </w:r>
          </w:p>
        </w:tc>
      </w:tr>
      <w:tr w:rsidR="00C1032B" w:rsidRPr="00EC326F" w14:paraId="34CA2805" w14:textId="77777777" w:rsidTr="001F61A3">
        <w:trPr>
          <w:trHeight w:val="255"/>
        </w:trPr>
        <w:tc>
          <w:tcPr>
            <w:tcW w:w="2835" w:type="dxa"/>
          </w:tcPr>
          <w:p w14:paraId="78FC8624" w14:textId="15B14903" w:rsidR="00C1032B" w:rsidRPr="00EC326F" w:rsidRDefault="00C1032B" w:rsidP="00FE6871">
            <w:pPr>
              <w:pStyle w:val="TableTextSmall"/>
              <w:rPr>
                <w:b/>
                <w:bCs/>
              </w:rPr>
            </w:pPr>
            <w:r w:rsidRPr="00EC326F">
              <w:rPr>
                <w:b/>
                <w:bCs/>
              </w:rPr>
              <w:t xml:space="preserve">Primary </w:t>
            </w:r>
            <w:r w:rsidR="00FE6871">
              <w:rPr>
                <w:b/>
                <w:bCs/>
              </w:rPr>
              <w:t xml:space="preserve">Care Recipient </w:t>
            </w:r>
            <w:r w:rsidRPr="00EC326F">
              <w:rPr>
                <w:b/>
                <w:bCs/>
              </w:rPr>
              <w:t>Age</w:t>
            </w:r>
          </w:p>
        </w:tc>
        <w:tc>
          <w:tcPr>
            <w:tcW w:w="5812" w:type="dxa"/>
            <w:hideMark/>
          </w:tcPr>
          <w:p w14:paraId="0AB3087F" w14:textId="4D4AA845" w:rsidR="00C1032B" w:rsidRPr="00EC326F" w:rsidRDefault="00C1032B" w:rsidP="00FE6871">
            <w:pPr>
              <w:pStyle w:val="TableTextSmall"/>
            </w:pPr>
            <w:r w:rsidRPr="00EC326F">
              <w:t xml:space="preserve">Age of primary </w:t>
            </w:r>
            <w:r w:rsidR="00FE6871">
              <w:t xml:space="preserve">care recipient </w:t>
            </w:r>
            <w:r w:rsidRPr="00EC326F">
              <w:t xml:space="preserve">at 30th of June each year. </w:t>
            </w:r>
          </w:p>
        </w:tc>
        <w:tc>
          <w:tcPr>
            <w:tcW w:w="993" w:type="dxa"/>
            <w:hideMark/>
          </w:tcPr>
          <w:p w14:paraId="11599587" w14:textId="77777777" w:rsidR="00C1032B" w:rsidRPr="00EC326F" w:rsidRDefault="00C1032B" w:rsidP="00EB6711">
            <w:pPr>
              <w:pStyle w:val="TableTextSmall"/>
              <w:jc w:val="center"/>
            </w:pPr>
            <w:r w:rsidRPr="00EC326F">
              <w:t>4</w:t>
            </w:r>
          </w:p>
        </w:tc>
      </w:tr>
      <w:tr w:rsidR="00C1032B" w:rsidRPr="00EC326F" w14:paraId="281C9705" w14:textId="77777777" w:rsidTr="001F61A3">
        <w:tc>
          <w:tcPr>
            <w:tcW w:w="2835" w:type="dxa"/>
          </w:tcPr>
          <w:p w14:paraId="4A6E28B3" w14:textId="4426310A" w:rsidR="00C1032B" w:rsidRPr="00EC326F" w:rsidRDefault="00C1032B" w:rsidP="00FE6871">
            <w:pPr>
              <w:pStyle w:val="TableTextSmall"/>
              <w:rPr>
                <w:b/>
                <w:bCs/>
              </w:rPr>
            </w:pPr>
            <w:r w:rsidRPr="00EC326F">
              <w:rPr>
                <w:b/>
                <w:bCs/>
              </w:rPr>
              <w:t xml:space="preserve">Primary </w:t>
            </w:r>
            <w:r w:rsidR="00FE6871">
              <w:rPr>
                <w:b/>
                <w:bCs/>
              </w:rPr>
              <w:t xml:space="preserve">Care Recipient </w:t>
            </w:r>
            <w:r w:rsidRPr="00EC326F">
              <w:rPr>
                <w:b/>
                <w:bCs/>
              </w:rPr>
              <w:t>Relationship</w:t>
            </w:r>
          </w:p>
        </w:tc>
        <w:tc>
          <w:tcPr>
            <w:tcW w:w="5812" w:type="dxa"/>
            <w:hideMark/>
          </w:tcPr>
          <w:p w14:paraId="7F1C2F8B" w14:textId="08341B89" w:rsidR="00C1032B" w:rsidRPr="00EC326F" w:rsidRDefault="00017186" w:rsidP="00FE6871">
            <w:pPr>
              <w:pStyle w:val="TableTextSmall"/>
            </w:pPr>
            <w:r w:rsidRPr="00EC326F">
              <w:t xml:space="preserve">The relationship between the carer and primary </w:t>
            </w:r>
            <w:r w:rsidR="00FE6871">
              <w:t>care recipient</w:t>
            </w:r>
            <w:r w:rsidRPr="00EC326F">
              <w:t>. Relationship type grouped into Child, Parent, Partner, Other or Unknown.</w:t>
            </w:r>
          </w:p>
        </w:tc>
        <w:tc>
          <w:tcPr>
            <w:tcW w:w="993" w:type="dxa"/>
            <w:hideMark/>
          </w:tcPr>
          <w:p w14:paraId="7758E380" w14:textId="77777777" w:rsidR="00C1032B" w:rsidRPr="00EC326F" w:rsidRDefault="00C1032B" w:rsidP="00EB6711">
            <w:pPr>
              <w:pStyle w:val="TableTextSmall"/>
              <w:jc w:val="center"/>
            </w:pPr>
            <w:r w:rsidRPr="00EC326F">
              <w:t>4</w:t>
            </w:r>
          </w:p>
        </w:tc>
      </w:tr>
      <w:tr w:rsidR="00C1032B" w:rsidRPr="00EC326F" w14:paraId="47102E46" w14:textId="77777777" w:rsidTr="001F61A3">
        <w:trPr>
          <w:trHeight w:val="241"/>
        </w:trPr>
        <w:tc>
          <w:tcPr>
            <w:tcW w:w="2835" w:type="dxa"/>
          </w:tcPr>
          <w:p w14:paraId="6BDA557C" w14:textId="52111482" w:rsidR="00C1032B" w:rsidRPr="00EC326F" w:rsidRDefault="00C1032B" w:rsidP="00FE6871">
            <w:pPr>
              <w:pStyle w:val="TableTextSmall"/>
              <w:rPr>
                <w:b/>
                <w:bCs/>
              </w:rPr>
            </w:pPr>
            <w:r w:rsidRPr="00EC326F">
              <w:rPr>
                <w:b/>
                <w:bCs/>
              </w:rPr>
              <w:t xml:space="preserve">Primary </w:t>
            </w:r>
            <w:r w:rsidR="00FE6871">
              <w:rPr>
                <w:b/>
                <w:bCs/>
              </w:rPr>
              <w:t xml:space="preserve">Care Recipient </w:t>
            </w:r>
            <w:r w:rsidRPr="00EC326F">
              <w:rPr>
                <w:b/>
                <w:bCs/>
              </w:rPr>
              <w:t>Medical Condition</w:t>
            </w:r>
          </w:p>
        </w:tc>
        <w:tc>
          <w:tcPr>
            <w:tcW w:w="5812" w:type="dxa"/>
            <w:hideMark/>
          </w:tcPr>
          <w:p w14:paraId="320E5881" w14:textId="744CB2D7" w:rsidR="00C1032B" w:rsidRPr="00EC326F" w:rsidRDefault="00C1032B" w:rsidP="00FE6871">
            <w:pPr>
              <w:pStyle w:val="TableTextSmall"/>
            </w:pPr>
            <w:r w:rsidRPr="00EC326F">
              <w:t xml:space="preserve">The medical condition of the primary </w:t>
            </w:r>
            <w:r w:rsidR="00FE6871">
              <w:t xml:space="preserve">care recipient </w:t>
            </w:r>
            <w:r w:rsidRPr="00EC326F">
              <w:t xml:space="preserve">grouped into one of ten categories. </w:t>
            </w:r>
          </w:p>
        </w:tc>
        <w:tc>
          <w:tcPr>
            <w:tcW w:w="993" w:type="dxa"/>
            <w:hideMark/>
          </w:tcPr>
          <w:p w14:paraId="6B661A69" w14:textId="77777777" w:rsidR="00C1032B" w:rsidRPr="00EC326F" w:rsidRDefault="00C1032B" w:rsidP="00EB6711">
            <w:pPr>
              <w:pStyle w:val="TableTextSmall"/>
              <w:jc w:val="center"/>
            </w:pPr>
            <w:r w:rsidRPr="00EC326F">
              <w:t>4</w:t>
            </w:r>
          </w:p>
        </w:tc>
      </w:tr>
      <w:tr w:rsidR="00C1032B" w:rsidRPr="00EC326F" w14:paraId="76C7BD77" w14:textId="77777777" w:rsidTr="001F61A3">
        <w:tc>
          <w:tcPr>
            <w:tcW w:w="2835" w:type="dxa"/>
          </w:tcPr>
          <w:p w14:paraId="52CBFE48" w14:textId="3D75C65C" w:rsidR="00C1032B" w:rsidRPr="00EC326F" w:rsidRDefault="00C1032B" w:rsidP="00FE6871">
            <w:pPr>
              <w:pStyle w:val="TableTextSmall"/>
              <w:rPr>
                <w:b/>
                <w:bCs/>
              </w:rPr>
            </w:pPr>
            <w:r w:rsidRPr="00EC326F">
              <w:rPr>
                <w:b/>
                <w:bCs/>
              </w:rPr>
              <w:t xml:space="preserve">Number of Adult </w:t>
            </w:r>
            <w:r w:rsidR="00FE6871">
              <w:rPr>
                <w:b/>
                <w:bCs/>
              </w:rPr>
              <w:t>Care Recipients</w:t>
            </w:r>
          </w:p>
        </w:tc>
        <w:tc>
          <w:tcPr>
            <w:tcW w:w="5812" w:type="dxa"/>
            <w:hideMark/>
          </w:tcPr>
          <w:p w14:paraId="76E6FB9A" w14:textId="6A4792C2" w:rsidR="00C1032B" w:rsidRPr="00EC326F" w:rsidRDefault="00C1032B" w:rsidP="00FE6871">
            <w:pPr>
              <w:pStyle w:val="TableTextSmall"/>
            </w:pPr>
            <w:r w:rsidRPr="00EC326F">
              <w:t xml:space="preserve">The number of adult </w:t>
            </w:r>
            <w:r w:rsidR="00FE6871">
              <w:t>care recipients</w:t>
            </w:r>
            <w:r w:rsidRPr="00EC326F">
              <w:t>. Banded to 0, 1, or more than 1 adults</w:t>
            </w:r>
          </w:p>
        </w:tc>
        <w:tc>
          <w:tcPr>
            <w:tcW w:w="993" w:type="dxa"/>
            <w:hideMark/>
          </w:tcPr>
          <w:p w14:paraId="164F2EEB" w14:textId="77777777" w:rsidR="00C1032B" w:rsidRPr="00EC326F" w:rsidRDefault="00C1032B" w:rsidP="00EB6711">
            <w:pPr>
              <w:pStyle w:val="TableTextSmall"/>
              <w:jc w:val="center"/>
            </w:pPr>
            <w:r w:rsidRPr="00EC326F">
              <w:t>8</w:t>
            </w:r>
          </w:p>
        </w:tc>
      </w:tr>
      <w:tr w:rsidR="00C1032B" w:rsidRPr="00EC326F" w14:paraId="2EA74DD1" w14:textId="77777777" w:rsidTr="001F61A3">
        <w:tc>
          <w:tcPr>
            <w:tcW w:w="2835" w:type="dxa"/>
          </w:tcPr>
          <w:p w14:paraId="67BC8519" w14:textId="56D6066D" w:rsidR="00C1032B" w:rsidRPr="00EC326F" w:rsidRDefault="00C1032B" w:rsidP="00FE6871">
            <w:pPr>
              <w:pStyle w:val="TableTextSmall"/>
              <w:rPr>
                <w:b/>
                <w:bCs/>
              </w:rPr>
            </w:pPr>
            <w:r w:rsidRPr="00EC326F">
              <w:rPr>
                <w:b/>
                <w:bCs/>
              </w:rPr>
              <w:t xml:space="preserve">Number of Child </w:t>
            </w:r>
            <w:r w:rsidR="00FE6871">
              <w:rPr>
                <w:b/>
                <w:bCs/>
              </w:rPr>
              <w:t>Care Recipient</w:t>
            </w:r>
            <w:r w:rsidR="00FE6871" w:rsidRPr="00EC326F">
              <w:rPr>
                <w:b/>
                <w:bCs/>
              </w:rPr>
              <w:t>s</w:t>
            </w:r>
          </w:p>
        </w:tc>
        <w:tc>
          <w:tcPr>
            <w:tcW w:w="5812" w:type="dxa"/>
            <w:hideMark/>
          </w:tcPr>
          <w:p w14:paraId="464B0E7C" w14:textId="6BC1574A" w:rsidR="00C1032B" w:rsidRPr="00EC326F" w:rsidRDefault="00C1032B" w:rsidP="00FE6871">
            <w:pPr>
              <w:pStyle w:val="TableTextSmall"/>
            </w:pPr>
            <w:r w:rsidRPr="00EC326F">
              <w:t xml:space="preserve">The number of children </w:t>
            </w:r>
            <w:r w:rsidR="00FE6871">
              <w:t>care recipients</w:t>
            </w:r>
            <w:r w:rsidRPr="00EC326F">
              <w:t>. Banded to 0, 1, or more than 1 child</w:t>
            </w:r>
          </w:p>
        </w:tc>
        <w:tc>
          <w:tcPr>
            <w:tcW w:w="993" w:type="dxa"/>
            <w:hideMark/>
          </w:tcPr>
          <w:p w14:paraId="4877954C" w14:textId="77777777" w:rsidR="00C1032B" w:rsidRPr="00EC326F" w:rsidRDefault="00C1032B" w:rsidP="00EB6711">
            <w:pPr>
              <w:pStyle w:val="TableTextSmall"/>
              <w:jc w:val="center"/>
            </w:pPr>
            <w:r w:rsidRPr="00EC326F">
              <w:t>8</w:t>
            </w:r>
          </w:p>
        </w:tc>
      </w:tr>
      <w:tr w:rsidR="00C1032B" w:rsidRPr="00EC326F" w14:paraId="1E5DEBAB" w14:textId="77777777" w:rsidTr="001F61A3">
        <w:tc>
          <w:tcPr>
            <w:tcW w:w="2835" w:type="dxa"/>
          </w:tcPr>
          <w:p w14:paraId="63611028" w14:textId="77777777" w:rsidR="00C1032B" w:rsidRPr="00EC326F" w:rsidRDefault="00C1032B" w:rsidP="00EB6711">
            <w:pPr>
              <w:pStyle w:val="TableTextSmall"/>
              <w:rPr>
                <w:b/>
                <w:bCs/>
              </w:rPr>
            </w:pPr>
            <w:r w:rsidRPr="00EC326F">
              <w:rPr>
                <w:b/>
                <w:bCs/>
              </w:rPr>
              <w:t>DSP Primary Medical Condition</w:t>
            </w:r>
          </w:p>
        </w:tc>
        <w:tc>
          <w:tcPr>
            <w:tcW w:w="5812" w:type="dxa"/>
            <w:hideMark/>
          </w:tcPr>
          <w:p w14:paraId="1DB5C871" w14:textId="77777777" w:rsidR="00C1032B" w:rsidRPr="00EC326F" w:rsidRDefault="00C1032B" w:rsidP="00C1032B">
            <w:pPr>
              <w:pStyle w:val="TableTextSmall"/>
            </w:pPr>
            <w:r w:rsidRPr="00EC326F">
              <w:t xml:space="preserve">The primary medical condition of a disability support pension recipient grouped into one of ten categories. </w:t>
            </w:r>
          </w:p>
        </w:tc>
        <w:tc>
          <w:tcPr>
            <w:tcW w:w="993" w:type="dxa"/>
            <w:hideMark/>
          </w:tcPr>
          <w:p w14:paraId="61D75ED5" w14:textId="77777777" w:rsidR="00C1032B" w:rsidRPr="00EC326F" w:rsidRDefault="00C1032B" w:rsidP="00EB6711">
            <w:pPr>
              <w:pStyle w:val="TableTextSmall"/>
              <w:jc w:val="center"/>
            </w:pPr>
            <w:r w:rsidRPr="00EC326F">
              <w:t>5</w:t>
            </w:r>
          </w:p>
        </w:tc>
      </w:tr>
      <w:tr w:rsidR="00C1032B" w:rsidRPr="00EC326F" w14:paraId="1F69EBA2" w14:textId="77777777" w:rsidTr="001F61A3">
        <w:trPr>
          <w:trHeight w:val="632"/>
        </w:trPr>
        <w:tc>
          <w:tcPr>
            <w:tcW w:w="2835" w:type="dxa"/>
          </w:tcPr>
          <w:p w14:paraId="1426D43E" w14:textId="77777777" w:rsidR="00C1032B" w:rsidRPr="00EC326F" w:rsidRDefault="00C1032B" w:rsidP="00EB6711">
            <w:pPr>
              <w:pStyle w:val="TableTextSmall"/>
              <w:rPr>
                <w:b/>
                <w:bCs/>
              </w:rPr>
            </w:pPr>
            <w:r w:rsidRPr="00EC326F">
              <w:rPr>
                <w:b/>
                <w:bCs/>
              </w:rPr>
              <w:t>Employment earnings indicator</w:t>
            </w:r>
          </w:p>
        </w:tc>
        <w:tc>
          <w:tcPr>
            <w:tcW w:w="5812" w:type="dxa"/>
            <w:hideMark/>
          </w:tcPr>
          <w:p w14:paraId="30A90F30" w14:textId="77777777" w:rsidR="00C1032B" w:rsidRPr="00EC326F" w:rsidRDefault="00C1032B" w:rsidP="00926FAA">
            <w:pPr>
              <w:pStyle w:val="TableTextSmall"/>
            </w:pPr>
            <w:r w:rsidRPr="00EC326F">
              <w:t>Indicator showing whether the welfare recipient earned any income over the year from employment. Either yes or no.</w:t>
            </w:r>
          </w:p>
        </w:tc>
        <w:tc>
          <w:tcPr>
            <w:tcW w:w="993" w:type="dxa"/>
            <w:hideMark/>
          </w:tcPr>
          <w:p w14:paraId="60B874E9" w14:textId="77777777" w:rsidR="00C1032B" w:rsidRPr="00EC326F" w:rsidRDefault="00C1032B" w:rsidP="00C1032B">
            <w:pPr>
              <w:pStyle w:val="TableTextSmall"/>
              <w:jc w:val="center"/>
            </w:pPr>
            <w:r w:rsidRPr="00EC326F">
              <w:t>1,2,3,4,5</w:t>
            </w:r>
          </w:p>
        </w:tc>
      </w:tr>
      <w:tr w:rsidR="00C1032B" w:rsidRPr="00EC326F" w14:paraId="6638556E" w14:textId="77777777" w:rsidTr="001F61A3">
        <w:trPr>
          <w:trHeight w:val="702"/>
        </w:trPr>
        <w:tc>
          <w:tcPr>
            <w:tcW w:w="2835" w:type="dxa"/>
          </w:tcPr>
          <w:p w14:paraId="3D81694A" w14:textId="77777777" w:rsidR="00C1032B" w:rsidRPr="00EC326F" w:rsidRDefault="00C1032B" w:rsidP="00EB6711">
            <w:pPr>
              <w:pStyle w:val="TableTextSmall"/>
              <w:rPr>
                <w:b/>
                <w:bCs/>
              </w:rPr>
            </w:pPr>
            <w:r w:rsidRPr="00EC326F">
              <w:rPr>
                <w:b/>
                <w:bCs/>
              </w:rPr>
              <w:t>Payment Type</w:t>
            </w:r>
          </w:p>
        </w:tc>
        <w:tc>
          <w:tcPr>
            <w:tcW w:w="5812" w:type="dxa"/>
            <w:hideMark/>
          </w:tcPr>
          <w:p w14:paraId="28B101A5" w14:textId="5EE3AA5A" w:rsidR="00C1032B" w:rsidRPr="00EC326F" w:rsidRDefault="00C1032B" w:rsidP="00926FAA">
            <w:pPr>
              <w:pStyle w:val="TableTextSmall"/>
            </w:pPr>
            <w:r w:rsidRPr="00EC326F">
              <w:t xml:space="preserve">The most recent income support payment type the welfare recipient received relating to that welfare recipients class for the year. (See </w:t>
            </w:r>
            <w:r w:rsidRPr="00EC326F">
              <w:fldChar w:fldCharType="begin"/>
            </w:r>
            <w:r w:rsidRPr="00EC326F">
              <w:instrText xml:space="preserve"> REF _Ref465248939 \h </w:instrText>
            </w:r>
            <w:r w:rsidRPr="00EC326F">
              <w:fldChar w:fldCharType="separate"/>
            </w:r>
            <w:r w:rsidR="007A42DF" w:rsidRPr="00EC326F">
              <w:t xml:space="preserve">Table </w:t>
            </w:r>
            <w:r w:rsidR="007A42DF">
              <w:rPr>
                <w:noProof/>
              </w:rPr>
              <w:t>5</w:t>
            </w:r>
            <w:r w:rsidRPr="00EC326F">
              <w:fldChar w:fldCharType="end"/>
            </w:r>
            <w:r w:rsidRPr="00EC326F">
              <w:t xml:space="preserve"> for a list of relevant payment types).</w:t>
            </w:r>
          </w:p>
        </w:tc>
        <w:tc>
          <w:tcPr>
            <w:tcW w:w="993" w:type="dxa"/>
            <w:hideMark/>
          </w:tcPr>
          <w:p w14:paraId="2998CE8A" w14:textId="77777777" w:rsidR="00C1032B" w:rsidRPr="00EC326F" w:rsidRDefault="00D73E2A" w:rsidP="00EB6711">
            <w:pPr>
              <w:pStyle w:val="TableTextSmall"/>
              <w:jc w:val="center"/>
            </w:pPr>
            <w:r w:rsidRPr="00EC326F">
              <w:t>1,2,3</w:t>
            </w:r>
          </w:p>
        </w:tc>
      </w:tr>
    </w:tbl>
    <w:p w14:paraId="1A3239E0" w14:textId="77777777" w:rsidR="00C75845" w:rsidRPr="00EC326F" w:rsidRDefault="00C75845" w:rsidP="00926FAA">
      <w:pPr>
        <w:pStyle w:val="PwCNormal"/>
      </w:pPr>
      <w:r w:rsidRPr="00EC326F">
        <w:t>It is important to note that these variables capture information which is only available for subsets of the population. The subset is different for each of the variables, but is typically people within one or more classes.</w:t>
      </w:r>
    </w:p>
    <w:p w14:paraId="13E302D8" w14:textId="77777777" w:rsidR="00763503" w:rsidRPr="00EC326F" w:rsidRDefault="00C75845" w:rsidP="006132EB">
      <w:pPr>
        <w:pStyle w:val="PwCNormal"/>
      </w:pPr>
      <w:r w:rsidRPr="00EC326F">
        <w:t xml:space="preserve">All </w:t>
      </w:r>
      <w:r w:rsidR="00B96B29" w:rsidRPr="00EC326F">
        <w:t>class characteristic</w:t>
      </w:r>
      <w:r w:rsidRPr="00EC326F">
        <w:t xml:space="preserve"> variables added to the model are forecasted into the future for each individual in the population </w:t>
      </w:r>
      <w:r w:rsidR="002718BB" w:rsidRPr="00EC326F">
        <w:t xml:space="preserve">for the future years </w:t>
      </w:r>
      <w:r w:rsidRPr="00EC326F">
        <w:t xml:space="preserve">where they are forecasted to be in the relevant classes. </w:t>
      </w:r>
      <w:r w:rsidR="00763503" w:rsidRPr="00EC326F">
        <w:t>An illustrative example is provided below</w:t>
      </w:r>
      <w:r w:rsidRPr="00EC326F">
        <w:t>:</w:t>
      </w:r>
    </w:p>
    <w:p w14:paraId="06F0E25A" w14:textId="77777777" w:rsidR="00C75845" w:rsidRPr="00726503" w:rsidRDefault="00C75845" w:rsidP="00926FAA">
      <w:pPr>
        <w:pStyle w:val="PwCNormal"/>
        <w:rPr>
          <w:rStyle w:val="IntenseEmphasis"/>
          <w:color w:val="FF0000"/>
        </w:rPr>
      </w:pPr>
      <w:r w:rsidRPr="00726503">
        <w:rPr>
          <w:rStyle w:val="IntenseEmphasis"/>
          <w:color w:val="FF0000"/>
        </w:rPr>
        <w:t>Sarah</w:t>
      </w:r>
      <w:r w:rsidR="00763503" w:rsidRPr="00726503">
        <w:rPr>
          <w:rStyle w:val="IntenseEmphasis"/>
          <w:color w:val="FF0000"/>
        </w:rPr>
        <w:t xml:space="preserve"> is currently a 19 year old student receiving </w:t>
      </w:r>
      <w:r w:rsidR="002718BB" w:rsidRPr="00726503">
        <w:rPr>
          <w:rStyle w:val="IntenseEmphasis"/>
          <w:color w:val="FF0000"/>
        </w:rPr>
        <w:t>Y</w:t>
      </w:r>
      <w:r w:rsidR="00763503" w:rsidRPr="00726503">
        <w:rPr>
          <w:rStyle w:val="IntenseEmphasis"/>
          <w:color w:val="FF0000"/>
        </w:rPr>
        <w:t xml:space="preserve">outh </w:t>
      </w:r>
      <w:r w:rsidR="002718BB" w:rsidRPr="00726503">
        <w:rPr>
          <w:rStyle w:val="IntenseEmphasis"/>
          <w:color w:val="FF0000"/>
        </w:rPr>
        <w:t>A</w:t>
      </w:r>
      <w:r w:rsidR="00763503" w:rsidRPr="00726503">
        <w:rPr>
          <w:rStyle w:val="IntenseEmphasis"/>
          <w:color w:val="FF0000"/>
        </w:rPr>
        <w:t xml:space="preserve">llowance supporting herself with some income earned through part time work. </w:t>
      </w:r>
      <w:r w:rsidRPr="00726503">
        <w:rPr>
          <w:rStyle w:val="IntenseEmphasis"/>
          <w:color w:val="FF0000"/>
        </w:rPr>
        <w:t xml:space="preserve">Being a student she is in class 1. </w:t>
      </w:r>
      <w:r w:rsidR="00763503" w:rsidRPr="00726503">
        <w:rPr>
          <w:rStyle w:val="IntenseEmphasis"/>
          <w:color w:val="FF0000"/>
        </w:rPr>
        <w:t xml:space="preserve">While </w:t>
      </w:r>
      <w:r w:rsidRPr="00726503">
        <w:rPr>
          <w:rStyle w:val="IntenseEmphasis"/>
          <w:color w:val="FF0000"/>
        </w:rPr>
        <w:t>Sarah</w:t>
      </w:r>
      <w:r w:rsidR="00763503" w:rsidRPr="00726503">
        <w:rPr>
          <w:rStyle w:val="IntenseEmphasis"/>
          <w:color w:val="FF0000"/>
        </w:rPr>
        <w:t xml:space="preserve"> remains studying each year the payment type she receives and whether she </w:t>
      </w:r>
      <w:r w:rsidRPr="00726503">
        <w:rPr>
          <w:rStyle w:val="IntenseEmphasis"/>
          <w:color w:val="FF0000"/>
        </w:rPr>
        <w:t>has any employment earnings</w:t>
      </w:r>
      <w:r w:rsidR="00763503" w:rsidRPr="00726503">
        <w:rPr>
          <w:rStyle w:val="IntenseEmphasis"/>
          <w:color w:val="FF0000"/>
        </w:rPr>
        <w:t xml:space="preserve"> over the year </w:t>
      </w:r>
      <w:r w:rsidR="002718BB" w:rsidRPr="00726503">
        <w:rPr>
          <w:rStyle w:val="IntenseEmphasis"/>
          <w:color w:val="FF0000"/>
        </w:rPr>
        <w:t>are</w:t>
      </w:r>
      <w:r w:rsidR="00763503" w:rsidRPr="00726503">
        <w:rPr>
          <w:rStyle w:val="IntenseEmphasis"/>
          <w:color w:val="FF0000"/>
        </w:rPr>
        <w:t xml:space="preserve"> forecasted. </w:t>
      </w:r>
    </w:p>
    <w:p w14:paraId="62284DEA" w14:textId="77777777" w:rsidR="00763503" w:rsidRPr="00726503" w:rsidRDefault="00763503" w:rsidP="00926FAA">
      <w:pPr>
        <w:pStyle w:val="PwCNormal"/>
        <w:rPr>
          <w:rStyle w:val="IntenseEmphasis"/>
          <w:color w:val="FF0000"/>
        </w:rPr>
      </w:pPr>
      <w:r w:rsidRPr="00726503">
        <w:rPr>
          <w:rStyle w:val="IntenseEmphasis"/>
          <w:color w:val="FF0000"/>
        </w:rPr>
        <w:t xml:space="preserve">One possible pathway for </w:t>
      </w:r>
      <w:r w:rsidR="00C75845" w:rsidRPr="00726503">
        <w:rPr>
          <w:rStyle w:val="IntenseEmphasis"/>
          <w:color w:val="FF0000"/>
        </w:rPr>
        <w:t>Sarah</w:t>
      </w:r>
      <w:r w:rsidRPr="00726503">
        <w:rPr>
          <w:rStyle w:val="IntenseEmphasis"/>
          <w:color w:val="FF0000"/>
        </w:rPr>
        <w:t xml:space="preserve"> is that she continues her part time </w:t>
      </w:r>
      <w:r w:rsidR="00C75845" w:rsidRPr="00726503">
        <w:rPr>
          <w:rStyle w:val="IntenseEmphasis"/>
          <w:color w:val="FF0000"/>
        </w:rPr>
        <w:t>work</w:t>
      </w:r>
      <w:r w:rsidRPr="00726503">
        <w:rPr>
          <w:rStyle w:val="IntenseEmphasis"/>
          <w:color w:val="FF0000"/>
        </w:rPr>
        <w:t xml:space="preserve"> each year while she studies and remains on </w:t>
      </w:r>
      <w:r w:rsidR="00C75845" w:rsidRPr="00726503">
        <w:rPr>
          <w:rStyle w:val="IntenseEmphasis"/>
          <w:color w:val="FF0000"/>
        </w:rPr>
        <w:t>Y</w:t>
      </w:r>
      <w:r w:rsidRPr="00726503">
        <w:rPr>
          <w:rStyle w:val="IntenseEmphasis"/>
          <w:color w:val="FF0000"/>
        </w:rPr>
        <w:t xml:space="preserve">outh </w:t>
      </w:r>
      <w:r w:rsidR="00C75845" w:rsidRPr="00726503">
        <w:rPr>
          <w:rStyle w:val="IntenseEmphasis"/>
          <w:color w:val="FF0000"/>
        </w:rPr>
        <w:t>A</w:t>
      </w:r>
      <w:r w:rsidRPr="00726503">
        <w:rPr>
          <w:rStyle w:val="IntenseEmphasis"/>
          <w:color w:val="FF0000"/>
        </w:rPr>
        <w:t xml:space="preserve">llowance until she graduates. </w:t>
      </w:r>
      <w:r w:rsidR="00C75845" w:rsidRPr="00726503">
        <w:rPr>
          <w:rStyle w:val="IntenseEmphasis"/>
          <w:color w:val="FF0000"/>
        </w:rPr>
        <w:t>Sarah</w:t>
      </w:r>
      <w:r w:rsidR="002718BB" w:rsidRPr="00726503">
        <w:rPr>
          <w:rStyle w:val="IntenseEmphasis"/>
          <w:color w:val="FF0000"/>
        </w:rPr>
        <w:t>,</w:t>
      </w:r>
      <w:r w:rsidRPr="00726503">
        <w:rPr>
          <w:rStyle w:val="IntenseEmphasis"/>
          <w:color w:val="FF0000"/>
        </w:rPr>
        <w:t xml:space="preserve"> now aged 24</w:t>
      </w:r>
      <w:r w:rsidR="002718BB" w:rsidRPr="00726503">
        <w:rPr>
          <w:rStyle w:val="IntenseEmphasis"/>
          <w:color w:val="FF0000"/>
        </w:rPr>
        <w:t>,</w:t>
      </w:r>
      <w:r w:rsidRPr="00726503">
        <w:rPr>
          <w:rStyle w:val="IntenseEmphasis"/>
          <w:color w:val="FF0000"/>
        </w:rPr>
        <w:t xml:space="preserve"> finds </w:t>
      </w:r>
      <w:r w:rsidR="00603784" w:rsidRPr="00726503">
        <w:rPr>
          <w:rStyle w:val="IntenseEmphasis"/>
          <w:color w:val="FF0000"/>
        </w:rPr>
        <w:t xml:space="preserve">full-time </w:t>
      </w:r>
      <w:r w:rsidRPr="00726503">
        <w:rPr>
          <w:rStyle w:val="IntenseEmphasis"/>
          <w:color w:val="FF0000"/>
        </w:rPr>
        <w:t>work and exits the welfare system.</w:t>
      </w:r>
    </w:p>
    <w:p w14:paraId="3F420531" w14:textId="77777777" w:rsidR="00603784" w:rsidRPr="00EC326F" w:rsidRDefault="00763503" w:rsidP="00926FAA">
      <w:pPr>
        <w:pStyle w:val="PwCNormal"/>
      </w:pPr>
      <w:r w:rsidRPr="00EC326F">
        <w:t xml:space="preserve">While </w:t>
      </w:r>
      <w:r w:rsidR="00603784" w:rsidRPr="00EC326F">
        <w:t>Sarah</w:t>
      </w:r>
      <w:r w:rsidRPr="00EC326F">
        <w:t xml:space="preserve"> studied and looked for work, relevant information such as payment type and income that may help understand </w:t>
      </w:r>
      <w:r w:rsidR="00603784" w:rsidRPr="00EC326F">
        <w:t>Sarah’s</w:t>
      </w:r>
      <w:r w:rsidRPr="00EC326F">
        <w:t xml:space="preserve"> outcomes were forecasted. </w:t>
      </w:r>
      <w:r w:rsidR="00603784" w:rsidRPr="00EC326F">
        <w:t>However, no information is forecasted for any</w:t>
      </w:r>
      <w:r w:rsidRPr="00EC326F">
        <w:t xml:space="preserve"> medical condition and carer </w:t>
      </w:r>
      <w:r w:rsidR="00603784" w:rsidRPr="00EC326F">
        <w:t xml:space="preserve">relationships which Sarah may have as she has </w:t>
      </w:r>
      <w:r w:rsidRPr="00EC326F">
        <w:t>remain</w:t>
      </w:r>
      <w:r w:rsidR="00603784" w:rsidRPr="00EC326F">
        <w:t>ed</w:t>
      </w:r>
      <w:r w:rsidRPr="00EC326F">
        <w:t xml:space="preserve"> outside the </w:t>
      </w:r>
      <w:r w:rsidR="00603784" w:rsidRPr="00EC326F">
        <w:t xml:space="preserve">classes for whom </w:t>
      </w:r>
      <w:r w:rsidRPr="00EC326F">
        <w:t>these</w:t>
      </w:r>
      <w:r w:rsidR="00603784" w:rsidRPr="00EC326F">
        <w:t xml:space="preserve"> variables are developed</w:t>
      </w:r>
      <w:r w:rsidRPr="00EC326F">
        <w:t xml:space="preserve">. </w:t>
      </w:r>
    </w:p>
    <w:p w14:paraId="62CDF3F4" w14:textId="77777777" w:rsidR="00763503" w:rsidRPr="00E13EFC" w:rsidRDefault="00763503" w:rsidP="00926FAA">
      <w:pPr>
        <w:pStyle w:val="PwCNormal"/>
      </w:pPr>
      <w:r w:rsidRPr="00E13EFC">
        <w:t xml:space="preserve">If </w:t>
      </w:r>
      <w:r w:rsidR="00603784" w:rsidRPr="00E13EFC">
        <w:t>Sarah</w:t>
      </w:r>
      <w:r w:rsidR="00705B2E" w:rsidRPr="00E13EFC">
        <w:t xml:space="preserve"> had a different </w:t>
      </w:r>
      <w:r w:rsidRPr="00E13EFC">
        <w:t xml:space="preserve">life pathway </w:t>
      </w:r>
      <w:r w:rsidR="00705B2E" w:rsidRPr="00E13EFC">
        <w:t xml:space="preserve">which </w:t>
      </w:r>
      <w:r w:rsidRPr="00E13EFC">
        <w:t xml:space="preserve">resulted </w:t>
      </w:r>
      <w:r w:rsidR="00705B2E" w:rsidRPr="00E13EFC">
        <w:t xml:space="preserve">in a </w:t>
      </w:r>
      <w:r w:rsidR="00E13EFC" w:rsidRPr="00E13EFC">
        <w:t xml:space="preserve">future </w:t>
      </w:r>
      <w:r w:rsidRPr="00E13EFC">
        <w:t xml:space="preserve">reliance on disability support pension then </w:t>
      </w:r>
      <w:r w:rsidR="00705B2E" w:rsidRPr="00E13EFC">
        <w:t xml:space="preserve">the model would allocate her a primary medical condition at the time at which she enters class 5 and this condition would </w:t>
      </w:r>
      <w:r w:rsidR="00E13EFC" w:rsidRPr="00E13EFC">
        <w:t>influence</w:t>
      </w:r>
      <w:r w:rsidRPr="00E13EFC">
        <w:t xml:space="preserve"> </w:t>
      </w:r>
      <w:r w:rsidR="00603784" w:rsidRPr="00E13EFC">
        <w:t>Sarah</w:t>
      </w:r>
      <w:r w:rsidRPr="00E13EFC">
        <w:t xml:space="preserve">’s </w:t>
      </w:r>
      <w:r w:rsidR="00705B2E" w:rsidRPr="00E13EFC">
        <w:t xml:space="preserve">subsequent </w:t>
      </w:r>
      <w:r w:rsidRPr="00E13EFC">
        <w:t>outcome</w:t>
      </w:r>
      <w:r w:rsidR="00705B2E" w:rsidRPr="00E13EFC">
        <w:t>s</w:t>
      </w:r>
      <w:r w:rsidRPr="00E13EFC">
        <w:t>.</w:t>
      </w:r>
    </w:p>
    <w:p w14:paraId="1214B89A" w14:textId="77777777" w:rsidR="00A26AAD" w:rsidRPr="00EC326F" w:rsidRDefault="00A26AAD" w:rsidP="00926FAA">
      <w:pPr>
        <w:pStyle w:val="PwCNormal"/>
      </w:pPr>
      <w:r w:rsidRPr="00EC326F">
        <w:t xml:space="preserve">The approach for developing the </w:t>
      </w:r>
      <w:r w:rsidR="00B96B29" w:rsidRPr="00EC326F">
        <w:t>class characteristic</w:t>
      </w:r>
      <w:r w:rsidRPr="00EC326F">
        <w:t xml:space="preserve"> variable assumptions is discussed in </w:t>
      </w:r>
      <w:r w:rsidR="0011562A">
        <w:t>section</w:t>
      </w:r>
      <w:r w:rsidRPr="00EC326F">
        <w:t xml:space="preserve"> </w:t>
      </w:r>
      <w:r w:rsidRPr="00EC326F">
        <w:fldChar w:fldCharType="begin"/>
      </w:r>
      <w:r w:rsidRPr="00EC326F">
        <w:instrText xml:space="preserve"> REF _Ref465266660 \r \h </w:instrText>
      </w:r>
      <w:r w:rsidRPr="00EC326F">
        <w:fldChar w:fldCharType="separate"/>
      </w:r>
      <w:r w:rsidR="007A42DF">
        <w:t>5</w:t>
      </w:r>
      <w:r w:rsidRPr="00EC326F">
        <w:fldChar w:fldCharType="end"/>
      </w:r>
      <w:r w:rsidRPr="00EC326F">
        <w:t>.</w:t>
      </w:r>
    </w:p>
    <w:p w14:paraId="3FFAA112" w14:textId="77777777" w:rsidR="00A475C5" w:rsidRPr="00EC326F" w:rsidRDefault="00A475C5" w:rsidP="00A475C5">
      <w:pPr>
        <w:pStyle w:val="Heading3"/>
      </w:pPr>
      <w:bookmarkStart w:id="178" w:name="_Ref466491737"/>
      <w:bookmarkStart w:id="179" w:name="_Toc493844231"/>
      <w:r w:rsidRPr="00EC326F">
        <w:t>Modelling sequence</w:t>
      </w:r>
      <w:bookmarkEnd w:id="178"/>
      <w:bookmarkEnd w:id="179"/>
    </w:p>
    <w:p w14:paraId="0D020111" w14:textId="77777777" w:rsidR="00A475C5" w:rsidRPr="00EC326F" w:rsidRDefault="00A475C5" w:rsidP="00C1032B">
      <w:pPr>
        <w:pStyle w:val="PwCNormal-keepwithnext"/>
      </w:pPr>
      <w:r w:rsidRPr="00EC326F">
        <w:t xml:space="preserve">The modelling sequence is an important consideration in developing the valuation model and each of the assumption sets. This is because most of the variables being simulated are inter-related with each other. For instance, a persons’ likelihood of having a child during the year will be different depending on whether they are partnered or not. </w:t>
      </w:r>
    </w:p>
    <w:p w14:paraId="20EF8E44" w14:textId="77777777" w:rsidR="00A475C5" w:rsidRPr="00EC326F" w:rsidRDefault="00A475C5" w:rsidP="001A4479">
      <w:pPr>
        <w:pStyle w:val="PwCNormal"/>
        <w:numPr>
          <w:ilvl w:val="0"/>
          <w:numId w:val="37"/>
        </w:numPr>
      </w:pPr>
      <w:r w:rsidRPr="00EC326F">
        <w:t>Thus we have established a modelling sequence which is used for each year of the forward projection. The assumptions are developed to reference the information which is available at the relevant point in the sequence.</w:t>
      </w:r>
    </w:p>
    <w:p w14:paraId="21319D2C" w14:textId="77777777" w:rsidR="00A475C5" w:rsidRPr="00EC326F" w:rsidRDefault="00A475C5" w:rsidP="00A475C5">
      <w:pPr>
        <w:pStyle w:val="PwCNormal"/>
        <w:numPr>
          <w:ilvl w:val="0"/>
          <w:numId w:val="0"/>
        </w:numPr>
      </w:pPr>
      <w:r w:rsidRPr="00EC326F">
        <w:lastRenderedPageBreak/>
        <w:t xml:space="preserve">The sequence has been updated at the 2016 valuation to include the </w:t>
      </w:r>
      <w:r w:rsidR="00B96B29" w:rsidRPr="00EC326F">
        <w:t>class characteristic</w:t>
      </w:r>
      <w:r w:rsidRPr="00EC326F">
        <w:t xml:space="preserve"> variables. All of these variables are simulated after cl</w:t>
      </w:r>
      <w:r w:rsidR="00B96B29" w:rsidRPr="00EC326F">
        <w:t>ass, as information for certain</w:t>
      </w:r>
      <w:r w:rsidRPr="00EC326F">
        <w:t xml:space="preserve"> variables is only consistently collected and relevant for people in selected classes. The decision was made to simulate the </w:t>
      </w:r>
      <w:r w:rsidR="00B96B29" w:rsidRPr="00EC326F">
        <w:t>class characteristic</w:t>
      </w:r>
      <w:r w:rsidRPr="00EC326F">
        <w:t xml:space="preserve"> variables after class but before utilisation as the variables have the potential to influence the utilisation of various payment types and payment amounts.</w:t>
      </w:r>
    </w:p>
    <w:p w14:paraId="07676BFE" w14:textId="77777777" w:rsidR="00A475C5" w:rsidRPr="00EC326F" w:rsidRDefault="00A475C5" w:rsidP="001A4479">
      <w:pPr>
        <w:pStyle w:val="PwCNormal"/>
        <w:numPr>
          <w:ilvl w:val="0"/>
          <w:numId w:val="37"/>
        </w:numPr>
      </w:pPr>
      <w:r w:rsidRPr="00EC326F">
        <w:t xml:space="preserve">The order in which the </w:t>
      </w:r>
      <w:r w:rsidR="00B96B29" w:rsidRPr="00EC326F">
        <w:t>class characteristic</w:t>
      </w:r>
      <w:r w:rsidRPr="00EC326F">
        <w:t xml:space="preserve"> variables themselves were simulated in the valuation was also considered carefully. </w:t>
      </w:r>
      <w:r w:rsidR="00D73E2A" w:rsidRPr="00EC326F">
        <w:t>For example, w</w:t>
      </w:r>
      <w:r w:rsidRPr="00EC326F">
        <w:t>hile an individual’s type of medical condition may affect their ability to earn income, whether or not an individual earned income should not affect an individual’s type of medical condition.</w:t>
      </w:r>
    </w:p>
    <w:p w14:paraId="25A69BEF" w14:textId="77777777" w:rsidR="00A475C5" w:rsidRPr="00EC326F" w:rsidRDefault="00A475C5" w:rsidP="00A475C5">
      <w:pPr>
        <w:pStyle w:val="PwCNormal"/>
        <w:numPr>
          <w:ilvl w:val="0"/>
          <w:numId w:val="1"/>
        </w:numPr>
      </w:pPr>
      <w:r w:rsidRPr="00EC326F">
        <w:t>For each class the upda</w:t>
      </w:r>
      <w:r w:rsidR="004E079F" w:rsidRPr="00EC326F">
        <w:t>ted modelling sequence for the class characteristic</w:t>
      </w:r>
      <w:r w:rsidRPr="00EC326F">
        <w:t xml:space="preserve"> variables is provided below.</w:t>
      </w:r>
    </w:p>
    <w:p w14:paraId="03B8DD32" w14:textId="77777777" w:rsidR="00A475C5" w:rsidRPr="00EC326F" w:rsidRDefault="00A475C5" w:rsidP="00A475C5">
      <w:pPr>
        <w:pStyle w:val="Caption"/>
      </w:pPr>
      <w:r w:rsidRPr="00EC326F">
        <w:t xml:space="preserve">Table </w:t>
      </w:r>
      <w:fldSimple w:instr=" SEQ Table \* ARABIC ">
        <w:r w:rsidR="007A42DF">
          <w:rPr>
            <w:noProof/>
          </w:rPr>
          <w:t>10</w:t>
        </w:r>
      </w:fldSimple>
      <w:r w:rsidRPr="00EC326F">
        <w:t xml:space="preserve">: Modelling sequence for </w:t>
      </w:r>
      <w:r w:rsidR="004E079F" w:rsidRPr="00EC326F">
        <w:t>class characteristic</w:t>
      </w:r>
      <w:r w:rsidRPr="00EC326F">
        <w:t xml:space="preserve"> variables</w:t>
      </w:r>
    </w:p>
    <w:tbl>
      <w:tblPr>
        <w:tblStyle w:val="LightList-Accent6"/>
        <w:tblW w:w="9366" w:type="dxa"/>
        <w:tblInd w:w="108" w:type="dxa"/>
        <w:tblBorders>
          <w:left w:val="none" w:sz="0" w:space="0" w:color="auto"/>
          <w:right w:val="none" w:sz="0" w:space="0" w:color="auto"/>
          <w:insideH w:val="single" w:sz="8" w:space="0" w:color="E0301E" w:themeColor="accent6"/>
          <w:insideV w:val="single" w:sz="4" w:space="0" w:color="E0301E" w:themeColor="accent6"/>
        </w:tblBorders>
        <w:tblLook w:val="04A0" w:firstRow="1" w:lastRow="0" w:firstColumn="1" w:lastColumn="0" w:noHBand="0" w:noVBand="1"/>
        <w:tblCaption w:val=" Modelling sequence for class characteristic variables"/>
        <w:tblDescription w:val="This table summarises the modelling sequence for class characteristic variables. &#10;&#10;The first column, labelled “class” lists welfare classes 1 to 9; studying, working age, parents, carers, disability support, pension age, non-income support family, non-income support carer and non-income support other.&#10;&#10;There are four subsequent columns labelled Variable 1 to Variable 4. Entries in the “Variable 1” column indicate that the listed variable was simulated first. Entries in the “Variable 2” column indicate that the listed variable was simulated second, and so on.&#10;&#10;For Classes 1,2 and 3, Variable 1 is Earnings Indicator and Variable 2 is Payment Type. Variable 3 and 4 are blank.&#10;&#10;For Class 4, Variable 1 is Care Recipient Age, Variable 2 is Care Recipient’s main medical condition, Variable 3 is Relationship between carer and care recipient and Variable 4 is Earnings Indicator.&#10;&#10;For Classes 6,7 and 9 there is no relevant class characteristic variables.&#10;&#10;For Class 8, Variable 1 is Number of child care recipients and Variable 2 is Number of adult care recipients. &#10;"/>
      </w:tblPr>
      <w:tblGrid>
        <w:gridCol w:w="1825"/>
        <w:gridCol w:w="2144"/>
        <w:gridCol w:w="1985"/>
        <w:gridCol w:w="1847"/>
        <w:gridCol w:w="1565"/>
      </w:tblGrid>
      <w:tr w:rsidR="00A475C5" w:rsidRPr="00EC326F" w14:paraId="4E424F27" w14:textId="77777777" w:rsidTr="00055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5" w:type="dxa"/>
            <w:hideMark/>
          </w:tcPr>
          <w:p w14:paraId="660A7192" w14:textId="77777777" w:rsidR="00A475C5" w:rsidRPr="00EC326F" w:rsidRDefault="00A475C5" w:rsidP="00A475C5">
            <w:pPr>
              <w:pStyle w:val="TableColumnHeadingSmall"/>
              <w:jc w:val="center"/>
            </w:pPr>
            <w:r w:rsidRPr="00EC326F">
              <w:t xml:space="preserve">Class </w:t>
            </w:r>
          </w:p>
        </w:tc>
        <w:tc>
          <w:tcPr>
            <w:tcW w:w="2144" w:type="dxa"/>
            <w:hideMark/>
          </w:tcPr>
          <w:p w14:paraId="39B3E6E6" w14:textId="77777777" w:rsidR="00A475C5" w:rsidRPr="00EC326F" w:rsidRDefault="00A475C5" w:rsidP="00A475C5">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Variable 1</w:t>
            </w:r>
          </w:p>
        </w:tc>
        <w:tc>
          <w:tcPr>
            <w:tcW w:w="1985" w:type="dxa"/>
            <w:hideMark/>
          </w:tcPr>
          <w:p w14:paraId="45ADDEDF" w14:textId="77777777" w:rsidR="00A475C5" w:rsidRPr="00EC326F" w:rsidRDefault="00A475C5" w:rsidP="00A475C5">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Variable 2</w:t>
            </w:r>
          </w:p>
        </w:tc>
        <w:tc>
          <w:tcPr>
            <w:tcW w:w="1847" w:type="dxa"/>
            <w:hideMark/>
          </w:tcPr>
          <w:p w14:paraId="3A4BD845" w14:textId="77777777" w:rsidR="00A475C5" w:rsidRPr="00EC326F" w:rsidRDefault="00A475C5" w:rsidP="00A475C5">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Variable 3</w:t>
            </w:r>
          </w:p>
        </w:tc>
        <w:tc>
          <w:tcPr>
            <w:tcW w:w="1565" w:type="dxa"/>
            <w:hideMark/>
          </w:tcPr>
          <w:p w14:paraId="0AB49EF2" w14:textId="77777777" w:rsidR="00A475C5" w:rsidRPr="00EC326F" w:rsidRDefault="00A475C5" w:rsidP="00A475C5">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Variable 4</w:t>
            </w:r>
          </w:p>
        </w:tc>
      </w:tr>
      <w:tr w:rsidR="00A475C5" w:rsidRPr="00EC326F" w14:paraId="17BFA98A" w14:textId="77777777" w:rsidTr="00055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Borders>
              <w:top w:val="none" w:sz="0" w:space="0" w:color="auto"/>
              <w:left w:val="none" w:sz="0" w:space="0" w:color="auto"/>
              <w:bottom w:val="none" w:sz="0" w:space="0" w:color="auto"/>
            </w:tcBorders>
            <w:hideMark/>
          </w:tcPr>
          <w:p w14:paraId="60E36F92" w14:textId="77777777" w:rsidR="00A475C5" w:rsidRPr="00EC326F" w:rsidRDefault="00A475C5" w:rsidP="00A475C5">
            <w:pPr>
              <w:pStyle w:val="TableTextSmall"/>
            </w:pPr>
            <w:r w:rsidRPr="00EC326F">
              <w:t>1 - Studying</w:t>
            </w:r>
          </w:p>
        </w:tc>
        <w:tc>
          <w:tcPr>
            <w:tcW w:w="2144" w:type="dxa"/>
            <w:tcBorders>
              <w:top w:val="none" w:sz="0" w:space="0" w:color="auto"/>
              <w:bottom w:val="none" w:sz="0" w:space="0" w:color="auto"/>
            </w:tcBorders>
            <w:vAlign w:val="center"/>
            <w:hideMark/>
          </w:tcPr>
          <w:p w14:paraId="103C1D2B"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r w:rsidRPr="00EC326F">
              <w:t>Earnings indicator</w:t>
            </w:r>
          </w:p>
        </w:tc>
        <w:tc>
          <w:tcPr>
            <w:tcW w:w="1985" w:type="dxa"/>
            <w:tcBorders>
              <w:top w:val="none" w:sz="0" w:space="0" w:color="auto"/>
              <w:bottom w:val="none" w:sz="0" w:space="0" w:color="auto"/>
            </w:tcBorders>
            <w:vAlign w:val="center"/>
            <w:hideMark/>
          </w:tcPr>
          <w:p w14:paraId="6D37A806"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r w:rsidRPr="00EC326F">
              <w:t>Payment type</w:t>
            </w:r>
          </w:p>
        </w:tc>
        <w:tc>
          <w:tcPr>
            <w:tcW w:w="1847" w:type="dxa"/>
            <w:tcBorders>
              <w:top w:val="none" w:sz="0" w:space="0" w:color="auto"/>
              <w:bottom w:val="none" w:sz="0" w:space="0" w:color="auto"/>
            </w:tcBorders>
          </w:tcPr>
          <w:p w14:paraId="0B35F13C"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c>
          <w:tcPr>
            <w:tcW w:w="1565" w:type="dxa"/>
            <w:tcBorders>
              <w:top w:val="none" w:sz="0" w:space="0" w:color="auto"/>
              <w:bottom w:val="none" w:sz="0" w:space="0" w:color="auto"/>
              <w:right w:val="none" w:sz="0" w:space="0" w:color="auto"/>
            </w:tcBorders>
            <w:vAlign w:val="center"/>
          </w:tcPr>
          <w:p w14:paraId="2F74326F"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r>
      <w:tr w:rsidR="00A475C5" w:rsidRPr="00EC326F" w14:paraId="2304294D" w14:textId="77777777" w:rsidTr="00055EA9">
        <w:tc>
          <w:tcPr>
            <w:cnfStyle w:val="001000000000" w:firstRow="0" w:lastRow="0" w:firstColumn="1" w:lastColumn="0" w:oddVBand="0" w:evenVBand="0" w:oddHBand="0" w:evenHBand="0" w:firstRowFirstColumn="0" w:firstRowLastColumn="0" w:lastRowFirstColumn="0" w:lastRowLastColumn="0"/>
            <w:tcW w:w="1825" w:type="dxa"/>
            <w:hideMark/>
          </w:tcPr>
          <w:p w14:paraId="2ED7C51D" w14:textId="77777777" w:rsidR="00A475C5" w:rsidRPr="00EC326F" w:rsidRDefault="00A475C5" w:rsidP="00A475C5">
            <w:pPr>
              <w:pStyle w:val="TableTextSmall"/>
            </w:pPr>
            <w:r w:rsidRPr="00EC326F">
              <w:t>2 – Working Age</w:t>
            </w:r>
          </w:p>
        </w:tc>
        <w:tc>
          <w:tcPr>
            <w:tcW w:w="2144" w:type="dxa"/>
            <w:vAlign w:val="center"/>
            <w:hideMark/>
          </w:tcPr>
          <w:p w14:paraId="26B1A2EF" w14:textId="77777777" w:rsidR="00A475C5" w:rsidRPr="00EC326F" w:rsidRDefault="00A475C5" w:rsidP="00A475C5">
            <w:pPr>
              <w:pStyle w:val="TableTextSmall"/>
              <w:cnfStyle w:val="000000000000" w:firstRow="0" w:lastRow="0" w:firstColumn="0" w:lastColumn="0" w:oddVBand="0" w:evenVBand="0" w:oddHBand="0" w:evenHBand="0" w:firstRowFirstColumn="0" w:firstRowLastColumn="0" w:lastRowFirstColumn="0" w:lastRowLastColumn="0"/>
            </w:pPr>
            <w:r w:rsidRPr="00EC326F">
              <w:t>Earnings indicator</w:t>
            </w:r>
          </w:p>
        </w:tc>
        <w:tc>
          <w:tcPr>
            <w:tcW w:w="1985" w:type="dxa"/>
            <w:vAlign w:val="center"/>
            <w:hideMark/>
          </w:tcPr>
          <w:p w14:paraId="07C4638C" w14:textId="77777777" w:rsidR="00A475C5" w:rsidRPr="00EC326F" w:rsidRDefault="00A475C5" w:rsidP="00A475C5">
            <w:pPr>
              <w:pStyle w:val="TableTextSmall"/>
              <w:cnfStyle w:val="000000000000" w:firstRow="0" w:lastRow="0" w:firstColumn="0" w:lastColumn="0" w:oddVBand="0" w:evenVBand="0" w:oddHBand="0" w:evenHBand="0" w:firstRowFirstColumn="0" w:firstRowLastColumn="0" w:lastRowFirstColumn="0" w:lastRowLastColumn="0"/>
            </w:pPr>
            <w:r w:rsidRPr="00EC326F">
              <w:t>Payment type</w:t>
            </w:r>
          </w:p>
        </w:tc>
        <w:tc>
          <w:tcPr>
            <w:tcW w:w="1847" w:type="dxa"/>
          </w:tcPr>
          <w:p w14:paraId="142BB898" w14:textId="77777777" w:rsidR="00A475C5" w:rsidRPr="00EC326F" w:rsidRDefault="00A475C5" w:rsidP="00A475C5">
            <w:pPr>
              <w:pStyle w:val="TableTextSmall"/>
              <w:cnfStyle w:val="000000000000" w:firstRow="0" w:lastRow="0" w:firstColumn="0" w:lastColumn="0" w:oddVBand="0" w:evenVBand="0" w:oddHBand="0" w:evenHBand="0" w:firstRowFirstColumn="0" w:firstRowLastColumn="0" w:lastRowFirstColumn="0" w:lastRowLastColumn="0"/>
            </w:pPr>
          </w:p>
        </w:tc>
        <w:tc>
          <w:tcPr>
            <w:tcW w:w="1565" w:type="dxa"/>
            <w:vAlign w:val="center"/>
          </w:tcPr>
          <w:p w14:paraId="6C5564AD" w14:textId="77777777" w:rsidR="00A475C5" w:rsidRPr="00EC326F" w:rsidRDefault="00A475C5" w:rsidP="00A475C5">
            <w:pPr>
              <w:pStyle w:val="TableTextSmall"/>
              <w:cnfStyle w:val="000000000000" w:firstRow="0" w:lastRow="0" w:firstColumn="0" w:lastColumn="0" w:oddVBand="0" w:evenVBand="0" w:oddHBand="0" w:evenHBand="0" w:firstRowFirstColumn="0" w:firstRowLastColumn="0" w:lastRowFirstColumn="0" w:lastRowLastColumn="0"/>
            </w:pPr>
          </w:p>
        </w:tc>
      </w:tr>
      <w:tr w:rsidR="00A475C5" w:rsidRPr="00EC326F" w14:paraId="628C27C5" w14:textId="77777777" w:rsidTr="00055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Borders>
              <w:top w:val="none" w:sz="0" w:space="0" w:color="auto"/>
              <w:left w:val="none" w:sz="0" w:space="0" w:color="auto"/>
              <w:bottom w:val="none" w:sz="0" w:space="0" w:color="auto"/>
            </w:tcBorders>
            <w:hideMark/>
          </w:tcPr>
          <w:p w14:paraId="71B12A8A" w14:textId="77777777" w:rsidR="00A475C5" w:rsidRPr="00EC326F" w:rsidRDefault="00A475C5" w:rsidP="00A475C5">
            <w:pPr>
              <w:pStyle w:val="TableTextSmall"/>
            </w:pPr>
            <w:r w:rsidRPr="00EC326F">
              <w:t>3 - Parenting</w:t>
            </w:r>
          </w:p>
        </w:tc>
        <w:tc>
          <w:tcPr>
            <w:tcW w:w="2144" w:type="dxa"/>
            <w:tcBorders>
              <w:top w:val="none" w:sz="0" w:space="0" w:color="auto"/>
              <w:bottom w:val="none" w:sz="0" w:space="0" w:color="auto"/>
            </w:tcBorders>
            <w:vAlign w:val="center"/>
            <w:hideMark/>
          </w:tcPr>
          <w:p w14:paraId="34B9D97C"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r w:rsidRPr="00EC326F">
              <w:t>Earnings indicator</w:t>
            </w:r>
          </w:p>
        </w:tc>
        <w:tc>
          <w:tcPr>
            <w:tcW w:w="1985" w:type="dxa"/>
            <w:tcBorders>
              <w:top w:val="none" w:sz="0" w:space="0" w:color="auto"/>
              <w:bottom w:val="none" w:sz="0" w:space="0" w:color="auto"/>
            </w:tcBorders>
            <w:vAlign w:val="center"/>
            <w:hideMark/>
          </w:tcPr>
          <w:p w14:paraId="58D92C82"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r w:rsidRPr="00EC326F">
              <w:t>Payment type</w:t>
            </w:r>
          </w:p>
        </w:tc>
        <w:tc>
          <w:tcPr>
            <w:tcW w:w="1847" w:type="dxa"/>
            <w:tcBorders>
              <w:top w:val="none" w:sz="0" w:space="0" w:color="auto"/>
              <w:bottom w:val="none" w:sz="0" w:space="0" w:color="auto"/>
            </w:tcBorders>
          </w:tcPr>
          <w:p w14:paraId="1E8D557D"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c>
          <w:tcPr>
            <w:tcW w:w="1565" w:type="dxa"/>
            <w:tcBorders>
              <w:top w:val="none" w:sz="0" w:space="0" w:color="auto"/>
              <w:bottom w:val="none" w:sz="0" w:space="0" w:color="auto"/>
              <w:right w:val="none" w:sz="0" w:space="0" w:color="auto"/>
            </w:tcBorders>
            <w:vAlign w:val="center"/>
          </w:tcPr>
          <w:p w14:paraId="2F156338"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r>
      <w:tr w:rsidR="00A475C5" w:rsidRPr="00EC326F" w14:paraId="3CA30E30" w14:textId="77777777" w:rsidTr="00055EA9">
        <w:tc>
          <w:tcPr>
            <w:cnfStyle w:val="001000000000" w:firstRow="0" w:lastRow="0" w:firstColumn="1" w:lastColumn="0" w:oddVBand="0" w:evenVBand="0" w:oddHBand="0" w:evenHBand="0" w:firstRowFirstColumn="0" w:firstRowLastColumn="0" w:lastRowFirstColumn="0" w:lastRowLastColumn="0"/>
            <w:tcW w:w="1825" w:type="dxa"/>
            <w:hideMark/>
          </w:tcPr>
          <w:p w14:paraId="35DE94E5" w14:textId="77777777" w:rsidR="00A475C5" w:rsidRPr="00EC326F" w:rsidRDefault="00A475C5" w:rsidP="00A475C5">
            <w:pPr>
              <w:pStyle w:val="TableTextSmall"/>
            </w:pPr>
            <w:r w:rsidRPr="00EC326F">
              <w:t>4 – Carer IS</w:t>
            </w:r>
          </w:p>
        </w:tc>
        <w:tc>
          <w:tcPr>
            <w:tcW w:w="2144" w:type="dxa"/>
            <w:vAlign w:val="center"/>
            <w:hideMark/>
          </w:tcPr>
          <w:p w14:paraId="3702F759" w14:textId="733EADF6" w:rsidR="00A475C5" w:rsidRPr="00EC326F" w:rsidRDefault="00FE6871" w:rsidP="00A475C5">
            <w:pPr>
              <w:pStyle w:val="TableTextSmall"/>
              <w:cnfStyle w:val="000000000000" w:firstRow="0" w:lastRow="0" w:firstColumn="0" w:lastColumn="0" w:oddVBand="0" w:evenVBand="0" w:oddHBand="0" w:evenHBand="0" w:firstRowFirstColumn="0" w:firstRowLastColumn="0" w:lastRowFirstColumn="0" w:lastRowLastColumn="0"/>
            </w:pPr>
            <w:r>
              <w:t xml:space="preserve">Care recipient </w:t>
            </w:r>
            <w:r w:rsidR="00A475C5" w:rsidRPr="00EC326F">
              <w:t xml:space="preserve">age </w:t>
            </w:r>
          </w:p>
        </w:tc>
        <w:tc>
          <w:tcPr>
            <w:tcW w:w="1985" w:type="dxa"/>
            <w:vAlign w:val="center"/>
            <w:hideMark/>
          </w:tcPr>
          <w:p w14:paraId="07D7E93A" w14:textId="46A4AEC7" w:rsidR="00A475C5" w:rsidRPr="00EC326F" w:rsidRDefault="00FE6871" w:rsidP="00A475C5">
            <w:pPr>
              <w:pStyle w:val="TableTextSmall"/>
              <w:cnfStyle w:val="000000000000" w:firstRow="0" w:lastRow="0" w:firstColumn="0" w:lastColumn="0" w:oddVBand="0" w:evenVBand="0" w:oddHBand="0" w:evenHBand="0" w:firstRowFirstColumn="0" w:firstRowLastColumn="0" w:lastRowFirstColumn="0" w:lastRowLastColumn="0"/>
            </w:pPr>
            <w:r>
              <w:t>Care recipient</w:t>
            </w:r>
            <w:r w:rsidRPr="00EC326F">
              <w:t xml:space="preserve">’s </w:t>
            </w:r>
            <w:r w:rsidR="00D73E2A" w:rsidRPr="00EC326F">
              <w:t>main medical condition</w:t>
            </w:r>
          </w:p>
        </w:tc>
        <w:tc>
          <w:tcPr>
            <w:tcW w:w="1847" w:type="dxa"/>
            <w:vAlign w:val="center"/>
            <w:hideMark/>
          </w:tcPr>
          <w:p w14:paraId="011B0C06" w14:textId="36D1DE3D" w:rsidR="00A475C5" w:rsidRPr="00EC326F" w:rsidRDefault="00D73E2A" w:rsidP="00FE6871">
            <w:pPr>
              <w:pStyle w:val="TableTextSmall"/>
              <w:cnfStyle w:val="000000000000" w:firstRow="0" w:lastRow="0" w:firstColumn="0" w:lastColumn="0" w:oddVBand="0" w:evenVBand="0" w:oddHBand="0" w:evenHBand="0" w:firstRowFirstColumn="0" w:firstRowLastColumn="0" w:lastRowFirstColumn="0" w:lastRowLastColumn="0"/>
            </w:pPr>
            <w:r w:rsidRPr="00EC326F">
              <w:t xml:space="preserve">Relationship between carer and </w:t>
            </w:r>
            <w:r w:rsidR="00FE6871">
              <w:t>care recipient</w:t>
            </w:r>
          </w:p>
        </w:tc>
        <w:tc>
          <w:tcPr>
            <w:tcW w:w="1565" w:type="dxa"/>
            <w:vAlign w:val="center"/>
            <w:hideMark/>
          </w:tcPr>
          <w:p w14:paraId="05A8ED44" w14:textId="77777777" w:rsidR="00A475C5" w:rsidRPr="00EC326F" w:rsidRDefault="00A475C5" w:rsidP="00A475C5">
            <w:pPr>
              <w:pStyle w:val="TableTextSmall"/>
              <w:cnfStyle w:val="000000000000" w:firstRow="0" w:lastRow="0" w:firstColumn="0" w:lastColumn="0" w:oddVBand="0" w:evenVBand="0" w:oddHBand="0" w:evenHBand="0" w:firstRowFirstColumn="0" w:firstRowLastColumn="0" w:lastRowFirstColumn="0" w:lastRowLastColumn="0"/>
            </w:pPr>
            <w:r w:rsidRPr="00EC326F">
              <w:t>Earnings indicator</w:t>
            </w:r>
          </w:p>
        </w:tc>
      </w:tr>
      <w:tr w:rsidR="00A475C5" w:rsidRPr="00EC326F" w14:paraId="609C820F" w14:textId="77777777" w:rsidTr="00055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Borders>
              <w:top w:val="none" w:sz="0" w:space="0" w:color="auto"/>
              <w:left w:val="none" w:sz="0" w:space="0" w:color="auto"/>
              <w:bottom w:val="none" w:sz="0" w:space="0" w:color="auto"/>
            </w:tcBorders>
            <w:hideMark/>
          </w:tcPr>
          <w:p w14:paraId="56642D86" w14:textId="77777777" w:rsidR="00A475C5" w:rsidRPr="00EC326F" w:rsidRDefault="002718BB" w:rsidP="00A475C5">
            <w:pPr>
              <w:pStyle w:val="TableTextSmall"/>
            </w:pPr>
            <w:r w:rsidRPr="00EC326F">
              <w:t>5 – DSP</w:t>
            </w:r>
          </w:p>
        </w:tc>
        <w:tc>
          <w:tcPr>
            <w:tcW w:w="2144" w:type="dxa"/>
            <w:tcBorders>
              <w:top w:val="none" w:sz="0" w:space="0" w:color="auto"/>
              <w:bottom w:val="none" w:sz="0" w:space="0" w:color="auto"/>
            </w:tcBorders>
            <w:vAlign w:val="center"/>
            <w:hideMark/>
          </w:tcPr>
          <w:p w14:paraId="5C333F5A"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r w:rsidRPr="00EC326F">
              <w:t>Primary medical condition</w:t>
            </w:r>
          </w:p>
        </w:tc>
        <w:tc>
          <w:tcPr>
            <w:tcW w:w="1985" w:type="dxa"/>
            <w:tcBorders>
              <w:top w:val="none" w:sz="0" w:space="0" w:color="auto"/>
              <w:bottom w:val="none" w:sz="0" w:space="0" w:color="auto"/>
            </w:tcBorders>
            <w:hideMark/>
          </w:tcPr>
          <w:p w14:paraId="35123916"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r w:rsidRPr="00EC326F">
              <w:t>Earnings indicator</w:t>
            </w:r>
          </w:p>
        </w:tc>
        <w:tc>
          <w:tcPr>
            <w:tcW w:w="1847" w:type="dxa"/>
            <w:tcBorders>
              <w:top w:val="none" w:sz="0" w:space="0" w:color="auto"/>
              <w:bottom w:val="none" w:sz="0" w:space="0" w:color="auto"/>
            </w:tcBorders>
          </w:tcPr>
          <w:p w14:paraId="1724CF38"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c>
          <w:tcPr>
            <w:tcW w:w="1565" w:type="dxa"/>
            <w:tcBorders>
              <w:top w:val="none" w:sz="0" w:space="0" w:color="auto"/>
              <w:bottom w:val="none" w:sz="0" w:space="0" w:color="auto"/>
              <w:right w:val="none" w:sz="0" w:space="0" w:color="auto"/>
            </w:tcBorders>
            <w:vAlign w:val="center"/>
          </w:tcPr>
          <w:p w14:paraId="7A2E6318"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r>
      <w:tr w:rsidR="00A475C5" w:rsidRPr="00EC326F" w14:paraId="4B0F1FF0" w14:textId="77777777" w:rsidTr="00055EA9">
        <w:tc>
          <w:tcPr>
            <w:cnfStyle w:val="001000000000" w:firstRow="0" w:lastRow="0" w:firstColumn="1" w:lastColumn="0" w:oddVBand="0" w:evenVBand="0" w:oddHBand="0" w:evenHBand="0" w:firstRowFirstColumn="0" w:firstRowLastColumn="0" w:lastRowFirstColumn="0" w:lastRowLastColumn="0"/>
            <w:tcW w:w="1825" w:type="dxa"/>
            <w:hideMark/>
          </w:tcPr>
          <w:p w14:paraId="6F365A7B" w14:textId="77777777" w:rsidR="00A475C5" w:rsidRPr="00EC326F" w:rsidRDefault="00A475C5" w:rsidP="00A475C5">
            <w:pPr>
              <w:pStyle w:val="TableTextSmall"/>
            </w:pPr>
            <w:r w:rsidRPr="00EC326F">
              <w:t>6 – Age pension</w:t>
            </w:r>
          </w:p>
        </w:tc>
        <w:tc>
          <w:tcPr>
            <w:tcW w:w="2144" w:type="dxa"/>
            <w:vAlign w:val="center"/>
            <w:hideMark/>
          </w:tcPr>
          <w:p w14:paraId="133A0324" w14:textId="77777777" w:rsidR="00A475C5" w:rsidRPr="00EC326F" w:rsidRDefault="00A475C5" w:rsidP="00A475C5">
            <w:pPr>
              <w:pStyle w:val="TableTextSmall"/>
              <w:cnfStyle w:val="000000000000" w:firstRow="0" w:lastRow="0" w:firstColumn="0" w:lastColumn="0" w:oddVBand="0" w:evenVBand="0" w:oddHBand="0" w:evenHBand="0" w:firstRowFirstColumn="0" w:firstRowLastColumn="0" w:lastRowFirstColumn="0" w:lastRowLastColumn="0"/>
            </w:pPr>
            <w:r w:rsidRPr="00EC326F">
              <w:t>n/a</w:t>
            </w:r>
          </w:p>
        </w:tc>
        <w:tc>
          <w:tcPr>
            <w:tcW w:w="1985" w:type="dxa"/>
            <w:vAlign w:val="center"/>
          </w:tcPr>
          <w:p w14:paraId="339749A1" w14:textId="77777777" w:rsidR="00A475C5" w:rsidRPr="00EC326F" w:rsidRDefault="00A475C5" w:rsidP="00A475C5">
            <w:pPr>
              <w:pStyle w:val="TableTextSmall"/>
              <w:cnfStyle w:val="000000000000" w:firstRow="0" w:lastRow="0" w:firstColumn="0" w:lastColumn="0" w:oddVBand="0" w:evenVBand="0" w:oddHBand="0" w:evenHBand="0" w:firstRowFirstColumn="0" w:firstRowLastColumn="0" w:lastRowFirstColumn="0" w:lastRowLastColumn="0"/>
            </w:pPr>
          </w:p>
        </w:tc>
        <w:tc>
          <w:tcPr>
            <w:tcW w:w="1847" w:type="dxa"/>
          </w:tcPr>
          <w:p w14:paraId="4DF07F40" w14:textId="77777777" w:rsidR="00A475C5" w:rsidRPr="00EC326F" w:rsidRDefault="00A475C5" w:rsidP="00A475C5">
            <w:pPr>
              <w:pStyle w:val="TableTextSmall"/>
              <w:cnfStyle w:val="000000000000" w:firstRow="0" w:lastRow="0" w:firstColumn="0" w:lastColumn="0" w:oddVBand="0" w:evenVBand="0" w:oddHBand="0" w:evenHBand="0" w:firstRowFirstColumn="0" w:firstRowLastColumn="0" w:lastRowFirstColumn="0" w:lastRowLastColumn="0"/>
            </w:pPr>
          </w:p>
        </w:tc>
        <w:tc>
          <w:tcPr>
            <w:tcW w:w="1565" w:type="dxa"/>
            <w:vAlign w:val="center"/>
          </w:tcPr>
          <w:p w14:paraId="1E4EAB52" w14:textId="77777777" w:rsidR="00A475C5" w:rsidRPr="00EC326F" w:rsidRDefault="00A475C5" w:rsidP="00A475C5">
            <w:pPr>
              <w:pStyle w:val="TableTextSmall"/>
              <w:cnfStyle w:val="000000000000" w:firstRow="0" w:lastRow="0" w:firstColumn="0" w:lastColumn="0" w:oddVBand="0" w:evenVBand="0" w:oddHBand="0" w:evenHBand="0" w:firstRowFirstColumn="0" w:firstRowLastColumn="0" w:lastRowFirstColumn="0" w:lastRowLastColumn="0"/>
            </w:pPr>
          </w:p>
        </w:tc>
      </w:tr>
      <w:tr w:rsidR="00A475C5" w:rsidRPr="00EC326F" w14:paraId="23D73C59" w14:textId="77777777" w:rsidTr="00055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Borders>
              <w:top w:val="none" w:sz="0" w:space="0" w:color="auto"/>
              <w:left w:val="none" w:sz="0" w:space="0" w:color="auto"/>
              <w:bottom w:val="none" w:sz="0" w:space="0" w:color="auto"/>
            </w:tcBorders>
            <w:hideMark/>
          </w:tcPr>
          <w:p w14:paraId="1E49080A" w14:textId="77777777" w:rsidR="00A475C5" w:rsidRPr="00EC326F" w:rsidRDefault="00A475C5" w:rsidP="00A475C5">
            <w:pPr>
              <w:pStyle w:val="TableTextSmall"/>
            </w:pPr>
            <w:r w:rsidRPr="00EC326F">
              <w:t>7 – Family non IS</w:t>
            </w:r>
          </w:p>
        </w:tc>
        <w:tc>
          <w:tcPr>
            <w:tcW w:w="2144" w:type="dxa"/>
            <w:tcBorders>
              <w:top w:val="none" w:sz="0" w:space="0" w:color="auto"/>
              <w:bottom w:val="none" w:sz="0" w:space="0" w:color="auto"/>
            </w:tcBorders>
            <w:vAlign w:val="center"/>
            <w:hideMark/>
          </w:tcPr>
          <w:p w14:paraId="72C636E7"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r w:rsidRPr="00EC326F">
              <w:t>n/a</w:t>
            </w:r>
          </w:p>
        </w:tc>
        <w:tc>
          <w:tcPr>
            <w:tcW w:w="1985" w:type="dxa"/>
            <w:tcBorders>
              <w:top w:val="none" w:sz="0" w:space="0" w:color="auto"/>
              <w:bottom w:val="none" w:sz="0" w:space="0" w:color="auto"/>
            </w:tcBorders>
            <w:vAlign w:val="center"/>
          </w:tcPr>
          <w:p w14:paraId="393542DD"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c>
          <w:tcPr>
            <w:tcW w:w="1847" w:type="dxa"/>
            <w:tcBorders>
              <w:top w:val="none" w:sz="0" w:space="0" w:color="auto"/>
              <w:bottom w:val="none" w:sz="0" w:space="0" w:color="auto"/>
            </w:tcBorders>
          </w:tcPr>
          <w:p w14:paraId="4B52F75E"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c>
          <w:tcPr>
            <w:tcW w:w="1565" w:type="dxa"/>
            <w:tcBorders>
              <w:top w:val="none" w:sz="0" w:space="0" w:color="auto"/>
              <w:bottom w:val="none" w:sz="0" w:space="0" w:color="auto"/>
              <w:right w:val="none" w:sz="0" w:space="0" w:color="auto"/>
            </w:tcBorders>
            <w:vAlign w:val="center"/>
          </w:tcPr>
          <w:p w14:paraId="48E8BE3E"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r>
      <w:tr w:rsidR="00A475C5" w:rsidRPr="00EC326F" w14:paraId="0006EBDE" w14:textId="77777777" w:rsidTr="00055EA9">
        <w:tc>
          <w:tcPr>
            <w:cnfStyle w:val="001000000000" w:firstRow="0" w:lastRow="0" w:firstColumn="1" w:lastColumn="0" w:oddVBand="0" w:evenVBand="0" w:oddHBand="0" w:evenHBand="0" w:firstRowFirstColumn="0" w:firstRowLastColumn="0" w:lastRowFirstColumn="0" w:lastRowLastColumn="0"/>
            <w:tcW w:w="1825" w:type="dxa"/>
            <w:hideMark/>
          </w:tcPr>
          <w:p w14:paraId="1332E46C" w14:textId="77777777" w:rsidR="00A475C5" w:rsidRPr="00EC326F" w:rsidRDefault="00A475C5" w:rsidP="00A475C5">
            <w:pPr>
              <w:pStyle w:val="TableTextSmall"/>
            </w:pPr>
            <w:r w:rsidRPr="00EC326F">
              <w:t>8 – Carer non IS</w:t>
            </w:r>
          </w:p>
        </w:tc>
        <w:tc>
          <w:tcPr>
            <w:tcW w:w="2144" w:type="dxa"/>
            <w:vAlign w:val="center"/>
            <w:hideMark/>
          </w:tcPr>
          <w:p w14:paraId="2271BEA8" w14:textId="2C478AC0" w:rsidR="00A475C5" w:rsidRPr="00EC326F" w:rsidRDefault="00A475C5" w:rsidP="00FE6871">
            <w:pPr>
              <w:pStyle w:val="TableTextSmall"/>
              <w:cnfStyle w:val="000000000000" w:firstRow="0" w:lastRow="0" w:firstColumn="0" w:lastColumn="0" w:oddVBand="0" w:evenVBand="0" w:oddHBand="0" w:evenHBand="0" w:firstRowFirstColumn="0" w:firstRowLastColumn="0" w:lastRowFirstColumn="0" w:lastRowLastColumn="0"/>
            </w:pPr>
            <w:r w:rsidRPr="00EC326F">
              <w:t xml:space="preserve">Number of child </w:t>
            </w:r>
            <w:r w:rsidR="00FE6871">
              <w:t>care recipients</w:t>
            </w:r>
          </w:p>
        </w:tc>
        <w:tc>
          <w:tcPr>
            <w:tcW w:w="1985" w:type="dxa"/>
            <w:vAlign w:val="center"/>
            <w:hideMark/>
          </w:tcPr>
          <w:p w14:paraId="00ABE816" w14:textId="4FA2B141" w:rsidR="00A475C5" w:rsidRPr="00EC326F" w:rsidRDefault="00A475C5" w:rsidP="00FE6871">
            <w:pPr>
              <w:pStyle w:val="TableTextSmall"/>
              <w:cnfStyle w:val="000000000000" w:firstRow="0" w:lastRow="0" w:firstColumn="0" w:lastColumn="0" w:oddVBand="0" w:evenVBand="0" w:oddHBand="0" w:evenHBand="0" w:firstRowFirstColumn="0" w:firstRowLastColumn="0" w:lastRowFirstColumn="0" w:lastRowLastColumn="0"/>
            </w:pPr>
            <w:r w:rsidRPr="00EC326F">
              <w:t>Number of adult care</w:t>
            </w:r>
            <w:r w:rsidR="00FE6871">
              <w:t xml:space="preserve"> recipients</w:t>
            </w:r>
          </w:p>
        </w:tc>
        <w:tc>
          <w:tcPr>
            <w:tcW w:w="1847" w:type="dxa"/>
            <w:vAlign w:val="center"/>
          </w:tcPr>
          <w:p w14:paraId="5DF3382E" w14:textId="77777777" w:rsidR="00A475C5" w:rsidRPr="00EC326F" w:rsidRDefault="00A475C5" w:rsidP="00A475C5">
            <w:pPr>
              <w:pStyle w:val="TableTextSmall"/>
              <w:cnfStyle w:val="000000000000" w:firstRow="0" w:lastRow="0" w:firstColumn="0" w:lastColumn="0" w:oddVBand="0" w:evenVBand="0" w:oddHBand="0" w:evenHBand="0" w:firstRowFirstColumn="0" w:firstRowLastColumn="0" w:lastRowFirstColumn="0" w:lastRowLastColumn="0"/>
            </w:pPr>
          </w:p>
        </w:tc>
        <w:tc>
          <w:tcPr>
            <w:tcW w:w="1565" w:type="dxa"/>
            <w:vAlign w:val="center"/>
          </w:tcPr>
          <w:p w14:paraId="56BF32A6" w14:textId="77777777" w:rsidR="00A475C5" w:rsidRPr="00EC326F" w:rsidRDefault="00A475C5" w:rsidP="00A475C5">
            <w:pPr>
              <w:pStyle w:val="TableTextSmall"/>
              <w:cnfStyle w:val="000000000000" w:firstRow="0" w:lastRow="0" w:firstColumn="0" w:lastColumn="0" w:oddVBand="0" w:evenVBand="0" w:oddHBand="0" w:evenHBand="0" w:firstRowFirstColumn="0" w:firstRowLastColumn="0" w:lastRowFirstColumn="0" w:lastRowLastColumn="0"/>
            </w:pPr>
          </w:p>
        </w:tc>
      </w:tr>
      <w:tr w:rsidR="00A475C5" w:rsidRPr="00EC326F" w14:paraId="26B0B4AC" w14:textId="77777777" w:rsidTr="00055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Borders>
              <w:top w:val="none" w:sz="0" w:space="0" w:color="auto"/>
              <w:left w:val="none" w:sz="0" w:space="0" w:color="auto"/>
              <w:bottom w:val="none" w:sz="0" w:space="0" w:color="auto"/>
            </w:tcBorders>
            <w:hideMark/>
          </w:tcPr>
          <w:p w14:paraId="249343CB" w14:textId="77777777" w:rsidR="00A475C5" w:rsidRPr="00EC326F" w:rsidRDefault="00A475C5" w:rsidP="00A475C5">
            <w:pPr>
              <w:pStyle w:val="TableTextSmall"/>
            </w:pPr>
            <w:r w:rsidRPr="00EC326F">
              <w:t>9 – Other non IS</w:t>
            </w:r>
          </w:p>
        </w:tc>
        <w:tc>
          <w:tcPr>
            <w:tcW w:w="2144" w:type="dxa"/>
            <w:tcBorders>
              <w:top w:val="none" w:sz="0" w:space="0" w:color="auto"/>
              <w:bottom w:val="none" w:sz="0" w:space="0" w:color="auto"/>
            </w:tcBorders>
            <w:vAlign w:val="center"/>
            <w:hideMark/>
          </w:tcPr>
          <w:p w14:paraId="409C99AA"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r w:rsidRPr="00EC326F">
              <w:t>n/a</w:t>
            </w:r>
          </w:p>
        </w:tc>
        <w:tc>
          <w:tcPr>
            <w:tcW w:w="1985" w:type="dxa"/>
            <w:tcBorders>
              <w:top w:val="none" w:sz="0" w:space="0" w:color="auto"/>
              <w:bottom w:val="none" w:sz="0" w:space="0" w:color="auto"/>
            </w:tcBorders>
            <w:vAlign w:val="center"/>
          </w:tcPr>
          <w:p w14:paraId="52BFEAD8"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c>
          <w:tcPr>
            <w:tcW w:w="1847" w:type="dxa"/>
            <w:tcBorders>
              <w:top w:val="none" w:sz="0" w:space="0" w:color="auto"/>
              <w:bottom w:val="none" w:sz="0" w:space="0" w:color="auto"/>
            </w:tcBorders>
          </w:tcPr>
          <w:p w14:paraId="27A14360"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c>
          <w:tcPr>
            <w:tcW w:w="1565" w:type="dxa"/>
            <w:tcBorders>
              <w:top w:val="none" w:sz="0" w:space="0" w:color="auto"/>
              <w:bottom w:val="none" w:sz="0" w:space="0" w:color="auto"/>
              <w:right w:val="none" w:sz="0" w:space="0" w:color="auto"/>
            </w:tcBorders>
            <w:vAlign w:val="center"/>
          </w:tcPr>
          <w:p w14:paraId="70A28AB8" w14:textId="77777777" w:rsidR="00A475C5" w:rsidRPr="00EC326F" w:rsidRDefault="00A475C5" w:rsidP="00A475C5">
            <w:pPr>
              <w:pStyle w:val="TableTextSmall"/>
              <w:cnfStyle w:val="000000100000" w:firstRow="0" w:lastRow="0" w:firstColumn="0" w:lastColumn="0" w:oddVBand="0" w:evenVBand="0" w:oddHBand="1" w:evenHBand="0" w:firstRowFirstColumn="0" w:firstRowLastColumn="0" w:lastRowFirstColumn="0" w:lastRowLastColumn="0"/>
            </w:pPr>
          </w:p>
        </w:tc>
      </w:tr>
    </w:tbl>
    <w:p w14:paraId="640FFFD3" w14:textId="77777777" w:rsidR="00A475C5" w:rsidRPr="00EC326F" w:rsidRDefault="00A475C5" w:rsidP="005A4605">
      <w:pPr>
        <w:pStyle w:val="PwCNormal-keepwithnext"/>
      </w:pPr>
      <w:r w:rsidRPr="00EC326F">
        <w:t>This leads to an overall modelling sequence as follows:</w:t>
      </w:r>
    </w:p>
    <w:p w14:paraId="54D63D95" w14:textId="77777777" w:rsidR="00A475C5" w:rsidRPr="00EC326F" w:rsidRDefault="00A475C5" w:rsidP="00A475C5">
      <w:pPr>
        <w:pStyle w:val="Caption"/>
      </w:pPr>
      <w:bookmarkStart w:id="180" w:name="_Ref466491738"/>
      <w:r w:rsidRPr="00EC326F">
        <w:t xml:space="preserve">Figure </w:t>
      </w:r>
      <w:fldSimple w:instr=" SEQ Figure \* ARABIC ">
        <w:r w:rsidR="007A42DF">
          <w:rPr>
            <w:noProof/>
          </w:rPr>
          <w:t>8</w:t>
        </w:r>
      </w:fldSimple>
      <w:bookmarkEnd w:id="180"/>
      <w:r w:rsidRPr="00EC326F">
        <w:t>: Variable modelling sequence for 2016 valuation</w:t>
      </w:r>
    </w:p>
    <w:p w14:paraId="299EAB2B" w14:textId="2F76EBB9" w:rsidR="005A738B" w:rsidRDefault="005A738B" w:rsidP="00A475C5">
      <w:pPr>
        <w:pStyle w:val="PwCNormal"/>
        <w:numPr>
          <w:ilvl w:val="0"/>
          <w:numId w:val="0"/>
        </w:numPr>
      </w:pPr>
      <w:r w:rsidRPr="005A738B">
        <w:rPr>
          <w:noProof/>
          <w:lang w:eastAsia="en-AU"/>
        </w:rPr>
        <w:drawing>
          <wp:inline distT="0" distB="0" distL="0" distR="0" wp14:anchorId="008FBD43" wp14:editId="45B61285">
            <wp:extent cx="6264275" cy="4254500"/>
            <wp:effectExtent l="0" t="0" r="3175" b="0"/>
            <wp:docPr id="1025" name="Picture 1025" descr="This figure is an infographic diagram which provides an overview of the modelling sequence for the 2016 valuation. It shows the annual projection cycle broken down into the component models and processes that are used to update the population dataset. &#10;&#10;The projection cycle is broken down into six broad stages: &#10;(1) Starting population at the valuation date t (consideration of current characteristics, and data maturity adjustments).&#10;(2) Simulate demographic characters (Ageing, mortality, partner status, children and highest level of education).&#10;(3) Simulate welfare class and class specific variables (welfare class, DSP medical condition for class 5, care recipient variables for classes 4 and 8, employment earnings for classes 1-5, payment type for classes 1 to 3).&#10;(4) Simulate payment category utilisation.&#10;(5) Simulate payment category amounts.&#10;(6) Update the population dataset to year t+1.&#10;&#10;Discussion of the elements shown in the diagram can be found within the report.&#10;" title="Variable modelling sequence for 2016 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64275" cy="4254500"/>
                    </a:xfrm>
                    <a:prstGeom prst="rect">
                      <a:avLst/>
                    </a:prstGeom>
                  </pic:spPr>
                </pic:pic>
              </a:graphicData>
            </a:graphic>
          </wp:inline>
        </w:drawing>
      </w:r>
    </w:p>
    <w:p w14:paraId="3152C152" w14:textId="77777777" w:rsidR="008F6978" w:rsidRPr="00EC326F" w:rsidRDefault="008F6978" w:rsidP="008F6978">
      <w:pPr>
        <w:pStyle w:val="Heading3"/>
      </w:pPr>
      <w:bookmarkStart w:id="181" w:name="_Ref466195980"/>
      <w:bookmarkStart w:id="182" w:name="_Toc493844232"/>
      <w:r w:rsidRPr="00EC326F">
        <w:lastRenderedPageBreak/>
        <w:t>The economic adjustment</w:t>
      </w:r>
      <w:r w:rsidR="00E13EFC">
        <w:t>s</w:t>
      </w:r>
      <w:r w:rsidRPr="00EC326F">
        <w:t xml:space="preserve"> module</w:t>
      </w:r>
      <w:bookmarkEnd w:id="181"/>
      <w:bookmarkEnd w:id="182"/>
    </w:p>
    <w:p w14:paraId="4ECF3B88" w14:textId="77777777" w:rsidR="002C2762" w:rsidRPr="002A0A1A" w:rsidRDefault="002C2762" w:rsidP="001A4479">
      <w:pPr>
        <w:pStyle w:val="PwCNormal"/>
        <w:numPr>
          <w:ilvl w:val="0"/>
          <w:numId w:val="37"/>
        </w:numPr>
        <w:rPr>
          <w:snapToGrid/>
        </w:rPr>
      </w:pPr>
      <w:r w:rsidRPr="00EC326F">
        <w:t>At this valuation, an economic adjustments module has been developed and included within the overall valuation model.</w:t>
      </w:r>
    </w:p>
    <w:p w14:paraId="7F2BBAF3" w14:textId="77777777" w:rsidR="002C2762" w:rsidRPr="00EC326F" w:rsidRDefault="002C2762" w:rsidP="002C2762">
      <w:pPr>
        <w:pStyle w:val="Heading4"/>
      </w:pPr>
      <w:r w:rsidRPr="00EC326F">
        <w:t>Rationale for the economic adjustments module</w:t>
      </w:r>
    </w:p>
    <w:p w14:paraId="4BB007B8" w14:textId="77777777" w:rsidR="002C2762" w:rsidRPr="00EC326F" w:rsidRDefault="002C2762" w:rsidP="001A4479">
      <w:pPr>
        <w:pStyle w:val="PwCNormal"/>
        <w:numPr>
          <w:ilvl w:val="0"/>
          <w:numId w:val="37"/>
        </w:numPr>
      </w:pPr>
      <w:r w:rsidRPr="00EC326F">
        <w:t>For any given policy settings</w:t>
      </w:r>
      <w:r w:rsidR="00C0593F">
        <w:t>,</w:t>
      </w:r>
      <w:r w:rsidRPr="00EC326F">
        <w:t xml:space="preserve"> the utilisation of welfare is affected by a mix of demographic and economic </w:t>
      </w:r>
      <w:r w:rsidR="00C0593F">
        <w:t>factors</w:t>
      </w:r>
      <w:r w:rsidRPr="00EC326F">
        <w:t>. While demographic trends drive many aspects of welfare utilisation in the long run, cyclical fluctuations in the economy may cause it to increase or fall temporarily.</w:t>
      </w:r>
    </w:p>
    <w:p w14:paraId="3B24F908" w14:textId="77777777" w:rsidR="002C2762" w:rsidRPr="00EC326F" w:rsidRDefault="002C2762" w:rsidP="001A4479">
      <w:pPr>
        <w:pStyle w:val="PwCNormal"/>
        <w:numPr>
          <w:ilvl w:val="0"/>
          <w:numId w:val="37"/>
        </w:numPr>
      </w:pPr>
      <w:r w:rsidRPr="00EC326F">
        <w:t xml:space="preserve">This is illustrated in the chart below which shows the relationship between the number of people in the working age payments class and the unemployment rate. The relationship between numbers of people in other classes and macro-economic factors is less apparent. As economic conditions worsen and unemployment, income and asset prices deteriorate, the number of individuals eligible </w:t>
      </w:r>
      <w:r w:rsidR="00C0593F">
        <w:t>to receive</w:t>
      </w:r>
      <w:r w:rsidRPr="00EC326F">
        <w:t xml:space="preserve"> a working age payment rises.</w:t>
      </w:r>
    </w:p>
    <w:p w14:paraId="147283EC" w14:textId="77777777" w:rsidR="002C2762" w:rsidRPr="00EC326F" w:rsidRDefault="002C2762" w:rsidP="002C2762">
      <w:pPr>
        <w:pStyle w:val="Caption"/>
      </w:pPr>
      <w:r w:rsidRPr="00EC326F">
        <w:t xml:space="preserve">Figure </w:t>
      </w:r>
      <w:fldSimple w:instr=" SEQ Figure \* ARABIC ">
        <w:r w:rsidR="007A42DF">
          <w:rPr>
            <w:noProof/>
          </w:rPr>
          <w:t>9</w:t>
        </w:r>
      </w:fldSimple>
      <w:r w:rsidRPr="00EC326F">
        <w:t>: Relationship between unemployment rate and the number of people in the working age payments class</w:t>
      </w:r>
    </w:p>
    <w:p w14:paraId="083BAA50" w14:textId="77777777" w:rsidR="002C2762" w:rsidRPr="00EC326F" w:rsidRDefault="002C2762" w:rsidP="001A4479">
      <w:pPr>
        <w:pStyle w:val="PwCNormal"/>
        <w:numPr>
          <w:ilvl w:val="0"/>
          <w:numId w:val="37"/>
        </w:numPr>
      </w:pPr>
      <w:r w:rsidRPr="00EC326F">
        <w:rPr>
          <w:noProof/>
          <w:lang w:eastAsia="en-AU"/>
        </w:rPr>
        <w:drawing>
          <wp:inline distT="0" distB="0" distL="0" distR="0" wp14:anchorId="78450422" wp14:editId="2427140F">
            <wp:extent cx="4476228" cy="2160000"/>
            <wp:effectExtent l="0" t="0" r="635" b="0"/>
            <wp:docPr id="3078" name="Picture 3078" descr="This figure is a line chart with two vertical axes.  The chart shows the unemployment rate and number of people in the working age payment class for each financial year from 30 June 2002 to 30 June 2015. The horizontal axis shows each of the financial years. The left vertical axis shows the unemployment rate and ranges from 0% to 8%. The right vertical axis shows the number of working age payment recipients and ranges from 0 to 1.6 million. The chart has two lines: one for the unemployment rate and the other for the number of recipients.&#10;&#10;The chart shows that there is a similar pattern in the number of recipients and the unemployment rate. As the unemployment rate generally decreased between 2001-02 and 2007-08, the number of recipients also generally decreased. Similarly, as the unemployment rate generally increased between 2007-08 and 2014-15, the number of recipients generally increased, with both lines following a similar trend.&#10;" title=" Relationship between unemployment rate and the number of people in the working age payments cl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6228" cy="2160000"/>
                    </a:xfrm>
                    <a:prstGeom prst="rect">
                      <a:avLst/>
                    </a:prstGeom>
                    <a:noFill/>
                    <a:ln>
                      <a:noFill/>
                    </a:ln>
                  </pic:spPr>
                </pic:pic>
              </a:graphicData>
            </a:graphic>
          </wp:inline>
        </w:drawing>
      </w:r>
    </w:p>
    <w:p w14:paraId="74016DAA" w14:textId="77777777" w:rsidR="002C2762" w:rsidRPr="00EC326F" w:rsidRDefault="002C2762" w:rsidP="002C2762">
      <w:pPr>
        <w:pStyle w:val="Sources"/>
      </w:pPr>
      <w:r w:rsidRPr="00EC326F">
        <w:t>Source: ABS 6202.0 and PwC analysis of Departmental data</w:t>
      </w:r>
    </w:p>
    <w:p w14:paraId="75D91235" w14:textId="77777777" w:rsidR="002C2762" w:rsidRPr="00EC326F" w:rsidRDefault="002C2762" w:rsidP="002C2762">
      <w:pPr>
        <w:pStyle w:val="PwCNormal-Single"/>
      </w:pPr>
    </w:p>
    <w:p w14:paraId="239C7A69" w14:textId="77777777" w:rsidR="002C2762" w:rsidRPr="00EC326F" w:rsidRDefault="002C2762" w:rsidP="001A4479">
      <w:pPr>
        <w:pStyle w:val="PwCNormal"/>
        <w:numPr>
          <w:ilvl w:val="0"/>
          <w:numId w:val="37"/>
        </w:numPr>
      </w:pPr>
      <w:r w:rsidRPr="00EC326F">
        <w:t>Many of the existing model assumptions are established based on recent experience, in particular the class movement assumptions that reflect how people enter, exit and move through the welfare system. Together these assumptions drive the expectations of future welfare utilisation.</w:t>
      </w:r>
    </w:p>
    <w:p w14:paraId="4510CB10" w14:textId="77777777" w:rsidR="002C2762" w:rsidRPr="00EC326F" w:rsidRDefault="002C2762" w:rsidP="002C2762">
      <w:pPr>
        <w:pStyle w:val="PwCNormal"/>
        <w:numPr>
          <w:ilvl w:val="0"/>
          <w:numId w:val="0"/>
        </w:numPr>
      </w:pPr>
      <w:r w:rsidRPr="00EC326F">
        <w:t xml:space="preserve">Without an economic module, increases or decreases in these movements that have arisen from the economic cycle could over or understate long run expected utilisation and make the model overly responsive to short term fluctuations. </w:t>
      </w:r>
    </w:p>
    <w:p w14:paraId="304AF224" w14:textId="77777777" w:rsidR="002C2762" w:rsidRPr="00EC326F" w:rsidRDefault="002C2762" w:rsidP="001A4479">
      <w:pPr>
        <w:pStyle w:val="PwCNormal"/>
        <w:numPr>
          <w:ilvl w:val="0"/>
          <w:numId w:val="37"/>
        </w:numPr>
      </w:pPr>
      <w:r w:rsidRPr="00EC326F">
        <w:t>The role of the economic adjustments module is to provide a means of distinguishing economic influences on past experience and explicitly adjust</w:t>
      </w:r>
      <w:r w:rsidR="00C0593F">
        <w:t>ing</w:t>
      </w:r>
      <w:r w:rsidRPr="00EC326F">
        <w:t xml:space="preserve"> for the prevailing economic conditions. It is intended to dampen the impact of these cyclical fluctuations on the valuation results so that they are more reflective of economic conditions expected over the long term timeframe covered by the model.</w:t>
      </w:r>
    </w:p>
    <w:p w14:paraId="463813F0" w14:textId="77777777" w:rsidR="002C2762" w:rsidRPr="00EC326F" w:rsidRDefault="002C2762" w:rsidP="001A4479">
      <w:pPr>
        <w:pStyle w:val="PwCNormal"/>
        <w:numPr>
          <w:ilvl w:val="0"/>
          <w:numId w:val="37"/>
        </w:numPr>
      </w:pPr>
      <w:r w:rsidRPr="00EC326F">
        <w:t>This module has been used to understand the extent to which the macro-economic environment influences welfare utilisation and the extent to which the size and mix of current welfare recipients has been influenced by the econom</w:t>
      </w:r>
      <w:r w:rsidR="00C0593F">
        <w:t>ic factors</w:t>
      </w:r>
      <w:r w:rsidRPr="00EC326F">
        <w:t>.</w:t>
      </w:r>
    </w:p>
    <w:p w14:paraId="7061B540" w14:textId="77777777" w:rsidR="002C2762" w:rsidRPr="00EC326F" w:rsidRDefault="002C2762" w:rsidP="001A4479">
      <w:pPr>
        <w:pStyle w:val="PwCNormal"/>
        <w:numPr>
          <w:ilvl w:val="0"/>
          <w:numId w:val="37"/>
        </w:numPr>
      </w:pPr>
      <w:r w:rsidRPr="00EC326F">
        <w:t xml:space="preserve">For the baseline valuation, no economic adjustments were made to the assumed rates of welfare utilisation, which were based on recent economic conditions. This reflected the limited timeframe available for the baseline valuation and the unemployment rate being close to the expected long run position. </w:t>
      </w:r>
    </w:p>
    <w:p w14:paraId="6F735AFF" w14:textId="77777777" w:rsidR="002C2762" w:rsidRPr="00EC326F" w:rsidRDefault="002C2762" w:rsidP="001A4479">
      <w:pPr>
        <w:pStyle w:val="PwCNormal"/>
        <w:numPr>
          <w:ilvl w:val="0"/>
          <w:numId w:val="37"/>
        </w:numPr>
      </w:pPr>
      <w:r w:rsidRPr="00EC326F">
        <w:t>At this valuation, the valuation results reflect the expected pathways, welfare utilisation and lifetime costs under an explicit economic scenario. This replaces the implicit scenario of a continuation of recent experience used for the baseline valuation.</w:t>
      </w:r>
    </w:p>
    <w:p w14:paraId="3776E77E" w14:textId="77777777" w:rsidR="002C2762" w:rsidRPr="00EC326F" w:rsidRDefault="002C2762" w:rsidP="002C2762">
      <w:pPr>
        <w:pStyle w:val="Heading4"/>
      </w:pPr>
      <w:r w:rsidRPr="00EC326F">
        <w:lastRenderedPageBreak/>
        <w:t>Macro-economic indicators</w:t>
      </w:r>
    </w:p>
    <w:p w14:paraId="679B942E" w14:textId="77777777" w:rsidR="002C2762" w:rsidRPr="00EC326F" w:rsidRDefault="002C2762" w:rsidP="002C2762">
      <w:pPr>
        <w:pStyle w:val="PwCNormal"/>
        <w:numPr>
          <w:ilvl w:val="0"/>
          <w:numId w:val="0"/>
        </w:numPr>
      </w:pPr>
      <w:r w:rsidRPr="00EC326F">
        <w:t xml:space="preserve">A wide range of economic indicators were considered in the development of the economic adjustments module, including the unemployment rate, participation rates, Average Earnings (from) National Accounts (AENA) and household assets. </w:t>
      </w:r>
    </w:p>
    <w:p w14:paraId="56908685" w14:textId="77777777" w:rsidR="002C2762" w:rsidRPr="00EC326F" w:rsidRDefault="002C2762" w:rsidP="002C2762">
      <w:pPr>
        <w:pStyle w:val="PwCNormal"/>
        <w:numPr>
          <w:ilvl w:val="0"/>
          <w:numId w:val="0"/>
        </w:numPr>
      </w:pPr>
      <w:r w:rsidRPr="00EC326F">
        <w:t xml:space="preserve">For each of these candidate indicators we explored the strength of the past relationships with the welfare utilisation experience and considered which of the indicators were best able to act as an indicator of the overall macro-economic environment. The criteria considered included: </w:t>
      </w:r>
    </w:p>
    <w:p w14:paraId="0185860B" w14:textId="77777777" w:rsidR="00C0593F" w:rsidRPr="00C0593F" w:rsidRDefault="00C0593F" w:rsidP="00C0593F">
      <w:pPr>
        <w:pStyle w:val="ListBullet"/>
      </w:pPr>
      <w:r w:rsidRPr="00C0593F">
        <w:t>Relevance, considering research as to the linkage between the definition of the indicator and economic performance in the domestic economy;</w:t>
      </w:r>
    </w:p>
    <w:p w14:paraId="7A7412C8" w14:textId="77777777" w:rsidR="00C0593F" w:rsidRPr="00C0593F" w:rsidRDefault="00C0593F" w:rsidP="00C0593F">
      <w:pPr>
        <w:pStyle w:val="ListBullet"/>
      </w:pPr>
      <w:r w:rsidRPr="00C0593F">
        <w:t>Availability of historical data, forecasts and projections; and</w:t>
      </w:r>
    </w:p>
    <w:p w14:paraId="52018B1A" w14:textId="77777777" w:rsidR="00C0593F" w:rsidRPr="00C0593F" w:rsidRDefault="00C0593F" w:rsidP="00C0593F">
      <w:pPr>
        <w:pStyle w:val="ListBullet"/>
      </w:pPr>
      <w:r w:rsidRPr="00C0593F">
        <w:t xml:space="preserve">The strength of the historical evidence of the relationship between the indicator and welfare utilisation. </w:t>
      </w:r>
    </w:p>
    <w:p w14:paraId="204240FC" w14:textId="77777777" w:rsidR="002C2762" w:rsidRPr="00EC326F" w:rsidRDefault="002C2762" w:rsidP="002C2762">
      <w:pPr>
        <w:pStyle w:val="PwCNormal"/>
        <w:numPr>
          <w:ilvl w:val="0"/>
          <w:numId w:val="0"/>
        </w:numPr>
      </w:pPr>
      <w:r w:rsidRPr="00EC326F">
        <w:t xml:space="preserve">Following this analysis and discussions with IDC members, the unemployment rate was selected as the </w:t>
      </w:r>
      <w:r w:rsidR="00C0593F">
        <w:t>best</w:t>
      </w:r>
      <w:r w:rsidRPr="00EC326F">
        <w:t xml:space="preserve"> economic indicator </w:t>
      </w:r>
      <w:r w:rsidR="00C0593F">
        <w:t xml:space="preserve">to be </w:t>
      </w:r>
      <w:r w:rsidRPr="00EC326F">
        <w:t xml:space="preserve">used within the economic adjustments module. </w:t>
      </w:r>
    </w:p>
    <w:p w14:paraId="28C3C38A" w14:textId="77777777" w:rsidR="002C2762" w:rsidRPr="00EC326F" w:rsidRDefault="002C2762" w:rsidP="002C2762">
      <w:pPr>
        <w:pStyle w:val="Minorheading"/>
      </w:pPr>
      <w:r w:rsidRPr="00EC326F">
        <w:t>Unemployment rate history and outlook</w:t>
      </w:r>
    </w:p>
    <w:p w14:paraId="79313D40" w14:textId="77777777" w:rsidR="002C2762" w:rsidRPr="00EC326F" w:rsidRDefault="00C0593F" w:rsidP="002C2762">
      <w:pPr>
        <w:pStyle w:val="PwCNormal"/>
        <w:numPr>
          <w:ilvl w:val="0"/>
          <w:numId w:val="0"/>
        </w:numPr>
      </w:pPr>
      <w:r>
        <w:t>Historical i</w:t>
      </w:r>
      <w:r w:rsidR="002C2762" w:rsidRPr="00EC326F">
        <w:t>nformation on the actual unemployment rate to 30 June 2016 has been developed based on ABS statistics. Information o</w:t>
      </w:r>
      <w:r w:rsidR="000012FE">
        <w:t>n</w:t>
      </w:r>
      <w:r w:rsidR="002C2762" w:rsidRPr="00EC326F">
        <w:t xml:space="preserve"> the future outlook for the unemployment rate has been based on the most recent published Treasury outlook, as shown in the table below.</w:t>
      </w:r>
    </w:p>
    <w:p w14:paraId="7107C253" w14:textId="14453DD2" w:rsidR="002718BB" w:rsidRPr="00EC326F" w:rsidRDefault="0092720E" w:rsidP="002C2762">
      <w:pPr>
        <w:pStyle w:val="PwCNormal"/>
        <w:numPr>
          <w:ilvl w:val="0"/>
          <w:numId w:val="0"/>
        </w:numPr>
      </w:pPr>
      <w:r w:rsidRPr="0092720E">
        <w:t>The approach for determining the unemployment rate outlook and long run unemployment assumption was considered by the IDC during the course of the 2016 valuation work. The selected assumptions were adopted after consultation with the Department and the IDC.</w:t>
      </w:r>
    </w:p>
    <w:p w14:paraId="51B6D094" w14:textId="77777777" w:rsidR="002C2762" w:rsidRPr="00EC326F" w:rsidRDefault="002C2762" w:rsidP="002C2762">
      <w:pPr>
        <w:pStyle w:val="Caption"/>
      </w:pPr>
      <w:r w:rsidRPr="00EC326F">
        <w:t xml:space="preserve">Table </w:t>
      </w:r>
      <w:fldSimple w:instr=" SEQ Table \* ARABIC ">
        <w:r w:rsidR="007A42DF">
          <w:rPr>
            <w:noProof/>
          </w:rPr>
          <w:t>11</w:t>
        </w:r>
      </w:fldSimple>
      <w:r w:rsidRPr="00EC326F">
        <w:t>: Unemployment rate assumptions underpinning the economic adjustments module</w:t>
      </w:r>
    </w:p>
    <w:tbl>
      <w:tblPr>
        <w:tblStyle w:val="LightList-Accent6"/>
        <w:tblW w:w="9630" w:type="dxa"/>
        <w:tblInd w:w="108" w:type="dxa"/>
        <w:tblLayout w:type="fixed"/>
        <w:tblLook w:val="04A0" w:firstRow="1" w:lastRow="0" w:firstColumn="1" w:lastColumn="0" w:noHBand="0" w:noVBand="1"/>
        <w:tblCaption w:val=" Unemployment rate assumptions underpinning the economic adjustments module"/>
        <w:tblDescription w:val="This table displays the unemployment rate assumptions underpinning the economic adjustments module. &#10;&#10;For 2014/15 the rate was 6.1%. The forecasted rates for 2015-16, 2016-17, 2017-18 are 5.75%, 5.5% and 5.5% respectively. The projections are 5.5% for 2018-19, 5.5% for 2019-20 and 5.0% in the long run.&#10;"/>
      </w:tblPr>
      <w:tblGrid>
        <w:gridCol w:w="1842"/>
        <w:gridCol w:w="1134"/>
        <w:gridCol w:w="1109"/>
        <w:gridCol w:w="1109"/>
        <w:gridCol w:w="1109"/>
        <w:gridCol w:w="1109"/>
        <w:gridCol w:w="1109"/>
        <w:gridCol w:w="1109"/>
      </w:tblGrid>
      <w:tr w:rsidR="00CF4091" w:rsidRPr="00EC326F" w14:paraId="566E6274" w14:textId="77777777" w:rsidTr="009D6F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2" w:type="dxa"/>
            <w:tcBorders>
              <w:top w:val="single" w:sz="8" w:space="0" w:color="E0301E" w:themeColor="accent6"/>
              <w:left w:val="nil"/>
              <w:bottom w:val="single" w:sz="8" w:space="0" w:color="E0301E" w:themeColor="accent6"/>
              <w:right w:val="single" w:sz="4" w:space="0" w:color="E0301E" w:themeColor="accent6"/>
            </w:tcBorders>
            <w:shd w:val="clear" w:color="auto" w:fill="FF0000"/>
            <w:hideMark/>
          </w:tcPr>
          <w:p w14:paraId="6D6CA34A" w14:textId="77777777" w:rsidR="00CF4091" w:rsidRPr="00EC326F" w:rsidRDefault="00CF4091"/>
        </w:tc>
        <w:tc>
          <w:tcPr>
            <w:tcW w:w="1134" w:type="dxa"/>
            <w:tcBorders>
              <w:top w:val="single" w:sz="8" w:space="0" w:color="E0301E" w:themeColor="accent6"/>
              <w:left w:val="single" w:sz="4" w:space="0" w:color="E0301E" w:themeColor="accent6"/>
              <w:bottom w:val="single" w:sz="8" w:space="0" w:color="E0301E" w:themeColor="accent6"/>
              <w:right w:val="single" w:sz="4" w:space="0" w:color="E0301E" w:themeColor="accent6"/>
            </w:tcBorders>
            <w:shd w:val="clear" w:color="auto" w:fill="FF0000"/>
            <w:hideMark/>
          </w:tcPr>
          <w:p w14:paraId="7BC152CD" w14:textId="77777777" w:rsidR="00CF4091" w:rsidRPr="00EC326F" w:rsidRDefault="00CF4091">
            <w:pPr>
              <w:pStyle w:val="TableColumnHeadingSmall"/>
              <w:jc w:val="center"/>
              <w:cnfStyle w:val="100000000000" w:firstRow="1" w:lastRow="0" w:firstColumn="0" w:lastColumn="0" w:oddVBand="0" w:evenVBand="0" w:oddHBand="0" w:evenHBand="0" w:firstRowFirstColumn="0" w:firstRowLastColumn="0" w:lastRowFirstColumn="0" w:lastRowLastColumn="0"/>
              <w:rPr>
                <w:b/>
                <w:bCs w:val="0"/>
              </w:rPr>
            </w:pPr>
            <w:r w:rsidRPr="00EC326F">
              <w:rPr>
                <w:b/>
              </w:rPr>
              <w:t>Outcomes</w:t>
            </w:r>
          </w:p>
        </w:tc>
        <w:tc>
          <w:tcPr>
            <w:tcW w:w="1109" w:type="dxa"/>
            <w:tcBorders>
              <w:top w:val="single" w:sz="8" w:space="0" w:color="E0301E" w:themeColor="accent6"/>
              <w:left w:val="single" w:sz="4" w:space="0" w:color="E0301E" w:themeColor="accent6"/>
              <w:bottom w:val="single" w:sz="8" w:space="0" w:color="E0301E" w:themeColor="accent6"/>
              <w:right w:val="nil"/>
            </w:tcBorders>
            <w:shd w:val="clear" w:color="auto" w:fill="FF0000"/>
            <w:hideMark/>
          </w:tcPr>
          <w:p w14:paraId="2147E45B" w14:textId="5F0B1828" w:rsidR="00CF4091" w:rsidRPr="00EC326F" w:rsidRDefault="00CF4091">
            <w:pPr>
              <w:pStyle w:val="TableColumnHeadingSmall"/>
              <w:jc w:val="center"/>
              <w:cnfStyle w:val="100000000000" w:firstRow="1" w:lastRow="0" w:firstColumn="0" w:lastColumn="0" w:oddVBand="0" w:evenVBand="0" w:oddHBand="0" w:evenHBand="0" w:firstRowFirstColumn="0" w:firstRowLastColumn="0" w:lastRowFirstColumn="0" w:lastRowLastColumn="0"/>
            </w:pPr>
          </w:p>
        </w:tc>
        <w:tc>
          <w:tcPr>
            <w:tcW w:w="1109" w:type="dxa"/>
            <w:tcBorders>
              <w:top w:val="single" w:sz="8" w:space="0" w:color="E0301E" w:themeColor="accent6"/>
              <w:left w:val="nil"/>
              <w:bottom w:val="single" w:sz="8" w:space="0" w:color="E0301E" w:themeColor="accent6"/>
              <w:right w:val="nil"/>
            </w:tcBorders>
            <w:shd w:val="clear" w:color="auto" w:fill="FF0000"/>
          </w:tcPr>
          <w:p w14:paraId="5E104B47" w14:textId="1A3E27F4" w:rsidR="00CF4091" w:rsidRPr="00EC326F" w:rsidRDefault="00CF4091">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rPr>
                <w:b/>
              </w:rPr>
              <w:t>Forecasts</w:t>
            </w:r>
          </w:p>
        </w:tc>
        <w:tc>
          <w:tcPr>
            <w:tcW w:w="1109" w:type="dxa"/>
            <w:tcBorders>
              <w:top w:val="single" w:sz="8" w:space="0" w:color="E0301E" w:themeColor="accent6"/>
              <w:left w:val="nil"/>
              <w:bottom w:val="single" w:sz="8" w:space="0" w:color="E0301E" w:themeColor="accent6"/>
              <w:right w:val="single" w:sz="4" w:space="0" w:color="E0301E" w:themeColor="accent6"/>
            </w:tcBorders>
            <w:shd w:val="clear" w:color="auto" w:fill="FF0000"/>
          </w:tcPr>
          <w:p w14:paraId="42928BAB" w14:textId="242B0412" w:rsidR="00CF4091" w:rsidRPr="00EC326F" w:rsidRDefault="00CF4091">
            <w:pPr>
              <w:pStyle w:val="TableColumnHeadingSmall"/>
              <w:jc w:val="center"/>
              <w:cnfStyle w:val="100000000000" w:firstRow="1" w:lastRow="0" w:firstColumn="0" w:lastColumn="0" w:oddVBand="0" w:evenVBand="0" w:oddHBand="0" w:evenHBand="0" w:firstRowFirstColumn="0" w:firstRowLastColumn="0" w:lastRowFirstColumn="0" w:lastRowLastColumn="0"/>
              <w:rPr>
                <w:b/>
                <w:bCs w:val="0"/>
              </w:rPr>
            </w:pPr>
          </w:p>
        </w:tc>
        <w:tc>
          <w:tcPr>
            <w:tcW w:w="1109" w:type="dxa"/>
            <w:tcBorders>
              <w:top w:val="single" w:sz="8" w:space="0" w:color="E0301E" w:themeColor="accent6"/>
              <w:left w:val="single" w:sz="4" w:space="0" w:color="E0301E" w:themeColor="accent6"/>
              <w:bottom w:val="single" w:sz="8" w:space="0" w:color="E0301E" w:themeColor="accent6"/>
              <w:right w:val="nil"/>
            </w:tcBorders>
            <w:shd w:val="clear" w:color="auto" w:fill="FF0000"/>
            <w:hideMark/>
          </w:tcPr>
          <w:p w14:paraId="77CBA3CB" w14:textId="47AAB216" w:rsidR="00CF4091" w:rsidRPr="00EC326F" w:rsidRDefault="00CF4091">
            <w:pPr>
              <w:pStyle w:val="TableColumnHeadingSmall"/>
              <w:jc w:val="center"/>
              <w:cnfStyle w:val="100000000000" w:firstRow="1" w:lastRow="0" w:firstColumn="0" w:lastColumn="0" w:oddVBand="0" w:evenVBand="0" w:oddHBand="0" w:evenHBand="0" w:firstRowFirstColumn="0" w:firstRowLastColumn="0" w:lastRowFirstColumn="0" w:lastRowLastColumn="0"/>
              <w:rPr>
                <w:bCs w:val="0"/>
              </w:rPr>
            </w:pPr>
          </w:p>
        </w:tc>
        <w:tc>
          <w:tcPr>
            <w:tcW w:w="1109" w:type="dxa"/>
            <w:tcBorders>
              <w:top w:val="single" w:sz="8" w:space="0" w:color="E0301E" w:themeColor="accent6"/>
              <w:left w:val="nil"/>
              <w:bottom w:val="single" w:sz="8" w:space="0" w:color="E0301E" w:themeColor="accent6"/>
              <w:right w:val="nil"/>
            </w:tcBorders>
            <w:shd w:val="clear" w:color="auto" w:fill="FF0000"/>
          </w:tcPr>
          <w:p w14:paraId="5A57AB6A" w14:textId="3154EC99" w:rsidR="00CF4091" w:rsidRPr="00EC326F" w:rsidRDefault="00CF4091">
            <w:pPr>
              <w:pStyle w:val="TableColumnHeadingSmall"/>
              <w:jc w:val="center"/>
              <w:cnfStyle w:val="100000000000" w:firstRow="1" w:lastRow="0" w:firstColumn="0" w:lastColumn="0" w:oddVBand="0" w:evenVBand="0" w:oddHBand="0" w:evenHBand="0" w:firstRowFirstColumn="0" w:firstRowLastColumn="0" w:lastRowFirstColumn="0" w:lastRowLastColumn="0"/>
              <w:rPr>
                <w:bCs w:val="0"/>
              </w:rPr>
            </w:pPr>
            <w:r w:rsidRPr="00EC326F">
              <w:rPr>
                <w:b/>
              </w:rPr>
              <w:t>Projections</w:t>
            </w:r>
          </w:p>
        </w:tc>
        <w:tc>
          <w:tcPr>
            <w:tcW w:w="1109" w:type="dxa"/>
            <w:tcBorders>
              <w:top w:val="single" w:sz="8" w:space="0" w:color="E0301E" w:themeColor="accent6"/>
              <w:left w:val="nil"/>
              <w:bottom w:val="single" w:sz="8" w:space="0" w:color="E0301E" w:themeColor="accent6"/>
              <w:right w:val="single" w:sz="4" w:space="0" w:color="EB8C00" w:themeColor="accent1"/>
            </w:tcBorders>
            <w:shd w:val="clear" w:color="auto" w:fill="FF0000"/>
          </w:tcPr>
          <w:p w14:paraId="0B04E914" w14:textId="64A3B7B6" w:rsidR="00CF4091" w:rsidRPr="00EC326F" w:rsidRDefault="00CF4091">
            <w:pPr>
              <w:pStyle w:val="TableColumnHeadingSmall"/>
              <w:jc w:val="center"/>
              <w:cnfStyle w:val="100000000000" w:firstRow="1" w:lastRow="0" w:firstColumn="0" w:lastColumn="0" w:oddVBand="0" w:evenVBand="0" w:oddHBand="0" w:evenHBand="0" w:firstRowFirstColumn="0" w:firstRowLastColumn="0" w:lastRowFirstColumn="0" w:lastRowLastColumn="0"/>
              <w:rPr>
                <w:b/>
              </w:rPr>
            </w:pPr>
          </w:p>
        </w:tc>
      </w:tr>
      <w:tr w:rsidR="002C2762" w:rsidRPr="00EC326F" w14:paraId="1E8DD77D" w14:textId="77777777" w:rsidTr="009D6F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2" w:type="dxa"/>
            <w:tcBorders>
              <w:left w:val="nil"/>
              <w:right w:val="single" w:sz="4" w:space="0" w:color="E0301E" w:themeColor="accent6"/>
            </w:tcBorders>
            <w:shd w:val="clear" w:color="auto" w:fill="FF0000"/>
          </w:tcPr>
          <w:p w14:paraId="63C3F333" w14:textId="77777777" w:rsidR="002C2762" w:rsidRPr="00EC326F" w:rsidRDefault="002C2762">
            <w:pPr>
              <w:pStyle w:val="TableTextSmall"/>
              <w:rPr>
                <w:b w:val="0"/>
                <w:color w:val="FFFFFF" w:themeColor="background1"/>
              </w:rPr>
            </w:pPr>
          </w:p>
        </w:tc>
        <w:tc>
          <w:tcPr>
            <w:tcW w:w="1134" w:type="dxa"/>
            <w:tcBorders>
              <w:left w:val="single" w:sz="4" w:space="0" w:color="E0301E" w:themeColor="accent6"/>
              <w:right w:val="single" w:sz="4" w:space="0" w:color="E0301E" w:themeColor="accent6"/>
            </w:tcBorders>
            <w:shd w:val="clear" w:color="auto" w:fill="FF0000"/>
            <w:vAlign w:val="center"/>
            <w:hideMark/>
          </w:tcPr>
          <w:p w14:paraId="6F55DD6A" w14:textId="77777777" w:rsidR="002C2762" w:rsidRPr="00EC326F" w:rsidRDefault="002C2762">
            <w:pPr>
              <w:pStyle w:val="TableTextSmall"/>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C326F">
              <w:rPr>
                <w:color w:val="FFFFFF" w:themeColor="background1"/>
              </w:rPr>
              <w:t>2014-15</w:t>
            </w:r>
          </w:p>
        </w:tc>
        <w:tc>
          <w:tcPr>
            <w:tcW w:w="1109" w:type="dxa"/>
            <w:tcBorders>
              <w:left w:val="single" w:sz="4" w:space="0" w:color="E0301E" w:themeColor="accent6"/>
              <w:right w:val="single" w:sz="4" w:space="0" w:color="E0301E" w:themeColor="accent6"/>
            </w:tcBorders>
            <w:shd w:val="clear" w:color="auto" w:fill="FF0000"/>
            <w:hideMark/>
          </w:tcPr>
          <w:p w14:paraId="4C1C2F4E" w14:textId="77777777" w:rsidR="002C2762" w:rsidRPr="00EC326F" w:rsidRDefault="002C2762">
            <w:pPr>
              <w:pStyle w:val="TableTextSmall"/>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C326F">
              <w:rPr>
                <w:color w:val="FFFFFF" w:themeColor="background1"/>
              </w:rPr>
              <w:t>2015-16</w:t>
            </w:r>
          </w:p>
        </w:tc>
        <w:tc>
          <w:tcPr>
            <w:tcW w:w="1109" w:type="dxa"/>
            <w:tcBorders>
              <w:left w:val="single" w:sz="4" w:space="0" w:color="E0301E" w:themeColor="accent6"/>
              <w:right w:val="single" w:sz="4" w:space="0" w:color="E0301E" w:themeColor="accent6"/>
            </w:tcBorders>
            <w:shd w:val="clear" w:color="auto" w:fill="FF0000"/>
            <w:vAlign w:val="center"/>
            <w:hideMark/>
          </w:tcPr>
          <w:p w14:paraId="704FB0A7" w14:textId="77777777" w:rsidR="002C2762" w:rsidRPr="00EC326F" w:rsidRDefault="002C2762">
            <w:pPr>
              <w:pStyle w:val="TableTextSmall"/>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C326F">
              <w:rPr>
                <w:color w:val="FFFFFF" w:themeColor="background1"/>
              </w:rPr>
              <w:t>2016-17</w:t>
            </w:r>
          </w:p>
        </w:tc>
        <w:tc>
          <w:tcPr>
            <w:tcW w:w="1109" w:type="dxa"/>
            <w:tcBorders>
              <w:left w:val="single" w:sz="4" w:space="0" w:color="E0301E" w:themeColor="accent6"/>
              <w:right w:val="single" w:sz="4" w:space="0" w:color="E0301E" w:themeColor="accent6"/>
            </w:tcBorders>
            <w:shd w:val="clear" w:color="auto" w:fill="FF0000"/>
            <w:vAlign w:val="center"/>
            <w:hideMark/>
          </w:tcPr>
          <w:p w14:paraId="3C38F765" w14:textId="77777777" w:rsidR="002C2762" w:rsidRPr="00EC326F" w:rsidRDefault="002C2762">
            <w:pPr>
              <w:pStyle w:val="TableTextSmall"/>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C326F">
              <w:rPr>
                <w:color w:val="FFFFFF" w:themeColor="background1"/>
              </w:rPr>
              <w:t>2017-18</w:t>
            </w:r>
          </w:p>
        </w:tc>
        <w:tc>
          <w:tcPr>
            <w:tcW w:w="1109" w:type="dxa"/>
            <w:tcBorders>
              <w:left w:val="single" w:sz="4" w:space="0" w:color="E0301E" w:themeColor="accent6"/>
              <w:right w:val="single" w:sz="4" w:space="0" w:color="E0301E" w:themeColor="accent6"/>
            </w:tcBorders>
            <w:shd w:val="clear" w:color="auto" w:fill="FF0000"/>
            <w:vAlign w:val="center"/>
            <w:hideMark/>
          </w:tcPr>
          <w:p w14:paraId="7077B9ED" w14:textId="77777777" w:rsidR="002C2762" w:rsidRPr="00EC326F" w:rsidRDefault="002C2762">
            <w:pPr>
              <w:pStyle w:val="TableTextSmall"/>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C326F">
              <w:rPr>
                <w:color w:val="FFFFFF" w:themeColor="background1"/>
              </w:rPr>
              <w:t>2018-19</w:t>
            </w:r>
          </w:p>
        </w:tc>
        <w:tc>
          <w:tcPr>
            <w:tcW w:w="1109" w:type="dxa"/>
            <w:tcBorders>
              <w:left w:val="single" w:sz="4" w:space="0" w:color="E0301E" w:themeColor="accent6"/>
              <w:right w:val="single" w:sz="4" w:space="0" w:color="E0301E" w:themeColor="accent6"/>
            </w:tcBorders>
            <w:shd w:val="clear" w:color="auto" w:fill="FF0000"/>
            <w:vAlign w:val="center"/>
            <w:hideMark/>
          </w:tcPr>
          <w:p w14:paraId="3C24A9F1" w14:textId="77777777" w:rsidR="002C2762" w:rsidRPr="00EC326F" w:rsidRDefault="002C2762">
            <w:pPr>
              <w:pStyle w:val="TableTextSmall"/>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C326F">
              <w:rPr>
                <w:color w:val="FFFFFF" w:themeColor="background1"/>
              </w:rPr>
              <w:t>2019-20</w:t>
            </w:r>
          </w:p>
        </w:tc>
        <w:tc>
          <w:tcPr>
            <w:tcW w:w="1109" w:type="dxa"/>
            <w:tcBorders>
              <w:left w:val="single" w:sz="4" w:space="0" w:color="E0301E" w:themeColor="accent6"/>
              <w:right w:val="nil"/>
            </w:tcBorders>
            <w:shd w:val="clear" w:color="auto" w:fill="FF0000"/>
            <w:vAlign w:val="center"/>
            <w:hideMark/>
          </w:tcPr>
          <w:p w14:paraId="65984B4E" w14:textId="77777777" w:rsidR="002C2762" w:rsidRPr="00EC326F" w:rsidRDefault="002C2762">
            <w:pPr>
              <w:pStyle w:val="TableTextSmall"/>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C326F">
              <w:rPr>
                <w:color w:val="FFFFFF" w:themeColor="background1"/>
              </w:rPr>
              <w:t>Long run</w:t>
            </w:r>
          </w:p>
        </w:tc>
      </w:tr>
      <w:tr w:rsidR="002C2762" w:rsidRPr="00EC326F" w14:paraId="1578D674" w14:textId="77777777" w:rsidTr="00CF40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2" w:type="dxa"/>
            <w:tcBorders>
              <w:left w:val="nil"/>
              <w:right w:val="single" w:sz="4" w:space="0" w:color="E0301E" w:themeColor="accent6"/>
            </w:tcBorders>
            <w:vAlign w:val="center"/>
            <w:hideMark/>
          </w:tcPr>
          <w:p w14:paraId="42909C52" w14:textId="77777777" w:rsidR="002C2762" w:rsidRPr="00EC326F" w:rsidRDefault="002C2762">
            <w:pPr>
              <w:pStyle w:val="TableTextSmall"/>
              <w:jc w:val="center"/>
            </w:pPr>
            <w:r w:rsidRPr="00EC326F">
              <w:t>Unemployment rate</w:t>
            </w:r>
          </w:p>
        </w:tc>
        <w:tc>
          <w:tcPr>
            <w:tcW w:w="1134" w:type="dxa"/>
            <w:tcBorders>
              <w:left w:val="single" w:sz="4" w:space="0" w:color="E0301E" w:themeColor="accent6"/>
              <w:right w:val="single" w:sz="4" w:space="0" w:color="E0301E" w:themeColor="accent6"/>
            </w:tcBorders>
            <w:vAlign w:val="center"/>
            <w:hideMark/>
          </w:tcPr>
          <w:p w14:paraId="40C9BB53" w14:textId="0EE17D96" w:rsidR="002C2762" w:rsidRPr="00EC326F" w:rsidRDefault="002C276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6.1</w:t>
            </w:r>
            <w:r w:rsidR="00EE0666">
              <w:t>0</w:t>
            </w:r>
            <w:r w:rsidRPr="00EC326F">
              <w:t>%</w:t>
            </w:r>
          </w:p>
        </w:tc>
        <w:tc>
          <w:tcPr>
            <w:tcW w:w="1109" w:type="dxa"/>
            <w:tcBorders>
              <w:left w:val="single" w:sz="4" w:space="0" w:color="E0301E" w:themeColor="accent6"/>
              <w:right w:val="single" w:sz="4" w:space="0" w:color="E0301E" w:themeColor="accent6"/>
            </w:tcBorders>
            <w:vAlign w:val="center"/>
            <w:hideMark/>
          </w:tcPr>
          <w:p w14:paraId="16242836" w14:textId="77777777" w:rsidR="002C2762" w:rsidRPr="00EC326F" w:rsidRDefault="002C276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5.75%</w:t>
            </w:r>
          </w:p>
        </w:tc>
        <w:tc>
          <w:tcPr>
            <w:tcW w:w="1109" w:type="dxa"/>
            <w:tcBorders>
              <w:left w:val="single" w:sz="4" w:space="0" w:color="E0301E" w:themeColor="accent6"/>
              <w:right w:val="single" w:sz="4" w:space="0" w:color="E0301E" w:themeColor="accent6"/>
            </w:tcBorders>
            <w:vAlign w:val="center"/>
            <w:hideMark/>
          </w:tcPr>
          <w:p w14:paraId="042756EB" w14:textId="7B9BAB0C" w:rsidR="002C2762" w:rsidRPr="00EC326F" w:rsidRDefault="002C276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5.5</w:t>
            </w:r>
            <w:r w:rsidR="00EE0666">
              <w:t>0</w:t>
            </w:r>
            <w:r w:rsidRPr="00EC326F">
              <w:t>%</w:t>
            </w:r>
          </w:p>
        </w:tc>
        <w:tc>
          <w:tcPr>
            <w:tcW w:w="1109" w:type="dxa"/>
            <w:tcBorders>
              <w:left w:val="single" w:sz="4" w:space="0" w:color="E0301E" w:themeColor="accent6"/>
              <w:right w:val="single" w:sz="4" w:space="0" w:color="E0301E" w:themeColor="accent6"/>
            </w:tcBorders>
            <w:vAlign w:val="center"/>
            <w:hideMark/>
          </w:tcPr>
          <w:p w14:paraId="743E2ACB" w14:textId="1DFDD71C" w:rsidR="002C2762" w:rsidRPr="00EC326F" w:rsidRDefault="002C276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5.5</w:t>
            </w:r>
            <w:r w:rsidR="00EE0666">
              <w:t>0</w:t>
            </w:r>
            <w:r w:rsidRPr="00EC326F">
              <w:t>%</w:t>
            </w:r>
          </w:p>
        </w:tc>
        <w:tc>
          <w:tcPr>
            <w:tcW w:w="1109" w:type="dxa"/>
            <w:tcBorders>
              <w:left w:val="single" w:sz="4" w:space="0" w:color="E0301E" w:themeColor="accent6"/>
              <w:right w:val="single" w:sz="4" w:space="0" w:color="E0301E" w:themeColor="accent6"/>
            </w:tcBorders>
            <w:vAlign w:val="center"/>
            <w:hideMark/>
          </w:tcPr>
          <w:p w14:paraId="0FFC9B25" w14:textId="2E320871" w:rsidR="002C2762" w:rsidRPr="00EC326F" w:rsidRDefault="002C276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5.5</w:t>
            </w:r>
            <w:r w:rsidR="00EE0666">
              <w:t>0</w:t>
            </w:r>
            <w:r w:rsidRPr="00EC326F">
              <w:t>%</w:t>
            </w:r>
          </w:p>
        </w:tc>
        <w:tc>
          <w:tcPr>
            <w:tcW w:w="1109" w:type="dxa"/>
            <w:tcBorders>
              <w:left w:val="single" w:sz="4" w:space="0" w:color="E0301E" w:themeColor="accent6"/>
              <w:right w:val="single" w:sz="4" w:space="0" w:color="E0301E" w:themeColor="accent6"/>
            </w:tcBorders>
            <w:vAlign w:val="center"/>
            <w:hideMark/>
          </w:tcPr>
          <w:p w14:paraId="68D89568" w14:textId="507AA487" w:rsidR="002C2762" w:rsidRPr="00EC326F" w:rsidRDefault="002C276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5.5</w:t>
            </w:r>
            <w:r w:rsidR="00EE0666">
              <w:t>0</w:t>
            </w:r>
            <w:r w:rsidRPr="00EC326F">
              <w:t>%</w:t>
            </w:r>
          </w:p>
        </w:tc>
        <w:tc>
          <w:tcPr>
            <w:tcW w:w="1109" w:type="dxa"/>
            <w:tcBorders>
              <w:left w:val="single" w:sz="4" w:space="0" w:color="E0301E" w:themeColor="accent6"/>
              <w:right w:val="nil"/>
            </w:tcBorders>
            <w:vAlign w:val="center"/>
            <w:hideMark/>
          </w:tcPr>
          <w:p w14:paraId="57E8B51C" w14:textId="0C06A1D8" w:rsidR="002C2762" w:rsidRPr="00EC326F" w:rsidRDefault="002C276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5.0</w:t>
            </w:r>
            <w:r w:rsidR="00EE0666">
              <w:t>0</w:t>
            </w:r>
            <w:r w:rsidRPr="00EC326F">
              <w:t>%</w:t>
            </w:r>
          </w:p>
        </w:tc>
      </w:tr>
    </w:tbl>
    <w:p w14:paraId="57C7ED77" w14:textId="77777777" w:rsidR="002C2762" w:rsidRPr="00EC326F" w:rsidRDefault="002C2762" w:rsidP="002C2762">
      <w:pPr>
        <w:pStyle w:val="Sources"/>
      </w:pPr>
      <w:r w:rsidRPr="00EC326F">
        <w:t xml:space="preserve">Source: Treasury, as published in the 2016-17 </w:t>
      </w:r>
      <w:r w:rsidRPr="00726503">
        <w:t>Federal Budget, Budget</w:t>
      </w:r>
      <w:r w:rsidRPr="00EC326F">
        <w:t xml:space="preserve"> Paper no.1 Table 2: Major economic parameters</w:t>
      </w:r>
      <w:r w:rsidR="008D7BDE">
        <w:t xml:space="preserve"> and </w:t>
      </w:r>
      <w:r w:rsidR="005E5BEB">
        <w:t xml:space="preserve">Budget Statement 2, </w:t>
      </w:r>
      <w:r w:rsidR="008D7BDE">
        <w:t>Economic Outlook Medium-term projections</w:t>
      </w:r>
    </w:p>
    <w:p w14:paraId="2BEDD974" w14:textId="77777777" w:rsidR="002C2762" w:rsidRPr="00EC326F" w:rsidRDefault="002C2762" w:rsidP="001A4479">
      <w:pPr>
        <w:pStyle w:val="PwCNormal"/>
        <w:numPr>
          <w:ilvl w:val="0"/>
          <w:numId w:val="37"/>
        </w:numPr>
      </w:pPr>
      <w:r w:rsidRPr="00EC326F">
        <w:t>These forecasts are somewhat lower than the recent history, as illustrated in the chart below.</w:t>
      </w:r>
    </w:p>
    <w:p w14:paraId="5EBC0E35" w14:textId="77777777" w:rsidR="002C2762" w:rsidRPr="00EC326F" w:rsidRDefault="002C2762" w:rsidP="002C2762">
      <w:pPr>
        <w:pStyle w:val="Caption"/>
      </w:pPr>
      <w:r w:rsidRPr="00EC326F">
        <w:t xml:space="preserve">Figure </w:t>
      </w:r>
      <w:fldSimple w:instr=" SEQ Figure \* ARABIC ">
        <w:r w:rsidR="007A42DF">
          <w:rPr>
            <w:noProof/>
          </w:rPr>
          <w:t>10</w:t>
        </w:r>
      </w:fldSimple>
      <w:r w:rsidRPr="00EC326F">
        <w:t xml:space="preserve">: Historical and projected unemployment rate </w:t>
      </w:r>
    </w:p>
    <w:p w14:paraId="6F79E3A3" w14:textId="77777777" w:rsidR="002C2762" w:rsidRDefault="002C2762" w:rsidP="001A4479">
      <w:pPr>
        <w:pStyle w:val="PwCNormal"/>
        <w:numPr>
          <w:ilvl w:val="0"/>
          <w:numId w:val="37"/>
        </w:numPr>
      </w:pPr>
      <w:r w:rsidRPr="00EC326F">
        <w:rPr>
          <w:noProof/>
          <w:lang w:eastAsia="en-AU"/>
        </w:rPr>
        <w:drawing>
          <wp:inline distT="0" distB="0" distL="0" distR="0" wp14:anchorId="7B32DA51" wp14:editId="330DB09C">
            <wp:extent cx="3579495" cy="2691130"/>
            <wp:effectExtent l="0" t="0" r="1905" b="0"/>
            <wp:docPr id="3075" name="Picture 3075" descr="This figure is a line chart. The vertical axis shows the unemployment rate ranging from 0% to 12%. The horizontal axis shows year end, ranging from June 1978 to June 2030.&#10;&#10;The chart shows lines for:&#10;(1) The actual, forecast and projected unemployment rate,&#10;(2) The implied average unemployment rate from the Jun15 valuation and &#10;(3) The implied average unemployment rate from the Jun16 valuation&#10;&#10;The key features of this chart are discussed in the accompanying text within the report.&#10;" title=" Historical and projected unemployment r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9495" cy="2691130"/>
                    </a:xfrm>
                    <a:prstGeom prst="rect">
                      <a:avLst/>
                    </a:prstGeom>
                    <a:noFill/>
                    <a:ln>
                      <a:noFill/>
                    </a:ln>
                  </pic:spPr>
                </pic:pic>
              </a:graphicData>
            </a:graphic>
          </wp:inline>
        </w:drawing>
      </w:r>
    </w:p>
    <w:p w14:paraId="6E93D848" w14:textId="72C8D884" w:rsidR="00B36672" w:rsidRPr="00EC326F" w:rsidRDefault="00B36672" w:rsidP="00014CFF">
      <w:pPr>
        <w:pStyle w:val="Sources"/>
      </w:pPr>
      <w:r w:rsidRPr="00EC326F">
        <w:t xml:space="preserve">Source: 2016-17 </w:t>
      </w:r>
      <w:r w:rsidRPr="00726503">
        <w:t>Federal Budget, Budget</w:t>
      </w:r>
      <w:r w:rsidRPr="00EC326F">
        <w:t xml:space="preserve"> Paper no.1 </w:t>
      </w:r>
      <w:r w:rsidR="00014CFF">
        <w:t>and PwC</w:t>
      </w:r>
      <w:r w:rsidR="00397CA7">
        <w:t xml:space="preserve"> analysis</w:t>
      </w:r>
    </w:p>
    <w:p w14:paraId="321EE2FF" w14:textId="77777777" w:rsidR="002C2762" w:rsidRPr="00EC326F" w:rsidRDefault="002C2762" w:rsidP="001A4479">
      <w:pPr>
        <w:pStyle w:val="PwCNormal"/>
        <w:numPr>
          <w:ilvl w:val="0"/>
          <w:numId w:val="37"/>
        </w:numPr>
      </w:pPr>
      <w:r w:rsidRPr="00EC326F">
        <w:t xml:space="preserve">We have also shown information on the average unemployment rates over the three-year reference periods which are used as the experience base for the majority of the class movement assumptions. </w:t>
      </w:r>
    </w:p>
    <w:p w14:paraId="65F71100" w14:textId="77777777" w:rsidR="002C2762" w:rsidRPr="00EC326F" w:rsidRDefault="002C2762" w:rsidP="001A4479">
      <w:pPr>
        <w:pStyle w:val="PwCNormal"/>
        <w:numPr>
          <w:ilvl w:val="0"/>
          <w:numId w:val="37"/>
        </w:numPr>
      </w:pPr>
      <w:r w:rsidRPr="00EC326F">
        <w:lastRenderedPageBreak/>
        <w:t>For both the valuations the average unemployment rate over the reference period was close to 6%, with it being slightly higher for the June 2016 valuation, reflecting the timing of the peak in the chart above.</w:t>
      </w:r>
    </w:p>
    <w:p w14:paraId="525407F6" w14:textId="77777777" w:rsidR="002C2762" w:rsidRPr="00EC326F" w:rsidRDefault="002C2762" w:rsidP="002C2762">
      <w:pPr>
        <w:pStyle w:val="Heading4"/>
      </w:pPr>
      <w:r w:rsidRPr="00EC326F">
        <w:t>Development of the economic adjustments</w:t>
      </w:r>
    </w:p>
    <w:p w14:paraId="7CC255D6" w14:textId="77777777" w:rsidR="002C2762" w:rsidRPr="00EC326F" w:rsidRDefault="002C2762" w:rsidP="001A4479">
      <w:pPr>
        <w:pStyle w:val="PwCNormal-keepwithnext"/>
        <w:numPr>
          <w:ilvl w:val="0"/>
          <w:numId w:val="37"/>
        </w:numPr>
      </w:pPr>
      <w:r w:rsidRPr="00EC326F">
        <w:t>The economic adjustments were developed using a two stage approach.</w:t>
      </w:r>
    </w:p>
    <w:p w14:paraId="4663DB0B" w14:textId="77777777" w:rsidR="002C2762" w:rsidRPr="00EC326F" w:rsidRDefault="002C2762" w:rsidP="001A4479">
      <w:pPr>
        <w:pStyle w:val="PwCNormal"/>
        <w:numPr>
          <w:ilvl w:val="0"/>
          <w:numId w:val="37"/>
        </w:numPr>
      </w:pPr>
      <w:r w:rsidRPr="00EC326F">
        <w:t>Firstly, the nature and strength of the relationship between each class movement and the past unemployment rate was explored using statistical analysis. An example of this is provided in the chart below.</w:t>
      </w:r>
    </w:p>
    <w:p w14:paraId="6A6DC9AF" w14:textId="3BBE40C7" w:rsidR="009079B9" w:rsidRDefault="002C2762" w:rsidP="005C1972">
      <w:pPr>
        <w:pStyle w:val="Caption"/>
      </w:pPr>
      <w:r w:rsidRPr="00EC326F">
        <w:t xml:space="preserve">Figure </w:t>
      </w:r>
      <w:r w:rsidR="0062685D">
        <w:fldChar w:fldCharType="begin"/>
      </w:r>
      <w:r w:rsidR="0062685D">
        <w:rPr>
          <w:b w:val="0"/>
          <w:bCs w:val="0"/>
        </w:rPr>
        <w:instrText xml:space="preserve"> SEQ Figure \* ARABIC </w:instrText>
      </w:r>
      <w:r w:rsidR="0062685D">
        <w:fldChar w:fldCharType="separate"/>
      </w:r>
      <w:r w:rsidR="007A42DF">
        <w:rPr>
          <w:b w:val="0"/>
          <w:bCs w:val="0"/>
          <w:noProof/>
        </w:rPr>
        <w:t>11</w:t>
      </w:r>
      <w:r w:rsidR="0062685D">
        <w:rPr>
          <w:noProof/>
        </w:rPr>
        <w:fldChar w:fldCharType="end"/>
      </w:r>
      <w:r w:rsidRPr="00EC326F">
        <w:t>: Relationship between the unemployment rate and exit rates from Working Age to Previous Welfare Recipients (Males)</w:t>
      </w:r>
    </w:p>
    <w:p w14:paraId="454C19CB" w14:textId="3E79C378" w:rsidR="003B4480" w:rsidRPr="00EC326F" w:rsidRDefault="0031787A" w:rsidP="001A4479">
      <w:pPr>
        <w:pStyle w:val="PwCNormal"/>
        <w:numPr>
          <w:ilvl w:val="0"/>
          <w:numId w:val="37"/>
        </w:numPr>
      </w:pPr>
      <w:r w:rsidRPr="0031787A">
        <w:rPr>
          <w:noProof/>
          <w:lang w:eastAsia="en-AU"/>
        </w:rPr>
        <w:drawing>
          <wp:inline distT="0" distB="0" distL="0" distR="0" wp14:anchorId="0BE2A6BB" wp14:editId="7E83652D">
            <wp:extent cx="3499514" cy="1800000"/>
            <wp:effectExtent l="0" t="0" r="5715" b="0"/>
            <wp:docPr id="314" name="Picture 314" descr="This figure consists of two charts describing the relationship between the unemployment rate and exit rates from the Working Age class to the Previous Welfare Recipients class for males.&#10;&#10;The first chart, positioned to the left, is a column chart with a superimposed line chart. The horizontal axis displays year ending 30 June, ranging from 2003 to 2015. The left vertical axis shows the exit rate to the previous welfare recipient class from the working age class. This axis corresponds to the columns in the chart. Between 2003 and 2008, exit rates rose steadily year-on-year from around 22% in 2003 to 29% in 2008. In 2009, exit rates fell to 24%.  After this point exit rates were approximately 20% in 2010, 24% in 2011 and 2012, 21.5% in 2013, 19.5% in 2014 and 20.5% in 2015. &#10;&#10;The right hand vertical axis on the left chart displays the seasonally adjusted unemployment rate, ranging from 0% to 7%. The unemployment rate is approximately inversely related to the exit rates from class 2 to class 10. Between 2003 and 2008, the unemployment rate steadily decreased year-on-year from around 6% in 2003 to 4.2% in 2008. In 2009, the unemployment rate jumped to around 5.8%.  Between 2009 and 2011, the unemployment rate fell from 5.8% to 5% before rising steadily again to reach 6.1% in 2015. &#10;" title=" Relationship between the unemployment rate and exit rates from Working Age to Previous Welfare Recipients (M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99514" cy="1800000"/>
                    </a:xfrm>
                    <a:prstGeom prst="rect">
                      <a:avLst/>
                    </a:prstGeom>
                    <a:noFill/>
                    <a:ln>
                      <a:noFill/>
                    </a:ln>
                  </pic:spPr>
                </pic:pic>
              </a:graphicData>
            </a:graphic>
          </wp:inline>
        </w:drawing>
      </w:r>
      <w:r w:rsidRPr="0031787A">
        <w:t xml:space="preserve"> </w:t>
      </w:r>
      <w:r w:rsidRPr="0031787A">
        <w:rPr>
          <w:noProof/>
          <w:lang w:eastAsia="en-AU"/>
        </w:rPr>
        <w:drawing>
          <wp:inline distT="0" distB="0" distL="0" distR="0" wp14:anchorId="577CF625" wp14:editId="29B68AE1">
            <wp:extent cx="2707517" cy="1800000"/>
            <wp:effectExtent l="0" t="0" r="0" b="0"/>
            <wp:docPr id="3091" name="Picture 3091" descr="The second chart, positioned to the right, is a scatter plot with a trend line. The vertical axis shows the exit rate to the previous welfare recipient class from the working age class ranging from 0% to 35%. The horizontal axis shows the raw unemployment rate ranging from 2% to 7%. The chart shows that lower unemployment rates (around 4%-5%) are associated with higher exit rates (of 25%-30%) from class 2 to class 10. Higher unemployment rates (around 5%- 6%) are associated with lower exit rates (20%-25%) from class 2 to class 10. " title=" Relationship between the unemployment rate and exit rates from Working Age to Previous Welfare Recipients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7517" cy="1800000"/>
                    </a:xfrm>
                    <a:prstGeom prst="rect">
                      <a:avLst/>
                    </a:prstGeom>
                    <a:noFill/>
                    <a:ln>
                      <a:noFill/>
                    </a:ln>
                  </pic:spPr>
                </pic:pic>
              </a:graphicData>
            </a:graphic>
          </wp:inline>
        </w:drawing>
      </w:r>
      <w:r w:rsidR="002C2762" w:rsidRPr="00EC326F">
        <w:t xml:space="preserve">This approach was used to identify which class movements were most impacted by </w:t>
      </w:r>
      <w:r w:rsidR="007F0EE0" w:rsidRPr="00EC326F">
        <w:t>changes in the</w:t>
      </w:r>
      <w:r w:rsidR="002C2762" w:rsidRPr="00EC326F">
        <w:t xml:space="preserve"> unemployment rate and thus would require adjustment. </w:t>
      </w:r>
      <w:r w:rsidR="003B4480" w:rsidRPr="00EC326F">
        <w:t xml:space="preserve">The current version of the economic module focusses on the strongest relationships which have been identified, in particular those relating to utilisation of working age payments. Further development of the module may be considered in future, as a greater body of reference data becomes available for analysis. </w:t>
      </w:r>
    </w:p>
    <w:p w14:paraId="13866561" w14:textId="77777777" w:rsidR="002C2762" w:rsidRPr="00EC326F" w:rsidRDefault="002C2762" w:rsidP="001A4479">
      <w:pPr>
        <w:pStyle w:val="PwCNormal"/>
        <w:numPr>
          <w:ilvl w:val="0"/>
          <w:numId w:val="37"/>
        </w:numPr>
      </w:pPr>
      <w:r w:rsidRPr="00EC326F">
        <w:t xml:space="preserve">The </w:t>
      </w:r>
      <w:r w:rsidR="003B4480" w:rsidRPr="00EC326F">
        <w:t xml:space="preserve">included </w:t>
      </w:r>
      <w:r w:rsidRPr="00EC326F">
        <w:t>adjustments cover:</w:t>
      </w:r>
    </w:p>
    <w:p w14:paraId="25EBEB8B" w14:textId="1C14E75D" w:rsidR="002C2762" w:rsidRPr="00EC326F" w:rsidRDefault="002C2762" w:rsidP="002C2762">
      <w:pPr>
        <w:pStyle w:val="ListBullet"/>
      </w:pPr>
      <w:r w:rsidRPr="00EC326F">
        <w:t xml:space="preserve">Entries to the </w:t>
      </w:r>
      <w:r w:rsidR="00916C7F">
        <w:t>W</w:t>
      </w:r>
      <w:r w:rsidRPr="00EC326F">
        <w:t xml:space="preserve">orking </w:t>
      </w:r>
      <w:r w:rsidR="00916C7F">
        <w:t>A</w:t>
      </w:r>
      <w:r w:rsidRPr="00EC326F">
        <w:t>ge class from classes 10 and 12</w:t>
      </w:r>
    </w:p>
    <w:p w14:paraId="66B7FAE7" w14:textId="34FCF412" w:rsidR="002C2762" w:rsidRPr="00EC326F" w:rsidRDefault="002C2762" w:rsidP="002C2762">
      <w:pPr>
        <w:pStyle w:val="ListBullet"/>
      </w:pPr>
      <w:r w:rsidRPr="00EC326F">
        <w:t xml:space="preserve">Exits from the </w:t>
      </w:r>
      <w:r w:rsidR="00916C7F">
        <w:t>W</w:t>
      </w:r>
      <w:r w:rsidRPr="00EC326F">
        <w:t xml:space="preserve">orking </w:t>
      </w:r>
      <w:r w:rsidR="00916C7F">
        <w:t>A</w:t>
      </w:r>
      <w:r w:rsidRPr="00EC326F">
        <w:t>ge class to class 10, and</w:t>
      </w:r>
    </w:p>
    <w:p w14:paraId="3B214DBB" w14:textId="487CA54B" w:rsidR="002C2762" w:rsidRPr="00EC326F" w:rsidRDefault="002C2762" w:rsidP="002C2762">
      <w:pPr>
        <w:pStyle w:val="ListBullet"/>
      </w:pPr>
      <w:r w:rsidRPr="00EC326F">
        <w:t xml:space="preserve">Movements from the family non income support class (class 7) to the </w:t>
      </w:r>
      <w:r w:rsidR="00916C7F">
        <w:t>W</w:t>
      </w:r>
      <w:r w:rsidRPr="00EC326F">
        <w:t xml:space="preserve">orking </w:t>
      </w:r>
      <w:r w:rsidR="00916C7F">
        <w:t>A</w:t>
      </w:r>
      <w:r w:rsidRPr="00EC326F">
        <w:t>ge class (class 2)</w:t>
      </w:r>
    </w:p>
    <w:p w14:paraId="07AFC24C" w14:textId="77777777" w:rsidR="002C2762" w:rsidRPr="00EC326F" w:rsidRDefault="002C2762" w:rsidP="002C2762">
      <w:pPr>
        <w:pStyle w:val="PwCNormal"/>
        <w:numPr>
          <w:ilvl w:val="0"/>
          <w:numId w:val="0"/>
        </w:numPr>
      </w:pPr>
      <w:r w:rsidRPr="00EC326F">
        <w:t xml:space="preserve">The second stage was to develop the adjustments. This built on the initial analysis by using the parameters fitted in the correlation analysis above, which captures the change in transition rate for a 1% change in the unemployment rate, as a starting point for the adjustment factors. </w:t>
      </w:r>
    </w:p>
    <w:p w14:paraId="7CBD9C65" w14:textId="77777777" w:rsidR="002C2762" w:rsidRPr="00EC326F" w:rsidRDefault="002C2762" w:rsidP="002C2762">
      <w:pPr>
        <w:pStyle w:val="PwCNormal"/>
        <w:numPr>
          <w:ilvl w:val="0"/>
          <w:numId w:val="0"/>
        </w:numPr>
      </w:pPr>
      <w:r w:rsidRPr="00EC326F">
        <w:t xml:space="preserve">The impact of the economic cycle on welfare utilisation is not constant </w:t>
      </w:r>
      <w:r w:rsidR="00230A18">
        <w:t>by</w:t>
      </w:r>
      <w:r w:rsidRPr="00EC326F">
        <w:t xml:space="preserve"> age. Thus the factors were refined by considering the extent to which changes in transition rate</w:t>
      </w:r>
      <w:r w:rsidR="000012FE">
        <w:t>s differ</w:t>
      </w:r>
      <w:r w:rsidRPr="00EC326F">
        <w:t xml:space="preserve"> for people of different ages. In particular it was observed that the impact of changing economic conditions was greater for the youngest and oldest workers.</w:t>
      </w:r>
    </w:p>
    <w:p w14:paraId="1125D724" w14:textId="77777777" w:rsidR="002C2762" w:rsidRPr="00EC326F" w:rsidRDefault="002C2762" w:rsidP="002C2762">
      <w:pPr>
        <w:pStyle w:val="PwCNormal"/>
        <w:numPr>
          <w:ilvl w:val="0"/>
          <w:numId w:val="0"/>
        </w:numPr>
      </w:pPr>
      <w:r w:rsidRPr="00EC326F">
        <w:t>The factors developed were then tested for a range of different economic scenarios with the modelled impacts on the welfare population being validated against past experience.</w:t>
      </w:r>
    </w:p>
    <w:p w14:paraId="73BB2AB6" w14:textId="77777777" w:rsidR="002C2762" w:rsidRPr="00EC326F" w:rsidRDefault="002C2762" w:rsidP="002C2762">
      <w:pPr>
        <w:pStyle w:val="Heading4"/>
      </w:pPr>
      <w:r w:rsidRPr="00EC326F">
        <w:t>Impact of the economic adjustment</w:t>
      </w:r>
      <w:r w:rsidR="00C0593F">
        <w:t>s</w:t>
      </w:r>
      <w:r w:rsidRPr="00EC326F">
        <w:t xml:space="preserve"> module</w:t>
      </w:r>
    </w:p>
    <w:p w14:paraId="6E626F84" w14:textId="77777777" w:rsidR="002C2762" w:rsidRPr="00EC326F" w:rsidRDefault="002C2762" w:rsidP="002C2762">
      <w:pPr>
        <w:pStyle w:val="PwCNormal"/>
        <w:numPr>
          <w:ilvl w:val="0"/>
          <w:numId w:val="0"/>
        </w:numPr>
      </w:pPr>
      <w:r w:rsidRPr="00EC326F">
        <w:t>The economic module itself has minimal impact on the assessed lifetime cost as it simply provides a mechanism for considering different economic scenarios.</w:t>
      </w:r>
    </w:p>
    <w:p w14:paraId="515D0E44" w14:textId="77777777" w:rsidR="002C2762" w:rsidRPr="00EC326F" w:rsidRDefault="002C2762" w:rsidP="002C2762">
      <w:pPr>
        <w:pStyle w:val="PwCNormal"/>
        <w:numPr>
          <w:ilvl w:val="0"/>
          <w:numId w:val="0"/>
        </w:numPr>
      </w:pPr>
      <w:r w:rsidRPr="00EC326F">
        <w:t xml:space="preserve">However, through the introduction of this module the valuation assumptions have been changed from an implicit assumption of the future economic conditions being similar to recent past experience to an explicit scenario which includes a long run unemployment rate of 5%. This rate is lower than the recent experience and has a material impact over the long future time period covered by the model. </w:t>
      </w:r>
    </w:p>
    <w:p w14:paraId="79F93585" w14:textId="77777777" w:rsidR="002C2762" w:rsidRPr="00EC326F" w:rsidRDefault="002C2762" w:rsidP="002C2762">
      <w:pPr>
        <w:pStyle w:val="PwCNormal"/>
        <w:numPr>
          <w:ilvl w:val="0"/>
          <w:numId w:val="0"/>
        </w:numPr>
      </w:pPr>
      <w:r w:rsidRPr="00EC326F">
        <w:t xml:space="preserve">More specifically, as the assumed unemployment rate falls from its current level over the medium to long term the economic module allows for reductions in the rates of entry into Working Age payments, increases in the rates of exit from Working Age payments and decreases in the rate of transition from Non IS Family payments to Working Age payments. These changes reduce the expected numbers of people receiving income support in future years and reduce the assessed lifetime cost. </w:t>
      </w:r>
    </w:p>
    <w:p w14:paraId="688721F4" w14:textId="77777777" w:rsidR="002C2762" w:rsidRPr="00EC326F" w:rsidRDefault="002C2762" w:rsidP="002C2762">
      <w:pPr>
        <w:pStyle w:val="PwCNormal"/>
        <w:numPr>
          <w:ilvl w:val="0"/>
          <w:numId w:val="0"/>
        </w:numPr>
      </w:pPr>
      <w:r w:rsidRPr="00EC326F">
        <w:lastRenderedPageBreak/>
        <w:t>The impact of this change is discussed in the results section and we also show the sensitivity of the results to the economic assumptions by providing results under alternate economic scenarios.</w:t>
      </w:r>
    </w:p>
    <w:p w14:paraId="232E8A8C" w14:textId="77777777" w:rsidR="002C2762" w:rsidRPr="00EC326F" w:rsidRDefault="002C2762" w:rsidP="002C2762">
      <w:pPr>
        <w:pStyle w:val="Heading4"/>
      </w:pPr>
      <w:r w:rsidRPr="00EC326F">
        <w:t>Limitations of the economic module</w:t>
      </w:r>
    </w:p>
    <w:p w14:paraId="4B85EED5" w14:textId="77777777" w:rsidR="002C2762" w:rsidRPr="00EC326F" w:rsidRDefault="002C2762" w:rsidP="00B752E6">
      <w:pPr>
        <w:pStyle w:val="PwCNormal"/>
        <w:keepLines/>
        <w:numPr>
          <w:ilvl w:val="0"/>
          <w:numId w:val="0"/>
        </w:numPr>
      </w:pPr>
      <w:r w:rsidRPr="00EC326F">
        <w:t>The economic module has been designed to provide a means of distinguishing the main economic influences on past experience and explicitly adjust for the prevailing and expected future economic conditions. It has been calibrated through consideration of the experience over the last fifteen years, being the period of time for which historic data was available for both welfare utilisation and the economic indicators.</w:t>
      </w:r>
    </w:p>
    <w:p w14:paraId="6C283047" w14:textId="77777777" w:rsidR="002C2762" w:rsidRPr="00EC326F" w:rsidRDefault="002C2762" w:rsidP="002C2762">
      <w:pPr>
        <w:pStyle w:val="PwCNormal"/>
        <w:numPr>
          <w:ilvl w:val="0"/>
          <w:numId w:val="0"/>
        </w:numPr>
      </w:pPr>
      <w:r w:rsidRPr="00EC326F">
        <w:t xml:space="preserve">Through using the module the valuation model results </w:t>
      </w:r>
      <w:r w:rsidR="00C55329">
        <w:t>are expected to</w:t>
      </w:r>
      <w:r w:rsidRPr="00EC326F">
        <w:t xml:space="preserve"> be less subject to short term fluctuations and more reflective of economic conditions expected over the long term timeframe covered by the model. Similarly the module’s use will reduce the impact of economic fluctuations on the outcomes being assessed for the various groups of interest</w:t>
      </w:r>
      <w:r w:rsidR="007F0EE0" w:rsidRPr="00EC326F">
        <w:t>.</w:t>
      </w:r>
    </w:p>
    <w:p w14:paraId="5CD0F7E5" w14:textId="77777777" w:rsidR="002C2762" w:rsidRPr="00EC326F" w:rsidRDefault="002C2762" w:rsidP="002C2762">
      <w:pPr>
        <w:pStyle w:val="PwCNormal"/>
        <w:numPr>
          <w:ilvl w:val="0"/>
          <w:numId w:val="0"/>
        </w:numPr>
      </w:pPr>
      <w:r w:rsidRPr="00EC326F">
        <w:t>However, it is also important to note that the economic module has limitations. It does not capture every relationship between welfare utilisation and the economic environment. In particular, we have not allowed for the impacts of</w:t>
      </w:r>
      <w:r w:rsidR="00C55329">
        <w:t xml:space="preserve"> future</w:t>
      </w:r>
      <w:r w:rsidRPr="00EC326F">
        <w:t xml:space="preserve"> fluctuations in asset values </w:t>
      </w:r>
      <w:r w:rsidR="007F0EE0" w:rsidRPr="00EC326F">
        <w:t xml:space="preserve">which </w:t>
      </w:r>
      <w:r w:rsidRPr="00EC326F">
        <w:t>are likely to have a particular impact on the proportion of the population who access the aged pension.</w:t>
      </w:r>
    </w:p>
    <w:p w14:paraId="57C2FFCE" w14:textId="77777777" w:rsidR="002C2762" w:rsidRPr="00EC326F" w:rsidRDefault="002C2762" w:rsidP="002C2762">
      <w:pPr>
        <w:pStyle w:val="PwCNormal"/>
        <w:numPr>
          <w:ilvl w:val="0"/>
          <w:numId w:val="0"/>
        </w:numPr>
      </w:pPr>
      <w:r w:rsidRPr="00EC326F">
        <w:t>Further, as the assumptions have been calibrated based on a period of experience where the unemployment rate varied within the range 4% to 7% its ability to reflect more extreme scenarios such as the experience during periods of high unemployment will be limited and the results under such scenarios should be interpreted with caution.</w:t>
      </w:r>
    </w:p>
    <w:p w14:paraId="6EDC6616" w14:textId="77777777" w:rsidR="008F6978" w:rsidRPr="002A0A1A" w:rsidRDefault="008F6978" w:rsidP="008F6978">
      <w:pPr>
        <w:pStyle w:val="PwCNormal"/>
        <w:numPr>
          <w:ilvl w:val="0"/>
          <w:numId w:val="0"/>
        </w:numPr>
      </w:pPr>
    </w:p>
    <w:p w14:paraId="18455B8C" w14:textId="77777777" w:rsidR="008F6978" w:rsidRPr="002A0A1A" w:rsidRDefault="008F6978" w:rsidP="008F6978">
      <w:pPr>
        <w:pStyle w:val="PwCNormal"/>
        <w:numPr>
          <w:ilvl w:val="0"/>
          <w:numId w:val="0"/>
        </w:numPr>
        <w:sectPr w:rsidR="008F6978" w:rsidRPr="002A0A1A" w:rsidSect="00CC5ACB">
          <w:headerReference w:type="first" r:id="rId48"/>
          <w:footerReference w:type="first" r:id="rId49"/>
          <w:pgSz w:w="11907" w:h="16840" w:code="9"/>
          <w:pgMar w:top="1588" w:right="1021" w:bottom="1418" w:left="1021" w:header="567" w:footer="567" w:gutter="0"/>
          <w:cols w:space="227"/>
          <w:docGrid w:linePitch="360"/>
        </w:sectPr>
      </w:pPr>
    </w:p>
    <w:p w14:paraId="37D5BF95" w14:textId="77777777" w:rsidR="008F6978" w:rsidRPr="00EC326F" w:rsidRDefault="008F6978" w:rsidP="008F6978">
      <w:pPr>
        <w:pStyle w:val="Heading2"/>
      </w:pPr>
      <w:bookmarkStart w:id="183" w:name="_Ref465266660"/>
      <w:bookmarkStart w:id="184" w:name="_Ref465929980"/>
      <w:bookmarkStart w:id="185" w:name="_Toc493844233"/>
      <w:r w:rsidRPr="00EC326F">
        <w:lastRenderedPageBreak/>
        <w:t>Assumptions</w:t>
      </w:r>
      <w:bookmarkEnd w:id="183"/>
      <w:bookmarkEnd w:id="184"/>
      <w:bookmarkEnd w:id="185"/>
    </w:p>
    <w:p w14:paraId="1E239A09" w14:textId="77777777" w:rsidR="008F6978" w:rsidRPr="00EC326F" w:rsidRDefault="008F6978" w:rsidP="008F6978">
      <w:pPr>
        <w:pStyle w:val="Heading3"/>
      </w:pPr>
      <w:bookmarkStart w:id="186" w:name="_Toc493844234"/>
      <w:r w:rsidRPr="00EC326F">
        <w:t>Overview of assumptions</w:t>
      </w:r>
      <w:bookmarkEnd w:id="186"/>
    </w:p>
    <w:p w14:paraId="56D91C1E" w14:textId="77777777" w:rsidR="00377287" w:rsidRPr="00EC326F" w:rsidRDefault="00377287" w:rsidP="00377287">
      <w:pPr>
        <w:pStyle w:val="PwCNormal"/>
        <w:numPr>
          <w:ilvl w:val="0"/>
          <w:numId w:val="1"/>
        </w:numPr>
      </w:pPr>
      <w:r w:rsidRPr="00EC326F">
        <w:t xml:space="preserve">This section details the nature of the main assumption sets and explains how each is used in the model. These comprise: the policy basis, flow assumptions, welfare utilisation assumptions, payment assumptions and economic assumptions. </w:t>
      </w:r>
    </w:p>
    <w:p w14:paraId="6218845C" w14:textId="77777777" w:rsidR="00377287" w:rsidRPr="00EC326F" w:rsidRDefault="00377287" w:rsidP="00377287">
      <w:pPr>
        <w:pStyle w:val="PwCNormal"/>
        <w:numPr>
          <w:ilvl w:val="0"/>
          <w:numId w:val="1"/>
        </w:numPr>
      </w:pPr>
      <w:r w:rsidRPr="00EC326F">
        <w:t>The purpose of each of these sets of assumptions is as follows:</w:t>
      </w:r>
    </w:p>
    <w:p w14:paraId="619AB8FA" w14:textId="77777777" w:rsidR="00377287" w:rsidRPr="00EC326F" w:rsidRDefault="00377287" w:rsidP="00377287">
      <w:pPr>
        <w:pStyle w:val="Bullet1"/>
      </w:pPr>
      <w:r w:rsidRPr="00EC326F">
        <w:rPr>
          <w:b/>
        </w:rPr>
        <w:t>Policy setting basis</w:t>
      </w:r>
      <w:r w:rsidRPr="00EC326F">
        <w:t xml:space="preserve"> is used to determine the payments included in the valuation and their related eligibility criteria and payment structures.</w:t>
      </w:r>
    </w:p>
    <w:p w14:paraId="07B73CD2" w14:textId="77777777" w:rsidR="00377287" w:rsidRPr="00EC326F" w:rsidRDefault="00377287" w:rsidP="00377287">
      <w:pPr>
        <w:pStyle w:val="Bullet1"/>
      </w:pPr>
      <w:r w:rsidRPr="00EC326F">
        <w:rPr>
          <w:b/>
        </w:rPr>
        <w:t>Flow assumptions</w:t>
      </w:r>
      <w:r w:rsidRPr="00EC326F">
        <w:t xml:space="preserve"> are used to ascertain how each person’s individual demographic and risk characteristics change as time progresses.</w:t>
      </w:r>
    </w:p>
    <w:p w14:paraId="1BA4EA48" w14:textId="77777777" w:rsidR="00377287" w:rsidRPr="00EC326F" w:rsidRDefault="00377287" w:rsidP="00377287">
      <w:pPr>
        <w:pStyle w:val="Bullet2"/>
      </w:pPr>
      <w:r w:rsidRPr="00EC326F">
        <w:t xml:space="preserve">For the 2016 valuation these flow assumptions include those for a number of </w:t>
      </w:r>
      <w:r w:rsidR="004E079F" w:rsidRPr="00EC326F">
        <w:rPr>
          <w:b/>
        </w:rPr>
        <w:t>class characteristic</w:t>
      </w:r>
      <w:r w:rsidRPr="00EC326F">
        <w:rPr>
          <w:b/>
        </w:rPr>
        <w:t xml:space="preserve"> variables</w:t>
      </w:r>
      <w:r w:rsidRPr="00EC326F">
        <w:t xml:space="preserve">, which capture what each person’s characteristics are when they enter one of the relevant classes and how these characteristics change for the period they remain in the relevant class. </w:t>
      </w:r>
    </w:p>
    <w:p w14:paraId="20BC8328" w14:textId="77777777" w:rsidR="00377287" w:rsidRPr="00EC326F" w:rsidRDefault="00377287" w:rsidP="00377287">
      <w:pPr>
        <w:pStyle w:val="Bullet1"/>
      </w:pPr>
      <w:r w:rsidRPr="00EC326F">
        <w:rPr>
          <w:b/>
        </w:rPr>
        <w:t>Welfare utilisation assumptions</w:t>
      </w:r>
      <w:r w:rsidRPr="00EC326F">
        <w:t xml:space="preserve"> are used to develop the assumed probability of each individual in the population receiving each category of payment in each future year. They are developed by considering:</w:t>
      </w:r>
    </w:p>
    <w:p w14:paraId="7B005571" w14:textId="77777777" w:rsidR="00377287" w:rsidRPr="00EC326F" w:rsidRDefault="00377287" w:rsidP="00377287">
      <w:pPr>
        <w:pStyle w:val="Bullet2"/>
      </w:pPr>
      <w:r w:rsidRPr="00EC326F">
        <w:rPr>
          <w:b/>
        </w:rPr>
        <w:t xml:space="preserve">welfare class movements </w:t>
      </w:r>
      <w:r w:rsidRPr="00EC326F">
        <w:t>(how people move in, between and out of welfare classes).</w:t>
      </w:r>
    </w:p>
    <w:p w14:paraId="56DACDEE" w14:textId="77777777" w:rsidR="00017186" w:rsidRPr="00EC326F" w:rsidRDefault="00017186" w:rsidP="00017186">
      <w:pPr>
        <w:pStyle w:val="Bullet2"/>
      </w:pPr>
      <w:r w:rsidRPr="00EC326F">
        <w:rPr>
          <w:b/>
        </w:rPr>
        <w:t>payment utilisation</w:t>
      </w:r>
      <w:r w:rsidRPr="00EC326F">
        <w:t xml:space="preserve"> of each payment category for people within each welfare class.</w:t>
      </w:r>
    </w:p>
    <w:p w14:paraId="231B034C" w14:textId="77777777" w:rsidR="00377287" w:rsidRPr="00EC326F" w:rsidRDefault="00377287" w:rsidP="00377287">
      <w:pPr>
        <w:pStyle w:val="Bullet1"/>
      </w:pPr>
      <w:r w:rsidRPr="00EC326F">
        <w:rPr>
          <w:b/>
        </w:rPr>
        <w:t>Payment assumptions</w:t>
      </w:r>
      <w:r w:rsidRPr="00EC326F">
        <w:t xml:space="preserve"> are used to assess the actual amount of payments made within each payment category once we have determined that an individual is accessing that payment.</w:t>
      </w:r>
    </w:p>
    <w:p w14:paraId="5E5A3A4C" w14:textId="77777777" w:rsidR="00377287" w:rsidRPr="00EC326F" w:rsidRDefault="00377287" w:rsidP="00377287">
      <w:pPr>
        <w:pStyle w:val="Bullet1"/>
      </w:pPr>
      <w:r w:rsidRPr="00EC326F">
        <w:rPr>
          <w:b/>
        </w:rPr>
        <w:t>Economic and forward looking adjustments</w:t>
      </w:r>
      <w:r w:rsidRPr="00EC326F">
        <w:t xml:space="preserve"> are used to support the welfare utilisation assumptions; to ensure the model reflects the current economic climate and can be used to understand the potential impact of changes to the external economic environment. Other forward looking adjustments allow for changes which have not been reflected in historic data, for instance if there has been a policy reform.</w:t>
      </w:r>
    </w:p>
    <w:p w14:paraId="467B5E95" w14:textId="77777777" w:rsidR="00377287" w:rsidRPr="00EC326F" w:rsidRDefault="00377287" w:rsidP="00377287">
      <w:pPr>
        <w:pStyle w:val="Bullet1"/>
      </w:pPr>
      <w:r w:rsidRPr="00EC326F">
        <w:rPr>
          <w:b/>
        </w:rPr>
        <w:t>Economic assumptions</w:t>
      </w:r>
      <w:r w:rsidRPr="00EC326F">
        <w:t xml:space="preserve"> are used here for:</w:t>
      </w:r>
    </w:p>
    <w:p w14:paraId="05E86654" w14:textId="77777777" w:rsidR="00377287" w:rsidRPr="00EC326F" w:rsidRDefault="00377287" w:rsidP="00377287">
      <w:pPr>
        <w:pStyle w:val="Bullet2"/>
      </w:pPr>
      <w:r w:rsidRPr="00EC326F">
        <w:t>Indexation – consideration of how the average payments within each payment category will change in future years.</w:t>
      </w:r>
    </w:p>
    <w:p w14:paraId="3FAA6315" w14:textId="77777777" w:rsidR="00377287" w:rsidRPr="00EC326F" w:rsidRDefault="00377287" w:rsidP="00377287">
      <w:pPr>
        <w:pStyle w:val="Bullet2"/>
      </w:pPr>
      <w:r w:rsidRPr="00EC326F">
        <w:t>Discounting – developing lifetime costs as the net present value of the future payments. Discounting is used to adjust projected future payments to be in present values. This recognises the time value of money (i.e. ‘a dollar today’ is worth more than ‘a dollar next year’ as the money could be invested to earn income).</w:t>
      </w:r>
    </w:p>
    <w:p w14:paraId="06A7E9CF" w14:textId="77777777" w:rsidR="005A4605" w:rsidRPr="00A5498C" w:rsidRDefault="00377287" w:rsidP="00377287">
      <w:pPr>
        <w:pStyle w:val="PwCNormal"/>
        <w:numPr>
          <w:ilvl w:val="0"/>
          <w:numId w:val="1"/>
        </w:numPr>
      </w:pPr>
      <w:r w:rsidRPr="00EC326F">
        <w:t xml:space="preserve">The considerations and approach used for developing each of these sets of assumptions is discussed </w:t>
      </w:r>
      <w:r w:rsidRPr="00A5498C">
        <w:t xml:space="preserve">in the remainder of this section and the main factors considered in each set of assumptions are listed in </w:t>
      </w:r>
      <w:r w:rsidRPr="00A5498C">
        <w:fldChar w:fldCharType="begin"/>
      </w:r>
      <w:r w:rsidRPr="00A5498C">
        <w:instrText xml:space="preserve"> REF _Ref441823535 \n \h  \* MERGEFORMAT </w:instrText>
      </w:r>
      <w:r w:rsidRPr="00A5498C">
        <w:fldChar w:fldCharType="separate"/>
      </w:r>
      <w:r w:rsidR="007A42DF">
        <w:t>Appendix D</w:t>
      </w:r>
      <w:r w:rsidRPr="00A5498C">
        <w:fldChar w:fldCharType="end"/>
      </w:r>
      <w:r w:rsidRPr="00A5498C">
        <w:t>.</w:t>
      </w:r>
    </w:p>
    <w:p w14:paraId="72C1611E" w14:textId="77777777" w:rsidR="005A4605" w:rsidRPr="00A5498C" w:rsidRDefault="005A4605" w:rsidP="005A4605">
      <w:pPr>
        <w:pStyle w:val="Heading3"/>
      </w:pPr>
      <w:bookmarkStart w:id="187" w:name="_Ref466493355"/>
      <w:bookmarkStart w:id="188" w:name="_Toc493844235"/>
      <w:r w:rsidRPr="00A5498C">
        <w:t>Policy basis</w:t>
      </w:r>
      <w:bookmarkEnd w:id="187"/>
      <w:bookmarkEnd w:id="188"/>
    </w:p>
    <w:p w14:paraId="7FB7C191" w14:textId="77777777" w:rsidR="00377287" w:rsidRPr="00EC326F" w:rsidRDefault="00377287" w:rsidP="00377287">
      <w:pPr>
        <w:pStyle w:val="PwCNormal"/>
        <w:numPr>
          <w:ilvl w:val="0"/>
          <w:numId w:val="0"/>
        </w:numPr>
      </w:pPr>
      <w:r w:rsidRPr="00EC326F">
        <w:t>The actuarial valuation reflects the policy as legislated at the valuation date. It assumes that these policy settings will persist in perpetuity.</w:t>
      </w:r>
    </w:p>
    <w:p w14:paraId="4789D9AD" w14:textId="77777777" w:rsidR="00377287" w:rsidRPr="00EC326F" w:rsidRDefault="00377287" w:rsidP="00377287">
      <w:pPr>
        <w:pStyle w:val="PwCNormal"/>
        <w:numPr>
          <w:ilvl w:val="0"/>
          <w:numId w:val="0"/>
        </w:numPr>
      </w:pPr>
      <w:r w:rsidRPr="00EC326F">
        <w:t>This means that future changes in payment design or eligibility have been included in the valuation if the related legislation is in place; however changes that are still being debated are not included.</w:t>
      </w:r>
      <w:r w:rsidR="007E2E8F" w:rsidRPr="00EC326F">
        <w:t xml:space="preserve"> </w:t>
      </w:r>
      <w:r w:rsidRPr="00EC326F">
        <w:t>By way of example, we have allowed for the increase in retirement age from 65 to 67 which will occur over the period from 1 July 2017 to 30 June 2023 and the change in pension asset test which will come into effect from 1 January 2017. However we have not included the parental leave reforms currently being debated.</w:t>
      </w:r>
    </w:p>
    <w:p w14:paraId="0E70A162" w14:textId="77777777" w:rsidR="00377287" w:rsidRPr="00EC326F" w:rsidRDefault="00377287" w:rsidP="007E2E8F">
      <w:pPr>
        <w:pStyle w:val="PwCNormal-keepwithnext"/>
      </w:pPr>
      <w:r w:rsidRPr="00EC326F">
        <w:lastRenderedPageBreak/>
        <w:t>Noting that most of the model assumptions are set by reference to recent experience, the general approaches used for implementing policy changes within the model are as follows:</w:t>
      </w:r>
    </w:p>
    <w:p w14:paraId="11EBF6C9" w14:textId="77777777" w:rsidR="00377287" w:rsidRPr="00EC326F" w:rsidRDefault="00377287" w:rsidP="00377287">
      <w:pPr>
        <w:pStyle w:val="Caption"/>
      </w:pPr>
      <w:r w:rsidRPr="00EC326F">
        <w:t xml:space="preserve">Table </w:t>
      </w:r>
      <w:fldSimple w:instr=" SEQ Table \* ARABIC ">
        <w:r w:rsidR="007A42DF">
          <w:rPr>
            <w:noProof/>
          </w:rPr>
          <w:t>12</w:t>
        </w:r>
      </w:fldSimple>
      <w:r w:rsidRPr="00EC326F">
        <w:t>: General approaches for modelling policy changes</w:t>
      </w:r>
    </w:p>
    <w:tbl>
      <w:tblPr>
        <w:tblStyle w:val="ListTable3-Accent61"/>
        <w:tblW w:w="9606" w:type="dxa"/>
        <w:tblLook w:val="04A0" w:firstRow="1" w:lastRow="0" w:firstColumn="1" w:lastColumn="0" w:noHBand="0" w:noVBand="1"/>
        <w:tblCaption w:val=" General approaches for modelling policy changes&#10;"/>
        <w:tblDescription w:val="This table outlines the general approaches for modelling policy changes in certain situations.&#10;&#10;Situation 1 is defined as when a policy change is fully reflected in last 4 years of experience. The approach is that no explicit adjustment needed as the reference period used already reflects the current policy settings.&#10;&#10;Situation 2 is defined as when a policy change is partially reflected in last 4 years of experience. The approach, where possible, is to reference the more limited time period of relevant experience, supported by additional information on the expected impacts and early experience provided by Departmental experts.&#10;&#10;Situation 3 is defined as when a policy change is not yet reflected in the recent experience. The approach is to explicitly adjust the prior experience to reflect the expected impact of the policy change.&#10;&#10;Situation 4 is defined as when a policy change had not yet taken effect at the valuation date. The approach is to explicitly adjust the prior experience to reflect the expected impact of the policy change.&#10;"/>
      </w:tblPr>
      <w:tblGrid>
        <w:gridCol w:w="4803"/>
        <w:gridCol w:w="4803"/>
      </w:tblGrid>
      <w:tr w:rsidR="00377287" w:rsidRPr="00EC326F" w14:paraId="7EA7296D" w14:textId="77777777" w:rsidTr="005D6CE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03" w:type="dxa"/>
          </w:tcPr>
          <w:p w14:paraId="246729C1" w14:textId="77777777" w:rsidR="00377287" w:rsidRPr="00EC326F" w:rsidRDefault="00377287" w:rsidP="006C2660">
            <w:pPr>
              <w:pStyle w:val="TableColumnHeadingSmall"/>
            </w:pPr>
            <w:r w:rsidRPr="00EC326F">
              <w:t>Situation</w:t>
            </w:r>
          </w:p>
        </w:tc>
        <w:tc>
          <w:tcPr>
            <w:tcW w:w="4803" w:type="dxa"/>
          </w:tcPr>
          <w:p w14:paraId="24B99573" w14:textId="77777777" w:rsidR="00377287" w:rsidRPr="00EC326F" w:rsidRDefault="00377287" w:rsidP="006C2660">
            <w:pPr>
              <w:pStyle w:val="TableColumnHeadingSmall"/>
              <w:cnfStyle w:val="100000000000" w:firstRow="1" w:lastRow="0" w:firstColumn="0" w:lastColumn="0" w:oddVBand="0" w:evenVBand="0" w:oddHBand="0" w:evenHBand="0" w:firstRowFirstColumn="0" w:firstRowLastColumn="0" w:lastRowFirstColumn="0" w:lastRowLastColumn="0"/>
            </w:pPr>
            <w:r w:rsidRPr="00EC326F">
              <w:t>Approach</w:t>
            </w:r>
          </w:p>
        </w:tc>
      </w:tr>
      <w:tr w:rsidR="00377287" w:rsidRPr="00EC326F" w14:paraId="19E558D1" w14:textId="77777777" w:rsidTr="00C10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03" w:type="dxa"/>
          </w:tcPr>
          <w:p w14:paraId="6DED33D4" w14:textId="77777777" w:rsidR="00377287" w:rsidRPr="00EC326F" w:rsidRDefault="00377287" w:rsidP="006C2660">
            <w:pPr>
              <w:pStyle w:val="TableTextSmall"/>
            </w:pPr>
            <w:r w:rsidRPr="00EC326F">
              <w:t>Policy change is fully reflected in last 4 years of experience</w:t>
            </w:r>
          </w:p>
        </w:tc>
        <w:tc>
          <w:tcPr>
            <w:tcW w:w="4803" w:type="dxa"/>
          </w:tcPr>
          <w:p w14:paraId="3FEA4852" w14:textId="77777777" w:rsidR="00377287" w:rsidRPr="00EC326F" w:rsidRDefault="00377287" w:rsidP="006C2660">
            <w:pPr>
              <w:pStyle w:val="TableTextSmall"/>
              <w:cnfStyle w:val="000000100000" w:firstRow="0" w:lastRow="0" w:firstColumn="0" w:lastColumn="0" w:oddVBand="0" w:evenVBand="0" w:oddHBand="1" w:evenHBand="0" w:firstRowFirstColumn="0" w:firstRowLastColumn="0" w:lastRowFirstColumn="0" w:lastRowLastColumn="0"/>
            </w:pPr>
            <w:r w:rsidRPr="00EC326F">
              <w:t>No explicit adjustment needed as the reference period used already reflects the current policy settings.</w:t>
            </w:r>
          </w:p>
        </w:tc>
      </w:tr>
      <w:tr w:rsidR="00377287" w:rsidRPr="00EC326F" w14:paraId="20E7A16F" w14:textId="77777777" w:rsidTr="00C1032B">
        <w:trPr>
          <w:cantSplit/>
        </w:trPr>
        <w:tc>
          <w:tcPr>
            <w:cnfStyle w:val="001000000000" w:firstRow="0" w:lastRow="0" w:firstColumn="1" w:lastColumn="0" w:oddVBand="0" w:evenVBand="0" w:oddHBand="0" w:evenHBand="0" w:firstRowFirstColumn="0" w:firstRowLastColumn="0" w:lastRowFirstColumn="0" w:lastRowLastColumn="0"/>
            <w:tcW w:w="4803" w:type="dxa"/>
          </w:tcPr>
          <w:p w14:paraId="0E8D1A67" w14:textId="77777777" w:rsidR="00377287" w:rsidRPr="00EC326F" w:rsidRDefault="00377287" w:rsidP="006C2660">
            <w:pPr>
              <w:pStyle w:val="TableTextSmall"/>
            </w:pPr>
            <w:r w:rsidRPr="00EC326F">
              <w:t>Policy change is partially reflected in last 4 years of experience</w:t>
            </w:r>
          </w:p>
        </w:tc>
        <w:tc>
          <w:tcPr>
            <w:tcW w:w="4803" w:type="dxa"/>
          </w:tcPr>
          <w:p w14:paraId="563A980A" w14:textId="77777777" w:rsidR="00377287" w:rsidRPr="00EC326F" w:rsidRDefault="00377287" w:rsidP="006C2660">
            <w:pPr>
              <w:pStyle w:val="TableTextSmall"/>
              <w:cnfStyle w:val="000000000000" w:firstRow="0" w:lastRow="0" w:firstColumn="0" w:lastColumn="0" w:oddVBand="0" w:evenVBand="0" w:oddHBand="0" w:evenHBand="0" w:firstRowFirstColumn="0" w:firstRowLastColumn="0" w:lastRowFirstColumn="0" w:lastRowLastColumn="0"/>
            </w:pPr>
            <w:r w:rsidRPr="00EC326F">
              <w:t>Where possible reference the more limited time period of relevant experience, supported by additional information on the expected impacts and early experience provided by Departmental experts.</w:t>
            </w:r>
          </w:p>
        </w:tc>
      </w:tr>
      <w:tr w:rsidR="00377287" w:rsidRPr="00EC326F" w14:paraId="3593564E" w14:textId="77777777" w:rsidTr="00C10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03" w:type="dxa"/>
          </w:tcPr>
          <w:p w14:paraId="7128E514" w14:textId="77777777" w:rsidR="00377287" w:rsidRPr="00EC326F" w:rsidRDefault="00377287" w:rsidP="006C2660">
            <w:pPr>
              <w:pStyle w:val="TableTextSmall"/>
            </w:pPr>
            <w:r w:rsidRPr="00EC326F">
              <w:t>Policy change is not yet reflected in the recent experience</w:t>
            </w:r>
          </w:p>
        </w:tc>
        <w:tc>
          <w:tcPr>
            <w:tcW w:w="4803" w:type="dxa"/>
            <w:vAlign w:val="center"/>
          </w:tcPr>
          <w:p w14:paraId="48E93497" w14:textId="77777777" w:rsidR="00377287" w:rsidRPr="00EC326F" w:rsidRDefault="00377287" w:rsidP="006C2660">
            <w:pPr>
              <w:pStyle w:val="TableTextSmall"/>
              <w:cnfStyle w:val="000000100000" w:firstRow="0" w:lastRow="0" w:firstColumn="0" w:lastColumn="0" w:oddVBand="0" w:evenVBand="0" w:oddHBand="1" w:evenHBand="0" w:firstRowFirstColumn="0" w:firstRowLastColumn="0" w:lastRowFirstColumn="0" w:lastRowLastColumn="0"/>
            </w:pPr>
            <w:r w:rsidRPr="00EC326F">
              <w:t>Explicitly adjust the prior experience to reflect the expected impact of the policy change.</w:t>
            </w:r>
          </w:p>
        </w:tc>
      </w:tr>
      <w:tr w:rsidR="00377287" w:rsidRPr="00EC326F" w14:paraId="775C0E70" w14:textId="77777777" w:rsidTr="00C1032B">
        <w:trPr>
          <w:cantSplit/>
        </w:trPr>
        <w:tc>
          <w:tcPr>
            <w:cnfStyle w:val="001000000000" w:firstRow="0" w:lastRow="0" w:firstColumn="1" w:lastColumn="0" w:oddVBand="0" w:evenVBand="0" w:oddHBand="0" w:evenHBand="0" w:firstRowFirstColumn="0" w:firstRowLastColumn="0" w:lastRowFirstColumn="0" w:lastRowLastColumn="0"/>
            <w:tcW w:w="4803" w:type="dxa"/>
          </w:tcPr>
          <w:p w14:paraId="7062B2D1" w14:textId="77777777" w:rsidR="00377287" w:rsidRPr="00EC326F" w:rsidRDefault="00377287" w:rsidP="006C2660">
            <w:pPr>
              <w:pStyle w:val="TableTextSmall"/>
            </w:pPr>
            <w:r w:rsidRPr="00EC326F">
              <w:t>Policy change had not yet taken effect at the valuation date</w:t>
            </w:r>
          </w:p>
        </w:tc>
        <w:tc>
          <w:tcPr>
            <w:tcW w:w="4803" w:type="dxa"/>
          </w:tcPr>
          <w:p w14:paraId="1572FCE1" w14:textId="3C9C94FD" w:rsidR="00377287" w:rsidRPr="00EC326F" w:rsidRDefault="00540647" w:rsidP="006C2660">
            <w:pPr>
              <w:pStyle w:val="TableTextSmall"/>
              <w:cnfStyle w:val="000000000000" w:firstRow="0" w:lastRow="0" w:firstColumn="0" w:lastColumn="0" w:oddVBand="0" w:evenVBand="0" w:oddHBand="0" w:evenHBand="0" w:firstRowFirstColumn="0" w:firstRowLastColumn="0" w:lastRowFirstColumn="0" w:lastRowLastColumn="0"/>
            </w:pPr>
            <w:r w:rsidRPr="00EC326F">
              <w:t>Explicitly adjust the prior experience to reflect the expected impact of the policy change.</w:t>
            </w:r>
          </w:p>
        </w:tc>
      </w:tr>
    </w:tbl>
    <w:p w14:paraId="21A2E290" w14:textId="77777777" w:rsidR="00377287" w:rsidRPr="002A0A1A" w:rsidRDefault="00377287" w:rsidP="0088370E">
      <w:pPr>
        <w:pStyle w:val="PwCNormal-Single"/>
      </w:pPr>
    </w:p>
    <w:p w14:paraId="00DA7C2B" w14:textId="77777777" w:rsidR="00377287" w:rsidRPr="00EC326F" w:rsidRDefault="00377287" w:rsidP="00377287">
      <w:pPr>
        <w:pStyle w:val="PwCNormal"/>
        <w:numPr>
          <w:ilvl w:val="0"/>
          <w:numId w:val="1"/>
        </w:numPr>
      </w:pPr>
      <w:r w:rsidRPr="00EC326F">
        <w:t xml:space="preserve">We have summarised the main recent and future policy changes in </w:t>
      </w:r>
      <w:r w:rsidRPr="00EC326F">
        <w:fldChar w:fldCharType="begin"/>
      </w:r>
      <w:r w:rsidRPr="00EC326F">
        <w:instrText xml:space="preserve"> REF _Ref437259896 \n \h  \* MERGEFORMAT </w:instrText>
      </w:r>
      <w:r w:rsidRPr="00EC326F">
        <w:fldChar w:fldCharType="separate"/>
      </w:r>
      <w:r w:rsidR="007A42DF">
        <w:t>Appendix A</w:t>
      </w:r>
      <w:r w:rsidRPr="00EC326F">
        <w:fldChar w:fldCharType="end"/>
      </w:r>
      <w:r w:rsidRPr="00EC326F">
        <w:t>. The approaches used for implementing these within the model are as follows:</w:t>
      </w:r>
    </w:p>
    <w:p w14:paraId="58DA2688" w14:textId="77777777" w:rsidR="00377287" w:rsidRPr="00EC326F" w:rsidRDefault="00377287" w:rsidP="00377287">
      <w:pPr>
        <w:pStyle w:val="ListBullet"/>
      </w:pPr>
      <w:r w:rsidRPr="00EC326F">
        <w:t>Pension age changes have been modelled through explicit modelling of each individual’s pension age and the setting of assumptions for the timing of entry onto the age pension relative to pension age.</w:t>
      </w:r>
    </w:p>
    <w:p w14:paraId="44050FFD" w14:textId="77777777" w:rsidR="00377287" w:rsidRPr="00EC326F" w:rsidRDefault="00377287" w:rsidP="00715253">
      <w:pPr>
        <w:pStyle w:val="ListBullet"/>
      </w:pPr>
      <w:r w:rsidRPr="00EC326F">
        <w:t xml:space="preserve">Changes to the pensions asset test have been modelled for age pensioners through explicit identification and allowance for people likely to exit aged pension at the point in time that this legislation takes effect; through adjustments to age pension entry rates applying after the change; and through adjustments to the average size of payments to pensioners remaining after the change. </w:t>
      </w:r>
    </w:p>
    <w:p w14:paraId="11434763" w14:textId="77777777" w:rsidR="00377287" w:rsidRPr="00EC326F" w:rsidRDefault="00377287" w:rsidP="00377287">
      <w:pPr>
        <w:pStyle w:val="ListBullet"/>
      </w:pPr>
      <w:r w:rsidRPr="00EC326F">
        <w:t>The replacement of the Student Start up Scholarship with the Student Start up Loan has been allowed for by only including an assumed bad debt allowance within the lifetime cost</w:t>
      </w:r>
      <w:r w:rsidR="0088370E">
        <w:t>.</w:t>
      </w:r>
    </w:p>
    <w:p w14:paraId="735EB05B" w14:textId="35F63AD0" w:rsidR="00C31B7E" w:rsidRDefault="00377287" w:rsidP="00C31B7E">
      <w:pPr>
        <w:pStyle w:val="ListBullet"/>
      </w:pPr>
      <w:r w:rsidRPr="00EC326F">
        <w:t xml:space="preserve">The changes to Schoolkids Bonus and Income Support Bonus which have their last instalments in July and September 2016 respectively have been allowed for through adjusting the data to remove these payments from the relevant payment categories prior to the assumption setting and </w:t>
      </w:r>
      <w:r w:rsidR="00C31B7E" w:rsidRPr="00C31B7E">
        <w:t>making an explicit adjustment to the future payments in the relevant payment categories to reflect the final instalments due in the first projection year.</w:t>
      </w:r>
      <w:r w:rsidR="00C31B7E" w:rsidRPr="00C31B7E" w:rsidDel="00C31B7E">
        <w:t xml:space="preserve"> </w:t>
      </w:r>
    </w:p>
    <w:p w14:paraId="3D561D5A" w14:textId="77777777" w:rsidR="00D867E9" w:rsidRPr="00C31B7E" w:rsidRDefault="00D867E9" w:rsidP="00C31B7E">
      <w:pPr>
        <w:pStyle w:val="ListBullet"/>
        <w:rPr>
          <w:snapToGrid/>
        </w:rPr>
      </w:pPr>
      <w:r w:rsidRPr="00EC326F">
        <w:t>The cessation of Large Family Supplement with effect from 1 January 2016 has been allowed for through removing these payments from the relevant payment category prior to setting the payment assumptions.</w:t>
      </w:r>
    </w:p>
    <w:p w14:paraId="2BB0DA5E" w14:textId="77777777" w:rsidR="00377287" w:rsidRPr="00EC326F" w:rsidRDefault="007E2E8F" w:rsidP="00377287">
      <w:pPr>
        <w:pStyle w:val="ListBullet"/>
      </w:pPr>
      <w:r w:rsidRPr="00EC326F">
        <w:t>T</w:t>
      </w:r>
      <w:r w:rsidR="00377287" w:rsidRPr="00EC326F">
        <w:t>he cessation of Low Income Supplement with effect from 30 June 2017 has been allowed for through explicit adjustments to the level of payments in the relevant payment categories for the 2017/18 year onwards.</w:t>
      </w:r>
    </w:p>
    <w:p w14:paraId="3AB6055E" w14:textId="77777777" w:rsidR="00017186" w:rsidRPr="00EC326F" w:rsidRDefault="00017186" w:rsidP="00017186">
      <w:pPr>
        <w:pStyle w:val="ListBullet"/>
      </w:pPr>
      <w:r w:rsidRPr="00EC326F">
        <w:t>Changes to the eligibility criteria and payment rates for FTB part B have been allowed for by adjusting the FTB data prior to the assumption setting to reflect the new payment criteria.</w:t>
      </w:r>
    </w:p>
    <w:p w14:paraId="73F8A9FB" w14:textId="77777777" w:rsidR="007E2E8F" w:rsidRDefault="0017124A" w:rsidP="0017124A">
      <w:pPr>
        <w:pStyle w:val="ListBullet"/>
      </w:pPr>
      <w:r w:rsidRPr="00EC326F">
        <w:t>Changes to Family Assistance Law affecting Child Care Benefit (CCB) approved Family Day Care (FDC) services and aimed at ending ‘child swapping’ have been allowed for through an overall adjustment to the assessed lifetime cost in respect of the other family payment category.</w:t>
      </w:r>
    </w:p>
    <w:p w14:paraId="542D8997" w14:textId="604322C6" w:rsidR="00D66A5A" w:rsidRPr="00EC326F" w:rsidRDefault="00D66A5A" w:rsidP="00D66A5A">
      <w:pPr>
        <w:pStyle w:val="PwCNormal"/>
      </w:pPr>
      <w:r>
        <w:t>The adjustments have been developed to reflect the estimated direct impact of the change. No allowance has been made</w:t>
      </w:r>
      <w:r w:rsidR="0016798D">
        <w:t xml:space="preserve"> for any behavioural responses to the changes.</w:t>
      </w:r>
    </w:p>
    <w:p w14:paraId="259E0349" w14:textId="77777777" w:rsidR="00D867E9" w:rsidRPr="00EC326F" w:rsidRDefault="00D867E9" w:rsidP="00D867E9">
      <w:pPr>
        <w:pStyle w:val="Minorheading"/>
        <w:rPr>
          <w:snapToGrid/>
        </w:rPr>
      </w:pPr>
      <w:r w:rsidRPr="00EC326F">
        <w:t>Changes since the baseline valuation</w:t>
      </w:r>
    </w:p>
    <w:p w14:paraId="39F0E029" w14:textId="77777777" w:rsidR="00D867E9" w:rsidRPr="00EC326F" w:rsidRDefault="00D867E9" w:rsidP="00D867E9">
      <w:pPr>
        <w:pStyle w:val="PwCNormal"/>
      </w:pPr>
      <w:r w:rsidRPr="00EC326F">
        <w:t>The main changes to the policy settings since the baseline valuation are the replacement of the Student Start up Scholarship with the Student Start up Loan; the cessation of the Large Family Supplement; the changes to FTB part B and the changes to the child care payment eligibility criteria.</w:t>
      </w:r>
    </w:p>
    <w:p w14:paraId="68D45A29" w14:textId="77777777" w:rsidR="00D867E9" w:rsidRPr="00EC326F" w:rsidRDefault="00D867E9" w:rsidP="00D867E9">
      <w:pPr>
        <w:pStyle w:val="PwCNormal"/>
      </w:pPr>
      <w:r w:rsidRPr="00EC326F">
        <w:t xml:space="preserve">The impact of these policy changes is discussed in the </w:t>
      </w:r>
      <w:r w:rsidR="0011562A">
        <w:t>section</w:t>
      </w:r>
      <w:r w:rsidR="00A5498C">
        <w:t xml:space="preserve"> </w:t>
      </w:r>
      <w:r w:rsidR="00A5498C">
        <w:fldChar w:fldCharType="begin"/>
      </w:r>
      <w:r w:rsidR="00A5498C">
        <w:instrText xml:space="preserve"> REF _Ref466492560 \w \h </w:instrText>
      </w:r>
      <w:r w:rsidR="00A5498C">
        <w:fldChar w:fldCharType="separate"/>
      </w:r>
      <w:r w:rsidR="007A42DF">
        <w:t>7</w:t>
      </w:r>
      <w:r w:rsidR="00A5498C">
        <w:fldChar w:fldCharType="end"/>
      </w:r>
      <w:r w:rsidRPr="00EC326F">
        <w:t>.</w:t>
      </w:r>
    </w:p>
    <w:p w14:paraId="3593CBDC" w14:textId="77777777" w:rsidR="00BB5CB9" w:rsidRPr="00EC326F" w:rsidRDefault="00BB5CB9" w:rsidP="00BB5CB9">
      <w:pPr>
        <w:pStyle w:val="Minorheading"/>
      </w:pPr>
      <w:bookmarkStart w:id="189" w:name="_Toc466019163"/>
      <w:r w:rsidRPr="00EC326F">
        <w:rPr>
          <w:i w:val="0"/>
          <w:snapToGrid/>
        </w:rPr>
        <w:lastRenderedPageBreak/>
        <w:t>Operational developments</w:t>
      </w:r>
      <w:bookmarkEnd w:id="189"/>
    </w:p>
    <w:p w14:paraId="02007F28" w14:textId="77777777" w:rsidR="00BB5CB9" w:rsidRPr="00EC326F" w:rsidRDefault="00BB5CB9" w:rsidP="00C1032B">
      <w:pPr>
        <w:pStyle w:val="PwCNormal"/>
        <w:numPr>
          <w:ilvl w:val="0"/>
          <w:numId w:val="0"/>
        </w:numPr>
      </w:pPr>
      <w:r w:rsidRPr="00EC326F">
        <w:t>Over the year from 1 July 2015 to 30 June 2016 there ha</w:t>
      </w:r>
      <w:r w:rsidR="00C1032B" w:rsidRPr="00EC326F">
        <w:t>s</w:t>
      </w:r>
      <w:r w:rsidRPr="00EC326F">
        <w:t xml:space="preserve"> been one main </w:t>
      </w:r>
      <w:r w:rsidR="00C1032B" w:rsidRPr="00EC326F">
        <w:t>area of operational activity</w:t>
      </w:r>
      <w:r w:rsidRPr="00EC326F">
        <w:t xml:space="preserve"> which has impacted t</w:t>
      </w:r>
      <w:r w:rsidR="00C1032B" w:rsidRPr="00EC326F">
        <w:t xml:space="preserve">he welfare recipient population and this relates to the Disability Support Pension. </w:t>
      </w:r>
      <w:r w:rsidRPr="00EC326F">
        <w:t>As part of the Disability Support Pension eligibility assessment process, the Department has been continuing the initiative to use contracted government doctors to conduct the Disability Medical Assessments.</w:t>
      </w:r>
    </w:p>
    <w:p w14:paraId="681AD8E7" w14:textId="77777777" w:rsidR="00BB5CB9" w:rsidRPr="00EC326F" w:rsidRDefault="00BB5CB9" w:rsidP="00C1032B">
      <w:pPr>
        <w:pStyle w:val="ListBullet"/>
      </w:pPr>
      <w:r w:rsidRPr="00EC326F">
        <w:t>These assessments were</w:t>
      </w:r>
      <w:r w:rsidR="0017124A" w:rsidRPr="00EC326F">
        <w:t xml:space="preserve"> first</w:t>
      </w:r>
      <w:r w:rsidRPr="00EC326F">
        <w:t xml:space="preserve"> introduced as part of the process for new DSP claims from 1 January 2015 and ha</w:t>
      </w:r>
      <w:r w:rsidR="0017124A" w:rsidRPr="00EC326F">
        <w:t>ve</w:t>
      </w:r>
      <w:r w:rsidRPr="00EC326F">
        <w:t xml:space="preserve"> been fully implemented from 1 July 2015</w:t>
      </w:r>
      <w:r w:rsidR="0088370E">
        <w:t>.</w:t>
      </w:r>
    </w:p>
    <w:p w14:paraId="50046F68" w14:textId="359B9DDC" w:rsidR="007716BE" w:rsidRDefault="007B58CF" w:rsidP="007716BE">
      <w:pPr>
        <w:pStyle w:val="ListBullet"/>
      </w:pPr>
      <w:r w:rsidRPr="007B58CF">
        <w:t xml:space="preserve">A process of reviewing DSP medical assessments for current recipients under the age of 35 also commenced </w:t>
      </w:r>
      <w:r w:rsidR="006B2DC2">
        <w:t>from</w:t>
      </w:r>
      <w:r w:rsidRPr="007B58CF">
        <w:t xml:space="preserve"> 1 July 2014 and continued through the 2015-16 financial year.</w:t>
      </w:r>
    </w:p>
    <w:p w14:paraId="3EF3DEC3" w14:textId="2489897A" w:rsidR="00BB5CB9" w:rsidRPr="00EC326F" w:rsidRDefault="00BB5CB9" w:rsidP="00E30A90">
      <w:pPr>
        <w:pStyle w:val="PwCNormal"/>
      </w:pPr>
      <w:r w:rsidRPr="00EC326F">
        <w:t>This development has resulted in changes to the welfare population at 30 June 2016</w:t>
      </w:r>
      <w:r w:rsidR="005554A9">
        <w:t>. In particular, as most of the people impacted started receiving Newstart in place of disability support pension there was a small reduction in the number of disability support pension recipients and an equivalent increase in working age payment recipients</w:t>
      </w:r>
      <w:r w:rsidRPr="00EC326F">
        <w:t>.</w:t>
      </w:r>
      <w:r w:rsidR="00B818DB">
        <w:t xml:space="preserve"> While the assessments resulted in reduced numbers of DSP recipients, they did not directly impact </w:t>
      </w:r>
      <w:r w:rsidR="00B73A14">
        <w:t xml:space="preserve">the </w:t>
      </w:r>
      <w:r w:rsidR="00B818DB">
        <w:t xml:space="preserve">average payment levels for </w:t>
      </w:r>
      <w:r w:rsidR="00B73A14">
        <w:t>disability support benefits</w:t>
      </w:r>
      <w:r w:rsidR="00B818DB">
        <w:t>.</w:t>
      </w:r>
    </w:p>
    <w:p w14:paraId="2CB5B77B" w14:textId="77777777" w:rsidR="00BB5CB9" w:rsidRPr="00EC326F" w:rsidRDefault="00BB5CB9" w:rsidP="001A4479">
      <w:pPr>
        <w:pStyle w:val="PwCNormal"/>
        <w:numPr>
          <w:ilvl w:val="0"/>
          <w:numId w:val="37"/>
        </w:numPr>
      </w:pPr>
      <w:r w:rsidRPr="00EC326F">
        <w:t>There have been a number of other changes taking effect over the year, such as the legislation to cap the deductible amount for defined income benefit streams and changes to the means test arrangements f</w:t>
      </w:r>
      <w:r w:rsidR="0088370E">
        <w:t>or Youth Allowance and Abstudy L</w:t>
      </w:r>
      <w:r w:rsidRPr="00EC326F">
        <w:t xml:space="preserve">iving Allowance. Whilst a significant number of people had changes to their payment amounts the changes to the numbers of people receiving payments were relatively small (less than 0.5% of people in relevant classes).  </w:t>
      </w:r>
    </w:p>
    <w:p w14:paraId="524CBEF4" w14:textId="77777777" w:rsidR="005A4605" w:rsidRPr="00EC326F" w:rsidRDefault="005A4605" w:rsidP="005A4605">
      <w:pPr>
        <w:pStyle w:val="Heading3"/>
      </w:pPr>
      <w:bookmarkStart w:id="190" w:name="_Ref466390260"/>
      <w:bookmarkStart w:id="191" w:name="_Toc493844236"/>
      <w:r w:rsidRPr="00EC326F">
        <w:t>Flow assumptions</w:t>
      </w:r>
      <w:bookmarkEnd w:id="190"/>
      <w:bookmarkEnd w:id="191"/>
    </w:p>
    <w:p w14:paraId="6546653D" w14:textId="77777777" w:rsidR="005A4605" w:rsidRPr="00EC326F" w:rsidRDefault="005A4605" w:rsidP="005A4605">
      <w:pPr>
        <w:pStyle w:val="Heading4"/>
      </w:pPr>
      <w:r w:rsidRPr="00EC326F">
        <w:t>Overview of demographic flow assumptions</w:t>
      </w:r>
    </w:p>
    <w:p w14:paraId="58A6C3C1" w14:textId="77777777" w:rsidR="00377287" w:rsidRPr="00EC326F" w:rsidRDefault="00377287" w:rsidP="00377287">
      <w:pPr>
        <w:pStyle w:val="PwCNormal"/>
        <w:numPr>
          <w:ilvl w:val="0"/>
          <w:numId w:val="1"/>
        </w:numPr>
      </w:pPr>
      <w:r w:rsidRPr="00EC326F">
        <w:t>Demographic models often focus on age and gender, with the driving events of births and deaths. While this model needed to consider these, it needed to do much more. As welfare entitlements are strongly related to household structures it was critical that the model properly emulate how such structures can change over time. Since the model simulates individuals rather than households, this means that the model had to consider the key household circumstances of each individual.</w:t>
      </w:r>
    </w:p>
    <w:p w14:paraId="10B0A0DA" w14:textId="77777777" w:rsidR="00377287" w:rsidRPr="00EC326F" w:rsidRDefault="0017124A" w:rsidP="00377287">
      <w:pPr>
        <w:pStyle w:val="PwCNormal"/>
        <w:numPr>
          <w:ilvl w:val="0"/>
          <w:numId w:val="1"/>
        </w:numPr>
      </w:pPr>
      <w:r w:rsidRPr="00EC326F">
        <w:t>With</w:t>
      </w:r>
      <w:r w:rsidR="00377287" w:rsidRPr="00EC326F">
        <w:t xml:space="preserve">in the model, the household structure is defined by the partnership status of the individual and the number and ages of children in their care, as well as the frequently different roles undertaken by </w:t>
      </w:r>
      <w:r w:rsidR="0088370E">
        <w:t>men</w:t>
      </w:r>
      <w:r w:rsidR="00377287" w:rsidRPr="00EC326F">
        <w:t xml:space="preserve"> and </w:t>
      </w:r>
      <w:r w:rsidR="00397976" w:rsidRPr="00EC326F">
        <w:rPr>
          <w:snapToGrid/>
          <w:lang w:eastAsia="en-AU"/>
        </w:rPr>
        <w:t>women</w:t>
      </w:r>
      <w:r w:rsidR="00377287" w:rsidRPr="00EC326F">
        <w:t>. The number of possible structures is substantial and hence the number of possible transitions is enormous. To make this manageable the model used a structural approach by considering:</w:t>
      </w:r>
    </w:p>
    <w:p w14:paraId="63178796" w14:textId="77777777" w:rsidR="00377287" w:rsidRPr="00EC326F" w:rsidRDefault="00377287" w:rsidP="00377287">
      <w:pPr>
        <w:pStyle w:val="Bullet1"/>
      </w:pPr>
      <w:r w:rsidRPr="00EC326F">
        <w:t>Changes in partnership status, that is, changes from partnered to single and vice versa. Given that payment eligibility does not distinguish between married and de facto partners, these have been considered together.</w:t>
      </w:r>
    </w:p>
    <w:p w14:paraId="18B96EC5" w14:textId="77777777" w:rsidR="00377287" w:rsidRPr="00EC326F" w:rsidRDefault="00377287" w:rsidP="00377287">
      <w:pPr>
        <w:pStyle w:val="Bullet1"/>
      </w:pPr>
      <w:r w:rsidRPr="00EC326F">
        <w:t>Changes in care of children:</w:t>
      </w:r>
    </w:p>
    <w:p w14:paraId="1CDB36E9" w14:textId="77777777" w:rsidR="00377287" w:rsidRPr="00EC326F" w:rsidRDefault="00377287" w:rsidP="00377287">
      <w:pPr>
        <w:pStyle w:val="Bullet2"/>
      </w:pPr>
      <w:r w:rsidRPr="00EC326F">
        <w:t>The possible reduction in the number of children in the care of an individual, such as through children becoming independent.</w:t>
      </w:r>
    </w:p>
    <w:p w14:paraId="20D65D17" w14:textId="77777777" w:rsidR="00377287" w:rsidRPr="00EC326F" w:rsidRDefault="00377287" w:rsidP="00377287">
      <w:pPr>
        <w:pStyle w:val="Bullet2"/>
      </w:pPr>
      <w:r w:rsidRPr="00EC326F">
        <w:t>The possible increase in the number of children in the care of an individual. Where more than one child is gained, a distribution of ages is simulated. This process can model blended families as well as dependent children returning to the home. The specific case of gaining at least one child of age zero (a new birth) is considered separately to that of gaining children of other ages.</w:t>
      </w:r>
    </w:p>
    <w:p w14:paraId="5ABE0A07" w14:textId="77777777" w:rsidR="00377287" w:rsidRPr="00EC326F" w:rsidRDefault="00377287" w:rsidP="00377287">
      <w:pPr>
        <w:pStyle w:val="PwCNormal"/>
        <w:numPr>
          <w:ilvl w:val="0"/>
          <w:numId w:val="1"/>
        </w:numPr>
      </w:pPr>
      <w:r w:rsidRPr="00EC326F">
        <w:t>The simulation models the transitions in these characteristics for each individual in each future year, and uses the new household circumstances of the individual to influence future transitions. Note that the nature of the model means that one child may be recorded as being in the care of more than one individual, reflecting joint care.</w:t>
      </w:r>
    </w:p>
    <w:p w14:paraId="4793A41B" w14:textId="77777777" w:rsidR="00377287" w:rsidRPr="00EC326F" w:rsidRDefault="00377287" w:rsidP="00377287">
      <w:pPr>
        <w:pStyle w:val="PwCNormal"/>
        <w:numPr>
          <w:ilvl w:val="0"/>
          <w:numId w:val="1"/>
        </w:numPr>
      </w:pPr>
      <w:r w:rsidRPr="00EC326F">
        <w:t>A key contributor to these demographic flow models was the HILDA (Household Income and Labour Dynamics Australia) data that has tracked over 20,000 Australians over fifteen years, providing unique quantification of the changes that occur in people's lives. Departmental administrative data was also used to better characterise the experience of the population subsets of individuals receiving payments, and given the very substantial size of this dataset (circa 8 million people) it provided highly detailed information which could be referenced for establishing assumptions and as a constant cross-check for the HILDA data.</w:t>
      </w:r>
    </w:p>
    <w:p w14:paraId="060B796D" w14:textId="77777777" w:rsidR="00377287" w:rsidRPr="00EC326F" w:rsidRDefault="00377287" w:rsidP="00377287">
      <w:pPr>
        <w:pStyle w:val="PwCNormal"/>
        <w:numPr>
          <w:ilvl w:val="0"/>
          <w:numId w:val="1"/>
        </w:numPr>
      </w:pPr>
      <w:r w:rsidRPr="00EC326F">
        <w:lastRenderedPageBreak/>
        <w:t>We have also modelled mortality and while it is not strictly a demographic property, it was appropriate to consider educational status in this part of the model. The approach for developing each of these characteristics is discussed in turn below.</w:t>
      </w:r>
    </w:p>
    <w:p w14:paraId="013E075E" w14:textId="77777777" w:rsidR="00377287" w:rsidRPr="00EC326F" w:rsidRDefault="00377287" w:rsidP="00377287">
      <w:pPr>
        <w:pStyle w:val="PwCNormal"/>
        <w:numPr>
          <w:ilvl w:val="0"/>
          <w:numId w:val="1"/>
        </w:numPr>
      </w:pPr>
      <w:r w:rsidRPr="00EC326F">
        <w:t>Further, there are some characteristics which do not change over time (such as a person’s country of birth) or change in a predictable way (such as a person’s age) and these have also been considered in the simulation model as their effects can be modelled without requiring additional assumptions.</w:t>
      </w:r>
    </w:p>
    <w:p w14:paraId="43AD608A" w14:textId="77777777" w:rsidR="005A4605" w:rsidRPr="00EC326F" w:rsidRDefault="005A4605" w:rsidP="005A4605">
      <w:pPr>
        <w:pStyle w:val="Heading4"/>
      </w:pPr>
      <w:r w:rsidRPr="00EC326F">
        <w:t>Mortality</w:t>
      </w:r>
    </w:p>
    <w:p w14:paraId="6D5D5B3C" w14:textId="77777777" w:rsidR="00F618B5" w:rsidRPr="00EC326F" w:rsidRDefault="00F618B5" w:rsidP="00F618B5">
      <w:pPr>
        <w:pStyle w:val="PwCNormal"/>
        <w:numPr>
          <w:ilvl w:val="0"/>
          <w:numId w:val="0"/>
        </w:numPr>
      </w:pPr>
      <w:r w:rsidRPr="00EC326F">
        <w:t>Mortality, or the rate at which people die, is an important element of welfare and population projections. The longer people live, the higher the welfare lifetime cost.</w:t>
      </w:r>
    </w:p>
    <w:p w14:paraId="3181EE94" w14:textId="77777777" w:rsidR="00F618B5" w:rsidRPr="00EC326F" w:rsidRDefault="00F618B5" w:rsidP="00F618B5">
      <w:pPr>
        <w:pStyle w:val="PwCNormal"/>
        <w:numPr>
          <w:ilvl w:val="0"/>
          <w:numId w:val="0"/>
        </w:numPr>
      </w:pPr>
      <w:r w:rsidRPr="00EC326F">
        <w:t xml:space="preserve">Our approach to mortality assumptions is to cross reference existing published mortality tables where possible, subject to validation with experience from the Department’s administrative data. Existing mortality tables contain rates of deaths by age and gender, with improvement factors to estimate the increasing life expectancy over time. The Australian Government Actuary </w:t>
      </w:r>
      <w:r w:rsidR="0088370E">
        <w:t xml:space="preserve">(AGA) </w:t>
      </w:r>
      <w:r w:rsidRPr="00EC326F">
        <w:t xml:space="preserve">population mortality rates were adopted as a base assumption together with 25-year mortality improvement factors. </w:t>
      </w:r>
    </w:p>
    <w:p w14:paraId="60AA7F40" w14:textId="77777777" w:rsidR="00F618B5" w:rsidRPr="00EC326F" w:rsidRDefault="00F618B5" w:rsidP="00F618B5">
      <w:pPr>
        <w:pStyle w:val="PwCNormal"/>
        <w:numPr>
          <w:ilvl w:val="0"/>
          <w:numId w:val="0"/>
        </w:numPr>
      </w:pPr>
      <w:r w:rsidRPr="00EC326F">
        <w:t xml:space="preserve">We then considered mortality differences for sub-groups within the population by undertaking a literature review of existing research. Guided by this, we analysed subgroups within the welfare recipient population that exhibit higher or lower than average mortality. </w:t>
      </w:r>
    </w:p>
    <w:p w14:paraId="07E0B224" w14:textId="77777777" w:rsidR="00F618B5" w:rsidRPr="00EC326F" w:rsidRDefault="00F618B5" w:rsidP="00F618B5">
      <w:pPr>
        <w:pStyle w:val="PwCNormal"/>
        <w:numPr>
          <w:ilvl w:val="0"/>
          <w:numId w:val="0"/>
        </w:numPr>
      </w:pPr>
      <w:r w:rsidRPr="00EC326F">
        <w:t>For a number of the classes the past mortality was observed to be significantly lower than that implied by the AGA or ABS tables. This was investigated and considered to be a result of underreporting of deaths in the administrative dataset. For example, FTB recipients with no obligation to report to Centrelink on a regular basis are more likely to not report a death when exiting the welfare system. We have accounted for this effect in developing our mortality and exit projections.</w:t>
      </w:r>
    </w:p>
    <w:p w14:paraId="521EB42B" w14:textId="77777777" w:rsidR="00F618B5" w:rsidRPr="00EC326F" w:rsidRDefault="00F618B5" w:rsidP="00F618B5">
      <w:pPr>
        <w:pStyle w:val="PwCNormal"/>
        <w:numPr>
          <w:ilvl w:val="0"/>
          <w:numId w:val="0"/>
        </w:numPr>
      </w:pPr>
      <w:r w:rsidRPr="00EC326F">
        <w:t>The analysis of population segment mortality rates has been extended at the 2016 valuation by:</w:t>
      </w:r>
    </w:p>
    <w:p w14:paraId="7EF2AC16" w14:textId="77777777" w:rsidR="00F618B5" w:rsidRPr="00EC326F" w:rsidRDefault="00F618B5" w:rsidP="00F618B5">
      <w:pPr>
        <w:pStyle w:val="ListBullet"/>
      </w:pPr>
      <w:r w:rsidRPr="00EC326F">
        <w:t>referencing the newly included information on the primary medical condition of disability support pension recipients to ascertain whether the mortality experience varies between people with different medical conditions; and</w:t>
      </w:r>
    </w:p>
    <w:p w14:paraId="3EC0B95C" w14:textId="4B6BCD3C" w:rsidR="00F618B5" w:rsidRPr="00EC326F" w:rsidRDefault="00F618B5" w:rsidP="00F618B5">
      <w:pPr>
        <w:pStyle w:val="ListBullet"/>
      </w:pPr>
      <w:r w:rsidRPr="00EC326F">
        <w:t xml:space="preserve">considering the extent to which the mortality for the main population segments should be reduced to offset the higher mortality for </w:t>
      </w:r>
      <w:r w:rsidR="00B36672">
        <w:t>I</w:t>
      </w:r>
      <w:r w:rsidRPr="00EC326F">
        <w:t>ndigenous people and DSP recipients.</w:t>
      </w:r>
    </w:p>
    <w:p w14:paraId="0293D185" w14:textId="77777777" w:rsidR="00F618B5" w:rsidRPr="00EC326F" w:rsidRDefault="00F618B5" w:rsidP="00F618B5">
      <w:pPr>
        <w:pStyle w:val="ListBullet2"/>
      </w:pPr>
      <w:r w:rsidRPr="00EC326F">
        <w:t>This analysis established that an offsetting adjustment would be appropriate up to age 80, but was not required at higher ages where population mortality is higher.</w:t>
      </w:r>
    </w:p>
    <w:p w14:paraId="7BD99FA6" w14:textId="77777777" w:rsidR="00F618B5" w:rsidRPr="00EC326F" w:rsidRDefault="00F618B5" w:rsidP="00F618B5">
      <w:pPr>
        <w:pStyle w:val="ListBullet2"/>
      </w:pPr>
      <w:r w:rsidRPr="00EC326F">
        <w:t>We also referenced external research</w:t>
      </w:r>
      <w:r w:rsidRPr="00EC326F">
        <w:rPr>
          <w:rStyle w:val="FootnoteReference"/>
        </w:rPr>
        <w:footnoteReference w:id="5"/>
      </w:r>
      <w:r w:rsidRPr="00EC326F">
        <w:t xml:space="preserve"> on population mortality which considered the experience of different socio economic groups within the population and showed that it differed considerably. </w:t>
      </w:r>
    </w:p>
    <w:p w14:paraId="66CE9652" w14:textId="77777777" w:rsidR="00F618B5" w:rsidRPr="00EC326F" w:rsidRDefault="00F618B5" w:rsidP="00F618B5">
      <w:pPr>
        <w:pStyle w:val="PwCNormal"/>
        <w:numPr>
          <w:ilvl w:val="0"/>
          <w:numId w:val="0"/>
        </w:numPr>
      </w:pPr>
      <w:r w:rsidRPr="00EC326F">
        <w:t>The table below sets out the subgroups for which we have adopted separate mortality rates and details the rates adopted. Our adopted mortality rates for the various subgroups are based on the following reasons:</w:t>
      </w:r>
    </w:p>
    <w:p w14:paraId="1E69B1AA" w14:textId="01AD4E51" w:rsidR="00F618B5" w:rsidRPr="00EC326F" w:rsidRDefault="00F618B5" w:rsidP="00F618B5">
      <w:pPr>
        <w:pStyle w:val="ListBullet"/>
      </w:pPr>
      <w:r w:rsidRPr="00EC326F">
        <w:t xml:space="preserve">Indigenous Australians experience significantly poorer mortality than the remainder of the population. Our approach references external analyses of </w:t>
      </w:r>
      <w:r w:rsidR="00B36672">
        <w:t>I</w:t>
      </w:r>
      <w:r w:rsidRPr="00EC326F">
        <w:t>ndigenous mortality.</w:t>
      </w:r>
    </w:p>
    <w:p w14:paraId="57D1937C" w14:textId="77777777" w:rsidR="00F618B5" w:rsidRPr="00EC326F" w:rsidRDefault="00F618B5" w:rsidP="00F618B5">
      <w:pPr>
        <w:pStyle w:val="ListBullet"/>
      </w:pPr>
      <w:r w:rsidRPr="00EC326F">
        <w:t>We recognise that the income support classes (excluding the age pension as a significant proportion of the post-retirement population have access to the age pension) would include an over-representation of the lower socio-economic groups who are demonstrated to have worse mortality outcomes than higher socio-economic groups. As such, we have applied mortality reductions only for people not on income support (other than the age pension).</w:t>
      </w:r>
    </w:p>
    <w:p w14:paraId="1E13D5E3" w14:textId="77777777" w:rsidR="00F618B5" w:rsidRPr="00EC326F" w:rsidRDefault="00F618B5" w:rsidP="00DA56E6">
      <w:pPr>
        <w:pStyle w:val="ListBullet"/>
      </w:pPr>
      <w:r w:rsidRPr="00EC326F">
        <w:t>Disability Support Pension recipients were found to have higher mortality than population average.</w:t>
      </w:r>
      <w:r w:rsidR="0088370E">
        <w:t xml:space="preserve"> This was especially the case for people with cancer, and was also observed for other DSP recipients</w:t>
      </w:r>
    </w:p>
    <w:p w14:paraId="7A013722" w14:textId="77777777" w:rsidR="00F618B5" w:rsidRPr="00EC326F" w:rsidRDefault="00F618B5" w:rsidP="00F618B5">
      <w:pPr>
        <w:pStyle w:val="Caption"/>
      </w:pPr>
      <w:r w:rsidRPr="00EC326F">
        <w:lastRenderedPageBreak/>
        <w:t xml:space="preserve">Table </w:t>
      </w:r>
      <w:fldSimple w:instr=" SEQ Table \* ARABIC ">
        <w:r w:rsidR="007A42DF">
          <w:rPr>
            <w:noProof/>
          </w:rPr>
          <w:t>13</w:t>
        </w:r>
      </w:fldSimple>
      <w:r w:rsidRPr="00EC326F">
        <w:t>: Mortality assumptions</w:t>
      </w:r>
    </w:p>
    <w:tbl>
      <w:tblPr>
        <w:tblStyle w:val="ListTable3-Accent61"/>
        <w:tblW w:w="9355" w:type="dxa"/>
        <w:tblInd w:w="108" w:type="dxa"/>
        <w:tblLook w:val="04A0" w:firstRow="1" w:lastRow="0" w:firstColumn="1" w:lastColumn="0" w:noHBand="0" w:noVBand="1"/>
        <w:tblCaption w:val=" Mortality assumptions&#10;"/>
        <w:tblDescription w:val="This table displays the mortality assumptions selected for segments of the population and the rationale behind these selections.&#10;&#10;The population is split into three broad categories; Disability Support Recipients, Indigenous Australians (excluding DSP recipients) and Other Australians (excluding DSP recipients).&#10;&#10;DSP recipients were further split into the following sub-segments; &#10;• All people with cancer&#10;• Non-indigenous people except those with cancer&#10;• Indigenous people except those with cancer&#10;&#10;DSP recipients with cancer exhibit much higher mortality than the population average and also have higher mortality than DSP recipients with other medical conditions. Therefore, the mortality rates adopted were those observed mortality rates in the past experience.&#10;&#10;DSP recipients who are non-indigenous people and who do not have cancer exhibit higher mortality than the population average. The adopted mortality assumptions were based on the AGA table loaded by age based factors developed by reference to the past experience.&#10;&#10;Indigenous DSP recipients who do not have cancer exhibit higher mortality than the population average and also higher mortality than Indigenous Australians in general. ABS tables for Indigenous mortality rates loaded by age based factors developed by reference to the past experience were used as the selected mortality assumptions. &#10;&#10;The second broad population segment, Indigenous Australians (excluding those on DSP) is split into the following sub-segments;&#10;• People receiving income support (except those receiving the age pension)&#10;• Other : These people are either not receiving any welfare or only receiving the age pension and/or non-income support payments&#10;&#10;The first sub-segment of people, indigenous people utilising income support, experience significantly poorer mortality than the remainder of the population. ABS tables for Indigenous mortality rates have been used as the selected assumptions.&#10;&#10;The latter sub-segment includes people in higher socio-economic groups who have better mortality outcomes than lower socio-economic groups. The mortality assumptions used are based on a AGA table reduced for ages up to 80 by factors developed to ensure the overall population mortality reflects the AGA tables. &#10;&#10;The final population group, Other Australians (excluding DSP recipients) is split into the following sub-segments;&#10;• People receiving income support (except those receiving the age pension)&#10;• Other - These people are either not receiving any welfare or only receiving the age pension and/or non-income support payments.&#10;&#10;Other Australians receiving income support other than the age pension will include many people in lower socio-economic groups who tend to have poorer mortality outcomes than higher socio-economic groups. The AGA table has been used to drive mortality assumptions for this group.&#10;&#10;The second sub-segment “Other” is a substantial population group and will include many people in higher socio-economic groups who are demonstrated to have better mortality outcomes than lower socio-economic groups. The AGA table reduced for ages up to 80 by factors developed to ensure the overall population mortality reflects the AGA tables has been used for mortality assumptions.&#10;"/>
      </w:tblPr>
      <w:tblGrid>
        <w:gridCol w:w="1560"/>
        <w:gridCol w:w="2126"/>
        <w:gridCol w:w="3118"/>
        <w:gridCol w:w="2551"/>
      </w:tblGrid>
      <w:tr w:rsidR="00F618B5" w:rsidRPr="00EC326F" w14:paraId="3FC6AB9E" w14:textId="77777777" w:rsidTr="00F618B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60" w:type="dxa"/>
          </w:tcPr>
          <w:p w14:paraId="1BAD131B" w14:textId="77777777" w:rsidR="00F618B5" w:rsidRPr="00EC326F" w:rsidRDefault="00F618B5" w:rsidP="00152AEF">
            <w:pPr>
              <w:pStyle w:val="TableColumnHeadingSmall"/>
            </w:pPr>
            <w:r w:rsidRPr="00EC326F">
              <w:t>Population segment</w:t>
            </w:r>
          </w:p>
        </w:tc>
        <w:tc>
          <w:tcPr>
            <w:tcW w:w="2126" w:type="dxa"/>
          </w:tcPr>
          <w:p w14:paraId="59C2C11B" w14:textId="77777777" w:rsidR="00F618B5" w:rsidRPr="00EC326F" w:rsidRDefault="00F618B5" w:rsidP="00152AEF">
            <w:pPr>
              <w:pStyle w:val="TableColumnHeadingSmall"/>
              <w:cnfStyle w:val="100000000000" w:firstRow="1" w:lastRow="0" w:firstColumn="0" w:lastColumn="0" w:oddVBand="0" w:evenVBand="0" w:oddHBand="0" w:evenHBand="0" w:firstRowFirstColumn="0" w:firstRowLastColumn="0" w:lastRowFirstColumn="0" w:lastRowLastColumn="0"/>
            </w:pPr>
            <w:r w:rsidRPr="00EC326F">
              <w:t>Sub-segment</w:t>
            </w:r>
          </w:p>
        </w:tc>
        <w:tc>
          <w:tcPr>
            <w:tcW w:w="3118" w:type="dxa"/>
          </w:tcPr>
          <w:p w14:paraId="1F7721E5" w14:textId="77777777" w:rsidR="00F618B5" w:rsidRPr="00EC326F" w:rsidRDefault="00F618B5" w:rsidP="00152AEF">
            <w:pPr>
              <w:pStyle w:val="TableColumnHeadingSmall"/>
              <w:cnfStyle w:val="100000000000" w:firstRow="1" w:lastRow="0" w:firstColumn="0" w:lastColumn="0" w:oddVBand="0" w:evenVBand="0" w:oddHBand="0" w:evenHBand="0" w:firstRowFirstColumn="0" w:firstRowLastColumn="0" w:lastRowFirstColumn="0" w:lastRowLastColumn="0"/>
            </w:pPr>
            <w:r w:rsidRPr="00EC326F">
              <w:t>Reasoning and approach</w:t>
            </w:r>
          </w:p>
        </w:tc>
        <w:tc>
          <w:tcPr>
            <w:tcW w:w="2551" w:type="dxa"/>
          </w:tcPr>
          <w:p w14:paraId="385C160C" w14:textId="77777777" w:rsidR="00F618B5" w:rsidRPr="00EC326F" w:rsidRDefault="00F618B5" w:rsidP="00152AEF">
            <w:pPr>
              <w:pStyle w:val="TableColumnHeadingSmall"/>
              <w:cnfStyle w:val="100000000000" w:firstRow="1" w:lastRow="0" w:firstColumn="0" w:lastColumn="0" w:oddVBand="0" w:evenVBand="0" w:oddHBand="0" w:evenHBand="0" w:firstRowFirstColumn="0" w:firstRowLastColumn="0" w:lastRowFirstColumn="0" w:lastRowLastColumn="0"/>
            </w:pPr>
            <w:r w:rsidRPr="00EC326F">
              <w:t>Adopted mortality rates</w:t>
            </w:r>
          </w:p>
        </w:tc>
      </w:tr>
      <w:tr w:rsidR="00F618B5" w:rsidRPr="00EC326F" w14:paraId="560D4BF5" w14:textId="77777777" w:rsidTr="005406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tcPr>
          <w:p w14:paraId="43B29D65" w14:textId="77777777" w:rsidR="00F618B5" w:rsidRPr="00EC326F" w:rsidRDefault="00F618B5" w:rsidP="0088370E">
            <w:pPr>
              <w:pStyle w:val="TableTextSmall"/>
              <w:keepNext/>
            </w:pPr>
            <w:r w:rsidRPr="00EC326F">
              <w:t>Disability Support Pension (DSP) recipients</w:t>
            </w:r>
          </w:p>
        </w:tc>
        <w:tc>
          <w:tcPr>
            <w:tcW w:w="2126" w:type="dxa"/>
          </w:tcPr>
          <w:p w14:paraId="364D1318" w14:textId="77777777" w:rsidR="00F618B5" w:rsidRPr="00EC326F" w:rsidRDefault="00F618B5" w:rsidP="0088370E">
            <w:pPr>
              <w:pStyle w:val="TableTextSmall"/>
              <w:keepNext/>
              <w:cnfStyle w:val="000000100000" w:firstRow="0" w:lastRow="0" w:firstColumn="0" w:lastColumn="0" w:oddVBand="0" w:evenVBand="0" w:oddHBand="1" w:evenHBand="0" w:firstRowFirstColumn="0" w:firstRowLastColumn="0" w:lastRowFirstColumn="0" w:lastRowLastColumn="0"/>
            </w:pPr>
            <w:r w:rsidRPr="00EC326F">
              <w:t>All people with cancer</w:t>
            </w:r>
          </w:p>
        </w:tc>
        <w:tc>
          <w:tcPr>
            <w:tcW w:w="3118" w:type="dxa"/>
          </w:tcPr>
          <w:p w14:paraId="45E24CAC" w14:textId="77777777" w:rsidR="00F618B5" w:rsidRPr="00EC326F" w:rsidRDefault="00F618B5" w:rsidP="00152AEF">
            <w:pPr>
              <w:pStyle w:val="TableTextSmall"/>
              <w:cnfStyle w:val="000000100000" w:firstRow="0" w:lastRow="0" w:firstColumn="0" w:lastColumn="0" w:oddVBand="0" w:evenVBand="0" w:oddHBand="1" w:evenHBand="0" w:firstRowFirstColumn="0" w:firstRowLastColumn="0" w:lastRowFirstColumn="0" w:lastRowLastColumn="0"/>
            </w:pPr>
            <w:r w:rsidRPr="00EC326F">
              <w:t>This group shows much higher mortality than population average and also higher mortality than DSP recipients with other medical conditions.</w:t>
            </w:r>
          </w:p>
        </w:tc>
        <w:tc>
          <w:tcPr>
            <w:tcW w:w="2551" w:type="dxa"/>
          </w:tcPr>
          <w:p w14:paraId="15A42ADE" w14:textId="77777777" w:rsidR="00F618B5" w:rsidRPr="00EC326F" w:rsidRDefault="00F618B5" w:rsidP="00152AEF">
            <w:pPr>
              <w:pStyle w:val="TableTextSmall"/>
              <w:cnfStyle w:val="000000100000" w:firstRow="0" w:lastRow="0" w:firstColumn="0" w:lastColumn="0" w:oddVBand="0" w:evenVBand="0" w:oddHBand="1" w:evenHBand="0" w:firstRowFirstColumn="0" w:firstRowLastColumn="0" w:lastRowFirstColumn="0" w:lastRowLastColumn="0"/>
            </w:pPr>
            <w:r w:rsidRPr="00EC326F">
              <w:t>Observed mortality rates in the past experience.</w:t>
            </w:r>
          </w:p>
        </w:tc>
      </w:tr>
      <w:tr w:rsidR="00F618B5" w:rsidRPr="00EC326F" w14:paraId="2F1C785D" w14:textId="77777777" w:rsidTr="00540647">
        <w:trPr>
          <w:cantSplit/>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14:paraId="5727D084" w14:textId="77777777" w:rsidR="00F618B5" w:rsidRPr="00EC326F" w:rsidRDefault="00F618B5" w:rsidP="00152AEF">
            <w:pPr>
              <w:pStyle w:val="TableTextSmall"/>
            </w:pPr>
          </w:p>
        </w:tc>
        <w:tc>
          <w:tcPr>
            <w:tcW w:w="2126" w:type="dxa"/>
          </w:tcPr>
          <w:p w14:paraId="2D7741FA" w14:textId="77777777" w:rsidR="00F618B5" w:rsidRPr="00EC326F" w:rsidRDefault="00F618B5" w:rsidP="0088370E">
            <w:pPr>
              <w:pStyle w:val="TableTextSmall"/>
              <w:keepNext/>
              <w:cnfStyle w:val="000000000000" w:firstRow="0" w:lastRow="0" w:firstColumn="0" w:lastColumn="0" w:oddVBand="0" w:evenVBand="0" w:oddHBand="0" w:evenHBand="0" w:firstRowFirstColumn="0" w:firstRowLastColumn="0" w:lastRowFirstColumn="0" w:lastRowLastColumn="0"/>
            </w:pPr>
            <w:r w:rsidRPr="00EC326F">
              <w:t>Non-indigenous people except those with cancer</w:t>
            </w:r>
          </w:p>
        </w:tc>
        <w:tc>
          <w:tcPr>
            <w:tcW w:w="3118" w:type="dxa"/>
          </w:tcPr>
          <w:p w14:paraId="532AEE7C" w14:textId="77777777" w:rsidR="00F618B5" w:rsidRPr="00EC326F" w:rsidRDefault="00F618B5" w:rsidP="00152AEF">
            <w:pPr>
              <w:pStyle w:val="TableTextSmall"/>
              <w:cnfStyle w:val="000000000000" w:firstRow="0" w:lastRow="0" w:firstColumn="0" w:lastColumn="0" w:oddVBand="0" w:evenVBand="0" w:oddHBand="0" w:evenHBand="0" w:firstRowFirstColumn="0" w:firstRowLastColumn="0" w:lastRowFirstColumn="0" w:lastRowLastColumn="0"/>
            </w:pPr>
            <w:r w:rsidRPr="00EC326F">
              <w:t>This group shows higher mortality than population average.</w:t>
            </w:r>
          </w:p>
        </w:tc>
        <w:tc>
          <w:tcPr>
            <w:tcW w:w="2551" w:type="dxa"/>
          </w:tcPr>
          <w:p w14:paraId="310BDCA5" w14:textId="77777777" w:rsidR="00F618B5" w:rsidRPr="00EC326F" w:rsidRDefault="00F618B5" w:rsidP="00152AEF">
            <w:pPr>
              <w:pStyle w:val="TableTextSmall"/>
              <w:cnfStyle w:val="000000000000" w:firstRow="0" w:lastRow="0" w:firstColumn="0" w:lastColumn="0" w:oddVBand="0" w:evenVBand="0" w:oddHBand="0" w:evenHBand="0" w:firstRowFirstColumn="0" w:firstRowLastColumn="0" w:lastRowFirstColumn="0" w:lastRowLastColumn="0"/>
            </w:pPr>
            <w:r w:rsidRPr="00EC326F">
              <w:t>AGA table loaded by age based factors developed by reference to the past experience.</w:t>
            </w:r>
          </w:p>
        </w:tc>
      </w:tr>
      <w:tr w:rsidR="00F618B5" w:rsidRPr="00EC326F" w14:paraId="6788F526" w14:textId="77777777" w:rsidTr="005406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72425A21" w14:textId="77777777" w:rsidR="00F618B5" w:rsidRPr="00EC326F" w:rsidRDefault="00F618B5" w:rsidP="00152AEF">
            <w:pPr>
              <w:pStyle w:val="TableTextSmall"/>
            </w:pPr>
          </w:p>
        </w:tc>
        <w:tc>
          <w:tcPr>
            <w:tcW w:w="2126" w:type="dxa"/>
          </w:tcPr>
          <w:p w14:paraId="768895BA" w14:textId="77777777" w:rsidR="00F618B5" w:rsidRPr="00EC326F" w:rsidRDefault="00F618B5" w:rsidP="00152AEF">
            <w:pPr>
              <w:pStyle w:val="TableTextSmall"/>
              <w:cnfStyle w:val="000000100000" w:firstRow="0" w:lastRow="0" w:firstColumn="0" w:lastColumn="0" w:oddVBand="0" w:evenVBand="0" w:oddHBand="1" w:evenHBand="0" w:firstRowFirstColumn="0" w:firstRowLastColumn="0" w:lastRowFirstColumn="0" w:lastRowLastColumn="0"/>
            </w:pPr>
            <w:r w:rsidRPr="00EC326F">
              <w:t>Indigenous people except those with cancer</w:t>
            </w:r>
          </w:p>
        </w:tc>
        <w:tc>
          <w:tcPr>
            <w:tcW w:w="3118" w:type="dxa"/>
          </w:tcPr>
          <w:p w14:paraId="70E4F694" w14:textId="77777777" w:rsidR="00F618B5" w:rsidRPr="00EC326F" w:rsidRDefault="00F618B5" w:rsidP="00152AEF">
            <w:pPr>
              <w:pStyle w:val="TableTextSmall"/>
              <w:cnfStyle w:val="000000100000" w:firstRow="0" w:lastRow="0" w:firstColumn="0" w:lastColumn="0" w:oddVBand="0" w:evenVBand="0" w:oddHBand="1" w:evenHBand="0" w:firstRowFirstColumn="0" w:firstRowLastColumn="0" w:lastRowFirstColumn="0" w:lastRowLastColumn="0"/>
            </w:pPr>
            <w:r w:rsidRPr="00EC326F">
              <w:t>This group shows higher mortality than population average and also higher mortality than Indigenous Australians in general.</w:t>
            </w:r>
          </w:p>
        </w:tc>
        <w:tc>
          <w:tcPr>
            <w:tcW w:w="2551" w:type="dxa"/>
          </w:tcPr>
          <w:p w14:paraId="1AD48F44" w14:textId="70A232E5" w:rsidR="00F618B5" w:rsidRPr="00EC326F" w:rsidRDefault="00F618B5" w:rsidP="00B36672">
            <w:pPr>
              <w:pStyle w:val="TableTextSmall"/>
              <w:cnfStyle w:val="000000100000" w:firstRow="0" w:lastRow="0" w:firstColumn="0" w:lastColumn="0" w:oddVBand="0" w:evenVBand="0" w:oddHBand="1" w:evenHBand="0" w:firstRowFirstColumn="0" w:firstRowLastColumn="0" w:lastRowFirstColumn="0" w:lastRowLastColumn="0"/>
            </w:pPr>
            <w:r w:rsidRPr="00EC326F">
              <w:t xml:space="preserve">ABS tables for </w:t>
            </w:r>
            <w:r w:rsidR="00B36672">
              <w:t>I</w:t>
            </w:r>
            <w:r w:rsidRPr="00EC326F">
              <w:t>ndigenous mortality rates loaded by age based factors developed by reference to the past experience.</w:t>
            </w:r>
          </w:p>
        </w:tc>
      </w:tr>
      <w:tr w:rsidR="00540647" w:rsidRPr="00EC326F" w14:paraId="441D7D3E" w14:textId="77777777" w:rsidTr="00540647">
        <w:trPr>
          <w:cantSplit/>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tcPr>
          <w:p w14:paraId="0C319DA8" w14:textId="77777777" w:rsidR="00540647" w:rsidRPr="00EC326F" w:rsidRDefault="00540647" w:rsidP="00152AEF">
            <w:pPr>
              <w:pStyle w:val="TableTextSmall"/>
            </w:pPr>
            <w:r w:rsidRPr="00EC326F">
              <w:t>Indigenous Australians (excluding DSP recipients)</w:t>
            </w:r>
          </w:p>
        </w:tc>
        <w:tc>
          <w:tcPr>
            <w:tcW w:w="2126" w:type="dxa"/>
          </w:tcPr>
          <w:p w14:paraId="6679EA41" w14:textId="77777777" w:rsidR="00540647" w:rsidRPr="00EC326F" w:rsidRDefault="00540647" w:rsidP="00152AEF">
            <w:pPr>
              <w:pStyle w:val="TableTextSmall"/>
              <w:cnfStyle w:val="000000000000" w:firstRow="0" w:lastRow="0" w:firstColumn="0" w:lastColumn="0" w:oddVBand="0" w:evenVBand="0" w:oddHBand="0" w:evenHBand="0" w:firstRowFirstColumn="0" w:firstRowLastColumn="0" w:lastRowFirstColumn="0" w:lastRowLastColumn="0"/>
            </w:pPr>
            <w:r w:rsidRPr="00EC326F">
              <w:t>People receiving income support (except those receiving the age pension)</w:t>
            </w:r>
          </w:p>
        </w:tc>
        <w:tc>
          <w:tcPr>
            <w:tcW w:w="3118" w:type="dxa"/>
          </w:tcPr>
          <w:p w14:paraId="6E1CB09A" w14:textId="77777777" w:rsidR="00540647" w:rsidRPr="00EC326F" w:rsidRDefault="00540647" w:rsidP="0088370E">
            <w:pPr>
              <w:pStyle w:val="TableTextSmall"/>
              <w:cnfStyle w:val="000000000000" w:firstRow="0" w:lastRow="0" w:firstColumn="0" w:lastColumn="0" w:oddVBand="0" w:evenVBand="0" w:oddHBand="0" w:evenHBand="0" w:firstRowFirstColumn="0" w:firstRowLastColumn="0" w:lastRowFirstColumn="0" w:lastRowLastColumn="0"/>
            </w:pPr>
            <w:r w:rsidRPr="00EC326F">
              <w:t xml:space="preserve">Indigenous Australians experience significantly poorer mortality than the remainder of the population. </w:t>
            </w:r>
          </w:p>
        </w:tc>
        <w:tc>
          <w:tcPr>
            <w:tcW w:w="2551" w:type="dxa"/>
          </w:tcPr>
          <w:p w14:paraId="5DB000D9" w14:textId="19876140" w:rsidR="00540647" w:rsidRPr="00EC326F" w:rsidRDefault="00540647" w:rsidP="00B36672">
            <w:pPr>
              <w:pStyle w:val="TableTextSmall"/>
              <w:cnfStyle w:val="000000000000" w:firstRow="0" w:lastRow="0" w:firstColumn="0" w:lastColumn="0" w:oddVBand="0" w:evenVBand="0" w:oddHBand="0" w:evenHBand="0" w:firstRowFirstColumn="0" w:firstRowLastColumn="0" w:lastRowFirstColumn="0" w:lastRowLastColumn="0"/>
            </w:pPr>
            <w:r w:rsidRPr="00EC326F">
              <w:t xml:space="preserve">ABS tables for </w:t>
            </w:r>
            <w:r w:rsidR="00B36672">
              <w:t>I</w:t>
            </w:r>
            <w:r w:rsidRPr="00EC326F">
              <w:t>ndigenous mortality rates</w:t>
            </w:r>
          </w:p>
        </w:tc>
      </w:tr>
      <w:tr w:rsidR="00540647" w:rsidRPr="00EC326F" w14:paraId="180E25EF" w14:textId="77777777" w:rsidTr="005406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3A5A8964" w14:textId="77777777" w:rsidR="00540647" w:rsidRPr="00EC326F" w:rsidRDefault="00540647" w:rsidP="00152AEF">
            <w:pPr>
              <w:pStyle w:val="TableTextSmall"/>
            </w:pPr>
          </w:p>
        </w:tc>
        <w:tc>
          <w:tcPr>
            <w:tcW w:w="2126" w:type="dxa"/>
          </w:tcPr>
          <w:p w14:paraId="3E55A150" w14:textId="77777777" w:rsidR="00540647" w:rsidRPr="00EC326F" w:rsidRDefault="00540647" w:rsidP="00152AEF">
            <w:pPr>
              <w:pStyle w:val="TableTextSmall"/>
              <w:cnfStyle w:val="000000100000" w:firstRow="0" w:lastRow="0" w:firstColumn="0" w:lastColumn="0" w:oddVBand="0" w:evenVBand="0" w:oddHBand="1" w:evenHBand="0" w:firstRowFirstColumn="0" w:firstRowLastColumn="0" w:lastRowFirstColumn="0" w:lastRowLastColumn="0"/>
            </w:pPr>
            <w:r w:rsidRPr="00EC326F">
              <w:t xml:space="preserve">Other </w:t>
            </w:r>
          </w:p>
          <w:p w14:paraId="761A47AF" w14:textId="77777777" w:rsidR="00540647" w:rsidRPr="00EC326F" w:rsidRDefault="00540647" w:rsidP="00152AEF">
            <w:pPr>
              <w:pStyle w:val="TableTextSmall"/>
              <w:cnfStyle w:val="000000100000" w:firstRow="0" w:lastRow="0" w:firstColumn="0" w:lastColumn="0" w:oddVBand="0" w:evenVBand="0" w:oddHBand="1" w:evenHBand="0" w:firstRowFirstColumn="0" w:firstRowLastColumn="0" w:lastRowFirstColumn="0" w:lastRowLastColumn="0"/>
              <w:rPr>
                <w:i/>
              </w:rPr>
            </w:pPr>
            <w:r w:rsidRPr="00EC326F">
              <w:rPr>
                <w:i/>
              </w:rPr>
              <w:t>These people are either not receiving any welfare or only receiving the age pension and/or non-income support payments</w:t>
            </w:r>
          </w:p>
        </w:tc>
        <w:tc>
          <w:tcPr>
            <w:tcW w:w="3118" w:type="dxa"/>
          </w:tcPr>
          <w:p w14:paraId="693D0BAB" w14:textId="004091D5" w:rsidR="00540647" w:rsidRPr="00EC326F" w:rsidRDefault="00540647" w:rsidP="00677CDB">
            <w:pPr>
              <w:pStyle w:val="TableTextSmall"/>
              <w:cnfStyle w:val="000000100000" w:firstRow="0" w:lastRow="0" w:firstColumn="0" w:lastColumn="0" w:oddVBand="0" w:evenVBand="0" w:oddHBand="1" w:evenHBand="0" w:firstRowFirstColumn="0" w:firstRowLastColumn="0" w:lastRowFirstColumn="0" w:lastRowLastColumn="0"/>
            </w:pPr>
            <w:r w:rsidRPr="00EC326F">
              <w:t xml:space="preserve">This will include people in higher socio-economic groups who </w:t>
            </w:r>
            <w:r w:rsidR="00677CDB">
              <w:t>have</w:t>
            </w:r>
            <w:r w:rsidRPr="00EC326F">
              <w:t xml:space="preserve"> demonstrated better</w:t>
            </w:r>
            <w:r w:rsidR="00677CDB">
              <w:t xml:space="preserve"> </w:t>
            </w:r>
            <w:r w:rsidRPr="00EC326F">
              <w:t>mortality outcomes than lower socio-economic groups.</w:t>
            </w:r>
          </w:p>
        </w:tc>
        <w:tc>
          <w:tcPr>
            <w:tcW w:w="2551" w:type="dxa"/>
          </w:tcPr>
          <w:p w14:paraId="65F58C24" w14:textId="2587AE64" w:rsidR="00540647" w:rsidRPr="00EC326F" w:rsidRDefault="00540647" w:rsidP="00B36672">
            <w:pPr>
              <w:pStyle w:val="TableTextSmall"/>
              <w:cnfStyle w:val="000000100000" w:firstRow="0" w:lastRow="0" w:firstColumn="0" w:lastColumn="0" w:oddVBand="0" w:evenVBand="0" w:oddHBand="1" w:evenHBand="0" w:firstRowFirstColumn="0" w:firstRowLastColumn="0" w:lastRowFirstColumn="0" w:lastRowLastColumn="0"/>
            </w:pPr>
            <w:r w:rsidRPr="00EC326F">
              <w:t xml:space="preserve">ABS tables for </w:t>
            </w:r>
            <w:r w:rsidR="00B36672">
              <w:t>I</w:t>
            </w:r>
            <w:r w:rsidRPr="00EC326F">
              <w:t xml:space="preserve">ndigenous mortality rates reduced for ages up to 80 by factors developed to ensure the overall Indigenous population mortality reflects the ABS </w:t>
            </w:r>
            <w:r w:rsidR="00B36672">
              <w:t>I</w:t>
            </w:r>
            <w:r w:rsidRPr="00EC326F">
              <w:t>ndigenous mortality tables.</w:t>
            </w:r>
          </w:p>
        </w:tc>
      </w:tr>
      <w:tr w:rsidR="00F618B5" w:rsidRPr="00EC326F" w14:paraId="07A1DFF7" w14:textId="77777777" w:rsidTr="00540647">
        <w:trPr>
          <w:cantSplit/>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tcPr>
          <w:p w14:paraId="71D20808" w14:textId="77777777" w:rsidR="00F618B5" w:rsidRPr="00EC326F" w:rsidRDefault="00F618B5" w:rsidP="00152AEF">
            <w:pPr>
              <w:pStyle w:val="TableTextSmall"/>
            </w:pPr>
            <w:r w:rsidRPr="00EC326F">
              <w:t>Other Australians (excluding DSP recipients)</w:t>
            </w:r>
          </w:p>
        </w:tc>
        <w:tc>
          <w:tcPr>
            <w:tcW w:w="2126" w:type="dxa"/>
          </w:tcPr>
          <w:p w14:paraId="218AFC51" w14:textId="77777777" w:rsidR="00F618B5" w:rsidRPr="00EC326F" w:rsidRDefault="00F618B5" w:rsidP="00152AEF">
            <w:pPr>
              <w:pStyle w:val="TableTextSmall"/>
              <w:cnfStyle w:val="000000000000" w:firstRow="0" w:lastRow="0" w:firstColumn="0" w:lastColumn="0" w:oddVBand="0" w:evenVBand="0" w:oddHBand="0" w:evenHBand="0" w:firstRowFirstColumn="0" w:firstRowLastColumn="0" w:lastRowFirstColumn="0" w:lastRowLastColumn="0"/>
            </w:pPr>
            <w:r w:rsidRPr="00EC326F">
              <w:t>People receiving income support (except those receiving the age pension)</w:t>
            </w:r>
          </w:p>
        </w:tc>
        <w:tc>
          <w:tcPr>
            <w:tcW w:w="3118" w:type="dxa"/>
          </w:tcPr>
          <w:p w14:paraId="6BFE67FF" w14:textId="77777777" w:rsidR="00F618B5" w:rsidRPr="00EC326F" w:rsidRDefault="00F618B5" w:rsidP="00152AEF">
            <w:pPr>
              <w:pStyle w:val="TableTextSmall"/>
              <w:cnfStyle w:val="000000000000" w:firstRow="0" w:lastRow="0" w:firstColumn="0" w:lastColumn="0" w:oddVBand="0" w:evenVBand="0" w:oddHBand="0" w:evenHBand="0" w:firstRowFirstColumn="0" w:firstRowLastColumn="0" w:lastRowFirstColumn="0" w:lastRowLastColumn="0"/>
            </w:pPr>
            <w:r w:rsidRPr="00EC326F">
              <w:t>This is a substantial population group and will include many people in lower socio-economic groups who tend to have poorer mortality outcomes than higher socio-economic groups.</w:t>
            </w:r>
          </w:p>
        </w:tc>
        <w:tc>
          <w:tcPr>
            <w:tcW w:w="2551" w:type="dxa"/>
          </w:tcPr>
          <w:p w14:paraId="19E880CC" w14:textId="77777777" w:rsidR="00F618B5" w:rsidRPr="00EC326F" w:rsidRDefault="00F618B5" w:rsidP="00152AEF">
            <w:pPr>
              <w:pStyle w:val="TableTextSmall"/>
              <w:cnfStyle w:val="000000000000" w:firstRow="0" w:lastRow="0" w:firstColumn="0" w:lastColumn="0" w:oddVBand="0" w:evenVBand="0" w:oddHBand="0" w:evenHBand="0" w:firstRowFirstColumn="0" w:firstRowLastColumn="0" w:lastRowFirstColumn="0" w:lastRowLastColumn="0"/>
            </w:pPr>
            <w:r w:rsidRPr="00EC326F">
              <w:t>AGA table.</w:t>
            </w:r>
          </w:p>
        </w:tc>
      </w:tr>
      <w:tr w:rsidR="00F618B5" w:rsidRPr="00EC326F" w14:paraId="469F6A43" w14:textId="77777777" w:rsidTr="005406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6819AFA4" w14:textId="77777777" w:rsidR="00F618B5" w:rsidRPr="00EC326F" w:rsidRDefault="00F618B5" w:rsidP="00152AEF">
            <w:pPr>
              <w:pStyle w:val="TableTextSmall"/>
            </w:pPr>
          </w:p>
        </w:tc>
        <w:tc>
          <w:tcPr>
            <w:tcW w:w="2126" w:type="dxa"/>
          </w:tcPr>
          <w:p w14:paraId="3C740729" w14:textId="77777777" w:rsidR="00F618B5" w:rsidRPr="00EC326F" w:rsidRDefault="00F618B5" w:rsidP="00152AEF">
            <w:pPr>
              <w:pStyle w:val="TableTextSmall"/>
              <w:cnfStyle w:val="000000100000" w:firstRow="0" w:lastRow="0" w:firstColumn="0" w:lastColumn="0" w:oddVBand="0" w:evenVBand="0" w:oddHBand="1" w:evenHBand="0" w:firstRowFirstColumn="0" w:firstRowLastColumn="0" w:lastRowFirstColumn="0" w:lastRowLastColumn="0"/>
            </w:pPr>
            <w:r w:rsidRPr="00EC326F">
              <w:t>Other</w:t>
            </w:r>
          </w:p>
          <w:p w14:paraId="4A438EE7" w14:textId="77777777" w:rsidR="00F618B5" w:rsidRPr="00EC326F" w:rsidRDefault="00F618B5" w:rsidP="00152AEF">
            <w:pPr>
              <w:pStyle w:val="TableTextSmall"/>
              <w:cnfStyle w:val="000000100000" w:firstRow="0" w:lastRow="0" w:firstColumn="0" w:lastColumn="0" w:oddVBand="0" w:evenVBand="0" w:oddHBand="1" w:evenHBand="0" w:firstRowFirstColumn="0" w:firstRowLastColumn="0" w:lastRowFirstColumn="0" w:lastRowLastColumn="0"/>
              <w:rPr>
                <w:i/>
              </w:rPr>
            </w:pPr>
            <w:r w:rsidRPr="00EC326F">
              <w:rPr>
                <w:i/>
              </w:rPr>
              <w:t>These people are either not receiving any welfare or only receiving the age pension and/or non-income support payments</w:t>
            </w:r>
          </w:p>
        </w:tc>
        <w:tc>
          <w:tcPr>
            <w:tcW w:w="3118" w:type="dxa"/>
          </w:tcPr>
          <w:p w14:paraId="1CCE1A0C" w14:textId="77777777" w:rsidR="00F618B5" w:rsidRPr="00EC326F" w:rsidRDefault="00F618B5" w:rsidP="00152AEF">
            <w:pPr>
              <w:pStyle w:val="TableTextSmall"/>
              <w:cnfStyle w:val="000000100000" w:firstRow="0" w:lastRow="0" w:firstColumn="0" w:lastColumn="0" w:oddVBand="0" w:evenVBand="0" w:oddHBand="1" w:evenHBand="0" w:firstRowFirstColumn="0" w:firstRowLastColumn="0" w:lastRowFirstColumn="0" w:lastRowLastColumn="0"/>
            </w:pPr>
            <w:r w:rsidRPr="00EC326F">
              <w:t>This is a substantial population group and will include many people in higher socio-economic groups who are demonstrated to have better mortality outcomes than lower socio-economic groups.</w:t>
            </w:r>
          </w:p>
        </w:tc>
        <w:tc>
          <w:tcPr>
            <w:tcW w:w="2551" w:type="dxa"/>
          </w:tcPr>
          <w:p w14:paraId="29CA07F1" w14:textId="77777777" w:rsidR="00F618B5" w:rsidRPr="00EC326F" w:rsidRDefault="00F618B5" w:rsidP="00152AEF">
            <w:pPr>
              <w:pStyle w:val="TableTextSmall"/>
              <w:cnfStyle w:val="000000100000" w:firstRow="0" w:lastRow="0" w:firstColumn="0" w:lastColumn="0" w:oddVBand="0" w:evenVBand="0" w:oddHBand="1" w:evenHBand="0" w:firstRowFirstColumn="0" w:firstRowLastColumn="0" w:lastRowFirstColumn="0" w:lastRowLastColumn="0"/>
            </w:pPr>
            <w:r w:rsidRPr="00EC326F">
              <w:t>AGA table reduced for ages up to 80 by factors developed to ensure the overall population mortality reflects the AGA tables.</w:t>
            </w:r>
          </w:p>
        </w:tc>
      </w:tr>
    </w:tbl>
    <w:p w14:paraId="6CBC71A4" w14:textId="77777777" w:rsidR="00F618B5" w:rsidRPr="00EC326F" w:rsidRDefault="00F618B5" w:rsidP="00F618B5">
      <w:pPr>
        <w:pStyle w:val="PwCNormal-Single"/>
      </w:pPr>
    </w:p>
    <w:p w14:paraId="14609099" w14:textId="77777777" w:rsidR="00F618B5" w:rsidRPr="00EC326F" w:rsidRDefault="00F618B5" w:rsidP="00F618B5">
      <w:pPr>
        <w:pStyle w:val="PwCNormal"/>
        <w:numPr>
          <w:ilvl w:val="0"/>
          <w:numId w:val="1"/>
        </w:numPr>
      </w:pPr>
      <w:r w:rsidRPr="00EC326F">
        <w:t xml:space="preserve">Given the importance and materiality of mortality to the overall level of welfare costs, we have conducted sensitivity analysis around the impact of adopting different assumptions. These sensitivity analyses are discussed in </w:t>
      </w:r>
      <w:r w:rsidR="0011562A">
        <w:t>section</w:t>
      </w:r>
      <w:r w:rsidR="00A5498C">
        <w:t xml:space="preserve"> </w:t>
      </w:r>
      <w:r w:rsidR="00A5498C">
        <w:fldChar w:fldCharType="begin"/>
      </w:r>
      <w:r w:rsidR="00A5498C">
        <w:instrText xml:space="preserve"> REF _Ref466492611 \w \h </w:instrText>
      </w:r>
      <w:r w:rsidR="00A5498C">
        <w:fldChar w:fldCharType="separate"/>
      </w:r>
      <w:r w:rsidR="007A42DF">
        <w:t>7.5</w:t>
      </w:r>
      <w:r w:rsidR="00A5498C">
        <w:fldChar w:fldCharType="end"/>
      </w:r>
      <w:r w:rsidRPr="00EC326F">
        <w:t xml:space="preserve">, and illustrate the materiality of the mortality assumptions to the overall results. </w:t>
      </w:r>
    </w:p>
    <w:p w14:paraId="57980656" w14:textId="77777777" w:rsidR="00F618B5" w:rsidRPr="00EC326F" w:rsidRDefault="00F618B5" w:rsidP="00F618B5">
      <w:pPr>
        <w:pStyle w:val="PwCNormal"/>
        <w:numPr>
          <w:ilvl w:val="0"/>
          <w:numId w:val="1"/>
        </w:numPr>
      </w:pPr>
      <w:r w:rsidRPr="00EC326F">
        <w:t>This is an area that may warrant continued investigation and refinement in subsequent valuations.</w:t>
      </w:r>
    </w:p>
    <w:p w14:paraId="7E37F964" w14:textId="77777777" w:rsidR="005A4605" w:rsidRPr="00EC326F" w:rsidRDefault="005A4605" w:rsidP="005A4605">
      <w:pPr>
        <w:pStyle w:val="Heading4"/>
      </w:pPr>
      <w:r w:rsidRPr="00EC326F">
        <w:t>Partnering</w:t>
      </w:r>
    </w:p>
    <w:p w14:paraId="44675D99" w14:textId="77777777" w:rsidR="00377287" w:rsidRPr="00EC326F" w:rsidRDefault="00377287" w:rsidP="00377287">
      <w:pPr>
        <w:pStyle w:val="PwCNormal"/>
        <w:numPr>
          <w:ilvl w:val="0"/>
          <w:numId w:val="1"/>
        </w:numPr>
      </w:pPr>
      <w:r w:rsidRPr="00EC326F">
        <w:t>A person’s partner status is important in determining both their likelihood of accessing payments and the rate of payment applying. For example, the single person Age Pension is more than the partnered Age Pension.</w:t>
      </w:r>
    </w:p>
    <w:p w14:paraId="4C7EA28E" w14:textId="6139F77C" w:rsidR="00377287" w:rsidRPr="00EC326F" w:rsidRDefault="00377287" w:rsidP="00377287">
      <w:pPr>
        <w:pStyle w:val="PwCNormal"/>
        <w:numPr>
          <w:ilvl w:val="0"/>
          <w:numId w:val="1"/>
        </w:numPr>
      </w:pPr>
      <w:r w:rsidRPr="00EC326F">
        <w:t xml:space="preserve">As we know each person’s current partner status (partnered or not) we have developed models for the probability of a change in status in the next year. The models reflect the person’s characteristics, including age, gender, current partner status, </w:t>
      </w:r>
      <w:r w:rsidR="00B36672">
        <w:t>I</w:t>
      </w:r>
      <w:r w:rsidRPr="00EC326F">
        <w:t>ndigenous status and whether they have children.</w:t>
      </w:r>
    </w:p>
    <w:p w14:paraId="312EF19C" w14:textId="77777777" w:rsidR="00377287" w:rsidRPr="00EC326F" w:rsidRDefault="00377287" w:rsidP="00377287">
      <w:pPr>
        <w:pStyle w:val="PwCNormal"/>
        <w:numPr>
          <w:ilvl w:val="0"/>
          <w:numId w:val="1"/>
        </w:numPr>
      </w:pPr>
      <w:r w:rsidRPr="00EC326F">
        <w:t>A critical component of this analysis (and the other demographic sub-models) was the recognition that the probabilities of changes in partnership status differ by the welfare class of the individual. Given the reasons for these differences are complex to understand and model, separate models were created for each welfare class.</w:t>
      </w:r>
    </w:p>
    <w:p w14:paraId="70F7C735" w14:textId="77777777" w:rsidR="00377287" w:rsidRPr="00EC326F" w:rsidRDefault="00377287" w:rsidP="00377287">
      <w:pPr>
        <w:pStyle w:val="PwCNormal"/>
        <w:numPr>
          <w:ilvl w:val="0"/>
          <w:numId w:val="0"/>
        </w:numPr>
      </w:pPr>
      <w:r w:rsidRPr="00EC326F">
        <w:t>We have drawn on both the Department’s administrative data and the HILDA survey data in developing these assumptions, with the Departmental data being the main reference for the welfare recipient classes and the HILDA data being the main reference for the non-welfare recipient classes.</w:t>
      </w:r>
    </w:p>
    <w:p w14:paraId="6CA23EC7" w14:textId="77777777" w:rsidR="00377287" w:rsidRPr="002A0A1A" w:rsidRDefault="00377287" w:rsidP="00377287">
      <w:pPr>
        <w:pStyle w:val="PwCNormal"/>
        <w:numPr>
          <w:ilvl w:val="0"/>
          <w:numId w:val="0"/>
        </w:numPr>
      </w:pPr>
      <w:r w:rsidRPr="00EC326F">
        <w:t>The overall structure of the partner models is unchanged from that used in the baseline valuation, however further work has been undertaken to refine and calibrate the models and to include further variables. The models have also been updated to reflect more recent data.</w:t>
      </w:r>
    </w:p>
    <w:p w14:paraId="274F4251" w14:textId="77777777" w:rsidR="005A4605" w:rsidRPr="00EC326F" w:rsidRDefault="005A4605" w:rsidP="005A4605">
      <w:pPr>
        <w:pStyle w:val="Heading4"/>
      </w:pPr>
      <w:r w:rsidRPr="00EC326F">
        <w:lastRenderedPageBreak/>
        <w:t>Children</w:t>
      </w:r>
    </w:p>
    <w:p w14:paraId="26AFF82A" w14:textId="77777777" w:rsidR="00377287" w:rsidRPr="00EC326F" w:rsidRDefault="00377287" w:rsidP="00377287">
      <w:pPr>
        <w:pStyle w:val="PwCNormal"/>
        <w:numPr>
          <w:ilvl w:val="0"/>
          <w:numId w:val="1"/>
        </w:numPr>
      </w:pPr>
      <w:r w:rsidRPr="00EC326F">
        <w:t xml:space="preserve">Having children is also an important determinant of welfare use. For some payments such as Parenting Payment and Family Tax Benefit there is a direct link to both eligibility and payment levels. For other payments such as the Carers payment, having children increases the likelihood of accessing the payment.  In other contexts the age of the youngest child often has a direct effect on the ability to work, particularly for </w:t>
      </w:r>
      <w:r w:rsidR="00397976" w:rsidRPr="00EC326F">
        <w:rPr>
          <w:snapToGrid/>
          <w:lang w:eastAsia="en-AU"/>
        </w:rPr>
        <w:t>women</w:t>
      </w:r>
      <w:r w:rsidRPr="00EC326F">
        <w:t>.</w:t>
      </w:r>
    </w:p>
    <w:p w14:paraId="47D03BD3" w14:textId="77777777" w:rsidR="00377287" w:rsidRPr="00EC326F" w:rsidRDefault="00377287" w:rsidP="00377287">
      <w:pPr>
        <w:pStyle w:val="PwCNormal"/>
        <w:numPr>
          <w:ilvl w:val="0"/>
          <w:numId w:val="1"/>
        </w:numPr>
      </w:pPr>
      <w:r w:rsidRPr="00EC326F">
        <w:t xml:space="preserve">For each person in the model population we have included the children in their care in our model, </w:t>
      </w:r>
      <w:r w:rsidR="0017124A" w:rsidRPr="00EC326F">
        <w:t xml:space="preserve">together </w:t>
      </w:r>
      <w:r w:rsidRPr="00EC326F">
        <w:t xml:space="preserve">with their ages. Current children have been identified and included in the person level information. For the forward projection we have developed assumptions for changes to child numbers through use of a series of statistical sub-models reflecting: </w:t>
      </w:r>
    </w:p>
    <w:p w14:paraId="1A93DBF4" w14:textId="77777777" w:rsidR="00377287" w:rsidRPr="00EC326F" w:rsidRDefault="00377287" w:rsidP="00377287">
      <w:pPr>
        <w:pStyle w:val="Bullet1"/>
      </w:pPr>
      <w:r w:rsidRPr="00EC326F">
        <w:t xml:space="preserve">births (single and multiple); </w:t>
      </w:r>
    </w:p>
    <w:p w14:paraId="3569F25D" w14:textId="77777777" w:rsidR="00377287" w:rsidRPr="00EC326F" w:rsidRDefault="00377287" w:rsidP="00377287">
      <w:pPr>
        <w:pStyle w:val="Bullet1"/>
      </w:pPr>
      <w:r w:rsidRPr="00EC326F">
        <w:t>gaining one or more other dependent children; and</w:t>
      </w:r>
    </w:p>
    <w:p w14:paraId="3C83A1A4" w14:textId="77777777" w:rsidR="00377287" w:rsidRPr="00EC326F" w:rsidRDefault="00377287" w:rsidP="00377287">
      <w:pPr>
        <w:pStyle w:val="Bullet1"/>
      </w:pPr>
      <w:r w:rsidRPr="00EC326F">
        <w:t>losing one or more dependent children.</w:t>
      </w:r>
    </w:p>
    <w:p w14:paraId="20DCF1D6" w14:textId="77777777" w:rsidR="00377287" w:rsidRPr="00EC326F" w:rsidRDefault="00377287" w:rsidP="00377287">
      <w:pPr>
        <w:pStyle w:val="PwCNormal"/>
        <w:numPr>
          <w:ilvl w:val="0"/>
          <w:numId w:val="1"/>
        </w:numPr>
      </w:pPr>
      <w:r w:rsidRPr="00EC326F">
        <w:t>These assumptions allow us to model the number and ages of all the dependent children for each person in each future year. From that it is then possible to derive critical variables, such as the age of the youngest child or the number of children below a certain age that become inputs to subsequent stages in the valuation model. Children have been retained within the model up to the age of 24.</w:t>
      </w:r>
    </w:p>
    <w:p w14:paraId="57366FBD" w14:textId="77777777" w:rsidR="00377287" w:rsidRPr="00EC326F" w:rsidRDefault="00377287" w:rsidP="00377287">
      <w:pPr>
        <w:pStyle w:val="PwCNormal"/>
        <w:numPr>
          <w:ilvl w:val="0"/>
          <w:numId w:val="1"/>
        </w:numPr>
      </w:pPr>
      <w:r w:rsidRPr="00EC326F">
        <w:t xml:space="preserve">Importantly we have considered ‘having recorded dependent children’ rather than the natural process of having a child. By this we mean that individuals can take on new responsibility for the care of children as a result of adopting, fostering or helping care for children as well as through childbirth. Similarly people can stop providing care to children as a result of changes in family structures and responsibilities as well as through children leaving home. There may also be subtle differences between the information recorded for people and their actual situation, for example as a result of timing lags in the Department seeking and receiving updated information. </w:t>
      </w:r>
    </w:p>
    <w:p w14:paraId="5E698D0F" w14:textId="77777777" w:rsidR="00377287" w:rsidRPr="00EC326F" w:rsidRDefault="00377287" w:rsidP="00377287">
      <w:pPr>
        <w:pStyle w:val="PwCNormal"/>
        <w:numPr>
          <w:ilvl w:val="0"/>
          <w:numId w:val="1"/>
        </w:numPr>
      </w:pPr>
      <w:r w:rsidRPr="00EC326F">
        <w:t>In general the data does not identify the precise nature of changes in child records but the statistical modelling is still able to replicate the relevant features of the changes. For example, the data clearly recorded situations where multiple children were added to an individual, with some but not all aged zero indicating new births. These presumably involve a blending of families occurring at the time of or close to a birth.</w:t>
      </w:r>
    </w:p>
    <w:p w14:paraId="12556BC4" w14:textId="77777777" w:rsidR="00377287" w:rsidRPr="00EC326F" w:rsidRDefault="00377287" w:rsidP="00377287">
      <w:pPr>
        <w:pStyle w:val="PwCNormal"/>
        <w:numPr>
          <w:ilvl w:val="0"/>
          <w:numId w:val="1"/>
        </w:numPr>
      </w:pPr>
      <w:r w:rsidRPr="00EC326F">
        <w:t>We have drawn on both the Department’s administrative data and the HILDA survey data in developing these assumptions, with the Departmental data being the main reference for the welfare recipient classes and the HILDA data being the main reference for the non-welfare recipient classes.</w:t>
      </w:r>
    </w:p>
    <w:p w14:paraId="72140695" w14:textId="77777777" w:rsidR="00377287" w:rsidRPr="000747FE" w:rsidRDefault="00377287" w:rsidP="00377287">
      <w:pPr>
        <w:pStyle w:val="PwCNormal"/>
        <w:numPr>
          <w:ilvl w:val="0"/>
          <w:numId w:val="1"/>
        </w:numPr>
      </w:pPr>
      <w:r w:rsidRPr="00EC326F">
        <w:t>The overall structure of the child models is unchanged from that used in the baseline valuation, however further work has been undertaken to refine and calibrate the models and to include further variables. The models have also been updated to reflect more recent data.</w:t>
      </w:r>
    </w:p>
    <w:p w14:paraId="054D6DCE" w14:textId="77777777" w:rsidR="005A4605" w:rsidRPr="00EC326F" w:rsidRDefault="005A4605" w:rsidP="005A4605">
      <w:pPr>
        <w:pStyle w:val="Heading4"/>
      </w:pPr>
      <w:r w:rsidRPr="00EC326F">
        <w:t>Educational attainment</w:t>
      </w:r>
    </w:p>
    <w:p w14:paraId="067A2C11" w14:textId="77777777" w:rsidR="00377287" w:rsidRPr="00EC326F" w:rsidRDefault="00377287" w:rsidP="00377287">
      <w:pPr>
        <w:pStyle w:val="PwCNormal"/>
        <w:numPr>
          <w:ilvl w:val="0"/>
          <w:numId w:val="1"/>
        </w:numPr>
      </w:pPr>
      <w:r w:rsidRPr="00EC326F">
        <w:t>Whilst there are no direct links to the payment system eligibility, a person’s level of education is a predictor of their likelihood of drawing on the welfare system. Some people draw on the welfare system whilst undertaking a study program and conversely receiving payments while studying is likely to result in an increased educational level which may reduce the persons need for support in the longer term. Hence we have identified this as an important characteristic to include in the valuation model and have captured this through modelling each person’s highest level of educational attainment.</w:t>
      </w:r>
    </w:p>
    <w:p w14:paraId="17F92C72" w14:textId="77777777" w:rsidR="00377287" w:rsidRPr="00EC326F" w:rsidRDefault="00377287" w:rsidP="00377287">
      <w:pPr>
        <w:pStyle w:val="PwCNormal"/>
        <w:numPr>
          <w:ilvl w:val="0"/>
          <w:numId w:val="1"/>
        </w:numPr>
      </w:pPr>
      <w:r w:rsidRPr="00EC326F">
        <w:t>This is a dynamic variable changing rapidly as people progress through their school years and potentially continuing to change, albeit at a slower rate, throughout their lifetime. As noted earlier this information has been collected for the majority of younger people in receipt of Commonwealth welfare payments but is missing for many older ones. We have imputed the values for those individuals with missing data. We have developed assumptions for how each person’s level of education may change each year, reflecting their characteristics, including current education status, age and gender.  Transitions in ‘highest level of education’ can only be upwards so special care was needed to ensure that the model was realistic with most individuals plateauing at a reasonable level of education, while at the same time reflecting the long term trend of increasing educational attainment in Australia.</w:t>
      </w:r>
    </w:p>
    <w:p w14:paraId="4D2AC198" w14:textId="77777777" w:rsidR="00377287" w:rsidRPr="00EC326F" w:rsidRDefault="00377287" w:rsidP="00377287">
      <w:pPr>
        <w:pStyle w:val="PwCNormal"/>
        <w:numPr>
          <w:ilvl w:val="0"/>
          <w:numId w:val="0"/>
        </w:numPr>
      </w:pPr>
      <w:r w:rsidRPr="00EC326F">
        <w:t xml:space="preserve">We have drawn on both the Department’s administrative data and the HILDA survey data in developing these assumptions, with the Departmental data (in the classes or age ranges where data was sufficiently complete, </w:t>
      </w:r>
      <w:r w:rsidRPr="00EC326F">
        <w:lastRenderedPageBreak/>
        <w:t>such as for those receiving studying payments) being the main reference for the welfare recipient classes and the HILDA data being the main reference for the non-welfare recipient classes.</w:t>
      </w:r>
    </w:p>
    <w:p w14:paraId="7C51B630" w14:textId="77777777" w:rsidR="00377287" w:rsidRPr="00EC326F" w:rsidRDefault="00377287" w:rsidP="00377287">
      <w:pPr>
        <w:pStyle w:val="PwCNormal"/>
        <w:numPr>
          <w:ilvl w:val="0"/>
          <w:numId w:val="0"/>
        </w:numPr>
      </w:pPr>
      <w:r w:rsidRPr="00EC326F">
        <w:t>The overall structure of the education models is unchanged from that used in the baseline valuation, however further work has been undertaken to refine and calibrate the models.</w:t>
      </w:r>
    </w:p>
    <w:p w14:paraId="65C744B3" w14:textId="77777777" w:rsidR="005A4605" w:rsidRPr="00EC326F" w:rsidRDefault="005A4605" w:rsidP="0088370E">
      <w:pPr>
        <w:pStyle w:val="Heading4"/>
      </w:pPr>
      <w:r w:rsidRPr="00EC326F">
        <w:t>Calibration of demographic models</w:t>
      </w:r>
    </w:p>
    <w:p w14:paraId="28A36B35" w14:textId="77777777" w:rsidR="00377287" w:rsidRPr="00EC326F" w:rsidRDefault="00377287" w:rsidP="00377287">
      <w:pPr>
        <w:pStyle w:val="PwCNormal"/>
        <w:numPr>
          <w:ilvl w:val="0"/>
          <w:numId w:val="0"/>
        </w:numPr>
      </w:pPr>
      <w:r w:rsidRPr="00EC326F">
        <w:t xml:space="preserve">The demographic models for partnering, children and educational attainment were initially developed as independent modules and then brought into the full model structure where they are used in combination with other model components, including the class movement assumptions and the population module. </w:t>
      </w:r>
    </w:p>
    <w:p w14:paraId="2054A47A" w14:textId="77777777" w:rsidR="00377287" w:rsidRPr="00EC326F" w:rsidRDefault="00377287" w:rsidP="00377287">
      <w:pPr>
        <w:pStyle w:val="PwCNormal"/>
        <w:numPr>
          <w:ilvl w:val="0"/>
          <w:numId w:val="0"/>
        </w:numPr>
      </w:pPr>
      <w:r w:rsidRPr="00EC326F">
        <w:t>One would expect that there would be relative stability or gradual trends in the mix of demographic characteristics observed for groups of people of similar ages and genders in each class. Trends in profiles may occur, for example, as a result of more people finishing school and progressing into further education for younger generations than their predecessors or as a result of demographic trends in average family sizes and the age at which people have children. Other factors, such as the proportion of 40 year olds who are partnered, may be more stable over time.</w:t>
      </w:r>
    </w:p>
    <w:p w14:paraId="6A369616" w14:textId="77777777" w:rsidR="00377287" w:rsidRPr="00EC326F" w:rsidRDefault="00377287" w:rsidP="00377287">
      <w:pPr>
        <w:pStyle w:val="PwCNormal"/>
        <w:numPr>
          <w:ilvl w:val="0"/>
          <w:numId w:val="0"/>
        </w:numPr>
      </w:pPr>
      <w:r w:rsidRPr="00EC326F">
        <w:t xml:space="preserve">As part of the overall development of the valuation model the stability of each demographic variable and the need for calibration adjustments was </w:t>
      </w:r>
      <w:r w:rsidR="00CD0CBA" w:rsidRPr="00EC326F">
        <w:t>considered</w:t>
      </w:r>
      <w:r w:rsidRPr="00EC326F">
        <w:t xml:space="preserve">. This was done by </w:t>
      </w:r>
      <w:r w:rsidR="00CD0CBA" w:rsidRPr="00EC326F">
        <w:t>reviewing</w:t>
      </w:r>
      <w:r w:rsidRPr="00EC326F">
        <w:t xml:space="preserve"> the forecast experience for people in different classes and age bands with different simulated characteristics in future years (a cross sectional analysis) and by reviewing how the experience at different ages compares for successive cohorts of people over time (a longitudinal analysis). Based on this assessment we have continued to include some small calibration adjustments, although the need for calibration has reduced following our model refinement this valuation. Census data was considered in checking the reasonableness of the adjustments made.</w:t>
      </w:r>
    </w:p>
    <w:p w14:paraId="4B28CBEB" w14:textId="77777777" w:rsidR="005A4605" w:rsidRPr="00EC326F" w:rsidRDefault="005A4605" w:rsidP="005A4605">
      <w:pPr>
        <w:pStyle w:val="Heading3"/>
      </w:pPr>
      <w:bookmarkStart w:id="192" w:name="_Toc493844237"/>
      <w:r w:rsidRPr="00EC326F">
        <w:t>Welfare class movement assumptions</w:t>
      </w:r>
      <w:bookmarkEnd w:id="192"/>
    </w:p>
    <w:p w14:paraId="7723CEDC" w14:textId="77777777" w:rsidR="00377287" w:rsidRPr="00EC326F" w:rsidRDefault="00377287" w:rsidP="00377287">
      <w:pPr>
        <w:pStyle w:val="PwCNormal"/>
        <w:keepNext/>
        <w:numPr>
          <w:ilvl w:val="0"/>
          <w:numId w:val="0"/>
        </w:numPr>
      </w:pPr>
      <w:r w:rsidRPr="00EC326F">
        <w:t xml:space="preserve">These assumptions are used to determine the likelihoods of individuals moving in and out of each welfare class. They are a key assumption in the model as they are used to determine each person’s future trajectory and this reflects their expected interactions with the payment system. </w:t>
      </w:r>
    </w:p>
    <w:p w14:paraId="33C3BB9E" w14:textId="77777777" w:rsidR="00377287" w:rsidRPr="00EC326F" w:rsidRDefault="00377287" w:rsidP="00377287">
      <w:pPr>
        <w:pStyle w:val="PwCNormal"/>
        <w:keepNext/>
        <w:numPr>
          <w:ilvl w:val="0"/>
          <w:numId w:val="0"/>
        </w:numPr>
      </w:pPr>
      <w:r w:rsidRPr="00EC326F">
        <w:t>We discuss the assumptions for movements from the active classes here and discuss the movements for people currently no</w:t>
      </w:r>
      <w:r w:rsidR="00CD0CBA" w:rsidRPr="00EC326F">
        <w:t xml:space="preserve">t receiving welfare in the New </w:t>
      </w:r>
      <w:r w:rsidR="008536E9">
        <w:t>E</w:t>
      </w:r>
      <w:r w:rsidRPr="00EC326F">
        <w:t>ntrant assumptions section below.</w:t>
      </w:r>
    </w:p>
    <w:p w14:paraId="7701733D" w14:textId="77777777" w:rsidR="005A4605" w:rsidRPr="00EC326F" w:rsidRDefault="005A4605" w:rsidP="005A4605">
      <w:pPr>
        <w:pStyle w:val="Heading4"/>
      </w:pPr>
      <w:r w:rsidRPr="00EC326F">
        <w:t>Approach</w:t>
      </w:r>
    </w:p>
    <w:p w14:paraId="0DAED902" w14:textId="77777777" w:rsidR="00377287" w:rsidRPr="00EC326F" w:rsidRDefault="00377287" w:rsidP="00377287">
      <w:pPr>
        <w:pStyle w:val="PwCNormal"/>
        <w:numPr>
          <w:ilvl w:val="0"/>
          <w:numId w:val="0"/>
        </w:numPr>
      </w:pPr>
      <w:r w:rsidRPr="00EC326F">
        <w:t>The movement to class 11 (dead) was modelled by simulating whether a person died using mortality rates and then referencing this event. As people would generally receive some payment in the year of death the class definitions mean that people would move to class 11 in the financial year following that of their death.</w:t>
      </w:r>
    </w:p>
    <w:p w14:paraId="07C7E04C" w14:textId="77777777" w:rsidR="00377287" w:rsidRPr="00EC326F" w:rsidRDefault="00377287" w:rsidP="00377287">
      <w:pPr>
        <w:pStyle w:val="PwCNormal"/>
        <w:numPr>
          <w:ilvl w:val="0"/>
          <w:numId w:val="0"/>
        </w:numPr>
      </w:pPr>
      <w:r w:rsidRPr="00EC326F">
        <w:t>The movements to other classes were modelled for those people not moving to class 11 through developing assumptions as to their likely destination classes given the person’s current characteristics. We developed these assumptions by reference to recent past experience and used a two stage approach in setting the assumptions:</w:t>
      </w:r>
    </w:p>
    <w:p w14:paraId="19F46A6D" w14:textId="77777777" w:rsidR="00377287" w:rsidRPr="00EC326F" w:rsidRDefault="00377287" w:rsidP="00377287">
      <w:pPr>
        <w:pStyle w:val="ListBullet"/>
      </w:pPr>
      <w:r w:rsidRPr="00EC326F">
        <w:t xml:space="preserve">Firstly to set </w:t>
      </w:r>
      <w:r w:rsidRPr="00EC326F">
        <w:rPr>
          <w:b/>
        </w:rPr>
        <w:t>foundation assumptions</w:t>
      </w:r>
      <w:r w:rsidRPr="00EC326F">
        <w:t xml:space="preserve"> which reflect each person’s welfare class, age and gender only.</w:t>
      </w:r>
    </w:p>
    <w:p w14:paraId="50A38E85" w14:textId="77777777" w:rsidR="00377287" w:rsidRPr="00EC326F" w:rsidRDefault="00377287" w:rsidP="00377287">
      <w:pPr>
        <w:pStyle w:val="ListContinue"/>
      </w:pPr>
      <w:r w:rsidRPr="00EC326F">
        <w:t>These assumptions allow us to see the overall level of movements from each class, the main destinations and the extent of any variation from year to year. These assumptions have been discussed with the Department and the reasons behind any variations over time explored. We used this information to select an appropriate number of reference years for setting the assumptions, so that they reflect the expected future experience (given current policy). Unless policy changes or persistent behavioural changes have taken place we followed a general principle of setting assumptions following long-term trends in three-year average movements. Where there have been trends the assumptions were generally selected based on two-year average movements.</w:t>
      </w:r>
    </w:p>
    <w:p w14:paraId="2D9F63A0" w14:textId="77777777" w:rsidR="00CD0CBA" w:rsidRPr="00EC326F" w:rsidRDefault="00377287" w:rsidP="00377287">
      <w:pPr>
        <w:pStyle w:val="ListBullet"/>
      </w:pPr>
      <w:r w:rsidRPr="00EC326F">
        <w:t xml:space="preserve">The second stage is to set </w:t>
      </w:r>
      <w:r w:rsidRPr="00EC326F">
        <w:rPr>
          <w:b/>
        </w:rPr>
        <w:t>risk based assumptions.</w:t>
      </w:r>
      <w:r w:rsidRPr="00EC326F">
        <w:t xml:space="preserve"> These reference more of the factors that influence which people move from within each class and hence provide assumptions which are more tailored to each individual’s characteristics. Hence they provide greater differentiation between the outcomes and costs for different individuals in the system. </w:t>
      </w:r>
    </w:p>
    <w:p w14:paraId="56BDCCC3" w14:textId="77777777" w:rsidR="00377287" w:rsidRPr="00EC326F" w:rsidRDefault="00377287" w:rsidP="00CD0CBA">
      <w:pPr>
        <w:pStyle w:val="ListContinue"/>
        <w:keepNext/>
        <w:ind w:left="284"/>
      </w:pPr>
      <w:r w:rsidRPr="00EC326F">
        <w:lastRenderedPageBreak/>
        <w:t>The risk factors considered in setting the assumptions include:</w:t>
      </w:r>
    </w:p>
    <w:p w14:paraId="4A65344C" w14:textId="07D842FE" w:rsidR="00377287" w:rsidRPr="00EC326F" w:rsidRDefault="00377287" w:rsidP="00377287">
      <w:pPr>
        <w:pStyle w:val="ListBullet2"/>
      </w:pPr>
      <w:r w:rsidRPr="00EC326F">
        <w:t xml:space="preserve">Static characteristics (e.g. country of birth, </w:t>
      </w:r>
      <w:r w:rsidR="00B36672">
        <w:t>I</w:t>
      </w:r>
      <w:r w:rsidRPr="00EC326F">
        <w:t>ndigenous status)</w:t>
      </w:r>
    </w:p>
    <w:p w14:paraId="2794312F" w14:textId="77777777" w:rsidR="00377287" w:rsidRPr="00EC326F" w:rsidRDefault="00377287" w:rsidP="00377287">
      <w:pPr>
        <w:pStyle w:val="ListBullet2"/>
      </w:pPr>
      <w:r w:rsidRPr="00EC326F">
        <w:t>Demographic variables (e.g. age, gender, partner status, number of children, ages of children, interactions of age with the changing age pension qualifying age)</w:t>
      </w:r>
    </w:p>
    <w:p w14:paraId="7B2FAF4A" w14:textId="77777777" w:rsidR="00377287" w:rsidRPr="00EC326F" w:rsidRDefault="00377287" w:rsidP="00377287">
      <w:pPr>
        <w:pStyle w:val="ListBullet2"/>
      </w:pPr>
      <w:r w:rsidRPr="00EC326F">
        <w:t>Highest level of educational attainment</w:t>
      </w:r>
    </w:p>
    <w:p w14:paraId="6F649434" w14:textId="003DDB46" w:rsidR="00377287" w:rsidRPr="00EC326F" w:rsidRDefault="00377287" w:rsidP="00377287">
      <w:pPr>
        <w:pStyle w:val="ListBullet2"/>
      </w:pPr>
      <w:r w:rsidRPr="00EC326F">
        <w:t>The</w:t>
      </w:r>
      <w:r w:rsidR="004E079F" w:rsidRPr="00EC326F">
        <w:t xml:space="preserve"> class characteristic</w:t>
      </w:r>
      <w:r w:rsidRPr="00EC326F">
        <w:t xml:space="preserve"> variables added for people in classes 1-5 and 8 (e.g. DSP medical condition, </w:t>
      </w:r>
      <w:r w:rsidR="00FE6871">
        <w:t xml:space="preserve">care recipient </w:t>
      </w:r>
      <w:r w:rsidRPr="00EC326F">
        <w:t>medical condition, employment earnings indicator, payment type)</w:t>
      </w:r>
    </w:p>
    <w:p w14:paraId="00968582" w14:textId="77777777" w:rsidR="00377287" w:rsidRPr="00EC326F" w:rsidRDefault="00377287" w:rsidP="00377287">
      <w:pPr>
        <w:pStyle w:val="ListBullet2"/>
      </w:pPr>
      <w:r w:rsidRPr="00EC326F">
        <w:t>Past welfare system information (e.g. duration in system, age at entry to system, duration in current class, previous class, details of past payment utilisation)</w:t>
      </w:r>
    </w:p>
    <w:p w14:paraId="298C6E05" w14:textId="77777777" w:rsidR="00377287" w:rsidRPr="00EC326F" w:rsidRDefault="00377287" w:rsidP="00377287">
      <w:pPr>
        <w:pStyle w:val="ListContinue"/>
      </w:pPr>
      <w:r w:rsidRPr="00EC326F">
        <w:t xml:space="preserve">These risk based assumptions are established using statistical techniques. These are used to explore the relative importance of different characteristics on class movements and to develop multi-factor models which reflect each person’s mix of characteristics. </w:t>
      </w:r>
    </w:p>
    <w:p w14:paraId="0B658C97" w14:textId="77777777" w:rsidR="00377287" w:rsidRPr="00EC326F" w:rsidRDefault="00377287" w:rsidP="00377287">
      <w:pPr>
        <w:pStyle w:val="PwCNormal"/>
        <w:numPr>
          <w:ilvl w:val="0"/>
          <w:numId w:val="1"/>
        </w:numPr>
      </w:pPr>
      <w:r w:rsidRPr="00EC326F">
        <w:t>The two stage approach is useful as the foundation assumptions capture many of the key features of the class experience and provide a point of reference from which to validate the risk based assumptions.</w:t>
      </w:r>
    </w:p>
    <w:p w14:paraId="51CF2282" w14:textId="77777777" w:rsidR="00377287" w:rsidRPr="00EC326F" w:rsidRDefault="00377287" w:rsidP="00377287">
      <w:pPr>
        <w:pStyle w:val="Minorheading"/>
      </w:pPr>
      <w:r w:rsidRPr="00EC326F">
        <w:t>Example</w:t>
      </w:r>
    </w:p>
    <w:p w14:paraId="126BA66A" w14:textId="0E8EAFD1" w:rsidR="00377287" w:rsidRPr="00EC326F" w:rsidRDefault="00377287" w:rsidP="00377287">
      <w:pPr>
        <w:pStyle w:val="PwCNormal"/>
        <w:numPr>
          <w:ilvl w:val="0"/>
          <w:numId w:val="0"/>
        </w:numPr>
      </w:pPr>
      <w:r w:rsidRPr="00EC326F">
        <w:t>The Parent</w:t>
      </w:r>
      <w:r w:rsidR="00A53A6E">
        <w:t>ing</w:t>
      </w:r>
      <w:r w:rsidRPr="00EC326F">
        <w:t xml:space="preserve"> class provides a useful example to illustrate the approach. The chart below shows the single year movements for </w:t>
      </w:r>
      <w:r w:rsidR="00397976" w:rsidRPr="00EC326F">
        <w:rPr>
          <w:snapToGrid/>
          <w:lang w:eastAsia="en-AU"/>
        </w:rPr>
        <w:t xml:space="preserve">women </w:t>
      </w:r>
      <w:r w:rsidRPr="00EC326F">
        <w:t>in this class by age. This is the experience referenced in setting the foundation assumption.</w:t>
      </w:r>
    </w:p>
    <w:p w14:paraId="46DBEFBF" w14:textId="77777777" w:rsidR="00377287" w:rsidRPr="00EC326F" w:rsidRDefault="00377287" w:rsidP="00377287">
      <w:pPr>
        <w:pStyle w:val="Caption"/>
      </w:pPr>
      <w:r w:rsidRPr="00EC326F">
        <w:t xml:space="preserve">Figure </w:t>
      </w:r>
      <w:fldSimple w:instr=" SEQ Figure \* ARABIC ">
        <w:r w:rsidR="007A42DF">
          <w:rPr>
            <w:noProof/>
          </w:rPr>
          <w:t>12</w:t>
        </w:r>
      </w:fldSimple>
      <w:r w:rsidRPr="00EC326F">
        <w:t>: Illustration of female single year movements from Class 3 – Parents</w:t>
      </w:r>
    </w:p>
    <w:tbl>
      <w:tblPr>
        <w:tblStyle w:val="PwCTableText"/>
        <w:tblW w:w="0" w:type="auto"/>
        <w:tblBorders>
          <w:insideH w:val="none" w:sz="0" w:space="0" w:color="auto"/>
        </w:tblBorders>
        <w:tblLook w:val="04A0" w:firstRow="1" w:lastRow="0" w:firstColumn="1" w:lastColumn="0" w:noHBand="0" w:noVBand="1"/>
        <w:tblCaption w:val=" Illustration of female single year movements from Class 3 – Parents&#10;"/>
        <w:tblDescription w:val="This figure is a vertical bar chart. The chart shows the proportion of females in class 3 at June 2015 who transitioned to each other class by June 2016. The horizontal axis shows ages from 15 to 65.The vertical axis shows the percentage of people moving from class 3 at June 2015 to each other possible class by June 2016, and ranges from 0% to 100%. The total for each age is 100%. The bar for each age is split into movements into the following classes: studying, working age, parents, carers, disability support, pension age, non-income support family, non-income support carer, non-income support other, previous welfare recipient, rest of the Australian population and dead. &#10;&#10;The chart shows that the persistency of staying in the parenting class from June 2015 to June 2016 decreased with age from above 90% for females aged 16 to around 70% for females aged 45. The persistency of staying in the parenting class increased with age between ages 45 and 60 to around 80% for females aged 60. Of people who transition out of the class, the most common transitions were to the working age, non-income support family and pension age classes. The majority of people aged 64 at the start of the year were seen to transition into the pension age class.&#10;&#10;The key features of this chart are discussed in the accompanying text within the report.&#10;"/>
      </w:tblPr>
      <w:tblGrid>
        <w:gridCol w:w="6081"/>
        <w:gridCol w:w="4000"/>
      </w:tblGrid>
      <w:tr w:rsidR="00377287" w:rsidRPr="00EC326F" w14:paraId="26E9D144" w14:textId="77777777" w:rsidTr="005D6CEC">
        <w:trPr>
          <w:cnfStyle w:val="100000000000" w:firstRow="1" w:lastRow="0" w:firstColumn="0" w:lastColumn="0" w:oddVBand="0" w:evenVBand="0" w:oddHBand="0" w:evenHBand="0" w:firstRowFirstColumn="0" w:firstRowLastColumn="0" w:lastRowFirstColumn="0" w:lastRowLastColumn="0"/>
          <w:tblHeader/>
        </w:trPr>
        <w:tc>
          <w:tcPr>
            <w:tcW w:w="5040" w:type="dxa"/>
            <w:tcBorders>
              <w:top w:val="none" w:sz="0" w:space="0" w:color="auto"/>
              <w:bottom w:val="none" w:sz="0" w:space="0" w:color="auto"/>
            </w:tcBorders>
          </w:tcPr>
          <w:p w14:paraId="7E8957E9" w14:textId="77777777" w:rsidR="00377287" w:rsidRPr="00EC326F" w:rsidRDefault="00377287" w:rsidP="006C2660">
            <w:pPr>
              <w:pStyle w:val="TableTextSmall"/>
              <w:rPr>
                <w:lang w:val="en-AU"/>
              </w:rPr>
            </w:pPr>
            <w:r w:rsidRPr="00EC326F">
              <w:rPr>
                <w:noProof/>
                <w:lang w:eastAsia="en-AU"/>
              </w:rPr>
              <w:drawing>
                <wp:inline distT="0" distB="0" distL="0" distR="0" wp14:anchorId="0F591735" wp14:editId="51FDE6D5">
                  <wp:extent cx="3724724" cy="2160000"/>
                  <wp:effectExtent l="0" t="0" r="0" b="0"/>
                  <wp:docPr id="3082" name="Picture 3082" descr="This figure is a vertical bar chart. The chart shows the proportion of females in class 3 at June 2015 who transitioned to each other class by June 2016. The horizontal axis shows ages from 15 to 65.The vertical axis shows the percentage of people moving from class 3 at June 2015 to each other possible class by June 2016, and ranges from 0% to 100%. The total for each age is 100%. The bar for each age is split into movements into the following classes: studying, working age, parents, carers, disability support, pension age, non-income support family, non-income support carer, non-income support other, previous welfare recipient, rest of the Australian population and dead. &#10;&#10;The chart shows that the persistency of staying in the parenting class from June 2015 to June 2016 decreased with age from above 90% for females aged 16 to around 70% for females aged 45. The persistency of staying in the parenting class increased with age between ages 45 and 60 to around 80% for females aged 60. Of people who transition out of the class, the most common transitions were to the working age, non-income support family and pension age classes. The majority of people aged 64 at the start of the year were seen to transition into the pension age class.&#10;&#10;The key features of this chart are discussed in the accompanying text within the report.&#10;" title=" Illustration of female single year movements from Class 3 – Par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4724" cy="2160000"/>
                          </a:xfrm>
                          <a:prstGeom prst="rect">
                            <a:avLst/>
                          </a:prstGeom>
                          <a:noFill/>
                          <a:ln>
                            <a:noFill/>
                          </a:ln>
                        </pic:spPr>
                      </pic:pic>
                    </a:graphicData>
                  </a:graphic>
                </wp:inline>
              </w:drawing>
            </w:r>
          </w:p>
        </w:tc>
        <w:tc>
          <w:tcPr>
            <w:tcW w:w="5041" w:type="dxa"/>
            <w:tcBorders>
              <w:top w:val="none" w:sz="0" w:space="0" w:color="auto"/>
              <w:bottom w:val="none" w:sz="0" w:space="0" w:color="auto"/>
            </w:tcBorders>
          </w:tcPr>
          <w:p w14:paraId="75FE8A90" w14:textId="77777777" w:rsidR="00377287" w:rsidRPr="00EC326F" w:rsidRDefault="00377287" w:rsidP="006C2660">
            <w:pPr>
              <w:pStyle w:val="TableTextSmall"/>
              <w:rPr>
                <w:lang w:val="en-AU"/>
              </w:rPr>
            </w:pPr>
          </w:p>
          <w:p w14:paraId="4116BF82" w14:textId="77777777" w:rsidR="00377287" w:rsidRPr="00EC326F" w:rsidRDefault="00377287" w:rsidP="006C2660">
            <w:pPr>
              <w:pStyle w:val="TableTextSmall"/>
              <w:rPr>
                <w:lang w:val="en-AU"/>
              </w:rPr>
            </w:pPr>
          </w:p>
          <w:p w14:paraId="20BDA82F" w14:textId="77777777" w:rsidR="00377287" w:rsidRPr="00EC326F" w:rsidRDefault="00377287" w:rsidP="006C2660">
            <w:pPr>
              <w:pStyle w:val="TableTextSmall"/>
              <w:rPr>
                <w:lang w:val="en-AU"/>
              </w:rPr>
            </w:pPr>
            <w:r w:rsidRPr="00EC326F">
              <w:rPr>
                <w:noProof/>
                <w:snapToGrid/>
                <w:lang w:eastAsia="en-AU"/>
              </w:rPr>
              <w:drawing>
                <wp:inline distT="0" distB="0" distL="0" distR="0" wp14:anchorId="7D16E44D" wp14:editId="03A9EA28">
                  <wp:extent cx="1439545" cy="1589405"/>
                  <wp:effectExtent l="0" t="0" r="8255" b="0"/>
                  <wp:docPr id="3083" name="Picture 3083" descr="Class key: studying, working age, parents, carers, disability support, pension age, non-income support family, non-income support carer, non-income support other, previous welfare recipient, rest of the Australian population and dead. &#10;" title="Class key for 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tc>
      </w:tr>
    </w:tbl>
    <w:p w14:paraId="730DEE66" w14:textId="77777777" w:rsidR="00377287" w:rsidRPr="00EC326F" w:rsidRDefault="00377287" w:rsidP="00377287">
      <w:pPr>
        <w:pStyle w:val="PwCNormal"/>
        <w:keepNext/>
        <w:numPr>
          <w:ilvl w:val="0"/>
          <w:numId w:val="0"/>
        </w:numPr>
      </w:pPr>
      <w:r w:rsidRPr="00EC326F">
        <w:t>We can see the key features of the experience:</w:t>
      </w:r>
    </w:p>
    <w:p w14:paraId="787FB0F1" w14:textId="77777777" w:rsidR="00377287" w:rsidRPr="00EC326F" w:rsidRDefault="00377287" w:rsidP="00377287">
      <w:pPr>
        <w:pStyle w:val="ListBullet"/>
      </w:pPr>
      <w:r w:rsidRPr="00EC326F">
        <w:t>A significant majority of these people stay in the class from one year to the next</w:t>
      </w:r>
    </w:p>
    <w:p w14:paraId="55B41159" w14:textId="5A7F9387" w:rsidR="00377287" w:rsidRPr="00EC326F" w:rsidRDefault="00377287" w:rsidP="00377287">
      <w:pPr>
        <w:pStyle w:val="ListBullet"/>
      </w:pPr>
      <w:r w:rsidRPr="00EC326F">
        <w:t xml:space="preserve">The main destinations are class </w:t>
      </w:r>
      <w:r w:rsidR="001C6B01">
        <w:t>‘</w:t>
      </w:r>
      <w:r w:rsidRPr="00EC326F">
        <w:t>6 Pension Age</w:t>
      </w:r>
      <w:r w:rsidR="001C6B01">
        <w:t>’</w:t>
      </w:r>
      <w:r w:rsidRPr="00EC326F">
        <w:t xml:space="preserve"> (for people at or approaching pension age); class </w:t>
      </w:r>
      <w:r w:rsidR="001C6B01">
        <w:t>‘</w:t>
      </w:r>
      <w:r w:rsidRPr="00EC326F">
        <w:t xml:space="preserve">2 </w:t>
      </w:r>
      <w:r w:rsidR="0088370E">
        <w:t>W</w:t>
      </w:r>
      <w:r w:rsidRPr="00EC326F">
        <w:t xml:space="preserve">orking </w:t>
      </w:r>
      <w:r w:rsidR="0088370E">
        <w:t>A</w:t>
      </w:r>
      <w:r w:rsidRPr="00EC326F">
        <w:t>ge</w:t>
      </w:r>
      <w:r w:rsidR="001C6B01">
        <w:t>’</w:t>
      </w:r>
      <w:r w:rsidRPr="00EC326F">
        <w:t xml:space="preserve"> and class </w:t>
      </w:r>
      <w:r w:rsidR="001C6B01">
        <w:t>‘</w:t>
      </w:r>
      <w:r w:rsidRPr="00EC326F">
        <w:t>7 Non IS Family</w:t>
      </w:r>
      <w:r w:rsidR="001C6B01">
        <w:t>’</w:t>
      </w:r>
    </w:p>
    <w:p w14:paraId="780A70A6" w14:textId="77777777" w:rsidR="00377287" w:rsidRPr="00EC326F" w:rsidRDefault="00377287" w:rsidP="00377287">
      <w:pPr>
        <w:pStyle w:val="ListBullet"/>
      </w:pPr>
      <w:r w:rsidRPr="00EC326F">
        <w:t>The proportion of people leaving the class increases at older ages. This is not surprising noting that the eligibility criteria include having a qualifying child under age 8 for single parents or under age 6 for partnered parents.</w:t>
      </w:r>
    </w:p>
    <w:p w14:paraId="43909108" w14:textId="77777777" w:rsidR="00377287" w:rsidRPr="00EC326F" w:rsidRDefault="00377287" w:rsidP="00377287">
      <w:pPr>
        <w:pStyle w:val="PwCNormal"/>
        <w:numPr>
          <w:ilvl w:val="0"/>
          <w:numId w:val="0"/>
        </w:numPr>
      </w:pPr>
      <w:r w:rsidRPr="00EC326F">
        <w:t>In developing the risk based assumptions we considered additional factors including people’s partner status, number and ages of children, educational attainment, whether they had employment earnings or not, and which other payment categories they utilised. These provide information as to whether the person is likely to stay in the class and, when they leave, the relative likelihood of exiting the system versus moving to other classes. This means the risk based assumptions used are more tailored to people’s individual circumstances rather than being averages for their age and gender.</w:t>
      </w:r>
    </w:p>
    <w:p w14:paraId="1C18BC25" w14:textId="77777777" w:rsidR="005A4605" w:rsidRPr="00EC326F" w:rsidRDefault="005A4605" w:rsidP="005A4605">
      <w:pPr>
        <w:pStyle w:val="Heading4"/>
      </w:pPr>
      <w:r w:rsidRPr="00EC326F">
        <w:t>Adopted models</w:t>
      </w:r>
    </w:p>
    <w:p w14:paraId="7BF6A1EB" w14:textId="77777777" w:rsidR="00377287" w:rsidRPr="00EC326F" w:rsidRDefault="00377287" w:rsidP="00377287">
      <w:pPr>
        <w:pStyle w:val="PwCNormal"/>
        <w:numPr>
          <w:ilvl w:val="0"/>
          <w:numId w:val="1"/>
        </w:numPr>
      </w:pPr>
      <w:r w:rsidRPr="00EC326F">
        <w:t>The main welfare class assumptions which have been adopted for the 2016 valuation vary by class, as follows:</w:t>
      </w:r>
    </w:p>
    <w:p w14:paraId="3FAEA357" w14:textId="77777777" w:rsidR="00377287" w:rsidRPr="00EC326F" w:rsidRDefault="00377287" w:rsidP="00377287">
      <w:pPr>
        <w:pStyle w:val="ListBullet2"/>
      </w:pPr>
      <w:r w:rsidRPr="00EC326F">
        <w:lastRenderedPageBreak/>
        <w:t>As for the baseline valuation, risk based assumptions were developed for each of classes 1-4</w:t>
      </w:r>
      <w:r w:rsidR="0088370E">
        <w:t xml:space="preserve">, </w:t>
      </w:r>
      <w:r w:rsidRPr="00EC326F">
        <w:t>8</w:t>
      </w:r>
      <w:r w:rsidR="0088370E">
        <w:t xml:space="preserve"> and </w:t>
      </w:r>
      <w:r w:rsidRPr="00EC326F">
        <w:t xml:space="preserve">9. These assumptions have been updated to reflect the recent experience and to consider the influence of the </w:t>
      </w:r>
      <w:r w:rsidR="004E079F" w:rsidRPr="00EC326F">
        <w:t>class characteristic</w:t>
      </w:r>
      <w:r w:rsidRPr="00EC326F">
        <w:t xml:space="preserve"> variables modelled for classes 1-4 and 8.</w:t>
      </w:r>
    </w:p>
    <w:p w14:paraId="29BD1AE5" w14:textId="77777777" w:rsidR="00377287" w:rsidRPr="00EC326F" w:rsidRDefault="00377287" w:rsidP="00377287">
      <w:pPr>
        <w:pStyle w:val="ListBullet2"/>
      </w:pPr>
      <w:r w:rsidRPr="00EC326F">
        <w:t>Risk based assumptions were newly developed and adopted for classes 5 and 7</w:t>
      </w:r>
    </w:p>
    <w:p w14:paraId="56BD984F" w14:textId="3C91FBE0" w:rsidR="00377287" w:rsidRPr="00EC326F" w:rsidRDefault="00377287" w:rsidP="00377287">
      <w:pPr>
        <w:pStyle w:val="ListBullet3"/>
      </w:pPr>
      <w:r w:rsidRPr="00EC326F">
        <w:t xml:space="preserve">For class </w:t>
      </w:r>
      <w:r w:rsidR="001C6B01">
        <w:t>‘</w:t>
      </w:r>
      <w:r w:rsidRPr="00EC326F">
        <w:t>5 Disability Support</w:t>
      </w:r>
      <w:r w:rsidR="001C6B01">
        <w:t>’</w:t>
      </w:r>
      <w:r w:rsidRPr="00EC326F">
        <w:t>, although only 1-2% of people move out of the class other than through retirement or death (both of which are modelled explicitly) the new information available in relation to the DSP medical condition warranted the exploration of the influence of medical condition on welfare outcomes and the development of a risk model which reflected this information.</w:t>
      </w:r>
    </w:p>
    <w:p w14:paraId="4288F5BA" w14:textId="30361542" w:rsidR="00377287" w:rsidRPr="00EC326F" w:rsidRDefault="00377287" w:rsidP="00377287">
      <w:pPr>
        <w:pStyle w:val="ListBullet3"/>
      </w:pPr>
      <w:r w:rsidRPr="00EC326F">
        <w:t xml:space="preserve">For class </w:t>
      </w:r>
      <w:r w:rsidR="00FF7EC9">
        <w:t>‘</w:t>
      </w:r>
      <w:r w:rsidRPr="00EC326F">
        <w:t>7 Non IS Family</w:t>
      </w:r>
      <w:r w:rsidR="00FF7EC9">
        <w:t>’</w:t>
      </w:r>
      <w:r w:rsidRPr="00EC326F">
        <w:t xml:space="preserve">, we have also introduced a new risk model. This is a refinement introduced at this valuation which will help provide greater insights for this class.  </w:t>
      </w:r>
    </w:p>
    <w:p w14:paraId="1B47B10C" w14:textId="77777777" w:rsidR="00377287" w:rsidRPr="00EC326F" w:rsidRDefault="00377287" w:rsidP="00377287">
      <w:pPr>
        <w:pStyle w:val="ListBullet2"/>
      </w:pPr>
      <w:r w:rsidRPr="00EC326F">
        <w:t>We have continued to retain the foundation assumptions as the final model assumptions for class 6 (age pension). For this class there is limited additional benefit of adding risk based models, having noted that less than 1% of age pensioners move out of this class other than through death.</w:t>
      </w:r>
    </w:p>
    <w:p w14:paraId="285FCFFC" w14:textId="77777777" w:rsidR="00377287" w:rsidRPr="00EC326F" w:rsidRDefault="00377287" w:rsidP="00377287">
      <w:pPr>
        <w:pStyle w:val="PwCNormal"/>
        <w:numPr>
          <w:ilvl w:val="0"/>
          <w:numId w:val="1"/>
        </w:numPr>
      </w:pPr>
      <w:r w:rsidRPr="00EC326F">
        <w:t>For each class we have also reviewed the age range represented in the experience of each class and referenced the foundation assumptions in the regions where the data is sparse. Examples of this are for people aged 15 and under in most welfare recipient classes; for those below retirement age in class 6 (Pension Age) and for those above retirement age in classes 1 (Studying), 2 (Working Age) and 3 (Parents).</w:t>
      </w:r>
    </w:p>
    <w:p w14:paraId="7EBAB9FB" w14:textId="77777777" w:rsidR="005A4605" w:rsidRPr="00EC326F" w:rsidRDefault="005A4605" w:rsidP="005A4605">
      <w:pPr>
        <w:pStyle w:val="Minorheading"/>
      </w:pPr>
      <w:r w:rsidRPr="00EC326F">
        <w:t>Changes since the baseline valuation</w:t>
      </w:r>
    </w:p>
    <w:p w14:paraId="5C7DBE4E" w14:textId="77777777" w:rsidR="00377287" w:rsidRPr="00EC326F" w:rsidRDefault="00377287" w:rsidP="00377287">
      <w:pPr>
        <w:pStyle w:val="PwCNormal"/>
        <w:numPr>
          <w:ilvl w:val="0"/>
          <w:numId w:val="1"/>
        </w:numPr>
      </w:pPr>
      <w:r w:rsidRPr="00EC326F">
        <w:t>The main changes to the welfare class movement assumptions as a result of updating the experience underlying the assumptions are as follows:</w:t>
      </w:r>
    </w:p>
    <w:p w14:paraId="5EFA945F" w14:textId="5FAA06F3" w:rsidR="00377287" w:rsidRPr="00EC326F" w:rsidRDefault="00377287" w:rsidP="00377287">
      <w:pPr>
        <w:pStyle w:val="ListBullet"/>
      </w:pPr>
      <w:r w:rsidRPr="00EC326F">
        <w:t xml:space="preserve">Lower transition assumptions into class </w:t>
      </w:r>
      <w:r w:rsidR="001C6B01">
        <w:t>‘</w:t>
      </w:r>
      <w:r w:rsidRPr="00EC326F">
        <w:t>5 Disability Support</w:t>
      </w:r>
      <w:r w:rsidR="001C6B01">
        <w:t>’</w:t>
      </w:r>
      <w:r w:rsidRPr="00EC326F">
        <w:t xml:space="preserve"> from most other classes, reflecting the </w:t>
      </w:r>
      <w:r w:rsidR="00CD0CBA" w:rsidRPr="00EC326F">
        <w:t xml:space="preserve">continued </w:t>
      </w:r>
      <w:r w:rsidRPr="00EC326F">
        <w:t>tightening of DSP in recent years;</w:t>
      </w:r>
    </w:p>
    <w:p w14:paraId="4E1AD8C7" w14:textId="0778E8CA" w:rsidR="00377287" w:rsidRPr="00EC326F" w:rsidRDefault="00377287" w:rsidP="00377287">
      <w:pPr>
        <w:pStyle w:val="ListBullet"/>
      </w:pPr>
      <w:r w:rsidRPr="00EC326F">
        <w:t xml:space="preserve">A reduction in transitions into class </w:t>
      </w:r>
      <w:r w:rsidR="001C6B01">
        <w:t>‘</w:t>
      </w:r>
      <w:r w:rsidRPr="00EC326F">
        <w:t>4 Carers</w:t>
      </w:r>
      <w:r w:rsidR="001C6B01">
        <w:t>’</w:t>
      </w:r>
      <w:r w:rsidRPr="00EC326F">
        <w:t>, reflecting a slight but steady decrease in transition experience in recent years; and</w:t>
      </w:r>
    </w:p>
    <w:p w14:paraId="76FB2314" w14:textId="492CB014" w:rsidR="00077BEE" w:rsidRPr="00EC326F" w:rsidRDefault="00377287" w:rsidP="00377287">
      <w:pPr>
        <w:pStyle w:val="ListBullet"/>
      </w:pPr>
      <w:r w:rsidRPr="00EC326F">
        <w:t xml:space="preserve">A recalibration of assumptions relating to class </w:t>
      </w:r>
      <w:r w:rsidR="00FF7EC9">
        <w:t>‘</w:t>
      </w:r>
      <w:r w:rsidRPr="00EC326F">
        <w:t>9 Non IS Other</w:t>
      </w:r>
      <w:r w:rsidR="00FF7EC9">
        <w:t>’</w:t>
      </w:r>
      <w:r w:rsidRPr="00EC326F">
        <w:t xml:space="preserve"> to reflect experience following </w:t>
      </w:r>
      <w:r w:rsidR="00077BEE" w:rsidRPr="00EC326F">
        <w:t>recent policy changes made to the supplementary payments available to retirees</w:t>
      </w:r>
      <w:r w:rsidRPr="00EC326F">
        <w:t>.</w:t>
      </w:r>
    </w:p>
    <w:p w14:paraId="1B7DBFD6" w14:textId="77777777" w:rsidR="005A4605" w:rsidRPr="00EC326F" w:rsidRDefault="005A4605" w:rsidP="005A4605">
      <w:pPr>
        <w:pStyle w:val="Heading3"/>
      </w:pPr>
      <w:bookmarkStart w:id="193" w:name="_Toc493844238"/>
      <w:r w:rsidRPr="00EC326F">
        <w:t>New entrant assumptions</w:t>
      </w:r>
      <w:bookmarkEnd w:id="193"/>
    </w:p>
    <w:p w14:paraId="42353B1A" w14:textId="77777777" w:rsidR="00E4134B" w:rsidRPr="00EC326F" w:rsidRDefault="00E4134B" w:rsidP="0088370E">
      <w:pPr>
        <w:pStyle w:val="Heading4"/>
      </w:pPr>
      <w:r w:rsidRPr="00EC326F">
        <w:t>Approach</w:t>
      </w:r>
    </w:p>
    <w:p w14:paraId="0F291D6E" w14:textId="77777777" w:rsidR="00E4134B" w:rsidRPr="00EC326F" w:rsidRDefault="00E4134B" w:rsidP="00E4134B">
      <w:pPr>
        <w:pStyle w:val="PwCNormal"/>
        <w:numPr>
          <w:ilvl w:val="0"/>
          <w:numId w:val="1"/>
        </w:numPr>
      </w:pPr>
      <w:r w:rsidRPr="00EC326F">
        <w:t>The approach for developing the new entrant assumptions is the same as that used for the class movements for the active welfare classes, with assumptions first being set at a foundation level and then refined by using statistical models to include a broader range of risk factors.</w:t>
      </w:r>
    </w:p>
    <w:p w14:paraId="375AB54A" w14:textId="77777777" w:rsidR="00E4134B" w:rsidRPr="00EC326F" w:rsidRDefault="00E4134B" w:rsidP="00E4134B">
      <w:pPr>
        <w:pStyle w:val="Bullet1"/>
        <w:numPr>
          <w:ilvl w:val="0"/>
          <w:numId w:val="0"/>
        </w:numPr>
      </w:pPr>
      <w:r w:rsidRPr="00EC326F">
        <w:t>The probability of the re-entry of a past welfare recipient is generally higher than the probability of entry from someone in the rest of the population. As a result of this, different entry assumptions were selected for previous welfare recipients (Class 10) and the rest of the Australian population (Class 12). Once a person has been inactive for more than 10 years, we elected to use the same entry assumptions as for the rest of the Australian population (i.e. Class 12 entry assumptions). This was done in order to be more consistent with the historical data analysed; in particular noting that as there is only a limited period of data, the rest of the Australian population group in Class 12 includes some people who would have received welfare prior to the period of experience recorded in the data.</w:t>
      </w:r>
    </w:p>
    <w:p w14:paraId="2DE9B7CB" w14:textId="41FDB372" w:rsidR="00E4134B" w:rsidRPr="00EC326F" w:rsidRDefault="00E4134B" w:rsidP="00E4134B">
      <w:pPr>
        <w:pStyle w:val="PwCNormal"/>
        <w:numPr>
          <w:ilvl w:val="0"/>
          <w:numId w:val="1"/>
        </w:numPr>
      </w:pPr>
      <w:r w:rsidRPr="00EC326F">
        <w:t>As would be expected there are clear age related trends for entries that depend on the typical pathways and life circumstances at the different age ranges. These features together with commentary can be seen in</w:t>
      </w:r>
      <w:r w:rsidR="009668E2">
        <w:t xml:space="preserve"> </w:t>
      </w:r>
      <w:r w:rsidR="009668E2">
        <w:fldChar w:fldCharType="begin"/>
      </w:r>
      <w:r w:rsidR="009668E2">
        <w:instrText xml:space="preserve"> REF _Ref466492821 \h </w:instrText>
      </w:r>
      <w:r w:rsidR="009668E2">
        <w:fldChar w:fldCharType="separate"/>
      </w:r>
      <w:r w:rsidR="007A42DF" w:rsidRPr="00EC326F">
        <w:t xml:space="preserve">Figure </w:t>
      </w:r>
      <w:r w:rsidR="007A42DF">
        <w:rPr>
          <w:noProof/>
        </w:rPr>
        <w:t>95</w:t>
      </w:r>
      <w:r w:rsidR="009668E2">
        <w:fldChar w:fldCharType="end"/>
      </w:r>
      <w:r w:rsidR="009668E2">
        <w:t xml:space="preserve"> of </w:t>
      </w:r>
      <w:r w:rsidR="0011562A">
        <w:t>section</w:t>
      </w:r>
      <w:r w:rsidR="009668E2">
        <w:t xml:space="preserve"> </w:t>
      </w:r>
      <w:r w:rsidR="009668E2">
        <w:fldChar w:fldCharType="begin"/>
      </w:r>
      <w:r w:rsidR="009668E2">
        <w:instrText xml:space="preserve"> REF _Ref466492755 \w \h </w:instrText>
      </w:r>
      <w:r w:rsidR="009668E2">
        <w:fldChar w:fldCharType="separate"/>
      </w:r>
      <w:r w:rsidR="007A42DF">
        <w:t>11.2</w:t>
      </w:r>
      <w:r w:rsidR="009668E2">
        <w:fldChar w:fldCharType="end"/>
      </w:r>
      <w:r w:rsidRPr="00EC326F">
        <w:t xml:space="preserve"> and have been allowed for in the entry rate assumptions.</w:t>
      </w:r>
    </w:p>
    <w:p w14:paraId="7A3CAD66" w14:textId="77777777" w:rsidR="00E4134B" w:rsidRPr="00EC326F" w:rsidRDefault="00E4134B" w:rsidP="0088370E">
      <w:pPr>
        <w:pStyle w:val="Heading4"/>
      </w:pPr>
      <w:r w:rsidRPr="00EC326F">
        <w:t xml:space="preserve">Adopted models </w:t>
      </w:r>
    </w:p>
    <w:p w14:paraId="04D52D47" w14:textId="77777777" w:rsidR="00E4134B" w:rsidRPr="00EC326F" w:rsidRDefault="00E4134B" w:rsidP="00E4134B">
      <w:pPr>
        <w:pStyle w:val="Bullet1"/>
        <w:numPr>
          <w:ilvl w:val="0"/>
          <w:numId w:val="0"/>
        </w:numPr>
      </w:pPr>
      <w:r w:rsidRPr="00EC326F">
        <w:t xml:space="preserve">As for the baseline valuation, risk based assumptions have been adopted for both classes 10 and 12. </w:t>
      </w:r>
    </w:p>
    <w:p w14:paraId="01369CCB" w14:textId="77777777" w:rsidR="00E4134B" w:rsidRPr="00EC326F" w:rsidRDefault="00E4134B" w:rsidP="00E4134B">
      <w:pPr>
        <w:pStyle w:val="PwCNormal"/>
        <w:numPr>
          <w:ilvl w:val="0"/>
          <w:numId w:val="0"/>
        </w:numPr>
      </w:pPr>
      <w:r w:rsidRPr="00EC326F">
        <w:t xml:space="preserve">For past welfare recipients both the time since exit from the welfare system and the last active welfare class were predictive of the probability of re-entering. Recent welfare recipients are generally more likely to re-enter the system compared to other people and people are often more likely to re-enter a class they have previously </w:t>
      </w:r>
      <w:r w:rsidRPr="00EC326F">
        <w:lastRenderedPageBreak/>
        <w:t>been in. Additionally, partner status, child information and highest level of education appear predictive of entry probabilities and so these were included as factors in all the entry rate assumptions.</w:t>
      </w:r>
      <w:r w:rsidRPr="00EC326F" w:rsidDel="0023113D">
        <w:t xml:space="preserve"> </w:t>
      </w:r>
    </w:p>
    <w:p w14:paraId="2729BA5D" w14:textId="77777777" w:rsidR="00E4134B" w:rsidRPr="00EC326F" w:rsidRDefault="00E4134B" w:rsidP="00E4134B">
      <w:pPr>
        <w:pStyle w:val="PwCNormal"/>
        <w:numPr>
          <w:ilvl w:val="0"/>
          <w:numId w:val="0"/>
        </w:numPr>
      </w:pPr>
      <w:r w:rsidRPr="00EC326F">
        <w:t>For most classes the entry rates have been broadly stable over the last few years, or exhibiting very gradual trends and as a result entry rate assumptions were largely selected based on an average of the experience over the last 3 years, with the following main exceptions:</w:t>
      </w:r>
    </w:p>
    <w:p w14:paraId="06DF587B" w14:textId="77777777" w:rsidR="00E4134B" w:rsidRPr="00EC326F" w:rsidRDefault="00E4134B" w:rsidP="00E4134B">
      <w:pPr>
        <w:pStyle w:val="Bullet1"/>
      </w:pPr>
      <w:r w:rsidRPr="00EC326F">
        <w:t xml:space="preserve">Entry rates into Class 5 ‘Disability Support’ have been decreasing over recent years, reflecting the tightened eligibility criteria and this had continued for the 2015/16 year. Following discussion with the Department, and recognising the immaturity of the 2015/16 year of experience Class 5 entry rate assumptions were selected based on the average of the experience </w:t>
      </w:r>
      <w:r w:rsidR="00484EF4" w:rsidRPr="00EC326F">
        <w:t>in the 2014/15 year</w:t>
      </w:r>
      <w:r w:rsidRPr="00EC326F">
        <w:t>.</w:t>
      </w:r>
    </w:p>
    <w:p w14:paraId="41522BBB" w14:textId="77777777" w:rsidR="00E4134B" w:rsidRPr="00EC326F" w:rsidRDefault="00E4134B" w:rsidP="00E4134B">
      <w:pPr>
        <w:pStyle w:val="Bullet1"/>
      </w:pPr>
      <w:r w:rsidRPr="00EC326F">
        <w:t>The observed historical entry rates into Class 9 ‘Non IS Other’ for people above retirement age have varied owing to the changes in composition of this class and the entry rates have been updated accordingly. The impact of this change is relatively minor owing to the older age range over which the change has been made.</w:t>
      </w:r>
    </w:p>
    <w:p w14:paraId="08647A3E" w14:textId="77777777" w:rsidR="00E4134B" w:rsidRPr="00EC326F" w:rsidRDefault="00E4134B" w:rsidP="00E4134B">
      <w:pPr>
        <w:pStyle w:val="Minorheading"/>
      </w:pPr>
      <w:r w:rsidRPr="00EC326F">
        <w:t>Changes since the baseline valuation</w:t>
      </w:r>
    </w:p>
    <w:p w14:paraId="11B25B77" w14:textId="77777777" w:rsidR="00E4134B" w:rsidRPr="00EC326F" w:rsidRDefault="00E4134B" w:rsidP="00E4134B">
      <w:pPr>
        <w:pStyle w:val="PwCNormal"/>
        <w:numPr>
          <w:ilvl w:val="0"/>
          <w:numId w:val="1"/>
        </w:numPr>
      </w:pPr>
      <w:r w:rsidRPr="00EC326F">
        <w:t>The main changes to the welfare class movement assumptions as a result of updating the experience underlying the assumptions are as follows:</w:t>
      </w:r>
    </w:p>
    <w:p w14:paraId="026BADE4" w14:textId="6C684328" w:rsidR="00484EF4" w:rsidRPr="00EC326F" w:rsidRDefault="00E4134B" w:rsidP="00E4134B">
      <w:pPr>
        <w:pStyle w:val="ListBullet"/>
      </w:pPr>
      <w:r w:rsidRPr="00EC326F">
        <w:t xml:space="preserve">A reduction in entries into class </w:t>
      </w:r>
      <w:r w:rsidR="001C6B01">
        <w:t>‘</w:t>
      </w:r>
      <w:r w:rsidRPr="00EC326F">
        <w:t>2 Working Age</w:t>
      </w:r>
      <w:r w:rsidR="001C6B01">
        <w:t>’</w:t>
      </w:r>
      <w:r w:rsidRPr="00EC326F">
        <w:t>, primarily from people who have previou</w:t>
      </w:r>
      <w:r w:rsidR="00484EF4" w:rsidRPr="00EC326F">
        <w:t>sly been in the welfare system;</w:t>
      </w:r>
    </w:p>
    <w:p w14:paraId="77FAA624" w14:textId="3452B4EA" w:rsidR="00E4134B" w:rsidRPr="00EC326F" w:rsidRDefault="00484EF4" w:rsidP="00E4134B">
      <w:pPr>
        <w:pStyle w:val="ListBullet"/>
      </w:pPr>
      <w:r w:rsidRPr="00EC326F">
        <w:t xml:space="preserve">A reduction in entries into class </w:t>
      </w:r>
      <w:r w:rsidR="001C6B01">
        <w:t>‘</w:t>
      </w:r>
      <w:r w:rsidRPr="00EC326F">
        <w:t>5 Disability Support</w:t>
      </w:r>
      <w:r w:rsidR="001C6B01">
        <w:t>’</w:t>
      </w:r>
      <w:r w:rsidRPr="00EC326F">
        <w:t xml:space="preserve">; </w:t>
      </w:r>
      <w:r w:rsidR="00E4134B" w:rsidRPr="00EC326F">
        <w:t>and</w:t>
      </w:r>
    </w:p>
    <w:p w14:paraId="65C4BAA0" w14:textId="47C1D6A5" w:rsidR="00E4134B" w:rsidRPr="00EC326F" w:rsidRDefault="00E4134B" w:rsidP="00E4134B">
      <w:pPr>
        <w:pStyle w:val="ListBullet"/>
      </w:pPr>
      <w:r w:rsidRPr="00EC326F">
        <w:t xml:space="preserve">A small reduction in entries into class </w:t>
      </w:r>
      <w:r w:rsidR="001C6B01">
        <w:t>‘</w:t>
      </w:r>
      <w:r w:rsidRPr="00EC326F">
        <w:t>6 Pension Age</w:t>
      </w:r>
      <w:r w:rsidR="001C6B01">
        <w:t>’</w:t>
      </w:r>
      <w:r w:rsidRPr="00EC326F">
        <w:t xml:space="preserve"> around retirement age.</w:t>
      </w:r>
    </w:p>
    <w:p w14:paraId="47386D28" w14:textId="77777777" w:rsidR="00A26AAD" w:rsidRPr="00EC326F" w:rsidRDefault="004E079F" w:rsidP="00A26AAD">
      <w:pPr>
        <w:pStyle w:val="Heading3"/>
      </w:pPr>
      <w:bookmarkStart w:id="194" w:name="_Toc493844239"/>
      <w:r w:rsidRPr="00EC326F">
        <w:t>Class characteristic</w:t>
      </w:r>
      <w:r w:rsidR="00A26AAD" w:rsidRPr="00EC326F">
        <w:t xml:space="preserve"> variable assumptions</w:t>
      </w:r>
      <w:bookmarkEnd w:id="194"/>
    </w:p>
    <w:p w14:paraId="5AC079FC" w14:textId="77777777" w:rsidR="006A2CA2" w:rsidRPr="00EC326F" w:rsidRDefault="006A2CA2" w:rsidP="006A2CA2">
      <w:pPr>
        <w:pStyle w:val="PwCNormal"/>
        <w:numPr>
          <w:ilvl w:val="0"/>
          <w:numId w:val="1"/>
        </w:numPr>
        <w:rPr>
          <w:snapToGrid/>
        </w:rPr>
      </w:pPr>
      <w:r w:rsidRPr="00EC326F">
        <w:t>The new modelling variables which have been included at this 2016 valuation provide additional information which is useful in understanding the likely future welfare use and associated cost for people in the income support classes and the non income support carer class. These variables are listed in the table below.</w:t>
      </w:r>
    </w:p>
    <w:p w14:paraId="2514AC50" w14:textId="77777777" w:rsidR="006A2CA2" w:rsidRPr="00EC326F" w:rsidRDefault="006A2CA2" w:rsidP="006A2CA2">
      <w:pPr>
        <w:pStyle w:val="Caption"/>
      </w:pPr>
      <w:r w:rsidRPr="00EC326F">
        <w:t xml:space="preserve">Table </w:t>
      </w:r>
      <w:fldSimple w:instr=" SEQ Table \* ARABIC ">
        <w:r w:rsidR="007A42DF">
          <w:rPr>
            <w:noProof/>
          </w:rPr>
          <w:t>14</w:t>
        </w:r>
      </w:fldSimple>
      <w:r w:rsidRPr="00EC326F">
        <w:t xml:space="preserve">: </w:t>
      </w:r>
      <w:r w:rsidR="00C55329">
        <w:t>New c</w:t>
      </w:r>
      <w:r w:rsidR="004E079F" w:rsidRPr="00EC326F">
        <w:t>lass characteristic</w:t>
      </w:r>
      <w:r w:rsidRPr="00EC326F">
        <w:t xml:space="preserve"> variables</w:t>
      </w:r>
    </w:p>
    <w:tbl>
      <w:tblPr>
        <w:tblStyle w:val="Tables-APBase"/>
        <w:tblW w:w="4946" w:type="pct"/>
        <w:tblInd w:w="108" w:type="dxa"/>
        <w:tblBorders>
          <w:left w:val="none" w:sz="0" w:space="0" w:color="auto"/>
          <w:bottom w:val="single" w:sz="4" w:space="0" w:color="E0301E"/>
          <w:insideH w:val="single" w:sz="4" w:space="0" w:color="E0301E"/>
          <w:insideV w:val="single" w:sz="4" w:space="0" w:color="E0301E" w:themeColor="accent6"/>
        </w:tblBorders>
        <w:tblLayout w:type="fixed"/>
        <w:tblLook w:val="04A0" w:firstRow="1" w:lastRow="0" w:firstColumn="1" w:lastColumn="0" w:noHBand="0" w:noVBand="1"/>
        <w:tblCaption w:val=" New class characteristic variables"/>
        <w:tblDescription w:val="This table provides information about the new class characteristic variables. &#10;&#10;Table 14 is identical to Table 4, but goes further and includes an additional column that notes whether each variable is Deterministic, Static or Dynamic.&#10;&#10;• Primary Care Recipient Age is a deterministic variable.&#10;• Primary Care Recipient Relationship is a static variable.&#10;• Primary Care Recipient Medical Condition is a static variable.&#10;• Number of Adult Care Recipients is a dynamic variable.&#10;• Number of Child Care Recipients is a dynamic variable.&#10;• DSP Primary Medical Condition is a static variable.&#10;• Employment Earnings Indicator is a dynamic variable.&#10;• Payment Type is a dynamic variable. &#10;&#10;Refer to the description of Table 4 for a summary of the other information provided in Table 14.&#10;"/>
      </w:tblPr>
      <w:tblGrid>
        <w:gridCol w:w="2101"/>
        <w:gridCol w:w="4707"/>
        <w:gridCol w:w="1582"/>
        <w:gridCol w:w="1582"/>
      </w:tblGrid>
      <w:tr w:rsidR="006A2CA2" w:rsidRPr="00EC326F" w14:paraId="49689C49" w14:textId="77777777" w:rsidTr="00055EA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01" w:type="dxa"/>
            <w:shd w:val="clear" w:color="auto" w:fill="E0301E"/>
            <w:hideMark/>
          </w:tcPr>
          <w:p w14:paraId="252344E4" w14:textId="77777777" w:rsidR="006A2CA2" w:rsidRPr="00EC326F" w:rsidRDefault="006A2CA2" w:rsidP="00782413">
            <w:pPr>
              <w:pStyle w:val="TableColumnHeadingSmall"/>
            </w:pPr>
            <w:r w:rsidRPr="00EC326F">
              <w:t>Variable (Range)</w:t>
            </w:r>
          </w:p>
        </w:tc>
        <w:tc>
          <w:tcPr>
            <w:tcW w:w="4707" w:type="dxa"/>
            <w:shd w:val="clear" w:color="auto" w:fill="E0301E"/>
            <w:hideMark/>
          </w:tcPr>
          <w:p w14:paraId="5516B1C6" w14:textId="77777777" w:rsidR="006A2CA2" w:rsidRPr="00EC326F" w:rsidRDefault="006A2CA2" w:rsidP="00782413">
            <w:pPr>
              <w:pStyle w:val="TableColumnHeadingSmall"/>
              <w:cnfStyle w:val="100000000000" w:firstRow="1" w:lastRow="0" w:firstColumn="0" w:lastColumn="0" w:oddVBand="0" w:evenVBand="0" w:oddHBand="0" w:evenHBand="0" w:firstRowFirstColumn="0" w:firstRowLastColumn="0" w:lastRowFirstColumn="0" w:lastRowLastColumn="0"/>
            </w:pPr>
            <w:r w:rsidRPr="00EC326F">
              <w:t>Description</w:t>
            </w:r>
          </w:p>
        </w:tc>
        <w:tc>
          <w:tcPr>
            <w:tcW w:w="1582" w:type="dxa"/>
            <w:shd w:val="clear" w:color="auto" w:fill="E0301E"/>
          </w:tcPr>
          <w:p w14:paraId="62AED5B0" w14:textId="77777777" w:rsidR="006A2CA2" w:rsidRPr="00EC326F" w:rsidRDefault="006A2CA2" w:rsidP="006A2CA2">
            <w:pPr>
              <w:pStyle w:val="TableColumnHeadingSmall"/>
              <w:jc w:val="center"/>
              <w:cnfStyle w:val="100000000000" w:firstRow="1" w:lastRow="0" w:firstColumn="0" w:lastColumn="0" w:oddVBand="0" w:evenVBand="0" w:oddHBand="0" w:evenHBand="0" w:firstRowFirstColumn="0" w:firstRowLastColumn="0" w:lastRowFirstColumn="0" w:lastRowLastColumn="0"/>
              <w:rPr>
                <w:bCs/>
              </w:rPr>
            </w:pPr>
            <w:r w:rsidRPr="00EC326F">
              <w:rPr>
                <w:bCs/>
              </w:rPr>
              <w:t>Variable type</w:t>
            </w:r>
            <w:r w:rsidRPr="00EC326F">
              <w:rPr>
                <w:bCs/>
                <w:vertAlign w:val="superscript"/>
              </w:rPr>
              <w:t>1</w:t>
            </w:r>
          </w:p>
        </w:tc>
        <w:tc>
          <w:tcPr>
            <w:tcW w:w="1582" w:type="dxa"/>
            <w:shd w:val="clear" w:color="auto" w:fill="E0301E"/>
            <w:hideMark/>
          </w:tcPr>
          <w:p w14:paraId="6848BC31" w14:textId="77777777" w:rsidR="006A2CA2" w:rsidRPr="00EC326F" w:rsidRDefault="006A2CA2" w:rsidP="00782413">
            <w:pPr>
              <w:pStyle w:val="TableColumnHeadingSmall"/>
              <w:cnfStyle w:val="100000000000" w:firstRow="1" w:lastRow="0" w:firstColumn="0" w:lastColumn="0" w:oddVBand="0" w:evenVBand="0" w:oddHBand="0" w:evenHBand="0" w:firstRowFirstColumn="0" w:firstRowLastColumn="0" w:lastRowFirstColumn="0" w:lastRowLastColumn="0"/>
            </w:pPr>
            <w:r w:rsidRPr="00EC326F">
              <w:t>Relevant classes</w:t>
            </w:r>
          </w:p>
        </w:tc>
      </w:tr>
      <w:tr w:rsidR="006A2CA2" w:rsidRPr="00EC326F" w14:paraId="44359A91" w14:textId="77777777" w:rsidTr="00055EA9">
        <w:trPr>
          <w:trHeight w:val="255"/>
        </w:trPr>
        <w:tc>
          <w:tcPr>
            <w:tcW w:w="2101" w:type="dxa"/>
          </w:tcPr>
          <w:p w14:paraId="4D40795B" w14:textId="6011AF58" w:rsidR="006A2CA2" w:rsidRPr="00EC326F" w:rsidRDefault="006A2CA2" w:rsidP="00FE6871">
            <w:pPr>
              <w:pStyle w:val="TableTextSmall"/>
              <w:rPr>
                <w:b/>
                <w:bCs/>
              </w:rPr>
            </w:pPr>
            <w:r w:rsidRPr="00EC326F">
              <w:rPr>
                <w:b/>
                <w:bCs/>
              </w:rPr>
              <w:t>Primary</w:t>
            </w:r>
            <w:r w:rsidRPr="00EC326F">
              <w:rPr>
                <w:b/>
                <w:bCs/>
                <w:vertAlign w:val="superscript"/>
              </w:rPr>
              <w:t>2</w:t>
            </w:r>
            <w:r w:rsidRPr="00EC326F">
              <w:rPr>
                <w:b/>
                <w:bCs/>
              </w:rPr>
              <w:t xml:space="preserve"> </w:t>
            </w:r>
            <w:r w:rsidR="00FE6871">
              <w:rPr>
                <w:b/>
                <w:bCs/>
              </w:rPr>
              <w:t xml:space="preserve">Care Recipient </w:t>
            </w:r>
            <w:r w:rsidRPr="00EC326F">
              <w:rPr>
                <w:b/>
                <w:bCs/>
              </w:rPr>
              <w:t>Age</w:t>
            </w:r>
          </w:p>
        </w:tc>
        <w:tc>
          <w:tcPr>
            <w:tcW w:w="4707" w:type="dxa"/>
            <w:hideMark/>
          </w:tcPr>
          <w:p w14:paraId="3D7C73EC" w14:textId="2180B58A" w:rsidR="006A2CA2" w:rsidRPr="00EC326F" w:rsidRDefault="006A2CA2" w:rsidP="00FE6871">
            <w:pPr>
              <w:pStyle w:val="TableTextSmall"/>
            </w:pPr>
            <w:r w:rsidRPr="00EC326F">
              <w:t xml:space="preserve">Age of primary </w:t>
            </w:r>
            <w:r w:rsidR="00FE6871">
              <w:t xml:space="preserve">care recipient </w:t>
            </w:r>
            <w:r w:rsidRPr="00EC326F">
              <w:t>at 30th of June each year. Age allowed to range from 0 to 110.</w:t>
            </w:r>
          </w:p>
        </w:tc>
        <w:tc>
          <w:tcPr>
            <w:tcW w:w="1582" w:type="dxa"/>
          </w:tcPr>
          <w:p w14:paraId="6A77F2BC" w14:textId="77777777" w:rsidR="006A2CA2" w:rsidRPr="00EC326F" w:rsidRDefault="006A2CA2" w:rsidP="00782413">
            <w:pPr>
              <w:pStyle w:val="TableTextSmall"/>
              <w:jc w:val="center"/>
            </w:pPr>
            <w:r w:rsidRPr="00EC326F">
              <w:t>Deterministic</w:t>
            </w:r>
          </w:p>
        </w:tc>
        <w:tc>
          <w:tcPr>
            <w:tcW w:w="1582" w:type="dxa"/>
            <w:hideMark/>
          </w:tcPr>
          <w:p w14:paraId="16A7F383" w14:textId="77777777" w:rsidR="006A2CA2" w:rsidRPr="00EC326F" w:rsidRDefault="006A2CA2" w:rsidP="00782413">
            <w:pPr>
              <w:pStyle w:val="TableTextSmall"/>
              <w:jc w:val="center"/>
            </w:pPr>
            <w:r w:rsidRPr="00EC326F">
              <w:t>4</w:t>
            </w:r>
          </w:p>
        </w:tc>
      </w:tr>
      <w:tr w:rsidR="006A2CA2" w:rsidRPr="00EC326F" w14:paraId="1E2AB29E" w14:textId="77777777" w:rsidTr="00055EA9">
        <w:tc>
          <w:tcPr>
            <w:tcW w:w="2102" w:type="dxa"/>
          </w:tcPr>
          <w:p w14:paraId="57778C6F" w14:textId="61C12694" w:rsidR="006A2CA2" w:rsidRPr="00EC326F" w:rsidRDefault="006A2CA2" w:rsidP="00FE6871">
            <w:pPr>
              <w:pStyle w:val="TableTextSmall"/>
              <w:rPr>
                <w:b/>
                <w:bCs/>
              </w:rPr>
            </w:pPr>
            <w:r w:rsidRPr="00EC326F">
              <w:rPr>
                <w:b/>
                <w:bCs/>
              </w:rPr>
              <w:t xml:space="preserve">Primary </w:t>
            </w:r>
            <w:r w:rsidR="00FE6871">
              <w:rPr>
                <w:b/>
                <w:bCs/>
              </w:rPr>
              <w:t>Care Recipient</w:t>
            </w:r>
            <w:r w:rsidR="00FE6871" w:rsidRPr="00EC326F">
              <w:rPr>
                <w:b/>
                <w:bCs/>
              </w:rPr>
              <w:t xml:space="preserve"> </w:t>
            </w:r>
            <w:r w:rsidRPr="00EC326F">
              <w:rPr>
                <w:b/>
                <w:bCs/>
              </w:rPr>
              <w:t>Relationship</w:t>
            </w:r>
          </w:p>
        </w:tc>
        <w:tc>
          <w:tcPr>
            <w:tcW w:w="4707" w:type="dxa"/>
            <w:hideMark/>
          </w:tcPr>
          <w:p w14:paraId="20535D69" w14:textId="49F1E57D" w:rsidR="006A2CA2" w:rsidRPr="00EC326F" w:rsidRDefault="006A2CA2" w:rsidP="00FE6871">
            <w:pPr>
              <w:pStyle w:val="TableTextSmall"/>
            </w:pPr>
            <w:r w:rsidRPr="00EC326F">
              <w:t>The relationship between the carer and primary care</w:t>
            </w:r>
            <w:r w:rsidR="00FE6871">
              <w:t xml:space="preserve"> recipient</w:t>
            </w:r>
            <w:r w:rsidRPr="00EC326F">
              <w:t>. Relationship type grouped into Child, Parent, Partner, Other or Unk</w:t>
            </w:r>
            <w:r w:rsidR="00F541C6" w:rsidRPr="00EC326F">
              <w:t>n</w:t>
            </w:r>
            <w:r w:rsidRPr="00EC326F">
              <w:t>own.</w:t>
            </w:r>
          </w:p>
        </w:tc>
        <w:tc>
          <w:tcPr>
            <w:tcW w:w="1582" w:type="dxa"/>
          </w:tcPr>
          <w:p w14:paraId="39334BE1" w14:textId="77777777" w:rsidR="006A2CA2" w:rsidRPr="00EC326F" w:rsidRDefault="006A2CA2" w:rsidP="00782413">
            <w:pPr>
              <w:pStyle w:val="TableTextSmall"/>
              <w:jc w:val="center"/>
            </w:pPr>
            <w:r w:rsidRPr="00EC326F">
              <w:t>Static</w:t>
            </w:r>
          </w:p>
        </w:tc>
        <w:tc>
          <w:tcPr>
            <w:tcW w:w="1582" w:type="dxa"/>
            <w:hideMark/>
          </w:tcPr>
          <w:p w14:paraId="7FF2BC31" w14:textId="77777777" w:rsidR="006A2CA2" w:rsidRPr="00EC326F" w:rsidRDefault="006A2CA2" w:rsidP="00782413">
            <w:pPr>
              <w:pStyle w:val="TableTextSmall"/>
              <w:jc w:val="center"/>
            </w:pPr>
            <w:r w:rsidRPr="00EC326F">
              <w:t>4</w:t>
            </w:r>
          </w:p>
        </w:tc>
      </w:tr>
      <w:tr w:rsidR="006A2CA2" w:rsidRPr="00EC326F" w14:paraId="081B2B6E" w14:textId="77777777" w:rsidTr="00055EA9">
        <w:trPr>
          <w:trHeight w:val="241"/>
        </w:trPr>
        <w:tc>
          <w:tcPr>
            <w:tcW w:w="2102" w:type="dxa"/>
          </w:tcPr>
          <w:p w14:paraId="671312F7" w14:textId="5FFDD190" w:rsidR="006A2CA2" w:rsidRPr="00EC326F" w:rsidRDefault="006A2CA2" w:rsidP="00FE6871">
            <w:pPr>
              <w:pStyle w:val="TableTextSmall"/>
              <w:rPr>
                <w:b/>
                <w:bCs/>
              </w:rPr>
            </w:pPr>
            <w:r w:rsidRPr="00EC326F">
              <w:rPr>
                <w:b/>
                <w:bCs/>
              </w:rPr>
              <w:t xml:space="preserve">Primary </w:t>
            </w:r>
            <w:r w:rsidR="00FE6871">
              <w:rPr>
                <w:b/>
                <w:bCs/>
              </w:rPr>
              <w:t xml:space="preserve">Care Recipient </w:t>
            </w:r>
            <w:r w:rsidRPr="00EC326F">
              <w:rPr>
                <w:b/>
                <w:bCs/>
              </w:rPr>
              <w:t>Medical Condition</w:t>
            </w:r>
          </w:p>
        </w:tc>
        <w:tc>
          <w:tcPr>
            <w:tcW w:w="4707" w:type="dxa"/>
            <w:hideMark/>
          </w:tcPr>
          <w:p w14:paraId="61CB7714" w14:textId="275D6365" w:rsidR="006A2CA2" w:rsidRPr="00EC326F" w:rsidRDefault="006A2CA2" w:rsidP="00FE6871">
            <w:pPr>
              <w:pStyle w:val="TableTextSmall"/>
            </w:pPr>
            <w:r w:rsidRPr="00EC326F">
              <w:t xml:space="preserve">The medical condition of the primary </w:t>
            </w:r>
            <w:r w:rsidR="00FE6871">
              <w:t>care recipient</w:t>
            </w:r>
            <w:r w:rsidR="00FE6871" w:rsidRPr="00EC326F">
              <w:t xml:space="preserve"> </w:t>
            </w:r>
            <w:r w:rsidRPr="00EC326F">
              <w:t>grouped into one of ten categories. See below for details.</w:t>
            </w:r>
          </w:p>
        </w:tc>
        <w:tc>
          <w:tcPr>
            <w:tcW w:w="1582" w:type="dxa"/>
          </w:tcPr>
          <w:p w14:paraId="55A422F0" w14:textId="77777777" w:rsidR="006A2CA2" w:rsidRPr="00EC326F" w:rsidRDefault="006A2CA2" w:rsidP="00782413">
            <w:pPr>
              <w:pStyle w:val="TableTextSmall"/>
              <w:jc w:val="center"/>
            </w:pPr>
            <w:r w:rsidRPr="00EC326F">
              <w:t>Static</w:t>
            </w:r>
          </w:p>
        </w:tc>
        <w:tc>
          <w:tcPr>
            <w:tcW w:w="1582" w:type="dxa"/>
            <w:hideMark/>
          </w:tcPr>
          <w:p w14:paraId="14DD47E0" w14:textId="77777777" w:rsidR="006A2CA2" w:rsidRPr="00EC326F" w:rsidRDefault="006A2CA2" w:rsidP="00782413">
            <w:pPr>
              <w:pStyle w:val="TableTextSmall"/>
              <w:jc w:val="center"/>
            </w:pPr>
            <w:r w:rsidRPr="00EC326F">
              <w:t>4</w:t>
            </w:r>
          </w:p>
        </w:tc>
      </w:tr>
      <w:tr w:rsidR="006A2CA2" w:rsidRPr="00EC326F" w14:paraId="7139E764" w14:textId="77777777" w:rsidTr="00055EA9">
        <w:tc>
          <w:tcPr>
            <w:tcW w:w="2102" w:type="dxa"/>
          </w:tcPr>
          <w:p w14:paraId="155DC047" w14:textId="44BAEA9D" w:rsidR="006A2CA2" w:rsidRPr="00EC326F" w:rsidRDefault="006A2CA2" w:rsidP="00FE6871">
            <w:pPr>
              <w:pStyle w:val="TableTextSmall"/>
              <w:rPr>
                <w:b/>
                <w:bCs/>
              </w:rPr>
            </w:pPr>
            <w:r w:rsidRPr="00EC326F">
              <w:rPr>
                <w:b/>
                <w:bCs/>
              </w:rPr>
              <w:t xml:space="preserve">Number of Adult </w:t>
            </w:r>
            <w:r w:rsidR="00FE6871">
              <w:rPr>
                <w:b/>
                <w:bCs/>
              </w:rPr>
              <w:t>Care Recipient</w:t>
            </w:r>
            <w:r w:rsidR="00FE6871" w:rsidRPr="00EC326F">
              <w:rPr>
                <w:b/>
                <w:bCs/>
              </w:rPr>
              <w:t>s</w:t>
            </w:r>
          </w:p>
        </w:tc>
        <w:tc>
          <w:tcPr>
            <w:tcW w:w="4707" w:type="dxa"/>
            <w:hideMark/>
          </w:tcPr>
          <w:p w14:paraId="48A628CD" w14:textId="51C76978" w:rsidR="006A2CA2" w:rsidRPr="00EC326F" w:rsidRDefault="006A2CA2" w:rsidP="00FE6871">
            <w:pPr>
              <w:pStyle w:val="TableTextSmall"/>
            </w:pPr>
            <w:r w:rsidRPr="00EC326F">
              <w:t xml:space="preserve">The number of adult </w:t>
            </w:r>
            <w:r w:rsidR="00FE6871">
              <w:t>care recipients</w:t>
            </w:r>
            <w:r w:rsidRPr="00EC326F">
              <w:t>. Banded to 0, 1, or more than 1 adults</w:t>
            </w:r>
          </w:p>
        </w:tc>
        <w:tc>
          <w:tcPr>
            <w:tcW w:w="1582" w:type="dxa"/>
          </w:tcPr>
          <w:p w14:paraId="2978257A" w14:textId="77777777" w:rsidR="006A2CA2" w:rsidRPr="00EC326F" w:rsidRDefault="006A2CA2" w:rsidP="00782413">
            <w:pPr>
              <w:pStyle w:val="TableTextSmall"/>
              <w:jc w:val="center"/>
            </w:pPr>
            <w:r w:rsidRPr="00EC326F">
              <w:t>Dynamic</w:t>
            </w:r>
          </w:p>
        </w:tc>
        <w:tc>
          <w:tcPr>
            <w:tcW w:w="1582" w:type="dxa"/>
            <w:hideMark/>
          </w:tcPr>
          <w:p w14:paraId="01428D78" w14:textId="77777777" w:rsidR="006A2CA2" w:rsidRPr="00EC326F" w:rsidRDefault="006A2CA2" w:rsidP="00782413">
            <w:pPr>
              <w:pStyle w:val="TableTextSmall"/>
              <w:jc w:val="center"/>
            </w:pPr>
            <w:r w:rsidRPr="00EC326F">
              <w:t>8</w:t>
            </w:r>
          </w:p>
        </w:tc>
      </w:tr>
      <w:tr w:rsidR="006A2CA2" w:rsidRPr="00EC326F" w14:paraId="783D3AF0" w14:textId="77777777" w:rsidTr="00055EA9">
        <w:tc>
          <w:tcPr>
            <w:tcW w:w="2102" w:type="dxa"/>
          </w:tcPr>
          <w:p w14:paraId="556EED60" w14:textId="6A25F1AA" w:rsidR="006A2CA2" w:rsidRPr="00EC326F" w:rsidRDefault="006A2CA2" w:rsidP="00FE6871">
            <w:pPr>
              <w:pStyle w:val="TableTextSmall"/>
              <w:rPr>
                <w:b/>
                <w:bCs/>
              </w:rPr>
            </w:pPr>
            <w:r w:rsidRPr="00EC326F">
              <w:rPr>
                <w:b/>
                <w:bCs/>
              </w:rPr>
              <w:t xml:space="preserve">Number of Child </w:t>
            </w:r>
            <w:r w:rsidR="00FE6871">
              <w:rPr>
                <w:b/>
                <w:bCs/>
              </w:rPr>
              <w:t>Care Recipients</w:t>
            </w:r>
          </w:p>
        </w:tc>
        <w:tc>
          <w:tcPr>
            <w:tcW w:w="4707" w:type="dxa"/>
            <w:hideMark/>
          </w:tcPr>
          <w:p w14:paraId="1B955F9B" w14:textId="4CB4F520" w:rsidR="006A2CA2" w:rsidRPr="00EC326F" w:rsidRDefault="006A2CA2" w:rsidP="00FE6871">
            <w:pPr>
              <w:pStyle w:val="TableTextSmall"/>
            </w:pPr>
            <w:r w:rsidRPr="00EC326F">
              <w:t xml:space="preserve">The number of children </w:t>
            </w:r>
            <w:r w:rsidR="00FE6871">
              <w:t>care recipients</w:t>
            </w:r>
            <w:r w:rsidRPr="00EC326F">
              <w:t>. Banded to 0, 1, or more than 1 child</w:t>
            </w:r>
          </w:p>
        </w:tc>
        <w:tc>
          <w:tcPr>
            <w:tcW w:w="1582" w:type="dxa"/>
          </w:tcPr>
          <w:p w14:paraId="4C818E15" w14:textId="77777777" w:rsidR="006A2CA2" w:rsidRPr="00EC326F" w:rsidRDefault="006A2CA2" w:rsidP="00782413">
            <w:pPr>
              <w:pStyle w:val="TableTextSmall"/>
              <w:jc w:val="center"/>
            </w:pPr>
            <w:r w:rsidRPr="00EC326F">
              <w:t>Dynamic</w:t>
            </w:r>
          </w:p>
        </w:tc>
        <w:tc>
          <w:tcPr>
            <w:tcW w:w="1582" w:type="dxa"/>
            <w:hideMark/>
          </w:tcPr>
          <w:p w14:paraId="21348E21" w14:textId="77777777" w:rsidR="006A2CA2" w:rsidRPr="00EC326F" w:rsidRDefault="006A2CA2" w:rsidP="00782413">
            <w:pPr>
              <w:pStyle w:val="TableTextSmall"/>
              <w:jc w:val="center"/>
            </w:pPr>
            <w:r w:rsidRPr="00EC326F">
              <w:t>8</w:t>
            </w:r>
          </w:p>
        </w:tc>
      </w:tr>
      <w:tr w:rsidR="006A2CA2" w:rsidRPr="00EC326F" w14:paraId="5019E208" w14:textId="77777777" w:rsidTr="00055EA9">
        <w:tc>
          <w:tcPr>
            <w:tcW w:w="2102" w:type="dxa"/>
          </w:tcPr>
          <w:p w14:paraId="600AF6CE" w14:textId="77777777" w:rsidR="006A2CA2" w:rsidRPr="00EC326F" w:rsidRDefault="006A2CA2" w:rsidP="00782413">
            <w:pPr>
              <w:pStyle w:val="TableTextSmall"/>
              <w:rPr>
                <w:b/>
                <w:bCs/>
              </w:rPr>
            </w:pPr>
            <w:r w:rsidRPr="00EC326F">
              <w:rPr>
                <w:b/>
                <w:bCs/>
              </w:rPr>
              <w:t>DSP Primary</w:t>
            </w:r>
            <w:r w:rsidRPr="00EC326F">
              <w:rPr>
                <w:b/>
                <w:bCs/>
                <w:vertAlign w:val="superscript"/>
              </w:rPr>
              <w:t>2</w:t>
            </w:r>
            <w:r w:rsidRPr="00EC326F">
              <w:rPr>
                <w:b/>
                <w:bCs/>
              </w:rPr>
              <w:t xml:space="preserve"> Medical Condition</w:t>
            </w:r>
          </w:p>
        </w:tc>
        <w:tc>
          <w:tcPr>
            <w:tcW w:w="4707" w:type="dxa"/>
            <w:hideMark/>
          </w:tcPr>
          <w:p w14:paraId="1FAB3326" w14:textId="77777777" w:rsidR="006A2CA2" w:rsidRPr="00EC326F" w:rsidRDefault="006A2CA2" w:rsidP="00782413">
            <w:pPr>
              <w:pStyle w:val="TableTextSmall"/>
            </w:pPr>
            <w:r w:rsidRPr="00EC326F">
              <w:t>The primary medical condition of a disability support pension recipient grouped into one of ten categories. (See below for details)</w:t>
            </w:r>
          </w:p>
        </w:tc>
        <w:tc>
          <w:tcPr>
            <w:tcW w:w="1582" w:type="dxa"/>
          </w:tcPr>
          <w:p w14:paraId="05D60B61" w14:textId="77777777" w:rsidR="006A2CA2" w:rsidRPr="00EC326F" w:rsidRDefault="006A2CA2" w:rsidP="00782413">
            <w:pPr>
              <w:pStyle w:val="TableTextSmall"/>
              <w:jc w:val="center"/>
            </w:pPr>
            <w:r w:rsidRPr="00EC326F">
              <w:t>Static</w:t>
            </w:r>
          </w:p>
        </w:tc>
        <w:tc>
          <w:tcPr>
            <w:tcW w:w="1582" w:type="dxa"/>
            <w:hideMark/>
          </w:tcPr>
          <w:p w14:paraId="7F7F4228" w14:textId="77777777" w:rsidR="006A2CA2" w:rsidRPr="00EC326F" w:rsidRDefault="006A2CA2" w:rsidP="00782413">
            <w:pPr>
              <w:pStyle w:val="TableTextSmall"/>
              <w:jc w:val="center"/>
            </w:pPr>
            <w:r w:rsidRPr="00EC326F">
              <w:t>5</w:t>
            </w:r>
          </w:p>
        </w:tc>
      </w:tr>
      <w:tr w:rsidR="006A2CA2" w:rsidRPr="00EC326F" w14:paraId="32D01A67" w14:textId="77777777" w:rsidTr="00055EA9">
        <w:trPr>
          <w:trHeight w:val="538"/>
        </w:trPr>
        <w:tc>
          <w:tcPr>
            <w:tcW w:w="2102" w:type="dxa"/>
          </w:tcPr>
          <w:p w14:paraId="0C011D28" w14:textId="77777777" w:rsidR="006A2CA2" w:rsidRPr="00EC326F" w:rsidRDefault="006A2CA2" w:rsidP="00782413">
            <w:pPr>
              <w:pStyle w:val="TableTextSmall"/>
              <w:rPr>
                <w:b/>
                <w:bCs/>
              </w:rPr>
            </w:pPr>
            <w:r w:rsidRPr="00EC326F">
              <w:rPr>
                <w:b/>
                <w:bCs/>
              </w:rPr>
              <w:t>Employment earnings indicator</w:t>
            </w:r>
          </w:p>
        </w:tc>
        <w:tc>
          <w:tcPr>
            <w:tcW w:w="4707" w:type="dxa"/>
            <w:hideMark/>
          </w:tcPr>
          <w:p w14:paraId="21C84F9D" w14:textId="77777777" w:rsidR="006A2CA2" w:rsidRPr="00EC326F" w:rsidRDefault="006A2CA2" w:rsidP="00782413">
            <w:pPr>
              <w:pStyle w:val="TableTextSmall"/>
            </w:pPr>
            <w:r w:rsidRPr="00EC326F">
              <w:t>Indicator showing whether the welfare recipient earned any income over the year from employment. Either yes or no.</w:t>
            </w:r>
          </w:p>
        </w:tc>
        <w:tc>
          <w:tcPr>
            <w:tcW w:w="1582" w:type="dxa"/>
          </w:tcPr>
          <w:p w14:paraId="1CA309D6" w14:textId="77777777" w:rsidR="006A2CA2" w:rsidRPr="00EC326F" w:rsidRDefault="006A2CA2" w:rsidP="00782413">
            <w:pPr>
              <w:pStyle w:val="TableTextSmall"/>
              <w:jc w:val="center"/>
            </w:pPr>
            <w:r w:rsidRPr="00EC326F">
              <w:t>Dynamic</w:t>
            </w:r>
          </w:p>
        </w:tc>
        <w:tc>
          <w:tcPr>
            <w:tcW w:w="1582" w:type="dxa"/>
            <w:hideMark/>
          </w:tcPr>
          <w:p w14:paraId="35BD1B61" w14:textId="77777777" w:rsidR="006A2CA2" w:rsidRPr="00EC326F" w:rsidRDefault="006A2CA2" w:rsidP="006A2CA2">
            <w:pPr>
              <w:pStyle w:val="TableTextSmall"/>
              <w:jc w:val="center"/>
            </w:pPr>
            <w:r w:rsidRPr="00EC326F">
              <w:t>1,2,3,4,5</w:t>
            </w:r>
          </w:p>
        </w:tc>
      </w:tr>
      <w:tr w:rsidR="006A2CA2" w:rsidRPr="00EC326F" w14:paraId="7A84D4F9" w14:textId="77777777" w:rsidTr="00055EA9">
        <w:trPr>
          <w:trHeight w:val="632"/>
        </w:trPr>
        <w:tc>
          <w:tcPr>
            <w:tcW w:w="2101" w:type="dxa"/>
          </w:tcPr>
          <w:p w14:paraId="7491A3CD" w14:textId="77777777" w:rsidR="006A2CA2" w:rsidRPr="00EC326F" w:rsidRDefault="006A2CA2" w:rsidP="00782413">
            <w:pPr>
              <w:pStyle w:val="TableTextSmall"/>
              <w:rPr>
                <w:b/>
                <w:bCs/>
              </w:rPr>
            </w:pPr>
            <w:r w:rsidRPr="00EC326F">
              <w:rPr>
                <w:b/>
                <w:bCs/>
              </w:rPr>
              <w:t>Payment Type</w:t>
            </w:r>
          </w:p>
        </w:tc>
        <w:tc>
          <w:tcPr>
            <w:tcW w:w="4707" w:type="dxa"/>
            <w:hideMark/>
          </w:tcPr>
          <w:p w14:paraId="1245ED21" w14:textId="3016F3DE" w:rsidR="006A2CA2" w:rsidRPr="00EC326F" w:rsidRDefault="006A2CA2" w:rsidP="00782413">
            <w:pPr>
              <w:pStyle w:val="TableTextSmall"/>
            </w:pPr>
            <w:r w:rsidRPr="00EC326F">
              <w:t xml:space="preserve">The most recent income support payment type the welfare recipient received relating to that welfare recipients class for the year. (See </w:t>
            </w:r>
            <w:r w:rsidRPr="00EC326F">
              <w:fldChar w:fldCharType="begin"/>
            </w:r>
            <w:r w:rsidRPr="00EC326F">
              <w:instrText xml:space="preserve"> REF _Ref465248939 \h  \* MERGEFORMAT </w:instrText>
            </w:r>
            <w:r w:rsidRPr="00EC326F">
              <w:fldChar w:fldCharType="separate"/>
            </w:r>
            <w:r w:rsidR="007A42DF" w:rsidRPr="00EC326F">
              <w:t xml:space="preserve">Table </w:t>
            </w:r>
            <w:r w:rsidR="007A42DF">
              <w:t>5</w:t>
            </w:r>
            <w:r w:rsidRPr="00EC326F">
              <w:fldChar w:fldCharType="end"/>
            </w:r>
            <w:r w:rsidRPr="00EC326F">
              <w:t xml:space="preserve"> for a list of relevant payment types).</w:t>
            </w:r>
          </w:p>
        </w:tc>
        <w:tc>
          <w:tcPr>
            <w:tcW w:w="1582" w:type="dxa"/>
          </w:tcPr>
          <w:p w14:paraId="1FA6D5FE" w14:textId="77777777" w:rsidR="006A2CA2" w:rsidRPr="00EC326F" w:rsidRDefault="006A2CA2" w:rsidP="00782413">
            <w:pPr>
              <w:pStyle w:val="TableTextSmall"/>
              <w:jc w:val="center"/>
            </w:pPr>
            <w:r w:rsidRPr="00EC326F">
              <w:t>Dynamic</w:t>
            </w:r>
          </w:p>
        </w:tc>
        <w:tc>
          <w:tcPr>
            <w:tcW w:w="1582" w:type="dxa"/>
            <w:hideMark/>
          </w:tcPr>
          <w:p w14:paraId="5E6C444B" w14:textId="77777777" w:rsidR="006A2CA2" w:rsidRPr="00EC326F" w:rsidRDefault="006A2CA2" w:rsidP="0088370E">
            <w:pPr>
              <w:pStyle w:val="TableTextSmall"/>
              <w:jc w:val="center"/>
            </w:pPr>
            <w:r w:rsidRPr="00EC326F">
              <w:t>1,2,3</w:t>
            </w:r>
          </w:p>
        </w:tc>
      </w:tr>
    </w:tbl>
    <w:p w14:paraId="54EB4B98" w14:textId="77777777" w:rsidR="006A2CA2" w:rsidRPr="00EC326F" w:rsidRDefault="006A2CA2" w:rsidP="00F541C6">
      <w:pPr>
        <w:pStyle w:val="Sources"/>
        <w:keepNext/>
      </w:pPr>
      <w:r w:rsidRPr="00EC326F">
        <w:t>Notes:</w:t>
      </w:r>
    </w:p>
    <w:p w14:paraId="61BFD8DD" w14:textId="552CBBD1" w:rsidR="00017186" w:rsidRPr="00EC326F" w:rsidRDefault="00017186" w:rsidP="00017186">
      <w:pPr>
        <w:pStyle w:val="Sources"/>
      </w:pPr>
      <w:r w:rsidRPr="00EC326F">
        <w:t>1. Dynamic variables are variables that are able to change from year to year, while static variables are only able to change upon entering the relevant class</w:t>
      </w:r>
      <w:r w:rsidR="005E1875" w:rsidRPr="00EC326F">
        <w:t>,</w:t>
      </w:r>
      <w:r w:rsidRPr="00EC326F">
        <w:t xml:space="preserve"> remaining the same while in class. Deterministic variables are those such as </w:t>
      </w:r>
      <w:r w:rsidR="00FE6871">
        <w:t xml:space="preserve">care recipient </w:t>
      </w:r>
      <w:r w:rsidRPr="00EC326F">
        <w:t xml:space="preserve">age which </w:t>
      </w:r>
      <w:r w:rsidR="005E1875" w:rsidRPr="00EC326F">
        <w:t>are</w:t>
      </w:r>
      <w:r w:rsidRPr="00EC326F">
        <w:t xml:space="preserve"> projected upon entering a class, but is then known each year thereafter. The variable type shown is that assumed for modelling purposes.</w:t>
      </w:r>
    </w:p>
    <w:p w14:paraId="17EF7D8A" w14:textId="302E300C" w:rsidR="00017186" w:rsidRPr="00EC326F" w:rsidRDefault="00017186" w:rsidP="00017186">
      <w:pPr>
        <w:pStyle w:val="Sources"/>
      </w:pPr>
      <w:r w:rsidRPr="00EC326F">
        <w:t xml:space="preserve">2. We have referred to the primary </w:t>
      </w:r>
      <w:r w:rsidR="00FE6871">
        <w:t xml:space="preserve">care recipient </w:t>
      </w:r>
      <w:r w:rsidRPr="00EC326F">
        <w:t>and primary medical condition; these variables reflect the main care recipient and the first listed medical condition information respectively for the relevant person in the administrative data.</w:t>
      </w:r>
    </w:p>
    <w:p w14:paraId="59AFD625" w14:textId="77777777" w:rsidR="006A2CA2" w:rsidRPr="00EC326F" w:rsidRDefault="006A2CA2" w:rsidP="006A2CA2">
      <w:pPr>
        <w:pStyle w:val="PwCNormal"/>
        <w:numPr>
          <w:ilvl w:val="0"/>
          <w:numId w:val="1"/>
        </w:numPr>
      </w:pPr>
      <w:r w:rsidRPr="00EC326F">
        <w:lastRenderedPageBreak/>
        <w:t xml:space="preserve">Each of the </w:t>
      </w:r>
      <w:r w:rsidR="004E079F" w:rsidRPr="00EC326F">
        <w:t>class characteristic</w:t>
      </w:r>
      <w:r w:rsidRPr="00EC326F">
        <w:t xml:space="preserve"> variables added to the valuation was modelled under the following broad structure. </w:t>
      </w:r>
    </w:p>
    <w:p w14:paraId="49B7406D" w14:textId="77777777" w:rsidR="006A2CA2" w:rsidRPr="00EC326F" w:rsidRDefault="006A2CA2" w:rsidP="006A2CA2">
      <w:pPr>
        <w:pStyle w:val="ListBullet"/>
      </w:pPr>
      <w:r w:rsidRPr="00EC326F">
        <w:t>First, variable values for people newly entering the relevant classes are assigned. This is for people for whom the previous value is not relevant or unknown.</w:t>
      </w:r>
    </w:p>
    <w:p w14:paraId="162F8086" w14:textId="77777777" w:rsidR="006A2CA2" w:rsidRPr="00EC326F" w:rsidRDefault="006A2CA2" w:rsidP="006A2CA2">
      <w:pPr>
        <w:pStyle w:val="ListBullet"/>
      </w:pPr>
      <w:r w:rsidRPr="00EC326F">
        <w:t xml:space="preserve">Second the value for people remaining in the class or transferring between relevant classes which use the same variable information is updated. This may include a number of sub models allowing for different behaviours based on the previous value of the variable. For static variables the second stage this step is ignored and the </w:t>
      </w:r>
      <w:r w:rsidR="00F541C6" w:rsidRPr="00EC326F">
        <w:t xml:space="preserve">variable </w:t>
      </w:r>
      <w:r w:rsidRPr="00EC326F">
        <w:t xml:space="preserve">value is </w:t>
      </w:r>
      <w:r w:rsidR="00F541C6" w:rsidRPr="00EC326F">
        <w:t>retained without change</w:t>
      </w:r>
      <w:r w:rsidRPr="00EC326F">
        <w:t>.</w:t>
      </w:r>
    </w:p>
    <w:p w14:paraId="37624FE0" w14:textId="77777777" w:rsidR="006A2CA2" w:rsidRPr="00EC326F" w:rsidRDefault="006A2CA2" w:rsidP="006A2CA2">
      <w:pPr>
        <w:pStyle w:val="PwCNormal"/>
        <w:numPr>
          <w:ilvl w:val="0"/>
          <w:numId w:val="0"/>
        </w:numPr>
      </w:pPr>
      <w:r w:rsidRPr="00EC326F">
        <w:t>Assumptions are required for each of these stages and further details are provided for each of the variables below. The assumptions have been developed by considering the recent past experience of people in the relevant classes.</w:t>
      </w:r>
    </w:p>
    <w:p w14:paraId="519F0AE2" w14:textId="77777777" w:rsidR="006A2CA2" w:rsidRPr="00EC326F" w:rsidRDefault="006A2CA2" w:rsidP="006A2CA2">
      <w:pPr>
        <w:pStyle w:val="Heading4"/>
      </w:pPr>
      <w:r w:rsidRPr="00EC326F">
        <w:t>DSP primary medical condition</w:t>
      </w:r>
    </w:p>
    <w:p w14:paraId="5D715704" w14:textId="77777777" w:rsidR="005E1875" w:rsidRPr="00EC326F" w:rsidRDefault="005E1875" w:rsidP="005E1875">
      <w:pPr>
        <w:pStyle w:val="PwCNormal"/>
        <w:numPr>
          <w:ilvl w:val="0"/>
          <w:numId w:val="0"/>
        </w:numPr>
      </w:pPr>
      <w:r w:rsidRPr="00EC326F">
        <w:t>This variable reflects the DSP recipients’ primary medical condition. While there are a large number of underlying medical conditions, these have been grouped into a smaller number of categories for inclusion within the actuarial valuation model. The table below provides a summary of the categories together with the proportions of current DSP recipients with each condition.</w:t>
      </w:r>
    </w:p>
    <w:p w14:paraId="60242944" w14:textId="77777777" w:rsidR="006A2CA2" w:rsidRPr="002A0A1A" w:rsidRDefault="006A2CA2" w:rsidP="006A2CA2">
      <w:pPr>
        <w:pStyle w:val="Caption"/>
      </w:pPr>
      <w:r w:rsidRPr="00EC326F">
        <w:t xml:space="preserve">Table </w:t>
      </w:r>
      <w:fldSimple w:instr=" SEQ Table \* ARABIC ">
        <w:r w:rsidR="007A42DF">
          <w:rPr>
            <w:noProof/>
          </w:rPr>
          <w:t>15</w:t>
        </w:r>
      </w:fldSimple>
      <w:r w:rsidRPr="00EC326F">
        <w:t>: DSP primary medical condition categories</w:t>
      </w:r>
      <w:r w:rsidRPr="002A0A1A">
        <w:t xml:space="preserve">  </w:t>
      </w:r>
    </w:p>
    <w:tbl>
      <w:tblPr>
        <w:tblStyle w:val="ListTable3-Accent61"/>
        <w:tblW w:w="0" w:type="auto"/>
        <w:tblInd w:w="108" w:type="dxa"/>
        <w:tblLook w:val="04A0" w:firstRow="1" w:lastRow="0" w:firstColumn="1" w:lastColumn="0" w:noHBand="0" w:noVBand="1"/>
        <w:tblCaption w:val=" DSP primary medical condition categories  &#10;"/>
        <w:tblDescription w:val="Table 15 details the DSP primary medical condition variable categories. The first column lists the categories, the second column lists example conditions in that category and the final column gives the percentage of DSP recipients who have this condition.&#10;&#10;32.9% of DSP clients have conditions that fall into Psychological/Psychiatric category such as Autistic disorder, Depression, Post-traumatic stress disorder. &#10;&#10;23.1% of DSP clients have conditions that fall into Musculo-Skeletal &amp; Connective Tissue category such as Osteoarthritis, Fractures and crush injuries. &#10;&#10;13.5% of DSP clients have conditions that fall into Intellectual/Learning category such as Down syndrome, Fragile X syndrome &#10;&#10;The other categories; Circulatory &amp; Respiratory System, Cancer/Tumour, Other, Poorly Defined Cause / Chronic Pain, Nervous System, Acquired Brain Impairment, and Congenital Anomalies &amp; Inherited Disorders contain less than 10% of DSP clients. &#10;"/>
      </w:tblPr>
      <w:tblGrid>
        <w:gridCol w:w="3360"/>
        <w:gridCol w:w="3978"/>
        <w:gridCol w:w="1893"/>
      </w:tblGrid>
      <w:tr w:rsidR="006A2CA2" w:rsidRPr="00EC326F" w14:paraId="689303C4" w14:textId="77777777" w:rsidTr="0078241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60" w:type="dxa"/>
          </w:tcPr>
          <w:p w14:paraId="664FF65C" w14:textId="77777777" w:rsidR="006A2CA2" w:rsidRPr="00EC326F" w:rsidRDefault="006A2CA2" w:rsidP="00782413">
            <w:pPr>
              <w:pStyle w:val="TableTextSmall"/>
              <w:rPr>
                <w:color w:val="FFFFFF" w:themeColor="background1"/>
              </w:rPr>
            </w:pPr>
            <w:r w:rsidRPr="00EC326F">
              <w:rPr>
                <w:color w:val="FFFFFF" w:themeColor="background1"/>
              </w:rPr>
              <w:t>Medical condition category</w:t>
            </w:r>
          </w:p>
        </w:tc>
        <w:tc>
          <w:tcPr>
            <w:tcW w:w="3978" w:type="dxa"/>
          </w:tcPr>
          <w:p w14:paraId="24AB0D67" w14:textId="77777777" w:rsidR="006A2CA2" w:rsidRPr="00EC326F" w:rsidRDefault="006A2CA2" w:rsidP="00782413">
            <w:pPr>
              <w:pStyle w:val="TableTextSmall"/>
              <w:cnfStyle w:val="100000000000" w:firstRow="1" w:lastRow="0" w:firstColumn="0" w:lastColumn="0" w:oddVBand="0" w:evenVBand="0" w:oddHBand="0" w:evenHBand="0" w:firstRowFirstColumn="0" w:firstRowLastColumn="0" w:lastRowFirstColumn="0" w:lastRowLastColumn="0"/>
              <w:rPr>
                <w:color w:val="FFFFFF" w:themeColor="background1"/>
              </w:rPr>
            </w:pPr>
            <w:r w:rsidRPr="00EC326F">
              <w:rPr>
                <w:color w:val="FFFFFF" w:themeColor="background1"/>
              </w:rPr>
              <w:t>Example conditions</w:t>
            </w:r>
          </w:p>
        </w:tc>
        <w:tc>
          <w:tcPr>
            <w:tcW w:w="1893" w:type="dxa"/>
          </w:tcPr>
          <w:p w14:paraId="512DE40F" w14:textId="77777777" w:rsidR="006A2CA2" w:rsidRPr="00EC326F" w:rsidRDefault="006A2CA2" w:rsidP="00782413">
            <w:pPr>
              <w:pStyle w:val="TableTextSmall"/>
              <w:cnfStyle w:val="100000000000" w:firstRow="1" w:lastRow="0" w:firstColumn="0" w:lastColumn="0" w:oddVBand="0" w:evenVBand="0" w:oddHBand="0" w:evenHBand="0" w:firstRowFirstColumn="0" w:firstRowLastColumn="0" w:lastRowFirstColumn="0" w:lastRowLastColumn="0"/>
              <w:rPr>
                <w:color w:val="FFFFFF" w:themeColor="background1"/>
              </w:rPr>
            </w:pPr>
            <w:r w:rsidRPr="00EC326F">
              <w:rPr>
                <w:color w:val="FFFFFF" w:themeColor="background1"/>
              </w:rPr>
              <w:t>% of DSP recipients</w:t>
            </w:r>
          </w:p>
        </w:tc>
      </w:tr>
      <w:tr w:rsidR="006A2CA2" w:rsidRPr="00EC326F" w14:paraId="208010AF" w14:textId="77777777" w:rsidTr="00782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Pr>
          <w:p w14:paraId="6B045AC1" w14:textId="77777777" w:rsidR="006A2CA2" w:rsidRPr="00EC326F" w:rsidRDefault="006A2CA2" w:rsidP="00782413">
            <w:pPr>
              <w:pStyle w:val="TableTextSmall"/>
              <w:rPr>
                <w:highlight w:val="yellow"/>
              </w:rPr>
            </w:pPr>
            <w:r w:rsidRPr="00EC326F">
              <w:t>Circulatory &amp; Respiratory System</w:t>
            </w:r>
          </w:p>
        </w:tc>
        <w:tc>
          <w:tcPr>
            <w:tcW w:w="3978" w:type="dxa"/>
          </w:tcPr>
          <w:p w14:paraId="211A952D" w14:textId="77777777" w:rsidR="006A2CA2" w:rsidRPr="00EC326F" w:rsidRDefault="006A2CA2" w:rsidP="00782413">
            <w:pPr>
              <w:pStyle w:val="TableTextSmall"/>
              <w:cnfStyle w:val="000000100000" w:firstRow="0" w:lastRow="0" w:firstColumn="0" w:lastColumn="0" w:oddVBand="0" w:evenVBand="0" w:oddHBand="1" w:evenHBand="0" w:firstRowFirstColumn="0" w:firstRowLastColumn="0" w:lastRowFirstColumn="0" w:lastRowLastColumn="0"/>
            </w:pPr>
            <w:r w:rsidRPr="00EC326F">
              <w:t xml:space="preserve">Heart disease, </w:t>
            </w:r>
            <w:r w:rsidR="00F541C6" w:rsidRPr="00EC326F">
              <w:t>Emphysema</w:t>
            </w:r>
          </w:p>
        </w:tc>
        <w:tc>
          <w:tcPr>
            <w:tcW w:w="1893" w:type="dxa"/>
          </w:tcPr>
          <w:p w14:paraId="13D9AAF4" w14:textId="77777777" w:rsidR="006A2CA2" w:rsidRPr="00EC326F" w:rsidRDefault="006A2CA2" w:rsidP="00926DD5">
            <w:pPr>
              <w:pStyle w:val="TableTextSmall"/>
              <w:jc w:val="center"/>
              <w:cnfStyle w:val="000000100000" w:firstRow="0" w:lastRow="0" w:firstColumn="0" w:lastColumn="0" w:oddVBand="0" w:evenVBand="0" w:oddHBand="1" w:evenHBand="0" w:firstRowFirstColumn="0" w:firstRowLastColumn="0" w:lastRowFirstColumn="0" w:lastRowLastColumn="0"/>
              <w:rPr>
                <w:highlight w:val="yellow"/>
              </w:rPr>
            </w:pPr>
            <w:r w:rsidRPr="00EC326F">
              <w:t>5.</w:t>
            </w:r>
            <w:r w:rsidR="00926DD5">
              <w:t>8</w:t>
            </w:r>
            <w:r w:rsidRPr="00EC326F">
              <w:t>%</w:t>
            </w:r>
          </w:p>
        </w:tc>
      </w:tr>
      <w:tr w:rsidR="006A2CA2" w:rsidRPr="00EC326F" w14:paraId="74ABBDF5" w14:textId="77777777" w:rsidTr="00782413">
        <w:tc>
          <w:tcPr>
            <w:cnfStyle w:val="001000000000" w:firstRow="0" w:lastRow="0" w:firstColumn="1" w:lastColumn="0" w:oddVBand="0" w:evenVBand="0" w:oddHBand="0" w:evenHBand="0" w:firstRowFirstColumn="0" w:firstRowLastColumn="0" w:lastRowFirstColumn="0" w:lastRowLastColumn="0"/>
            <w:tcW w:w="3360" w:type="dxa"/>
          </w:tcPr>
          <w:p w14:paraId="6C0CCC55" w14:textId="77777777" w:rsidR="006A2CA2" w:rsidRPr="00EC326F" w:rsidRDefault="006A2CA2" w:rsidP="00782413">
            <w:pPr>
              <w:pStyle w:val="TableTextSmall"/>
              <w:rPr>
                <w:highlight w:val="yellow"/>
              </w:rPr>
            </w:pPr>
            <w:r w:rsidRPr="00EC326F">
              <w:t>Musculo-Skeletal &amp; Connective Tissue</w:t>
            </w:r>
          </w:p>
        </w:tc>
        <w:tc>
          <w:tcPr>
            <w:tcW w:w="3978" w:type="dxa"/>
          </w:tcPr>
          <w:p w14:paraId="4207D303" w14:textId="77777777" w:rsidR="006A2CA2" w:rsidRPr="00EC326F" w:rsidRDefault="006A2CA2" w:rsidP="00782413">
            <w:pPr>
              <w:pStyle w:val="TableTextSmall"/>
              <w:cnfStyle w:val="000000000000" w:firstRow="0" w:lastRow="0" w:firstColumn="0" w:lastColumn="0" w:oddVBand="0" w:evenVBand="0" w:oddHBand="0" w:evenHBand="0" w:firstRowFirstColumn="0" w:firstRowLastColumn="0" w:lastRowFirstColumn="0" w:lastRowLastColumn="0"/>
            </w:pPr>
            <w:r w:rsidRPr="00EC326F">
              <w:t>Osteoarthritis, Fractures and crush injuries</w:t>
            </w:r>
          </w:p>
        </w:tc>
        <w:tc>
          <w:tcPr>
            <w:tcW w:w="1893" w:type="dxa"/>
          </w:tcPr>
          <w:p w14:paraId="4136F6ED" w14:textId="77777777" w:rsidR="006A2CA2" w:rsidRPr="00EC326F" w:rsidRDefault="006A2CA2" w:rsidP="00926DD5">
            <w:pPr>
              <w:pStyle w:val="TableTextSmall"/>
              <w:jc w:val="center"/>
              <w:cnfStyle w:val="000000000000" w:firstRow="0" w:lastRow="0" w:firstColumn="0" w:lastColumn="0" w:oddVBand="0" w:evenVBand="0" w:oddHBand="0" w:evenHBand="0" w:firstRowFirstColumn="0" w:firstRowLastColumn="0" w:lastRowFirstColumn="0" w:lastRowLastColumn="0"/>
              <w:rPr>
                <w:highlight w:val="yellow"/>
              </w:rPr>
            </w:pPr>
            <w:r w:rsidRPr="00EC326F">
              <w:t>23.</w:t>
            </w:r>
            <w:r w:rsidR="00926DD5">
              <w:t>1</w:t>
            </w:r>
            <w:r w:rsidRPr="00EC326F">
              <w:t>%</w:t>
            </w:r>
          </w:p>
        </w:tc>
      </w:tr>
      <w:tr w:rsidR="006A2CA2" w:rsidRPr="00EC326F" w14:paraId="10664E5D" w14:textId="77777777" w:rsidTr="00782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Pr>
          <w:p w14:paraId="7BA3545D" w14:textId="77777777" w:rsidR="006A2CA2" w:rsidRPr="00EC326F" w:rsidRDefault="006A2CA2" w:rsidP="00782413">
            <w:pPr>
              <w:pStyle w:val="TableTextSmall"/>
              <w:rPr>
                <w:highlight w:val="yellow"/>
              </w:rPr>
            </w:pPr>
            <w:r w:rsidRPr="00EC326F">
              <w:t>Cancer/Tumour</w:t>
            </w:r>
          </w:p>
        </w:tc>
        <w:tc>
          <w:tcPr>
            <w:tcW w:w="3978" w:type="dxa"/>
          </w:tcPr>
          <w:p w14:paraId="43E8776F" w14:textId="77777777" w:rsidR="006A2CA2" w:rsidRPr="00EC326F" w:rsidRDefault="006A2CA2" w:rsidP="00782413">
            <w:pPr>
              <w:pStyle w:val="TableTextSmall"/>
              <w:cnfStyle w:val="000000100000" w:firstRow="0" w:lastRow="0" w:firstColumn="0" w:lastColumn="0" w:oddVBand="0" w:evenVBand="0" w:oddHBand="1" w:evenHBand="0" w:firstRowFirstColumn="0" w:firstRowLastColumn="0" w:lastRowFirstColumn="0" w:lastRowLastColumn="0"/>
            </w:pPr>
            <w:r w:rsidRPr="00EC326F">
              <w:t xml:space="preserve">Cancer, </w:t>
            </w:r>
            <w:r w:rsidR="008536E9" w:rsidRPr="00EC326F">
              <w:t>Leukaemia</w:t>
            </w:r>
            <w:r w:rsidRPr="00EC326F">
              <w:t>, Hodgkin’s Disease</w:t>
            </w:r>
          </w:p>
        </w:tc>
        <w:tc>
          <w:tcPr>
            <w:tcW w:w="1893" w:type="dxa"/>
          </w:tcPr>
          <w:p w14:paraId="483ABCB5" w14:textId="77777777" w:rsidR="006A2CA2" w:rsidRPr="00EC326F" w:rsidRDefault="00926DD5" w:rsidP="00782413">
            <w:pPr>
              <w:pStyle w:val="TableTextSmall"/>
              <w:jc w:val="center"/>
              <w:cnfStyle w:val="000000100000" w:firstRow="0" w:lastRow="0" w:firstColumn="0" w:lastColumn="0" w:oddVBand="0" w:evenVBand="0" w:oddHBand="1" w:evenHBand="0" w:firstRowFirstColumn="0" w:firstRowLastColumn="0" w:lastRowFirstColumn="0" w:lastRowLastColumn="0"/>
              <w:rPr>
                <w:highlight w:val="yellow"/>
              </w:rPr>
            </w:pPr>
            <w:r>
              <w:t>2.5</w:t>
            </w:r>
            <w:r w:rsidR="006A2CA2" w:rsidRPr="00EC326F">
              <w:t>%</w:t>
            </w:r>
          </w:p>
        </w:tc>
      </w:tr>
      <w:tr w:rsidR="006A2CA2" w:rsidRPr="00EC326F" w14:paraId="7055B5F7" w14:textId="77777777" w:rsidTr="00782413">
        <w:tc>
          <w:tcPr>
            <w:cnfStyle w:val="001000000000" w:firstRow="0" w:lastRow="0" w:firstColumn="1" w:lastColumn="0" w:oddVBand="0" w:evenVBand="0" w:oddHBand="0" w:evenHBand="0" w:firstRowFirstColumn="0" w:firstRowLastColumn="0" w:lastRowFirstColumn="0" w:lastRowLastColumn="0"/>
            <w:tcW w:w="3360" w:type="dxa"/>
          </w:tcPr>
          <w:p w14:paraId="3FD8FAC3" w14:textId="77777777" w:rsidR="006A2CA2" w:rsidRPr="00EC326F" w:rsidRDefault="006A2CA2" w:rsidP="00782413">
            <w:pPr>
              <w:pStyle w:val="TableTextSmall"/>
              <w:rPr>
                <w:highlight w:val="yellow"/>
              </w:rPr>
            </w:pPr>
            <w:r w:rsidRPr="00EC326F">
              <w:t>Other</w:t>
            </w:r>
          </w:p>
        </w:tc>
        <w:tc>
          <w:tcPr>
            <w:tcW w:w="3978" w:type="dxa"/>
          </w:tcPr>
          <w:p w14:paraId="0218CE6E" w14:textId="77777777" w:rsidR="006A2CA2" w:rsidRPr="00EC326F" w:rsidRDefault="006A2CA2" w:rsidP="00782413">
            <w:pPr>
              <w:pStyle w:val="TableTextSmall"/>
              <w:cnfStyle w:val="000000000000" w:firstRow="0" w:lastRow="0" w:firstColumn="0" w:lastColumn="0" w:oddVBand="0" w:evenVBand="0" w:oddHBand="0" w:evenHBand="0" w:firstRowFirstColumn="0" w:firstRowLastColumn="0" w:lastRowFirstColumn="0" w:lastRowLastColumn="0"/>
            </w:pPr>
            <w:r w:rsidRPr="00EC326F">
              <w:t>Diabetes, Lupus, HIV, Coeliac disease, Hepatitis A</w:t>
            </w:r>
          </w:p>
        </w:tc>
        <w:tc>
          <w:tcPr>
            <w:tcW w:w="1893" w:type="dxa"/>
          </w:tcPr>
          <w:p w14:paraId="0CB3FF4C" w14:textId="77777777" w:rsidR="006A2CA2" w:rsidRPr="00EC326F" w:rsidRDefault="006A2CA2" w:rsidP="00926DD5">
            <w:pPr>
              <w:pStyle w:val="TableTextSmall"/>
              <w:jc w:val="center"/>
              <w:cnfStyle w:val="000000000000" w:firstRow="0" w:lastRow="0" w:firstColumn="0" w:lastColumn="0" w:oddVBand="0" w:evenVBand="0" w:oddHBand="0" w:evenHBand="0" w:firstRowFirstColumn="0" w:firstRowLastColumn="0" w:lastRowFirstColumn="0" w:lastRowLastColumn="0"/>
              <w:rPr>
                <w:highlight w:val="yellow"/>
              </w:rPr>
            </w:pPr>
            <w:r w:rsidRPr="00EC326F">
              <w:t>9.</w:t>
            </w:r>
            <w:r w:rsidR="00926DD5">
              <w:t>0</w:t>
            </w:r>
            <w:r w:rsidRPr="00EC326F">
              <w:t>%</w:t>
            </w:r>
          </w:p>
        </w:tc>
      </w:tr>
      <w:tr w:rsidR="006A2CA2" w:rsidRPr="00EC326F" w14:paraId="1CAEDFAA" w14:textId="77777777" w:rsidTr="00782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Pr>
          <w:p w14:paraId="2332ADC6" w14:textId="77777777" w:rsidR="006A2CA2" w:rsidRPr="00EC326F" w:rsidRDefault="006A2CA2" w:rsidP="00782413">
            <w:pPr>
              <w:pStyle w:val="TableTextSmall"/>
              <w:rPr>
                <w:highlight w:val="yellow"/>
              </w:rPr>
            </w:pPr>
            <w:r w:rsidRPr="00EC326F">
              <w:t>Poorly Defined Cause / Chronic Pain</w:t>
            </w:r>
          </w:p>
        </w:tc>
        <w:tc>
          <w:tcPr>
            <w:tcW w:w="3978" w:type="dxa"/>
          </w:tcPr>
          <w:p w14:paraId="6A414298" w14:textId="77777777" w:rsidR="006A2CA2" w:rsidRPr="00EC326F" w:rsidRDefault="008536E9" w:rsidP="00782413">
            <w:pPr>
              <w:pStyle w:val="TableTextSmall"/>
              <w:cnfStyle w:val="000000100000" w:firstRow="0" w:lastRow="0" w:firstColumn="0" w:lastColumn="0" w:oddVBand="0" w:evenVBand="0" w:oddHBand="1" w:evenHBand="0" w:firstRowFirstColumn="0" w:firstRowLastColumn="0" w:lastRowFirstColumn="0" w:lastRowLastColumn="0"/>
            </w:pPr>
            <w:r w:rsidRPr="00EC326F">
              <w:t>Chronic</w:t>
            </w:r>
            <w:r w:rsidR="006A2CA2" w:rsidRPr="00EC326F">
              <w:t xml:space="preserve"> fatigue syndrome, Chronic pain</w:t>
            </w:r>
          </w:p>
        </w:tc>
        <w:tc>
          <w:tcPr>
            <w:tcW w:w="1893" w:type="dxa"/>
          </w:tcPr>
          <w:p w14:paraId="64A4ADDD" w14:textId="77777777" w:rsidR="006A2CA2" w:rsidRPr="00EC326F" w:rsidRDefault="006A2CA2" w:rsidP="00926DD5">
            <w:pPr>
              <w:pStyle w:val="TableTextSmall"/>
              <w:jc w:val="center"/>
              <w:cnfStyle w:val="000000100000" w:firstRow="0" w:lastRow="0" w:firstColumn="0" w:lastColumn="0" w:oddVBand="0" w:evenVBand="0" w:oddHBand="1" w:evenHBand="0" w:firstRowFirstColumn="0" w:firstRowLastColumn="0" w:lastRowFirstColumn="0" w:lastRowLastColumn="0"/>
              <w:rPr>
                <w:highlight w:val="yellow"/>
              </w:rPr>
            </w:pPr>
            <w:r w:rsidRPr="00EC326F">
              <w:t>3.</w:t>
            </w:r>
            <w:r w:rsidR="00926DD5">
              <w:t>3</w:t>
            </w:r>
            <w:r w:rsidRPr="00EC326F">
              <w:t>%</w:t>
            </w:r>
          </w:p>
        </w:tc>
      </w:tr>
      <w:tr w:rsidR="006A2CA2" w:rsidRPr="00EC326F" w14:paraId="1B16FF48" w14:textId="77777777" w:rsidTr="00782413">
        <w:tc>
          <w:tcPr>
            <w:cnfStyle w:val="001000000000" w:firstRow="0" w:lastRow="0" w:firstColumn="1" w:lastColumn="0" w:oddVBand="0" w:evenVBand="0" w:oddHBand="0" w:evenHBand="0" w:firstRowFirstColumn="0" w:firstRowLastColumn="0" w:lastRowFirstColumn="0" w:lastRowLastColumn="0"/>
            <w:tcW w:w="3360" w:type="dxa"/>
          </w:tcPr>
          <w:p w14:paraId="7BC73134" w14:textId="77777777" w:rsidR="006A2CA2" w:rsidRPr="00EC326F" w:rsidRDefault="006A2CA2" w:rsidP="00782413">
            <w:pPr>
              <w:pStyle w:val="TableTextSmall"/>
              <w:rPr>
                <w:highlight w:val="yellow"/>
              </w:rPr>
            </w:pPr>
            <w:r w:rsidRPr="00EC326F">
              <w:t>Nervous System</w:t>
            </w:r>
          </w:p>
        </w:tc>
        <w:tc>
          <w:tcPr>
            <w:tcW w:w="3978" w:type="dxa"/>
          </w:tcPr>
          <w:p w14:paraId="23B79DCA" w14:textId="77777777" w:rsidR="006A2CA2" w:rsidRPr="00EC326F" w:rsidRDefault="006A2CA2" w:rsidP="00782413">
            <w:pPr>
              <w:pStyle w:val="TableTextSmall"/>
              <w:cnfStyle w:val="000000000000" w:firstRow="0" w:lastRow="0" w:firstColumn="0" w:lastColumn="0" w:oddVBand="0" w:evenVBand="0" w:oddHBand="0" w:evenHBand="0" w:firstRowFirstColumn="0" w:firstRowLastColumn="0" w:lastRowFirstColumn="0" w:lastRowLastColumn="0"/>
            </w:pPr>
            <w:r w:rsidRPr="00EC326F">
              <w:t>Cerebral palsy, Motor neurone disease, Multiple sclerosis, Paraplegia</w:t>
            </w:r>
          </w:p>
        </w:tc>
        <w:tc>
          <w:tcPr>
            <w:tcW w:w="1893" w:type="dxa"/>
          </w:tcPr>
          <w:p w14:paraId="562D18A3" w14:textId="77777777" w:rsidR="006A2CA2" w:rsidRPr="00EC326F" w:rsidRDefault="006A2CA2" w:rsidP="00926DD5">
            <w:pPr>
              <w:pStyle w:val="TableTextSmall"/>
              <w:jc w:val="center"/>
              <w:cnfStyle w:val="000000000000" w:firstRow="0" w:lastRow="0" w:firstColumn="0" w:lastColumn="0" w:oddVBand="0" w:evenVBand="0" w:oddHBand="0" w:evenHBand="0" w:firstRowFirstColumn="0" w:firstRowLastColumn="0" w:lastRowFirstColumn="0" w:lastRowLastColumn="0"/>
              <w:rPr>
                <w:highlight w:val="yellow"/>
              </w:rPr>
            </w:pPr>
            <w:r w:rsidRPr="00EC326F">
              <w:t>5.</w:t>
            </w:r>
            <w:r w:rsidR="00926DD5">
              <w:t>5</w:t>
            </w:r>
            <w:r w:rsidRPr="00EC326F">
              <w:t>%</w:t>
            </w:r>
          </w:p>
        </w:tc>
      </w:tr>
      <w:tr w:rsidR="006A2CA2" w:rsidRPr="00EC326F" w14:paraId="4B5BB14F" w14:textId="77777777" w:rsidTr="00782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Pr>
          <w:p w14:paraId="5C4C2D5E" w14:textId="77777777" w:rsidR="006A2CA2" w:rsidRPr="00EC326F" w:rsidRDefault="006A2CA2" w:rsidP="00782413">
            <w:pPr>
              <w:pStyle w:val="TableTextSmall"/>
              <w:rPr>
                <w:highlight w:val="yellow"/>
              </w:rPr>
            </w:pPr>
            <w:r w:rsidRPr="00EC326F">
              <w:t>Acquired Brain Impairment</w:t>
            </w:r>
          </w:p>
        </w:tc>
        <w:tc>
          <w:tcPr>
            <w:tcW w:w="3978" w:type="dxa"/>
          </w:tcPr>
          <w:p w14:paraId="71756289" w14:textId="77777777" w:rsidR="006A2CA2" w:rsidRPr="00EC326F" w:rsidRDefault="006A2CA2" w:rsidP="00782413">
            <w:pPr>
              <w:pStyle w:val="TableTextSmall"/>
              <w:cnfStyle w:val="000000100000" w:firstRow="0" w:lastRow="0" w:firstColumn="0" w:lastColumn="0" w:oddVBand="0" w:evenVBand="0" w:oddHBand="1" w:evenHBand="0" w:firstRowFirstColumn="0" w:firstRowLastColumn="0" w:lastRowFirstColumn="0" w:lastRowLastColumn="0"/>
            </w:pPr>
            <w:r w:rsidRPr="00EC326F">
              <w:t>Acquired brain injury, Toxic brain injury</w:t>
            </w:r>
          </w:p>
        </w:tc>
        <w:tc>
          <w:tcPr>
            <w:tcW w:w="1893" w:type="dxa"/>
          </w:tcPr>
          <w:p w14:paraId="3F52177B" w14:textId="77777777" w:rsidR="006A2CA2" w:rsidRPr="00EC326F" w:rsidRDefault="006A2CA2" w:rsidP="00782413">
            <w:pPr>
              <w:pStyle w:val="TableTextSmall"/>
              <w:jc w:val="center"/>
              <w:cnfStyle w:val="000000100000" w:firstRow="0" w:lastRow="0" w:firstColumn="0" w:lastColumn="0" w:oddVBand="0" w:evenVBand="0" w:oddHBand="1" w:evenHBand="0" w:firstRowFirstColumn="0" w:firstRowLastColumn="0" w:lastRowFirstColumn="0" w:lastRowLastColumn="0"/>
              <w:rPr>
                <w:highlight w:val="yellow"/>
              </w:rPr>
            </w:pPr>
            <w:r w:rsidRPr="00EC326F">
              <w:t>2.7%</w:t>
            </w:r>
          </w:p>
        </w:tc>
      </w:tr>
      <w:tr w:rsidR="006A2CA2" w:rsidRPr="00EC326F" w14:paraId="0C4A84FF" w14:textId="77777777" w:rsidTr="00782413">
        <w:tc>
          <w:tcPr>
            <w:cnfStyle w:val="001000000000" w:firstRow="0" w:lastRow="0" w:firstColumn="1" w:lastColumn="0" w:oddVBand="0" w:evenVBand="0" w:oddHBand="0" w:evenHBand="0" w:firstRowFirstColumn="0" w:firstRowLastColumn="0" w:lastRowFirstColumn="0" w:lastRowLastColumn="0"/>
            <w:tcW w:w="3360" w:type="dxa"/>
          </w:tcPr>
          <w:p w14:paraId="17AE058F" w14:textId="77777777" w:rsidR="006A2CA2" w:rsidRPr="00EC326F" w:rsidRDefault="006A2CA2" w:rsidP="00782413">
            <w:pPr>
              <w:pStyle w:val="TableTextSmall"/>
              <w:rPr>
                <w:highlight w:val="yellow"/>
              </w:rPr>
            </w:pPr>
            <w:r w:rsidRPr="00EC326F">
              <w:t>Psychological/Psychiatric</w:t>
            </w:r>
          </w:p>
        </w:tc>
        <w:tc>
          <w:tcPr>
            <w:tcW w:w="3978" w:type="dxa"/>
          </w:tcPr>
          <w:p w14:paraId="0A17FAF8" w14:textId="77777777" w:rsidR="006A2CA2" w:rsidRPr="00EC326F" w:rsidRDefault="006A2CA2" w:rsidP="00782413">
            <w:pPr>
              <w:pStyle w:val="TableTextSmall"/>
              <w:cnfStyle w:val="000000000000" w:firstRow="0" w:lastRow="0" w:firstColumn="0" w:lastColumn="0" w:oddVBand="0" w:evenVBand="0" w:oddHBand="0" w:evenHBand="0" w:firstRowFirstColumn="0" w:firstRowLastColumn="0" w:lastRowFirstColumn="0" w:lastRowLastColumn="0"/>
            </w:pPr>
            <w:r w:rsidRPr="00EC326F">
              <w:t>Autistic disorder, Depression, Post-traumatic stress disorder</w:t>
            </w:r>
          </w:p>
        </w:tc>
        <w:tc>
          <w:tcPr>
            <w:tcW w:w="1893" w:type="dxa"/>
          </w:tcPr>
          <w:p w14:paraId="5503C286" w14:textId="77777777" w:rsidR="006A2CA2" w:rsidRPr="00EC326F" w:rsidRDefault="006A2CA2" w:rsidP="00926DD5">
            <w:pPr>
              <w:pStyle w:val="TableTextSmall"/>
              <w:jc w:val="center"/>
              <w:cnfStyle w:val="000000000000" w:firstRow="0" w:lastRow="0" w:firstColumn="0" w:lastColumn="0" w:oddVBand="0" w:evenVBand="0" w:oddHBand="0" w:evenHBand="0" w:firstRowFirstColumn="0" w:firstRowLastColumn="0" w:lastRowFirstColumn="0" w:lastRowLastColumn="0"/>
              <w:rPr>
                <w:highlight w:val="yellow"/>
              </w:rPr>
            </w:pPr>
            <w:r w:rsidRPr="00EC326F">
              <w:t>3</w:t>
            </w:r>
            <w:r w:rsidR="00926DD5">
              <w:t>2.9</w:t>
            </w:r>
            <w:r w:rsidRPr="00EC326F">
              <w:t>%</w:t>
            </w:r>
          </w:p>
        </w:tc>
      </w:tr>
      <w:tr w:rsidR="006A2CA2" w:rsidRPr="00EC326F" w14:paraId="3B00D680" w14:textId="77777777" w:rsidTr="00782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tcPr>
          <w:p w14:paraId="21DCD6D9" w14:textId="77777777" w:rsidR="006A2CA2" w:rsidRPr="00EC326F" w:rsidRDefault="006A2CA2" w:rsidP="00782413">
            <w:pPr>
              <w:pStyle w:val="TableTextSmall"/>
              <w:rPr>
                <w:highlight w:val="yellow"/>
              </w:rPr>
            </w:pPr>
            <w:r w:rsidRPr="00EC326F">
              <w:t>Congenital Anomalies &amp; Inherited Disorders</w:t>
            </w:r>
          </w:p>
        </w:tc>
        <w:tc>
          <w:tcPr>
            <w:tcW w:w="3978" w:type="dxa"/>
          </w:tcPr>
          <w:p w14:paraId="302AFCC1" w14:textId="77777777" w:rsidR="006A2CA2" w:rsidRPr="00EC326F" w:rsidRDefault="006A2CA2" w:rsidP="00782413">
            <w:pPr>
              <w:pStyle w:val="TableTextSmall"/>
              <w:cnfStyle w:val="000000100000" w:firstRow="0" w:lastRow="0" w:firstColumn="0" w:lastColumn="0" w:oddVBand="0" w:evenVBand="0" w:oddHBand="1" w:evenHBand="0" w:firstRowFirstColumn="0" w:firstRowLastColumn="0" w:lastRowFirstColumn="0" w:lastRowLastColumn="0"/>
            </w:pPr>
            <w:r w:rsidRPr="00EC326F">
              <w:t>Spina Bifida, Cystic fibrosis, Muscular Dystrophy</w:t>
            </w:r>
          </w:p>
        </w:tc>
        <w:tc>
          <w:tcPr>
            <w:tcW w:w="1893" w:type="dxa"/>
          </w:tcPr>
          <w:p w14:paraId="7C2F3B3F" w14:textId="77777777" w:rsidR="006A2CA2" w:rsidRPr="00EC326F" w:rsidRDefault="006A2CA2" w:rsidP="00782413">
            <w:pPr>
              <w:pStyle w:val="TableTextSmall"/>
              <w:jc w:val="center"/>
              <w:cnfStyle w:val="000000100000" w:firstRow="0" w:lastRow="0" w:firstColumn="0" w:lastColumn="0" w:oddVBand="0" w:evenVBand="0" w:oddHBand="1" w:evenHBand="0" w:firstRowFirstColumn="0" w:firstRowLastColumn="0" w:lastRowFirstColumn="0" w:lastRowLastColumn="0"/>
              <w:rPr>
                <w:highlight w:val="yellow"/>
              </w:rPr>
            </w:pPr>
            <w:r w:rsidRPr="00EC326F">
              <w:t>1.7%</w:t>
            </w:r>
          </w:p>
        </w:tc>
      </w:tr>
      <w:tr w:rsidR="006A2CA2" w:rsidRPr="00EC326F" w14:paraId="0F752373" w14:textId="77777777" w:rsidTr="00782413">
        <w:tc>
          <w:tcPr>
            <w:cnfStyle w:val="001000000000" w:firstRow="0" w:lastRow="0" w:firstColumn="1" w:lastColumn="0" w:oddVBand="0" w:evenVBand="0" w:oddHBand="0" w:evenHBand="0" w:firstRowFirstColumn="0" w:firstRowLastColumn="0" w:lastRowFirstColumn="0" w:lastRowLastColumn="0"/>
            <w:tcW w:w="3360" w:type="dxa"/>
          </w:tcPr>
          <w:p w14:paraId="2A31B4A8" w14:textId="77777777" w:rsidR="006A2CA2" w:rsidRPr="00EC326F" w:rsidRDefault="006A2CA2" w:rsidP="00782413">
            <w:pPr>
              <w:pStyle w:val="TableTextSmall"/>
              <w:rPr>
                <w:highlight w:val="yellow"/>
              </w:rPr>
            </w:pPr>
            <w:r w:rsidRPr="00EC326F">
              <w:t>Intellectual/Learning</w:t>
            </w:r>
          </w:p>
        </w:tc>
        <w:tc>
          <w:tcPr>
            <w:tcW w:w="3978" w:type="dxa"/>
          </w:tcPr>
          <w:p w14:paraId="4FEC67CC" w14:textId="77777777" w:rsidR="006A2CA2" w:rsidRPr="00EC326F" w:rsidRDefault="006A2CA2" w:rsidP="00782413">
            <w:pPr>
              <w:pStyle w:val="TableTextSmall"/>
              <w:cnfStyle w:val="000000000000" w:firstRow="0" w:lastRow="0" w:firstColumn="0" w:lastColumn="0" w:oddVBand="0" w:evenVBand="0" w:oddHBand="0" w:evenHBand="0" w:firstRowFirstColumn="0" w:firstRowLastColumn="0" w:lastRowFirstColumn="0" w:lastRowLastColumn="0"/>
            </w:pPr>
            <w:r w:rsidRPr="00EC326F">
              <w:t>Down syndrome, Fragile X syndrome</w:t>
            </w:r>
          </w:p>
        </w:tc>
        <w:tc>
          <w:tcPr>
            <w:tcW w:w="1893" w:type="dxa"/>
          </w:tcPr>
          <w:p w14:paraId="3B56E3FD" w14:textId="77777777" w:rsidR="006A2CA2" w:rsidRPr="00EC326F" w:rsidRDefault="006A2CA2" w:rsidP="00926DD5">
            <w:pPr>
              <w:pStyle w:val="TableTextSmall"/>
              <w:jc w:val="center"/>
              <w:cnfStyle w:val="000000000000" w:firstRow="0" w:lastRow="0" w:firstColumn="0" w:lastColumn="0" w:oddVBand="0" w:evenVBand="0" w:oddHBand="0" w:evenHBand="0" w:firstRowFirstColumn="0" w:firstRowLastColumn="0" w:lastRowFirstColumn="0" w:lastRowLastColumn="0"/>
              <w:rPr>
                <w:highlight w:val="yellow"/>
              </w:rPr>
            </w:pPr>
            <w:r w:rsidRPr="00EC326F">
              <w:t>13.</w:t>
            </w:r>
            <w:r w:rsidR="00926DD5">
              <w:t>5</w:t>
            </w:r>
            <w:r w:rsidRPr="00EC326F">
              <w:t>%</w:t>
            </w:r>
          </w:p>
        </w:tc>
      </w:tr>
    </w:tbl>
    <w:p w14:paraId="1BDDB1A5" w14:textId="7B9659B8" w:rsidR="005E1875" w:rsidRPr="00EC326F" w:rsidRDefault="005E1875" w:rsidP="005E1875">
      <w:pPr>
        <w:pStyle w:val="PwCNormal"/>
        <w:numPr>
          <w:ilvl w:val="0"/>
          <w:numId w:val="0"/>
        </w:numPr>
      </w:pPr>
      <w:r w:rsidRPr="00EC326F">
        <w:t>The assumptions for people newly entering the D</w:t>
      </w:r>
      <w:r w:rsidR="00916C7F">
        <w:t xml:space="preserve">isability </w:t>
      </w:r>
      <w:r w:rsidRPr="00EC326F">
        <w:t>S</w:t>
      </w:r>
      <w:r w:rsidR="00916C7F">
        <w:t xml:space="preserve">upport </w:t>
      </w:r>
      <w:r w:rsidRPr="00EC326F">
        <w:t>P</w:t>
      </w:r>
      <w:r w:rsidR="00916C7F">
        <w:t>ension</w:t>
      </w:r>
      <w:r w:rsidRPr="00EC326F">
        <w:t xml:space="preserve"> class are based on peoples’ age and gender, with those entering at youngest ages being more likely to have inherited disorders and intellectual disabilities. Psychological and psychiatric conditions at entry become more prevalent between ages 20-50 while the prevalence of cancers, circulatory/respiratory disorders and muscular-skeletal conditions dominate at older ages.</w:t>
      </w:r>
    </w:p>
    <w:p w14:paraId="22F4C9A1" w14:textId="77777777" w:rsidR="006A2CA2" w:rsidRPr="00EC326F" w:rsidRDefault="006A2CA2" w:rsidP="006A2CA2">
      <w:pPr>
        <w:pStyle w:val="PwCNormal"/>
        <w:numPr>
          <w:ilvl w:val="0"/>
          <w:numId w:val="0"/>
        </w:numPr>
      </w:pPr>
      <w:r w:rsidRPr="00EC326F">
        <w:t xml:space="preserve">The </w:t>
      </w:r>
      <w:r w:rsidR="00926DD5">
        <w:t>DSP</w:t>
      </w:r>
      <w:r w:rsidRPr="00EC326F">
        <w:t xml:space="preserve"> recipient’s primary medical condition was treated as a static variable after as analysis demonstrated that this variable very rarely</w:t>
      </w:r>
      <w:r w:rsidR="005F7C89" w:rsidRPr="00EC326F">
        <w:t xml:space="preserve"> changes</w:t>
      </w:r>
      <w:r w:rsidRPr="00EC326F">
        <w:t xml:space="preserve"> from year to year. Hence no further assumptions are required for those continuing in the class.</w:t>
      </w:r>
    </w:p>
    <w:p w14:paraId="23E7F24B" w14:textId="77777777" w:rsidR="00DC5951" w:rsidRPr="00EC326F" w:rsidRDefault="00DC5951" w:rsidP="006A2CA2">
      <w:pPr>
        <w:pStyle w:val="PwCNormal"/>
        <w:numPr>
          <w:ilvl w:val="0"/>
          <w:numId w:val="0"/>
        </w:numPr>
      </w:pPr>
      <w:r w:rsidRPr="00EC326F">
        <w:t>The likelihood of remaining on DSP varied by medical condition – recipients with musculo-skeletal conditions or cancer were more likely to leave DSP, whereas recipients with intellectual disabilities were more likely to remain on DSP.</w:t>
      </w:r>
    </w:p>
    <w:p w14:paraId="1446E1B1" w14:textId="76F5FE25" w:rsidR="006A2CA2" w:rsidRPr="00EC326F" w:rsidRDefault="00FE6871" w:rsidP="006A2CA2">
      <w:pPr>
        <w:pStyle w:val="Heading4"/>
      </w:pPr>
      <w:r>
        <w:lastRenderedPageBreak/>
        <w:t>Care Recipient</w:t>
      </w:r>
      <w:r w:rsidRPr="00EC326F">
        <w:t xml:space="preserve"> </w:t>
      </w:r>
      <w:r w:rsidR="006A2CA2" w:rsidRPr="00EC326F">
        <w:t>variables</w:t>
      </w:r>
    </w:p>
    <w:p w14:paraId="7E4D10D9" w14:textId="77777777" w:rsidR="006A2CA2" w:rsidRPr="00EC326F" w:rsidRDefault="006A2CA2" w:rsidP="006A2CA2">
      <w:pPr>
        <w:pStyle w:val="Minorheading"/>
      </w:pPr>
      <w:r w:rsidRPr="00EC326F">
        <w:t>Carer IS (class 4)</w:t>
      </w:r>
    </w:p>
    <w:p w14:paraId="6D8C54F5" w14:textId="3431DB17" w:rsidR="006A2CA2" w:rsidRPr="00EC326F" w:rsidRDefault="006A2CA2" w:rsidP="005F7C89">
      <w:pPr>
        <w:pStyle w:val="PwCNormal-keepwithnext"/>
      </w:pPr>
      <w:r w:rsidRPr="00EC326F">
        <w:t xml:space="preserve">The people in this class are typically caring for a single </w:t>
      </w:r>
      <w:r w:rsidR="00FE6871">
        <w:t>care recipient</w:t>
      </w:r>
      <w:r w:rsidR="00FE6871" w:rsidRPr="00EC326F">
        <w:t xml:space="preserve"> </w:t>
      </w:r>
      <w:r w:rsidRPr="00EC326F">
        <w:t xml:space="preserve">and hence the additional </w:t>
      </w:r>
      <w:r w:rsidR="007C1B83" w:rsidRPr="00EC326F">
        <w:t xml:space="preserve">class characteristic </w:t>
      </w:r>
      <w:r w:rsidRPr="00EC326F">
        <w:t xml:space="preserve">variables selected to be modelled reflect information about the </w:t>
      </w:r>
      <w:r w:rsidR="00FE6871">
        <w:t>care recipient</w:t>
      </w:r>
      <w:r w:rsidRPr="00EC326F">
        <w:t>. Three variables have been modelled for people newly entering the class:</w:t>
      </w:r>
    </w:p>
    <w:p w14:paraId="3BA42C39" w14:textId="77AED160" w:rsidR="006A2CA2" w:rsidRPr="00EC326F" w:rsidRDefault="006A2CA2" w:rsidP="006A2CA2">
      <w:pPr>
        <w:pStyle w:val="ListBullet"/>
      </w:pPr>
      <w:r w:rsidRPr="00EC326F">
        <w:t xml:space="preserve">Primary </w:t>
      </w:r>
      <w:r w:rsidR="00FE6871">
        <w:t>Care Recipient</w:t>
      </w:r>
      <w:r w:rsidR="00FE6871" w:rsidRPr="00EC326F">
        <w:t xml:space="preserve"> </w:t>
      </w:r>
      <w:r w:rsidRPr="00EC326F">
        <w:t xml:space="preserve">Age: this has been modelled based on the carers gender and age at entry to the class. This </w:t>
      </w:r>
      <w:r w:rsidR="005F7C89" w:rsidRPr="00EC326F">
        <w:t>reflects analysis that shows</w:t>
      </w:r>
      <w:r w:rsidRPr="00EC326F">
        <w:t xml:space="preserve"> that those taking on caring responsibilities at younger ages are most likely to be caring for a parent, at mid ages a child and at older ages a partner.</w:t>
      </w:r>
    </w:p>
    <w:p w14:paraId="24414BDE" w14:textId="08A34FC8" w:rsidR="006A2CA2" w:rsidRPr="00EC326F" w:rsidRDefault="006A2CA2" w:rsidP="006A2CA2">
      <w:pPr>
        <w:pStyle w:val="ListBullet"/>
      </w:pPr>
      <w:r w:rsidRPr="00EC326F">
        <w:t xml:space="preserve">Primary </w:t>
      </w:r>
      <w:r w:rsidR="00FE6871">
        <w:t>Care Recipient</w:t>
      </w:r>
      <w:r w:rsidR="00FE6871" w:rsidRPr="00EC326F">
        <w:t xml:space="preserve"> </w:t>
      </w:r>
      <w:r w:rsidRPr="00EC326F">
        <w:t>Relationship: this variable has been modelled based on the Carer’s gender, age and the modelled age gap between the carer and care</w:t>
      </w:r>
      <w:r w:rsidR="00FE6871">
        <w:t xml:space="preserve"> r</w:t>
      </w:r>
      <w:r w:rsidRPr="00EC326F">
        <w:t>e</w:t>
      </w:r>
      <w:r w:rsidR="00FE6871">
        <w:t>cipient</w:t>
      </w:r>
      <w:r w:rsidRPr="00EC326F">
        <w:t>. This recognised that the relative ages are a key determinant of relationship. Around 40% of current carers are partners of those they care for, 22% parents, 22% children and the remainder providing care to others</w:t>
      </w:r>
      <w:r w:rsidR="00BC68FB" w:rsidRPr="00EC326F">
        <w:t xml:space="preserve"> such as other relatives</w:t>
      </w:r>
      <w:r w:rsidRPr="00EC326F">
        <w:t>.</w:t>
      </w:r>
    </w:p>
    <w:p w14:paraId="78085039" w14:textId="1A0268E3" w:rsidR="006A2CA2" w:rsidRPr="00EC326F" w:rsidRDefault="006A2CA2" w:rsidP="006A2CA2">
      <w:pPr>
        <w:pStyle w:val="ListBullet"/>
      </w:pPr>
      <w:r w:rsidRPr="00EC326F">
        <w:t xml:space="preserve">Primary </w:t>
      </w:r>
      <w:r w:rsidR="00FE6871">
        <w:t>Care Recipient</w:t>
      </w:r>
      <w:r w:rsidR="00FE6871" w:rsidRPr="00EC326F">
        <w:t xml:space="preserve"> </w:t>
      </w:r>
      <w:r w:rsidRPr="00EC326F">
        <w:t xml:space="preserve">Medical Condition: this variable uses the same medical condition categories as the DSP medical condition. The variable has been modelled based on the carers gender and modelled </w:t>
      </w:r>
      <w:r w:rsidR="00A82D43">
        <w:t xml:space="preserve">care recipients </w:t>
      </w:r>
      <w:r w:rsidRPr="00EC326F">
        <w:t>age</w:t>
      </w:r>
      <w:r w:rsidR="00BC68FB" w:rsidRPr="00EC326F">
        <w:t xml:space="preserve"> at the time the carer entered the </w:t>
      </w:r>
      <w:r w:rsidR="00926DD5">
        <w:t>class</w:t>
      </w:r>
      <w:r w:rsidRPr="00EC326F">
        <w:t>.</w:t>
      </w:r>
    </w:p>
    <w:p w14:paraId="71FA8CF8" w14:textId="21E5FCE5" w:rsidR="006A2CA2" w:rsidRPr="00EC326F" w:rsidRDefault="006A2CA2" w:rsidP="006A2CA2">
      <w:pPr>
        <w:pStyle w:val="PwCNormal"/>
        <w:numPr>
          <w:ilvl w:val="0"/>
          <w:numId w:val="1"/>
        </w:numPr>
      </w:pPr>
      <w:r w:rsidRPr="00EC326F">
        <w:t xml:space="preserve">For people continuing in the class the </w:t>
      </w:r>
      <w:r w:rsidR="00A82D43">
        <w:t xml:space="preserve">care recipient </w:t>
      </w:r>
      <w:r w:rsidRPr="00EC326F">
        <w:t xml:space="preserve">has been assumed to be the same person with the </w:t>
      </w:r>
      <w:r w:rsidR="00A82D43">
        <w:t xml:space="preserve">care recipients </w:t>
      </w:r>
      <w:r w:rsidRPr="00EC326F">
        <w:t xml:space="preserve">age being updated accordingly. The </w:t>
      </w:r>
      <w:r w:rsidR="00A82D43">
        <w:t xml:space="preserve">care recipients </w:t>
      </w:r>
      <w:r w:rsidRPr="00EC326F">
        <w:t xml:space="preserve">primary medical condition and </w:t>
      </w:r>
      <w:r w:rsidR="00A82D43">
        <w:t xml:space="preserve">care recipient </w:t>
      </w:r>
      <w:r w:rsidRPr="00EC326F">
        <w:t xml:space="preserve">relationship were treated as static variables as analysis supported that these variables very rarely </w:t>
      </w:r>
      <w:r w:rsidR="005F7C89" w:rsidRPr="00EC326F">
        <w:t>change from</w:t>
      </w:r>
      <w:r w:rsidRPr="00EC326F">
        <w:t xml:space="preserve"> year</w:t>
      </w:r>
      <w:r w:rsidR="005F7C89" w:rsidRPr="00EC326F">
        <w:t xml:space="preserve"> to year</w:t>
      </w:r>
      <w:r w:rsidRPr="00EC326F">
        <w:t xml:space="preserve">. </w:t>
      </w:r>
    </w:p>
    <w:p w14:paraId="33FF0672" w14:textId="505B82A5" w:rsidR="00DC5951" w:rsidRPr="00EC326F" w:rsidRDefault="00DC5951" w:rsidP="006A2CA2">
      <w:pPr>
        <w:pStyle w:val="PwCNormal"/>
        <w:numPr>
          <w:ilvl w:val="0"/>
          <w:numId w:val="1"/>
        </w:numPr>
      </w:pPr>
      <w:r w:rsidRPr="00EC326F">
        <w:t xml:space="preserve">The </w:t>
      </w:r>
      <w:r w:rsidR="00A82D43">
        <w:t>care recipient</w:t>
      </w:r>
      <w:r w:rsidR="00A82D43" w:rsidRPr="00EC326F">
        <w:t xml:space="preserve"> </w:t>
      </w:r>
      <w:r w:rsidRPr="00EC326F">
        <w:t xml:space="preserve">variables provided additional information to predict which people were likely to remain in the Carer IS class. People caring for someone with cancer were more likely to leave the class, while those caring for a partner are more likely to be long term recipients of income support. The age of </w:t>
      </w:r>
      <w:r w:rsidR="00A82D43">
        <w:t>care recipient</w:t>
      </w:r>
      <w:r w:rsidR="00A82D43" w:rsidRPr="00EC326F">
        <w:t xml:space="preserve"> </w:t>
      </w:r>
      <w:r w:rsidRPr="00EC326F">
        <w:t xml:space="preserve">is also indirectly reflected in the class movement model through its influence on the </w:t>
      </w:r>
      <w:r w:rsidR="00A82D43">
        <w:t xml:space="preserve">care recipient </w:t>
      </w:r>
      <w:r w:rsidRPr="00EC326F">
        <w:t>relationship.</w:t>
      </w:r>
    </w:p>
    <w:p w14:paraId="59A72319" w14:textId="77777777" w:rsidR="006A2CA2" w:rsidRPr="00EC326F" w:rsidRDefault="006A2CA2" w:rsidP="006A2CA2">
      <w:pPr>
        <w:pStyle w:val="Minorheading"/>
      </w:pPr>
      <w:r w:rsidRPr="00EC326F">
        <w:t>Carer Non IS (class 8)</w:t>
      </w:r>
    </w:p>
    <w:p w14:paraId="7BFA4E32" w14:textId="31CBBC5F" w:rsidR="006A2CA2" w:rsidRPr="00EC326F" w:rsidRDefault="006A2CA2" w:rsidP="006A2CA2">
      <w:pPr>
        <w:pStyle w:val="PwCNormal"/>
        <w:numPr>
          <w:ilvl w:val="0"/>
          <w:numId w:val="1"/>
        </w:numPr>
      </w:pPr>
      <w:r w:rsidRPr="00EC326F">
        <w:t xml:space="preserve">The people in this class may be providing care to more than one </w:t>
      </w:r>
      <w:r w:rsidR="00A82D43">
        <w:t xml:space="preserve">care recipient </w:t>
      </w:r>
      <w:r w:rsidRPr="00EC326F">
        <w:t xml:space="preserve">and hence the additional </w:t>
      </w:r>
      <w:r w:rsidR="007C1B83" w:rsidRPr="00EC326F">
        <w:t xml:space="preserve">class characteristic </w:t>
      </w:r>
      <w:r w:rsidRPr="00EC326F">
        <w:t xml:space="preserve">variables selected by the Department to be modelled reflect information about the numbers of adult and child </w:t>
      </w:r>
      <w:r w:rsidR="00A82D43">
        <w:t>care recipients</w:t>
      </w:r>
      <w:r w:rsidRPr="00EC326F">
        <w:t>. 4</w:t>
      </w:r>
      <w:r w:rsidR="00726503">
        <w:t>0</w:t>
      </w:r>
      <w:r w:rsidRPr="00EC326F">
        <w:t>% of the people in the class are caring for one or more children only, 5</w:t>
      </w:r>
      <w:r w:rsidR="00726503">
        <w:t>8</w:t>
      </w:r>
      <w:r w:rsidRPr="00EC326F">
        <w:t>% are caring for one or more adults</w:t>
      </w:r>
      <w:r w:rsidR="00926DD5">
        <w:t xml:space="preserve"> only</w:t>
      </w:r>
      <w:r w:rsidRPr="00EC326F">
        <w:t xml:space="preserve"> and the remaining </w:t>
      </w:r>
      <w:r w:rsidR="00726503">
        <w:t>2</w:t>
      </w:r>
      <w:r w:rsidRPr="00EC326F">
        <w:t xml:space="preserve">% to both children and adults. 91% of people are providing care to a single </w:t>
      </w:r>
      <w:r w:rsidR="00A82D43">
        <w:t>care recipient</w:t>
      </w:r>
      <w:r w:rsidRPr="00EC326F">
        <w:t>.</w:t>
      </w:r>
    </w:p>
    <w:p w14:paraId="4C96C561" w14:textId="77777777" w:rsidR="006A2CA2" w:rsidRPr="00EC326F" w:rsidRDefault="006A2CA2" w:rsidP="006A2CA2">
      <w:pPr>
        <w:pStyle w:val="PwCNormal"/>
        <w:numPr>
          <w:ilvl w:val="0"/>
          <w:numId w:val="1"/>
        </w:numPr>
      </w:pPr>
      <w:r w:rsidRPr="00EC326F">
        <w:t>For people newly entering the carer payment class these variables were modelled in the following order:</w:t>
      </w:r>
    </w:p>
    <w:p w14:paraId="4F1F05C3" w14:textId="7006456D" w:rsidR="005E1875" w:rsidRPr="00EC326F" w:rsidRDefault="005E1875" w:rsidP="005E1875">
      <w:pPr>
        <w:pStyle w:val="ListBullet"/>
      </w:pPr>
      <w:r w:rsidRPr="00EC326F">
        <w:t xml:space="preserve">Number of child </w:t>
      </w:r>
      <w:r w:rsidR="00A82D43">
        <w:t>care recipient</w:t>
      </w:r>
      <w:r w:rsidR="00A82D43" w:rsidRPr="00EC326F">
        <w:t>s</w:t>
      </w:r>
      <w:r w:rsidRPr="00EC326F">
        <w:t xml:space="preserve">: this has been modelled based on the carers gender and age </w:t>
      </w:r>
    </w:p>
    <w:p w14:paraId="742CD66A" w14:textId="5E6E8DBE" w:rsidR="005E1875" w:rsidRPr="00EC326F" w:rsidRDefault="005E1875" w:rsidP="005E1875">
      <w:pPr>
        <w:pStyle w:val="ListBullet"/>
      </w:pPr>
      <w:r w:rsidRPr="00EC326F">
        <w:t xml:space="preserve">Number of adult </w:t>
      </w:r>
      <w:r w:rsidR="00A82D43">
        <w:t>care recipient</w:t>
      </w:r>
      <w:r w:rsidR="00A82D43" w:rsidRPr="00EC326F">
        <w:t>s</w:t>
      </w:r>
      <w:r w:rsidRPr="00EC326F">
        <w:t xml:space="preserve">: this has been modelled based on the carers gender, age and the number of child </w:t>
      </w:r>
      <w:r w:rsidR="00A82D43">
        <w:t>care recipient</w:t>
      </w:r>
      <w:r w:rsidR="00A82D43" w:rsidRPr="00EC326F">
        <w:t>s</w:t>
      </w:r>
      <w:r w:rsidRPr="00EC326F">
        <w:t>.</w:t>
      </w:r>
    </w:p>
    <w:p w14:paraId="772A92C5" w14:textId="52408917" w:rsidR="006A2CA2" w:rsidRPr="00EC326F" w:rsidRDefault="006A2CA2" w:rsidP="006A2CA2">
      <w:pPr>
        <w:pStyle w:val="PwCNormal"/>
        <w:numPr>
          <w:ilvl w:val="0"/>
          <w:numId w:val="0"/>
        </w:numPr>
      </w:pPr>
      <w:r w:rsidRPr="00EC326F">
        <w:t xml:space="preserve">Both of these variables are dynamic with the numbers of </w:t>
      </w:r>
      <w:r w:rsidR="00A82D43">
        <w:t>care recipient</w:t>
      </w:r>
      <w:r w:rsidR="00A82D43" w:rsidRPr="00EC326F">
        <w:t xml:space="preserve">s </w:t>
      </w:r>
      <w:r w:rsidRPr="00EC326F">
        <w:t>being subject to change from one year to the next. This requires further assumptions to update the variable information for the people continuing in the class:</w:t>
      </w:r>
    </w:p>
    <w:p w14:paraId="374D8FEB" w14:textId="4C7A3870" w:rsidR="005E1875" w:rsidRPr="00EC326F" w:rsidRDefault="005E1875" w:rsidP="005E1875">
      <w:pPr>
        <w:pStyle w:val="ListBullet"/>
      </w:pPr>
      <w:r w:rsidRPr="00EC326F">
        <w:t xml:space="preserve">Number of child </w:t>
      </w:r>
      <w:r w:rsidR="00A82D43">
        <w:t>care recipient</w:t>
      </w:r>
      <w:r w:rsidR="00A82D43" w:rsidRPr="00EC326F">
        <w:t>s</w:t>
      </w:r>
      <w:r w:rsidRPr="00EC326F">
        <w:t xml:space="preserve">: this is updated based on assumptions which consider the carers gender and age and the number of child </w:t>
      </w:r>
      <w:r w:rsidR="00A82D43">
        <w:t>care recipients</w:t>
      </w:r>
      <w:r w:rsidR="00A82D43" w:rsidRPr="00EC326F">
        <w:t xml:space="preserve"> </w:t>
      </w:r>
      <w:r w:rsidRPr="00EC326F">
        <w:t xml:space="preserve">in the previous year </w:t>
      </w:r>
    </w:p>
    <w:p w14:paraId="35970A0E" w14:textId="20421111" w:rsidR="005E1875" w:rsidRPr="00EC326F" w:rsidRDefault="005E1875" w:rsidP="005E1875">
      <w:pPr>
        <w:pStyle w:val="ListBullet"/>
      </w:pPr>
      <w:r w:rsidRPr="00EC326F">
        <w:t xml:space="preserve">Number of adult </w:t>
      </w:r>
      <w:r w:rsidR="00A82D43">
        <w:t>care recipient</w:t>
      </w:r>
      <w:r w:rsidR="00A82D43" w:rsidRPr="00EC326F">
        <w:t>s</w:t>
      </w:r>
      <w:r w:rsidRPr="00EC326F">
        <w:t xml:space="preserve">: this has been modelled based on the carers gender, age, number of adult </w:t>
      </w:r>
      <w:r w:rsidR="00A82D43">
        <w:t>care recipient</w:t>
      </w:r>
      <w:r w:rsidR="00A82D43" w:rsidRPr="00EC326F">
        <w:t xml:space="preserve">s </w:t>
      </w:r>
      <w:r w:rsidRPr="00EC326F">
        <w:t xml:space="preserve">in the previous year and the number of child </w:t>
      </w:r>
      <w:r w:rsidR="00A82D43">
        <w:t>care recipient</w:t>
      </w:r>
      <w:r w:rsidR="00A82D43" w:rsidRPr="00EC326F">
        <w:t xml:space="preserve">s </w:t>
      </w:r>
      <w:r w:rsidRPr="00EC326F">
        <w:t>in the current year.</w:t>
      </w:r>
    </w:p>
    <w:p w14:paraId="7E699333" w14:textId="77777777" w:rsidR="005E1875" w:rsidRPr="00EC326F" w:rsidRDefault="005E1875" w:rsidP="005E1875">
      <w:pPr>
        <w:pStyle w:val="ListBullet"/>
        <w:numPr>
          <w:ilvl w:val="0"/>
          <w:numId w:val="0"/>
        </w:numPr>
      </w:pPr>
      <w:r w:rsidRPr="00EC326F">
        <w:t>Structuring the models in this manner allows for relationships between caring for adults and caring for children to be captured.</w:t>
      </w:r>
    </w:p>
    <w:p w14:paraId="3340FCBF" w14:textId="6A5365C8" w:rsidR="00DC5951" w:rsidRPr="00EC326F" w:rsidRDefault="00DC5951" w:rsidP="00DC5951">
      <w:pPr>
        <w:pStyle w:val="PwCNormal"/>
      </w:pPr>
      <w:r w:rsidRPr="00EC326F">
        <w:t xml:space="preserve">The number of </w:t>
      </w:r>
      <w:r w:rsidR="00A82D43">
        <w:t>care recipient</w:t>
      </w:r>
      <w:r w:rsidR="00A82D43" w:rsidRPr="00EC326F">
        <w:t xml:space="preserve">s </w:t>
      </w:r>
      <w:r w:rsidRPr="00EC326F">
        <w:t xml:space="preserve">added additional predictive power to the class movements model, with people having at least one child </w:t>
      </w:r>
      <w:r w:rsidR="00A82D43">
        <w:t xml:space="preserve">care recipient </w:t>
      </w:r>
      <w:r w:rsidRPr="00EC326F">
        <w:t xml:space="preserve">being more likely to move to an income support class (as opposed to those who only had adult </w:t>
      </w:r>
      <w:r w:rsidR="00A82D43">
        <w:t>care recipient</w:t>
      </w:r>
      <w:r w:rsidR="00A82D43" w:rsidRPr="00EC326F">
        <w:t>s</w:t>
      </w:r>
      <w:r w:rsidRPr="00EC326F">
        <w:t>, who were more likely to remain off income support or exit the welfare system altogether).</w:t>
      </w:r>
    </w:p>
    <w:p w14:paraId="5F2CF08B" w14:textId="77777777" w:rsidR="006A2CA2" w:rsidRPr="00EC326F" w:rsidRDefault="006A2CA2" w:rsidP="006A2CA2">
      <w:pPr>
        <w:pStyle w:val="Heading4"/>
      </w:pPr>
      <w:r w:rsidRPr="00EC326F">
        <w:lastRenderedPageBreak/>
        <w:t>Employment earnings indicator</w:t>
      </w:r>
    </w:p>
    <w:p w14:paraId="5A14F76F" w14:textId="77777777" w:rsidR="006A2CA2" w:rsidRPr="00EC326F" w:rsidRDefault="006A2CA2" w:rsidP="00795805">
      <w:pPr>
        <w:pStyle w:val="PwCNormal"/>
        <w:keepLines/>
        <w:numPr>
          <w:ilvl w:val="0"/>
          <w:numId w:val="1"/>
        </w:numPr>
      </w:pPr>
      <w:r w:rsidRPr="00EC326F">
        <w:t xml:space="preserve">It was hypothesised that the future welfare outcomes for people with some work would differ from those with no workforce participation. Hence we added an employment earnings indicator into the model for people in classes 1 to 5. The table below provides a summary of the latest year of experience </w:t>
      </w:r>
      <w:r w:rsidR="00BC68FB" w:rsidRPr="00EC326F">
        <w:t xml:space="preserve">for people in the starting population </w:t>
      </w:r>
      <w:r w:rsidRPr="00EC326F">
        <w:t>by class.</w:t>
      </w:r>
    </w:p>
    <w:p w14:paraId="71654F96" w14:textId="77777777" w:rsidR="006A2CA2" w:rsidRPr="00EC326F" w:rsidRDefault="006A2CA2" w:rsidP="006A2CA2">
      <w:pPr>
        <w:pStyle w:val="Caption"/>
      </w:pPr>
      <w:r w:rsidRPr="00EC326F">
        <w:t xml:space="preserve">Table </w:t>
      </w:r>
      <w:fldSimple w:instr=" SEQ Table \* ARABIC ">
        <w:r w:rsidR="007A42DF">
          <w:rPr>
            <w:noProof/>
          </w:rPr>
          <w:t>16</w:t>
        </w:r>
      </w:fldSimple>
      <w:r w:rsidRPr="00EC326F">
        <w:t>: Summary of 2015-16 earnings indicator by class</w:t>
      </w:r>
    </w:p>
    <w:tbl>
      <w:tblPr>
        <w:tblStyle w:val="ListTable3-Accent61"/>
        <w:tblW w:w="6663" w:type="dxa"/>
        <w:tblInd w:w="108" w:type="dxa"/>
        <w:tblLook w:val="04A0" w:firstRow="1" w:lastRow="0" w:firstColumn="1" w:lastColumn="0" w:noHBand="0" w:noVBand="1"/>
        <w:tblCaption w:val=" Summary of 2015-16 earnings indicator by class&#10;"/>
        <w:tblDescription w:val="This table summarises the percentage of people who have earnings in classes 1 to 5.&#10;In class 1 Studying, 54% of people have earnings compared to 48% in class 2 Working Age and 35% in class 3 Parents. 16% of clients in the Carer class and 12% of clients in the Disability class have earnings.&#10;"/>
      </w:tblPr>
      <w:tblGrid>
        <w:gridCol w:w="3686"/>
        <w:gridCol w:w="2977"/>
      </w:tblGrid>
      <w:tr w:rsidR="006A2CA2" w:rsidRPr="00EC326F" w14:paraId="430C4186" w14:textId="77777777" w:rsidTr="005D6CE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tcPr>
          <w:p w14:paraId="56AB2DC5" w14:textId="77777777" w:rsidR="006A2CA2" w:rsidRPr="00EC326F" w:rsidRDefault="006A2CA2" w:rsidP="00782413">
            <w:pPr>
              <w:pStyle w:val="TableColumnHeadingSmall"/>
            </w:pPr>
            <w:r w:rsidRPr="00EC326F">
              <w:t>Class</w:t>
            </w:r>
          </w:p>
        </w:tc>
        <w:tc>
          <w:tcPr>
            <w:tcW w:w="2977" w:type="dxa"/>
          </w:tcPr>
          <w:p w14:paraId="0007B736" w14:textId="77777777" w:rsidR="006A2CA2" w:rsidRPr="00EC326F" w:rsidRDefault="006A2CA2" w:rsidP="00782413">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Proportion of people with earnings</w:t>
            </w:r>
          </w:p>
        </w:tc>
      </w:tr>
      <w:tr w:rsidR="006A2CA2" w:rsidRPr="00EC326F" w14:paraId="5AD16629" w14:textId="77777777" w:rsidTr="00926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83A8048" w14:textId="77777777" w:rsidR="006A2CA2" w:rsidRPr="00EC326F" w:rsidRDefault="006A2CA2" w:rsidP="00BC68FB">
            <w:pPr>
              <w:pStyle w:val="TableTextSmall"/>
              <w:keepNext/>
            </w:pPr>
            <w:r w:rsidRPr="00EC326F">
              <w:t>1 – Studying</w:t>
            </w:r>
          </w:p>
        </w:tc>
        <w:tc>
          <w:tcPr>
            <w:tcW w:w="2977" w:type="dxa"/>
          </w:tcPr>
          <w:p w14:paraId="07582007" w14:textId="77777777" w:rsidR="006A2CA2" w:rsidRPr="00EC326F" w:rsidRDefault="006A2CA2" w:rsidP="00BC68F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54%</w:t>
            </w:r>
          </w:p>
        </w:tc>
      </w:tr>
      <w:tr w:rsidR="006A2CA2" w:rsidRPr="00EC326F" w14:paraId="1DD8B454" w14:textId="77777777" w:rsidTr="00926DD5">
        <w:tc>
          <w:tcPr>
            <w:cnfStyle w:val="001000000000" w:firstRow="0" w:lastRow="0" w:firstColumn="1" w:lastColumn="0" w:oddVBand="0" w:evenVBand="0" w:oddHBand="0" w:evenHBand="0" w:firstRowFirstColumn="0" w:firstRowLastColumn="0" w:lastRowFirstColumn="0" w:lastRowLastColumn="0"/>
            <w:tcW w:w="3686" w:type="dxa"/>
          </w:tcPr>
          <w:p w14:paraId="2E4926E3" w14:textId="77777777" w:rsidR="006A2CA2" w:rsidRPr="00EC326F" w:rsidRDefault="00926DD5" w:rsidP="00BC68FB">
            <w:pPr>
              <w:pStyle w:val="TableTextSmall"/>
              <w:keepNext/>
            </w:pPr>
            <w:r>
              <w:t>2 – Working A</w:t>
            </w:r>
            <w:r w:rsidR="006A2CA2" w:rsidRPr="00EC326F">
              <w:t>ge</w:t>
            </w:r>
          </w:p>
        </w:tc>
        <w:tc>
          <w:tcPr>
            <w:tcW w:w="2977" w:type="dxa"/>
          </w:tcPr>
          <w:p w14:paraId="47658CD5" w14:textId="77777777" w:rsidR="006A2CA2" w:rsidRPr="00EC326F" w:rsidRDefault="006A2CA2" w:rsidP="00BC68FB">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48%</w:t>
            </w:r>
          </w:p>
        </w:tc>
      </w:tr>
      <w:tr w:rsidR="006A2CA2" w:rsidRPr="00EC326F" w14:paraId="73880566" w14:textId="77777777" w:rsidTr="00926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D8AB20A" w14:textId="77777777" w:rsidR="006A2CA2" w:rsidRPr="00EC326F" w:rsidRDefault="006A2CA2" w:rsidP="00BC68FB">
            <w:pPr>
              <w:pStyle w:val="TableTextSmall"/>
              <w:keepNext/>
            </w:pPr>
            <w:r w:rsidRPr="00EC326F">
              <w:t>3 – Parents</w:t>
            </w:r>
          </w:p>
        </w:tc>
        <w:tc>
          <w:tcPr>
            <w:tcW w:w="2977" w:type="dxa"/>
          </w:tcPr>
          <w:p w14:paraId="6CDCF3F6" w14:textId="77777777" w:rsidR="006A2CA2" w:rsidRPr="00EC326F" w:rsidRDefault="006A2CA2" w:rsidP="00BC68F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35%</w:t>
            </w:r>
          </w:p>
        </w:tc>
      </w:tr>
      <w:tr w:rsidR="006A2CA2" w:rsidRPr="00EC326F" w14:paraId="0304F7DE" w14:textId="77777777" w:rsidTr="00926DD5">
        <w:tc>
          <w:tcPr>
            <w:cnfStyle w:val="001000000000" w:firstRow="0" w:lastRow="0" w:firstColumn="1" w:lastColumn="0" w:oddVBand="0" w:evenVBand="0" w:oddHBand="0" w:evenHBand="0" w:firstRowFirstColumn="0" w:firstRowLastColumn="0" w:lastRowFirstColumn="0" w:lastRowLastColumn="0"/>
            <w:tcW w:w="3686" w:type="dxa"/>
          </w:tcPr>
          <w:p w14:paraId="4443FC96" w14:textId="77777777" w:rsidR="006A2CA2" w:rsidRPr="00EC326F" w:rsidRDefault="006A2CA2" w:rsidP="00BC68FB">
            <w:pPr>
              <w:pStyle w:val="TableTextSmall"/>
              <w:keepNext/>
            </w:pPr>
            <w:r w:rsidRPr="00EC326F">
              <w:t>4 – Carers</w:t>
            </w:r>
          </w:p>
        </w:tc>
        <w:tc>
          <w:tcPr>
            <w:tcW w:w="2977" w:type="dxa"/>
          </w:tcPr>
          <w:p w14:paraId="7F3DDAEF" w14:textId="77777777" w:rsidR="006A2CA2" w:rsidRPr="00EC326F" w:rsidRDefault="006A2CA2" w:rsidP="00BC68FB">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16%</w:t>
            </w:r>
          </w:p>
        </w:tc>
      </w:tr>
      <w:tr w:rsidR="006A2CA2" w:rsidRPr="00EC326F" w14:paraId="138AFF63" w14:textId="77777777" w:rsidTr="00926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0A5A8A2" w14:textId="77777777" w:rsidR="006A2CA2" w:rsidRPr="00EC326F" w:rsidRDefault="006A2CA2" w:rsidP="00926DD5">
            <w:pPr>
              <w:pStyle w:val="TableTextSmall"/>
            </w:pPr>
            <w:r w:rsidRPr="00EC326F">
              <w:t xml:space="preserve">5 – Disability </w:t>
            </w:r>
            <w:r w:rsidR="00926DD5">
              <w:t>S</w:t>
            </w:r>
            <w:r w:rsidRPr="00EC326F">
              <w:t xml:space="preserve">upport </w:t>
            </w:r>
            <w:r w:rsidR="00926DD5">
              <w:t>P</w:t>
            </w:r>
            <w:r w:rsidRPr="00EC326F">
              <w:t>ension recipients</w:t>
            </w:r>
          </w:p>
        </w:tc>
        <w:tc>
          <w:tcPr>
            <w:tcW w:w="2977" w:type="dxa"/>
          </w:tcPr>
          <w:p w14:paraId="1E433668" w14:textId="77777777" w:rsidR="006A2CA2" w:rsidRPr="00EC326F" w:rsidRDefault="006A2CA2" w:rsidP="00782413">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12%</w:t>
            </w:r>
          </w:p>
        </w:tc>
      </w:tr>
    </w:tbl>
    <w:p w14:paraId="56743701" w14:textId="77777777" w:rsidR="006A2CA2" w:rsidRPr="00EC326F" w:rsidRDefault="006A2CA2" w:rsidP="00926DD5">
      <w:pPr>
        <w:pStyle w:val="PwCNormal-keepwithnext"/>
      </w:pPr>
      <w:r w:rsidRPr="00EC326F">
        <w:t xml:space="preserve">These earning indicators were added to the valuation </w:t>
      </w:r>
      <w:r w:rsidR="00926DD5">
        <w:t>and were</w:t>
      </w:r>
      <w:r w:rsidRPr="00EC326F">
        <w:t xml:space="preserve"> modelled under the following broad structure. </w:t>
      </w:r>
    </w:p>
    <w:p w14:paraId="436F0A7D" w14:textId="77777777" w:rsidR="006A2CA2" w:rsidRPr="00EC326F" w:rsidRDefault="006A2CA2" w:rsidP="006A2CA2">
      <w:pPr>
        <w:pStyle w:val="ListBullet"/>
      </w:pPr>
      <w:r w:rsidRPr="00EC326F">
        <w:t>First, variable values for people newly entering one of the relevant classes are assigned. This is for people for whom the previous value is not relevant or unknown.</w:t>
      </w:r>
    </w:p>
    <w:p w14:paraId="15F2312F" w14:textId="77777777" w:rsidR="006A2CA2" w:rsidRPr="00EC326F" w:rsidRDefault="006A2CA2" w:rsidP="00782413">
      <w:pPr>
        <w:pStyle w:val="ListBullet"/>
      </w:pPr>
      <w:r w:rsidRPr="00EC326F">
        <w:t>Second the value for people remaining in the class or transferring between relevant classes is updated. This step includes the use of sub models which consider</w:t>
      </w:r>
      <w:r w:rsidR="00BC68FB" w:rsidRPr="00EC326F">
        <w:t xml:space="preserve"> </w:t>
      </w:r>
      <w:r w:rsidRPr="00EC326F">
        <w:t>whether those people who previously had employment earnings still have earnings</w:t>
      </w:r>
      <w:r w:rsidR="00BC68FB" w:rsidRPr="00EC326F">
        <w:t>;</w:t>
      </w:r>
      <w:r w:rsidRPr="00EC326F">
        <w:t xml:space="preserve"> and whether those people with no earnings still have no earnings.</w:t>
      </w:r>
    </w:p>
    <w:p w14:paraId="07558E67" w14:textId="77777777" w:rsidR="006A2CA2" w:rsidRPr="00EC326F" w:rsidRDefault="006A2CA2" w:rsidP="006A2CA2">
      <w:pPr>
        <w:pStyle w:val="PwCNormal"/>
        <w:numPr>
          <w:ilvl w:val="0"/>
          <w:numId w:val="1"/>
        </w:numPr>
      </w:pPr>
      <w:r w:rsidRPr="00EC326F">
        <w:t xml:space="preserve">Separate models were used to develop the assumptions for each relevant class, with a more sophisticated approach being used for classes 1 and 2 owing to their size, the mobility of people in these classes and the observed proportion with earnings. </w:t>
      </w:r>
    </w:p>
    <w:p w14:paraId="7844ACFA" w14:textId="77777777" w:rsidR="006A2CA2" w:rsidRPr="00EC326F" w:rsidRDefault="006A2CA2" w:rsidP="006A2CA2">
      <w:pPr>
        <w:pStyle w:val="ListBullet"/>
      </w:pPr>
      <w:r w:rsidRPr="00EC326F">
        <w:t xml:space="preserve">For classes 1 and 2 the assumptions were developed using risk based models which reflect a range of person characteristics. </w:t>
      </w:r>
    </w:p>
    <w:p w14:paraId="7DACEF6C" w14:textId="77777777" w:rsidR="00C82DA5" w:rsidRPr="00EC326F" w:rsidRDefault="00C82DA5" w:rsidP="00C82DA5">
      <w:pPr>
        <w:pStyle w:val="ListBullet"/>
      </w:pPr>
      <w:r w:rsidRPr="00EC326F">
        <w:t xml:space="preserve">For each of classes 3, 4 and 5 a foundation approach was used with the assumptions reflecting the persons gender, age, previous class and previous employment earnings indicator (yes, no or unknown) only. </w:t>
      </w:r>
    </w:p>
    <w:p w14:paraId="6E6A0522" w14:textId="61F1474F" w:rsidR="00DC5951" w:rsidRPr="00EC326F" w:rsidRDefault="00DC5951" w:rsidP="00DC5951">
      <w:pPr>
        <w:pStyle w:val="PwCNormal"/>
      </w:pPr>
      <w:r w:rsidRPr="00EC326F">
        <w:t xml:space="preserve">The employment earnings indicator was a strong predictor in a number of class movement models, but in particular for the </w:t>
      </w:r>
      <w:r w:rsidR="00916C7F">
        <w:t>W</w:t>
      </w:r>
      <w:r w:rsidRPr="00EC326F">
        <w:t xml:space="preserve">orking </w:t>
      </w:r>
      <w:r w:rsidR="00916C7F">
        <w:t>A</w:t>
      </w:r>
      <w:r w:rsidRPr="00EC326F">
        <w:t>ge class. People without employment earnings were more likely to remain on income support, while those with earnings were more likely to move to non-income support or off the welfare system altogether.</w:t>
      </w:r>
    </w:p>
    <w:p w14:paraId="7453CFC7" w14:textId="77777777" w:rsidR="006A2CA2" w:rsidRPr="00EC326F" w:rsidRDefault="006A2CA2" w:rsidP="006A2CA2">
      <w:pPr>
        <w:pStyle w:val="Heading4"/>
      </w:pPr>
      <w:r w:rsidRPr="00EC326F">
        <w:t>Payment type</w:t>
      </w:r>
    </w:p>
    <w:p w14:paraId="4E56EAD2" w14:textId="51FCF263" w:rsidR="00C55329" w:rsidRPr="00EC326F" w:rsidRDefault="006A2CA2" w:rsidP="006A2CA2">
      <w:pPr>
        <w:pStyle w:val="PwCNormal"/>
        <w:numPr>
          <w:ilvl w:val="0"/>
          <w:numId w:val="0"/>
        </w:numPr>
      </w:pPr>
      <w:r w:rsidRPr="00EC326F">
        <w:t>Payment type has been added to the valuation model for the 2016 valuation to help understand the different welfare outcomes for people receiving the different main income support payment types.</w:t>
      </w:r>
      <w:r w:rsidR="003D6B51">
        <w:t xml:space="preserve"> </w:t>
      </w:r>
      <w:r w:rsidR="00C55329">
        <w:t>For instance</w:t>
      </w:r>
      <w:r w:rsidR="003D6B51">
        <w:t>,</w:t>
      </w:r>
      <w:r w:rsidR="00916C7F">
        <w:t xml:space="preserve"> for the Parent</w:t>
      </w:r>
      <w:r w:rsidR="00A53A6E">
        <w:t>ing</w:t>
      </w:r>
      <w:r w:rsidR="00C55329">
        <w:t xml:space="preserve"> class we have considered the different outcomes for people who have received </w:t>
      </w:r>
      <w:r w:rsidR="003D6B51">
        <w:t>P</w:t>
      </w:r>
      <w:r w:rsidR="00C55329">
        <w:t xml:space="preserve">arenting </w:t>
      </w:r>
      <w:r w:rsidR="003D6B51">
        <w:t>P</w:t>
      </w:r>
      <w:r w:rsidR="00C55329">
        <w:t xml:space="preserve">ayment </w:t>
      </w:r>
      <w:r w:rsidR="003D6B51">
        <w:t>Partnered versus those who have received Parenting Payment Single.</w:t>
      </w:r>
    </w:p>
    <w:p w14:paraId="777B58EC" w14:textId="77777777" w:rsidR="006A2CA2" w:rsidRPr="00EC326F" w:rsidRDefault="006A2CA2" w:rsidP="006A2CA2">
      <w:pPr>
        <w:pStyle w:val="PwCNormal"/>
        <w:numPr>
          <w:ilvl w:val="0"/>
          <w:numId w:val="0"/>
        </w:numPr>
      </w:pPr>
      <w:r w:rsidRPr="00EC326F">
        <w:t xml:space="preserve">This variable has been modelled for the income support classes 1, 2 and 3 where there are a number of income support payment types which can result in people being assigned to that class. This variable is not </w:t>
      </w:r>
      <w:r w:rsidR="005F7C89" w:rsidRPr="00EC326F">
        <w:t xml:space="preserve">modelled for </w:t>
      </w:r>
      <w:r w:rsidRPr="00EC326F">
        <w:t xml:space="preserve">classes 4 and 5 </w:t>
      </w:r>
      <w:r w:rsidR="005F7C89" w:rsidRPr="00EC326F">
        <w:t xml:space="preserve">since </w:t>
      </w:r>
      <w:r w:rsidRPr="00EC326F">
        <w:t>there is only one payment type which assigns people to these classes. We have also not modelled payment type for class 6 since the vast majority of people in this class are age pension recipients.</w:t>
      </w:r>
    </w:p>
    <w:p w14:paraId="520F3F62" w14:textId="77777777" w:rsidR="006A2CA2" w:rsidRPr="00EC326F" w:rsidRDefault="006A2CA2" w:rsidP="006A2CA2">
      <w:pPr>
        <w:pStyle w:val="PwCNormal"/>
        <w:numPr>
          <w:ilvl w:val="0"/>
          <w:numId w:val="0"/>
        </w:numPr>
      </w:pPr>
      <w:r w:rsidRPr="00EC326F">
        <w:t>The payment type model structures are different for each class and reflect the main drivers of people receiving each of the possible payment types:</w:t>
      </w:r>
    </w:p>
    <w:p w14:paraId="2DFF70F0" w14:textId="6FEB9442" w:rsidR="00C82DA5" w:rsidRPr="00EC326F" w:rsidRDefault="00C82DA5" w:rsidP="00C82DA5">
      <w:pPr>
        <w:pStyle w:val="ListBullet"/>
      </w:pPr>
      <w:r w:rsidRPr="00EC326F">
        <w:t xml:space="preserve">For class 1: an individual can receive either Abstudy, Austudy or Youth Allowance. There are age based eligibility criteria affecting which payments individuals are eligible for, hence a person’s age and </w:t>
      </w:r>
      <w:r w:rsidR="00B36672">
        <w:t>I</w:t>
      </w:r>
      <w:r w:rsidRPr="00EC326F">
        <w:t>ndigenous status were key drivers of which payment type they received. The model structure used was:</w:t>
      </w:r>
    </w:p>
    <w:p w14:paraId="3B9C74F7" w14:textId="0CB4C9B6" w:rsidR="00C82DA5" w:rsidRPr="00EC326F" w:rsidRDefault="00C82DA5" w:rsidP="00C82DA5">
      <w:pPr>
        <w:pStyle w:val="ListBullet2"/>
      </w:pPr>
      <w:r w:rsidRPr="00EC326F">
        <w:t xml:space="preserve">For people newly entering this class, separate models were created for those identifying as </w:t>
      </w:r>
      <w:r w:rsidR="00B36672">
        <w:t>I</w:t>
      </w:r>
      <w:r w:rsidRPr="00EC326F">
        <w:t xml:space="preserve">ndigenous and those not identifying as </w:t>
      </w:r>
      <w:r w:rsidR="00B36672">
        <w:t>I</w:t>
      </w:r>
      <w:r w:rsidRPr="00EC326F">
        <w:t xml:space="preserve">ndigenous. Each model had separate assumptions reflecting the persons age and gender. </w:t>
      </w:r>
    </w:p>
    <w:p w14:paraId="7C3FF008" w14:textId="50D08092" w:rsidR="00C82DA5" w:rsidRPr="00EC326F" w:rsidRDefault="00C82DA5" w:rsidP="00C82DA5">
      <w:pPr>
        <w:pStyle w:val="ListBullet2"/>
      </w:pPr>
      <w:r w:rsidRPr="00EC326F">
        <w:lastRenderedPageBreak/>
        <w:t xml:space="preserve">For people continuing in the class, for each possible previous payment type, separate models were created for those identifying as </w:t>
      </w:r>
      <w:r w:rsidR="00B36672">
        <w:t>I</w:t>
      </w:r>
      <w:r w:rsidRPr="00EC326F">
        <w:t xml:space="preserve">ndigenous and those not identifying as </w:t>
      </w:r>
      <w:r w:rsidR="00B36672">
        <w:t>I</w:t>
      </w:r>
      <w:r w:rsidRPr="00EC326F">
        <w:t xml:space="preserve">ndigenous. Each model had separate assumptions reflecting the persons age and gender. </w:t>
      </w:r>
    </w:p>
    <w:p w14:paraId="3BE86DF9" w14:textId="77777777" w:rsidR="006A2CA2" w:rsidRPr="00EC326F" w:rsidRDefault="006A2CA2" w:rsidP="006A2CA2">
      <w:pPr>
        <w:pStyle w:val="ListBullet"/>
      </w:pPr>
      <w:r w:rsidRPr="00EC326F">
        <w:t xml:space="preserve">For class 2: there are a greater number of different payment types which a person can receive with a person’s age being the main driver of which payment type they received. This is illustrated in the chart below which shows the proportions of people receiving each payment type at different ages. </w:t>
      </w:r>
    </w:p>
    <w:p w14:paraId="5ECFC817" w14:textId="77777777" w:rsidR="006A2CA2" w:rsidRPr="002A0A1A" w:rsidRDefault="006A2CA2" w:rsidP="00037542">
      <w:pPr>
        <w:pStyle w:val="Caption"/>
        <w:ind w:left="284"/>
      </w:pPr>
      <w:r w:rsidRPr="00EC326F">
        <w:t xml:space="preserve">Figure </w:t>
      </w:r>
      <w:fldSimple w:instr=" SEQ Figure \* ARABIC ">
        <w:r w:rsidR="007A42DF">
          <w:rPr>
            <w:noProof/>
          </w:rPr>
          <w:t>13</w:t>
        </w:r>
      </w:fldSimple>
      <w:r w:rsidRPr="00EC326F">
        <w:t xml:space="preserve">: </w:t>
      </w:r>
      <w:r w:rsidR="00DE1E5E" w:rsidRPr="00EC326F">
        <w:t xml:space="preserve">Proportion </w:t>
      </w:r>
      <w:r w:rsidRPr="00EC326F">
        <w:t>of working age payment recipients receiving different payment types by age</w:t>
      </w:r>
    </w:p>
    <w:p w14:paraId="643C0401" w14:textId="77777777" w:rsidR="00665C4E" w:rsidRDefault="00665C4E" w:rsidP="00665C4E">
      <w:pPr>
        <w:pStyle w:val="ListContinue"/>
        <w:rPr>
          <w:lang w:eastAsia="en-AU"/>
        </w:rPr>
      </w:pPr>
      <w:r w:rsidRPr="00665C4E">
        <w:rPr>
          <w:noProof/>
          <w:lang w:eastAsia="en-AU"/>
        </w:rPr>
        <w:drawing>
          <wp:inline distT="0" distB="0" distL="0" distR="0" wp14:anchorId="5108D332" wp14:editId="68DBABEA">
            <wp:extent cx="4601824" cy="2160000"/>
            <wp:effectExtent l="0" t="0" r="8890" b="0"/>
            <wp:docPr id="3146" name="Picture 3146" descr="This figure is a vertical bar chart. The chart shows the proportion of working age payment recipients receiving different payment types by age. The vertical axis shows the proportion from 0% to 100%. The horizontal axis shows age by 5 year age bands from 0 to 90. The total for each age band is 100%. The bar for each graph is split by payment types: Partner Allowance, Widow Allowance, Newstart, Sickness Allowance, Youth Allowance (Other) and Special Benefit.&#10;&#10;The chart shows that all class 2 clients under the age of 15 receive the Special Benefit. The vast majority of those aged 15-22 receive Youth Allowance (Other). Most clients aged 23-60 receive Newstart, with a small minority receiving the Sickness Allowance or Youth Allowance (Other). At age 60, around 20% of class 2 clients receive the Widow Allowance or Partner Allowance, and by age 90 this proportion has grown to nearly 60%. The majority of remaining clients aged 60+ receive the Special Benefit, with a small proportion receiving Newstart. &#10;&#10;The key features of the chart are discussed in the accompanying text within the report.&#10;" title=" Proportion of working age payment recipients receiving different payment types by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01824" cy="2160000"/>
                    </a:xfrm>
                    <a:prstGeom prst="rect">
                      <a:avLst/>
                    </a:prstGeom>
                    <a:noFill/>
                    <a:ln>
                      <a:noFill/>
                    </a:ln>
                  </pic:spPr>
                </pic:pic>
              </a:graphicData>
            </a:graphic>
          </wp:inline>
        </w:drawing>
      </w:r>
    </w:p>
    <w:p w14:paraId="6D72788C" w14:textId="77777777" w:rsidR="00665C4E" w:rsidRPr="00EC326F" w:rsidRDefault="00665C4E" w:rsidP="00665C4E">
      <w:pPr>
        <w:pStyle w:val="ListContinue"/>
        <w:rPr>
          <w:lang w:eastAsia="en-AU"/>
        </w:rPr>
      </w:pPr>
    </w:p>
    <w:p w14:paraId="5B87790F" w14:textId="77777777" w:rsidR="006A2CA2" w:rsidRPr="00EC326F" w:rsidRDefault="006A2CA2" w:rsidP="00665C4E">
      <w:pPr>
        <w:pStyle w:val="ListContinue"/>
      </w:pPr>
      <w:r w:rsidRPr="00EC326F">
        <w:t>As can be seen</w:t>
      </w:r>
      <w:r w:rsidR="00795805">
        <w:t>,</w:t>
      </w:r>
      <w:r w:rsidRPr="00EC326F">
        <w:t xml:space="preserve"> for most ages there is a main payment type which dominates and then a smaller proportion of people receive other payments such as sickness allowance. The model structure focussed on differentiating the people receiving these other payments. The adopted structure is as follows:</w:t>
      </w:r>
    </w:p>
    <w:p w14:paraId="773C2B5B" w14:textId="77777777" w:rsidR="006A2CA2" w:rsidRPr="00EC326F" w:rsidRDefault="006A2CA2" w:rsidP="006A2CA2">
      <w:pPr>
        <w:pStyle w:val="ListBullet2"/>
      </w:pPr>
      <w:r w:rsidRPr="00EC326F">
        <w:t xml:space="preserve">For people newly entering this class, a model with assumptions reflecting the persons age and gender. </w:t>
      </w:r>
    </w:p>
    <w:p w14:paraId="5A584C60" w14:textId="77777777" w:rsidR="006A2CA2" w:rsidRPr="00EC326F" w:rsidRDefault="006A2CA2" w:rsidP="006A2CA2">
      <w:pPr>
        <w:pStyle w:val="ListBullet2"/>
      </w:pPr>
      <w:r w:rsidRPr="00EC326F">
        <w:t xml:space="preserve">For people continuing in the class, sub models by payment type group which consider whether the person retains the same payment type or moves to a new payment type with the assumptions </w:t>
      </w:r>
      <w:r w:rsidR="00484EF4" w:rsidRPr="00EC326F">
        <w:t xml:space="preserve">mainly </w:t>
      </w:r>
      <w:r w:rsidRPr="00EC326F">
        <w:t>reflecting the person</w:t>
      </w:r>
      <w:r w:rsidR="00DE1E5E" w:rsidRPr="00EC326F">
        <w:t>'</w:t>
      </w:r>
      <w:r w:rsidRPr="00EC326F">
        <w:t>s age, gender and previous payment type.</w:t>
      </w:r>
    </w:p>
    <w:p w14:paraId="0876E4B5" w14:textId="77777777" w:rsidR="006A2CA2" w:rsidRPr="00EC326F" w:rsidRDefault="006A2CA2" w:rsidP="006A2CA2">
      <w:pPr>
        <w:pStyle w:val="ListBullet"/>
      </w:pPr>
      <w:r w:rsidRPr="00EC326F">
        <w:t>For class 3: unsurprisingly, a person’s partner status was the key driver of which payment type they received. Hence the model structure used was:</w:t>
      </w:r>
    </w:p>
    <w:p w14:paraId="5430A176" w14:textId="77777777" w:rsidR="006A2CA2" w:rsidRPr="00EC326F" w:rsidRDefault="006A2CA2" w:rsidP="006A2CA2">
      <w:pPr>
        <w:pStyle w:val="ListBullet2"/>
      </w:pPr>
      <w:r w:rsidRPr="00EC326F">
        <w:t xml:space="preserve">For people newly entering this class, sub models for single and partnered people with the assumptions reflecting the persons age and gender. </w:t>
      </w:r>
    </w:p>
    <w:p w14:paraId="68AEFE10" w14:textId="77777777" w:rsidR="006A2CA2" w:rsidRPr="00EC326F" w:rsidRDefault="006A2CA2" w:rsidP="006A2CA2">
      <w:pPr>
        <w:pStyle w:val="ListBullet2"/>
      </w:pPr>
      <w:r w:rsidRPr="00EC326F">
        <w:t>For people continuing in the class, sub models for single and partnered people with the assumptions reflecting the person</w:t>
      </w:r>
      <w:r w:rsidR="00DE1E5E" w:rsidRPr="00EC326F">
        <w:t>’</w:t>
      </w:r>
      <w:r w:rsidRPr="00EC326F">
        <w:t>s age, gender and previous payment type.</w:t>
      </w:r>
    </w:p>
    <w:p w14:paraId="1C558F9F" w14:textId="69E149A3" w:rsidR="005F7C89" w:rsidRPr="000747FE" w:rsidRDefault="00DC5951" w:rsidP="00DC5951">
      <w:pPr>
        <w:pStyle w:val="PwCNormal"/>
      </w:pPr>
      <w:r w:rsidRPr="00EC326F">
        <w:t xml:space="preserve">The payment type variable was most useful in class 2, where we found that people receiving Sickness Allowance had a higher likelihood of exiting working age payments (moving either to disability support or off income support). In the other classes, payment type was correlated with existing modelling variables such as age, </w:t>
      </w:r>
      <w:r w:rsidR="00B36672">
        <w:t>I</w:t>
      </w:r>
      <w:r w:rsidRPr="00EC326F">
        <w:t>ndigenous status and partner status. Nevertheless, adding these variables ensure that any payment type information reported is fully reflected in the class movement models.</w:t>
      </w:r>
    </w:p>
    <w:p w14:paraId="19737824" w14:textId="77777777" w:rsidR="008F6978" w:rsidRPr="00EC326F" w:rsidRDefault="008F6978" w:rsidP="008F6978">
      <w:pPr>
        <w:pStyle w:val="Heading3"/>
      </w:pPr>
      <w:bookmarkStart w:id="195" w:name="_Toc493844240"/>
      <w:r w:rsidRPr="00EC326F">
        <w:t>Payment category utilisation assumptions</w:t>
      </w:r>
      <w:bookmarkEnd w:id="195"/>
    </w:p>
    <w:p w14:paraId="7DD4CB73" w14:textId="77777777" w:rsidR="00270315" w:rsidRPr="00EC326F" w:rsidRDefault="00270315" w:rsidP="00270315">
      <w:pPr>
        <w:pStyle w:val="PwCNormal"/>
        <w:keepLines/>
        <w:numPr>
          <w:ilvl w:val="0"/>
          <w:numId w:val="1"/>
        </w:numPr>
      </w:pPr>
      <w:r w:rsidRPr="00EC326F">
        <w:t xml:space="preserve">We modelled the payments to each person by considering </w:t>
      </w:r>
      <w:r w:rsidR="003A51E6" w:rsidRPr="00EC326F">
        <w:t xml:space="preserve">for </w:t>
      </w:r>
      <w:r w:rsidRPr="00EC326F">
        <w:t>which of the 17 payment categories they receive any payment (the payment utilisation assumptions) and then the amount received in that category (the payment assumptions).</w:t>
      </w:r>
    </w:p>
    <w:p w14:paraId="678DFAD4" w14:textId="77777777" w:rsidR="008F6978" w:rsidRPr="00EC326F" w:rsidRDefault="008F6978" w:rsidP="008F6978">
      <w:pPr>
        <w:pStyle w:val="Heading4"/>
      </w:pPr>
      <w:r w:rsidRPr="00EC326F">
        <w:t>Approach</w:t>
      </w:r>
    </w:p>
    <w:p w14:paraId="4CDC8130" w14:textId="77777777" w:rsidR="00270315" w:rsidRPr="00EC326F" w:rsidRDefault="00270315" w:rsidP="00270315">
      <w:pPr>
        <w:pStyle w:val="PwCNormal"/>
        <w:numPr>
          <w:ilvl w:val="0"/>
          <w:numId w:val="1"/>
        </w:numPr>
      </w:pPr>
      <w:r w:rsidRPr="00EC326F">
        <w:t xml:space="preserve">There are a large number of payment utilisation assumptions, reflecting each possible combination of active classes and payment categories. In practice this is simplified </w:t>
      </w:r>
      <w:r w:rsidR="003A51E6" w:rsidRPr="00EC326F">
        <w:t xml:space="preserve">somewhat </w:t>
      </w:r>
      <w:r w:rsidRPr="00EC326F">
        <w:t>as some combinations are invalid (such as income support payments to non-income support classes) or everyone in the class receives a payment in certain categories.</w:t>
      </w:r>
    </w:p>
    <w:p w14:paraId="4254F70A" w14:textId="77777777" w:rsidR="00270315" w:rsidRPr="00EC326F" w:rsidRDefault="00270315" w:rsidP="00665C4E">
      <w:pPr>
        <w:pStyle w:val="PwCNormal-keepwithnext"/>
      </w:pPr>
      <w:r w:rsidRPr="00EC326F">
        <w:lastRenderedPageBreak/>
        <w:t xml:space="preserve">We have </w:t>
      </w:r>
      <w:r w:rsidR="005F7C89" w:rsidRPr="00EC326F">
        <w:t>retained the</w:t>
      </w:r>
      <w:r w:rsidRPr="00EC326F">
        <w:t xml:space="preserve"> staged approach</w:t>
      </w:r>
      <w:r w:rsidR="005F7C89" w:rsidRPr="00EC326F">
        <w:t xml:space="preserve"> used for the baseline valuation</w:t>
      </w:r>
      <w:r w:rsidRPr="00EC326F">
        <w:t xml:space="preserve"> in setting these assumptions:</w:t>
      </w:r>
    </w:p>
    <w:p w14:paraId="509603FD" w14:textId="77777777" w:rsidR="00270315" w:rsidRPr="00EC326F" w:rsidRDefault="00270315" w:rsidP="00270315">
      <w:pPr>
        <w:pStyle w:val="ListBullet"/>
      </w:pPr>
      <w:r w:rsidRPr="00EC326F">
        <w:t xml:space="preserve">Firstly to set initial </w:t>
      </w:r>
      <w:r w:rsidRPr="00EC326F">
        <w:rPr>
          <w:b/>
        </w:rPr>
        <w:t>foundation assumptions</w:t>
      </w:r>
      <w:r w:rsidRPr="00EC326F">
        <w:t xml:space="preserve"> for each payment category which reflect each person’s class, age and gender. For income support classes these also reference the person’s previous class.</w:t>
      </w:r>
    </w:p>
    <w:p w14:paraId="2623D415" w14:textId="77777777" w:rsidR="00270315" w:rsidRPr="00EC326F" w:rsidRDefault="00270315" w:rsidP="00270315">
      <w:pPr>
        <w:pStyle w:val="Indent1"/>
        <w:numPr>
          <w:ilvl w:val="1"/>
          <w:numId w:val="1"/>
        </w:numPr>
      </w:pPr>
      <w:r w:rsidRPr="00EC326F">
        <w:t xml:space="preserve">These assumptions allow us to see the overall level of utilisation from each class, and the extent of any variation from year to year. These assumptions have been discussed with the Department and the reasons behind any </w:t>
      </w:r>
      <w:r w:rsidR="003A51E6" w:rsidRPr="00EC326F">
        <w:t xml:space="preserve">substantial </w:t>
      </w:r>
      <w:r w:rsidRPr="00EC326F">
        <w:t>variations over time explored. We used this information to select an appropriate number of reference years for setting the assumptions, so that they reflect the expected future experience (given current policy).</w:t>
      </w:r>
    </w:p>
    <w:p w14:paraId="478BF4EF" w14:textId="2269B459" w:rsidR="00270315" w:rsidRPr="00EC326F" w:rsidRDefault="00270315" w:rsidP="00270315">
      <w:pPr>
        <w:pStyle w:val="ListBullet"/>
      </w:pPr>
      <w:r w:rsidRPr="00EC326F">
        <w:t xml:space="preserve">For the income support payment categories we noted that where people utilised secondary income support payments (for example a person in the </w:t>
      </w:r>
      <w:r w:rsidR="00916C7F">
        <w:t>W</w:t>
      </w:r>
      <w:r w:rsidRPr="00EC326F">
        <w:t xml:space="preserve">orking </w:t>
      </w:r>
      <w:r w:rsidR="00916C7F">
        <w:t>A</w:t>
      </w:r>
      <w:r w:rsidRPr="00EC326F">
        <w:t>ge class receiving some studying payments in addition to their working age payments) this was usually because they changed payment types and class during the year. The foundation assumptions for these payment categories therefore reference both the current and previous class in determining the utilisation.</w:t>
      </w:r>
    </w:p>
    <w:p w14:paraId="5F403D5A" w14:textId="77777777" w:rsidR="009F08BD" w:rsidRPr="00EC326F" w:rsidRDefault="009F08BD" w:rsidP="009F08BD">
      <w:pPr>
        <w:pStyle w:val="ListBullet"/>
      </w:pPr>
      <w:r w:rsidRPr="00EC326F">
        <w:t xml:space="preserve">The second stage is to set </w:t>
      </w:r>
      <w:r w:rsidRPr="00EC326F">
        <w:rPr>
          <w:b/>
        </w:rPr>
        <w:t>risk based assumptions</w:t>
      </w:r>
      <w:r w:rsidRPr="00EC326F">
        <w:t xml:space="preserve"> for some of the assumptions. These reference additional characteristics that influence whether people from within the class utilise each payment category and hence provide assumptions which are more tailored to each individual.</w:t>
      </w:r>
    </w:p>
    <w:p w14:paraId="3E7E9F4E" w14:textId="77777777" w:rsidR="00270315" w:rsidRPr="00EC326F" w:rsidRDefault="00270315" w:rsidP="00270315">
      <w:pPr>
        <w:pStyle w:val="Indent1"/>
        <w:numPr>
          <w:ilvl w:val="1"/>
          <w:numId w:val="1"/>
        </w:numPr>
      </w:pPr>
      <w:r w:rsidRPr="00EC326F">
        <w:t>These risk based assumptions are established using statistical techniques. These are used to explore the relative effect of different characteristics on payment utilisation and to develop multi-factor models which reflect each person’s mix of characteristics. The risk based assumptions are set with reference to the experience over the same time periods as used for the foundation assumptions.</w:t>
      </w:r>
    </w:p>
    <w:p w14:paraId="1AB2459C" w14:textId="77777777" w:rsidR="004B605A" w:rsidRPr="00EC326F" w:rsidRDefault="00270315" w:rsidP="00270315">
      <w:pPr>
        <w:pStyle w:val="PwCNormal"/>
        <w:numPr>
          <w:ilvl w:val="0"/>
          <w:numId w:val="1"/>
        </w:numPr>
      </w:pPr>
      <w:r w:rsidRPr="00EC326F">
        <w:t>In developing the risk based utilisation assumptions we considered a number of characteristics which drive people’s likelihood of accessing each payment category. For some payment categories we referenced the specific factors which influence eligibility for payments (such as numbers of children within specified age ranges for FTB); for others we have reflected the extent to which people with different characteristics have shown a differing propensity to access each payment category. In this way the risk assumptions are more tailored to the individual than was the case for the foundation assumptions.</w:t>
      </w:r>
    </w:p>
    <w:p w14:paraId="44253615" w14:textId="77777777" w:rsidR="004B605A" w:rsidRPr="00EC326F" w:rsidRDefault="004B605A" w:rsidP="004B605A">
      <w:pPr>
        <w:pStyle w:val="Minorheading"/>
      </w:pPr>
      <w:r w:rsidRPr="00EC326F">
        <w:t>Refinement of utilisation modelling for payment categories H, I and J</w:t>
      </w:r>
    </w:p>
    <w:p w14:paraId="6298973F" w14:textId="77777777" w:rsidR="009F08BD" w:rsidRPr="00EC326F" w:rsidRDefault="009F08BD" w:rsidP="009F08BD">
      <w:pPr>
        <w:pStyle w:val="PwCNormal"/>
        <w:numPr>
          <w:ilvl w:val="0"/>
          <w:numId w:val="0"/>
        </w:numPr>
      </w:pPr>
      <w:r w:rsidRPr="00EC326F">
        <w:t>At this valuation we have refined the foundation assumption setting for payment categories H, I and J. Where previously, the utilisation of these three categories were treated independently, the assumption selection now recognises that the utilisation of these three payment categories is actually interdependent. For example, of the Class 3 females aged between 30 and 50 who utilise payment category H, over half also utilise payment category I. Foundation assumptions have been set separately for each of the seven unique combinations of utilisation of H, I and J.</w:t>
      </w:r>
    </w:p>
    <w:p w14:paraId="12EF4101" w14:textId="77777777" w:rsidR="009F08BD" w:rsidRPr="000747FE" w:rsidRDefault="009F08BD" w:rsidP="009F08BD">
      <w:pPr>
        <w:pStyle w:val="PwCNormal"/>
        <w:numPr>
          <w:ilvl w:val="0"/>
          <w:numId w:val="1"/>
        </w:numPr>
      </w:pPr>
      <w:r w:rsidRPr="00EC326F">
        <w:t>At the previous valuation, risk based assumptions were adopted for the utilisation of payment category H. At this valuation, we have extended the risk based models to apply for the utilisation of the seven combinations of payment categories H, I and J. Similar to the foundation assumptions, the risk based assumptions recognise the interdependence between the utilisation of the three payment categories.</w:t>
      </w:r>
      <w:r w:rsidRPr="00EC326F" w:rsidDel="004E0814">
        <w:t xml:space="preserve"> </w:t>
      </w:r>
      <w:r w:rsidRPr="00EC326F">
        <w:t>We focussed on those welfare classes with the highest utilisation of these categories, namely classes 2, 3, 7 and 9.</w:t>
      </w:r>
    </w:p>
    <w:p w14:paraId="7F9D732A" w14:textId="77777777" w:rsidR="004B605A" w:rsidRPr="00EC326F" w:rsidRDefault="004B605A" w:rsidP="005F7C89">
      <w:pPr>
        <w:pStyle w:val="Heading4"/>
      </w:pPr>
      <w:r w:rsidRPr="00EC326F">
        <w:t>Selection of assumption approach</w:t>
      </w:r>
    </w:p>
    <w:p w14:paraId="56580E1D" w14:textId="77777777" w:rsidR="00270315" w:rsidRPr="00EC326F" w:rsidRDefault="00270315" w:rsidP="00270315">
      <w:pPr>
        <w:pStyle w:val="PwCNormal"/>
        <w:numPr>
          <w:ilvl w:val="0"/>
          <w:numId w:val="1"/>
        </w:numPr>
      </w:pPr>
      <w:r w:rsidRPr="00EC326F">
        <w:t>Risk based assumptions are not required where the foundation utilisation assumption is nil or 100%. Further, where the utilisation is close to either of these values the value of developing a risk based model is questionable and as such we have generally chosen to retain the foundation assumptions in these cases. This is the case for many of the supplements.</w:t>
      </w:r>
    </w:p>
    <w:p w14:paraId="0B22521E" w14:textId="77777777" w:rsidR="008F6978" w:rsidRPr="00EC326F" w:rsidRDefault="008F6978" w:rsidP="005F7C89">
      <w:pPr>
        <w:pStyle w:val="Minorheading"/>
      </w:pPr>
      <w:r w:rsidRPr="00EC326F">
        <w:lastRenderedPageBreak/>
        <w:t>Example</w:t>
      </w:r>
    </w:p>
    <w:p w14:paraId="3EB50BBC" w14:textId="02D2E1F0" w:rsidR="00270315" w:rsidRPr="00EC326F" w:rsidRDefault="00270315" w:rsidP="00795805">
      <w:pPr>
        <w:pStyle w:val="PwCNormal-keepwithnext"/>
      </w:pPr>
      <w:r w:rsidRPr="00EC326F">
        <w:t>We continue with our example of the Parent</w:t>
      </w:r>
      <w:r w:rsidR="00A53A6E">
        <w:t>ing</w:t>
      </w:r>
      <w:r w:rsidRPr="00EC326F">
        <w:t xml:space="preserve"> class. The chart below show</w:t>
      </w:r>
      <w:r w:rsidR="00914F41" w:rsidRPr="00EC326F">
        <w:t>s</w:t>
      </w:r>
      <w:r w:rsidRPr="00EC326F">
        <w:t xml:space="preserve"> the foundation payment utilisation assumptions for selected payment categories for </w:t>
      </w:r>
      <w:r w:rsidR="00397976" w:rsidRPr="00EC326F">
        <w:rPr>
          <w:snapToGrid/>
          <w:lang w:eastAsia="en-AU"/>
        </w:rPr>
        <w:t xml:space="preserve">women </w:t>
      </w:r>
      <w:r w:rsidRPr="00EC326F">
        <w:t>in this class by age.</w:t>
      </w:r>
    </w:p>
    <w:p w14:paraId="42900609" w14:textId="77777777" w:rsidR="008F6978" w:rsidRDefault="008F6978" w:rsidP="008F6978">
      <w:pPr>
        <w:pStyle w:val="Caption"/>
      </w:pPr>
      <w:r w:rsidRPr="00EC326F">
        <w:t xml:space="preserve">Figure </w:t>
      </w:r>
      <w:fldSimple w:instr=" SEQ Figure \* ARABIC ">
        <w:r w:rsidR="007A42DF">
          <w:rPr>
            <w:noProof/>
          </w:rPr>
          <w:t>14</w:t>
        </w:r>
      </w:fldSimple>
      <w:r w:rsidRPr="00EC326F">
        <w:t>: Illustration of utilisation of selected payment categories for class 3 Parents (females)</w:t>
      </w:r>
    </w:p>
    <w:p w14:paraId="092C4EEC" w14:textId="50763BD3" w:rsidR="000E4B48" w:rsidRDefault="000E4B48" w:rsidP="000E4B48">
      <w:pPr>
        <w:rPr>
          <w:noProof/>
          <w:snapToGrid/>
          <w:lang w:eastAsia="en-AU"/>
        </w:rPr>
      </w:pPr>
      <w:r w:rsidRPr="00945A3A">
        <w:rPr>
          <w:b/>
          <w:i/>
          <w:noProof/>
          <w:lang w:eastAsia="en-AU"/>
        </w:rPr>
        <w:drawing>
          <wp:inline distT="0" distB="0" distL="0" distR="0" wp14:anchorId="1BA4C523" wp14:editId="6222B650">
            <wp:extent cx="3562173" cy="1822450"/>
            <wp:effectExtent l="0" t="0" r="635" b="6350"/>
            <wp:docPr id="404" name="Picture 404" descr="This figure is a line chart. This chart shows the foundation payment utilisation assumptions for selected payment categories for females in the Parents class, by age. The vertical axis shows the proportion of people utilizing the payment category, ranging from 0% to 100%. The horizontal axis shows age, ranging from 15 to 65. &#10;&#10;The chart contains a line for each of the following six payment categories: IS working age for individuals in the Parent class in the previous year, IS working age for individuals in the working age class in the previous year, IS parents, Other – FTB, Other – Family, Other –Parents, and R – Rent assistance.&#10;&#10;The chart shows 100% of this group utilise IS Parent payment category across ages 16 to 65. The proportion of the population utilising IS working age payments is very low for individuals in the Parent class in the previous year. The utilisation of Other –Parents payments decreases from around 80% for 15 year olds to less than 3% for people aged 45+. The proportion of individuals utilizing Other – FTB payments ranges between 70% to near 100% depending on age. The proportion of people utilising Other – Family fluctuates between 10% and 55% depending on age. &#10;&#10;The key features of the chart are discussed in the accompanying text within the report.&#10;" title=" Illustration of utilisation of selected payment categories for class 3 Parents (fem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07" t="1926" r="1007" b="1926"/>
                    <a:stretch/>
                  </pic:blipFill>
                  <pic:spPr bwMode="auto">
                    <a:xfrm>
                      <a:off x="0" y="0"/>
                      <a:ext cx="3566126" cy="1824472"/>
                    </a:xfrm>
                    <a:prstGeom prst="rect">
                      <a:avLst/>
                    </a:prstGeom>
                    <a:noFill/>
                    <a:ln>
                      <a:noFill/>
                    </a:ln>
                    <a:extLst>
                      <a:ext uri="{53640926-AAD7-44D8-BBD7-CCE9431645EC}">
                        <a14:shadowObscured xmlns:a14="http://schemas.microsoft.com/office/drawing/2010/main"/>
                      </a:ext>
                    </a:extLst>
                  </pic:spPr>
                </pic:pic>
              </a:graphicData>
            </a:graphic>
          </wp:inline>
        </w:drawing>
      </w:r>
      <w:r w:rsidRPr="00945A3A">
        <w:rPr>
          <w:noProof/>
          <w:snapToGrid/>
          <w:lang w:eastAsia="en-AU"/>
        </w:rPr>
        <w:drawing>
          <wp:inline distT="0" distB="0" distL="0" distR="0" wp14:anchorId="3E125E7A" wp14:editId="495A1E30">
            <wp:extent cx="1679412" cy="1845945"/>
            <wp:effectExtent l="0" t="0" r="0" b="1905"/>
            <wp:docPr id="405" name="Picture 16" descr="Payment category key: IS working age for individuals in the Parent class in the previous year, IS working age for individuals in the working age class in the previous year, IS parents, Other – FTB, Other – Family, Other –Parents, and R – Rent assistance." title="Legend for 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3857" t="10723" r="1536" b="6371"/>
                    <a:stretch/>
                  </pic:blipFill>
                  <pic:spPr bwMode="auto">
                    <a:xfrm>
                      <a:off x="0" y="0"/>
                      <a:ext cx="1682048" cy="1848842"/>
                    </a:xfrm>
                    <a:prstGeom prst="rect">
                      <a:avLst/>
                    </a:prstGeom>
                    <a:noFill/>
                    <a:ln>
                      <a:noFill/>
                    </a:ln>
                    <a:extLst>
                      <a:ext uri="{53640926-AAD7-44D8-BBD7-CCE9431645EC}">
                        <a14:shadowObscured xmlns:a14="http://schemas.microsoft.com/office/drawing/2010/main"/>
                      </a:ext>
                    </a:extLst>
                  </pic:spPr>
                </pic:pic>
              </a:graphicData>
            </a:graphic>
          </wp:inline>
        </w:drawing>
      </w:r>
    </w:p>
    <w:p w14:paraId="7421799E" w14:textId="77777777" w:rsidR="006B08BA" w:rsidRDefault="006B08BA" w:rsidP="00914F41">
      <w:pPr>
        <w:pStyle w:val="PwCNormal-keepwithnext"/>
      </w:pPr>
    </w:p>
    <w:p w14:paraId="3763ADB3" w14:textId="77777777" w:rsidR="00914F41" w:rsidRPr="00EC326F" w:rsidRDefault="00914F41" w:rsidP="00914F41">
      <w:pPr>
        <w:pStyle w:val="PwCNormal-keepwithnext"/>
      </w:pPr>
      <w:r w:rsidRPr="00EC326F">
        <w:t>We can see the key features of the experience:</w:t>
      </w:r>
    </w:p>
    <w:p w14:paraId="060B8D4A" w14:textId="6DF7BADC" w:rsidR="00914F41" w:rsidRPr="00EC326F" w:rsidRDefault="00914F41" w:rsidP="00914F41">
      <w:pPr>
        <w:pStyle w:val="ListBullet"/>
      </w:pPr>
      <w:r w:rsidRPr="00EC326F">
        <w:t>Everyone utilises payment category C (Parent</w:t>
      </w:r>
      <w:r w:rsidR="00AF3912">
        <w:t>ing</w:t>
      </w:r>
      <w:r w:rsidRPr="00EC326F">
        <w:t xml:space="preserve"> payment)</w:t>
      </w:r>
    </w:p>
    <w:p w14:paraId="0437FA85" w14:textId="77777777" w:rsidR="00914F41" w:rsidRPr="00EC326F" w:rsidRDefault="00914F41" w:rsidP="00914F41">
      <w:pPr>
        <w:pStyle w:val="ListBullet"/>
      </w:pPr>
      <w:r w:rsidRPr="00EC326F">
        <w:t>The utilisation of other income support payments such as B – working age payments is nil or low if people have stayed in the Parents class from year to year, but high if people have moved from this class</w:t>
      </w:r>
    </w:p>
    <w:p w14:paraId="7292815A" w14:textId="77777777" w:rsidR="00D33673" w:rsidRPr="00EC326F" w:rsidRDefault="00D33673" w:rsidP="00914F41">
      <w:pPr>
        <w:pStyle w:val="ListBullet"/>
      </w:pPr>
      <w:r w:rsidRPr="00EC326F">
        <w:t>A majority of people also access FTB and about half access other family payments (primarily child care) with some variation by age</w:t>
      </w:r>
    </w:p>
    <w:p w14:paraId="79794D02" w14:textId="77777777" w:rsidR="00EC35F7" w:rsidRPr="00EC326F" w:rsidRDefault="00EC35F7" w:rsidP="00914F41">
      <w:pPr>
        <w:pStyle w:val="ListBullet"/>
      </w:pPr>
      <w:r w:rsidRPr="00EC326F">
        <w:t>A proportion access rent assistance with utilisation reducing by age</w:t>
      </w:r>
    </w:p>
    <w:p w14:paraId="3D8C348C" w14:textId="77777777" w:rsidR="00914F41" w:rsidRPr="00EC326F" w:rsidRDefault="00914F41" w:rsidP="00914F41">
      <w:pPr>
        <w:pStyle w:val="ListBullet"/>
      </w:pPr>
      <w:r w:rsidRPr="00EC326F">
        <w:t>A small proportion of people use payment category J, wit</w:t>
      </w:r>
      <w:r w:rsidR="00166CCF" w:rsidRPr="00EC326F">
        <w:t>h a declining proportion by age</w:t>
      </w:r>
    </w:p>
    <w:p w14:paraId="46C8AB36" w14:textId="77777777" w:rsidR="00270315" w:rsidRPr="00EC326F" w:rsidRDefault="00270315" w:rsidP="00270315">
      <w:pPr>
        <w:pStyle w:val="PwCNormal"/>
        <w:numPr>
          <w:ilvl w:val="0"/>
          <w:numId w:val="0"/>
        </w:numPr>
      </w:pPr>
      <w:r w:rsidRPr="00EC326F">
        <w:t>A risk based model is not required for payment category C as everyone in Class 3 uses this payment category, however risk models have been developed for income support payment categories H, I and J. The addition of risk models for payment categories I and J are a development on the previous valuation where foundation models were adopted for these payment categories.  This means the assumed utilisation now more accurately reflects each person’s individual situation rather than being an average for someone of their age and gender within the class.</w:t>
      </w:r>
    </w:p>
    <w:p w14:paraId="1B5D13FB" w14:textId="77777777" w:rsidR="00270315" w:rsidRPr="00EC326F" w:rsidRDefault="00270315" w:rsidP="00270315">
      <w:pPr>
        <w:pStyle w:val="PwCNormal"/>
        <w:numPr>
          <w:ilvl w:val="0"/>
          <w:numId w:val="0"/>
        </w:numPr>
      </w:pPr>
      <w:r w:rsidRPr="00EC326F">
        <w:t>For utilisation of secondary income support payment types, the foundation models reflect class movements and perform well in identifying which people are likely to receive the secondary income support payment type.</w:t>
      </w:r>
    </w:p>
    <w:p w14:paraId="5CD44419" w14:textId="77777777" w:rsidR="00270315" w:rsidRPr="00EC326F" w:rsidRDefault="00270315" w:rsidP="00270315">
      <w:pPr>
        <w:pStyle w:val="PwCNormal"/>
        <w:numPr>
          <w:ilvl w:val="0"/>
          <w:numId w:val="0"/>
        </w:numPr>
      </w:pPr>
      <w:r w:rsidRPr="00EC326F">
        <w:t xml:space="preserve">At this valuation we have developed a risk model for the utilisation of payment category R for Classes 2, 3 and 7. Rent assistance was previously grouped with other allowances and supplements in a payment category with close to 100% utilisation. With rent assistance now identified separately, we have been able to develop a risk model that takes into account other characteristics such as age of children, earnings and </w:t>
      </w:r>
      <w:r w:rsidR="00C11F6F" w:rsidRPr="00EC326F">
        <w:t>partner</w:t>
      </w:r>
      <w:r w:rsidRPr="00EC326F">
        <w:t xml:space="preserve"> status</w:t>
      </w:r>
      <w:r w:rsidR="00531E1B" w:rsidRPr="00EC326F">
        <w:t xml:space="preserve"> that help to identify the groups of people more likely to receive this payment</w:t>
      </w:r>
      <w:r w:rsidRPr="00EC326F">
        <w:t>.</w:t>
      </w:r>
    </w:p>
    <w:p w14:paraId="56454A99" w14:textId="77777777" w:rsidR="00270315" w:rsidRPr="00EC326F" w:rsidRDefault="00270315" w:rsidP="00270315">
      <w:pPr>
        <w:pStyle w:val="PwCNormal"/>
        <w:numPr>
          <w:ilvl w:val="0"/>
          <w:numId w:val="0"/>
        </w:numPr>
      </w:pPr>
      <w:r w:rsidRPr="00EC326F">
        <w:t xml:space="preserve">Foundation models have been used for the other non-income support payment types. For some of these such as payment category P (which includes energy supplement) over 99% of people in income support classes utilise the payment category and hence the additional gain from a risk based model is minimal. </w:t>
      </w:r>
    </w:p>
    <w:p w14:paraId="3B4BAF6A" w14:textId="77777777" w:rsidR="00531E1B" w:rsidRPr="00EC326F" w:rsidRDefault="00531E1B" w:rsidP="00531E1B">
      <w:pPr>
        <w:pStyle w:val="PwCNormal"/>
        <w:numPr>
          <w:ilvl w:val="0"/>
          <w:numId w:val="1"/>
        </w:numPr>
      </w:pPr>
      <w:r w:rsidRPr="00784A67">
        <w:fldChar w:fldCharType="begin"/>
      </w:r>
      <w:r w:rsidRPr="00784A67">
        <w:instrText xml:space="preserve"> REF _Ref441823535 \n \h  \* MERGEFORMAT </w:instrText>
      </w:r>
      <w:r w:rsidRPr="00784A67">
        <w:fldChar w:fldCharType="separate"/>
      </w:r>
      <w:r w:rsidR="007A42DF">
        <w:t>Appendix D</w:t>
      </w:r>
      <w:r w:rsidRPr="00784A67">
        <w:fldChar w:fldCharType="end"/>
      </w:r>
      <w:r w:rsidRPr="00784A67">
        <w:t xml:space="preserve"> includes</w:t>
      </w:r>
      <w:r w:rsidRPr="00EC326F">
        <w:t xml:space="preserve"> a detailed table showing where risk and foundation assumptions have been used. Overall, the utilisation </w:t>
      </w:r>
      <w:r w:rsidRPr="00F962F2">
        <w:t xml:space="preserve">of 98% of income support payments and around 60% of the non-income support payments </w:t>
      </w:r>
      <w:r w:rsidR="009B6972">
        <w:t xml:space="preserve">is either known by definition or </w:t>
      </w:r>
      <w:r w:rsidRPr="00F962F2">
        <w:t>has been modelled considering risk based assumptions, and the remainder using foundation assumptions</w:t>
      </w:r>
      <w:r w:rsidRPr="00EC326F">
        <w:t xml:space="preserve">. </w:t>
      </w:r>
    </w:p>
    <w:p w14:paraId="61955B8F" w14:textId="77777777" w:rsidR="004B605A" w:rsidRPr="00EC326F" w:rsidRDefault="004B605A" w:rsidP="004B605A">
      <w:pPr>
        <w:pStyle w:val="Minorheading"/>
      </w:pPr>
      <w:r w:rsidRPr="00EC326F">
        <w:lastRenderedPageBreak/>
        <w:t>Changes since the baseline valuation</w:t>
      </w:r>
    </w:p>
    <w:p w14:paraId="39E665ED" w14:textId="77777777" w:rsidR="006E1381" w:rsidRDefault="00270315" w:rsidP="00B568BA">
      <w:pPr>
        <w:pStyle w:val="PwCNormal-keepwithnext"/>
      </w:pPr>
      <w:r w:rsidRPr="00EC326F">
        <w:t xml:space="preserve">The main changes to the utilisation assumptions as a result of </w:t>
      </w:r>
      <w:r w:rsidR="009B6972">
        <w:t xml:space="preserve">the combined effect of policy changes and </w:t>
      </w:r>
      <w:r w:rsidRPr="00EC326F">
        <w:t>updating the experience underlying the assumptions are as follows:</w:t>
      </w:r>
      <w:r w:rsidR="00DA205C" w:rsidRPr="00EC326F">
        <w:t xml:space="preserve"> </w:t>
      </w:r>
    </w:p>
    <w:p w14:paraId="56E0FAEE" w14:textId="77777777" w:rsidR="00270315" w:rsidRPr="00EC326F" w:rsidRDefault="00270315" w:rsidP="006E1381">
      <w:pPr>
        <w:pStyle w:val="ListBullet"/>
      </w:pPr>
      <w:r w:rsidRPr="00EC326F">
        <w:t>A reduction in the utilisation of category I payments in line with the phasing out of the</w:t>
      </w:r>
      <w:r w:rsidR="00531E1B" w:rsidRPr="00EC326F">
        <w:t xml:space="preserve"> S</w:t>
      </w:r>
      <w:r w:rsidR="00DA205C" w:rsidRPr="00EC326F">
        <w:t>choolkids bonus in July 2016</w:t>
      </w:r>
    </w:p>
    <w:p w14:paraId="10076165" w14:textId="77777777" w:rsidR="00270315" w:rsidRPr="00EC326F" w:rsidRDefault="00270315" w:rsidP="00270315">
      <w:pPr>
        <w:pStyle w:val="ListBullet"/>
      </w:pPr>
      <w:r w:rsidRPr="00EC326F">
        <w:t>A reduction in the utilisation of category N payments where experience shows the take-up rate of the Student Start up Loan has been lower than that for the Student Start up Scholarship. For class 2, the introduction of work for the dole in July 2015 has more than offset reductions due to the student start-up scholarship</w:t>
      </w:r>
      <w:r w:rsidR="00DA205C" w:rsidRPr="00EC326F">
        <w:t>,</w:t>
      </w:r>
      <w:r w:rsidRPr="00EC326F">
        <w:t xml:space="preserve"> resulting in an increase in the assumed uti</w:t>
      </w:r>
      <w:r w:rsidR="00DA205C" w:rsidRPr="00EC326F">
        <w:t>lisation of category N payments</w:t>
      </w:r>
    </w:p>
    <w:p w14:paraId="06300682" w14:textId="77777777" w:rsidR="00270315" w:rsidRPr="00EC326F" w:rsidRDefault="00270315" w:rsidP="00270315">
      <w:pPr>
        <w:pStyle w:val="ListBullet"/>
      </w:pPr>
      <w:r w:rsidRPr="00EC326F">
        <w:t xml:space="preserve">The utilisation rate for category P has increased as a result of the inclusion of </w:t>
      </w:r>
      <w:r w:rsidR="00531E1B" w:rsidRPr="00EC326F">
        <w:t xml:space="preserve">more supplements such as </w:t>
      </w:r>
      <w:r w:rsidRPr="00EC326F">
        <w:t>the Energy supplement in this category. The Energy supplement was previously mapped to the now retired category K.</w:t>
      </w:r>
    </w:p>
    <w:p w14:paraId="7B766025" w14:textId="77777777" w:rsidR="004B605A" w:rsidRPr="00EC326F" w:rsidRDefault="004B605A" w:rsidP="004B605A">
      <w:pPr>
        <w:pStyle w:val="Heading3"/>
      </w:pPr>
      <w:bookmarkStart w:id="196" w:name="_Ref466184635"/>
      <w:bookmarkStart w:id="197" w:name="_Toc493844241"/>
      <w:r w:rsidRPr="00EC326F">
        <w:t>Payment assumptions</w:t>
      </w:r>
      <w:bookmarkEnd w:id="196"/>
      <w:bookmarkEnd w:id="197"/>
    </w:p>
    <w:p w14:paraId="0753711E" w14:textId="77777777" w:rsidR="00217B45" w:rsidRPr="00EC326F" w:rsidRDefault="00217B45" w:rsidP="001A4479">
      <w:pPr>
        <w:pStyle w:val="PwCNormal"/>
        <w:numPr>
          <w:ilvl w:val="0"/>
          <w:numId w:val="37"/>
        </w:numPr>
        <w:rPr>
          <w:snapToGrid/>
        </w:rPr>
      </w:pPr>
      <w:r w:rsidRPr="00EC326F">
        <w:t xml:space="preserve">These form the second set of assumptions needed to determine the payments made to each person in each future year. They capture the amount of payments received given that the person has an entitlement. </w:t>
      </w:r>
    </w:p>
    <w:p w14:paraId="2727412D" w14:textId="77777777" w:rsidR="00217B45" w:rsidRPr="00EC326F" w:rsidRDefault="00217B45" w:rsidP="001A4479">
      <w:pPr>
        <w:pStyle w:val="PwCNormal"/>
        <w:numPr>
          <w:ilvl w:val="0"/>
          <w:numId w:val="37"/>
        </w:numPr>
      </w:pPr>
      <w:r w:rsidRPr="00EC326F">
        <w:t>The assumptions are set to reflect the expected 2016/17 payment levels; they are applied in combination with the assumpti</w:t>
      </w:r>
      <w:r w:rsidRPr="009668E2">
        <w:t xml:space="preserve">ons for the changes to the level of payments expected in future years which are discussed in </w:t>
      </w:r>
      <w:r w:rsidR="0011562A">
        <w:t>section</w:t>
      </w:r>
      <w:r w:rsidRPr="009668E2">
        <w:t xml:space="preserve"> </w:t>
      </w:r>
      <w:r w:rsidR="009B6972">
        <w:fldChar w:fldCharType="begin"/>
      </w:r>
      <w:r w:rsidR="009B6972">
        <w:instrText xml:space="preserve"> REF _Ref466557333 \r \h </w:instrText>
      </w:r>
      <w:r w:rsidR="009B6972">
        <w:fldChar w:fldCharType="separate"/>
      </w:r>
      <w:r w:rsidR="007A42DF">
        <w:t>5.10</w:t>
      </w:r>
      <w:r w:rsidR="009B6972">
        <w:fldChar w:fldCharType="end"/>
      </w:r>
      <w:r w:rsidRPr="009668E2">
        <w:t>.</w:t>
      </w:r>
      <w:r w:rsidRPr="00EC326F">
        <w:t xml:space="preserve"> </w:t>
      </w:r>
    </w:p>
    <w:p w14:paraId="27FC1472" w14:textId="77777777" w:rsidR="00217B45" w:rsidRPr="00EC326F" w:rsidRDefault="00217B45" w:rsidP="00217B45">
      <w:pPr>
        <w:pStyle w:val="Heading4"/>
      </w:pPr>
      <w:r w:rsidRPr="00EC326F">
        <w:t>General approach</w:t>
      </w:r>
    </w:p>
    <w:p w14:paraId="0CA91CA1" w14:textId="77777777" w:rsidR="00217B45" w:rsidRPr="00EC326F" w:rsidRDefault="00217B45" w:rsidP="00217B45">
      <w:pPr>
        <w:pStyle w:val="PwCNormal"/>
        <w:numPr>
          <w:ilvl w:val="0"/>
          <w:numId w:val="0"/>
        </w:numPr>
      </w:pPr>
      <w:r w:rsidRPr="00EC326F">
        <w:t>There are a large number of payment assumptions, reflecting each valid combination of active classes and payment categories. We have again used a two stage approach in setting these assumptions: first foundation assumptions and then targeted refinement using risk based assumptions:</w:t>
      </w:r>
    </w:p>
    <w:p w14:paraId="4EBBFD57" w14:textId="77777777" w:rsidR="00217B45" w:rsidRPr="00EC326F" w:rsidRDefault="00217B45" w:rsidP="00217B45">
      <w:pPr>
        <w:pStyle w:val="ListBullet"/>
      </w:pPr>
      <w:r w:rsidRPr="00EC326F">
        <w:t xml:space="preserve">The </w:t>
      </w:r>
      <w:r w:rsidRPr="00EC326F">
        <w:rPr>
          <w:b/>
        </w:rPr>
        <w:t>foundation assumptions</w:t>
      </w:r>
      <w:r w:rsidRPr="00EC326F">
        <w:t xml:space="preserve"> are set for each payment category and reflect each person’s class, age and gender. </w:t>
      </w:r>
    </w:p>
    <w:p w14:paraId="1CF2DCEE" w14:textId="747414F5" w:rsidR="009F08BD" w:rsidRPr="00EC326F" w:rsidRDefault="009F08BD" w:rsidP="009F08BD">
      <w:pPr>
        <w:pStyle w:val="ListContinue"/>
      </w:pPr>
      <w:r w:rsidRPr="00EC326F">
        <w:t>These assumptions allow us to see the average level of payments made to people in each class, and the extent of any variation from year to year. These assumptions have been discussed with the Department and the reasons behind any substantial variations over time explored. We used this information to select an appropriate number of reference years for setting the assumptions, so that they reflect the expected future experience (given current policy).</w:t>
      </w:r>
    </w:p>
    <w:p w14:paraId="2C1266A3" w14:textId="77777777" w:rsidR="00217B45" w:rsidRPr="00EC326F" w:rsidRDefault="00217B45" w:rsidP="00217B45">
      <w:pPr>
        <w:pStyle w:val="ListBullet"/>
      </w:pPr>
      <w:r w:rsidRPr="00EC326F">
        <w:t xml:space="preserve">The second stage is to set </w:t>
      </w:r>
      <w:r w:rsidRPr="00EC326F">
        <w:rPr>
          <w:b/>
        </w:rPr>
        <w:t>risk based assumptions</w:t>
      </w:r>
      <w:r w:rsidRPr="00EC326F">
        <w:t xml:space="preserve"> for some of the assumptions</w:t>
      </w:r>
      <w:r w:rsidRPr="00EC326F">
        <w:rPr>
          <w:b/>
        </w:rPr>
        <w:t>.</w:t>
      </w:r>
      <w:r w:rsidRPr="00EC326F">
        <w:t xml:space="preserve"> These have been used in a targeted way to refine selected foundation assumptions.</w:t>
      </w:r>
    </w:p>
    <w:p w14:paraId="58F83C54" w14:textId="77777777" w:rsidR="00217B45" w:rsidRPr="00EC326F" w:rsidRDefault="00217B45" w:rsidP="001A4479">
      <w:pPr>
        <w:pStyle w:val="Indent1"/>
        <w:numPr>
          <w:ilvl w:val="1"/>
          <w:numId w:val="37"/>
        </w:numPr>
      </w:pPr>
      <w:r w:rsidRPr="00EC326F">
        <w:t>These risk based assumptions reference more of the factors that influence the level of payments for different people in each payment category. They are established using statistical techniques and reference the experience over the same time periods as used for the foundation assumptions.</w:t>
      </w:r>
    </w:p>
    <w:p w14:paraId="462F366F" w14:textId="77777777" w:rsidR="00217B45" w:rsidRPr="00EC326F" w:rsidRDefault="00217B45" w:rsidP="001A4479">
      <w:pPr>
        <w:pStyle w:val="PwCNormal"/>
        <w:numPr>
          <w:ilvl w:val="0"/>
          <w:numId w:val="37"/>
        </w:numPr>
      </w:pPr>
      <w:r w:rsidRPr="00EC326F">
        <w:t xml:space="preserve">A large proportion of the total cost for people in any class is captured within a small number of payment categories. These typically include the primary income support payments and payment categories H – FTB, I – Family Payments and P – Other General Allowances (which contains the Pension Supplements and Energy Supplement). The other payment categories generally make a much lesser contribution to the overall costs. </w:t>
      </w:r>
    </w:p>
    <w:p w14:paraId="1C482AF3" w14:textId="77777777" w:rsidR="00217B45" w:rsidRPr="00EC326F" w:rsidRDefault="00217B45" w:rsidP="001A4479">
      <w:pPr>
        <w:pStyle w:val="PwCNormal"/>
        <w:numPr>
          <w:ilvl w:val="0"/>
          <w:numId w:val="37"/>
        </w:numPr>
      </w:pPr>
      <w:r w:rsidRPr="00EC326F">
        <w:t xml:space="preserve">In refining the payment assumptions by developing risk based assumptions, we have focussed primarily on the main income support payment types for each class. We have also developed risk based models for the larger non-income support payments and those for which annual payments vary considerably across the recipient population. </w:t>
      </w:r>
    </w:p>
    <w:p w14:paraId="17A471F7" w14:textId="77777777" w:rsidR="00217B45" w:rsidRPr="00EC326F" w:rsidRDefault="00217B45" w:rsidP="001A4479">
      <w:pPr>
        <w:pStyle w:val="PwCNormal"/>
        <w:numPr>
          <w:ilvl w:val="0"/>
          <w:numId w:val="37"/>
        </w:numPr>
      </w:pPr>
      <w:r w:rsidRPr="00EC326F">
        <w:t>We have retained the foundation assumptions for some other payment categories as risk based assumptions add little when the annual payments to everyone within a class who utilises the payment are of similar size. We have also retained foundation assumptions if there have been significant trends in experience or policy changes which mean that the detailed past experience for the payment category is less able to represent the future experience under the current policy settings.</w:t>
      </w:r>
    </w:p>
    <w:p w14:paraId="1AB4C15D" w14:textId="77777777" w:rsidR="009F08BD" w:rsidRPr="00EC326F" w:rsidRDefault="009F08BD" w:rsidP="001A4479">
      <w:pPr>
        <w:pStyle w:val="PwCNormal"/>
        <w:numPr>
          <w:ilvl w:val="0"/>
          <w:numId w:val="37"/>
        </w:numPr>
      </w:pPr>
      <w:r w:rsidRPr="00EC326F">
        <w:lastRenderedPageBreak/>
        <w:t xml:space="preserve">Further, where the drivers of the payment amounts are not well represented in the data, a risk based model may not substantially outperform the foundation model. Where we have seen little improvement in performance, we have generally chosen to retain the foundation assumptions. </w:t>
      </w:r>
    </w:p>
    <w:p w14:paraId="236ABBD8" w14:textId="77777777" w:rsidR="00F01C83" w:rsidRPr="00EC326F" w:rsidRDefault="00F01C83" w:rsidP="009F08BD">
      <w:pPr>
        <w:pStyle w:val="PwCNormal"/>
        <w:numPr>
          <w:ilvl w:val="0"/>
          <w:numId w:val="0"/>
        </w:numPr>
      </w:pPr>
      <w:r w:rsidRPr="00EC326F">
        <w:fldChar w:fldCharType="begin"/>
      </w:r>
      <w:r w:rsidRPr="00EC326F">
        <w:instrText xml:space="preserve"> REF _Ref441823535 \n \h  \* MERGEFORMAT </w:instrText>
      </w:r>
      <w:r w:rsidRPr="00EC326F">
        <w:fldChar w:fldCharType="separate"/>
      </w:r>
      <w:r w:rsidR="007A42DF">
        <w:t>Appendix D</w:t>
      </w:r>
      <w:r w:rsidRPr="00EC326F">
        <w:fldChar w:fldCharType="end"/>
      </w:r>
      <w:r w:rsidRPr="00EC326F">
        <w:t xml:space="preserve"> includes a detailed table showing where risk and foundation assumptions have been used. The risk based assumptions within the payment size models cover 98% of the income support payments and 86% of overall payments.</w:t>
      </w:r>
    </w:p>
    <w:p w14:paraId="50B503A4" w14:textId="77777777" w:rsidR="009F08BD" w:rsidRPr="00EC326F" w:rsidRDefault="009F08BD" w:rsidP="009F08BD">
      <w:pPr>
        <w:pStyle w:val="PwCNormal"/>
        <w:numPr>
          <w:ilvl w:val="0"/>
          <w:numId w:val="0"/>
        </w:numPr>
      </w:pPr>
      <w:r w:rsidRPr="00EC326F">
        <w:t>Overall across both the payment utilisation and payment size models the risk based models have been used for payment categories which cover 98% of income support payments and 49% of supplements and allowances.</w:t>
      </w:r>
    </w:p>
    <w:p w14:paraId="4B5990EE" w14:textId="77777777" w:rsidR="00217B45" w:rsidRPr="00EC326F" w:rsidRDefault="00217B45" w:rsidP="00217B45">
      <w:pPr>
        <w:pStyle w:val="Minorheading"/>
      </w:pPr>
      <w:r w:rsidRPr="00EC326F">
        <w:t>Changes since the baseline valuation</w:t>
      </w:r>
    </w:p>
    <w:p w14:paraId="4619D8F2" w14:textId="77777777" w:rsidR="00217B45" w:rsidRPr="00EC326F" w:rsidRDefault="00217B45" w:rsidP="001A4479">
      <w:pPr>
        <w:pStyle w:val="PwCNormal"/>
        <w:numPr>
          <w:ilvl w:val="0"/>
          <w:numId w:val="37"/>
        </w:numPr>
      </w:pPr>
      <w:r w:rsidRPr="00EC326F">
        <w:t xml:space="preserve">Since the baseline valuation we have developed and adopted new risk based payment assumption models for </w:t>
      </w:r>
      <w:r w:rsidR="00531E1B" w:rsidRPr="00EC326F">
        <w:t xml:space="preserve">payment category </w:t>
      </w:r>
      <w:r w:rsidRPr="00EC326F">
        <w:t>H for classes 2, 3 and 7 and for</w:t>
      </w:r>
      <w:r w:rsidR="00531E1B" w:rsidRPr="00EC326F">
        <w:t xml:space="preserve"> payment category</w:t>
      </w:r>
      <w:r w:rsidRPr="00EC326F">
        <w:t xml:space="preserve"> I for classes 2 and 7. </w:t>
      </w:r>
    </w:p>
    <w:p w14:paraId="68A497A0" w14:textId="77777777" w:rsidR="00217B45" w:rsidRPr="00EC326F" w:rsidRDefault="00217B45" w:rsidP="001A4479">
      <w:pPr>
        <w:pStyle w:val="PwCNormal"/>
        <w:numPr>
          <w:ilvl w:val="0"/>
          <w:numId w:val="37"/>
        </w:numPr>
      </w:pPr>
      <w:r w:rsidRPr="00EC326F">
        <w:t>At the current valuation, we have reflected the revised mapping of pension supplements and rent assistance by replacing the payment assumptions for K – Other Living with explicit assumptions for Rent Assistance and updated assumptions for P – Other General Allowances. The payment assumptions for P continue to be applied as a loading to the main income support payment for Classes 4, 5 and 6 and this year, we have also selected loading assumptions for classes 2 and 3.</w:t>
      </w:r>
    </w:p>
    <w:p w14:paraId="0D59BB8E" w14:textId="77777777" w:rsidR="00217B45" w:rsidRPr="00EC326F" w:rsidRDefault="00217B45" w:rsidP="001A4479">
      <w:pPr>
        <w:pStyle w:val="PwCNormal"/>
        <w:numPr>
          <w:ilvl w:val="0"/>
          <w:numId w:val="37"/>
        </w:numPr>
      </w:pPr>
      <w:r w:rsidRPr="00EC326F">
        <w:t>The main changes to the quantum of the payment assumptions as a result of allowing for the impact of policy changes on the payment assumptions and updating the experience underlying the assumptions are as follows:</w:t>
      </w:r>
    </w:p>
    <w:p w14:paraId="467CF5AD" w14:textId="77777777" w:rsidR="00217B45" w:rsidRPr="00EC326F" w:rsidRDefault="00217B45" w:rsidP="00217B45">
      <w:pPr>
        <w:pStyle w:val="ListBullet"/>
      </w:pPr>
      <w:r w:rsidRPr="00EC326F">
        <w:t>An increase in the average payment assumption for</w:t>
      </w:r>
      <w:r w:rsidR="00531E1B" w:rsidRPr="00EC326F">
        <w:t xml:space="preserve"> payment category</w:t>
      </w:r>
      <w:r w:rsidRPr="00EC326F">
        <w:t xml:space="preserve"> I due to the removal of the Schoolkids bonus from this category which has a much lower average payment size relative to the other main payment type (Child Care Benefit) in this category.</w:t>
      </w:r>
      <w:r w:rsidR="00531E1B" w:rsidRPr="00EC326F">
        <w:t xml:space="preserve"> (Noting also that the removal of the Schoolkids bonus has resulted in a lower utilisation of this payment category.)</w:t>
      </w:r>
    </w:p>
    <w:p w14:paraId="42E9C570" w14:textId="77777777" w:rsidR="00F962F2" w:rsidRPr="00F962F2" w:rsidRDefault="00F962F2" w:rsidP="00217B45">
      <w:pPr>
        <w:pStyle w:val="ListBullet"/>
      </w:pPr>
      <w:r w:rsidRPr="00F962F2">
        <w:t>A reduction in the average payment assumption for J due to the inclusion of the Baby Bonus in this category. As parental leave pay (the main payment type in J) and the Baby Bonus cannot be claimed for the same child, the increased utilisation of J combined with the lower average payment size of the Baby Bonus dilutes the average size of J payments.</w:t>
      </w:r>
    </w:p>
    <w:p w14:paraId="1D48407E" w14:textId="77777777" w:rsidR="00217B45" w:rsidRPr="00EC326F" w:rsidRDefault="00217B45" w:rsidP="00217B45">
      <w:pPr>
        <w:pStyle w:val="ListBullet"/>
      </w:pPr>
      <w:r w:rsidRPr="00EC326F">
        <w:t>A reduction in the average payment assumption for N in line with adjustments made to reflect an assumed bad debt allowance in response to the replacement of the Student Start up Scholarship with the Student Start up Loan.</w:t>
      </w:r>
    </w:p>
    <w:p w14:paraId="77DEDD57" w14:textId="77777777" w:rsidR="00BA2FF9" w:rsidRPr="009668E2" w:rsidRDefault="00BA2FF9" w:rsidP="00217B45">
      <w:pPr>
        <w:pStyle w:val="ListBullet"/>
      </w:pPr>
      <w:r w:rsidRPr="009668E2">
        <w:t xml:space="preserve">The average size assumptions for P have been adjusted in line with experience with average payment levels increasing for Classes 2 to 6 and decreasing for the other classes. Category P has been impacted by mapping changes as discussed in </w:t>
      </w:r>
      <w:r w:rsidR="0011562A">
        <w:t>section</w:t>
      </w:r>
      <w:r w:rsidRPr="009668E2">
        <w:t xml:space="preserve"> </w:t>
      </w:r>
      <w:r w:rsidR="009668E2" w:rsidRPr="009668E2">
        <w:fldChar w:fldCharType="begin"/>
      </w:r>
      <w:r w:rsidR="009668E2" w:rsidRPr="009668E2">
        <w:instrText xml:space="preserve"> REF _Ref466491047 \w \h </w:instrText>
      </w:r>
      <w:r w:rsidR="009668E2">
        <w:instrText xml:space="preserve"> \* MERGEFORMAT </w:instrText>
      </w:r>
      <w:r w:rsidR="009668E2" w:rsidRPr="009668E2">
        <w:fldChar w:fldCharType="separate"/>
      </w:r>
      <w:r w:rsidR="007A42DF">
        <w:t>3.2</w:t>
      </w:r>
      <w:r w:rsidR="009668E2" w:rsidRPr="009668E2">
        <w:fldChar w:fldCharType="end"/>
      </w:r>
      <w:r w:rsidR="001C6BE8" w:rsidRPr="009668E2">
        <w:t xml:space="preserve"> and policy changes such as the phasing out of the pension bonus scheme payment</w:t>
      </w:r>
      <w:r w:rsidR="00373021" w:rsidRPr="009668E2">
        <w:t>.</w:t>
      </w:r>
    </w:p>
    <w:p w14:paraId="3BDE3BF5" w14:textId="77777777" w:rsidR="00217B45" w:rsidRPr="00EC326F" w:rsidRDefault="00217B45" w:rsidP="00217B45">
      <w:pPr>
        <w:pStyle w:val="Minorheading"/>
      </w:pPr>
      <w:r w:rsidRPr="009668E2">
        <w:t>Example</w:t>
      </w:r>
    </w:p>
    <w:p w14:paraId="57AEE877" w14:textId="6F3260FE" w:rsidR="00217B45" w:rsidRPr="00EC326F" w:rsidRDefault="00217B45" w:rsidP="00D70140">
      <w:pPr>
        <w:pStyle w:val="PwCNormal-keepwithnext"/>
      </w:pPr>
      <w:r w:rsidRPr="00EC326F">
        <w:t xml:space="preserve">The charts below show the foundation payment amount assumptions for selected payment categories for </w:t>
      </w:r>
      <w:r w:rsidR="00397976" w:rsidRPr="00EC326F">
        <w:rPr>
          <w:snapToGrid/>
          <w:lang w:eastAsia="en-AU"/>
        </w:rPr>
        <w:t xml:space="preserve">women </w:t>
      </w:r>
      <w:r w:rsidRPr="00EC326F">
        <w:t>in the Parent</w:t>
      </w:r>
      <w:r w:rsidR="00A53A6E">
        <w:t>ing</w:t>
      </w:r>
      <w:r w:rsidRPr="00EC326F">
        <w:t xml:space="preserve"> class by age. These amounts are conditional on a payment utilisation.</w:t>
      </w:r>
    </w:p>
    <w:p w14:paraId="6C18FB7D" w14:textId="77777777" w:rsidR="00217B45" w:rsidRPr="00EC326F" w:rsidRDefault="00217B45" w:rsidP="00217B45">
      <w:pPr>
        <w:pStyle w:val="Caption"/>
      </w:pPr>
      <w:r w:rsidRPr="00EC326F">
        <w:t xml:space="preserve">Figure </w:t>
      </w:r>
      <w:fldSimple w:instr=" SEQ Figure \* ARABIC ">
        <w:r w:rsidR="007A42DF">
          <w:rPr>
            <w:noProof/>
          </w:rPr>
          <w:t>15</w:t>
        </w:r>
      </w:fldSimple>
      <w:r w:rsidRPr="00EC326F">
        <w:t>: Illustration of payment category amounts for class 3 parents (females)</w:t>
      </w:r>
    </w:p>
    <w:p w14:paraId="1574D795" w14:textId="77777777" w:rsidR="00217B45" w:rsidRPr="000747FE" w:rsidRDefault="001C6BE8" w:rsidP="00217B45">
      <w:pPr>
        <w:pStyle w:val="PwCNormal"/>
        <w:numPr>
          <w:ilvl w:val="0"/>
          <w:numId w:val="0"/>
        </w:numPr>
      </w:pPr>
      <w:r w:rsidRPr="00EC326F">
        <w:rPr>
          <w:noProof/>
          <w:lang w:eastAsia="en-AU"/>
        </w:rPr>
        <w:drawing>
          <wp:inline distT="0" distB="0" distL="0" distR="0" wp14:anchorId="2DD5168C" wp14:editId="462A3CD5">
            <wp:extent cx="6189696" cy="2016000"/>
            <wp:effectExtent l="0" t="0" r="1905" b="3810"/>
            <wp:docPr id="3077" name="Picture 3077" descr="This figure is a line chart. The chart shows the foundation payment amount assumptions for selected payment categories for females in the Parenting class by age. The amounts are conditional on utilising that payment category. The vertical axis shows the average annual payment in dollars and ranges from $0 to $18,000. The horizontal axis shows the age, ranging from 15 to 60. &#10;&#10;The chart contains a line for each of the four different payment categories shown: IS Parents, FTB, General Allowances and Rent Assistance. &#10;&#10;The chart shows that average IS – Parenting payments peak at around $13,500 for people aged 20 before decreasing to around $7,000 around age 50 before rising again towards retirement age. Average FTB payments peak around age 35 at $15,000 before decreasing to around $12,000 around age 50, after which it increases again. Average general allowances and rent assistance payments remain relatively stable at $1000 and $3000 respectively across ages 15-65.&#10;&#10;The key features of the chart are discussed in the accompanying text within the report.&#10;" title=" Illustration of payment category amounts for class 3 parents (fem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64" t="1135" r="564" b="1135"/>
                    <a:stretch/>
                  </pic:blipFill>
                  <pic:spPr bwMode="auto">
                    <a:xfrm>
                      <a:off x="0" y="0"/>
                      <a:ext cx="6193657" cy="2017290"/>
                    </a:xfrm>
                    <a:prstGeom prst="rect">
                      <a:avLst/>
                    </a:prstGeom>
                    <a:noFill/>
                    <a:ln>
                      <a:noFill/>
                    </a:ln>
                    <a:extLst>
                      <a:ext uri="{53640926-AAD7-44D8-BBD7-CCE9431645EC}">
                        <a14:shadowObscured xmlns:a14="http://schemas.microsoft.com/office/drawing/2010/main"/>
                      </a:ext>
                    </a:extLst>
                  </pic:spPr>
                </pic:pic>
              </a:graphicData>
            </a:graphic>
          </wp:inline>
        </w:drawing>
      </w:r>
    </w:p>
    <w:p w14:paraId="3E7F3BA2" w14:textId="77777777" w:rsidR="00217B45" w:rsidRPr="00EC326F" w:rsidRDefault="00217B45" w:rsidP="00217B45">
      <w:pPr>
        <w:pStyle w:val="PwCNormal"/>
        <w:numPr>
          <w:ilvl w:val="0"/>
          <w:numId w:val="0"/>
        </w:numPr>
      </w:pPr>
      <w:r w:rsidRPr="00EC326F">
        <w:lastRenderedPageBreak/>
        <w:t>Looking first at the main parenting payment which is received by everyone in the class, we can see the average amount is lower at younger ages before peaking around age 20 and then decreasing until around age 50 and then rising again. This pattern is likely to be influenced by the mix of people receiving payments. Specifically the mix of:</w:t>
      </w:r>
    </w:p>
    <w:p w14:paraId="321F7AC9" w14:textId="77777777" w:rsidR="00217B45" w:rsidRPr="00EC326F" w:rsidRDefault="00217B45" w:rsidP="00217B45">
      <w:pPr>
        <w:pStyle w:val="ListBullet"/>
      </w:pPr>
      <w:r w:rsidRPr="00EC326F">
        <w:t>People receiving payments for the whole of the year vs. part of the year</w:t>
      </w:r>
    </w:p>
    <w:p w14:paraId="7CB64F0D" w14:textId="77777777" w:rsidR="00217B45" w:rsidRPr="00EC326F" w:rsidRDefault="00217B45" w:rsidP="00217B45">
      <w:pPr>
        <w:pStyle w:val="ListBullet"/>
      </w:pPr>
      <w:r w:rsidRPr="00EC326F">
        <w:t>People receiving the single vs. couple rate</w:t>
      </w:r>
    </w:p>
    <w:p w14:paraId="7903A459" w14:textId="77777777" w:rsidR="00217B45" w:rsidRPr="00EC326F" w:rsidRDefault="00217B45" w:rsidP="00217B45">
      <w:pPr>
        <w:pStyle w:val="ListBullet"/>
      </w:pPr>
      <w:r w:rsidRPr="00EC326F">
        <w:t>People receiving full or part payments. This may perhaps also reflect the mix of parents vs. grandparents.</w:t>
      </w:r>
    </w:p>
    <w:p w14:paraId="1BC4E9A3" w14:textId="77777777" w:rsidR="00217B45" w:rsidRPr="00EC326F" w:rsidRDefault="00217B45" w:rsidP="001A4479">
      <w:pPr>
        <w:pStyle w:val="PwCNormal"/>
        <w:numPr>
          <w:ilvl w:val="0"/>
          <w:numId w:val="37"/>
        </w:numPr>
      </w:pPr>
      <w:r w:rsidRPr="00EC326F">
        <w:t xml:space="preserve">For the FTB payment shown above the general trend is an increasing one up to just </w:t>
      </w:r>
      <w:r w:rsidR="00403F4B" w:rsidRPr="00EC326F">
        <w:t xml:space="preserve">before </w:t>
      </w:r>
      <w:r w:rsidRPr="00EC326F">
        <w:t>age 40 followed by reductions</w:t>
      </w:r>
      <w:r w:rsidR="00403F4B" w:rsidRPr="00EC326F">
        <w:t xml:space="preserve"> and then increasing again from around age 50</w:t>
      </w:r>
      <w:r w:rsidRPr="00EC326F">
        <w:t>. This is most likely reflecting changes in family and household composition as children are born, grow up and then leave the household. The other two payment supplement categories are of much smaller relative size and have somewhat lesser variability across the age range, most likely because the payment levels vary less with family size.</w:t>
      </w:r>
    </w:p>
    <w:p w14:paraId="6C43DD11" w14:textId="77777777" w:rsidR="00217B45" w:rsidRPr="00EC326F" w:rsidRDefault="00217B45" w:rsidP="00217B45">
      <w:pPr>
        <w:pStyle w:val="PwCNormal"/>
        <w:numPr>
          <w:ilvl w:val="0"/>
          <w:numId w:val="0"/>
        </w:numPr>
      </w:pPr>
      <w:r w:rsidRPr="00EC326F">
        <w:t>The risk based assumptions recognise the drivers of the differences in average cost for the main parenting payments in payment category C.</w:t>
      </w:r>
    </w:p>
    <w:p w14:paraId="0284C0A1" w14:textId="77777777" w:rsidR="00217B45" w:rsidRPr="00EC326F" w:rsidRDefault="00217B45" w:rsidP="00217B45">
      <w:pPr>
        <w:pStyle w:val="Heading4"/>
      </w:pPr>
      <w:r w:rsidRPr="00EC326F">
        <w:t>Age pension approach</w:t>
      </w:r>
    </w:p>
    <w:p w14:paraId="39DE7FE2" w14:textId="77777777" w:rsidR="00217B45" w:rsidRPr="00EC326F" w:rsidRDefault="00217B45" w:rsidP="001A4479">
      <w:pPr>
        <w:pStyle w:val="PwCNormal"/>
        <w:numPr>
          <w:ilvl w:val="0"/>
          <w:numId w:val="37"/>
        </w:numPr>
      </w:pPr>
      <w:r w:rsidRPr="00EC326F">
        <w:t>The age pension payments represent a large part of the overall annual expenditure and form a significant part of everyone’s lifetime cost, both for those currently in class 6 and everyone else who has some chance of entering class 6 in future.</w:t>
      </w:r>
    </w:p>
    <w:p w14:paraId="27DCDF11" w14:textId="77777777" w:rsidR="00F01C83" w:rsidRPr="00EC326F" w:rsidRDefault="00F01C83" w:rsidP="001A4479">
      <w:pPr>
        <w:pStyle w:val="PwCNormal"/>
        <w:numPr>
          <w:ilvl w:val="0"/>
          <w:numId w:val="37"/>
        </w:numPr>
      </w:pPr>
      <w:r w:rsidRPr="00EC326F">
        <w:t>The general approach for modelling the age pension has been retained from the baseline valuation, however the supporting assumptions have been updated to reflect new experience. The approach for allowing for the impact of the change to the pensions asset test in January 2017 has been refined to reference Departmental modelling of the initial impacts on the current age pensioner population.</w:t>
      </w:r>
    </w:p>
    <w:p w14:paraId="5F66511C" w14:textId="77777777" w:rsidR="00217B45" w:rsidRPr="00EC326F" w:rsidRDefault="00217B45" w:rsidP="001A4479">
      <w:pPr>
        <w:pStyle w:val="PwCNormal"/>
        <w:numPr>
          <w:ilvl w:val="0"/>
          <w:numId w:val="37"/>
        </w:numPr>
      </w:pPr>
      <w:r w:rsidRPr="00EC326F">
        <w:t>The age pension payment model has three sub models which consider people’s payment rates at the point of entry to age pension, the rates in the first full year on the age pension and then the rates in subsequent years. A range of factors are included in each model:</w:t>
      </w:r>
    </w:p>
    <w:p w14:paraId="73429961" w14:textId="77777777" w:rsidR="00F01C83" w:rsidRPr="00EC326F" w:rsidRDefault="00F01C83" w:rsidP="001A4479">
      <w:pPr>
        <w:pStyle w:val="Bullet1"/>
        <w:numPr>
          <w:ilvl w:val="0"/>
          <w:numId w:val="42"/>
        </w:numPr>
      </w:pPr>
      <w:r w:rsidRPr="00EC326F">
        <w:t xml:space="preserve">The payment model at entry considers factors such as the person’s age at entry, gender, partner status, their payment class prior to entry and their known time in the welfare system prior to entry </w:t>
      </w:r>
    </w:p>
    <w:p w14:paraId="5D0301E4" w14:textId="77777777" w:rsidR="00217B45" w:rsidRPr="00EC326F" w:rsidRDefault="00217B45" w:rsidP="001A4479">
      <w:pPr>
        <w:pStyle w:val="Bullet1"/>
        <w:numPr>
          <w:ilvl w:val="0"/>
          <w:numId w:val="42"/>
        </w:numPr>
      </w:pPr>
      <w:r w:rsidRPr="00EC326F">
        <w:t xml:space="preserve">The first full year on age pension model considers </w:t>
      </w:r>
      <w:r w:rsidR="00390EC5" w:rsidRPr="00EC326F">
        <w:t xml:space="preserve">a similar set of </w:t>
      </w:r>
      <w:r w:rsidRPr="00EC326F">
        <w:t>factors</w:t>
      </w:r>
      <w:r w:rsidR="00390EC5" w:rsidRPr="00EC326F">
        <w:t xml:space="preserve">; however the assumptions determined through this sub model are impacted </w:t>
      </w:r>
      <w:r w:rsidR="00D70140" w:rsidRPr="00EC326F">
        <w:t xml:space="preserve">to a much lesser extent </w:t>
      </w:r>
      <w:r w:rsidR="00390EC5" w:rsidRPr="00EC326F">
        <w:t>by people being in receipt of payments for varying proportions of the year</w:t>
      </w:r>
    </w:p>
    <w:p w14:paraId="576C7825" w14:textId="77777777" w:rsidR="00217B45" w:rsidRPr="00EC326F" w:rsidRDefault="00217B45" w:rsidP="001A4479">
      <w:pPr>
        <w:pStyle w:val="Bullet1"/>
        <w:numPr>
          <w:ilvl w:val="0"/>
          <w:numId w:val="42"/>
        </w:numPr>
      </w:pPr>
      <w:r w:rsidRPr="00EC326F">
        <w:t>The subsequent year’s payment model includes consideration of people’s previous annual payment rate, duration in class, changes in partner status and whether they died during the year.</w:t>
      </w:r>
    </w:p>
    <w:p w14:paraId="774A07FE" w14:textId="77777777" w:rsidR="00217B45" w:rsidRPr="00EC326F" w:rsidRDefault="00217B45" w:rsidP="001A4479">
      <w:pPr>
        <w:pStyle w:val="PwCNormal"/>
        <w:numPr>
          <w:ilvl w:val="0"/>
          <w:numId w:val="37"/>
        </w:numPr>
      </w:pPr>
      <w:r w:rsidRPr="00EC326F">
        <w:t>This model structure retains significant information about the actual payment rates applying to people currently in the class in developing the payment amount assumptions for future years. The age pension payment model includes two adjustments and these are discussed below.</w:t>
      </w:r>
    </w:p>
    <w:p w14:paraId="6E219255" w14:textId="77777777" w:rsidR="00217B45" w:rsidRPr="00EC326F" w:rsidRDefault="00217B45" w:rsidP="006769F2">
      <w:pPr>
        <w:pStyle w:val="Minorheading"/>
      </w:pPr>
      <w:r w:rsidRPr="00EC326F">
        <w:t>Age pension adjustments</w:t>
      </w:r>
    </w:p>
    <w:p w14:paraId="18F7B8D9" w14:textId="77777777" w:rsidR="00217B45" w:rsidRPr="00EC326F" w:rsidRDefault="00390EC5" w:rsidP="00217B45">
      <w:pPr>
        <w:pStyle w:val="PwCNormal"/>
        <w:numPr>
          <w:ilvl w:val="0"/>
          <w:numId w:val="0"/>
        </w:numPr>
      </w:pPr>
      <w:r w:rsidRPr="00EC326F">
        <w:t xml:space="preserve">There are </w:t>
      </w:r>
      <w:r w:rsidR="00217B45" w:rsidRPr="00EC326F">
        <w:t>two trends in age pension experience that require adjustment in the forward projection:</w:t>
      </w:r>
    </w:p>
    <w:p w14:paraId="727B1AF2" w14:textId="77777777" w:rsidR="00217B45" w:rsidRPr="00EC326F" w:rsidRDefault="00217B45" w:rsidP="00217B45">
      <w:pPr>
        <w:pStyle w:val="ListBullet"/>
      </w:pPr>
      <w:r w:rsidRPr="00EC326F">
        <w:t xml:space="preserve">First, the possibility of </w:t>
      </w:r>
      <w:r w:rsidR="009B6972">
        <w:t xml:space="preserve">an </w:t>
      </w:r>
      <w:r w:rsidRPr="00EC326F">
        <w:t xml:space="preserve">individual’s assets eroding, or otherwise, as they age after retirement. This may generate a pattern of increased reliance on the aged pension as people get older. This may be compounded by life transitions such as changes in a person’s health necessitating changes in living arrangements or losing a partner </w:t>
      </w:r>
    </w:p>
    <w:p w14:paraId="77C5A601" w14:textId="77777777" w:rsidR="00217B45" w:rsidRPr="00EC326F" w:rsidRDefault="00217B45" w:rsidP="00217B45">
      <w:pPr>
        <w:pStyle w:val="ListBullet"/>
      </w:pPr>
      <w:r w:rsidRPr="00EC326F">
        <w:t>Second, the expected future trend of an increased number of part pensioners as people reach retirement with more superannuation assets. This is illustrated in the chart below.</w:t>
      </w:r>
    </w:p>
    <w:p w14:paraId="747E6A5F" w14:textId="77777777" w:rsidR="00217B45" w:rsidRPr="00EC326F" w:rsidRDefault="00217B45" w:rsidP="00217B45">
      <w:pPr>
        <w:pStyle w:val="Caption"/>
      </w:pPr>
      <w:r w:rsidRPr="00EC326F">
        <w:lastRenderedPageBreak/>
        <w:t xml:space="preserve">Figure </w:t>
      </w:r>
      <w:fldSimple w:instr=" SEQ Figure \* ARABIC ">
        <w:r w:rsidR="007A42DF">
          <w:rPr>
            <w:noProof/>
          </w:rPr>
          <w:t>16</w:t>
        </w:r>
      </w:fldSimple>
      <w:r w:rsidRPr="00EC326F">
        <w:t>: Illustration of expected trend in part and full pensions</w:t>
      </w:r>
    </w:p>
    <w:p w14:paraId="30C3C203" w14:textId="21E58310" w:rsidR="00217B45" w:rsidRPr="00EC326F" w:rsidRDefault="00217B45" w:rsidP="00217B45">
      <w:pPr>
        <w:pStyle w:val="PwCNormal"/>
        <w:numPr>
          <w:ilvl w:val="0"/>
          <w:numId w:val="0"/>
        </w:numPr>
      </w:pPr>
      <w:r w:rsidRPr="00EC326F">
        <w:rPr>
          <w:noProof/>
          <w:lang w:eastAsia="en-AU"/>
        </w:rPr>
        <w:drawing>
          <wp:inline distT="0" distB="0" distL="0" distR="0" wp14:anchorId="2F2BE01A" wp14:editId="1801B905">
            <wp:extent cx="3816000" cy="2082800"/>
            <wp:effectExtent l="0" t="0" r="0" b="0"/>
            <wp:docPr id="3845" name="Picture 3845" descr="This figure is a line chart. The chart has 3 lines which show the expected proportion of people not receiving the age pension, the expected proportion of people receiving the part age pension and the expected proportion of people receiving the full pension. The proportions are based on a proportion of the eligible population. The chart is shown by year. The vertical axis shows the proportion of the eligible population and ranges from 0% to 70%. The horizontal axis shows the year from 2007 to 2047. &#10;&#10;The chart shows that the proportion of the eligible population not on the age pension is expected to remain relatively steady from 2007 to 2047 at around 20%. The proportion of the eligible population receiving for a part age pension is expected to increase from around 26% in 2007 to around 50% in 2047. The proportion of the eligible population receiving the full age pension is expected to decrease from around 55% in 2007 to around 30% in 2047.&#10;&#10;Further features shown in the chart are discussed in the accompanying text within the report.&#10;" title=" Illustration of expected trend in part and full pensions&#10;"/>
            <wp:cNvGraphicFramePr/>
            <a:graphic xmlns:a="http://schemas.openxmlformats.org/drawingml/2006/main">
              <a:graphicData uri="http://schemas.openxmlformats.org/drawingml/2006/picture">
                <pic:pic xmlns:pic="http://schemas.openxmlformats.org/drawingml/2006/picture">
                  <pic:nvPicPr>
                    <pic:cNvPr id="308" name="Picture 308" descr="Figure 22 is a line chart. The chart has 3 lines which show the expected proportion of people not receiving the age pension, the expected proportion of people receiving the part age pension and the expected proportion of people receiving the full pension. The proportions are based on a per cent of the eligible population. The chart is shown by year. The vertical axis shows the per cent of the eligible population and ranges from 0% to 70%. The horizontal axis shows the year from 2007 to 2047. &#10;&#10;The chart shows that the per cent of the eligible population not on the age pension is expected to remain relatively steady from 2007 to 2047 at around 20%. The proportion of the eligible population receiving for a part age pension is expected to increase from around 26% in 2007 to around 50% in 2047. The proportion of the eligible population receiving the full age pension is expected to decrease from around 55% in 2007 to around 30% in 2047.&#10;&#10;Further features shown in the chart are discussed in the accompanying text within the report.&#10;" title="Illustration of expected trend in part and full pensions"/>
                    <pic:cNvPicPr/>
                  </pic:nvPicPr>
                  <pic:blipFill rotWithShape="1">
                    <a:blip r:embed="rId56" cstate="print">
                      <a:extLst>
                        <a:ext uri="{28A0092B-C50C-407E-A947-70E740481C1C}">
                          <a14:useLocalDpi xmlns:a14="http://schemas.microsoft.com/office/drawing/2010/main" val="0"/>
                        </a:ext>
                      </a:extLst>
                    </a:blip>
                    <a:srcRect l="1110" t="1724" r="-766" b="-1724"/>
                    <a:stretch/>
                  </pic:blipFill>
                  <pic:spPr bwMode="auto">
                    <a:xfrm>
                      <a:off x="0" y="0"/>
                      <a:ext cx="3825307" cy="2087880"/>
                    </a:xfrm>
                    <a:prstGeom prst="rect">
                      <a:avLst/>
                    </a:prstGeom>
                    <a:ln>
                      <a:noFill/>
                    </a:ln>
                    <a:extLst>
                      <a:ext uri="{53640926-AAD7-44D8-BBD7-CCE9431645EC}">
                        <a14:shadowObscured xmlns:a14="http://schemas.microsoft.com/office/drawing/2010/main"/>
                      </a:ext>
                    </a:extLst>
                  </pic:spPr>
                </pic:pic>
              </a:graphicData>
            </a:graphic>
          </wp:inline>
        </w:drawing>
      </w:r>
    </w:p>
    <w:p w14:paraId="60F6BE89" w14:textId="77777777" w:rsidR="00217B45" w:rsidRPr="00EC326F" w:rsidRDefault="00217B45" w:rsidP="00217B45">
      <w:pPr>
        <w:pStyle w:val="Sources"/>
      </w:pPr>
      <w:r w:rsidRPr="00EC326F">
        <w:t>Source: Rothman, G. </w:t>
      </w:r>
      <w:r w:rsidRPr="00EC326F">
        <w:rPr>
          <w:i/>
          <w:iCs/>
        </w:rPr>
        <w:t>Modelling the sustainability of Australia’s retirement income system,</w:t>
      </w:r>
      <w:r w:rsidRPr="00EC326F">
        <w:t> July 2012 Paper presented to the 20th colloquium of superannuation researchers</w:t>
      </w:r>
    </w:p>
    <w:p w14:paraId="74F8789D" w14:textId="77777777" w:rsidR="00217B45" w:rsidRPr="00EC326F" w:rsidRDefault="00217B45" w:rsidP="001A4479">
      <w:pPr>
        <w:pStyle w:val="PwCNormal"/>
        <w:numPr>
          <w:ilvl w:val="0"/>
          <w:numId w:val="37"/>
        </w:numPr>
      </w:pPr>
      <w:r w:rsidRPr="00EC326F">
        <w:t>The valuation model assumptions include adjustments for both of these trends and these are consistent with the adjustments made in the baseline valuation.</w:t>
      </w:r>
    </w:p>
    <w:p w14:paraId="7B381FFC" w14:textId="6FD74E3D" w:rsidR="00217B45" w:rsidRPr="00EC326F" w:rsidRDefault="00217B45" w:rsidP="001A4479">
      <w:pPr>
        <w:pStyle w:val="PwCNormal"/>
        <w:numPr>
          <w:ilvl w:val="0"/>
          <w:numId w:val="37"/>
        </w:numPr>
      </w:pPr>
      <w:r w:rsidRPr="00EC326F">
        <w:t>For the first trend we have fitted the average payment size through explicitly identifying full and part pensioners in the current pensioner population and developing model assumptions which assign people to these gr</w:t>
      </w:r>
      <w:r w:rsidR="005E2656">
        <w:t>oups when they first enter the A</w:t>
      </w:r>
      <w:r w:rsidRPr="00EC326F">
        <w:t xml:space="preserve">ge </w:t>
      </w:r>
      <w:r w:rsidR="005E2656">
        <w:t>P</w:t>
      </w:r>
      <w:r w:rsidRPr="00EC326F">
        <w:t>ension class. We have then allowed for the trend in increased age pension sizes by modelling how a proportion of people migrate from part to full pension as their retirement progresses.</w:t>
      </w:r>
    </w:p>
    <w:p w14:paraId="332FF79D" w14:textId="77777777" w:rsidR="00D70140" w:rsidRPr="00EC326F" w:rsidRDefault="00217B45" w:rsidP="001A4479">
      <w:pPr>
        <w:pStyle w:val="PwCNormal"/>
        <w:numPr>
          <w:ilvl w:val="0"/>
          <w:numId w:val="37"/>
        </w:numPr>
      </w:pPr>
      <w:r w:rsidRPr="00EC326F">
        <w:t>For the second trend we have made a further adjustment to allow for an increased proportion of people newly entering age pension to be part pensioners. We sought a range of external information to support this assumption but have</w:t>
      </w:r>
      <w:r w:rsidR="006769F2" w:rsidRPr="00EC326F">
        <w:t xml:space="preserve"> found no</w:t>
      </w:r>
      <w:r w:rsidRPr="00EC326F">
        <w:t xml:space="preserve"> </w:t>
      </w:r>
      <w:r w:rsidR="006769F2" w:rsidRPr="00EC326F">
        <w:t xml:space="preserve">further </w:t>
      </w:r>
      <w:r w:rsidRPr="00EC326F">
        <w:t>evidence to quantify the magnitude of the likely shift in mix of the whole age pensioner population</w:t>
      </w:r>
      <w:r w:rsidR="006769F2" w:rsidRPr="00EC326F">
        <w:t xml:space="preserve"> beyond that referenced in the baseline valuation</w:t>
      </w:r>
      <w:r w:rsidRPr="00EC326F">
        <w:t xml:space="preserve">. </w:t>
      </w:r>
    </w:p>
    <w:p w14:paraId="523B1F9F" w14:textId="77777777" w:rsidR="00D70140" w:rsidRPr="00EC326F" w:rsidRDefault="00217B45" w:rsidP="001A4479">
      <w:pPr>
        <w:pStyle w:val="PwCNormal"/>
        <w:numPr>
          <w:ilvl w:val="0"/>
          <w:numId w:val="37"/>
        </w:numPr>
      </w:pPr>
      <w:r w:rsidRPr="00EC326F">
        <w:t>We also note that</w:t>
      </w:r>
      <w:r w:rsidR="006769F2" w:rsidRPr="00EC326F">
        <w:t>, as was the case last year,</w:t>
      </w:r>
      <w:r w:rsidRPr="00EC326F">
        <w:t xml:space="preserve"> the range of sizes of the possible impact will be confounded by the change in age pension asset test which might be expected to generate an increase in the proportion of full pensioners (as the asset free thresholds increase) and a reduction in part pensioner numbers (as the taper rate is doubled). </w:t>
      </w:r>
      <w:r w:rsidR="00D70140" w:rsidRPr="00EC326F">
        <w:t xml:space="preserve">The one-off impact of this change has been modelled explicitly and the future entry rate assumptions for time periods subsequent to the change recognise the change in criteria. </w:t>
      </w:r>
    </w:p>
    <w:p w14:paraId="4138EB95" w14:textId="77777777" w:rsidR="00217B45" w:rsidRPr="00EC326F" w:rsidRDefault="00D70140" w:rsidP="001A4479">
      <w:pPr>
        <w:pStyle w:val="PwCNormal"/>
        <w:numPr>
          <w:ilvl w:val="0"/>
          <w:numId w:val="37"/>
        </w:numPr>
      </w:pPr>
      <w:r w:rsidRPr="00EC326F">
        <w:t>The change in mix of part and full pensioners</w:t>
      </w:r>
      <w:r w:rsidR="00217B45" w:rsidRPr="00EC326F">
        <w:t xml:space="preserve"> will be further impacted by whether people’s investments have and will produce returns at the rates previously assumed and by behavioural responses from people post and approaching pension age. </w:t>
      </w:r>
    </w:p>
    <w:p w14:paraId="3FB27E48" w14:textId="77777777" w:rsidR="00217B45" w:rsidRPr="00EC326F" w:rsidRDefault="00217B45" w:rsidP="001A4479">
      <w:pPr>
        <w:pStyle w:val="PwCNormal"/>
        <w:numPr>
          <w:ilvl w:val="0"/>
          <w:numId w:val="37"/>
        </w:numPr>
      </w:pPr>
      <w:r w:rsidRPr="00EC326F">
        <w:t xml:space="preserve">The combined effect of all of these considerations is challenging to model and subject to a material degree of uncertainty. As such we have </w:t>
      </w:r>
      <w:r w:rsidR="006769F2" w:rsidRPr="00EC326F">
        <w:t>continued to use the</w:t>
      </w:r>
      <w:r w:rsidRPr="00EC326F">
        <w:t xml:space="preserve"> central scenario </w:t>
      </w:r>
      <w:r w:rsidR="006769F2" w:rsidRPr="00EC326F">
        <w:t xml:space="preserve">developed for the baseline valuation </w:t>
      </w:r>
      <w:r w:rsidRPr="00EC326F">
        <w:t>which we consider makes a reasonable allowance for this trend</w:t>
      </w:r>
      <w:r w:rsidR="006769F2" w:rsidRPr="00EC326F">
        <w:t>. We</w:t>
      </w:r>
      <w:r w:rsidRPr="00EC326F">
        <w:t xml:space="preserve"> have considered the extent to which this scenario impacts the overall cost as part of the sensitivity testing performed on the model. The central scenario allows for an 8% increase in the proportion of new pensioners who are part rather than full pensioners to occur gradually over the period from 2017 to 2030. This timeframe has been selected as, by 2030, most new retirees will have had an opportunity to build superannuation savings over their full working lifetimes. </w:t>
      </w:r>
    </w:p>
    <w:p w14:paraId="3DA3711D" w14:textId="77777777" w:rsidR="006769F2" w:rsidRPr="00EC326F" w:rsidRDefault="006769F2" w:rsidP="001A4479">
      <w:pPr>
        <w:pStyle w:val="PwCNormal"/>
        <w:numPr>
          <w:ilvl w:val="0"/>
          <w:numId w:val="37"/>
        </w:numPr>
      </w:pPr>
      <w:r w:rsidRPr="00EC326F">
        <w:t>Over time, as new cohorts of pensioners retire we will be able to track the extent to which the experience is in line with the assumed trend and update the assumptions accordingly.</w:t>
      </w:r>
    </w:p>
    <w:p w14:paraId="42374106" w14:textId="77777777" w:rsidR="008F6978" w:rsidRPr="00EC326F" w:rsidRDefault="008F6978" w:rsidP="008F6978">
      <w:pPr>
        <w:pStyle w:val="Heading3"/>
      </w:pPr>
      <w:bookmarkStart w:id="198" w:name="_Ref466492911"/>
      <w:bookmarkStart w:id="199" w:name="_Toc493844242"/>
      <w:r w:rsidRPr="00EC326F">
        <w:t>Economic and other adjustments</w:t>
      </w:r>
      <w:bookmarkEnd w:id="198"/>
      <w:bookmarkEnd w:id="199"/>
    </w:p>
    <w:p w14:paraId="5CC654B3" w14:textId="77777777" w:rsidR="0018224C" w:rsidRPr="00EC326F" w:rsidRDefault="0018224C" w:rsidP="0018224C">
      <w:pPr>
        <w:pStyle w:val="PwCNormal"/>
      </w:pPr>
      <w:r w:rsidRPr="00EC326F">
        <w:t>A number of adjustments are required within the valuation model framework to ensure the model provides an appropriate assessment of peoples future welfare use over their remaining lives and that this reflects current policy settings and the assumed future economic environment.</w:t>
      </w:r>
    </w:p>
    <w:p w14:paraId="3FAC48D8" w14:textId="77777777" w:rsidR="0018224C" w:rsidRPr="00EC326F" w:rsidRDefault="0018224C" w:rsidP="00D70140">
      <w:pPr>
        <w:pStyle w:val="PwCNormal-keepwithnext"/>
      </w:pPr>
      <w:r w:rsidRPr="00EC326F">
        <w:t>The adjustments include:</w:t>
      </w:r>
    </w:p>
    <w:p w14:paraId="4F735CEF" w14:textId="77777777" w:rsidR="0018224C" w:rsidRPr="00EC326F" w:rsidRDefault="0018224C" w:rsidP="0018224C">
      <w:pPr>
        <w:pStyle w:val="ListBullet"/>
      </w:pPr>
      <w:r w:rsidRPr="00EC326F">
        <w:t>Economic adjustments (introduced into the model for the first time at this 2016 valuation)</w:t>
      </w:r>
      <w:r w:rsidR="00C03C5E" w:rsidRPr="00EC326F">
        <w:t xml:space="preserve">. This has been discussed in </w:t>
      </w:r>
      <w:r w:rsidR="0011562A">
        <w:t>section</w:t>
      </w:r>
      <w:r w:rsidR="00C03C5E" w:rsidRPr="00EC326F">
        <w:t xml:space="preserve"> </w:t>
      </w:r>
      <w:r w:rsidR="00C03C5E" w:rsidRPr="00EC326F">
        <w:fldChar w:fldCharType="begin"/>
      </w:r>
      <w:r w:rsidR="00C03C5E" w:rsidRPr="00EC326F">
        <w:instrText xml:space="preserve"> REF _Ref466195980 \r \h </w:instrText>
      </w:r>
      <w:r w:rsidR="00C03C5E" w:rsidRPr="00EC326F">
        <w:fldChar w:fldCharType="separate"/>
      </w:r>
      <w:r w:rsidR="007A42DF">
        <w:t>4.5</w:t>
      </w:r>
      <w:r w:rsidR="00C03C5E" w:rsidRPr="00EC326F">
        <w:fldChar w:fldCharType="end"/>
      </w:r>
      <w:r w:rsidR="00C03C5E" w:rsidRPr="00EC326F">
        <w:t>.</w:t>
      </w:r>
    </w:p>
    <w:p w14:paraId="17C12E32" w14:textId="77777777" w:rsidR="0018224C" w:rsidRPr="00EC326F" w:rsidRDefault="0018224C" w:rsidP="0018224C">
      <w:pPr>
        <w:pStyle w:val="ListBullet"/>
      </w:pPr>
      <w:r w:rsidRPr="00EC326F">
        <w:lastRenderedPageBreak/>
        <w:t>Forward looking (policy) adjustments</w:t>
      </w:r>
      <w:r w:rsidR="00C67A0B" w:rsidRPr="00EC326F">
        <w:t xml:space="preserve"> (refined from the baseline valuation and updated to reflect current policy settings)</w:t>
      </w:r>
    </w:p>
    <w:p w14:paraId="6915E0D2" w14:textId="77777777" w:rsidR="0018224C" w:rsidRPr="00EC326F" w:rsidRDefault="0018224C" w:rsidP="0018224C">
      <w:pPr>
        <w:pStyle w:val="ListBullet"/>
      </w:pPr>
      <w:r w:rsidRPr="00EC326F">
        <w:t>Calibration adjustments</w:t>
      </w:r>
      <w:r w:rsidR="00C67A0B" w:rsidRPr="00EC326F">
        <w:t xml:space="preserve"> (retained and refined from the baseline valuation).</w:t>
      </w:r>
    </w:p>
    <w:p w14:paraId="075EBC06" w14:textId="77777777" w:rsidR="0018224C" w:rsidRPr="00EC326F" w:rsidRDefault="00C67A0B" w:rsidP="0018224C">
      <w:pPr>
        <w:pStyle w:val="PwCNormal"/>
      </w:pPr>
      <w:r w:rsidRPr="00EC326F">
        <w:t>The</w:t>
      </w:r>
      <w:r w:rsidR="00C03C5E" w:rsidRPr="00EC326F">
        <w:t xml:space="preserve"> last two groups of adjustments</w:t>
      </w:r>
      <w:r w:rsidRPr="00EC326F">
        <w:t xml:space="preserve"> are discussed in turn below.</w:t>
      </w:r>
      <w:r w:rsidR="0018224C" w:rsidRPr="00EC326F">
        <w:t xml:space="preserve"> </w:t>
      </w:r>
    </w:p>
    <w:p w14:paraId="585FDC97" w14:textId="77777777" w:rsidR="008F6978" w:rsidRPr="00EC326F" w:rsidRDefault="008F6978" w:rsidP="008F6978">
      <w:pPr>
        <w:pStyle w:val="Heading4"/>
      </w:pPr>
      <w:r w:rsidRPr="00EC326F">
        <w:t>Forward looking (policy) adjustments</w:t>
      </w:r>
    </w:p>
    <w:p w14:paraId="709E5F59" w14:textId="77777777" w:rsidR="008F6978" w:rsidRPr="00EC326F" w:rsidRDefault="008F6978" w:rsidP="008F6978">
      <w:pPr>
        <w:pStyle w:val="PwCNormal"/>
        <w:numPr>
          <w:ilvl w:val="0"/>
          <w:numId w:val="1"/>
        </w:numPr>
      </w:pPr>
      <w:r w:rsidRPr="00EC326F">
        <w:t xml:space="preserve">Forward looking adjustments may be needed to ensure the model reflects the current policy settings (those legislated at the valuation date) rather than those reflected in the recent experience. For this reason changes may need to be made to the welfare class movement, </w:t>
      </w:r>
      <w:r w:rsidR="004E079F" w:rsidRPr="00EC326F">
        <w:t>class characteristic</w:t>
      </w:r>
      <w:r w:rsidR="009622EA" w:rsidRPr="00EC326F">
        <w:t xml:space="preserve"> variable</w:t>
      </w:r>
      <w:r w:rsidR="00A54C4A">
        <w:t>s</w:t>
      </w:r>
      <w:r w:rsidR="009622EA" w:rsidRPr="00EC326F">
        <w:t xml:space="preserve">, </w:t>
      </w:r>
      <w:r w:rsidRPr="00EC326F">
        <w:t>payment utilisation and payment assumptions.</w:t>
      </w:r>
    </w:p>
    <w:p w14:paraId="06BCD903" w14:textId="77777777" w:rsidR="008F6978" w:rsidRPr="00EC326F" w:rsidRDefault="008F6978" w:rsidP="008F6978">
      <w:pPr>
        <w:pStyle w:val="PwCNormal"/>
        <w:numPr>
          <w:ilvl w:val="0"/>
          <w:numId w:val="1"/>
        </w:numPr>
      </w:pPr>
      <w:r w:rsidRPr="00EC326F">
        <w:t xml:space="preserve">Our approach for these adjustments was developed after consideration of the main recent and upcoming changes to the payment system (see </w:t>
      </w:r>
      <w:r w:rsidRPr="00EC326F">
        <w:fldChar w:fldCharType="begin"/>
      </w:r>
      <w:r w:rsidRPr="00EC326F">
        <w:instrText xml:space="preserve"> REF _Ref437259896 \n \h  \* MERGEFORMAT </w:instrText>
      </w:r>
      <w:r w:rsidRPr="00EC326F">
        <w:fldChar w:fldCharType="separate"/>
      </w:r>
      <w:r w:rsidR="007A42DF">
        <w:t>Appendix A</w:t>
      </w:r>
      <w:r w:rsidRPr="00EC326F">
        <w:fldChar w:fldCharType="end"/>
      </w:r>
      <w:r w:rsidRPr="00EC326F">
        <w:t xml:space="preserve">). It </w:t>
      </w:r>
      <w:r w:rsidR="009622EA" w:rsidRPr="00EC326F">
        <w:t xml:space="preserve">has been refined since the baseline valuation and </w:t>
      </w:r>
      <w:r w:rsidRPr="00EC326F">
        <w:t>includes the elements described below.</w:t>
      </w:r>
    </w:p>
    <w:p w14:paraId="15DE0F59" w14:textId="77777777" w:rsidR="008F6978" w:rsidRPr="00EC326F" w:rsidRDefault="008F6978" w:rsidP="008F6978">
      <w:pPr>
        <w:pStyle w:val="PwCNormal"/>
        <w:numPr>
          <w:ilvl w:val="0"/>
          <w:numId w:val="1"/>
        </w:numPr>
      </w:pPr>
      <w:r w:rsidRPr="00EC326F">
        <w:t>For policy changes which took effect prior to the valuation date:</w:t>
      </w:r>
    </w:p>
    <w:p w14:paraId="02FF9936" w14:textId="77777777" w:rsidR="008F6978" w:rsidRPr="00EC326F" w:rsidRDefault="008F6978" w:rsidP="009622EA">
      <w:pPr>
        <w:pStyle w:val="ListBullet"/>
      </w:pPr>
      <w:r w:rsidRPr="00EC326F">
        <w:t>Exclude any discontinued payment types which will not be available in 2015/16 or any subsequent years from the payment categories for which assumptions are fitted.</w:t>
      </w:r>
    </w:p>
    <w:p w14:paraId="22A551DC" w14:textId="77777777" w:rsidR="009622EA" w:rsidRPr="00EC326F" w:rsidRDefault="009622EA" w:rsidP="009622EA">
      <w:pPr>
        <w:pStyle w:val="ListBullet"/>
      </w:pPr>
      <w:r w:rsidRPr="00EC326F">
        <w:t>For material policy changes, where practical adjust the historic data to reflect the current policy settings prior to fitting the assumptions</w:t>
      </w:r>
    </w:p>
    <w:p w14:paraId="3B4222F7" w14:textId="77777777" w:rsidR="009622EA" w:rsidRPr="00EC326F" w:rsidRDefault="009622EA" w:rsidP="009622EA">
      <w:pPr>
        <w:pStyle w:val="ListBullet"/>
      </w:pPr>
      <w:r w:rsidRPr="00EC326F">
        <w:t>Select appropriate reference periods for assumption fitting and explicitly calibrate the final assumptions to align with these selections:</w:t>
      </w:r>
    </w:p>
    <w:p w14:paraId="7344377E" w14:textId="77777777" w:rsidR="008F6978" w:rsidRPr="00EC326F" w:rsidRDefault="008F6978" w:rsidP="009622EA">
      <w:pPr>
        <w:pStyle w:val="ListBullet2"/>
      </w:pPr>
      <w:r w:rsidRPr="00EC326F">
        <w:t>Where possible develop assumptions with reference to periods of past experience which exclude periods impacted by policy change.</w:t>
      </w:r>
    </w:p>
    <w:p w14:paraId="1B11CDD8" w14:textId="77777777" w:rsidR="008F6978" w:rsidRPr="00EC326F" w:rsidRDefault="008F6978" w:rsidP="009622EA">
      <w:pPr>
        <w:pStyle w:val="ListBullet2"/>
      </w:pPr>
      <w:r w:rsidRPr="00EC326F">
        <w:t>Discuss and review the assumptions jointly with Department staff to ensure drivers of variations in experience are identified and adjusted for as far as is practical.</w:t>
      </w:r>
    </w:p>
    <w:p w14:paraId="15128EB2" w14:textId="77777777" w:rsidR="008F6978" w:rsidRPr="00EC326F" w:rsidRDefault="008F6978" w:rsidP="009622EA">
      <w:pPr>
        <w:pStyle w:val="ListBullet2"/>
      </w:pPr>
      <w:r w:rsidRPr="00EC326F">
        <w:t xml:space="preserve">Where no appropriate reference period is available, adjust the analysis developed from the historical experience using expert judgement. </w:t>
      </w:r>
    </w:p>
    <w:p w14:paraId="03F8F120" w14:textId="77777777" w:rsidR="008F6978" w:rsidRPr="00EC326F" w:rsidRDefault="008F6978" w:rsidP="00C03C5E">
      <w:pPr>
        <w:pStyle w:val="PwCNormal-keepwithnext"/>
      </w:pPr>
      <w:r w:rsidRPr="00EC326F">
        <w:t>For policy changes which will take effect after the valuation date:</w:t>
      </w:r>
    </w:p>
    <w:p w14:paraId="0046FD6B" w14:textId="77777777" w:rsidR="008F6978" w:rsidRPr="00EC326F" w:rsidRDefault="008F6978" w:rsidP="00C3450F">
      <w:pPr>
        <w:pStyle w:val="ListBullet"/>
      </w:pPr>
      <w:r w:rsidRPr="00EC326F">
        <w:t>Model retirement timing based on each individual’s actual pension age in order to allow for future changes to retirement age.</w:t>
      </w:r>
    </w:p>
    <w:p w14:paraId="3E74AC77" w14:textId="77777777" w:rsidR="008F6978" w:rsidRPr="00EC326F" w:rsidRDefault="008F6978" w:rsidP="00C3450F">
      <w:pPr>
        <w:pStyle w:val="ListBullet"/>
      </w:pPr>
      <w:r w:rsidRPr="00EC326F">
        <w:t xml:space="preserve">Make explicit adjustments for major policy changes which form part of current legislation </w:t>
      </w:r>
      <w:r w:rsidR="00C3450F" w:rsidRPr="00EC326F">
        <w:t>based on external information such as Departmental modelling and the information provided to support the relevant legislation</w:t>
      </w:r>
      <w:r w:rsidRPr="00EC326F">
        <w:t xml:space="preserve">. </w:t>
      </w:r>
      <w:r w:rsidR="00C3450F" w:rsidRPr="00EC326F">
        <w:t>The approach for implementing these is developed on a case by case basis.</w:t>
      </w:r>
    </w:p>
    <w:p w14:paraId="1D092CB9" w14:textId="77777777" w:rsidR="008F6978" w:rsidRPr="00EC326F" w:rsidRDefault="008F6978" w:rsidP="008F6978">
      <w:pPr>
        <w:pStyle w:val="PwCNormal"/>
        <w:numPr>
          <w:ilvl w:val="0"/>
          <w:numId w:val="0"/>
        </w:numPr>
      </w:pPr>
      <w:r w:rsidRPr="00EC326F">
        <w:t>At this 30 June 201</w:t>
      </w:r>
      <w:r w:rsidR="00C3450F" w:rsidRPr="00EC326F">
        <w:t>6</w:t>
      </w:r>
      <w:r w:rsidRPr="00EC326F">
        <w:t xml:space="preserve"> valuation we have allowed for a number of past policy changes in selecting assumptions based on the analysis of past experience. </w:t>
      </w:r>
      <w:r w:rsidR="00C3450F" w:rsidRPr="00EC326F">
        <w:t>In particular</w:t>
      </w:r>
      <w:r w:rsidRPr="00EC326F">
        <w:t xml:space="preserve"> we have </w:t>
      </w:r>
      <w:r w:rsidR="00C3450F" w:rsidRPr="00EC326F">
        <w:t xml:space="preserve">continued to </w:t>
      </w:r>
      <w:r w:rsidRPr="00EC326F">
        <w:t xml:space="preserve">observe changes in rates of movements into disability </w:t>
      </w:r>
      <w:r w:rsidR="004B5674" w:rsidRPr="00EC326F">
        <w:t xml:space="preserve">support </w:t>
      </w:r>
      <w:r w:rsidRPr="00EC326F">
        <w:t xml:space="preserve">pension over recent years. </w:t>
      </w:r>
    </w:p>
    <w:p w14:paraId="04056EC2" w14:textId="77777777" w:rsidR="00C3450F" w:rsidRPr="00EC326F" w:rsidRDefault="00C3450F" w:rsidP="008F6978">
      <w:pPr>
        <w:pStyle w:val="PwCNormal"/>
        <w:numPr>
          <w:ilvl w:val="0"/>
          <w:numId w:val="0"/>
        </w:numPr>
      </w:pPr>
      <w:r w:rsidRPr="00EC326F">
        <w:t xml:space="preserve">We have also made an explicit assumption as to the likely future utilisation and payments for payment category N – </w:t>
      </w:r>
      <w:r w:rsidR="0018224C" w:rsidRPr="00EC326F">
        <w:t>O</w:t>
      </w:r>
      <w:r w:rsidRPr="00EC326F">
        <w:t xml:space="preserve">ther study and skills. The Student Start </w:t>
      </w:r>
      <w:r w:rsidR="0018224C" w:rsidRPr="00EC326F">
        <w:t>U</w:t>
      </w:r>
      <w:r w:rsidRPr="00EC326F">
        <w:t xml:space="preserve">p Scholarship was a </w:t>
      </w:r>
      <w:r w:rsidR="0018224C" w:rsidRPr="00EC326F">
        <w:t>core payment within th</w:t>
      </w:r>
      <w:r w:rsidRPr="00EC326F">
        <w:t xml:space="preserve">is payment category </w:t>
      </w:r>
      <w:r w:rsidR="0018224C" w:rsidRPr="00EC326F">
        <w:t xml:space="preserve">and has now been replaced by the Student Start Up Loan. Our approach for determining the impact of this change is to reference the views of Departmental experts to form an initial view of the likely experience; this will be revisited in future valuations as the actual experience emerges. </w:t>
      </w:r>
    </w:p>
    <w:p w14:paraId="5F76A8C5" w14:textId="77777777" w:rsidR="00C3450F" w:rsidRPr="00EC326F" w:rsidRDefault="008F6978" w:rsidP="008F6978">
      <w:pPr>
        <w:pStyle w:val="PwCNormal"/>
        <w:numPr>
          <w:ilvl w:val="0"/>
          <w:numId w:val="0"/>
        </w:numPr>
      </w:pPr>
      <w:r w:rsidRPr="00EC326F">
        <w:t>We have also allowed for future policy changes including the change in retirement age from age 65 to age 67; the impacts of the changes to the pensions assets test</w:t>
      </w:r>
      <w:r w:rsidR="00C3450F" w:rsidRPr="00EC326F">
        <w:t xml:space="preserve"> which will take effect from 1 January 2017</w:t>
      </w:r>
      <w:r w:rsidRPr="00EC326F">
        <w:t xml:space="preserve"> and for the discontinuation of Schoolkids Bonus</w:t>
      </w:r>
      <w:r w:rsidR="00C3450F" w:rsidRPr="00EC326F">
        <w:t>,</w:t>
      </w:r>
      <w:r w:rsidRPr="00EC326F">
        <w:t xml:space="preserve"> the Income Support Bonus</w:t>
      </w:r>
      <w:r w:rsidR="00C3450F" w:rsidRPr="00EC326F">
        <w:t xml:space="preserve"> and Low Income Supplement.</w:t>
      </w:r>
    </w:p>
    <w:p w14:paraId="6635726B" w14:textId="77777777" w:rsidR="008F6978" w:rsidRPr="00EC326F" w:rsidRDefault="008F6978" w:rsidP="008F6978">
      <w:pPr>
        <w:pStyle w:val="Heading4"/>
      </w:pPr>
      <w:r w:rsidRPr="00EC326F">
        <w:t xml:space="preserve">Other adjustments </w:t>
      </w:r>
    </w:p>
    <w:p w14:paraId="2B735F72" w14:textId="77777777" w:rsidR="008F6978" w:rsidRPr="00EC326F" w:rsidRDefault="008F6978" w:rsidP="003C2CF0">
      <w:pPr>
        <w:pStyle w:val="PwCNormal"/>
        <w:numPr>
          <w:ilvl w:val="0"/>
          <w:numId w:val="1"/>
        </w:numPr>
      </w:pPr>
      <w:r w:rsidRPr="00EC326F">
        <w:t>Benchmarking and calibration adjustments may also need to be made to reconcile aggregate projections of population characteristics with external benchmark sources, such as reports released by Treasury and the ABS and to ensure the model does not drift out of alignment over the long projection timeframe. They may also be used to adjust for other longer term trends that are not reflected sufficiently within the other assumptions.</w:t>
      </w:r>
    </w:p>
    <w:p w14:paraId="04215376" w14:textId="77777777" w:rsidR="008F6978" w:rsidRPr="00EC326F" w:rsidRDefault="008F6978" w:rsidP="008F6978">
      <w:pPr>
        <w:pStyle w:val="PwCNormal"/>
        <w:numPr>
          <w:ilvl w:val="0"/>
          <w:numId w:val="1"/>
        </w:numPr>
      </w:pPr>
      <w:r w:rsidRPr="00EC326F">
        <w:lastRenderedPageBreak/>
        <w:t xml:space="preserve">For this </w:t>
      </w:r>
      <w:r w:rsidR="0018224C" w:rsidRPr="00EC326F">
        <w:t>2016</w:t>
      </w:r>
      <w:r w:rsidRPr="00EC326F">
        <w:t xml:space="preserve"> valuation we included the following adjustments:</w:t>
      </w:r>
    </w:p>
    <w:p w14:paraId="0D8B8E71" w14:textId="77777777" w:rsidR="008F6978" w:rsidRPr="00EC326F" w:rsidRDefault="008F6978" w:rsidP="008F6978">
      <w:pPr>
        <w:pStyle w:val="ListBullet"/>
      </w:pPr>
      <w:r w:rsidRPr="00EC326F">
        <w:t xml:space="preserve">Age pension adjustments (discussed </w:t>
      </w:r>
      <w:r w:rsidR="009D746F" w:rsidRPr="00EC326F">
        <w:t xml:space="preserve">in </w:t>
      </w:r>
      <w:r w:rsidR="0011562A">
        <w:t>section</w:t>
      </w:r>
      <w:r w:rsidR="0018224C" w:rsidRPr="00EC326F">
        <w:t xml:space="preserve"> </w:t>
      </w:r>
      <w:r w:rsidR="009D746F" w:rsidRPr="00EC326F">
        <w:fldChar w:fldCharType="begin"/>
      </w:r>
      <w:r w:rsidR="009D746F" w:rsidRPr="00EC326F">
        <w:instrText xml:space="preserve"> REF _Ref466184635 \r \h  \* MERGEFORMAT </w:instrText>
      </w:r>
      <w:r w:rsidR="009D746F" w:rsidRPr="00EC326F">
        <w:fldChar w:fldCharType="separate"/>
      </w:r>
      <w:r w:rsidR="007A42DF">
        <w:t>5.8</w:t>
      </w:r>
      <w:r w:rsidR="009D746F" w:rsidRPr="00EC326F">
        <w:fldChar w:fldCharType="end"/>
      </w:r>
      <w:r w:rsidRPr="00EC326F">
        <w:t>)</w:t>
      </w:r>
    </w:p>
    <w:p w14:paraId="3DE43DD9" w14:textId="77777777" w:rsidR="008F6978" w:rsidRPr="00EC326F" w:rsidRDefault="008F6978" w:rsidP="008F6978">
      <w:pPr>
        <w:pStyle w:val="ListBullet"/>
      </w:pPr>
      <w:r w:rsidRPr="00EC326F">
        <w:t xml:space="preserve">Demographic calibration adjustments (discussed in </w:t>
      </w:r>
      <w:r w:rsidR="0011562A">
        <w:t>section</w:t>
      </w:r>
      <w:r w:rsidRPr="00EC326F">
        <w:t xml:space="preserve"> </w:t>
      </w:r>
      <w:r w:rsidR="00D70140" w:rsidRPr="00EC326F">
        <w:fldChar w:fldCharType="begin"/>
      </w:r>
      <w:r w:rsidR="00D70140" w:rsidRPr="00EC326F">
        <w:instrText xml:space="preserve"> REF _Ref466390260 \r \h </w:instrText>
      </w:r>
      <w:r w:rsidR="00D70140" w:rsidRPr="00EC326F">
        <w:fldChar w:fldCharType="separate"/>
      </w:r>
      <w:r w:rsidR="007A42DF">
        <w:t>5.3</w:t>
      </w:r>
      <w:r w:rsidR="00D70140" w:rsidRPr="00EC326F">
        <w:fldChar w:fldCharType="end"/>
      </w:r>
      <w:r w:rsidRPr="00EC326F">
        <w:t>)</w:t>
      </w:r>
    </w:p>
    <w:p w14:paraId="78257B88" w14:textId="77777777" w:rsidR="0018224C" w:rsidRPr="00EC326F" w:rsidRDefault="0018224C" w:rsidP="008F6978">
      <w:pPr>
        <w:pStyle w:val="ListBullet"/>
      </w:pPr>
      <w:r w:rsidRPr="00EC326F">
        <w:t>Alignment adjustments (discuss</w:t>
      </w:r>
      <w:r w:rsidR="00D70140" w:rsidRPr="00EC326F">
        <w:t>ed below</w:t>
      </w:r>
      <w:r w:rsidRPr="00EC326F">
        <w:t>)</w:t>
      </w:r>
    </w:p>
    <w:p w14:paraId="5100F81B" w14:textId="77777777" w:rsidR="00D70140" w:rsidRPr="00EC326F" w:rsidRDefault="00D70140" w:rsidP="00D70140">
      <w:pPr>
        <w:pStyle w:val="Minorheading"/>
      </w:pPr>
      <w:r w:rsidRPr="00EC326F">
        <w:t>Alignment of welfare class and new entrant assumptions</w:t>
      </w:r>
    </w:p>
    <w:p w14:paraId="2D3B0CA2" w14:textId="77777777" w:rsidR="00D70140" w:rsidRPr="00EC326F" w:rsidRDefault="00D70140" w:rsidP="00D70140">
      <w:pPr>
        <w:pStyle w:val="PwCNormal"/>
      </w:pPr>
      <w:r w:rsidRPr="00EC326F">
        <w:t xml:space="preserve">The welfare class movement and new entrant assumptions were initially developed as independent modules and then brought into the full model structure where they are used in combination with other model components, including the demographic, class characteristic, payment utilisation assumptions and the population module. </w:t>
      </w:r>
    </w:p>
    <w:p w14:paraId="4D60811C" w14:textId="77777777" w:rsidR="00D70140" w:rsidRPr="00EC326F" w:rsidRDefault="00D70140" w:rsidP="00D70140">
      <w:pPr>
        <w:pStyle w:val="PwCNormal"/>
      </w:pPr>
      <w:r w:rsidRPr="00EC326F">
        <w:t>One would expect that, over time, there would be relative stability or gradual trends in the proportions of people transitioning from one origin class to different destination classes for groups of people of similar ages and genders in each class. Trends in profiles may occur, for example, as a result of the impact of policy changes leading to a change in mix of people in the class over time.</w:t>
      </w:r>
    </w:p>
    <w:p w14:paraId="0A45FC59" w14:textId="77777777" w:rsidR="00D70140" w:rsidRPr="00EC326F" w:rsidRDefault="00D70140" w:rsidP="00715253">
      <w:pPr>
        <w:pStyle w:val="PwCNormal"/>
      </w:pPr>
      <w:r w:rsidRPr="00EC326F">
        <w:t>As part of the overall development of the valuation model the level of projected class movements was reviewed and the need for calibration adjustments considered. This was done by considering the forecast experience for people in different classes and age bands with different simulated characteristics in future years (a cross sectional analysis) and by reviewing how the experience at different ages compares for successive cohorts of people over time (a longitudinal analysis). Based on this assessment we have included a small number of explicit calibration adjustments in the final assumptions.</w:t>
      </w:r>
    </w:p>
    <w:p w14:paraId="39EE8865" w14:textId="77777777" w:rsidR="008F6978" w:rsidRPr="00EC326F" w:rsidRDefault="008F6978" w:rsidP="008F6978">
      <w:pPr>
        <w:pStyle w:val="Heading3"/>
      </w:pPr>
      <w:bookmarkStart w:id="200" w:name="_Ref466557333"/>
      <w:bookmarkStart w:id="201" w:name="_Toc493844243"/>
      <w:r w:rsidRPr="00EC326F">
        <w:t>Economic assumptions</w:t>
      </w:r>
      <w:bookmarkEnd w:id="200"/>
      <w:bookmarkEnd w:id="201"/>
    </w:p>
    <w:p w14:paraId="0EF36F06" w14:textId="77777777" w:rsidR="00A040EF" w:rsidRPr="00EC326F" w:rsidRDefault="00A040EF" w:rsidP="001A4479">
      <w:pPr>
        <w:pStyle w:val="PwCNormal"/>
        <w:numPr>
          <w:ilvl w:val="0"/>
          <w:numId w:val="37"/>
        </w:numPr>
        <w:rPr>
          <w:snapToGrid/>
        </w:rPr>
      </w:pPr>
      <w:r w:rsidRPr="00EC326F">
        <w:rPr>
          <w:lang w:eastAsia="en-AU"/>
        </w:rPr>
        <w:t>The lifetime cost will be estimated as the net present value of projected payments. Payments are expected to increase in each future year and the indexed payments will then need to be discounted or deflated to allow for the time</w:t>
      </w:r>
      <w:r w:rsidR="00795805">
        <w:rPr>
          <w:lang w:eastAsia="en-AU"/>
        </w:rPr>
        <w:t xml:space="preserve"> </w:t>
      </w:r>
      <w:r w:rsidRPr="00EC326F">
        <w:rPr>
          <w:lang w:eastAsia="en-AU"/>
        </w:rPr>
        <w:t xml:space="preserve">value of money. </w:t>
      </w:r>
      <w:r w:rsidRPr="00EC326F">
        <w:t xml:space="preserve">The economic assumptions relate to both the rate of indexation of payments over time and the rate at which they are discounted to their present value. </w:t>
      </w:r>
    </w:p>
    <w:p w14:paraId="2BF6F4F9" w14:textId="77777777" w:rsidR="00A040EF" w:rsidRPr="00EC326F" w:rsidRDefault="00A040EF" w:rsidP="00A040EF">
      <w:pPr>
        <w:pStyle w:val="Heading4"/>
      </w:pPr>
      <w:r w:rsidRPr="00EC326F">
        <w:t>Indexation assumptions</w:t>
      </w:r>
    </w:p>
    <w:p w14:paraId="3C20CC59" w14:textId="77777777" w:rsidR="00A040EF" w:rsidRPr="00EC326F" w:rsidRDefault="00A040EF" w:rsidP="001A4479">
      <w:pPr>
        <w:pStyle w:val="PwCNormal"/>
        <w:numPr>
          <w:ilvl w:val="0"/>
          <w:numId w:val="37"/>
        </w:numPr>
      </w:pPr>
      <w:r w:rsidRPr="00EC326F">
        <w:t xml:space="preserve">Indexation assumptions reflect how payments are expected to increase in each future year and are based on the relevant inflation index together with information on any planned changes to the payment structure or criteria. The assumptions will vary by payment category. </w:t>
      </w:r>
    </w:p>
    <w:p w14:paraId="514C4EA5" w14:textId="77777777" w:rsidR="00A040EF" w:rsidRPr="00EC326F" w:rsidRDefault="00A040EF" w:rsidP="001A4479">
      <w:pPr>
        <w:pStyle w:val="PwCNormal"/>
        <w:numPr>
          <w:ilvl w:val="0"/>
          <w:numId w:val="37"/>
        </w:numPr>
        <w:rPr>
          <w:rFonts w:cs="Georgia"/>
          <w:szCs w:val="22"/>
          <w:lang w:eastAsia="en-AU"/>
        </w:rPr>
      </w:pPr>
      <w:r w:rsidRPr="00EC326F">
        <w:t>The relevant rate of inflation applied to the index is a function of the macroeconomic outlook. Accordingly, the assumptions are aligned with Treasury’s</w:t>
      </w:r>
      <w:r w:rsidRPr="00EC326F">
        <w:rPr>
          <w:rFonts w:cs="Georgia"/>
          <w:szCs w:val="22"/>
          <w:lang w:eastAsia="en-AU"/>
        </w:rPr>
        <w:t xml:space="preserve"> forecasts and medium- to long-term approach for projecting price indices, as outlined in the 2016-17 Budget and 2015 Intergenerational report. Under this framework, the indexation rates are largely determined by the economic cycle over the short to medium term, but are fixed over the long term in line with economic fundamentals. </w:t>
      </w:r>
    </w:p>
    <w:p w14:paraId="7771E163" w14:textId="77777777" w:rsidR="00A040EF" w:rsidRPr="00EC326F" w:rsidRDefault="00A040EF" w:rsidP="001A4479">
      <w:pPr>
        <w:pStyle w:val="PwCNormal"/>
        <w:numPr>
          <w:ilvl w:val="0"/>
          <w:numId w:val="37"/>
        </w:numPr>
        <w:rPr>
          <w:rFonts w:cs="Georgia"/>
          <w:szCs w:val="22"/>
          <w:lang w:eastAsia="en-AU"/>
        </w:rPr>
      </w:pPr>
      <w:r w:rsidRPr="00EC326F">
        <w:rPr>
          <w:rFonts w:cs="Georgia"/>
          <w:szCs w:val="22"/>
          <w:lang w:eastAsia="en-AU"/>
        </w:rPr>
        <w:t>The valuation assumes:</w:t>
      </w:r>
    </w:p>
    <w:p w14:paraId="66E07DD0" w14:textId="77777777" w:rsidR="00A040EF" w:rsidRPr="00EC326F" w:rsidRDefault="00A040EF" w:rsidP="001A4479">
      <w:pPr>
        <w:pStyle w:val="Bullet1"/>
        <w:numPr>
          <w:ilvl w:val="0"/>
          <w:numId w:val="42"/>
        </w:numPr>
        <w:rPr>
          <w:lang w:eastAsia="en-AU"/>
        </w:rPr>
      </w:pPr>
      <w:r w:rsidRPr="00EC326F">
        <w:rPr>
          <w:lang w:eastAsia="en-AU"/>
        </w:rPr>
        <w:t>Short-term growth (up to 2017-18) consistent with 2016-17 Budget forecasts</w:t>
      </w:r>
      <w:r w:rsidR="00152FD4">
        <w:rPr>
          <w:lang w:eastAsia="en-AU"/>
        </w:rPr>
        <w:t>.</w:t>
      </w:r>
    </w:p>
    <w:p w14:paraId="4D476F4D" w14:textId="77777777" w:rsidR="00A040EF" w:rsidRPr="00EC326F" w:rsidRDefault="00C03C5E" w:rsidP="001A4479">
      <w:pPr>
        <w:pStyle w:val="Bullet1"/>
        <w:numPr>
          <w:ilvl w:val="0"/>
          <w:numId w:val="42"/>
        </w:numPr>
        <w:rPr>
          <w:lang w:eastAsia="en-AU"/>
        </w:rPr>
      </w:pPr>
      <w:r w:rsidRPr="00EC326F">
        <w:rPr>
          <w:noProof/>
          <w:highlight w:val="yellow"/>
          <w:lang w:eastAsia="en-AU"/>
        </w:rPr>
        <w:drawing>
          <wp:anchor distT="0" distB="0" distL="114300" distR="114300" simplePos="0" relativeHeight="251660288" behindDoc="0" locked="0" layoutInCell="1" allowOverlap="1" wp14:anchorId="7A7C83A3" wp14:editId="69ADDCE2">
            <wp:simplePos x="0" y="0"/>
            <wp:positionH relativeFrom="page">
              <wp:posOffset>818727</wp:posOffset>
            </wp:positionH>
            <wp:positionV relativeFrom="page">
              <wp:posOffset>9781117</wp:posOffset>
            </wp:positionV>
            <wp:extent cx="514800" cy="536400"/>
            <wp:effectExtent l="0" t="0" r="0" b="0"/>
            <wp:wrapNone/>
            <wp:docPr id="311" name="Picture 311" descr="Decorative image of a mother pushing a stroller."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8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0EF" w:rsidRPr="00EC326F">
        <w:rPr>
          <w:lang w:eastAsia="en-AU"/>
        </w:rPr>
        <w:t>Medium-term growth (from 2017-18 to 2022-23) consistent with published 2016-17 Budget projections to 2019-20 and interpolated for years between 2020-21 and 2022-23</w:t>
      </w:r>
      <w:r w:rsidR="00152FD4">
        <w:rPr>
          <w:lang w:eastAsia="en-AU"/>
        </w:rPr>
        <w:t>.</w:t>
      </w:r>
    </w:p>
    <w:p w14:paraId="4885B58A" w14:textId="77777777" w:rsidR="00A040EF" w:rsidRPr="00EC326F" w:rsidRDefault="00A040EF" w:rsidP="001A4479">
      <w:pPr>
        <w:pStyle w:val="Bullet1"/>
        <w:numPr>
          <w:ilvl w:val="0"/>
          <w:numId w:val="42"/>
        </w:numPr>
        <w:rPr>
          <w:lang w:eastAsia="en-AU"/>
        </w:rPr>
      </w:pPr>
      <w:r w:rsidRPr="00EC326F">
        <w:rPr>
          <w:lang w:eastAsia="en-AU"/>
        </w:rPr>
        <w:t xml:space="preserve">Long-term growth in the Consumer Price Index (CPI) and the Pensioner and Beneficiary Living Cost Index (PBLCI) of 2.5 per cent per annum and Male Total Average Weekly Earnings (MTAWE) of 4.0 per cent per annum. </w:t>
      </w:r>
    </w:p>
    <w:p w14:paraId="4C923D6F" w14:textId="77777777" w:rsidR="00A040EF" w:rsidRPr="00152FD4" w:rsidRDefault="0019335C" w:rsidP="001A4479">
      <w:pPr>
        <w:pStyle w:val="Bullet1"/>
        <w:numPr>
          <w:ilvl w:val="0"/>
          <w:numId w:val="42"/>
        </w:numPr>
        <w:rPr>
          <w:lang w:eastAsia="en-AU"/>
        </w:rPr>
      </w:pPr>
      <w:r w:rsidRPr="00152FD4">
        <w:rPr>
          <w:lang w:eastAsia="en-AU"/>
        </w:rPr>
        <w:t>Rates of increase in minimum wage in line with past experience</w:t>
      </w:r>
      <w:r w:rsidR="00A040EF" w:rsidRPr="00152FD4">
        <w:rPr>
          <w:lang w:eastAsia="en-AU"/>
        </w:rPr>
        <w:t>.</w:t>
      </w:r>
    </w:p>
    <w:p w14:paraId="214B9E0C" w14:textId="77777777" w:rsidR="00A040EF" w:rsidRPr="00EC326F" w:rsidRDefault="00A040EF" w:rsidP="001A4479">
      <w:pPr>
        <w:pStyle w:val="PwCNormal"/>
        <w:keepNext/>
        <w:numPr>
          <w:ilvl w:val="0"/>
          <w:numId w:val="37"/>
        </w:numPr>
        <w:rPr>
          <w:lang w:eastAsia="en-AU"/>
        </w:rPr>
      </w:pPr>
      <w:r w:rsidRPr="00EC326F">
        <w:rPr>
          <w:lang w:eastAsia="en-AU"/>
        </w:rPr>
        <w:lastRenderedPageBreak/>
        <w:t>The key economic assumptions are shown below:</w:t>
      </w:r>
    </w:p>
    <w:p w14:paraId="6CFAFA37" w14:textId="77777777" w:rsidR="00A040EF" w:rsidRPr="00EC326F" w:rsidRDefault="00A040EF" w:rsidP="00A040EF">
      <w:pPr>
        <w:pStyle w:val="Caption"/>
      </w:pPr>
      <w:r w:rsidRPr="00EC326F">
        <w:t xml:space="preserve">Table </w:t>
      </w:r>
      <w:fldSimple w:instr=" SEQ Table \* ARABIC ">
        <w:r w:rsidR="007A42DF">
          <w:rPr>
            <w:noProof/>
          </w:rPr>
          <w:t>17</w:t>
        </w:r>
      </w:fldSimple>
      <w:r w:rsidRPr="00EC326F">
        <w:t>: Indexation growth assumptions</w:t>
      </w:r>
    </w:p>
    <w:tbl>
      <w:tblPr>
        <w:tblStyle w:val="Tables-APBase"/>
        <w:tblW w:w="4675" w:type="pct"/>
        <w:tblInd w:w="108" w:type="dxa"/>
        <w:tblBorders>
          <w:bottom w:val="single" w:sz="4" w:space="0" w:color="E0301E"/>
          <w:insideH w:val="single" w:sz="4" w:space="0" w:color="E0301E"/>
        </w:tblBorders>
        <w:tblLayout w:type="fixed"/>
        <w:tblLook w:val="04A0" w:firstRow="1" w:lastRow="0" w:firstColumn="1" w:lastColumn="0" w:noHBand="0" w:noVBand="1"/>
        <w:tblCaption w:val=" Indexation growth assumptions&#10;"/>
        <w:tblDescription w:val="This table lists economic growth assumptions. It has five columns: 2016-17, 2017-18, 2018-19, 2019-20, 2020-21 to 2022-23 and 2023-24 to 2055-56.&#10;&#10;The first row lists figures for the CPI , the second row provides PBLCI forecasts. The third row shows MTAWE data and the fourth row provides figures for the National minimum wage. &#10;&#10;The CPI takes values 2%, 2.25%,2.5%,2.5%,2.5% and 2.5% in each column moving from left to right.&#10;&#10;The PBLCI takes values 2%, 2%, 2.08%, 2.17%, 2.25-2.42% and 2.5% in each column moving from left to right.&#10;&#10;The MTAWE takes values 2.5%, 2.75%, 3.25%, 3.5%, 3.63-3.88% and 4% in each column moving from left to right.&#10;&#10;The National Minimum Wage takes values 2.41%, 3%, 3%, 3%, 3% and 3% in each column moving from left to right.&#10;&#10;Refer to the description of Figure 17 for further detail. &#10;"/>
      </w:tblPr>
      <w:tblGrid>
        <w:gridCol w:w="1986"/>
        <w:gridCol w:w="1204"/>
        <w:gridCol w:w="1205"/>
        <w:gridCol w:w="1204"/>
        <w:gridCol w:w="1205"/>
        <w:gridCol w:w="1311"/>
        <w:gridCol w:w="1311"/>
      </w:tblGrid>
      <w:tr w:rsidR="0019335C" w:rsidRPr="00EC326F" w14:paraId="265EB38D" w14:textId="77777777" w:rsidTr="0019335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86" w:type="dxa"/>
            <w:tcBorders>
              <w:top w:val="single" w:sz="4" w:space="0" w:color="FFFFFF"/>
              <w:left w:val="single" w:sz="4" w:space="0" w:color="FFFFFF"/>
              <w:bottom w:val="single" w:sz="4" w:space="0" w:color="E0301E"/>
              <w:right w:val="single" w:sz="4" w:space="0" w:color="FFFFFF"/>
            </w:tcBorders>
            <w:shd w:val="clear" w:color="auto" w:fill="E0301E"/>
            <w:hideMark/>
          </w:tcPr>
          <w:p w14:paraId="735DF13C" w14:textId="77777777" w:rsidR="0019335C" w:rsidRPr="00EC326F" w:rsidRDefault="0019335C" w:rsidP="00715253">
            <w:pPr>
              <w:pStyle w:val="TableColumnHeadingSmall"/>
            </w:pPr>
            <w:r w:rsidRPr="00EC326F">
              <w:t>Indexation parameter</w:t>
            </w:r>
          </w:p>
        </w:tc>
        <w:tc>
          <w:tcPr>
            <w:tcW w:w="1204"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75FC824E" w14:textId="77777777" w:rsidR="0019335C" w:rsidRPr="00EC326F" w:rsidRDefault="0019335C" w:rsidP="00715253">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2016-17</w:t>
            </w:r>
          </w:p>
        </w:tc>
        <w:tc>
          <w:tcPr>
            <w:tcW w:w="1205"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731FDFBF" w14:textId="77777777" w:rsidR="0019335C" w:rsidRPr="00EC326F" w:rsidRDefault="0019335C" w:rsidP="00715253">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2017-18</w:t>
            </w:r>
          </w:p>
        </w:tc>
        <w:tc>
          <w:tcPr>
            <w:tcW w:w="1204"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28D79481" w14:textId="77777777" w:rsidR="0019335C" w:rsidRPr="00EC326F" w:rsidRDefault="0019335C" w:rsidP="00715253">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2018-19</w:t>
            </w:r>
          </w:p>
        </w:tc>
        <w:tc>
          <w:tcPr>
            <w:tcW w:w="1205"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7168E4EA" w14:textId="77777777" w:rsidR="0019335C" w:rsidRPr="00EC326F" w:rsidRDefault="0019335C" w:rsidP="00715253">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2019-20</w:t>
            </w:r>
          </w:p>
        </w:tc>
        <w:tc>
          <w:tcPr>
            <w:tcW w:w="1311"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6022CCDB" w14:textId="77777777" w:rsidR="0019335C" w:rsidRPr="00EC326F" w:rsidRDefault="0019335C" w:rsidP="00715253">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2020-21 to 2022-23</w:t>
            </w:r>
          </w:p>
        </w:tc>
        <w:tc>
          <w:tcPr>
            <w:tcW w:w="1311"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3219E479" w14:textId="77777777" w:rsidR="0019335C" w:rsidRPr="00EC326F" w:rsidRDefault="0019335C" w:rsidP="00715253">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2023-24 to 2055-56</w:t>
            </w:r>
          </w:p>
        </w:tc>
      </w:tr>
      <w:tr w:rsidR="0019335C" w:rsidRPr="00EC326F" w14:paraId="201D29F1" w14:textId="77777777" w:rsidTr="0019335C">
        <w:trPr>
          <w:trHeight w:val="213"/>
        </w:trPr>
        <w:tc>
          <w:tcPr>
            <w:tcW w:w="1986" w:type="dxa"/>
            <w:tcBorders>
              <w:top w:val="single" w:sz="4" w:space="0" w:color="E0301E"/>
              <w:left w:val="single" w:sz="4" w:space="0" w:color="FFFFFF"/>
              <w:bottom w:val="single" w:sz="4" w:space="0" w:color="E0301E"/>
              <w:right w:val="single" w:sz="4" w:space="0" w:color="FFFFFF"/>
            </w:tcBorders>
            <w:vAlign w:val="center"/>
            <w:hideMark/>
          </w:tcPr>
          <w:p w14:paraId="1A1AE78A" w14:textId="77777777" w:rsidR="0019335C" w:rsidRPr="00EC326F" w:rsidRDefault="0019335C" w:rsidP="00715253">
            <w:pPr>
              <w:pStyle w:val="TableTextSmall"/>
              <w:keepNext/>
            </w:pPr>
            <w:r w:rsidRPr="00EC326F">
              <w:t>CPI</w:t>
            </w:r>
          </w:p>
        </w:tc>
        <w:tc>
          <w:tcPr>
            <w:tcW w:w="1204" w:type="dxa"/>
            <w:tcBorders>
              <w:top w:val="single" w:sz="4" w:space="0" w:color="E0301E"/>
              <w:left w:val="single" w:sz="4" w:space="0" w:color="FFFFFF"/>
              <w:bottom w:val="single" w:sz="4" w:space="0" w:color="E0301E"/>
              <w:right w:val="single" w:sz="4" w:space="0" w:color="FFFFFF"/>
            </w:tcBorders>
            <w:vAlign w:val="center"/>
            <w:hideMark/>
          </w:tcPr>
          <w:p w14:paraId="15315F45" w14:textId="77777777" w:rsidR="0019335C" w:rsidRPr="00EC326F" w:rsidRDefault="0019335C" w:rsidP="00715253">
            <w:pPr>
              <w:kinsoku/>
              <w:overflowPunct/>
              <w:autoSpaceDE/>
              <w:adjustRightInd/>
              <w:snapToGrid/>
              <w:jc w:val="center"/>
              <w:rPr>
                <w:rFonts w:ascii="Arial" w:hAnsi="Arial"/>
                <w:color w:val="404040"/>
                <w:sz w:val="16"/>
                <w:szCs w:val="16"/>
                <w:lang w:eastAsia="en-AU"/>
              </w:rPr>
            </w:pPr>
            <w:r w:rsidRPr="00EC326F">
              <w:rPr>
                <w:rFonts w:ascii="Arial" w:hAnsi="Arial"/>
                <w:color w:val="404040"/>
                <w:sz w:val="16"/>
                <w:szCs w:val="16"/>
              </w:rPr>
              <w:t>2.00%</w:t>
            </w:r>
          </w:p>
        </w:tc>
        <w:tc>
          <w:tcPr>
            <w:tcW w:w="1205" w:type="dxa"/>
            <w:tcBorders>
              <w:top w:val="single" w:sz="4" w:space="0" w:color="E0301E"/>
              <w:left w:val="single" w:sz="4" w:space="0" w:color="FFFFFF"/>
              <w:bottom w:val="single" w:sz="4" w:space="0" w:color="E0301E"/>
              <w:right w:val="single" w:sz="4" w:space="0" w:color="FFFFFF"/>
            </w:tcBorders>
            <w:vAlign w:val="center"/>
            <w:hideMark/>
          </w:tcPr>
          <w:p w14:paraId="22208E25" w14:textId="77777777" w:rsidR="0019335C" w:rsidRPr="00EC326F" w:rsidRDefault="0019335C" w:rsidP="00715253">
            <w:pPr>
              <w:jc w:val="center"/>
              <w:rPr>
                <w:rFonts w:ascii="Arial" w:hAnsi="Arial"/>
                <w:color w:val="404040"/>
                <w:sz w:val="16"/>
                <w:szCs w:val="16"/>
              </w:rPr>
            </w:pPr>
            <w:r w:rsidRPr="00EC326F">
              <w:rPr>
                <w:rFonts w:ascii="Arial" w:hAnsi="Arial"/>
                <w:color w:val="404040"/>
                <w:sz w:val="16"/>
                <w:szCs w:val="16"/>
              </w:rPr>
              <w:t>2.25%</w:t>
            </w:r>
          </w:p>
        </w:tc>
        <w:tc>
          <w:tcPr>
            <w:tcW w:w="1204" w:type="dxa"/>
            <w:tcBorders>
              <w:top w:val="single" w:sz="4" w:space="0" w:color="E0301E"/>
              <w:left w:val="single" w:sz="4" w:space="0" w:color="FFFFFF"/>
              <w:bottom w:val="single" w:sz="4" w:space="0" w:color="E0301E"/>
              <w:right w:val="single" w:sz="4" w:space="0" w:color="FFFFFF"/>
            </w:tcBorders>
            <w:vAlign w:val="center"/>
            <w:hideMark/>
          </w:tcPr>
          <w:p w14:paraId="55F9DE22" w14:textId="77777777" w:rsidR="0019335C" w:rsidRPr="00EC326F" w:rsidRDefault="0019335C" w:rsidP="00715253">
            <w:pPr>
              <w:jc w:val="center"/>
              <w:rPr>
                <w:rFonts w:ascii="Arial" w:hAnsi="Arial"/>
                <w:color w:val="404040"/>
                <w:sz w:val="16"/>
                <w:szCs w:val="16"/>
              </w:rPr>
            </w:pPr>
            <w:r w:rsidRPr="00EC326F">
              <w:rPr>
                <w:rFonts w:ascii="Arial" w:hAnsi="Arial"/>
                <w:color w:val="404040"/>
                <w:sz w:val="16"/>
                <w:szCs w:val="16"/>
              </w:rPr>
              <w:t>2.50%</w:t>
            </w:r>
          </w:p>
        </w:tc>
        <w:tc>
          <w:tcPr>
            <w:tcW w:w="1205" w:type="dxa"/>
            <w:tcBorders>
              <w:top w:val="single" w:sz="4" w:space="0" w:color="E0301E"/>
              <w:left w:val="single" w:sz="4" w:space="0" w:color="FFFFFF"/>
              <w:bottom w:val="single" w:sz="4" w:space="0" w:color="E0301E"/>
              <w:right w:val="single" w:sz="4" w:space="0" w:color="FFFFFF"/>
            </w:tcBorders>
            <w:vAlign w:val="center"/>
            <w:hideMark/>
          </w:tcPr>
          <w:p w14:paraId="6DCB9D22" w14:textId="77777777" w:rsidR="0019335C" w:rsidRPr="00EC326F" w:rsidRDefault="0019335C" w:rsidP="00715253">
            <w:pPr>
              <w:jc w:val="center"/>
              <w:rPr>
                <w:rFonts w:ascii="Arial" w:hAnsi="Arial"/>
                <w:color w:val="404040"/>
                <w:sz w:val="16"/>
                <w:szCs w:val="16"/>
              </w:rPr>
            </w:pPr>
            <w:r w:rsidRPr="00EC326F">
              <w:rPr>
                <w:rFonts w:ascii="Arial" w:hAnsi="Arial"/>
                <w:color w:val="404040"/>
                <w:sz w:val="16"/>
                <w:szCs w:val="16"/>
              </w:rPr>
              <w:t>2.50%</w:t>
            </w:r>
          </w:p>
        </w:tc>
        <w:tc>
          <w:tcPr>
            <w:tcW w:w="1311" w:type="dxa"/>
            <w:tcBorders>
              <w:top w:val="single" w:sz="4" w:space="0" w:color="E0301E"/>
              <w:left w:val="single" w:sz="4" w:space="0" w:color="FFFFFF"/>
              <w:bottom w:val="single" w:sz="4" w:space="0" w:color="E0301E"/>
              <w:right w:val="single" w:sz="4" w:space="0" w:color="FFFFFF"/>
            </w:tcBorders>
            <w:vAlign w:val="center"/>
          </w:tcPr>
          <w:p w14:paraId="375818F0" w14:textId="77777777" w:rsidR="0019335C" w:rsidRPr="00EC326F" w:rsidRDefault="0019335C" w:rsidP="00715253">
            <w:pPr>
              <w:jc w:val="center"/>
              <w:rPr>
                <w:rFonts w:ascii="Arial" w:hAnsi="Arial"/>
                <w:color w:val="404040"/>
                <w:sz w:val="16"/>
                <w:szCs w:val="16"/>
              </w:rPr>
            </w:pPr>
            <w:r w:rsidRPr="00EC326F">
              <w:rPr>
                <w:rFonts w:ascii="Arial" w:hAnsi="Arial"/>
                <w:color w:val="404040"/>
                <w:sz w:val="16"/>
                <w:szCs w:val="16"/>
              </w:rPr>
              <w:t>2.50%</w:t>
            </w:r>
          </w:p>
        </w:tc>
        <w:tc>
          <w:tcPr>
            <w:tcW w:w="1311" w:type="dxa"/>
            <w:tcBorders>
              <w:top w:val="single" w:sz="4" w:space="0" w:color="E0301E"/>
              <w:left w:val="single" w:sz="4" w:space="0" w:color="FFFFFF"/>
              <w:bottom w:val="single" w:sz="4" w:space="0" w:color="E0301E"/>
              <w:right w:val="single" w:sz="4" w:space="0" w:color="FFFFFF"/>
            </w:tcBorders>
            <w:vAlign w:val="center"/>
            <w:hideMark/>
          </w:tcPr>
          <w:p w14:paraId="49C18521" w14:textId="77777777" w:rsidR="0019335C" w:rsidRPr="00EC326F" w:rsidRDefault="0019335C" w:rsidP="00715253">
            <w:pPr>
              <w:jc w:val="center"/>
              <w:rPr>
                <w:rFonts w:ascii="Arial" w:hAnsi="Arial"/>
                <w:color w:val="404040"/>
                <w:sz w:val="16"/>
                <w:szCs w:val="16"/>
              </w:rPr>
            </w:pPr>
            <w:r w:rsidRPr="00EC326F">
              <w:rPr>
                <w:rFonts w:ascii="Arial" w:hAnsi="Arial"/>
                <w:color w:val="404040"/>
                <w:sz w:val="16"/>
                <w:szCs w:val="16"/>
              </w:rPr>
              <w:t>2.50%</w:t>
            </w:r>
          </w:p>
        </w:tc>
      </w:tr>
      <w:tr w:rsidR="0019335C" w:rsidRPr="00152FD4" w14:paraId="78284643" w14:textId="77777777" w:rsidTr="0019335C">
        <w:tc>
          <w:tcPr>
            <w:tcW w:w="1986" w:type="dxa"/>
            <w:tcBorders>
              <w:top w:val="single" w:sz="4" w:space="0" w:color="E0301E"/>
              <w:left w:val="single" w:sz="4" w:space="0" w:color="FFFFFF"/>
              <w:bottom w:val="single" w:sz="4" w:space="0" w:color="E0301E"/>
              <w:right w:val="single" w:sz="4" w:space="0" w:color="FFFFFF"/>
            </w:tcBorders>
            <w:vAlign w:val="center"/>
            <w:hideMark/>
          </w:tcPr>
          <w:p w14:paraId="19DECC0F" w14:textId="77777777" w:rsidR="0019335C" w:rsidRPr="00EC326F" w:rsidRDefault="0019335C" w:rsidP="00715253">
            <w:pPr>
              <w:pStyle w:val="TableTextSmall"/>
              <w:keepNext/>
            </w:pPr>
            <w:r w:rsidRPr="00EC326F">
              <w:t>PBLCI</w:t>
            </w:r>
          </w:p>
        </w:tc>
        <w:tc>
          <w:tcPr>
            <w:tcW w:w="1204" w:type="dxa"/>
            <w:tcBorders>
              <w:top w:val="single" w:sz="4" w:space="0" w:color="E0301E"/>
              <w:left w:val="single" w:sz="4" w:space="0" w:color="FFFFFF"/>
              <w:bottom w:val="single" w:sz="4" w:space="0" w:color="E0301E"/>
              <w:right w:val="single" w:sz="4" w:space="0" w:color="FFFFFF"/>
            </w:tcBorders>
            <w:vAlign w:val="center"/>
            <w:hideMark/>
          </w:tcPr>
          <w:p w14:paraId="13471632" w14:textId="77777777" w:rsidR="0019335C" w:rsidRPr="00152FD4" w:rsidRDefault="0019335C" w:rsidP="00715253">
            <w:pPr>
              <w:jc w:val="center"/>
              <w:rPr>
                <w:rFonts w:ascii="Arial" w:hAnsi="Arial"/>
                <w:color w:val="404040"/>
                <w:sz w:val="16"/>
                <w:szCs w:val="16"/>
              </w:rPr>
            </w:pPr>
            <w:r w:rsidRPr="00152FD4">
              <w:rPr>
                <w:rFonts w:ascii="Arial" w:hAnsi="Arial"/>
                <w:color w:val="404040"/>
                <w:sz w:val="16"/>
                <w:szCs w:val="16"/>
              </w:rPr>
              <w:t>2.00%</w:t>
            </w:r>
          </w:p>
        </w:tc>
        <w:tc>
          <w:tcPr>
            <w:tcW w:w="1205" w:type="dxa"/>
            <w:tcBorders>
              <w:top w:val="single" w:sz="4" w:space="0" w:color="E0301E"/>
              <w:left w:val="single" w:sz="4" w:space="0" w:color="FFFFFF"/>
              <w:bottom w:val="single" w:sz="4" w:space="0" w:color="E0301E"/>
              <w:right w:val="single" w:sz="4" w:space="0" w:color="FFFFFF"/>
            </w:tcBorders>
            <w:vAlign w:val="center"/>
            <w:hideMark/>
          </w:tcPr>
          <w:p w14:paraId="292B3F3A" w14:textId="77777777" w:rsidR="0019335C" w:rsidRPr="00152FD4" w:rsidRDefault="0019335C" w:rsidP="00715253">
            <w:pPr>
              <w:jc w:val="center"/>
              <w:rPr>
                <w:rFonts w:ascii="Arial" w:hAnsi="Arial"/>
                <w:color w:val="404040"/>
                <w:sz w:val="16"/>
                <w:szCs w:val="16"/>
              </w:rPr>
            </w:pPr>
            <w:r w:rsidRPr="00152FD4">
              <w:rPr>
                <w:rFonts w:ascii="Arial" w:hAnsi="Arial"/>
                <w:color w:val="404040"/>
                <w:sz w:val="16"/>
                <w:szCs w:val="16"/>
              </w:rPr>
              <w:t>2.00%</w:t>
            </w:r>
          </w:p>
        </w:tc>
        <w:tc>
          <w:tcPr>
            <w:tcW w:w="1204" w:type="dxa"/>
            <w:tcBorders>
              <w:top w:val="single" w:sz="4" w:space="0" w:color="E0301E"/>
              <w:left w:val="single" w:sz="4" w:space="0" w:color="FFFFFF"/>
              <w:bottom w:val="single" w:sz="4" w:space="0" w:color="E0301E"/>
              <w:right w:val="single" w:sz="4" w:space="0" w:color="FFFFFF"/>
            </w:tcBorders>
            <w:vAlign w:val="center"/>
            <w:hideMark/>
          </w:tcPr>
          <w:p w14:paraId="7B255D59" w14:textId="77777777" w:rsidR="0019335C" w:rsidRPr="00152FD4" w:rsidRDefault="0019335C" w:rsidP="00715253">
            <w:pPr>
              <w:jc w:val="center"/>
              <w:rPr>
                <w:rFonts w:ascii="Arial" w:hAnsi="Arial"/>
                <w:color w:val="404040"/>
                <w:sz w:val="16"/>
                <w:szCs w:val="16"/>
              </w:rPr>
            </w:pPr>
            <w:r w:rsidRPr="00152FD4">
              <w:rPr>
                <w:rFonts w:ascii="Arial" w:hAnsi="Arial"/>
                <w:color w:val="404040"/>
                <w:sz w:val="16"/>
                <w:szCs w:val="16"/>
              </w:rPr>
              <w:t>2.08%</w:t>
            </w:r>
          </w:p>
        </w:tc>
        <w:tc>
          <w:tcPr>
            <w:tcW w:w="1205" w:type="dxa"/>
            <w:tcBorders>
              <w:top w:val="single" w:sz="4" w:space="0" w:color="E0301E"/>
              <w:left w:val="single" w:sz="4" w:space="0" w:color="FFFFFF"/>
              <w:bottom w:val="single" w:sz="4" w:space="0" w:color="E0301E"/>
              <w:right w:val="single" w:sz="4" w:space="0" w:color="FFFFFF"/>
            </w:tcBorders>
            <w:vAlign w:val="center"/>
            <w:hideMark/>
          </w:tcPr>
          <w:p w14:paraId="637B11E5" w14:textId="77777777" w:rsidR="0019335C" w:rsidRPr="00152FD4" w:rsidRDefault="0019335C" w:rsidP="00715253">
            <w:pPr>
              <w:jc w:val="center"/>
              <w:rPr>
                <w:rFonts w:ascii="Arial" w:hAnsi="Arial"/>
                <w:color w:val="404040"/>
                <w:sz w:val="16"/>
                <w:szCs w:val="16"/>
              </w:rPr>
            </w:pPr>
            <w:r w:rsidRPr="00152FD4">
              <w:rPr>
                <w:rFonts w:ascii="Arial" w:hAnsi="Arial"/>
                <w:color w:val="404040"/>
                <w:sz w:val="16"/>
                <w:szCs w:val="16"/>
              </w:rPr>
              <w:t>2.17%</w:t>
            </w:r>
          </w:p>
        </w:tc>
        <w:tc>
          <w:tcPr>
            <w:tcW w:w="1311" w:type="dxa"/>
            <w:tcBorders>
              <w:top w:val="single" w:sz="4" w:space="0" w:color="E0301E"/>
              <w:left w:val="single" w:sz="4" w:space="0" w:color="FFFFFF"/>
              <w:bottom w:val="single" w:sz="4" w:space="0" w:color="E0301E"/>
              <w:right w:val="single" w:sz="4" w:space="0" w:color="FFFFFF"/>
            </w:tcBorders>
            <w:vAlign w:val="center"/>
          </w:tcPr>
          <w:p w14:paraId="036A740F" w14:textId="77777777" w:rsidR="0019335C" w:rsidRPr="00152FD4" w:rsidRDefault="0019335C" w:rsidP="00152FD4">
            <w:pPr>
              <w:jc w:val="center"/>
              <w:rPr>
                <w:rFonts w:ascii="Arial" w:hAnsi="Arial"/>
                <w:color w:val="404040"/>
                <w:sz w:val="16"/>
                <w:szCs w:val="16"/>
              </w:rPr>
            </w:pPr>
            <w:r w:rsidRPr="00152FD4">
              <w:rPr>
                <w:rFonts w:ascii="Arial" w:hAnsi="Arial"/>
                <w:color w:val="404040"/>
                <w:sz w:val="16"/>
                <w:szCs w:val="16"/>
              </w:rPr>
              <w:t xml:space="preserve">2.25% - </w:t>
            </w:r>
            <w:r w:rsidR="00152FD4" w:rsidRPr="00152FD4">
              <w:rPr>
                <w:rFonts w:ascii="Arial" w:hAnsi="Arial"/>
                <w:color w:val="404040"/>
                <w:sz w:val="16"/>
                <w:szCs w:val="16"/>
              </w:rPr>
              <w:t>2.42</w:t>
            </w:r>
            <w:r w:rsidRPr="00152FD4">
              <w:rPr>
                <w:rFonts w:ascii="Arial" w:hAnsi="Arial"/>
                <w:color w:val="404040"/>
                <w:sz w:val="16"/>
                <w:szCs w:val="16"/>
              </w:rPr>
              <w:t>%</w:t>
            </w:r>
          </w:p>
        </w:tc>
        <w:tc>
          <w:tcPr>
            <w:tcW w:w="1311" w:type="dxa"/>
            <w:tcBorders>
              <w:top w:val="single" w:sz="4" w:space="0" w:color="E0301E"/>
              <w:left w:val="single" w:sz="4" w:space="0" w:color="FFFFFF"/>
              <w:bottom w:val="single" w:sz="4" w:space="0" w:color="E0301E"/>
              <w:right w:val="single" w:sz="4" w:space="0" w:color="FFFFFF"/>
            </w:tcBorders>
            <w:vAlign w:val="center"/>
            <w:hideMark/>
          </w:tcPr>
          <w:p w14:paraId="25F30C36" w14:textId="77777777" w:rsidR="0019335C" w:rsidRPr="00152FD4" w:rsidRDefault="0019335C" w:rsidP="00715253">
            <w:pPr>
              <w:jc w:val="center"/>
              <w:rPr>
                <w:rFonts w:ascii="Arial" w:hAnsi="Arial"/>
                <w:color w:val="404040"/>
                <w:sz w:val="16"/>
                <w:szCs w:val="16"/>
              </w:rPr>
            </w:pPr>
            <w:r w:rsidRPr="00152FD4">
              <w:rPr>
                <w:rFonts w:ascii="Arial" w:hAnsi="Arial"/>
                <w:color w:val="404040"/>
                <w:sz w:val="16"/>
                <w:szCs w:val="16"/>
              </w:rPr>
              <w:t>2.50%</w:t>
            </w:r>
          </w:p>
        </w:tc>
      </w:tr>
      <w:tr w:rsidR="00152FD4" w:rsidRPr="00152FD4" w14:paraId="6CC16698" w14:textId="77777777" w:rsidTr="0019335C">
        <w:tc>
          <w:tcPr>
            <w:tcW w:w="1986" w:type="dxa"/>
            <w:tcBorders>
              <w:top w:val="single" w:sz="4" w:space="0" w:color="E0301E"/>
              <w:left w:val="single" w:sz="4" w:space="0" w:color="FFFFFF"/>
              <w:bottom w:val="single" w:sz="4" w:space="0" w:color="E0301E"/>
              <w:right w:val="single" w:sz="4" w:space="0" w:color="FFFFFF"/>
            </w:tcBorders>
            <w:vAlign w:val="center"/>
            <w:hideMark/>
          </w:tcPr>
          <w:p w14:paraId="3C1C5F97" w14:textId="77777777" w:rsidR="00152FD4" w:rsidRPr="00EC326F" w:rsidRDefault="00152FD4" w:rsidP="00152FD4">
            <w:pPr>
              <w:pStyle w:val="TableTextSmall"/>
              <w:keepNext/>
            </w:pPr>
            <w:r w:rsidRPr="00EC326F">
              <w:t>MTAWE</w:t>
            </w:r>
          </w:p>
        </w:tc>
        <w:tc>
          <w:tcPr>
            <w:tcW w:w="1204" w:type="dxa"/>
            <w:tcBorders>
              <w:top w:val="single" w:sz="4" w:space="0" w:color="E0301E"/>
              <w:left w:val="single" w:sz="4" w:space="0" w:color="FFFFFF"/>
              <w:bottom w:val="single" w:sz="4" w:space="0" w:color="E0301E"/>
              <w:right w:val="single" w:sz="4" w:space="0" w:color="FFFFFF"/>
            </w:tcBorders>
            <w:vAlign w:val="center"/>
            <w:hideMark/>
          </w:tcPr>
          <w:p w14:paraId="278C0963" w14:textId="77777777" w:rsidR="00152FD4" w:rsidRPr="00152FD4" w:rsidRDefault="00152FD4" w:rsidP="00152FD4">
            <w:pPr>
              <w:jc w:val="center"/>
              <w:rPr>
                <w:rFonts w:ascii="Arial" w:hAnsi="Arial"/>
                <w:color w:val="404040"/>
                <w:sz w:val="16"/>
                <w:szCs w:val="16"/>
              </w:rPr>
            </w:pPr>
            <w:r w:rsidRPr="00152FD4">
              <w:rPr>
                <w:rFonts w:ascii="Arial" w:hAnsi="Arial"/>
                <w:color w:val="404040"/>
                <w:sz w:val="16"/>
                <w:szCs w:val="16"/>
              </w:rPr>
              <w:t>2.50%</w:t>
            </w:r>
          </w:p>
        </w:tc>
        <w:tc>
          <w:tcPr>
            <w:tcW w:w="1205" w:type="dxa"/>
            <w:tcBorders>
              <w:top w:val="single" w:sz="4" w:space="0" w:color="E0301E"/>
              <w:left w:val="single" w:sz="4" w:space="0" w:color="FFFFFF"/>
              <w:bottom w:val="single" w:sz="4" w:space="0" w:color="E0301E"/>
              <w:right w:val="single" w:sz="4" w:space="0" w:color="FFFFFF"/>
            </w:tcBorders>
            <w:vAlign w:val="center"/>
            <w:hideMark/>
          </w:tcPr>
          <w:p w14:paraId="4250D329" w14:textId="77777777" w:rsidR="00152FD4" w:rsidRPr="00152FD4" w:rsidRDefault="00152FD4" w:rsidP="00152FD4">
            <w:pPr>
              <w:jc w:val="center"/>
              <w:rPr>
                <w:rFonts w:ascii="Arial" w:hAnsi="Arial"/>
                <w:color w:val="404040"/>
                <w:sz w:val="16"/>
                <w:szCs w:val="16"/>
              </w:rPr>
            </w:pPr>
            <w:r w:rsidRPr="00152FD4">
              <w:rPr>
                <w:rFonts w:ascii="Arial" w:hAnsi="Arial"/>
                <w:color w:val="404040"/>
                <w:sz w:val="16"/>
                <w:szCs w:val="16"/>
              </w:rPr>
              <w:t>2.75%</w:t>
            </w:r>
          </w:p>
        </w:tc>
        <w:tc>
          <w:tcPr>
            <w:tcW w:w="1204" w:type="dxa"/>
            <w:tcBorders>
              <w:top w:val="single" w:sz="4" w:space="0" w:color="E0301E"/>
              <w:left w:val="single" w:sz="4" w:space="0" w:color="FFFFFF"/>
              <w:bottom w:val="single" w:sz="4" w:space="0" w:color="E0301E"/>
              <w:right w:val="single" w:sz="4" w:space="0" w:color="FFFFFF"/>
            </w:tcBorders>
            <w:vAlign w:val="center"/>
            <w:hideMark/>
          </w:tcPr>
          <w:p w14:paraId="31C1AE94" w14:textId="77777777" w:rsidR="00152FD4" w:rsidRPr="00152FD4" w:rsidRDefault="00152FD4" w:rsidP="00152FD4">
            <w:pPr>
              <w:jc w:val="center"/>
              <w:rPr>
                <w:rFonts w:ascii="Arial" w:hAnsi="Arial"/>
                <w:color w:val="404040"/>
                <w:sz w:val="16"/>
                <w:szCs w:val="16"/>
              </w:rPr>
            </w:pPr>
            <w:r w:rsidRPr="00152FD4">
              <w:rPr>
                <w:rFonts w:ascii="Arial" w:hAnsi="Arial"/>
                <w:color w:val="404040"/>
                <w:sz w:val="16"/>
                <w:szCs w:val="16"/>
              </w:rPr>
              <w:t>3.25%</w:t>
            </w:r>
          </w:p>
        </w:tc>
        <w:tc>
          <w:tcPr>
            <w:tcW w:w="1205" w:type="dxa"/>
            <w:tcBorders>
              <w:top w:val="single" w:sz="4" w:space="0" w:color="E0301E"/>
              <w:left w:val="single" w:sz="4" w:space="0" w:color="FFFFFF"/>
              <w:bottom w:val="single" w:sz="4" w:space="0" w:color="E0301E"/>
              <w:right w:val="single" w:sz="4" w:space="0" w:color="FFFFFF"/>
            </w:tcBorders>
            <w:vAlign w:val="center"/>
            <w:hideMark/>
          </w:tcPr>
          <w:p w14:paraId="6E531FB5" w14:textId="77777777" w:rsidR="00152FD4" w:rsidRPr="00152FD4" w:rsidRDefault="00152FD4" w:rsidP="00152FD4">
            <w:pPr>
              <w:jc w:val="center"/>
              <w:rPr>
                <w:rFonts w:ascii="Arial" w:hAnsi="Arial"/>
                <w:color w:val="404040"/>
                <w:sz w:val="16"/>
                <w:szCs w:val="16"/>
              </w:rPr>
            </w:pPr>
            <w:r w:rsidRPr="00152FD4">
              <w:rPr>
                <w:rFonts w:ascii="Arial" w:hAnsi="Arial"/>
                <w:color w:val="404040"/>
                <w:sz w:val="16"/>
                <w:szCs w:val="16"/>
              </w:rPr>
              <w:t>3.50%</w:t>
            </w:r>
          </w:p>
        </w:tc>
        <w:tc>
          <w:tcPr>
            <w:tcW w:w="1311" w:type="dxa"/>
            <w:tcBorders>
              <w:top w:val="single" w:sz="4" w:space="0" w:color="E0301E"/>
              <w:left w:val="single" w:sz="4" w:space="0" w:color="FFFFFF"/>
              <w:bottom w:val="single" w:sz="4" w:space="0" w:color="E0301E"/>
              <w:right w:val="single" w:sz="4" w:space="0" w:color="FFFFFF"/>
            </w:tcBorders>
            <w:vAlign w:val="center"/>
          </w:tcPr>
          <w:p w14:paraId="05F44896" w14:textId="77777777" w:rsidR="00152FD4" w:rsidRPr="00152FD4" w:rsidRDefault="00152FD4" w:rsidP="00152FD4">
            <w:pPr>
              <w:jc w:val="center"/>
              <w:rPr>
                <w:rFonts w:ascii="Arial" w:hAnsi="Arial"/>
                <w:color w:val="404040"/>
                <w:sz w:val="16"/>
                <w:szCs w:val="16"/>
              </w:rPr>
            </w:pPr>
            <w:r w:rsidRPr="00152FD4">
              <w:rPr>
                <w:rFonts w:ascii="Arial" w:hAnsi="Arial"/>
                <w:color w:val="404040"/>
                <w:sz w:val="16"/>
                <w:szCs w:val="16"/>
              </w:rPr>
              <w:t>3.63% - 3.88%</w:t>
            </w:r>
          </w:p>
        </w:tc>
        <w:tc>
          <w:tcPr>
            <w:tcW w:w="1311" w:type="dxa"/>
            <w:tcBorders>
              <w:top w:val="single" w:sz="4" w:space="0" w:color="E0301E"/>
              <w:left w:val="single" w:sz="4" w:space="0" w:color="FFFFFF"/>
              <w:bottom w:val="single" w:sz="4" w:space="0" w:color="E0301E"/>
              <w:right w:val="single" w:sz="4" w:space="0" w:color="FFFFFF"/>
            </w:tcBorders>
            <w:vAlign w:val="center"/>
            <w:hideMark/>
          </w:tcPr>
          <w:p w14:paraId="07915047" w14:textId="77777777" w:rsidR="00152FD4" w:rsidRPr="00152FD4" w:rsidRDefault="00152FD4" w:rsidP="00152FD4">
            <w:pPr>
              <w:jc w:val="center"/>
              <w:rPr>
                <w:rFonts w:ascii="Arial" w:hAnsi="Arial"/>
                <w:color w:val="404040"/>
                <w:sz w:val="16"/>
                <w:szCs w:val="16"/>
              </w:rPr>
            </w:pPr>
            <w:r w:rsidRPr="00152FD4">
              <w:rPr>
                <w:rFonts w:ascii="Arial" w:hAnsi="Arial"/>
                <w:color w:val="404040"/>
                <w:sz w:val="16"/>
                <w:szCs w:val="16"/>
              </w:rPr>
              <w:t>4.00%</w:t>
            </w:r>
          </w:p>
        </w:tc>
      </w:tr>
      <w:tr w:rsidR="0019335C" w:rsidRPr="00152FD4" w14:paraId="41296E93" w14:textId="77777777" w:rsidTr="0019335C">
        <w:tc>
          <w:tcPr>
            <w:tcW w:w="1986" w:type="dxa"/>
            <w:tcBorders>
              <w:top w:val="single" w:sz="4" w:space="0" w:color="E0301E"/>
              <w:left w:val="single" w:sz="4" w:space="0" w:color="FFFFFF"/>
              <w:bottom w:val="single" w:sz="4" w:space="0" w:color="E0301E"/>
              <w:right w:val="single" w:sz="4" w:space="0" w:color="FFFFFF"/>
            </w:tcBorders>
          </w:tcPr>
          <w:p w14:paraId="5289B4E7" w14:textId="77777777" w:rsidR="0019335C" w:rsidRPr="00EC326F" w:rsidRDefault="0019335C" w:rsidP="00715253">
            <w:pPr>
              <w:pStyle w:val="TableTextSmall"/>
              <w:keepNext/>
            </w:pPr>
            <w:r w:rsidRPr="00EC326F">
              <w:t>National minimum wage</w:t>
            </w:r>
          </w:p>
        </w:tc>
        <w:tc>
          <w:tcPr>
            <w:tcW w:w="1204" w:type="dxa"/>
            <w:tcBorders>
              <w:top w:val="single" w:sz="4" w:space="0" w:color="E0301E"/>
              <w:left w:val="single" w:sz="4" w:space="0" w:color="FFFFFF"/>
              <w:bottom w:val="single" w:sz="4" w:space="0" w:color="E0301E"/>
              <w:right w:val="single" w:sz="4" w:space="0" w:color="FFFFFF"/>
            </w:tcBorders>
            <w:vAlign w:val="center"/>
          </w:tcPr>
          <w:p w14:paraId="07EDDA1D" w14:textId="77777777" w:rsidR="0019335C" w:rsidRPr="00152FD4" w:rsidRDefault="00152FD4" w:rsidP="00152FD4">
            <w:pPr>
              <w:jc w:val="center"/>
              <w:rPr>
                <w:rFonts w:ascii="Arial" w:hAnsi="Arial"/>
                <w:color w:val="404040"/>
                <w:sz w:val="16"/>
                <w:szCs w:val="16"/>
              </w:rPr>
            </w:pPr>
            <w:r w:rsidRPr="00152FD4">
              <w:rPr>
                <w:rFonts w:ascii="Arial" w:hAnsi="Arial"/>
                <w:color w:val="404040"/>
                <w:sz w:val="16"/>
                <w:szCs w:val="16"/>
              </w:rPr>
              <w:t>2.41</w:t>
            </w:r>
            <w:r w:rsidR="0019335C" w:rsidRPr="00152FD4">
              <w:rPr>
                <w:rFonts w:ascii="Arial" w:hAnsi="Arial"/>
                <w:color w:val="404040"/>
                <w:sz w:val="16"/>
                <w:szCs w:val="16"/>
              </w:rPr>
              <w:t>%</w:t>
            </w:r>
          </w:p>
        </w:tc>
        <w:tc>
          <w:tcPr>
            <w:tcW w:w="1205" w:type="dxa"/>
            <w:tcBorders>
              <w:top w:val="single" w:sz="4" w:space="0" w:color="E0301E"/>
              <w:left w:val="single" w:sz="4" w:space="0" w:color="FFFFFF"/>
              <w:bottom w:val="single" w:sz="4" w:space="0" w:color="E0301E"/>
              <w:right w:val="single" w:sz="4" w:space="0" w:color="FFFFFF"/>
            </w:tcBorders>
            <w:vAlign w:val="center"/>
          </w:tcPr>
          <w:p w14:paraId="4AD535FE" w14:textId="77777777" w:rsidR="0019335C" w:rsidRPr="00152FD4" w:rsidRDefault="0019335C" w:rsidP="00715253">
            <w:pPr>
              <w:jc w:val="center"/>
              <w:rPr>
                <w:rFonts w:ascii="Arial" w:hAnsi="Arial"/>
                <w:color w:val="404040"/>
                <w:sz w:val="16"/>
                <w:szCs w:val="16"/>
              </w:rPr>
            </w:pPr>
            <w:r w:rsidRPr="00152FD4">
              <w:rPr>
                <w:rFonts w:ascii="Arial" w:hAnsi="Arial"/>
                <w:color w:val="404040"/>
                <w:sz w:val="16"/>
                <w:szCs w:val="16"/>
              </w:rPr>
              <w:t>3.00%</w:t>
            </w:r>
          </w:p>
        </w:tc>
        <w:tc>
          <w:tcPr>
            <w:tcW w:w="1204" w:type="dxa"/>
            <w:tcBorders>
              <w:top w:val="single" w:sz="4" w:space="0" w:color="E0301E"/>
              <w:left w:val="single" w:sz="4" w:space="0" w:color="FFFFFF"/>
              <w:bottom w:val="single" w:sz="4" w:space="0" w:color="E0301E"/>
              <w:right w:val="single" w:sz="4" w:space="0" w:color="FFFFFF"/>
            </w:tcBorders>
            <w:vAlign w:val="center"/>
          </w:tcPr>
          <w:p w14:paraId="70853899" w14:textId="77777777" w:rsidR="0019335C" w:rsidRPr="00152FD4" w:rsidRDefault="0019335C" w:rsidP="00715253">
            <w:pPr>
              <w:jc w:val="center"/>
              <w:rPr>
                <w:rFonts w:ascii="Arial" w:hAnsi="Arial"/>
                <w:color w:val="404040"/>
                <w:sz w:val="16"/>
                <w:szCs w:val="16"/>
              </w:rPr>
            </w:pPr>
            <w:r w:rsidRPr="00152FD4">
              <w:rPr>
                <w:rFonts w:ascii="Arial" w:hAnsi="Arial"/>
                <w:color w:val="404040"/>
                <w:sz w:val="16"/>
                <w:szCs w:val="16"/>
              </w:rPr>
              <w:t>3.00%</w:t>
            </w:r>
          </w:p>
        </w:tc>
        <w:tc>
          <w:tcPr>
            <w:tcW w:w="1205" w:type="dxa"/>
            <w:tcBorders>
              <w:top w:val="single" w:sz="4" w:space="0" w:color="E0301E"/>
              <w:left w:val="single" w:sz="4" w:space="0" w:color="FFFFFF"/>
              <w:bottom w:val="single" w:sz="4" w:space="0" w:color="E0301E"/>
              <w:right w:val="single" w:sz="4" w:space="0" w:color="FFFFFF"/>
            </w:tcBorders>
            <w:vAlign w:val="center"/>
          </w:tcPr>
          <w:p w14:paraId="41D931EE" w14:textId="77777777" w:rsidR="0019335C" w:rsidRPr="00152FD4" w:rsidRDefault="0019335C" w:rsidP="00715253">
            <w:pPr>
              <w:jc w:val="center"/>
              <w:rPr>
                <w:rFonts w:ascii="Arial" w:hAnsi="Arial"/>
                <w:color w:val="404040"/>
                <w:sz w:val="16"/>
                <w:szCs w:val="16"/>
              </w:rPr>
            </w:pPr>
            <w:r w:rsidRPr="00152FD4">
              <w:rPr>
                <w:rFonts w:ascii="Arial" w:hAnsi="Arial"/>
                <w:color w:val="404040"/>
                <w:sz w:val="16"/>
                <w:szCs w:val="16"/>
              </w:rPr>
              <w:t>3.00%</w:t>
            </w:r>
          </w:p>
        </w:tc>
        <w:tc>
          <w:tcPr>
            <w:tcW w:w="1311" w:type="dxa"/>
            <w:tcBorders>
              <w:top w:val="single" w:sz="4" w:space="0" w:color="E0301E"/>
              <w:left w:val="single" w:sz="4" w:space="0" w:color="FFFFFF"/>
              <w:bottom w:val="single" w:sz="4" w:space="0" w:color="E0301E"/>
              <w:right w:val="single" w:sz="4" w:space="0" w:color="FFFFFF"/>
            </w:tcBorders>
            <w:vAlign w:val="center"/>
          </w:tcPr>
          <w:p w14:paraId="445D441D" w14:textId="77777777" w:rsidR="0019335C" w:rsidRPr="00152FD4" w:rsidRDefault="0019335C" w:rsidP="00715253">
            <w:pPr>
              <w:jc w:val="center"/>
              <w:rPr>
                <w:rFonts w:ascii="Arial" w:hAnsi="Arial"/>
                <w:color w:val="404040"/>
                <w:sz w:val="16"/>
                <w:szCs w:val="16"/>
              </w:rPr>
            </w:pPr>
            <w:r w:rsidRPr="00152FD4">
              <w:rPr>
                <w:rFonts w:ascii="Arial" w:hAnsi="Arial"/>
                <w:color w:val="404040"/>
                <w:sz w:val="16"/>
                <w:szCs w:val="16"/>
              </w:rPr>
              <w:t>3.00%</w:t>
            </w:r>
          </w:p>
        </w:tc>
        <w:tc>
          <w:tcPr>
            <w:tcW w:w="1311" w:type="dxa"/>
            <w:tcBorders>
              <w:top w:val="single" w:sz="4" w:space="0" w:color="E0301E"/>
              <w:left w:val="single" w:sz="4" w:space="0" w:color="FFFFFF"/>
              <w:bottom w:val="single" w:sz="4" w:space="0" w:color="E0301E"/>
              <w:right w:val="single" w:sz="4" w:space="0" w:color="FFFFFF"/>
            </w:tcBorders>
            <w:vAlign w:val="center"/>
          </w:tcPr>
          <w:p w14:paraId="490ADF68" w14:textId="77777777" w:rsidR="0019335C" w:rsidRPr="00152FD4" w:rsidRDefault="0019335C" w:rsidP="00715253">
            <w:pPr>
              <w:jc w:val="center"/>
              <w:rPr>
                <w:rFonts w:ascii="Arial" w:hAnsi="Arial"/>
                <w:color w:val="404040"/>
                <w:sz w:val="16"/>
                <w:szCs w:val="16"/>
              </w:rPr>
            </w:pPr>
            <w:r w:rsidRPr="00152FD4">
              <w:rPr>
                <w:rFonts w:ascii="Arial" w:hAnsi="Arial"/>
                <w:color w:val="404040"/>
                <w:sz w:val="16"/>
                <w:szCs w:val="16"/>
              </w:rPr>
              <w:t>3.00%</w:t>
            </w:r>
          </w:p>
        </w:tc>
      </w:tr>
    </w:tbl>
    <w:p w14:paraId="6D83D66A" w14:textId="77777777" w:rsidR="00A040EF" w:rsidRPr="00EC326F" w:rsidRDefault="00A040EF" w:rsidP="00A040EF">
      <w:pPr>
        <w:pStyle w:val="Sources"/>
      </w:pPr>
      <w:r w:rsidRPr="00EC326F">
        <w:t>Source: 2016-17 Commonwealth Budget, Budget Paper 1, Budget Statement 1</w:t>
      </w:r>
      <w:r w:rsidR="00152FD4">
        <w:t>,</w:t>
      </w:r>
      <w:r w:rsidRPr="00EC326F">
        <w:t xml:space="preserve"> 2015 Intergenerational Report</w:t>
      </w:r>
      <w:r w:rsidR="00152FD4">
        <w:t>, and PwC analysis</w:t>
      </w:r>
    </w:p>
    <w:p w14:paraId="75C5989D" w14:textId="77777777" w:rsidR="0019335C" w:rsidRPr="000747FE" w:rsidRDefault="0019335C" w:rsidP="0019335C">
      <w:pPr>
        <w:pStyle w:val="PwCNormal"/>
      </w:pPr>
      <w:r w:rsidRPr="00EC326F">
        <w:t>Note that pensions are indexed by the higher of the movement in the CPI and Pensioner and Beneficiary Living Cost Index (PBLCI) and then this increase is benchmarked to a fixed proportion of MTAWE. Hence these assumptions are used in combination to determine the rates of future increase for pensions and, over the longer term, indexation will be in line with the highest of these assumptions.</w:t>
      </w:r>
    </w:p>
    <w:p w14:paraId="387CC5D5" w14:textId="77777777" w:rsidR="0033202D" w:rsidRPr="00EC326F" w:rsidRDefault="00A040EF" w:rsidP="0019335C">
      <w:pPr>
        <w:pStyle w:val="PwCNormal"/>
      </w:pPr>
      <w:r w:rsidRPr="00EC326F">
        <w:rPr>
          <w:lang w:eastAsia="en-AU"/>
        </w:rPr>
        <w:t>The figure below compares the current valuation indexation growth assumptions to those adopted for the baseline valuation. The short term assumptions have reduced slightly for all three indices, however the long term forecasts are unchanged from the baseline valuation.</w:t>
      </w:r>
      <w:r w:rsidR="0033202D" w:rsidRPr="00EC326F">
        <w:t xml:space="preserve"> </w:t>
      </w:r>
    </w:p>
    <w:p w14:paraId="25BE4D87" w14:textId="77777777" w:rsidR="0033202D" w:rsidRPr="00EC326F" w:rsidRDefault="0033202D" w:rsidP="0033202D">
      <w:pPr>
        <w:pStyle w:val="Caption"/>
      </w:pPr>
      <w:r w:rsidRPr="00EC326F">
        <w:t xml:space="preserve">Figure </w:t>
      </w:r>
      <w:fldSimple w:instr=" SEQ Figure \* ARABIC ">
        <w:r w:rsidR="007A42DF">
          <w:rPr>
            <w:noProof/>
          </w:rPr>
          <w:t>17</w:t>
        </w:r>
      </w:fldSimple>
      <w:r w:rsidRPr="00EC326F">
        <w:t>: Indexation growth assumptions</w:t>
      </w:r>
    </w:p>
    <w:p w14:paraId="10B10305" w14:textId="77777777" w:rsidR="00EB35B5" w:rsidRPr="00EC326F" w:rsidRDefault="00EB35B5" w:rsidP="00EB35B5">
      <w:pPr>
        <w:pStyle w:val="PwCNormal"/>
        <w:rPr>
          <w:lang w:eastAsia="en-AU"/>
        </w:rPr>
      </w:pPr>
      <w:r w:rsidRPr="00EB35B5">
        <w:rPr>
          <w:noProof/>
          <w:lang w:eastAsia="en-AU"/>
        </w:rPr>
        <w:drawing>
          <wp:inline distT="0" distB="0" distL="0" distR="0" wp14:anchorId="59A2A288" wp14:editId="22F01D9D">
            <wp:extent cx="4149372" cy="2160000"/>
            <wp:effectExtent l="0" t="0" r="3810" b="0"/>
            <wp:docPr id="3154" name="Picture 3154" descr="This figure is a line chart comparing the current valuation indexation growth assumptions to those adopted for the previous valuation. The horizontal axis displays year ending 30 June for 2016 to 2026. The vertical axis shows the indexation rate ranging from 0% to 4.5%. &#10;&#10;There are 5 lines shown on the graph:&#10;(1) Male Total Average Weekly Earnings (MTAWE) for Jun15 Valuation&#10;(2) Male Total Average Weekly Earnings (MTAWE) for Jun16 Valuation&#10;(3) Consumer Price Index (CPI) for Jun 16 Valuation&#10;(4) Pensioner and Beneficiary Living Cost Index (PBLCI) for Jun16 Valuation&#10;(5) The CPI &amp; PBLCI for Jun 15 Valuation are depicted as the same line as they are identical for all data points in the given data range. &#10;&#10;The Male Total Average Weekly Earnings (MTAWE) for Jun15 Valuation increases linearly from 2.5% in 2016 to 4% in 2023 and remains at this level until 2026.&#10;&#10;The CPI &amp; PBLCI for Jun 15 Valuation remains stable at 2.5% between 2016 and 2026. &#10;&#10;The Jun16 indexation assumptions are provided in the accompanying text of the report.&#10;" title=" Indexation growth assum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49372" cy="2160000"/>
                    </a:xfrm>
                    <a:prstGeom prst="rect">
                      <a:avLst/>
                    </a:prstGeom>
                    <a:noFill/>
                    <a:ln>
                      <a:noFill/>
                    </a:ln>
                  </pic:spPr>
                </pic:pic>
              </a:graphicData>
            </a:graphic>
          </wp:inline>
        </w:drawing>
      </w:r>
    </w:p>
    <w:p w14:paraId="71CD9B86" w14:textId="77777777" w:rsidR="00A040EF" w:rsidRPr="00EC326F" w:rsidRDefault="00A040EF" w:rsidP="00A040EF">
      <w:pPr>
        <w:pStyle w:val="Heading4"/>
      </w:pPr>
      <w:r w:rsidRPr="00EC326F">
        <w:t>Discounting assumptions</w:t>
      </w:r>
    </w:p>
    <w:p w14:paraId="77D4532B" w14:textId="77777777" w:rsidR="00A040EF" w:rsidRPr="00EC326F" w:rsidRDefault="00A040EF" w:rsidP="001A4479">
      <w:pPr>
        <w:pStyle w:val="PwCNormal"/>
        <w:numPr>
          <w:ilvl w:val="0"/>
          <w:numId w:val="37"/>
        </w:numPr>
        <w:rPr>
          <w:lang w:eastAsia="en-AU"/>
        </w:rPr>
      </w:pPr>
      <w:r w:rsidRPr="00EC326F">
        <w:rPr>
          <w:lang w:eastAsia="en-AU"/>
        </w:rPr>
        <w:t>Discounting is applied to future payments to calculate a net present value. This provides an important reference point for applying and understanding the results of the investment approach. Discounting takes into account the time value of money, ensuring policy interventions can be identified and prioritised. It also allows discounted costs to be compared at different points in time to assess progress.</w:t>
      </w:r>
    </w:p>
    <w:p w14:paraId="2787A39D" w14:textId="77777777" w:rsidR="00A040EF" w:rsidRPr="00EC326F" w:rsidRDefault="00A040EF" w:rsidP="001A4479">
      <w:pPr>
        <w:pStyle w:val="PwCNormal"/>
        <w:numPr>
          <w:ilvl w:val="0"/>
          <w:numId w:val="37"/>
        </w:numPr>
        <w:rPr>
          <w:lang w:eastAsia="en-AU"/>
        </w:rPr>
      </w:pPr>
      <w:r w:rsidRPr="00EC326F">
        <w:rPr>
          <w:lang w:eastAsia="en-AU"/>
        </w:rPr>
        <w:t>The overarching methodology, consistent with many other long-duration actuarial valuations in other Government contexts, is to ensure a long term stable gap between discount rates and inflation rates. Using a fixed long term gap minimises the chance of volatile changes in the valuation that are purely due to changing economic assumptions. Such movements would likely confound the purpose of the valuation and the communication of its headline results.</w:t>
      </w:r>
    </w:p>
    <w:p w14:paraId="199C95C7" w14:textId="50221131" w:rsidR="00A040EF" w:rsidRPr="00EC326F" w:rsidRDefault="00A040EF" w:rsidP="00DA56E6">
      <w:pPr>
        <w:pStyle w:val="PwCNormal"/>
        <w:numPr>
          <w:ilvl w:val="0"/>
          <w:numId w:val="37"/>
        </w:numPr>
      </w:pPr>
      <w:r w:rsidRPr="00EC326F">
        <w:rPr>
          <w:lang w:eastAsia="en-AU"/>
        </w:rPr>
        <w:t xml:space="preserve">The valuation assumes a nominal discount rate of 6 per cent per annum, consistent with the rate used in valuing the Commonwealth’s defined benefit superannuation liabilities, and representing a longer term average of the 10 year government bond yield. This </w:t>
      </w:r>
      <w:r w:rsidR="0019335C" w:rsidRPr="00EC326F">
        <w:rPr>
          <w:lang w:eastAsia="en-AU"/>
        </w:rPr>
        <w:t>is</w:t>
      </w:r>
      <w:r w:rsidRPr="00EC326F">
        <w:rPr>
          <w:lang w:eastAsia="en-AU"/>
        </w:rPr>
        <w:t xml:space="preserve"> the </w:t>
      </w:r>
      <w:r w:rsidR="0019335C" w:rsidRPr="00EC326F">
        <w:rPr>
          <w:lang w:eastAsia="en-AU"/>
        </w:rPr>
        <w:t xml:space="preserve">same </w:t>
      </w:r>
      <w:r w:rsidRPr="00EC326F">
        <w:rPr>
          <w:lang w:eastAsia="en-AU"/>
        </w:rPr>
        <w:t xml:space="preserve">rate </w:t>
      </w:r>
      <w:r w:rsidR="0019335C" w:rsidRPr="00EC326F">
        <w:rPr>
          <w:lang w:eastAsia="en-AU"/>
        </w:rPr>
        <w:t xml:space="preserve">as </w:t>
      </w:r>
      <w:r w:rsidRPr="00EC326F">
        <w:rPr>
          <w:lang w:eastAsia="en-AU"/>
        </w:rPr>
        <w:t>adopted in the baseline valuation. This rate will be revisited as necessary going forward taking into account prospects for a continuation of the prevailing low interest environment.</w:t>
      </w:r>
      <w:r w:rsidR="00DC08EE">
        <w:rPr>
          <w:lang w:eastAsia="en-AU"/>
        </w:rPr>
        <w:t xml:space="preserve"> </w:t>
      </w:r>
      <w:r w:rsidR="00DC08EE" w:rsidRPr="00DC08EE">
        <w:rPr>
          <w:lang w:eastAsia="en-AU"/>
        </w:rPr>
        <w:t>These discounting assumptions have been adopted after consultation with the Department and the IDC.</w:t>
      </w:r>
    </w:p>
    <w:p w14:paraId="272AC1AB" w14:textId="77777777" w:rsidR="00A040EF" w:rsidRPr="00EC326F" w:rsidRDefault="00A040EF" w:rsidP="001A4479">
      <w:pPr>
        <w:pStyle w:val="PwCNormal"/>
        <w:numPr>
          <w:ilvl w:val="0"/>
          <w:numId w:val="37"/>
        </w:numPr>
      </w:pPr>
      <w:r w:rsidRPr="00EC326F">
        <w:rPr>
          <w:lang w:eastAsia="en-AU"/>
        </w:rPr>
        <w:t>The table below shows the proposed long term indexation assumptions for each of the indexation regimes as well as the discounting gap with the assumed discount rate of 6 per cent.</w:t>
      </w:r>
    </w:p>
    <w:p w14:paraId="2E5496D0" w14:textId="77777777" w:rsidR="00A040EF" w:rsidRPr="00EC326F" w:rsidRDefault="00A040EF" w:rsidP="00A040EF">
      <w:pPr>
        <w:pStyle w:val="Caption"/>
      </w:pPr>
      <w:r w:rsidRPr="006E1381">
        <w:lastRenderedPageBreak/>
        <w:t xml:space="preserve">Table </w:t>
      </w:r>
      <w:fldSimple w:instr=" SEQ Table \* ARABIC ">
        <w:r w:rsidR="007A42DF">
          <w:rPr>
            <w:noProof/>
          </w:rPr>
          <w:t>18</w:t>
        </w:r>
      </w:fldSimple>
      <w:r w:rsidRPr="006E1381">
        <w:t xml:space="preserve">: Gap between discount rate and </w:t>
      </w:r>
      <w:r w:rsidR="0019335C" w:rsidRPr="006E1381">
        <w:t xml:space="preserve">long term </w:t>
      </w:r>
      <w:r w:rsidRPr="006E1381">
        <w:t>indexation assumptions</w:t>
      </w:r>
    </w:p>
    <w:tbl>
      <w:tblPr>
        <w:tblStyle w:val="Tables-APBase"/>
        <w:tblW w:w="5000" w:type="pct"/>
        <w:tblBorders>
          <w:left w:val="none" w:sz="0" w:space="0" w:color="auto"/>
          <w:bottom w:val="single" w:sz="4" w:space="0" w:color="E0301E"/>
          <w:insideH w:val="single" w:sz="4" w:space="0" w:color="E0301E"/>
        </w:tblBorders>
        <w:tblLayout w:type="fixed"/>
        <w:tblLook w:val="04A0" w:firstRow="1" w:lastRow="0" w:firstColumn="1" w:lastColumn="0" w:noHBand="0" w:noVBand="1"/>
        <w:tblCaption w:val=" Gap between discount rate and long term indexation assumptions&#10;"/>
        <w:tblDescription w:val="This table displays the gap between the indexation assumptions listed in table 17, and the future discounting of 6 per cent per annum.&#10;&#10;There are four columns: The indexation regime, the proportion of 2015-16 payments, the long term indexation assumptions and the discounting gap (the discount rate less the indexation assumption)&#10;&#10;The first row is for CPI, MTAWE and PBLCI. Its proportion of 2015-16 payments is 55%, and the long term indexation assumption is for 2.5 to 4 per cent. The discounting gap is listed as 2 to 3.5 per cent.&#10;&#10;The second row is CPI, and its 2015-16 proportion is 42%. Its long term assumption is 2.5%, which gives a discounting gap of 3.5 per cent.&#10;&#10;The third row is for the National minimum wage, with a proportion of 2 per cent. Its long term assumption is 3%, which gives a discounting gap of 3 per cent.&#10;&#10;The final row is for &quot;No indexation&quot;. The proportion is 1%, the long term index is 0%, and so the discounting gap is 6%.&#10;"/>
      </w:tblPr>
      <w:tblGrid>
        <w:gridCol w:w="2671"/>
        <w:gridCol w:w="2470"/>
        <w:gridCol w:w="2780"/>
        <w:gridCol w:w="2160"/>
      </w:tblGrid>
      <w:tr w:rsidR="00A040EF" w:rsidRPr="00EC326F" w14:paraId="4F3642D3" w14:textId="77777777" w:rsidTr="00A040E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71" w:type="dxa"/>
            <w:tcBorders>
              <w:top w:val="single" w:sz="4" w:space="0" w:color="FFFFFF"/>
              <w:left w:val="nil"/>
              <w:bottom w:val="single" w:sz="4" w:space="0" w:color="E0301E"/>
              <w:right w:val="single" w:sz="4" w:space="0" w:color="FFFFFF"/>
            </w:tcBorders>
            <w:shd w:val="clear" w:color="auto" w:fill="E0301E"/>
            <w:vAlign w:val="center"/>
            <w:hideMark/>
          </w:tcPr>
          <w:p w14:paraId="7E2A6D4B" w14:textId="77777777" w:rsidR="00A040EF" w:rsidRPr="00EC326F" w:rsidRDefault="00A040EF">
            <w:pPr>
              <w:pStyle w:val="TableColumnHeadingSmall"/>
            </w:pPr>
            <w:r w:rsidRPr="00EC326F">
              <w:t>Indexation regime</w:t>
            </w:r>
          </w:p>
        </w:tc>
        <w:tc>
          <w:tcPr>
            <w:tcW w:w="2470"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3CAFDE3E" w14:textId="77777777" w:rsidR="00A040EF" w:rsidRPr="00EC326F" w:rsidRDefault="00A040EF" w:rsidP="001B601B">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Proportion of 201</w:t>
            </w:r>
            <w:r w:rsidR="001B601B" w:rsidRPr="00EC326F">
              <w:t>5</w:t>
            </w:r>
            <w:r w:rsidRPr="00EC326F">
              <w:t>-1</w:t>
            </w:r>
            <w:r w:rsidR="001B601B" w:rsidRPr="00EC326F">
              <w:t>6</w:t>
            </w:r>
            <w:r w:rsidRPr="00EC326F">
              <w:t xml:space="preserve"> payments</w:t>
            </w:r>
          </w:p>
        </w:tc>
        <w:tc>
          <w:tcPr>
            <w:tcW w:w="2780"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41EDBE13" w14:textId="77777777" w:rsidR="00A040EF" w:rsidRPr="00EC326F" w:rsidRDefault="00A040EF">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Long term indexation assumption</w:t>
            </w:r>
          </w:p>
        </w:tc>
        <w:tc>
          <w:tcPr>
            <w:tcW w:w="2160"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58A1B8AA" w14:textId="77777777" w:rsidR="00A040EF" w:rsidRPr="00EC326F" w:rsidRDefault="00A040EF">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Discounting gap</w:t>
            </w:r>
            <w:r w:rsidRPr="00EC326F">
              <w:br/>
              <w:t xml:space="preserve">(discount rate </w:t>
            </w:r>
            <w:r w:rsidRPr="00EC326F">
              <w:rPr>
                <w:i/>
              </w:rPr>
              <w:t>less</w:t>
            </w:r>
            <w:r w:rsidRPr="00EC326F">
              <w:t xml:space="preserve"> indexation assumption)</w:t>
            </w:r>
          </w:p>
        </w:tc>
      </w:tr>
      <w:tr w:rsidR="00A040EF" w:rsidRPr="00EC326F" w14:paraId="0FA01C8A" w14:textId="77777777" w:rsidTr="00A040EF">
        <w:tc>
          <w:tcPr>
            <w:tcW w:w="2671" w:type="dxa"/>
            <w:tcBorders>
              <w:top w:val="single" w:sz="4" w:space="0" w:color="E0301E"/>
              <w:left w:val="nil"/>
              <w:bottom w:val="single" w:sz="4" w:space="0" w:color="E0301E"/>
              <w:right w:val="single" w:sz="4" w:space="0" w:color="FFFFFF"/>
            </w:tcBorders>
            <w:hideMark/>
          </w:tcPr>
          <w:p w14:paraId="6FAE7629" w14:textId="77777777" w:rsidR="00A040EF" w:rsidRPr="00EC326F" w:rsidRDefault="00A040EF">
            <w:pPr>
              <w:pStyle w:val="TableTextSmall"/>
              <w:keepNext/>
            </w:pPr>
            <w:r w:rsidRPr="00EC326F">
              <w:t>CPI/MTAWE/PBLCI</w:t>
            </w:r>
          </w:p>
        </w:tc>
        <w:tc>
          <w:tcPr>
            <w:tcW w:w="2470" w:type="dxa"/>
            <w:tcBorders>
              <w:top w:val="single" w:sz="4" w:space="0" w:color="E0301E"/>
              <w:left w:val="single" w:sz="4" w:space="0" w:color="FFFFFF"/>
              <w:bottom w:val="single" w:sz="4" w:space="0" w:color="E0301E"/>
              <w:right w:val="single" w:sz="4" w:space="0" w:color="FFFFFF"/>
            </w:tcBorders>
            <w:hideMark/>
          </w:tcPr>
          <w:p w14:paraId="12F7F71D" w14:textId="77777777" w:rsidR="00A040EF" w:rsidRPr="00EC326F" w:rsidRDefault="00A040EF" w:rsidP="009A5DCD">
            <w:pPr>
              <w:pStyle w:val="TableTextSmall"/>
              <w:keepNext/>
              <w:jc w:val="center"/>
            </w:pPr>
            <w:r w:rsidRPr="00EC326F">
              <w:t>5</w:t>
            </w:r>
            <w:r w:rsidR="009A5DCD" w:rsidRPr="00EC326F">
              <w:t>5</w:t>
            </w:r>
            <w:r w:rsidRPr="00EC326F">
              <w:t>%</w:t>
            </w:r>
          </w:p>
        </w:tc>
        <w:tc>
          <w:tcPr>
            <w:tcW w:w="2780" w:type="dxa"/>
            <w:tcBorders>
              <w:top w:val="single" w:sz="4" w:space="0" w:color="E0301E"/>
              <w:left w:val="single" w:sz="4" w:space="0" w:color="FFFFFF"/>
              <w:bottom w:val="single" w:sz="4" w:space="0" w:color="E0301E"/>
              <w:right w:val="single" w:sz="4" w:space="0" w:color="FFFFFF"/>
            </w:tcBorders>
            <w:hideMark/>
          </w:tcPr>
          <w:p w14:paraId="4DCFBC85" w14:textId="77777777" w:rsidR="00A040EF" w:rsidRPr="00EC326F" w:rsidRDefault="00A040EF">
            <w:pPr>
              <w:pStyle w:val="TableTextSmall"/>
              <w:keepNext/>
              <w:jc w:val="center"/>
            </w:pPr>
            <w:r w:rsidRPr="00EC326F">
              <w:t>2.5/4 per cent</w:t>
            </w:r>
          </w:p>
        </w:tc>
        <w:tc>
          <w:tcPr>
            <w:tcW w:w="2160" w:type="dxa"/>
            <w:tcBorders>
              <w:top w:val="single" w:sz="4" w:space="0" w:color="E0301E"/>
              <w:left w:val="single" w:sz="4" w:space="0" w:color="FFFFFF"/>
              <w:bottom w:val="single" w:sz="4" w:space="0" w:color="E0301E"/>
              <w:right w:val="single" w:sz="4" w:space="0" w:color="FFFFFF"/>
            </w:tcBorders>
            <w:hideMark/>
          </w:tcPr>
          <w:p w14:paraId="358021DE" w14:textId="77777777" w:rsidR="00A040EF" w:rsidRPr="00EC326F" w:rsidRDefault="00A040EF">
            <w:pPr>
              <w:pStyle w:val="TableTextSmall"/>
              <w:keepNext/>
              <w:jc w:val="center"/>
            </w:pPr>
            <w:r w:rsidRPr="00EC326F">
              <w:t>2/3.5 per cent</w:t>
            </w:r>
          </w:p>
        </w:tc>
      </w:tr>
      <w:tr w:rsidR="00A040EF" w:rsidRPr="00EC326F" w14:paraId="4A52DC7E" w14:textId="77777777" w:rsidTr="00A040EF">
        <w:tc>
          <w:tcPr>
            <w:tcW w:w="2671" w:type="dxa"/>
            <w:tcBorders>
              <w:top w:val="single" w:sz="4" w:space="0" w:color="E0301E"/>
              <w:left w:val="nil"/>
              <w:bottom w:val="single" w:sz="4" w:space="0" w:color="E0301E"/>
              <w:right w:val="single" w:sz="4" w:space="0" w:color="FFFFFF"/>
            </w:tcBorders>
            <w:hideMark/>
          </w:tcPr>
          <w:p w14:paraId="0C739A46" w14:textId="77777777" w:rsidR="00A040EF" w:rsidRPr="00EC326F" w:rsidRDefault="00A040EF">
            <w:pPr>
              <w:pStyle w:val="TableTextSmall"/>
            </w:pPr>
            <w:r w:rsidRPr="00EC326F">
              <w:t>CPI</w:t>
            </w:r>
          </w:p>
        </w:tc>
        <w:tc>
          <w:tcPr>
            <w:tcW w:w="2470" w:type="dxa"/>
            <w:tcBorders>
              <w:top w:val="single" w:sz="4" w:space="0" w:color="E0301E"/>
              <w:left w:val="single" w:sz="4" w:space="0" w:color="FFFFFF"/>
              <w:bottom w:val="single" w:sz="4" w:space="0" w:color="E0301E"/>
              <w:right w:val="single" w:sz="4" w:space="0" w:color="FFFFFF"/>
            </w:tcBorders>
            <w:hideMark/>
          </w:tcPr>
          <w:p w14:paraId="49F2357D" w14:textId="77777777" w:rsidR="00A040EF" w:rsidRPr="00EC326F" w:rsidRDefault="009A5DCD">
            <w:pPr>
              <w:pStyle w:val="TableTextSmall"/>
              <w:jc w:val="center"/>
            </w:pPr>
            <w:r w:rsidRPr="00EC326F">
              <w:t>42</w:t>
            </w:r>
            <w:r w:rsidR="00A040EF" w:rsidRPr="00EC326F">
              <w:t>%</w:t>
            </w:r>
          </w:p>
        </w:tc>
        <w:tc>
          <w:tcPr>
            <w:tcW w:w="2780" w:type="dxa"/>
            <w:tcBorders>
              <w:top w:val="single" w:sz="4" w:space="0" w:color="E0301E"/>
              <w:left w:val="single" w:sz="4" w:space="0" w:color="FFFFFF"/>
              <w:bottom w:val="single" w:sz="4" w:space="0" w:color="E0301E"/>
              <w:right w:val="single" w:sz="4" w:space="0" w:color="FFFFFF"/>
            </w:tcBorders>
            <w:hideMark/>
          </w:tcPr>
          <w:p w14:paraId="6BFACFE1" w14:textId="77777777" w:rsidR="00A040EF" w:rsidRPr="00EC326F" w:rsidRDefault="00A040EF">
            <w:pPr>
              <w:pStyle w:val="TableTextSmall"/>
              <w:jc w:val="center"/>
            </w:pPr>
            <w:r w:rsidRPr="00EC326F">
              <w:t>2.5 per cent</w:t>
            </w:r>
          </w:p>
        </w:tc>
        <w:tc>
          <w:tcPr>
            <w:tcW w:w="2160" w:type="dxa"/>
            <w:tcBorders>
              <w:top w:val="single" w:sz="4" w:space="0" w:color="E0301E"/>
              <w:left w:val="single" w:sz="4" w:space="0" w:color="FFFFFF"/>
              <w:bottom w:val="single" w:sz="4" w:space="0" w:color="E0301E"/>
              <w:right w:val="single" w:sz="4" w:space="0" w:color="FFFFFF"/>
            </w:tcBorders>
            <w:hideMark/>
          </w:tcPr>
          <w:p w14:paraId="1005D1EB" w14:textId="77777777" w:rsidR="00A040EF" w:rsidRPr="00EC326F" w:rsidRDefault="00A040EF">
            <w:pPr>
              <w:pStyle w:val="TableTextSmall"/>
              <w:jc w:val="center"/>
            </w:pPr>
            <w:r w:rsidRPr="00EC326F">
              <w:t>3.5 per cent</w:t>
            </w:r>
          </w:p>
        </w:tc>
      </w:tr>
      <w:tr w:rsidR="00A040EF" w:rsidRPr="00EC326F" w14:paraId="59D35919" w14:textId="77777777" w:rsidTr="00A040EF">
        <w:tc>
          <w:tcPr>
            <w:tcW w:w="2671" w:type="dxa"/>
            <w:tcBorders>
              <w:top w:val="single" w:sz="4" w:space="0" w:color="E0301E"/>
              <w:left w:val="nil"/>
              <w:bottom w:val="single" w:sz="4" w:space="0" w:color="E0301E"/>
              <w:right w:val="single" w:sz="4" w:space="0" w:color="FFFFFF"/>
            </w:tcBorders>
            <w:hideMark/>
          </w:tcPr>
          <w:p w14:paraId="67E1A97C" w14:textId="77777777" w:rsidR="00A040EF" w:rsidRPr="00EC326F" w:rsidRDefault="00A040EF">
            <w:pPr>
              <w:pStyle w:val="TableTextSmall"/>
            </w:pPr>
            <w:r w:rsidRPr="00EC326F">
              <w:t>National minimum wage</w:t>
            </w:r>
          </w:p>
        </w:tc>
        <w:tc>
          <w:tcPr>
            <w:tcW w:w="2470" w:type="dxa"/>
            <w:tcBorders>
              <w:top w:val="single" w:sz="4" w:space="0" w:color="E0301E"/>
              <w:left w:val="single" w:sz="4" w:space="0" w:color="FFFFFF"/>
              <w:bottom w:val="single" w:sz="4" w:space="0" w:color="E0301E"/>
              <w:right w:val="single" w:sz="4" w:space="0" w:color="FFFFFF"/>
            </w:tcBorders>
            <w:hideMark/>
          </w:tcPr>
          <w:p w14:paraId="572FE079" w14:textId="77777777" w:rsidR="00A040EF" w:rsidRPr="00EC326F" w:rsidRDefault="00A040EF">
            <w:pPr>
              <w:pStyle w:val="TableTextSmall"/>
              <w:jc w:val="center"/>
            </w:pPr>
            <w:r w:rsidRPr="00EC326F">
              <w:t>2%</w:t>
            </w:r>
          </w:p>
        </w:tc>
        <w:tc>
          <w:tcPr>
            <w:tcW w:w="2780" w:type="dxa"/>
            <w:tcBorders>
              <w:top w:val="single" w:sz="4" w:space="0" w:color="E0301E"/>
              <w:left w:val="single" w:sz="4" w:space="0" w:color="FFFFFF"/>
              <w:bottom w:val="single" w:sz="4" w:space="0" w:color="E0301E"/>
              <w:right w:val="single" w:sz="4" w:space="0" w:color="FFFFFF"/>
            </w:tcBorders>
            <w:hideMark/>
          </w:tcPr>
          <w:p w14:paraId="62C36768" w14:textId="77777777" w:rsidR="00A040EF" w:rsidRPr="00EC326F" w:rsidRDefault="00DC1A1B">
            <w:pPr>
              <w:pStyle w:val="TableTextSmall"/>
              <w:jc w:val="center"/>
            </w:pPr>
            <w:r w:rsidRPr="00EC326F">
              <w:t>3 per cent</w:t>
            </w:r>
          </w:p>
        </w:tc>
        <w:tc>
          <w:tcPr>
            <w:tcW w:w="2160" w:type="dxa"/>
            <w:tcBorders>
              <w:top w:val="single" w:sz="4" w:space="0" w:color="E0301E"/>
              <w:left w:val="single" w:sz="4" w:space="0" w:color="FFFFFF"/>
              <w:bottom w:val="single" w:sz="4" w:space="0" w:color="E0301E"/>
              <w:right w:val="single" w:sz="4" w:space="0" w:color="FFFFFF"/>
            </w:tcBorders>
            <w:hideMark/>
          </w:tcPr>
          <w:p w14:paraId="7D62FEBB" w14:textId="77777777" w:rsidR="00A040EF" w:rsidRPr="00EC326F" w:rsidRDefault="00DC1A1B">
            <w:pPr>
              <w:pStyle w:val="TableTextSmall"/>
              <w:jc w:val="center"/>
            </w:pPr>
            <w:r w:rsidRPr="00EC326F">
              <w:t>3 percent</w:t>
            </w:r>
          </w:p>
        </w:tc>
      </w:tr>
      <w:tr w:rsidR="00A040EF" w:rsidRPr="00EC326F" w14:paraId="41C85C39" w14:textId="77777777" w:rsidTr="00A040EF">
        <w:tc>
          <w:tcPr>
            <w:tcW w:w="2671" w:type="dxa"/>
            <w:tcBorders>
              <w:top w:val="single" w:sz="4" w:space="0" w:color="E0301E"/>
              <w:left w:val="nil"/>
              <w:bottom w:val="single" w:sz="4" w:space="0" w:color="E0301E"/>
              <w:right w:val="single" w:sz="4" w:space="0" w:color="FFFFFF"/>
            </w:tcBorders>
            <w:hideMark/>
          </w:tcPr>
          <w:p w14:paraId="1C0DF604" w14:textId="77777777" w:rsidR="00A040EF" w:rsidRPr="00EC326F" w:rsidRDefault="00A040EF">
            <w:pPr>
              <w:pStyle w:val="TableTextSmall"/>
            </w:pPr>
            <w:r w:rsidRPr="00EC326F">
              <w:t>No indexation</w:t>
            </w:r>
          </w:p>
        </w:tc>
        <w:tc>
          <w:tcPr>
            <w:tcW w:w="2470" w:type="dxa"/>
            <w:tcBorders>
              <w:top w:val="single" w:sz="4" w:space="0" w:color="E0301E"/>
              <w:left w:val="single" w:sz="4" w:space="0" w:color="FFFFFF"/>
              <w:bottom w:val="single" w:sz="4" w:space="0" w:color="E0301E"/>
              <w:right w:val="single" w:sz="4" w:space="0" w:color="FFFFFF"/>
            </w:tcBorders>
            <w:hideMark/>
          </w:tcPr>
          <w:p w14:paraId="5EA3BA70" w14:textId="77777777" w:rsidR="00A040EF" w:rsidRPr="00EC326F" w:rsidRDefault="009A5DCD">
            <w:pPr>
              <w:pStyle w:val="TableTextSmall"/>
              <w:jc w:val="center"/>
            </w:pPr>
            <w:r w:rsidRPr="00EC326F">
              <w:t>1</w:t>
            </w:r>
            <w:r w:rsidR="00A040EF" w:rsidRPr="00EC326F">
              <w:t>%</w:t>
            </w:r>
          </w:p>
        </w:tc>
        <w:tc>
          <w:tcPr>
            <w:tcW w:w="2780" w:type="dxa"/>
            <w:tcBorders>
              <w:top w:val="single" w:sz="4" w:space="0" w:color="E0301E"/>
              <w:left w:val="single" w:sz="4" w:space="0" w:color="FFFFFF"/>
              <w:bottom w:val="single" w:sz="4" w:space="0" w:color="E0301E"/>
              <w:right w:val="single" w:sz="4" w:space="0" w:color="FFFFFF"/>
            </w:tcBorders>
            <w:hideMark/>
          </w:tcPr>
          <w:p w14:paraId="4A34435D" w14:textId="77777777" w:rsidR="00A040EF" w:rsidRPr="00EC326F" w:rsidRDefault="00A040EF">
            <w:pPr>
              <w:pStyle w:val="TableTextSmall"/>
              <w:jc w:val="center"/>
            </w:pPr>
            <w:r w:rsidRPr="00EC326F">
              <w:t>0 per cent</w:t>
            </w:r>
          </w:p>
        </w:tc>
        <w:tc>
          <w:tcPr>
            <w:tcW w:w="2160" w:type="dxa"/>
            <w:tcBorders>
              <w:top w:val="single" w:sz="4" w:space="0" w:color="E0301E"/>
              <w:left w:val="single" w:sz="4" w:space="0" w:color="FFFFFF"/>
              <w:bottom w:val="single" w:sz="4" w:space="0" w:color="E0301E"/>
              <w:right w:val="single" w:sz="4" w:space="0" w:color="FFFFFF"/>
            </w:tcBorders>
            <w:hideMark/>
          </w:tcPr>
          <w:p w14:paraId="5209171C" w14:textId="77777777" w:rsidR="00A040EF" w:rsidRPr="00EC326F" w:rsidRDefault="00A040EF">
            <w:pPr>
              <w:pStyle w:val="TableTextSmall"/>
              <w:jc w:val="center"/>
            </w:pPr>
            <w:r w:rsidRPr="00EC326F">
              <w:t>6 per cent</w:t>
            </w:r>
          </w:p>
        </w:tc>
      </w:tr>
    </w:tbl>
    <w:p w14:paraId="3E86C263" w14:textId="77777777" w:rsidR="00A040EF" w:rsidRPr="00EC326F" w:rsidRDefault="00A040EF" w:rsidP="00A040EF">
      <w:pPr>
        <w:pStyle w:val="Sources"/>
      </w:pPr>
      <w:r w:rsidRPr="00EC326F">
        <w:t>Sources: 2016-17 Commonwealth Budget, Budget Paper 1, Budget Statement 1, 2015 Intergenerational Report</w:t>
      </w:r>
      <w:r w:rsidR="00152FD4">
        <w:t>,</w:t>
      </w:r>
      <w:r w:rsidRPr="00EC326F">
        <w:t xml:space="preserve"> and PwC analysis of Departmental data</w:t>
      </w:r>
    </w:p>
    <w:p w14:paraId="52DC14F9" w14:textId="77777777" w:rsidR="008F6978" w:rsidRPr="000747FE" w:rsidRDefault="008F6978" w:rsidP="008F6978">
      <w:pPr>
        <w:pStyle w:val="PwCNormal"/>
        <w:numPr>
          <w:ilvl w:val="0"/>
          <w:numId w:val="0"/>
        </w:numPr>
      </w:pPr>
    </w:p>
    <w:p w14:paraId="601D7975" w14:textId="77777777" w:rsidR="0019335C" w:rsidRPr="000747FE" w:rsidRDefault="0019335C" w:rsidP="008F6978">
      <w:pPr>
        <w:pStyle w:val="PwCNormal"/>
        <w:numPr>
          <w:ilvl w:val="0"/>
          <w:numId w:val="0"/>
        </w:numPr>
        <w:sectPr w:rsidR="0019335C" w:rsidRPr="000747FE" w:rsidSect="00CC5ACB">
          <w:headerReference w:type="even" r:id="rId59"/>
          <w:pgSz w:w="11907" w:h="16840" w:code="9"/>
          <w:pgMar w:top="1588" w:right="1021" w:bottom="1418" w:left="1021" w:header="567" w:footer="567" w:gutter="0"/>
          <w:cols w:space="227"/>
          <w:docGrid w:linePitch="360"/>
        </w:sectPr>
      </w:pPr>
    </w:p>
    <w:p w14:paraId="65C97802" w14:textId="77777777" w:rsidR="00FE2C42" w:rsidRPr="00EC326F" w:rsidRDefault="00FE2C42" w:rsidP="00A55180">
      <w:pPr>
        <w:pStyle w:val="Heading2"/>
      </w:pPr>
      <w:bookmarkStart w:id="202" w:name="_Ref466491097"/>
      <w:bookmarkStart w:id="203" w:name="_Toc493844244"/>
      <w:r w:rsidRPr="00EC326F">
        <w:lastRenderedPageBreak/>
        <w:t>Model population</w:t>
      </w:r>
      <w:bookmarkEnd w:id="124"/>
      <w:bookmarkEnd w:id="169"/>
      <w:bookmarkEnd w:id="170"/>
      <w:bookmarkEnd w:id="171"/>
      <w:bookmarkEnd w:id="202"/>
      <w:bookmarkEnd w:id="203"/>
    </w:p>
    <w:p w14:paraId="7D0DE440" w14:textId="77777777" w:rsidR="00FE2C42" w:rsidRPr="00EC326F" w:rsidRDefault="00FE2C42" w:rsidP="00784B2F">
      <w:pPr>
        <w:pStyle w:val="Heading3"/>
      </w:pPr>
      <w:bookmarkStart w:id="204" w:name="_Toc455499354"/>
      <w:bookmarkStart w:id="205" w:name="_Toc455502375"/>
      <w:bookmarkStart w:id="206" w:name="_Toc493844245"/>
      <w:r w:rsidRPr="00EC326F">
        <w:t>Scope of population</w:t>
      </w:r>
      <w:bookmarkEnd w:id="204"/>
      <w:bookmarkEnd w:id="205"/>
      <w:bookmarkEnd w:id="206"/>
    </w:p>
    <w:p w14:paraId="18FA714D" w14:textId="77777777" w:rsidR="00883CC7" w:rsidRPr="00EC326F" w:rsidRDefault="00883CC7" w:rsidP="001A4479">
      <w:pPr>
        <w:pStyle w:val="PwCNormal"/>
        <w:numPr>
          <w:ilvl w:val="0"/>
          <w:numId w:val="37"/>
        </w:numPr>
      </w:pPr>
      <w:bookmarkStart w:id="207" w:name="_Toc455499355"/>
      <w:bookmarkStart w:id="208" w:name="_Toc455502376"/>
      <w:r w:rsidRPr="00EC326F">
        <w:t xml:space="preserve">The scope of the population for the </w:t>
      </w:r>
      <w:r w:rsidR="00CA438A">
        <w:t xml:space="preserve">2016 </w:t>
      </w:r>
      <w:r w:rsidRPr="00EC326F">
        <w:t xml:space="preserve">valuation includes all Australian residents at 30 June 2016 and overseas welfare recipients who received a payment in the 2015/16 year. </w:t>
      </w:r>
    </w:p>
    <w:p w14:paraId="5AD948CC" w14:textId="77777777" w:rsidR="00883CC7" w:rsidRPr="00EC326F" w:rsidRDefault="00883CC7" w:rsidP="001A4479">
      <w:pPr>
        <w:pStyle w:val="PwCNormal"/>
        <w:numPr>
          <w:ilvl w:val="0"/>
          <w:numId w:val="37"/>
        </w:numPr>
      </w:pPr>
      <w:r w:rsidRPr="00EC326F">
        <w:t xml:space="preserve">Future migrants and unborn children are not included in the model, but will appear in future valuations once they migrate or are born, and at that time will contribute to an increase in the total lifetime cost. </w:t>
      </w:r>
    </w:p>
    <w:p w14:paraId="5CCAB24B" w14:textId="77777777" w:rsidR="00883CC7" w:rsidRPr="00EC326F" w:rsidRDefault="00883CC7" w:rsidP="001A4479">
      <w:pPr>
        <w:pStyle w:val="PwCNormal"/>
        <w:numPr>
          <w:ilvl w:val="0"/>
          <w:numId w:val="37"/>
        </w:numPr>
      </w:pPr>
      <w:r w:rsidRPr="00EC326F">
        <w:t xml:space="preserve">The valuation model allows for the impact of future children on the likelihood and size of welfare payments for members of the model population, but does not estimate the future liabilities for the unborn children once they are eligible to receive welfare payments in their own right. </w:t>
      </w:r>
    </w:p>
    <w:p w14:paraId="6726CE92" w14:textId="77777777" w:rsidR="00883CC7" w:rsidRPr="00EC326F" w:rsidRDefault="00883CC7" w:rsidP="001A4479">
      <w:pPr>
        <w:pStyle w:val="PwCNormal"/>
        <w:numPr>
          <w:ilvl w:val="0"/>
          <w:numId w:val="37"/>
        </w:numPr>
      </w:pPr>
      <w:r w:rsidRPr="00EC326F">
        <w:t>The valuation model allows for new entrants to the welfare payment system in each future year to be drawn from the model population, including existing children.</w:t>
      </w:r>
    </w:p>
    <w:p w14:paraId="56CFA362" w14:textId="77777777" w:rsidR="00FE2C42" w:rsidRPr="00EC326F" w:rsidRDefault="00FE2C42" w:rsidP="00784B2F">
      <w:pPr>
        <w:pStyle w:val="Heading3"/>
      </w:pPr>
      <w:bookmarkStart w:id="209" w:name="_Toc493844246"/>
      <w:r w:rsidRPr="00EC326F">
        <w:t>Summary of current population</w:t>
      </w:r>
      <w:bookmarkEnd w:id="207"/>
      <w:bookmarkEnd w:id="208"/>
      <w:bookmarkEnd w:id="209"/>
    </w:p>
    <w:p w14:paraId="76BBD977" w14:textId="77777777" w:rsidR="00883CC7" w:rsidRPr="00EC326F" w:rsidRDefault="00883CC7" w:rsidP="001A4479">
      <w:pPr>
        <w:pStyle w:val="PwCNormal"/>
        <w:numPr>
          <w:ilvl w:val="0"/>
          <w:numId w:val="37"/>
        </w:numPr>
      </w:pPr>
      <w:r w:rsidRPr="00EC326F">
        <w:t>The Australian estimated resident population at 30 June 2016 is 24.1 million people.</w:t>
      </w:r>
      <w:r w:rsidRPr="00EC326F">
        <w:rPr>
          <w:rStyle w:val="FootnoteReference"/>
        </w:rPr>
        <w:footnoteReference w:id="6"/>
      </w:r>
    </w:p>
    <w:p w14:paraId="1F929588" w14:textId="77777777" w:rsidR="00883CC7" w:rsidRPr="00EC326F" w:rsidRDefault="00883CC7" w:rsidP="001A4479">
      <w:pPr>
        <w:pStyle w:val="PwCNormal"/>
        <w:numPr>
          <w:ilvl w:val="0"/>
          <w:numId w:val="37"/>
        </w:numPr>
      </w:pPr>
      <w:r w:rsidRPr="00EC326F">
        <w:t>The model population is 24.2 million people; this is slightly larger than the resident population owing to the inclusion of overseas residents who currently receive welfare payments as represented below.</w:t>
      </w:r>
    </w:p>
    <w:p w14:paraId="557F3A14" w14:textId="77777777" w:rsidR="00883CC7" w:rsidRPr="00EC326F" w:rsidRDefault="00883CC7" w:rsidP="00883CC7">
      <w:pPr>
        <w:pStyle w:val="Caption"/>
      </w:pPr>
      <w:r w:rsidRPr="00EC326F">
        <w:t xml:space="preserve">Figure </w:t>
      </w:r>
      <w:fldSimple w:instr=" SEQ Figure \* ARABIC ">
        <w:r w:rsidR="007A42DF">
          <w:rPr>
            <w:noProof/>
          </w:rPr>
          <w:t>18</w:t>
        </w:r>
      </w:fldSimple>
      <w:r w:rsidRPr="00EC326F">
        <w:t>: Population at 30 June 2016</w:t>
      </w:r>
    </w:p>
    <w:p w14:paraId="0CE3E989" w14:textId="77777777" w:rsidR="00883CC7" w:rsidRPr="000747FE" w:rsidRDefault="00883CC7" w:rsidP="00883CC7">
      <w:r w:rsidRPr="00EC326F">
        <w:rPr>
          <w:noProof/>
          <w:lang w:eastAsia="en-AU"/>
        </w:rPr>
        <w:drawing>
          <wp:inline distT="0" distB="0" distL="0" distR="0" wp14:anchorId="394F145B" wp14:editId="56DCA229">
            <wp:extent cx="5597525" cy="2783205"/>
            <wp:effectExtent l="0" t="0" r="0" b="0"/>
            <wp:docPr id="1064" name="Picture 1064" descr="This figure is a Venn diagram. It consists of three groups: the Australian resident population, previous welfare recipients and current welfare recipients. The diagram shows that there are 24.2 million people in the Australian resident population, that there are 4.19 million previous welfare recipients who are also Australian residents and that there are 8 million current welfare recipients, 0.10 million of which currently reside overseas." title=" Population at 30 June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97525" cy="2783205"/>
                    </a:xfrm>
                    <a:prstGeom prst="rect">
                      <a:avLst/>
                    </a:prstGeom>
                    <a:noFill/>
                    <a:ln>
                      <a:noFill/>
                    </a:ln>
                  </pic:spPr>
                </pic:pic>
              </a:graphicData>
            </a:graphic>
          </wp:inline>
        </w:drawing>
      </w:r>
    </w:p>
    <w:p w14:paraId="1E82DF33" w14:textId="77777777" w:rsidR="00883CC7" w:rsidRPr="000747FE" w:rsidRDefault="00883CC7" w:rsidP="00883CC7">
      <w:pPr>
        <w:pStyle w:val="PwCNormal"/>
      </w:pPr>
      <w:r w:rsidRPr="000747FE">
        <w:br w:type="page"/>
      </w:r>
    </w:p>
    <w:p w14:paraId="1DB9645F" w14:textId="77777777" w:rsidR="00364B74" w:rsidRPr="00EC326F" w:rsidRDefault="00364B74" w:rsidP="00784B2F">
      <w:pPr>
        <w:pStyle w:val="Heading3"/>
      </w:pPr>
      <w:bookmarkStart w:id="210" w:name="_Ref437333427"/>
      <w:bookmarkStart w:id="211" w:name="_Toc455499356"/>
      <w:bookmarkStart w:id="212" w:name="_Toc455502377"/>
      <w:bookmarkStart w:id="213" w:name="_Toc493844247"/>
      <w:r w:rsidRPr="00EC326F">
        <w:lastRenderedPageBreak/>
        <w:t>Development of model population dataset</w:t>
      </w:r>
      <w:bookmarkEnd w:id="210"/>
      <w:bookmarkEnd w:id="211"/>
      <w:bookmarkEnd w:id="212"/>
      <w:bookmarkEnd w:id="213"/>
    </w:p>
    <w:p w14:paraId="6C4C56DE" w14:textId="77777777" w:rsidR="00364B74" w:rsidRPr="00EC326F" w:rsidRDefault="00364B74" w:rsidP="004963A8">
      <w:pPr>
        <w:pStyle w:val="Heading4"/>
      </w:pPr>
      <w:bookmarkStart w:id="214" w:name="_Toc455499357"/>
      <w:bookmarkStart w:id="215" w:name="_Toc455502378"/>
      <w:bookmarkStart w:id="216" w:name="_Toc455503910"/>
      <w:r w:rsidRPr="00EC326F">
        <w:t>Australian resident population</w:t>
      </w:r>
      <w:bookmarkEnd w:id="214"/>
      <w:bookmarkEnd w:id="215"/>
      <w:bookmarkEnd w:id="216"/>
    </w:p>
    <w:p w14:paraId="47AD71FE" w14:textId="77777777" w:rsidR="00364B74" w:rsidRPr="00EC326F" w:rsidRDefault="000655AF" w:rsidP="00FE2C42">
      <w:pPr>
        <w:pStyle w:val="PwCNormal"/>
        <w:numPr>
          <w:ilvl w:val="0"/>
          <w:numId w:val="0"/>
        </w:numPr>
      </w:pPr>
      <w:r w:rsidRPr="00EC326F">
        <w:t>A full synthetic dataset was developed to represent the 201</w:t>
      </w:r>
      <w:r w:rsidR="009D746F" w:rsidRPr="00EC326F">
        <w:t>6</w:t>
      </w:r>
      <w:r w:rsidRPr="00EC326F">
        <w:t xml:space="preserve"> Australian resident population. This was done by:</w:t>
      </w:r>
    </w:p>
    <w:p w14:paraId="63FAF41D" w14:textId="77777777" w:rsidR="000655AF" w:rsidRPr="00EC326F" w:rsidRDefault="000655AF" w:rsidP="001A4479">
      <w:pPr>
        <w:pStyle w:val="ListNumber"/>
        <w:numPr>
          <w:ilvl w:val="0"/>
          <w:numId w:val="38"/>
        </w:numPr>
        <w:tabs>
          <w:tab w:val="clear" w:pos="567"/>
        </w:tabs>
        <w:spacing w:before="120" w:after="120"/>
        <w:ind w:left="284" w:hanging="284"/>
        <w:contextualSpacing w:val="0"/>
      </w:pPr>
      <w:r w:rsidRPr="00EC326F">
        <w:t>Expanding the 2011 Census sample population from 1% to 100%</w:t>
      </w:r>
      <w:r w:rsidR="00A81591" w:rsidRPr="00EC326F">
        <w:t xml:space="preserve">. </w:t>
      </w:r>
    </w:p>
    <w:p w14:paraId="2D73EA62" w14:textId="77777777" w:rsidR="000655AF" w:rsidRPr="00EC326F" w:rsidRDefault="000655AF" w:rsidP="002C7853">
      <w:pPr>
        <w:pStyle w:val="ListNumber"/>
        <w:tabs>
          <w:tab w:val="clear" w:pos="567"/>
        </w:tabs>
        <w:spacing w:before="120" w:after="120"/>
        <w:ind w:left="284" w:hanging="284"/>
        <w:contextualSpacing w:val="0"/>
      </w:pPr>
      <w:r w:rsidRPr="00EC326F">
        <w:t>Adjusting the population from the enumerated population (those covered by the 2011 census) to the 2011 estimated resident population. This adjustment allows for people overseas on census night and for the net undercount in the census.</w:t>
      </w:r>
    </w:p>
    <w:p w14:paraId="52F37004" w14:textId="77777777" w:rsidR="000655AF" w:rsidRPr="00EC326F" w:rsidRDefault="000655AF" w:rsidP="002C7853">
      <w:pPr>
        <w:pStyle w:val="ListNumber"/>
        <w:tabs>
          <w:tab w:val="clear" w:pos="567"/>
        </w:tabs>
        <w:spacing w:before="120" w:after="120"/>
        <w:ind w:left="284" w:hanging="284"/>
        <w:contextualSpacing w:val="0"/>
      </w:pPr>
      <w:r w:rsidRPr="00EC326F">
        <w:t>Adjusting the population further to represent the 201</w:t>
      </w:r>
      <w:r w:rsidR="00883CC7" w:rsidRPr="00EC326F">
        <w:t>6</w:t>
      </w:r>
      <w:r w:rsidRPr="00EC326F">
        <w:t xml:space="preserve"> estimated resident population</w:t>
      </w:r>
      <w:r w:rsidR="000017C4" w:rsidRPr="00EC326F">
        <w:t>.</w:t>
      </w:r>
    </w:p>
    <w:p w14:paraId="601D2F0E" w14:textId="77777777" w:rsidR="00617515" w:rsidRPr="00EC326F" w:rsidRDefault="00617515" w:rsidP="00E3363D">
      <w:pPr>
        <w:pStyle w:val="Indent1"/>
      </w:pPr>
      <w:r w:rsidRPr="00EC326F">
        <w:t>This step included adjustments for ageing the population and for changes arising from migration.</w:t>
      </w:r>
    </w:p>
    <w:p w14:paraId="5AA3119D" w14:textId="77777777" w:rsidR="000655AF" w:rsidRPr="00EC326F" w:rsidRDefault="000655AF" w:rsidP="002C7853">
      <w:pPr>
        <w:pStyle w:val="ListNumber"/>
        <w:tabs>
          <w:tab w:val="clear" w:pos="567"/>
        </w:tabs>
        <w:spacing w:before="120" w:after="120"/>
        <w:ind w:left="284" w:hanging="284"/>
        <w:contextualSpacing w:val="0"/>
      </w:pPr>
      <w:r w:rsidRPr="00EC326F">
        <w:t xml:space="preserve">Enhancing the population using statistical imputation referencing external data to produce a synthetic dataset which is representative of the population. </w:t>
      </w:r>
    </w:p>
    <w:p w14:paraId="3CE79298" w14:textId="7ABFE1F0" w:rsidR="000655AF" w:rsidRPr="00EC326F" w:rsidRDefault="000655AF" w:rsidP="002C7853">
      <w:pPr>
        <w:pStyle w:val="Indent1"/>
      </w:pPr>
      <w:r w:rsidRPr="00EC326F">
        <w:t xml:space="preserve">This step was required as some important characteristics </w:t>
      </w:r>
      <w:r w:rsidR="000017C4" w:rsidRPr="00EC326F">
        <w:t xml:space="preserve">were </w:t>
      </w:r>
      <w:r w:rsidRPr="00EC326F">
        <w:t xml:space="preserve">either not available or have limited detail in the original data. Specifically, </w:t>
      </w:r>
      <w:r w:rsidR="00B36672">
        <w:t>I</w:t>
      </w:r>
      <w:r w:rsidRPr="00EC326F">
        <w:t xml:space="preserve">ndigenous status was not available on the original data and so was imputed; age was expanded from 5 year age bands to individual ages and </w:t>
      </w:r>
      <w:r w:rsidR="000017C4" w:rsidRPr="00EC326F">
        <w:t xml:space="preserve">a more detailed </w:t>
      </w:r>
      <w:r w:rsidRPr="00EC326F">
        <w:t xml:space="preserve">location was also imputed. </w:t>
      </w:r>
    </w:p>
    <w:p w14:paraId="1AEFB3E7" w14:textId="77777777" w:rsidR="000655AF" w:rsidRPr="00EC326F" w:rsidRDefault="000655AF" w:rsidP="002C7853">
      <w:pPr>
        <w:pStyle w:val="Indent1"/>
      </w:pPr>
      <w:r w:rsidRPr="00EC326F">
        <w:t xml:space="preserve">Imputation was also used </w:t>
      </w:r>
      <w:r w:rsidR="00A81591" w:rsidRPr="00EC326F">
        <w:t xml:space="preserve">to establish variable information </w:t>
      </w:r>
      <w:r w:rsidRPr="00EC326F">
        <w:t xml:space="preserve">for individuals for whom the census response was </w:t>
      </w:r>
      <w:r w:rsidR="00A81591" w:rsidRPr="00EC326F">
        <w:t>‘not stated’.</w:t>
      </w:r>
    </w:p>
    <w:p w14:paraId="78D560DC" w14:textId="77777777" w:rsidR="0019335C" w:rsidRPr="00EC326F" w:rsidRDefault="0019335C" w:rsidP="00A81591">
      <w:pPr>
        <w:pStyle w:val="PwCNormal"/>
      </w:pPr>
      <w:r w:rsidRPr="00EC326F">
        <w:t>This approach is unchanged from the baseline valuation, however the estimated resident population has now been developed to reflect the June 2016 population.</w:t>
      </w:r>
    </w:p>
    <w:p w14:paraId="2CF1BDC0" w14:textId="77777777" w:rsidR="00A81591" w:rsidRPr="00EC326F" w:rsidRDefault="00A81591" w:rsidP="00A81591">
      <w:pPr>
        <w:pStyle w:val="PwCNormal"/>
      </w:pPr>
      <w:r w:rsidRPr="00EC326F">
        <w:t>The populations generated through the first three steps of this process are illustrated below.</w:t>
      </w:r>
    </w:p>
    <w:p w14:paraId="510942E5" w14:textId="77777777" w:rsidR="00883CC7" w:rsidRPr="00EC326F" w:rsidRDefault="00883CC7" w:rsidP="00883CC7">
      <w:pPr>
        <w:pStyle w:val="Caption"/>
      </w:pPr>
      <w:r w:rsidRPr="00EC326F">
        <w:t xml:space="preserve">Figure </w:t>
      </w:r>
      <w:fldSimple w:instr=" SEQ Figure \* ARABIC ">
        <w:r w:rsidR="007A42DF">
          <w:rPr>
            <w:noProof/>
          </w:rPr>
          <w:t>19</w:t>
        </w:r>
      </w:fldSimple>
      <w:r w:rsidRPr="00EC326F">
        <w:t>: Illustration of creation of 2016 ERP (steps 1 to 3)</w:t>
      </w:r>
    </w:p>
    <w:p w14:paraId="6B58245B" w14:textId="77777777" w:rsidR="00883CC7" w:rsidRPr="00EC326F" w:rsidRDefault="00840291" w:rsidP="00840291">
      <w:pPr>
        <w:pStyle w:val="PwCNormal"/>
      </w:pPr>
      <w:r w:rsidRPr="00EC326F">
        <w:rPr>
          <w:noProof/>
          <w:lang w:eastAsia="en-AU"/>
        </w:rPr>
        <w:drawing>
          <wp:inline distT="0" distB="0" distL="0" distR="0" wp14:anchorId="2DCC37D7" wp14:editId="32984117">
            <wp:extent cx="2912727" cy="2160000"/>
            <wp:effectExtent l="0" t="0" r="2540" b="0"/>
            <wp:docPr id="3079" name="Picture 3079" descr="This figure consists of two horizontal bar charts. The vertical axis for both charts shows age ranging from 0 to 100. The horizontal axis for both charts shows the number of people at each age ranging from 0 to 200,000. Males and females are shown separately. Numbers of males are displayed by the horizontal bars to the left of the vertical axis and numbers of females are shown by horizontal bars to the right. The horizontal bars on each chart have been arranged side-by-side in order to create solid areas.&#10;&#10;The first chart shows the adjustment made from the 2011 census population to the 2011 estimated resident population (ERP). The smaller inner areas of the chart show the 2011 census population while the slightly larger outer areas show the 2011 ERP. The chart demonstrates the increase needed to move from the census population to the ERP population. The largest increases in population between the census population and ERP occurred for males between the ages of 18 and 35, with smaller increases at other ages. Similar increases in the number of females were seen, though to a lesser extent for those aged 18 to 35.&#10;&#10;The second chart shows the further adjustment made from the 2011 ERP to the 2016 ERP. The smaller inner areas show the 2011 ERP while the slightly larger outer areas show the 2016 ERP. The movement from the 2011 ERP to the 2016 ERP requires an increase in the number of people of both genders for most ages. &#10;&#10;The key features of this figure are discussed in the accompanying text within the report.&#10;" title=" Illustration of creation of 2016 ERP (steps 1 to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12727" cy="2160000"/>
                    </a:xfrm>
                    <a:prstGeom prst="rect">
                      <a:avLst/>
                    </a:prstGeom>
                    <a:noFill/>
                    <a:ln>
                      <a:noFill/>
                    </a:ln>
                  </pic:spPr>
                </pic:pic>
              </a:graphicData>
            </a:graphic>
          </wp:inline>
        </w:drawing>
      </w:r>
      <w:r w:rsidR="00883CC7" w:rsidRPr="00EC326F">
        <w:rPr>
          <w:snapToGrid/>
          <w:lang w:eastAsia="en-AU"/>
        </w:rPr>
        <w:t xml:space="preserve"> </w:t>
      </w:r>
      <w:r w:rsidRPr="00EC326F">
        <w:rPr>
          <w:noProof/>
          <w:lang w:eastAsia="en-AU"/>
        </w:rPr>
        <w:drawing>
          <wp:inline distT="0" distB="0" distL="0" distR="0" wp14:anchorId="6EC3492D" wp14:editId="18440363">
            <wp:extent cx="2917147" cy="2160000"/>
            <wp:effectExtent l="0" t="0" r="0" b="0"/>
            <wp:docPr id="315" name="Picture 315" descr="The second chart shows the further adjustment made from the 2011 ERP to the 2016 ERP. The smaller inner areas show the 2011 ERP while the slightly larger outer areas show the 2016 ERP. The movement from the 2011 ERP to the 2016 ERP requires an increase in the number of people of both genders for most ages. &#10;&#10;The key features of this figure are discussed in the accompanying text within the report.&#10;" title="Illustration of creation of 2016 ERP (steps 1 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17147" cy="2160000"/>
                    </a:xfrm>
                    <a:prstGeom prst="rect">
                      <a:avLst/>
                    </a:prstGeom>
                    <a:noFill/>
                    <a:ln>
                      <a:noFill/>
                    </a:ln>
                  </pic:spPr>
                </pic:pic>
              </a:graphicData>
            </a:graphic>
          </wp:inline>
        </w:drawing>
      </w:r>
    </w:p>
    <w:p w14:paraId="2F7796BE" w14:textId="77777777" w:rsidR="00883CC7" w:rsidRPr="000747FE" w:rsidRDefault="00883CC7" w:rsidP="00EB35B5">
      <w:pPr>
        <w:pStyle w:val="Sources"/>
        <w:ind w:left="1276"/>
        <w:rPr>
          <w:lang w:eastAsia="en-AU"/>
        </w:rPr>
      </w:pPr>
      <w:r w:rsidRPr="00EC326F">
        <w:rPr>
          <w:lang w:eastAsia="en-AU"/>
        </w:rPr>
        <w:t>2011 census (light colours) =&gt; 2011 ERP (mid colours) =&gt; 2016 ERP (dark colours)</w:t>
      </w:r>
    </w:p>
    <w:p w14:paraId="19DECF37" w14:textId="77777777" w:rsidR="00364B74" w:rsidRPr="00EB35B5" w:rsidRDefault="00364B74" w:rsidP="00C60C90">
      <w:pPr>
        <w:pStyle w:val="Heading4"/>
      </w:pPr>
      <w:bookmarkStart w:id="217" w:name="_Toc455499358"/>
      <w:bookmarkStart w:id="218" w:name="_Toc455502379"/>
      <w:bookmarkStart w:id="219" w:name="_Toc455503911"/>
      <w:r w:rsidRPr="00EB35B5">
        <w:t>Model population</w:t>
      </w:r>
      <w:bookmarkEnd w:id="217"/>
      <w:bookmarkEnd w:id="218"/>
      <w:bookmarkEnd w:id="219"/>
    </w:p>
    <w:p w14:paraId="13C042CE" w14:textId="77777777" w:rsidR="00883CC7" w:rsidRPr="00EC326F" w:rsidRDefault="00883CC7" w:rsidP="00883CC7">
      <w:pPr>
        <w:pStyle w:val="PwCNormal"/>
        <w:numPr>
          <w:ilvl w:val="0"/>
          <w:numId w:val="0"/>
        </w:numPr>
      </w:pPr>
      <w:r w:rsidRPr="00EC326F">
        <w:t xml:space="preserve">The model population data has been developed from the dataset with synthetic records for the 2016 estimated resident population and the latest data for people in receipt of Commonwealth welfare payments. </w:t>
      </w:r>
    </w:p>
    <w:p w14:paraId="51CF99CC" w14:textId="77777777" w:rsidR="00883CC7" w:rsidRPr="00EC326F" w:rsidRDefault="00883CC7" w:rsidP="00883CC7">
      <w:pPr>
        <w:pStyle w:val="PwCNormal"/>
        <w:numPr>
          <w:ilvl w:val="0"/>
          <w:numId w:val="0"/>
        </w:numPr>
      </w:pPr>
      <w:r w:rsidRPr="00EC326F">
        <w:t>The development process was performed using an algorithm which replaced records for synthetic people in the population data with records for actual people in receipt of Commonwealth welfare payments. In deploying this algorithm a range of characteristics were considered in order to identify the best available records for replacement.</w:t>
      </w:r>
    </w:p>
    <w:p w14:paraId="244C1375" w14:textId="77777777" w:rsidR="00883CC7" w:rsidRPr="00EC326F" w:rsidRDefault="00883CC7" w:rsidP="00883CC7">
      <w:pPr>
        <w:pStyle w:val="PwCNormal"/>
        <w:numPr>
          <w:ilvl w:val="0"/>
          <w:numId w:val="0"/>
        </w:numPr>
      </w:pPr>
      <w:r w:rsidRPr="00EC326F">
        <w:t>The figure below illustrates the extent to which records with common characteristics were identified for replacement.</w:t>
      </w:r>
    </w:p>
    <w:p w14:paraId="15933C02" w14:textId="77777777" w:rsidR="00681F1D" w:rsidRPr="00EC326F" w:rsidRDefault="00681F1D" w:rsidP="00681F1D">
      <w:pPr>
        <w:pStyle w:val="Caption"/>
      </w:pPr>
      <w:r w:rsidRPr="00EC326F">
        <w:lastRenderedPageBreak/>
        <w:t xml:space="preserve">Figure </w:t>
      </w:r>
      <w:fldSimple w:instr=" SEQ Figure \* ARABIC ">
        <w:r w:rsidR="007A42DF">
          <w:rPr>
            <w:noProof/>
          </w:rPr>
          <w:t>20</w:t>
        </w:r>
      </w:fldSimple>
      <w:r w:rsidRPr="00EC326F">
        <w:t>: Proportion of replaced records with common variable values</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Proportion of replaced records with common variable values&#10;"/>
        <w:tblDescription w:val="This figure is a column chart. The horizontal axis lists variables used in the algorithm in order to identify which synthetic population record should be replaced by an actual person record from the administrative data. These variables are ordered according to the priority of that variable in the algorithm, with higher priority variables on the left. The vertical axis shows the proportion of replaced census records with common variable values in the administrative data which replaced these records. The vertical axis ranges from 0 to 100%. Refer to the description of the replacement process above the chart for further explanation.&#10;&#10;The proportion of replaced records with common variable values for each characteristic (in order of the priority within the replacement algorithm) was: 100% for gender, 100% for age band, 98% for age, 99% for indigenous status, 100% for state, 100% for SA4 region, 96% for SA2 region, 89% for need for assistance flag, 96% for carer flag, 97% for studying flag, 89% for parent flag, 90% for partner status, 86% for age youngest child, 65% for education level, 93% for citizenship, 59% for income.&#10;"/>
      </w:tblPr>
      <w:tblGrid>
        <w:gridCol w:w="6456"/>
        <w:gridCol w:w="3150"/>
      </w:tblGrid>
      <w:tr w:rsidR="006341D0" w:rsidRPr="00EC326F" w14:paraId="19171659" w14:textId="77777777" w:rsidTr="005D6CEC">
        <w:trPr>
          <w:tblHeader/>
        </w:trPr>
        <w:tc>
          <w:tcPr>
            <w:tcW w:w="6456" w:type="dxa"/>
          </w:tcPr>
          <w:p w14:paraId="4C71DDA9" w14:textId="77777777" w:rsidR="006341D0" w:rsidRPr="00EC326F" w:rsidRDefault="006341D0" w:rsidP="00FE2C42">
            <w:pPr>
              <w:pStyle w:val="PwCNormal"/>
              <w:numPr>
                <w:ilvl w:val="0"/>
                <w:numId w:val="0"/>
              </w:numPr>
            </w:pPr>
            <w:r w:rsidRPr="00EC326F">
              <w:rPr>
                <w:noProof/>
                <w:lang w:eastAsia="en-AU"/>
              </w:rPr>
              <w:drawing>
                <wp:inline distT="0" distB="0" distL="0" distR="0" wp14:anchorId="7AC3E9A7" wp14:editId="13271672">
                  <wp:extent cx="3958927" cy="2160000"/>
                  <wp:effectExtent l="0" t="0" r="3810" b="0"/>
                  <wp:docPr id="5" name="Picture 5" descr="This figure is a column chart. The horizontal axis lists variables used in the algorithm in order to identify which synthetic population record should be replaced by an actual person record from the administrative data. These variables are ordered according to the priority of that variable in the algorithm, with higher priority variables on the left. The vertical axis shows the proportion of replaced census records with common variable values in the administrative data which replaced these records. The vertical axis ranges from 0 to 100%. Refer to the description of the replacement process above the chart for further explanation.&#10;&#10;The proportion of replaced records with common variable values for each characteristic (in order of the priority within the replacement algorithm) was: 100% for gender, 100% for age band, 98% for age, 99% for indigenous status, 100% for state, 100% for SA4 region, 96% for SA2 region, 89% for need for assistance flag, 96% for carer flag, 97% for studying flag, 89% for parent flag, 90% for partner status, 86% for age youngest child, 65% for education level, 93% for citizenship, 59% for income.&#10;" title=" Proportion of replaced records with common variable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58927" cy="2160000"/>
                          </a:xfrm>
                          <a:prstGeom prst="rect">
                            <a:avLst/>
                          </a:prstGeom>
                          <a:noFill/>
                          <a:ln>
                            <a:noFill/>
                          </a:ln>
                        </pic:spPr>
                      </pic:pic>
                    </a:graphicData>
                  </a:graphic>
                </wp:inline>
              </w:drawing>
            </w:r>
          </w:p>
        </w:tc>
        <w:tc>
          <w:tcPr>
            <w:tcW w:w="3150" w:type="dxa"/>
            <w:vAlign w:val="center"/>
          </w:tcPr>
          <w:p w14:paraId="47517A6E" w14:textId="77777777" w:rsidR="006341D0" w:rsidRPr="00EC326F" w:rsidRDefault="006341D0" w:rsidP="00FE2C42">
            <w:pPr>
              <w:pStyle w:val="PwCNormal"/>
              <w:numPr>
                <w:ilvl w:val="0"/>
                <w:numId w:val="0"/>
              </w:numPr>
            </w:pPr>
            <w:r w:rsidRPr="00EC326F">
              <w:rPr>
                <w:noProof/>
                <w:lang w:eastAsia="en-AU"/>
              </w:rPr>
              <w:drawing>
                <wp:inline distT="0" distB="0" distL="0" distR="0" wp14:anchorId="7AE479E4" wp14:editId="53552346">
                  <wp:extent cx="1590092" cy="792000"/>
                  <wp:effectExtent l="0" t="0" r="0" b="8255"/>
                  <wp:docPr id="6" name="Picture 6" descr="Left to right higher priority in algorithm to lower priority in algorithm" title="Key for 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0092" cy="792000"/>
                          </a:xfrm>
                          <a:prstGeom prst="rect">
                            <a:avLst/>
                          </a:prstGeom>
                          <a:noFill/>
                          <a:ln>
                            <a:noFill/>
                          </a:ln>
                        </pic:spPr>
                      </pic:pic>
                    </a:graphicData>
                  </a:graphic>
                </wp:inline>
              </w:drawing>
            </w:r>
          </w:p>
          <w:p w14:paraId="1BD2A63B" w14:textId="77777777" w:rsidR="006341D0" w:rsidRPr="00EC326F" w:rsidRDefault="006341D0" w:rsidP="00FE2C42">
            <w:pPr>
              <w:pStyle w:val="PwCNormal"/>
              <w:numPr>
                <w:ilvl w:val="0"/>
                <w:numId w:val="0"/>
              </w:numPr>
            </w:pPr>
          </w:p>
          <w:p w14:paraId="7B3FD7DB" w14:textId="77777777" w:rsidR="006341D0" w:rsidRPr="00EC326F" w:rsidRDefault="006341D0" w:rsidP="00FE2C42">
            <w:pPr>
              <w:pStyle w:val="PwCNormal"/>
              <w:numPr>
                <w:ilvl w:val="0"/>
                <w:numId w:val="0"/>
              </w:numPr>
            </w:pPr>
          </w:p>
          <w:p w14:paraId="5B48F620" w14:textId="77777777" w:rsidR="006341D0" w:rsidRPr="00EC326F" w:rsidRDefault="006341D0" w:rsidP="00FE2C42">
            <w:pPr>
              <w:pStyle w:val="PwCNormal"/>
              <w:numPr>
                <w:ilvl w:val="0"/>
                <w:numId w:val="0"/>
              </w:numPr>
            </w:pPr>
          </w:p>
        </w:tc>
      </w:tr>
    </w:tbl>
    <w:p w14:paraId="25C11D50" w14:textId="77777777" w:rsidR="00C64866" w:rsidRPr="00EC326F" w:rsidRDefault="00C64866" w:rsidP="00C64866">
      <w:pPr>
        <w:pStyle w:val="PwCNormal"/>
        <w:numPr>
          <w:ilvl w:val="0"/>
          <w:numId w:val="0"/>
        </w:numPr>
      </w:pPr>
      <w:bookmarkStart w:id="220" w:name="_Toc455499359"/>
      <w:bookmarkStart w:id="221" w:name="_Toc455502380"/>
      <w:bookmarkStart w:id="222" w:name="_Toc455503912"/>
      <w:r w:rsidRPr="00EC326F">
        <w:t xml:space="preserve">Owing to the synthetic nature of the population data and the likelihood of missing or inconsistent information in the data for people in receipt of Commonwealth welfare payments, we did not expect to achieve common values across all variables. </w:t>
      </w:r>
    </w:p>
    <w:p w14:paraId="7C8E5CC0" w14:textId="77777777" w:rsidR="00C64866" w:rsidRPr="00EC326F" w:rsidRDefault="00C64866" w:rsidP="00C64866">
      <w:pPr>
        <w:pStyle w:val="PwCNormal"/>
        <w:numPr>
          <w:ilvl w:val="0"/>
          <w:numId w:val="0"/>
        </w:numPr>
      </w:pPr>
      <w:r w:rsidRPr="00EC326F">
        <w:t xml:space="preserve">The objective of this replacement process was to ensure that both the component for people in receipt of Commonwealth welfare payments and the residual non welfare recipient component of the final population retained a realistic profile in terms of the important demographic characteristics. </w:t>
      </w:r>
    </w:p>
    <w:p w14:paraId="7C893805" w14:textId="77777777" w:rsidR="00C64866" w:rsidRPr="00EC326F" w:rsidRDefault="00C64866" w:rsidP="00C64866">
      <w:pPr>
        <w:pStyle w:val="PwCNormal"/>
        <w:numPr>
          <w:ilvl w:val="0"/>
          <w:numId w:val="0"/>
        </w:numPr>
      </w:pPr>
      <w:r w:rsidRPr="00EC326F">
        <w:t>As part of this stage of work we imputed a number of variables within the DSS records where the welfare recipient data had missing values by reference to the synthetic population data. The variable for which this step had the biggest number of imputed values was the level of educational attainment. This variable was complete for the majority of younger people in the DSS data but was missing for many older people.</w:t>
      </w:r>
    </w:p>
    <w:p w14:paraId="373704D7" w14:textId="77777777" w:rsidR="00685FC7" w:rsidRPr="00EC326F" w:rsidRDefault="00685FC7" w:rsidP="005211BC">
      <w:pPr>
        <w:pStyle w:val="Heading4"/>
      </w:pPr>
      <w:r w:rsidRPr="00EC326F">
        <w:t>Recent exits</w:t>
      </w:r>
      <w:bookmarkEnd w:id="220"/>
      <w:bookmarkEnd w:id="221"/>
      <w:bookmarkEnd w:id="222"/>
    </w:p>
    <w:p w14:paraId="54C16AAB" w14:textId="77777777" w:rsidR="00C64866" w:rsidRPr="00EC326F" w:rsidRDefault="00C64866" w:rsidP="001A4479">
      <w:pPr>
        <w:pStyle w:val="PwCNormal"/>
        <w:numPr>
          <w:ilvl w:val="0"/>
          <w:numId w:val="37"/>
        </w:numPr>
      </w:pPr>
      <w:r w:rsidRPr="00EC326F">
        <w:t>Given the importance of previous welfare utilisation as an indicator of likely future welfare utilisation it is important to ensure the model population dataset identifies people who have recently exited the payment system.</w:t>
      </w:r>
    </w:p>
    <w:p w14:paraId="1B2615AA" w14:textId="77777777" w:rsidR="00C64866" w:rsidRPr="00EC326F" w:rsidRDefault="00C64866" w:rsidP="001A4479">
      <w:pPr>
        <w:pStyle w:val="PwCNormal"/>
        <w:numPr>
          <w:ilvl w:val="0"/>
          <w:numId w:val="37"/>
        </w:numPr>
      </w:pPr>
      <w:r w:rsidRPr="00EC326F">
        <w:t>In developing the population data records for this group there is a trade-off between retaining actual DSS records which have the advantage of being longitudinal but may now be out of date, and using synthetic population records which reflect the current population profile but lose the longitudinal information for the person who has exited.</w:t>
      </w:r>
    </w:p>
    <w:p w14:paraId="1F19D1AF" w14:textId="77777777" w:rsidR="00C64866" w:rsidRPr="00EC326F" w:rsidRDefault="00C64866" w:rsidP="001A4479">
      <w:pPr>
        <w:pStyle w:val="PwCNormal"/>
        <w:numPr>
          <w:ilvl w:val="0"/>
          <w:numId w:val="37"/>
        </w:numPr>
      </w:pPr>
      <w:r w:rsidRPr="00EC326F">
        <w:t>We have balanced these considerations and used the following approach to develop population records for this group:</w:t>
      </w:r>
    </w:p>
    <w:p w14:paraId="3C8DDF85" w14:textId="77777777" w:rsidR="00C64866" w:rsidRPr="00EC326F" w:rsidRDefault="00C64866" w:rsidP="001A4479">
      <w:pPr>
        <w:pStyle w:val="Bullet1"/>
        <w:numPr>
          <w:ilvl w:val="0"/>
          <w:numId w:val="39"/>
        </w:numPr>
      </w:pPr>
      <w:r w:rsidRPr="00EC326F">
        <w:t>For people who exited within the last 3 years: we have referenced DSS administrative data directly in developing the population records. A similar approach as described above for current welfare recipients was used to replace synthetic population records with these records for recent welfare recipients.</w:t>
      </w:r>
    </w:p>
    <w:p w14:paraId="29C4CCF5" w14:textId="2E4BBA16" w:rsidR="00C64866" w:rsidRPr="00EC326F" w:rsidRDefault="00C64866" w:rsidP="001A4479">
      <w:pPr>
        <w:pStyle w:val="Bullet1"/>
        <w:numPr>
          <w:ilvl w:val="0"/>
          <w:numId w:val="39"/>
        </w:numPr>
      </w:pPr>
      <w:r w:rsidRPr="00EC326F">
        <w:t xml:space="preserve">For people who exited the payment system more than 3 years ago: we have represented them by identifying synthetic population records with the same age, gender and </w:t>
      </w:r>
      <w:r w:rsidR="00B36672">
        <w:t>I</w:t>
      </w:r>
      <w:r w:rsidRPr="00EC326F">
        <w:t xml:space="preserve">ndigenous status and assigned past welfare history information to these representative records. </w:t>
      </w:r>
    </w:p>
    <w:p w14:paraId="7DF78C19" w14:textId="77777777" w:rsidR="00FE2C42" w:rsidRPr="00EC326F" w:rsidRDefault="00FE2C42" w:rsidP="00907125">
      <w:pPr>
        <w:pStyle w:val="Heading3"/>
      </w:pPr>
      <w:bookmarkStart w:id="223" w:name="_Toc455499362"/>
      <w:bookmarkStart w:id="224" w:name="_Toc455502383"/>
      <w:bookmarkStart w:id="225" w:name="_Toc455503915"/>
      <w:bookmarkStart w:id="226" w:name="_Toc493844248"/>
      <w:r w:rsidRPr="00EC326F">
        <w:lastRenderedPageBreak/>
        <w:t>Summary of model population by class</w:t>
      </w:r>
      <w:bookmarkEnd w:id="223"/>
      <w:bookmarkEnd w:id="224"/>
      <w:bookmarkEnd w:id="225"/>
      <w:bookmarkEnd w:id="226"/>
    </w:p>
    <w:p w14:paraId="1CC684A9" w14:textId="77777777" w:rsidR="00FE2C42" w:rsidRPr="00EC326F" w:rsidRDefault="00FE2C42" w:rsidP="00907125">
      <w:pPr>
        <w:pStyle w:val="PwCNormal-keepwithnext"/>
      </w:pPr>
      <w:r w:rsidRPr="00EC326F">
        <w:t>The model population split by class is as follows.</w:t>
      </w:r>
    </w:p>
    <w:p w14:paraId="06DBF854" w14:textId="77777777" w:rsidR="00FE2C42" w:rsidRPr="00EC326F" w:rsidRDefault="00FE2C42" w:rsidP="005B2DD3">
      <w:pPr>
        <w:pStyle w:val="Caption"/>
      </w:pPr>
      <w:r w:rsidRPr="00EC326F">
        <w:t xml:space="preserve">Figure </w:t>
      </w:r>
      <w:fldSimple w:instr=" SEQ Figure \* ARABIC ">
        <w:r w:rsidR="007A42DF">
          <w:rPr>
            <w:noProof/>
          </w:rPr>
          <w:t>21</w:t>
        </w:r>
      </w:fldSimple>
      <w:r w:rsidRPr="00EC326F">
        <w:t>: Model population by welfare class</w:t>
      </w:r>
    </w:p>
    <w:p w14:paraId="3FD25315" w14:textId="77777777" w:rsidR="00C64866" w:rsidRPr="000747FE" w:rsidRDefault="001A6EFD" w:rsidP="00DE1E5E">
      <w:r w:rsidRPr="001A6EFD">
        <w:rPr>
          <w:noProof/>
          <w:lang w:eastAsia="en-AU"/>
        </w:rPr>
        <w:drawing>
          <wp:inline distT="0" distB="0" distL="0" distR="0" wp14:anchorId="6BCC55ED" wp14:editId="49FA17F2">
            <wp:extent cx="5496661" cy="2160000"/>
            <wp:effectExtent l="0" t="0" r="0" b="0"/>
            <wp:docPr id="3137" name="Picture 3137" descr="This figure is a column chart. The chart shows the number of individuals in the model population split by welfare class. The horizontal axis shows the 12 welfare classes. The vertical axis shows the number of individuals from 0 to 5 million (note that this has been truncated). The number of individuals in the population for class 12, the rest of the Australian population is much larger than other classes and has not been shown in full in the chart.&#10;&#10;The column for the previous welfare recipient class is a stacked column. This column shows a further breakdown of the number of individuals in the previous welfare class into the number of individuals that exited more than 10 years ago, exited between 4 to 10 years ago, and exited within the last three years.&#10;&#10;The number of people in the model population for each welfare class is: 390,000 for studying, 1,318,000 for working age, 436,000 for parents, 272,000 for carers, 781,000 for disability support, 2,551,000 for pension age, 1,554,000 for Non IS Family, 201,000 for Non IS Carer, 543,000 for Non IS Other, 4,187,000 for previous welfare recipient, 0 for dead, and 11.93 million for the rest of the Australian population.&#10;" title=" Model population by welfare cl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96661" cy="2160000"/>
                    </a:xfrm>
                    <a:prstGeom prst="rect">
                      <a:avLst/>
                    </a:prstGeom>
                    <a:noFill/>
                    <a:ln>
                      <a:noFill/>
                    </a:ln>
                  </pic:spPr>
                </pic:pic>
              </a:graphicData>
            </a:graphic>
          </wp:inline>
        </w:drawing>
      </w:r>
    </w:p>
    <w:p w14:paraId="02CA18AF" w14:textId="77777777" w:rsidR="00D26E45" w:rsidRPr="00EC326F" w:rsidRDefault="00ED7453" w:rsidP="0082546A">
      <w:pPr>
        <w:pStyle w:val="Sources"/>
        <w:spacing w:line="240" w:lineRule="auto"/>
      </w:pPr>
      <w:r w:rsidRPr="00EC326F">
        <w:t xml:space="preserve">Note: </w:t>
      </w:r>
      <w:r w:rsidR="00D26E45" w:rsidRPr="00EC326F">
        <w:t>Class 12, the rest of the Australian population is much larger than other classes and has not been shown in full in the chart.</w:t>
      </w:r>
      <w:r w:rsidRPr="00EC326F">
        <w:t xml:space="preserve"> </w:t>
      </w:r>
      <w:r w:rsidR="00D26E45" w:rsidRPr="00EC326F">
        <w:t>It</w:t>
      </w:r>
      <w:r w:rsidRPr="00EC326F">
        <w:t> </w:t>
      </w:r>
      <w:r w:rsidR="00D26E45" w:rsidRPr="00EC326F">
        <w:t>contains 11.9</w:t>
      </w:r>
      <w:r w:rsidR="00C64866" w:rsidRPr="00EC326F">
        <w:t>3</w:t>
      </w:r>
      <w:r w:rsidR="00D26E45" w:rsidRPr="00EC326F">
        <w:t xml:space="preserve"> million people</w:t>
      </w:r>
    </w:p>
    <w:p w14:paraId="1E21B310" w14:textId="77777777" w:rsidR="00C64866" w:rsidRPr="00EC326F" w:rsidRDefault="00FE2C42" w:rsidP="00C64866">
      <w:pPr>
        <w:pStyle w:val="PwCNormal"/>
        <w:numPr>
          <w:ilvl w:val="0"/>
          <w:numId w:val="0"/>
        </w:numPr>
      </w:pPr>
      <w:r w:rsidRPr="00EC326F">
        <w:t xml:space="preserve">It is interesting to consider how the current </w:t>
      </w:r>
      <w:r w:rsidR="00EF2B1A" w:rsidRPr="00EC326F">
        <w:t>welfare recipient</w:t>
      </w:r>
      <w:r w:rsidRPr="00EC326F">
        <w:t xml:space="preserve">s relate to the whole population i.e. which groups of the population are </w:t>
      </w:r>
      <w:r w:rsidR="007862F6" w:rsidRPr="00EC326F">
        <w:t>people in receipt of Commonwealth</w:t>
      </w:r>
      <w:r w:rsidR="00631B17" w:rsidRPr="00EC326F">
        <w:t xml:space="preserve"> welfare</w:t>
      </w:r>
      <w:r w:rsidR="007862F6" w:rsidRPr="00EC326F">
        <w:t xml:space="preserve"> payments</w:t>
      </w:r>
      <w:r w:rsidRPr="00EC326F">
        <w:t xml:space="preserve">. We have used a population pyramid which shows the composition of the population by age and gender to illustrate which people </w:t>
      </w:r>
      <w:r w:rsidR="00000E27" w:rsidRPr="00EC326F">
        <w:t xml:space="preserve">fall </w:t>
      </w:r>
      <w:r w:rsidRPr="00EC326F">
        <w:t xml:space="preserve">into each class and to show the proportion of each group who are </w:t>
      </w:r>
      <w:r w:rsidR="00E91EB7" w:rsidRPr="00EC326F">
        <w:t xml:space="preserve">current </w:t>
      </w:r>
      <w:r w:rsidR="00EF2B1A" w:rsidRPr="00EC326F">
        <w:t>welfare recipient</w:t>
      </w:r>
      <w:r w:rsidRPr="00EC326F">
        <w:t xml:space="preserve">s. </w:t>
      </w:r>
    </w:p>
    <w:p w14:paraId="0DDF3D37" w14:textId="77777777" w:rsidR="00C64866" w:rsidRPr="00EC326F" w:rsidRDefault="00C64866" w:rsidP="00C64866">
      <w:pPr>
        <w:pStyle w:val="Caption"/>
      </w:pPr>
      <w:bookmarkStart w:id="227" w:name="_Ref466494380"/>
      <w:r w:rsidRPr="00EC326F">
        <w:t xml:space="preserve">Figure </w:t>
      </w:r>
      <w:fldSimple w:instr=" SEQ Figure \* ARABIC ">
        <w:r w:rsidR="007A42DF">
          <w:rPr>
            <w:noProof/>
          </w:rPr>
          <w:t>22</w:t>
        </w:r>
      </w:fldSimple>
      <w:bookmarkEnd w:id="227"/>
      <w:r w:rsidRPr="00EC326F">
        <w:t xml:space="preserve">: Model population </w:t>
      </w:r>
      <w:r w:rsidRPr="00EB35B5">
        <w:t>with class</w:t>
      </w:r>
      <w:r w:rsidRPr="00EC326F">
        <w:t xml:space="preserve"> utilisation (June 2016) </w:t>
      </w:r>
    </w:p>
    <w:p w14:paraId="483C2DA3" w14:textId="77777777" w:rsidR="001A6EFD" w:rsidRPr="00EC326F" w:rsidRDefault="001A6EFD" w:rsidP="001A6EFD">
      <w:pPr>
        <w:pStyle w:val="PwCNormal"/>
        <w:numPr>
          <w:ilvl w:val="0"/>
          <w:numId w:val="37"/>
        </w:numPr>
      </w:pPr>
      <w:r w:rsidRPr="001A6EFD">
        <w:rPr>
          <w:noProof/>
          <w:lang w:eastAsia="en-AU"/>
        </w:rPr>
        <w:drawing>
          <wp:inline distT="0" distB="0" distL="0" distR="0" wp14:anchorId="166C44B9" wp14:editId="7E9C0668">
            <wp:extent cx="4148890" cy="2880000"/>
            <wp:effectExtent l="0" t="0" r="4445" b="0"/>
            <wp:docPr id="3105" name="Picture 3105" descr="This figure is a horizontal bar chart showing the number of people in the Australian population by age for males and females separately. The vertical axis shows age ranging from 0 to 100. The horizontal axis shows the number of people within each age group (by year of age) ranging from 0 to 200,000. The number of males at each age is shown by the horizontal bars to the left of the vertical axis and the number of females at each age is shown by horizontal bars to the right.&#10;&#10;The bars for each given age and gender are split into the number of people in each of the nine active and two inactive (previous welfare recipients and rest of the Australian population) welfare classes at the valuation date (30 June 2016).&#10;&#10;All 24.2 million people in the model population are represented in the chart. Across both genders, there are on average approximately 300,000 Australians at each age for ages 0 to 18, 330,000 at each age for ages 19 to 50, and a steadily decreasing number by age above age 50 which decreases to around 1,500 people at age 100. &#10;&#10;Up to age 65, the number of males and females by age in the Australian population are broadly similar. After age 65 and up to age 100 there are approximately 15% more females than males.&#10;&#10;The following other features can also be seen:&#10;• a large proportion of over 65’s are people in receipt of Commonwealth welfare payments (as would be expected)&#10;• people only generally access the payment system directly from their late teens onwards&#10;• there is a significant group of females and a smaller group of males receiving Parenting payments or ‘Non IS Family’ payments (which is primarily FTB and/or child care payments)&#10;• there is a slight increase in payment utilisation in the years leading up to retirement age&#10;• there are other differences in payment system utilisation between genders – which may relate to the variation in roles performed by each gender, differences in longevity and differences in lifetime incomes.&#10;" title=" Model population with class utilisation (June 201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48890" cy="2880000"/>
                    </a:xfrm>
                    <a:prstGeom prst="rect">
                      <a:avLst/>
                    </a:prstGeom>
                    <a:noFill/>
                    <a:ln>
                      <a:noFill/>
                    </a:ln>
                  </pic:spPr>
                </pic:pic>
              </a:graphicData>
            </a:graphic>
          </wp:inline>
        </w:drawing>
      </w:r>
    </w:p>
    <w:p w14:paraId="47AFAB11" w14:textId="77777777" w:rsidR="00C64866" w:rsidRPr="00EC326F" w:rsidRDefault="00C64866" w:rsidP="00C64866">
      <w:pPr>
        <w:pStyle w:val="PwCNormal"/>
        <w:numPr>
          <w:ilvl w:val="0"/>
          <w:numId w:val="0"/>
        </w:numPr>
      </w:pPr>
      <w:r w:rsidRPr="00EC326F">
        <w:t>We can see that:</w:t>
      </w:r>
    </w:p>
    <w:p w14:paraId="394297BF" w14:textId="77777777" w:rsidR="00C64866" w:rsidRPr="00EC326F" w:rsidRDefault="00C64866" w:rsidP="001A4479">
      <w:pPr>
        <w:pStyle w:val="Bullet1"/>
        <w:numPr>
          <w:ilvl w:val="0"/>
          <w:numId w:val="39"/>
        </w:numPr>
      </w:pPr>
      <w:r w:rsidRPr="00EC326F">
        <w:t>a large proportion of over 65’s are people in receipt of Commonwealth welfare payments (as would be expected)</w:t>
      </w:r>
    </w:p>
    <w:p w14:paraId="4AC45BCB" w14:textId="77777777" w:rsidR="00C64866" w:rsidRPr="00EC326F" w:rsidRDefault="00C64866" w:rsidP="001A4479">
      <w:pPr>
        <w:pStyle w:val="Bullet1"/>
        <w:numPr>
          <w:ilvl w:val="0"/>
          <w:numId w:val="39"/>
        </w:numPr>
      </w:pPr>
      <w:r w:rsidRPr="00EC326F">
        <w:t>people only generally access the payment system directly from their late teens onwards</w:t>
      </w:r>
    </w:p>
    <w:p w14:paraId="6A0259AE" w14:textId="77777777" w:rsidR="00C64866" w:rsidRPr="00EC326F" w:rsidRDefault="00C64866" w:rsidP="001A4479">
      <w:pPr>
        <w:pStyle w:val="Bullet1"/>
        <w:numPr>
          <w:ilvl w:val="0"/>
          <w:numId w:val="39"/>
        </w:numPr>
      </w:pPr>
      <w:r w:rsidRPr="00EC326F">
        <w:t xml:space="preserve">there is a significant group of </w:t>
      </w:r>
      <w:r w:rsidR="00397976" w:rsidRPr="00EC326F">
        <w:rPr>
          <w:snapToGrid/>
          <w:lang w:eastAsia="en-AU"/>
        </w:rPr>
        <w:t xml:space="preserve">women </w:t>
      </w:r>
      <w:r w:rsidRPr="00EC326F">
        <w:t>and a smaller group of m</w:t>
      </w:r>
      <w:r w:rsidR="00397976" w:rsidRPr="00EC326F">
        <w:t>en</w:t>
      </w:r>
      <w:r w:rsidRPr="00EC326F">
        <w:t xml:space="preserve"> receiving Parenting payments or ‘Non IS Family’ payments (which is primarily FTB and/or child care payments)</w:t>
      </w:r>
    </w:p>
    <w:p w14:paraId="7737475E" w14:textId="77777777" w:rsidR="00FE2C42" w:rsidRPr="00EC326F" w:rsidRDefault="00FE2C42" w:rsidP="00FE2C42">
      <w:pPr>
        <w:pStyle w:val="Bullet1"/>
      </w:pPr>
      <w:r w:rsidRPr="00EC326F">
        <w:t>there is a slight increase in payment utilisation in the years leading up to retirement age</w:t>
      </w:r>
    </w:p>
    <w:p w14:paraId="1EB9D537" w14:textId="77777777" w:rsidR="004040CE" w:rsidRPr="00EC326F" w:rsidRDefault="00FE2C42" w:rsidP="005211BC">
      <w:pPr>
        <w:pStyle w:val="Bullet1"/>
      </w:pPr>
      <w:r w:rsidRPr="00EC326F">
        <w:lastRenderedPageBreak/>
        <w:t>there are other differences in payment system utilisation between genders – which may relate to the variation in roles performed by each gender, differences in longevity and differences in lifetime incomes.</w:t>
      </w:r>
    </w:p>
    <w:p w14:paraId="5A356064" w14:textId="77777777" w:rsidR="00862373" w:rsidRPr="00EC326F" w:rsidRDefault="00862373" w:rsidP="00862373">
      <w:pPr>
        <w:pStyle w:val="Heading3"/>
        <w:rPr>
          <w:snapToGrid/>
        </w:rPr>
      </w:pPr>
      <w:bookmarkStart w:id="228" w:name="_Toc466019164"/>
      <w:bookmarkStart w:id="229" w:name="_Ref466493425"/>
      <w:bookmarkStart w:id="230" w:name="_Ref466494594"/>
      <w:bookmarkStart w:id="231" w:name="_Toc493844249"/>
      <w:r w:rsidRPr="00EC326F">
        <w:t>Changes in welfare recipient population</w:t>
      </w:r>
      <w:bookmarkEnd w:id="228"/>
      <w:bookmarkEnd w:id="229"/>
      <w:bookmarkEnd w:id="230"/>
      <w:bookmarkEnd w:id="231"/>
    </w:p>
    <w:p w14:paraId="4CBFCC1F" w14:textId="77777777" w:rsidR="00862373" w:rsidRPr="00EC326F" w:rsidRDefault="00862373" w:rsidP="00862373">
      <w:pPr>
        <w:pStyle w:val="PwCNormal"/>
        <w:numPr>
          <w:ilvl w:val="0"/>
          <w:numId w:val="0"/>
        </w:numPr>
      </w:pPr>
      <w:r w:rsidRPr="00EC326F">
        <w:t>In this section we review how the population of welfare recipients has changed over the past year. The table below provides a summary of the numbers of people in each class at 30 June 2015 and the subsequent change over the year to 30 June 2016.</w:t>
      </w:r>
    </w:p>
    <w:p w14:paraId="75069B66" w14:textId="77777777" w:rsidR="00862373" w:rsidRPr="00EC326F" w:rsidRDefault="00862373" w:rsidP="00862373">
      <w:pPr>
        <w:pStyle w:val="Caption"/>
      </w:pPr>
      <w:r w:rsidRPr="00EC326F">
        <w:t xml:space="preserve">Table </w:t>
      </w:r>
      <w:fldSimple w:instr=" SEQ Table \* ARABIC ">
        <w:r w:rsidR="007A42DF">
          <w:rPr>
            <w:noProof/>
          </w:rPr>
          <w:t>19</w:t>
        </w:r>
      </w:fldSimple>
      <w:r w:rsidRPr="00EC326F">
        <w:t>: Summary of changes in welfare recipient population</w:t>
      </w:r>
    </w:p>
    <w:tbl>
      <w:tblPr>
        <w:tblStyle w:val="ListTable3-Accent61"/>
        <w:tblW w:w="9065" w:type="dxa"/>
        <w:tblInd w:w="108" w:type="dxa"/>
        <w:tblLook w:val="04A0" w:firstRow="1" w:lastRow="0" w:firstColumn="1" w:lastColumn="0" w:noHBand="0" w:noVBand="1"/>
        <w:tblCaption w:val=" Summary of changes in welfare recipient population&#10;"/>
        <w:tblDescription w:val="This table is a summary of the changes in the number of people in the model population between the 2015 and 2016 valuation. The data in this table is repeated from Table 3. Refer to the Table 3 description for more information."/>
      </w:tblPr>
      <w:tblGrid>
        <w:gridCol w:w="3369"/>
        <w:gridCol w:w="1559"/>
        <w:gridCol w:w="1540"/>
        <w:gridCol w:w="1379"/>
        <w:gridCol w:w="1218"/>
      </w:tblGrid>
      <w:tr w:rsidR="00862373" w:rsidRPr="00EC326F" w14:paraId="3D93FD24"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69" w:type="dxa"/>
            <w:tcBorders>
              <w:top w:val="single" w:sz="4" w:space="0" w:color="E0301E" w:themeColor="accent6"/>
              <w:left w:val="single" w:sz="4" w:space="0" w:color="E0301E" w:themeColor="accent6"/>
            </w:tcBorders>
            <w:hideMark/>
          </w:tcPr>
          <w:p w14:paraId="1984859A" w14:textId="77777777" w:rsidR="00862373" w:rsidRPr="00EC326F" w:rsidRDefault="00862373">
            <w:pPr>
              <w:pStyle w:val="TableColumnHeadingSmall"/>
            </w:pPr>
            <w:r w:rsidRPr="00EC326F">
              <w:t>Class</w:t>
            </w:r>
          </w:p>
        </w:tc>
        <w:tc>
          <w:tcPr>
            <w:tcW w:w="1559" w:type="dxa"/>
            <w:tcBorders>
              <w:top w:val="single" w:sz="4" w:space="0" w:color="E0301E" w:themeColor="accent6"/>
              <w:left w:val="nil"/>
              <w:bottom w:val="nil"/>
              <w:right w:val="nil"/>
            </w:tcBorders>
            <w:hideMark/>
          </w:tcPr>
          <w:p w14:paraId="0C062E01" w14:textId="77777777" w:rsidR="00862373" w:rsidRPr="00EC326F" w:rsidRDefault="00862373" w:rsidP="001B51D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June 2015 Population (000</w:t>
            </w:r>
            <w:r w:rsidR="001B51D8">
              <w:t>s</w:t>
            </w:r>
            <w:r w:rsidRPr="00EC326F">
              <w:t>)</w:t>
            </w:r>
          </w:p>
        </w:tc>
        <w:tc>
          <w:tcPr>
            <w:tcW w:w="1540" w:type="dxa"/>
            <w:tcBorders>
              <w:top w:val="single" w:sz="4" w:space="0" w:color="E0301E" w:themeColor="accent6"/>
              <w:left w:val="nil"/>
              <w:bottom w:val="nil"/>
              <w:right w:val="nil"/>
            </w:tcBorders>
            <w:hideMark/>
          </w:tcPr>
          <w:p w14:paraId="641F93A9" w14:textId="77777777" w:rsidR="00862373" w:rsidRPr="00EC326F" w:rsidRDefault="00862373" w:rsidP="001B51D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June 2016 Population (000</w:t>
            </w:r>
            <w:r w:rsidR="001B51D8">
              <w:t>s</w:t>
            </w:r>
            <w:r w:rsidRPr="00EC326F">
              <w:t>)</w:t>
            </w:r>
          </w:p>
        </w:tc>
        <w:tc>
          <w:tcPr>
            <w:tcW w:w="1379" w:type="dxa"/>
            <w:tcBorders>
              <w:top w:val="single" w:sz="4" w:space="0" w:color="E0301E" w:themeColor="accent6"/>
              <w:left w:val="nil"/>
              <w:bottom w:val="nil"/>
              <w:right w:val="nil"/>
            </w:tcBorders>
            <w:hideMark/>
          </w:tcPr>
          <w:p w14:paraId="2A70962F" w14:textId="77777777" w:rsidR="00862373" w:rsidRPr="00EC326F" w:rsidRDefault="00862373" w:rsidP="001B51D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 xml:space="preserve">Difference </w:t>
            </w:r>
            <w:r w:rsidRPr="00EC326F">
              <w:br/>
              <w:t>(’000</w:t>
            </w:r>
            <w:r w:rsidR="001B51D8">
              <w:t>s</w:t>
            </w:r>
            <w:r w:rsidRPr="00EC326F">
              <w:t>)</w:t>
            </w:r>
          </w:p>
        </w:tc>
        <w:tc>
          <w:tcPr>
            <w:tcW w:w="1218" w:type="dxa"/>
            <w:tcBorders>
              <w:top w:val="single" w:sz="4" w:space="0" w:color="E0301E" w:themeColor="accent6"/>
              <w:left w:val="nil"/>
              <w:bottom w:val="nil"/>
              <w:right w:val="single" w:sz="4" w:space="0" w:color="E0301E" w:themeColor="accent6"/>
            </w:tcBorders>
            <w:hideMark/>
          </w:tcPr>
          <w:p w14:paraId="3C3E501B" w14:textId="77777777" w:rsidR="00862373" w:rsidRPr="00EC326F" w:rsidRDefault="00862373">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 xml:space="preserve"> % Difference</w:t>
            </w:r>
          </w:p>
        </w:tc>
      </w:tr>
      <w:tr w:rsidR="00B26157" w:rsidRPr="00EC326F" w14:paraId="6582451A" w14:textId="77777777" w:rsidTr="00744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left w:val="single" w:sz="4" w:space="0" w:color="E0301E" w:themeColor="accent6"/>
            </w:tcBorders>
            <w:hideMark/>
          </w:tcPr>
          <w:p w14:paraId="7163260B" w14:textId="77777777" w:rsidR="00B26157" w:rsidRPr="00EC326F" w:rsidRDefault="00B26157" w:rsidP="00B26157">
            <w:pPr>
              <w:pStyle w:val="TableTextSmall"/>
            </w:pPr>
            <w:r w:rsidRPr="00EC326F">
              <w:t>1 – Studying payment recipients</w:t>
            </w:r>
          </w:p>
        </w:tc>
        <w:tc>
          <w:tcPr>
            <w:tcW w:w="1559" w:type="dxa"/>
            <w:tcBorders>
              <w:left w:val="nil"/>
              <w:right w:val="nil"/>
            </w:tcBorders>
            <w:vAlign w:val="center"/>
            <w:hideMark/>
          </w:tcPr>
          <w:p w14:paraId="03B75748" w14:textId="2A2EA83F" w:rsidR="00B26157" w:rsidRPr="00EC326F" w:rsidRDefault="00B26157" w:rsidP="00B26157">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392</w:t>
            </w:r>
          </w:p>
        </w:tc>
        <w:tc>
          <w:tcPr>
            <w:tcW w:w="1540" w:type="dxa"/>
            <w:tcBorders>
              <w:left w:val="nil"/>
              <w:right w:val="nil"/>
            </w:tcBorders>
            <w:vAlign w:val="center"/>
            <w:hideMark/>
          </w:tcPr>
          <w:p w14:paraId="2B9C0C32" w14:textId="5AF952F3" w:rsidR="00B26157" w:rsidRPr="00EC326F" w:rsidRDefault="00B26157" w:rsidP="00B26157">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390</w:t>
            </w:r>
          </w:p>
        </w:tc>
        <w:tc>
          <w:tcPr>
            <w:tcW w:w="1379" w:type="dxa"/>
            <w:tcBorders>
              <w:left w:val="nil"/>
              <w:right w:val="nil"/>
            </w:tcBorders>
            <w:vAlign w:val="center"/>
            <w:hideMark/>
          </w:tcPr>
          <w:p w14:paraId="1C8CA5FE" w14:textId="29F01ADB" w:rsidR="00B26157" w:rsidRPr="00EC326F" w:rsidRDefault="00B26157" w:rsidP="00B26157">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-1</w:t>
            </w:r>
          </w:p>
        </w:tc>
        <w:tc>
          <w:tcPr>
            <w:tcW w:w="1218" w:type="dxa"/>
            <w:tcBorders>
              <w:left w:val="nil"/>
              <w:right w:val="single" w:sz="4" w:space="0" w:color="E0301E" w:themeColor="accent6"/>
            </w:tcBorders>
            <w:vAlign w:val="center"/>
            <w:hideMark/>
          </w:tcPr>
          <w:p w14:paraId="5AC8D438" w14:textId="7B431095" w:rsidR="00B26157" w:rsidRPr="00EC326F" w:rsidRDefault="00B26157" w:rsidP="00B26157">
            <w:pPr>
              <w:pStyle w:val="TableTextSmall"/>
              <w:jc w:val="center"/>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-0.3%</w:t>
            </w:r>
          </w:p>
        </w:tc>
      </w:tr>
      <w:tr w:rsidR="00B26157" w:rsidRPr="00EC326F" w14:paraId="01E5F4DD" w14:textId="77777777" w:rsidTr="00744519">
        <w:tc>
          <w:tcPr>
            <w:cnfStyle w:val="001000000000" w:firstRow="0" w:lastRow="0" w:firstColumn="1" w:lastColumn="0" w:oddVBand="0" w:evenVBand="0" w:oddHBand="0" w:evenHBand="0" w:firstRowFirstColumn="0" w:firstRowLastColumn="0" w:lastRowFirstColumn="0" w:lastRowLastColumn="0"/>
            <w:tcW w:w="3369" w:type="dxa"/>
            <w:tcBorders>
              <w:top w:val="nil"/>
              <w:left w:val="single" w:sz="4" w:space="0" w:color="E0301E" w:themeColor="accent6"/>
              <w:bottom w:val="nil"/>
            </w:tcBorders>
            <w:hideMark/>
          </w:tcPr>
          <w:p w14:paraId="51A1F1B4" w14:textId="77777777" w:rsidR="00B26157" w:rsidRPr="00EC326F" w:rsidRDefault="00B26157" w:rsidP="00B26157">
            <w:pPr>
              <w:pStyle w:val="TableTextSmall"/>
            </w:pPr>
            <w:r w:rsidRPr="00EC326F">
              <w:t>2 – Working age payment recipients</w:t>
            </w:r>
          </w:p>
        </w:tc>
        <w:tc>
          <w:tcPr>
            <w:tcW w:w="1559" w:type="dxa"/>
            <w:tcBorders>
              <w:top w:val="nil"/>
              <w:left w:val="nil"/>
              <w:bottom w:val="nil"/>
              <w:right w:val="nil"/>
            </w:tcBorders>
            <w:vAlign w:val="center"/>
            <w:hideMark/>
          </w:tcPr>
          <w:p w14:paraId="4CC25883" w14:textId="56E019D7" w:rsidR="00B26157" w:rsidRPr="00EC326F" w:rsidRDefault="00B26157" w:rsidP="00B26157">
            <w:pPr>
              <w:pStyle w:val="TableTextSmall"/>
              <w:ind w:right="317"/>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1,302</w:t>
            </w:r>
          </w:p>
        </w:tc>
        <w:tc>
          <w:tcPr>
            <w:tcW w:w="1540" w:type="dxa"/>
            <w:tcBorders>
              <w:top w:val="nil"/>
              <w:left w:val="nil"/>
              <w:bottom w:val="nil"/>
              <w:right w:val="nil"/>
            </w:tcBorders>
            <w:vAlign w:val="center"/>
            <w:hideMark/>
          </w:tcPr>
          <w:p w14:paraId="56CA766D" w14:textId="6E4C34BB" w:rsidR="00B26157" w:rsidRPr="00EC326F" w:rsidRDefault="00B26157" w:rsidP="00B26157">
            <w:pPr>
              <w:pStyle w:val="TableTextSmall"/>
              <w:ind w:right="298"/>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1,318</w:t>
            </w:r>
          </w:p>
        </w:tc>
        <w:tc>
          <w:tcPr>
            <w:tcW w:w="1379" w:type="dxa"/>
            <w:tcBorders>
              <w:top w:val="nil"/>
              <w:left w:val="nil"/>
              <w:bottom w:val="nil"/>
              <w:right w:val="nil"/>
            </w:tcBorders>
            <w:vAlign w:val="center"/>
            <w:hideMark/>
          </w:tcPr>
          <w:p w14:paraId="302E0F76" w14:textId="7C8FCBC9" w:rsidR="00B26157" w:rsidRPr="00EC326F" w:rsidRDefault="00B26157" w:rsidP="00B26157">
            <w:pPr>
              <w:pStyle w:val="TableTextSmall"/>
              <w:ind w:right="343"/>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16</w:t>
            </w:r>
          </w:p>
        </w:tc>
        <w:tc>
          <w:tcPr>
            <w:tcW w:w="1218" w:type="dxa"/>
            <w:tcBorders>
              <w:top w:val="nil"/>
              <w:left w:val="nil"/>
              <w:bottom w:val="nil"/>
              <w:right w:val="single" w:sz="4" w:space="0" w:color="E0301E" w:themeColor="accent6"/>
            </w:tcBorders>
            <w:vAlign w:val="center"/>
            <w:hideMark/>
          </w:tcPr>
          <w:p w14:paraId="7213EFDD" w14:textId="3389E6EA" w:rsidR="00B26157" w:rsidRPr="00EC326F" w:rsidRDefault="00B26157" w:rsidP="00B26157">
            <w:pPr>
              <w:pStyle w:val="TableTextSmall"/>
              <w:jc w:val="center"/>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1.2%</w:t>
            </w:r>
          </w:p>
        </w:tc>
      </w:tr>
      <w:tr w:rsidR="00B26157" w:rsidRPr="00EC326F" w14:paraId="5BE472DB" w14:textId="77777777" w:rsidTr="00744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left w:val="single" w:sz="4" w:space="0" w:color="E0301E" w:themeColor="accent6"/>
            </w:tcBorders>
            <w:hideMark/>
          </w:tcPr>
          <w:p w14:paraId="6DEF7443" w14:textId="77777777" w:rsidR="00B26157" w:rsidRPr="00EC326F" w:rsidRDefault="00B26157" w:rsidP="00B26157">
            <w:pPr>
              <w:pStyle w:val="TableTextSmall"/>
            </w:pPr>
            <w:r w:rsidRPr="00EC326F">
              <w:t>3 – Parenting payment recipients</w:t>
            </w:r>
          </w:p>
        </w:tc>
        <w:tc>
          <w:tcPr>
            <w:tcW w:w="1559" w:type="dxa"/>
            <w:tcBorders>
              <w:left w:val="nil"/>
              <w:right w:val="nil"/>
            </w:tcBorders>
            <w:vAlign w:val="center"/>
            <w:hideMark/>
          </w:tcPr>
          <w:p w14:paraId="164C0E1A" w14:textId="4C6C7374" w:rsidR="00B26157" w:rsidRPr="00EC326F" w:rsidRDefault="00B26157" w:rsidP="00B26157">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432</w:t>
            </w:r>
          </w:p>
        </w:tc>
        <w:tc>
          <w:tcPr>
            <w:tcW w:w="1540" w:type="dxa"/>
            <w:tcBorders>
              <w:left w:val="nil"/>
              <w:right w:val="nil"/>
            </w:tcBorders>
            <w:vAlign w:val="center"/>
            <w:hideMark/>
          </w:tcPr>
          <w:p w14:paraId="7EC5CB3E" w14:textId="7795F7D0" w:rsidR="00B26157" w:rsidRPr="00EC326F" w:rsidRDefault="00B26157" w:rsidP="00B26157">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437</w:t>
            </w:r>
          </w:p>
        </w:tc>
        <w:tc>
          <w:tcPr>
            <w:tcW w:w="1379" w:type="dxa"/>
            <w:tcBorders>
              <w:left w:val="nil"/>
              <w:right w:val="nil"/>
            </w:tcBorders>
            <w:vAlign w:val="center"/>
            <w:hideMark/>
          </w:tcPr>
          <w:p w14:paraId="0512F486" w14:textId="4F50DC20" w:rsidR="00B26157" w:rsidRPr="00EC326F" w:rsidRDefault="00B26157" w:rsidP="00B26157">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4</w:t>
            </w:r>
          </w:p>
        </w:tc>
        <w:tc>
          <w:tcPr>
            <w:tcW w:w="1218" w:type="dxa"/>
            <w:tcBorders>
              <w:left w:val="nil"/>
              <w:right w:val="single" w:sz="4" w:space="0" w:color="E0301E" w:themeColor="accent6"/>
            </w:tcBorders>
            <w:vAlign w:val="center"/>
            <w:hideMark/>
          </w:tcPr>
          <w:p w14:paraId="433B7AD7" w14:textId="6C199150" w:rsidR="00B26157" w:rsidRPr="00EC326F" w:rsidRDefault="00B26157" w:rsidP="00B26157">
            <w:pPr>
              <w:pStyle w:val="TableTextSmall"/>
              <w:jc w:val="center"/>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1.0%</w:t>
            </w:r>
          </w:p>
        </w:tc>
      </w:tr>
      <w:tr w:rsidR="00B26157" w:rsidRPr="00EC326F" w14:paraId="2830C99E" w14:textId="77777777" w:rsidTr="00744519">
        <w:tc>
          <w:tcPr>
            <w:cnfStyle w:val="001000000000" w:firstRow="0" w:lastRow="0" w:firstColumn="1" w:lastColumn="0" w:oddVBand="0" w:evenVBand="0" w:oddHBand="0" w:evenHBand="0" w:firstRowFirstColumn="0" w:firstRowLastColumn="0" w:lastRowFirstColumn="0" w:lastRowLastColumn="0"/>
            <w:tcW w:w="3369" w:type="dxa"/>
            <w:tcBorders>
              <w:top w:val="nil"/>
              <w:left w:val="single" w:sz="4" w:space="0" w:color="E0301E" w:themeColor="accent6"/>
              <w:bottom w:val="nil"/>
            </w:tcBorders>
            <w:hideMark/>
          </w:tcPr>
          <w:p w14:paraId="661712D9" w14:textId="77777777" w:rsidR="00B26157" w:rsidRPr="00EC326F" w:rsidRDefault="00B26157" w:rsidP="00B26157">
            <w:pPr>
              <w:pStyle w:val="TableTextSmall"/>
            </w:pPr>
            <w:r w:rsidRPr="00EC326F">
              <w:t>4 – Carer payment recipients</w:t>
            </w:r>
          </w:p>
        </w:tc>
        <w:tc>
          <w:tcPr>
            <w:tcW w:w="1559" w:type="dxa"/>
            <w:tcBorders>
              <w:top w:val="nil"/>
              <w:left w:val="nil"/>
              <w:bottom w:val="nil"/>
              <w:right w:val="nil"/>
            </w:tcBorders>
            <w:vAlign w:val="center"/>
            <w:hideMark/>
          </w:tcPr>
          <w:p w14:paraId="1E3B0020" w14:textId="2BE8942A" w:rsidR="00B26157" w:rsidRPr="00EC326F" w:rsidRDefault="00B26157" w:rsidP="00B26157">
            <w:pPr>
              <w:pStyle w:val="TableTextSmall"/>
              <w:ind w:right="317"/>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265</w:t>
            </w:r>
          </w:p>
        </w:tc>
        <w:tc>
          <w:tcPr>
            <w:tcW w:w="1540" w:type="dxa"/>
            <w:tcBorders>
              <w:top w:val="nil"/>
              <w:left w:val="nil"/>
              <w:bottom w:val="nil"/>
              <w:right w:val="nil"/>
            </w:tcBorders>
            <w:vAlign w:val="center"/>
            <w:hideMark/>
          </w:tcPr>
          <w:p w14:paraId="588097AD" w14:textId="1488CA87" w:rsidR="00B26157" w:rsidRPr="00EC326F" w:rsidRDefault="00B26157" w:rsidP="00B26157">
            <w:pPr>
              <w:pStyle w:val="TableTextSmall"/>
              <w:ind w:right="298"/>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272</w:t>
            </w:r>
          </w:p>
        </w:tc>
        <w:tc>
          <w:tcPr>
            <w:tcW w:w="1379" w:type="dxa"/>
            <w:tcBorders>
              <w:top w:val="nil"/>
              <w:left w:val="nil"/>
              <w:bottom w:val="nil"/>
              <w:right w:val="nil"/>
            </w:tcBorders>
            <w:vAlign w:val="center"/>
            <w:hideMark/>
          </w:tcPr>
          <w:p w14:paraId="5847AFB2" w14:textId="5ECE6A84" w:rsidR="00B26157" w:rsidRPr="00EC326F" w:rsidRDefault="00B26157" w:rsidP="00B26157">
            <w:pPr>
              <w:pStyle w:val="TableTextSmall"/>
              <w:ind w:right="343"/>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6</w:t>
            </w:r>
          </w:p>
        </w:tc>
        <w:tc>
          <w:tcPr>
            <w:tcW w:w="1218" w:type="dxa"/>
            <w:tcBorders>
              <w:top w:val="nil"/>
              <w:left w:val="nil"/>
              <w:bottom w:val="nil"/>
              <w:right w:val="single" w:sz="4" w:space="0" w:color="E0301E" w:themeColor="accent6"/>
            </w:tcBorders>
            <w:vAlign w:val="center"/>
            <w:hideMark/>
          </w:tcPr>
          <w:p w14:paraId="512C366D" w14:textId="2FD9431D" w:rsidR="00B26157" w:rsidRPr="00EC326F" w:rsidRDefault="00B26157" w:rsidP="00B26157">
            <w:pPr>
              <w:pStyle w:val="TableTextSmall"/>
              <w:jc w:val="center"/>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2.3%</w:t>
            </w:r>
          </w:p>
        </w:tc>
      </w:tr>
      <w:tr w:rsidR="00B26157" w:rsidRPr="00EC326F" w14:paraId="3C2870B6" w14:textId="77777777" w:rsidTr="00744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left w:val="single" w:sz="4" w:space="0" w:color="E0301E" w:themeColor="accent6"/>
            </w:tcBorders>
            <w:hideMark/>
          </w:tcPr>
          <w:p w14:paraId="72B379F4" w14:textId="77777777" w:rsidR="00B26157" w:rsidRPr="00EC326F" w:rsidRDefault="00B26157" w:rsidP="00B26157">
            <w:pPr>
              <w:pStyle w:val="TableTextSmall"/>
            </w:pPr>
            <w:r w:rsidRPr="00EC326F">
              <w:t>5 – Disability Support Pension recipients</w:t>
            </w:r>
          </w:p>
        </w:tc>
        <w:tc>
          <w:tcPr>
            <w:tcW w:w="1559" w:type="dxa"/>
            <w:tcBorders>
              <w:left w:val="nil"/>
              <w:right w:val="nil"/>
            </w:tcBorders>
            <w:vAlign w:val="center"/>
            <w:hideMark/>
          </w:tcPr>
          <w:p w14:paraId="6A5A7163" w14:textId="3CF07E5C" w:rsidR="00B26157" w:rsidRPr="00EC326F" w:rsidRDefault="00B26157" w:rsidP="00B26157">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813</w:t>
            </w:r>
          </w:p>
        </w:tc>
        <w:tc>
          <w:tcPr>
            <w:tcW w:w="1540" w:type="dxa"/>
            <w:tcBorders>
              <w:left w:val="nil"/>
              <w:right w:val="nil"/>
            </w:tcBorders>
            <w:vAlign w:val="center"/>
            <w:hideMark/>
          </w:tcPr>
          <w:p w14:paraId="2ABCC499" w14:textId="712C6C8E" w:rsidR="00B26157" w:rsidRPr="00EC326F" w:rsidRDefault="00B26157" w:rsidP="00B26157">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782</w:t>
            </w:r>
          </w:p>
        </w:tc>
        <w:tc>
          <w:tcPr>
            <w:tcW w:w="1379" w:type="dxa"/>
            <w:tcBorders>
              <w:left w:val="nil"/>
              <w:right w:val="nil"/>
            </w:tcBorders>
            <w:vAlign w:val="center"/>
            <w:hideMark/>
          </w:tcPr>
          <w:p w14:paraId="26CEEF0F" w14:textId="504D7B52" w:rsidR="00B26157" w:rsidRPr="00EC326F" w:rsidRDefault="00B26157" w:rsidP="00B26157">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-31</w:t>
            </w:r>
          </w:p>
        </w:tc>
        <w:tc>
          <w:tcPr>
            <w:tcW w:w="1218" w:type="dxa"/>
            <w:tcBorders>
              <w:left w:val="nil"/>
              <w:right w:val="single" w:sz="4" w:space="0" w:color="E0301E" w:themeColor="accent6"/>
            </w:tcBorders>
            <w:vAlign w:val="center"/>
            <w:hideMark/>
          </w:tcPr>
          <w:p w14:paraId="6BB5E53E" w14:textId="4780DCD1" w:rsidR="00B26157" w:rsidRPr="00EC326F" w:rsidRDefault="00B26157" w:rsidP="00B26157">
            <w:pPr>
              <w:pStyle w:val="TableTextSmall"/>
              <w:jc w:val="center"/>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-3.8%</w:t>
            </w:r>
          </w:p>
        </w:tc>
      </w:tr>
      <w:tr w:rsidR="00B26157" w:rsidRPr="00EC326F" w14:paraId="49A446ED" w14:textId="77777777" w:rsidTr="00744519">
        <w:tc>
          <w:tcPr>
            <w:cnfStyle w:val="001000000000" w:firstRow="0" w:lastRow="0" w:firstColumn="1" w:lastColumn="0" w:oddVBand="0" w:evenVBand="0" w:oddHBand="0" w:evenHBand="0" w:firstRowFirstColumn="0" w:firstRowLastColumn="0" w:lastRowFirstColumn="0" w:lastRowLastColumn="0"/>
            <w:tcW w:w="3369" w:type="dxa"/>
            <w:tcBorders>
              <w:top w:val="nil"/>
              <w:left w:val="single" w:sz="4" w:space="0" w:color="E0301E" w:themeColor="accent6"/>
              <w:bottom w:val="nil"/>
            </w:tcBorders>
            <w:hideMark/>
          </w:tcPr>
          <w:p w14:paraId="7678D340" w14:textId="77777777" w:rsidR="00B26157" w:rsidRPr="00EC326F" w:rsidRDefault="00B26157" w:rsidP="00B26157">
            <w:pPr>
              <w:pStyle w:val="TableTextSmall"/>
            </w:pPr>
            <w:r w:rsidRPr="00EC326F">
              <w:t>6 – Aged Pension recipients</w:t>
            </w:r>
          </w:p>
        </w:tc>
        <w:tc>
          <w:tcPr>
            <w:tcW w:w="1559" w:type="dxa"/>
            <w:tcBorders>
              <w:top w:val="nil"/>
              <w:left w:val="nil"/>
              <w:bottom w:val="nil"/>
              <w:right w:val="nil"/>
            </w:tcBorders>
            <w:vAlign w:val="center"/>
            <w:hideMark/>
          </w:tcPr>
          <w:p w14:paraId="144D35FD" w14:textId="35A42A93" w:rsidR="00B26157" w:rsidRPr="00EC326F" w:rsidRDefault="00B26157" w:rsidP="00B26157">
            <w:pPr>
              <w:pStyle w:val="TableTextSmall"/>
              <w:ind w:right="317"/>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2,495</w:t>
            </w:r>
          </w:p>
        </w:tc>
        <w:tc>
          <w:tcPr>
            <w:tcW w:w="1540" w:type="dxa"/>
            <w:tcBorders>
              <w:top w:val="nil"/>
              <w:left w:val="nil"/>
              <w:bottom w:val="nil"/>
              <w:right w:val="nil"/>
            </w:tcBorders>
            <w:vAlign w:val="center"/>
            <w:hideMark/>
          </w:tcPr>
          <w:p w14:paraId="711CE893" w14:textId="76020B69" w:rsidR="00B26157" w:rsidRPr="00EC326F" w:rsidRDefault="00B26157" w:rsidP="00B26157">
            <w:pPr>
              <w:pStyle w:val="TableTextSmall"/>
              <w:ind w:right="298"/>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2,551</w:t>
            </w:r>
          </w:p>
        </w:tc>
        <w:tc>
          <w:tcPr>
            <w:tcW w:w="1379" w:type="dxa"/>
            <w:tcBorders>
              <w:top w:val="nil"/>
              <w:left w:val="nil"/>
              <w:bottom w:val="nil"/>
              <w:right w:val="nil"/>
            </w:tcBorders>
            <w:vAlign w:val="center"/>
            <w:hideMark/>
          </w:tcPr>
          <w:p w14:paraId="7D133C0C" w14:textId="477CBC52" w:rsidR="00B26157" w:rsidRPr="00EC326F" w:rsidRDefault="00B26157" w:rsidP="00B26157">
            <w:pPr>
              <w:pStyle w:val="TableTextSmall"/>
              <w:ind w:right="343"/>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56</w:t>
            </w:r>
          </w:p>
        </w:tc>
        <w:tc>
          <w:tcPr>
            <w:tcW w:w="1218" w:type="dxa"/>
            <w:tcBorders>
              <w:top w:val="nil"/>
              <w:left w:val="nil"/>
              <w:bottom w:val="nil"/>
              <w:right w:val="single" w:sz="4" w:space="0" w:color="E0301E" w:themeColor="accent6"/>
            </w:tcBorders>
            <w:vAlign w:val="center"/>
            <w:hideMark/>
          </w:tcPr>
          <w:p w14:paraId="65F380E2" w14:textId="17517553" w:rsidR="00B26157" w:rsidRPr="00EC326F" w:rsidRDefault="00B26157" w:rsidP="00B26157">
            <w:pPr>
              <w:pStyle w:val="TableTextSmall"/>
              <w:jc w:val="center"/>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2.2%</w:t>
            </w:r>
          </w:p>
        </w:tc>
      </w:tr>
      <w:tr w:rsidR="00B26157" w:rsidRPr="00EC326F" w14:paraId="0EBB6DAD" w14:textId="77777777" w:rsidTr="00744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left w:val="single" w:sz="4" w:space="0" w:color="E0301E" w:themeColor="accent6"/>
            </w:tcBorders>
            <w:shd w:val="clear" w:color="auto" w:fill="F3ABA4" w:themeFill="accent6" w:themeFillTint="66"/>
            <w:hideMark/>
          </w:tcPr>
          <w:p w14:paraId="3E41D05C" w14:textId="77777777" w:rsidR="00B26157" w:rsidRPr="00EC326F" w:rsidRDefault="00B26157" w:rsidP="00B26157">
            <w:pPr>
              <w:pStyle w:val="TableTextSmall"/>
              <w:jc w:val="both"/>
            </w:pPr>
            <w:r w:rsidRPr="00EC326F">
              <w:t>Income support recipient subtotal</w:t>
            </w:r>
          </w:p>
        </w:tc>
        <w:tc>
          <w:tcPr>
            <w:tcW w:w="1559" w:type="dxa"/>
            <w:tcBorders>
              <w:left w:val="nil"/>
              <w:right w:val="nil"/>
            </w:tcBorders>
            <w:shd w:val="clear" w:color="auto" w:fill="F3ABA4" w:themeFill="accent6" w:themeFillTint="66"/>
            <w:vAlign w:val="center"/>
            <w:hideMark/>
          </w:tcPr>
          <w:p w14:paraId="7DE3203A" w14:textId="2B0EBB55" w:rsidR="00B26157" w:rsidRPr="00EC326F" w:rsidRDefault="00B26157" w:rsidP="00B26157">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5,699</w:t>
            </w:r>
          </w:p>
        </w:tc>
        <w:tc>
          <w:tcPr>
            <w:tcW w:w="1540" w:type="dxa"/>
            <w:tcBorders>
              <w:left w:val="nil"/>
              <w:right w:val="nil"/>
            </w:tcBorders>
            <w:shd w:val="clear" w:color="auto" w:fill="F3ABA4" w:themeFill="accent6" w:themeFillTint="66"/>
            <w:vAlign w:val="center"/>
            <w:hideMark/>
          </w:tcPr>
          <w:p w14:paraId="0D5843DD" w14:textId="6F357EF9" w:rsidR="00B26157" w:rsidRPr="00EC326F" w:rsidRDefault="00B26157" w:rsidP="00B26157">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5,749</w:t>
            </w:r>
          </w:p>
        </w:tc>
        <w:tc>
          <w:tcPr>
            <w:tcW w:w="1379" w:type="dxa"/>
            <w:tcBorders>
              <w:left w:val="nil"/>
              <w:right w:val="nil"/>
            </w:tcBorders>
            <w:shd w:val="clear" w:color="auto" w:fill="F3ABA4" w:themeFill="accent6" w:themeFillTint="66"/>
            <w:vAlign w:val="center"/>
            <w:hideMark/>
          </w:tcPr>
          <w:p w14:paraId="0E303341" w14:textId="72550127" w:rsidR="00B26157" w:rsidRPr="00EC326F" w:rsidRDefault="00B26157" w:rsidP="00B26157">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49</w:t>
            </w:r>
          </w:p>
        </w:tc>
        <w:tc>
          <w:tcPr>
            <w:tcW w:w="1218" w:type="dxa"/>
            <w:tcBorders>
              <w:left w:val="nil"/>
              <w:right w:val="single" w:sz="4" w:space="0" w:color="E0301E" w:themeColor="accent6"/>
            </w:tcBorders>
            <w:shd w:val="clear" w:color="auto" w:fill="F3ABA4" w:themeFill="accent6" w:themeFillTint="66"/>
            <w:vAlign w:val="center"/>
            <w:hideMark/>
          </w:tcPr>
          <w:p w14:paraId="6A2B0067" w14:textId="421A282F" w:rsidR="00B26157" w:rsidRPr="00EC326F" w:rsidRDefault="00B26157" w:rsidP="00B26157">
            <w:pPr>
              <w:pStyle w:val="TableTextSmall"/>
              <w:jc w:val="center"/>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0.9%</w:t>
            </w:r>
          </w:p>
        </w:tc>
      </w:tr>
      <w:tr w:rsidR="00B26157" w:rsidRPr="00EC326F" w14:paraId="74DE6E89" w14:textId="77777777" w:rsidTr="00744519">
        <w:tc>
          <w:tcPr>
            <w:cnfStyle w:val="001000000000" w:firstRow="0" w:lastRow="0" w:firstColumn="1" w:lastColumn="0" w:oddVBand="0" w:evenVBand="0" w:oddHBand="0" w:evenHBand="0" w:firstRowFirstColumn="0" w:firstRowLastColumn="0" w:lastRowFirstColumn="0" w:lastRowLastColumn="0"/>
            <w:tcW w:w="3369" w:type="dxa"/>
            <w:tcBorders>
              <w:top w:val="nil"/>
              <w:left w:val="single" w:sz="4" w:space="0" w:color="E0301E" w:themeColor="accent6"/>
              <w:bottom w:val="nil"/>
            </w:tcBorders>
            <w:hideMark/>
          </w:tcPr>
          <w:p w14:paraId="476B3BCC" w14:textId="77777777" w:rsidR="00B26157" w:rsidRPr="00EC326F" w:rsidRDefault="00B26157" w:rsidP="00B26157">
            <w:pPr>
              <w:pStyle w:val="TableTextSmall"/>
            </w:pPr>
            <w:r w:rsidRPr="00EC326F">
              <w:t>7 – Family Non IS payment recipients</w:t>
            </w:r>
          </w:p>
        </w:tc>
        <w:tc>
          <w:tcPr>
            <w:tcW w:w="1559" w:type="dxa"/>
            <w:tcBorders>
              <w:top w:val="nil"/>
              <w:left w:val="nil"/>
              <w:bottom w:val="nil"/>
              <w:right w:val="nil"/>
            </w:tcBorders>
            <w:vAlign w:val="center"/>
            <w:hideMark/>
          </w:tcPr>
          <w:p w14:paraId="77E1D28E" w14:textId="00846606" w:rsidR="00B26157" w:rsidRPr="00EC326F" w:rsidRDefault="00B26157" w:rsidP="00B26157">
            <w:pPr>
              <w:pStyle w:val="TableTextSmall"/>
              <w:ind w:right="317"/>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1,547</w:t>
            </w:r>
          </w:p>
        </w:tc>
        <w:tc>
          <w:tcPr>
            <w:tcW w:w="1540" w:type="dxa"/>
            <w:tcBorders>
              <w:top w:val="nil"/>
              <w:left w:val="nil"/>
              <w:bottom w:val="nil"/>
              <w:right w:val="nil"/>
            </w:tcBorders>
            <w:vAlign w:val="center"/>
            <w:hideMark/>
          </w:tcPr>
          <w:p w14:paraId="2D577C6F" w14:textId="724AAA93" w:rsidR="00B26157" w:rsidRPr="00EC326F" w:rsidRDefault="00B26157" w:rsidP="00B26157">
            <w:pPr>
              <w:pStyle w:val="TableTextSmall"/>
              <w:ind w:right="298"/>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1,554</w:t>
            </w:r>
          </w:p>
        </w:tc>
        <w:tc>
          <w:tcPr>
            <w:tcW w:w="1379" w:type="dxa"/>
            <w:tcBorders>
              <w:top w:val="nil"/>
              <w:left w:val="nil"/>
              <w:bottom w:val="nil"/>
              <w:right w:val="nil"/>
            </w:tcBorders>
            <w:vAlign w:val="center"/>
            <w:hideMark/>
          </w:tcPr>
          <w:p w14:paraId="104D8911" w14:textId="357EC4A9" w:rsidR="00B26157" w:rsidRPr="00EC326F" w:rsidRDefault="00B26157" w:rsidP="00B26157">
            <w:pPr>
              <w:pStyle w:val="TableTextSmall"/>
              <w:ind w:right="343"/>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7</w:t>
            </w:r>
          </w:p>
        </w:tc>
        <w:tc>
          <w:tcPr>
            <w:tcW w:w="1218" w:type="dxa"/>
            <w:tcBorders>
              <w:top w:val="nil"/>
              <w:left w:val="nil"/>
              <w:bottom w:val="nil"/>
              <w:right w:val="single" w:sz="4" w:space="0" w:color="E0301E" w:themeColor="accent6"/>
            </w:tcBorders>
            <w:vAlign w:val="center"/>
            <w:hideMark/>
          </w:tcPr>
          <w:p w14:paraId="09900362" w14:textId="5B4B6521" w:rsidR="00B26157" w:rsidRPr="00EC326F" w:rsidRDefault="00B26157" w:rsidP="00B26157">
            <w:pPr>
              <w:pStyle w:val="TableTextSmall"/>
              <w:jc w:val="center"/>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0.5%</w:t>
            </w:r>
          </w:p>
        </w:tc>
      </w:tr>
      <w:tr w:rsidR="00B26157" w:rsidRPr="00EC326F" w14:paraId="07327BA9" w14:textId="77777777" w:rsidTr="00744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left w:val="single" w:sz="4" w:space="0" w:color="E0301E" w:themeColor="accent6"/>
            </w:tcBorders>
            <w:hideMark/>
          </w:tcPr>
          <w:p w14:paraId="144376DB" w14:textId="77777777" w:rsidR="00B26157" w:rsidRPr="00EC326F" w:rsidRDefault="00B26157" w:rsidP="00B26157">
            <w:pPr>
              <w:pStyle w:val="TableTextSmall"/>
            </w:pPr>
            <w:r w:rsidRPr="00EC326F">
              <w:t>8 – Carer Non IS payment recipients</w:t>
            </w:r>
          </w:p>
        </w:tc>
        <w:tc>
          <w:tcPr>
            <w:tcW w:w="1559" w:type="dxa"/>
            <w:tcBorders>
              <w:left w:val="nil"/>
              <w:right w:val="nil"/>
            </w:tcBorders>
            <w:vAlign w:val="center"/>
            <w:hideMark/>
          </w:tcPr>
          <w:p w14:paraId="7B337769" w14:textId="767385BE" w:rsidR="00B26157" w:rsidRPr="00EC326F" w:rsidRDefault="00B26157" w:rsidP="00B26157">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199</w:t>
            </w:r>
          </w:p>
        </w:tc>
        <w:tc>
          <w:tcPr>
            <w:tcW w:w="1540" w:type="dxa"/>
            <w:tcBorders>
              <w:left w:val="nil"/>
              <w:right w:val="nil"/>
            </w:tcBorders>
            <w:vAlign w:val="center"/>
            <w:hideMark/>
          </w:tcPr>
          <w:p w14:paraId="0078FEC5" w14:textId="48DEB34C" w:rsidR="00B26157" w:rsidRPr="00EC326F" w:rsidRDefault="00B26157" w:rsidP="00B26157">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201</w:t>
            </w:r>
          </w:p>
        </w:tc>
        <w:tc>
          <w:tcPr>
            <w:tcW w:w="1379" w:type="dxa"/>
            <w:tcBorders>
              <w:left w:val="nil"/>
              <w:right w:val="nil"/>
            </w:tcBorders>
            <w:vAlign w:val="center"/>
            <w:hideMark/>
          </w:tcPr>
          <w:p w14:paraId="3CD2765A" w14:textId="22914C65" w:rsidR="00B26157" w:rsidRPr="00EC326F" w:rsidRDefault="00B26157" w:rsidP="00B26157">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2</w:t>
            </w:r>
          </w:p>
        </w:tc>
        <w:tc>
          <w:tcPr>
            <w:tcW w:w="1218" w:type="dxa"/>
            <w:tcBorders>
              <w:left w:val="nil"/>
              <w:right w:val="single" w:sz="4" w:space="0" w:color="E0301E" w:themeColor="accent6"/>
            </w:tcBorders>
            <w:vAlign w:val="center"/>
            <w:hideMark/>
          </w:tcPr>
          <w:p w14:paraId="711329AB" w14:textId="3B2C73BE" w:rsidR="00B26157" w:rsidRPr="00EC326F" w:rsidRDefault="00B26157" w:rsidP="00B26157">
            <w:pPr>
              <w:pStyle w:val="TableTextSmall"/>
              <w:jc w:val="center"/>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0.8%</w:t>
            </w:r>
          </w:p>
        </w:tc>
      </w:tr>
      <w:tr w:rsidR="00B26157" w:rsidRPr="00EC326F" w14:paraId="5F8C2F3D" w14:textId="77777777" w:rsidTr="00744519">
        <w:tc>
          <w:tcPr>
            <w:cnfStyle w:val="001000000000" w:firstRow="0" w:lastRow="0" w:firstColumn="1" w:lastColumn="0" w:oddVBand="0" w:evenVBand="0" w:oddHBand="0" w:evenHBand="0" w:firstRowFirstColumn="0" w:firstRowLastColumn="0" w:lastRowFirstColumn="0" w:lastRowLastColumn="0"/>
            <w:tcW w:w="3369" w:type="dxa"/>
            <w:tcBorders>
              <w:top w:val="nil"/>
              <w:left w:val="single" w:sz="4" w:space="0" w:color="E0301E" w:themeColor="accent6"/>
              <w:bottom w:val="nil"/>
            </w:tcBorders>
            <w:hideMark/>
          </w:tcPr>
          <w:p w14:paraId="36BEC3A8" w14:textId="77777777" w:rsidR="00B26157" w:rsidRPr="00EC326F" w:rsidRDefault="00B26157" w:rsidP="00B26157">
            <w:pPr>
              <w:pStyle w:val="TableTextSmall"/>
            </w:pPr>
            <w:r w:rsidRPr="00EC326F">
              <w:t>9 – Other Non IS payment recipients</w:t>
            </w:r>
          </w:p>
        </w:tc>
        <w:tc>
          <w:tcPr>
            <w:tcW w:w="1559" w:type="dxa"/>
            <w:tcBorders>
              <w:top w:val="nil"/>
              <w:left w:val="nil"/>
              <w:bottom w:val="nil"/>
              <w:right w:val="nil"/>
            </w:tcBorders>
            <w:vAlign w:val="center"/>
            <w:hideMark/>
          </w:tcPr>
          <w:p w14:paraId="4F64E5E3" w14:textId="33610A94" w:rsidR="00B26157" w:rsidRPr="00EC326F" w:rsidRDefault="00B26157" w:rsidP="00B26157">
            <w:pPr>
              <w:pStyle w:val="TableTextSmall"/>
              <w:ind w:right="317"/>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561</w:t>
            </w:r>
          </w:p>
        </w:tc>
        <w:tc>
          <w:tcPr>
            <w:tcW w:w="1540" w:type="dxa"/>
            <w:tcBorders>
              <w:top w:val="nil"/>
              <w:left w:val="nil"/>
              <w:bottom w:val="nil"/>
              <w:right w:val="nil"/>
            </w:tcBorders>
            <w:vAlign w:val="center"/>
            <w:hideMark/>
          </w:tcPr>
          <w:p w14:paraId="6CD417D8" w14:textId="2CDF9F57" w:rsidR="00B26157" w:rsidRPr="00EC326F" w:rsidRDefault="00B26157" w:rsidP="00B26157">
            <w:pPr>
              <w:pStyle w:val="TableTextSmall"/>
              <w:ind w:right="298"/>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543</w:t>
            </w:r>
          </w:p>
        </w:tc>
        <w:tc>
          <w:tcPr>
            <w:tcW w:w="1379" w:type="dxa"/>
            <w:tcBorders>
              <w:top w:val="nil"/>
              <w:left w:val="nil"/>
              <w:bottom w:val="nil"/>
              <w:right w:val="nil"/>
            </w:tcBorders>
            <w:vAlign w:val="center"/>
            <w:hideMark/>
          </w:tcPr>
          <w:p w14:paraId="1FA3A644" w14:textId="19F0A2B3" w:rsidR="00B26157" w:rsidRPr="00EC326F" w:rsidRDefault="00B26157" w:rsidP="00B26157">
            <w:pPr>
              <w:pStyle w:val="TableTextSmall"/>
              <w:ind w:right="343"/>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-18</w:t>
            </w:r>
          </w:p>
        </w:tc>
        <w:tc>
          <w:tcPr>
            <w:tcW w:w="1218" w:type="dxa"/>
            <w:tcBorders>
              <w:top w:val="nil"/>
              <w:left w:val="nil"/>
              <w:bottom w:val="nil"/>
              <w:right w:val="single" w:sz="4" w:space="0" w:color="E0301E" w:themeColor="accent6"/>
            </w:tcBorders>
            <w:vAlign w:val="center"/>
            <w:hideMark/>
          </w:tcPr>
          <w:p w14:paraId="642E4EA6" w14:textId="3F9E7B8D" w:rsidR="00B26157" w:rsidRPr="00EC326F" w:rsidRDefault="00B26157" w:rsidP="00B26157">
            <w:pPr>
              <w:pStyle w:val="TableTextSmall"/>
              <w:jc w:val="center"/>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-3.2%</w:t>
            </w:r>
          </w:p>
        </w:tc>
      </w:tr>
      <w:tr w:rsidR="00B26157" w:rsidRPr="00EC326F" w14:paraId="337B2BF6" w14:textId="77777777" w:rsidTr="00744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left w:val="single" w:sz="4" w:space="0" w:color="E0301E" w:themeColor="accent6"/>
            </w:tcBorders>
            <w:shd w:val="clear" w:color="auto" w:fill="F3ABA4" w:themeFill="accent6" w:themeFillTint="66"/>
            <w:hideMark/>
          </w:tcPr>
          <w:p w14:paraId="1FFD1772" w14:textId="77777777" w:rsidR="00B26157" w:rsidRPr="00EC326F" w:rsidRDefault="00B26157" w:rsidP="00B26157">
            <w:pPr>
              <w:pStyle w:val="TableTextSmall"/>
            </w:pPr>
            <w:r w:rsidRPr="00EC326F">
              <w:t>Non Income support recipient subtotal</w:t>
            </w:r>
          </w:p>
        </w:tc>
        <w:tc>
          <w:tcPr>
            <w:tcW w:w="1559" w:type="dxa"/>
            <w:tcBorders>
              <w:left w:val="nil"/>
              <w:right w:val="nil"/>
            </w:tcBorders>
            <w:shd w:val="clear" w:color="auto" w:fill="F3ABA4" w:themeFill="accent6" w:themeFillTint="66"/>
            <w:vAlign w:val="center"/>
            <w:hideMark/>
          </w:tcPr>
          <w:p w14:paraId="4B79338D" w14:textId="3DF6B7D9" w:rsidR="00B26157" w:rsidRPr="00EC326F" w:rsidRDefault="00B26157" w:rsidP="00B26157">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2,307</w:t>
            </w:r>
          </w:p>
        </w:tc>
        <w:tc>
          <w:tcPr>
            <w:tcW w:w="1540" w:type="dxa"/>
            <w:tcBorders>
              <w:left w:val="nil"/>
              <w:right w:val="nil"/>
            </w:tcBorders>
            <w:shd w:val="clear" w:color="auto" w:fill="F3ABA4" w:themeFill="accent6" w:themeFillTint="66"/>
            <w:vAlign w:val="center"/>
            <w:hideMark/>
          </w:tcPr>
          <w:p w14:paraId="03BB787A" w14:textId="3CF7E1B0" w:rsidR="00B26157" w:rsidRPr="00EC326F" w:rsidRDefault="00B26157" w:rsidP="00B26157">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2,298</w:t>
            </w:r>
          </w:p>
        </w:tc>
        <w:tc>
          <w:tcPr>
            <w:tcW w:w="1379" w:type="dxa"/>
            <w:tcBorders>
              <w:left w:val="nil"/>
              <w:right w:val="nil"/>
            </w:tcBorders>
            <w:shd w:val="clear" w:color="auto" w:fill="F3ABA4" w:themeFill="accent6" w:themeFillTint="66"/>
            <w:vAlign w:val="center"/>
            <w:hideMark/>
          </w:tcPr>
          <w:p w14:paraId="4A09820A" w14:textId="0C99FF52" w:rsidR="00B26157" w:rsidRPr="00EC326F" w:rsidRDefault="00B26157" w:rsidP="00B26157">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-9</w:t>
            </w:r>
          </w:p>
        </w:tc>
        <w:tc>
          <w:tcPr>
            <w:tcW w:w="1218" w:type="dxa"/>
            <w:tcBorders>
              <w:left w:val="nil"/>
              <w:right w:val="single" w:sz="4" w:space="0" w:color="E0301E" w:themeColor="accent6"/>
            </w:tcBorders>
            <w:shd w:val="clear" w:color="auto" w:fill="F3ABA4" w:themeFill="accent6" w:themeFillTint="66"/>
            <w:vAlign w:val="center"/>
            <w:hideMark/>
          </w:tcPr>
          <w:p w14:paraId="69CE896E" w14:textId="0AE4B33A" w:rsidR="00B26157" w:rsidRPr="00EC326F" w:rsidRDefault="00B26157" w:rsidP="00B26157">
            <w:pPr>
              <w:pStyle w:val="TableTextSmall"/>
              <w:jc w:val="center"/>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-0.4%</w:t>
            </w:r>
          </w:p>
        </w:tc>
      </w:tr>
      <w:tr w:rsidR="00744519" w:rsidRPr="00EC326F" w14:paraId="1AB019A3" w14:textId="77777777" w:rsidTr="00744519">
        <w:tc>
          <w:tcPr>
            <w:cnfStyle w:val="001000000000" w:firstRow="0" w:lastRow="0" w:firstColumn="1" w:lastColumn="0" w:oddVBand="0" w:evenVBand="0" w:oddHBand="0" w:evenHBand="0" w:firstRowFirstColumn="0" w:firstRowLastColumn="0" w:lastRowFirstColumn="0" w:lastRowLastColumn="0"/>
            <w:tcW w:w="3369" w:type="dxa"/>
            <w:tcBorders>
              <w:top w:val="nil"/>
              <w:left w:val="single" w:sz="4" w:space="0" w:color="E0301E" w:themeColor="accent6"/>
              <w:bottom w:val="single" w:sz="4" w:space="0" w:color="E0301E" w:themeColor="accent6"/>
            </w:tcBorders>
            <w:shd w:val="clear" w:color="auto" w:fill="F3ABA4" w:themeFill="accent6" w:themeFillTint="66"/>
            <w:hideMark/>
          </w:tcPr>
          <w:p w14:paraId="17523E88" w14:textId="77777777" w:rsidR="00B26157" w:rsidRPr="00EC326F" w:rsidRDefault="00B26157" w:rsidP="00B26157">
            <w:pPr>
              <w:pStyle w:val="TableTextSmall"/>
            </w:pPr>
            <w:r w:rsidRPr="00EC326F">
              <w:t>Total welfare recipient population</w:t>
            </w:r>
          </w:p>
        </w:tc>
        <w:tc>
          <w:tcPr>
            <w:tcW w:w="1559" w:type="dxa"/>
            <w:tcBorders>
              <w:top w:val="nil"/>
              <w:left w:val="nil"/>
              <w:bottom w:val="single" w:sz="4" w:space="0" w:color="E0301E" w:themeColor="accent6"/>
              <w:right w:val="nil"/>
            </w:tcBorders>
            <w:shd w:val="clear" w:color="auto" w:fill="F3ABA4" w:themeFill="accent6" w:themeFillTint="66"/>
            <w:vAlign w:val="center"/>
            <w:hideMark/>
          </w:tcPr>
          <w:p w14:paraId="4935A9CB" w14:textId="02BC61A9" w:rsidR="00B26157" w:rsidRPr="00EC326F" w:rsidRDefault="00B26157" w:rsidP="00B26157">
            <w:pPr>
              <w:pStyle w:val="TableTextSmall"/>
              <w:ind w:right="317"/>
              <w:jc w:val="right"/>
              <w:cnfStyle w:val="000000000000" w:firstRow="0" w:lastRow="0" w:firstColumn="0" w:lastColumn="0" w:oddVBand="0" w:evenVBand="0" w:oddHBand="0" w:evenHBand="0" w:firstRowFirstColumn="0" w:firstRowLastColumn="0" w:lastRowFirstColumn="0" w:lastRowLastColumn="0"/>
              <w:rPr>
                <w:b/>
              </w:rPr>
            </w:pPr>
            <w:r>
              <w:rPr>
                <w:rFonts w:ascii="Arial" w:hAnsi="Arial"/>
                <w:color w:val="404040"/>
                <w:szCs w:val="16"/>
              </w:rPr>
              <w:t>8,006</w:t>
            </w:r>
          </w:p>
        </w:tc>
        <w:tc>
          <w:tcPr>
            <w:tcW w:w="1540" w:type="dxa"/>
            <w:tcBorders>
              <w:top w:val="nil"/>
              <w:left w:val="nil"/>
              <w:bottom w:val="single" w:sz="4" w:space="0" w:color="E0301E" w:themeColor="accent6"/>
              <w:right w:val="nil"/>
            </w:tcBorders>
            <w:shd w:val="clear" w:color="auto" w:fill="F3ABA4" w:themeFill="accent6" w:themeFillTint="66"/>
            <w:vAlign w:val="center"/>
            <w:hideMark/>
          </w:tcPr>
          <w:p w14:paraId="2ABFA80A" w14:textId="0FFB3C9B" w:rsidR="00B26157" w:rsidRPr="00EC326F" w:rsidRDefault="00B26157" w:rsidP="00B26157">
            <w:pPr>
              <w:pStyle w:val="TableTextSmall"/>
              <w:ind w:right="298"/>
              <w:jc w:val="right"/>
              <w:cnfStyle w:val="000000000000" w:firstRow="0" w:lastRow="0" w:firstColumn="0" w:lastColumn="0" w:oddVBand="0" w:evenVBand="0" w:oddHBand="0" w:evenHBand="0" w:firstRowFirstColumn="0" w:firstRowLastColumn="0" w:lastRowFirstColumn="0" w:lastRowLastColumn="0"/>
              <w:rPr>
                <w:b/>
              </w:rPr>
            </w:pPr>
            <w:r>
              <w:rPr>
                <w:rFonts w:ascii="Arial" w:hAnsi="Arial"/>
                <w:color w:val="404040"/>
                <w:szCs w:val="16"/>
              </w:rPr>
              <w:t>8,047</w:t>
            </w:r>
          </w:p>
        </w:tc>
        <w:tc>
          <w:tcPr>
            <w:tcW w:w="1379" w:type="dxa"/>
            <w:tcBorders>
              <w:top w:val="nil"/>
              <w:left w:val="nil"/>
              <w:bottom w:val="single" w:sz="4" w:space="0" w:color="E0301E" w:themeColor="accent6"/>
              <w:right w:val="nil"/>
            </w:tcBorders>
            <w:shd w:val="clear" w:color="auto" w:fill="F3ABA4" w:themeFill="accent6" w:themeFillTint="66"/>
            <w:vAlign w:val="center"/>
            <w:hideMark/>
          </w:tcPr>
          <w:p w14:paraId="159E5290" w14:textId="3450C03B" w:rsidR="00B26157" w:rsidRPr="00EC326F" w:rsidRDefault="00B26157" w:rsidP="00B26157">
            <w:pPr>
              <w:pStyle w:val="TableTextSmall"/>
              <w:ind w:right="343"/>
              <w:jc w:val="right"/>
              <w:cnfStyle w:val="000000000000" w:firstRow="0" w:lastRow="0" w:firstColumn="0" w:lastColumn="0" w:oddVBand="0" w:evenVBand="0" w:oddHBand="0" w:evenHBand="0" w:firstRowFirstColumn="0" w:firstRowLastColumn="0" w:lastRowFirstColumn="0" w:lastRowLastColumn="0"/>
              <w:rPr>
                <w:b/>
              </w:rPr>
            </w:pPr>
            <w:r>
              <w:rPr>
                <w:rFonts w:ascii="Arial" w:hAnsi="Arial"/>
                <w:color w:val="404040"/>
                <w:szCs w:val="16"/>
              </w:rPr>
              <w:t>41</w:t>
            </w:r>
          </w:p>
        </w:tc>
        <w:tc>
          <w:tcPr>
            <w:tcW w:w="1218" w:type="dxa"/>
            <w:tcBorders>
              <w:top w:val="nil"/>
              <w:left w:val="nil"/>
              <w:bottom w:val="single" w:sz="4" w:space="0" w:color="E0301E" w:themeColor="accent6"/>
              <w:right w:val="single" w:sz="4" w:space="0" w:color="E0301E" w:themeColor="accent6"/>
            </w:tcBorders>
            <w:shd w:val="clear" w:color="auto" w:fill="F3ABA4" w:themeFill="accent6" w:themeFillTint="66"/>
            <w:vAlign w:val="center"/>
            <w:hideMark/>
          </w:tcPr>
          <w:p w14:paraId="75D22A5D" w14:textId="18EB7193" w:rsidR="00B26157" w:rsidRPr="00EC326F" w:rsidRDefault="00B26157" w:rsidP="00B26157">
            <w:pPr>
              <w:pStyle w:val="TableTextSmall"/>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olor w:val="404040"/>
                <w:szCs w:val="16"/>
              </w:rPr>
              <w:t>0.5%</w:t>
            </w:r>
          </w:p>
        </w:tc>
      </w:tr>
    </w:tbl>
    <w:p w14:paraId="70D452C3" w14:textId="77777777" w:rsidR="00862373" w:rsidRPr="000747FE" w:rsidRDefault="00862373" w:rsidP="00862373"/>
    <w:p w14:paraId="1C77E6CC" w14:textId="77777777" w:rsidR="00862373" w:rsidRPr="00EC326F" w:rsidRDefault="00862373" w:rsidP="00862373">
      <w:pPr>
        <w:pStyle w:val="PwCNormal"/>
        <w:numPr>
          <w:ilvl w:val="0"/>
          <w:numId w:val="0"/>
        </w:numPr>
      </w:pPr>
      <w:r w:rsidRPr="00EC326F">
        <w:t>These changes reflect changes to both the underlying population size and demographics, as well as to the welfare system utilisation. The main drivers of the changing numbers for the income support classes are as follows:</w:t>
      </w:r>
    </w:p>
    <w:p w14:paraId="3EDDDF93" w14:textId="77777777" w:rsidR="00862373" w:rsidRPr="00EC326F" w:rsidRDefault="00862373" w:rsidP="00862373">
      <w:pPr>
        <w:pStyle w:val="ListBullet"/>
      </w:pPr>
      <w:r w:rsidRPr="00EB35B5">
        <w:rPr>
          <w:rStyle w:val="Emphasis"/>
          <w:bCs/>
          <w:i w:val="0"/>
          <w:color w:val="E0301E"/>
        </w:rPr>
        <w:t>Studying payment recipients:</w:t>
      </w:r>
      <w:r w:rsidRPr="00EB35B5">
        <w:rPr>
          <w:color w:val="E03028"/>
        </w:rPr>
        <w:t xml:space="preserve"> </w:t>
      </w:r>
      <w:r w:rsidRPr="00EC326F">
        <w:t xml:space="preserve">the number of people in this class was expected to grow slightly, however there have been more exits than expected resulting in the size of this class remaining broadly unchanged from last year. </w:t>
      </w:r>
    </w:p>
    <w:p w14:paraId="60D6DE78" w14:textId="77777777" w:rsidR="00862373" w:rsidRPr="00EC326F" w:rsidRDefault="00862373" w:rsidP="00862373">
      <w:pPr>
        <w:pStyle w:val="ListBullet"/>
      </w:pPr>
      <w:r w:rsidRPr="00EB35B5">
        <w:rPr>
          <w:color w:val="E0301E"/>
        </w:rPr>
        <w:t xml:space="preserve">Working age payment recipients: </w:t>
      </w:r>
      <w:r w:rsidRPr="00EC326F">
        <w:t xml:space="preserve">the numbers of people in this class were expected to grow over the year, with expected entries exceeding expected exits based on the past entry and exit experience in conjunction with the population demographics. The actual increase to the numbers of people was lower than these expectations with both the number of entries being slightly below expected and the number of exits being slightly higher. </w:t>
      </w:r>
    </w:p>
    <w:p w14:paraId="2E219A28" w14:textId="77777777" w:rsidR="00862373" w:rsidRPr="00EC326F" w:rsidRDefault="00862373" w:rsidP="00862373">
      <w:pPr>
        <w:pStyle w:val="ListContinue"/>
      </w:pPr>
      <w:r w:rsidRPr="00EC326F">
        <w:t xml:space="preserve">It is also worth noting that people in this class are quite mobile with around a quarter of people in the class being expected to exit each year and </w:t>
      </w:r>
      <w:r w:rsidR="00E14210" w:rsidRPr="00EC326F">
        <w:t>a similarly</w:t>
      </w:r>
      <w:r w:rsidRPr="00EC326F">
        <w:t xml:space="preserve"> substantial number of new entrants. The effect of small changes to the entrant and exit experience can have a significant effect on class numbers and we would expect this to be the main driver of the numbers of people in this class (rather than movements to and from other active classes). This is also likely to be one of the elements of the experience that changes most from year to year as a result of external environmental factors.</w:t>
      </w:r>
    </w:p>
    <w:p w14:paraId="5A23ADF9" w14:textId="77777777" w:rsidR="00862373" w:rsidRPr="00EC326F" w:rsidRDefault="00862373" w:rsidP="00862373">
      <w:pPr>
        <w:pStyle w:val="ListBullet"/>
      </w:pPr>
      <w:r w:rsidRPr="00EB35B5">
        <w:rPr>
          <w:color w:val="E0301E"/>
        </w:rPr>
        <w:t>Parenting payment recipients:</w:t>
      </w:r>
      <w:r w:rsidRPr="00EB35B5">
        <w:rPr>
          <w:color w:val="E03028"/>
        </w:rPr>
        <w:t xml:space="preserve"> </w:t>
      </w:r>
      <w:r w:rsidRPr="00EC326F">
        <w:t>the number of parenting payment recipients has increased by 1% since last year. This is primarily as a result of slightly lower than expected movements out of the class over the year.</w:t>
      </w:r>
    </w:p>
    <w:p w14:paraId="25D60133" w14:textId="77777777" w:rsidR="00862373" w:rsidRPr="00EC326F" w:rsidRDefault="00862373" w:rsidP="00862373">
      <w:pPr>
        <w:pStyle w:val="ListBullet"/>
      </w:pPr>
      <w:r w:rsidRPr="00EB35B5">
        <w:rPr>
          <w:color w:val="E0301E"/>
        </w:rPr>
        <w:t>Carer payment recipients:</w:t>
      </w:r>
      <w:r w:rsidRPr="00EB35B5">
        <w:rPr>
          <w:color w:val="E03028"/>
        </w:rPr>
        <w:t xml:space="preserve"> </w:t>
      </w:r>
      <w:r w:rsidRPr="00EC326F">
        <w:t>whilst this remains one of the smaller classes, the number of carer payment recipients has grown slightly over the last year. This increase is in line with our previous expectation for this class where numbers were expected to grow if the recent class entry experience continued.</w:t>
      </w:r>
    </w:p>
    <w:p w14:paraId="1DF8CFE8" w14:textId="77777777" w:rsidR="00862373" w:rsidRPr="00EC326F" w:rsidRDefault="00862373" w:rsidP="00862373">
      <w:pPr>
        <w:pStyle w:val="ListBullet"/>
      </w:pPr>
      <w:r w:rsidRPr="00EB35B5">
        <w:rPr>
          <w:color w:val="E0301E"/>
        </w:rPr>
        <w:t>Disability Support Pension recipients:</w:t>
      </w:r>
      <w:r w:rsidRPr="00EC326F">
        <w:rPr>
          <w:color w:val="EB8C00" w:themeColor="accent1"/>
        </w:rPr>
        <w:t xml:space="preserve"> </w:t>
      </w:r>
      <w:r w:rsidRPr="00EC326F">
        <w:t>the number of people in this class has reduced with the numbers of people exiting exceeding the new entrants. Exits are dominated by deaths, which ha</w:t>
      </w:r>
      <w:r w:rsidR="00E14210" w:rsidRPr="00EC326F">
        <w:t>ve</w:t>
      </w:r>
      <w:r w:rsidRPr="00EC326F">
        <w:t xml:space="preserve"> been in line with expectations and some transitions out of DSP </w:t>
      </w:r>
      <w:r w:rsidR="00795805">
        <w:t xml:space="preserve">and into working age </w:t>
      </w:r>
      <w:r w:rsidRPr="00EC326F">
        <w:t xml:space="preserve">as a result of the medical reviews are also evident. New entrant numbers are lower than past experience and </w:t>
      </w:r>
      <w:r w:rsidR="00E14210" w:rsidRPr="00EC326F">
        <w:t>this is</w:t>
      </w:r>
      <w:r w:rsidRPr="00EC326F">
        <w:t xml:space="preserve"> likely to be the result of the tightened eligibility assessment process. </w:t>
      </w:r>
    </w:p>
    <w:p w14:paraId="6D4CAA9B" w14:textId="77777777" w:rsidR="00862373" w:rsidRPr="00EC326F" w:rsidRDefault="00862373" w:rsidP="00862373">
      <w:pPr>
        <w:pStyle w:val="ListBullet"/>
      </w:pPr>
      <w:r w:rsidRPr="00EB35B5">
        <w:rPr>
          <w:color w:val="E0301E"/>
        </w:rPr>
        <w:lastRenderedPageBreak/>
        <w:t>Aged Pension recipients:</w:t>
      </w:r>
      <w:r w:rsidRPr="00EB35B5">
        <w:rPr>
          <w:color w:val="E03028"/>
        </w:rPr>
        <w:t xml:space="preserve"> </w:t>
      </w:r>
      <w:r w:rsidRPr="00EC326F">
        <w:t>the number of aged pensioners has increased, as was expected, with the main driver of this being the underlying population demographics.</w:t>
      </w:r>
    </w:p>
    <w:p w14:paraId="3139E669" w14:textId="77777777" w:rsidR="00862373" w:rsidRPr="00EC326F" w:rsidRDefault="00862373" w:rsidP="00862373">
      <w:pPr>
        <w:pStyle w:val="PwCNormal"/>
        <w:numPr>
          <w:ilvl w:val="0"/>
          <w:numId w:val="0"/>
        </w:numPr>
      </w:pPr>
      <w:r w:rsidRPr="00EC326F">
        <w:t xml:space="preserve">The numbers of people in the family and carer non income support classes have increased slightly over the year and this is as expected given the slight growth in the overall population. </w:t>
      </w:r>
    </w:p>
    <w:p w14:paraId="1549056A" w14:textId="77777777" w:rsidR="00077BEE" w:rsidRPr="00EC326F" w:rsidRDefault="00077BEE" w:rsidP="00862373">
      <w:pPr>
        <w:pStyle w:val="PwCNormal"/>
        <w:numPr>
          <w:ilvl w:val="0"/>
          <w:numId w:val="0"/>
        </w:numPr>
      </w:pPr>
      <w:r w:rsidRPr="00EC326F">
        <w:t>The number of people in the other non income support class has reduced. This is mainly driven by a reduction in the number of people above retirement age who were receiving supplementary payments only.</w:t>
      </w:r>
    </w:p>
    <w:p w14:paraId="2D6180FC" w14:textId="77777777" w:rsidR="00862373" w:rsidRPr="00EC326F" w:rsidRDefault="00862373" w:rsidP="00862373">
      <w:pPr>
        <w:pStyle w:val="PwCNormal"/>
        <w:numPr>
          <w:ilvl w:val="0"/>
          <w:numId w:val="0"/>
        </w:numPr>
      </w:pPr>
      <w:r w:rsidRPr="00EC326F">
        <w:t>Overall, the 5,749,000 people who received an income support payment over the year to 30 June 2016 represented 23.8% of the population. This was a slight reduction from 23.9% at 30 June 2015.</w:t>
      </w:r>
    </w:p>
    <w:p w14:paraId="109E1659" w14:textId="77777777" w:rsidR="0090298C" w:rsidRPr="000747FE" w:rsidRDefault="0090298C" w:rsidP="00E3363D">
      <w:pPr>
        <w:pStyle w:val="PwCNormal"/>
        <w:keepNext/>
        <w:keepLines/>
        <w:numPr>
          <w:ilvl w:val="0"/>
          <w:numId w:val="0"/>
        </w:numPr>
      </w:pPr>
    </w:p>
    <w:p w14:paraId="1BCBFCCC" w14:textId="77777777" w:rsidR="001A577E" w:rsidRPr="000747FE" w:rsidRDefault="001A577E" w:rsidP="001A577E">
      <w:pPr>
        <w:pStyle w:val="PwCNormal"/>
        <w:numPr>
          <w:ilvl w:val="0"/>
          <w:numId w:val="0"/>
        </w:numPr>
        <w:sectPr w:rsidR="001A577E" w:rsidRPr="000747FE" w:rsidSect="00CC5ACB">
          <w:headerReference w:type="default" r:id="rId67"/>
          <w:pgSz w:w="11907" w:h="16840" w:code="9"/>
          <w:pgMar w:top="1588" w:right="1021" w:bottom="1418" w:left="1021" w:header="567" w:footer="567" w:gutter="0"/>
          <w:cols w:space="227"/>
          <w:docGrid w:linePitch="360"/>
        </w:sectPr>
      </w:pPr>
    </w:p>
    <w:p w14:paraId="7BADD4E1" w14:textId="77777777" w:rsidR="00DF2C65" w:rsidRPr="00EC326F" w:rsidRDefault="00C86849" w:rsidP="00A55180">
      <w:pPr>
        <w:pStyle w:val="Heading2"/>
      </w:pPr>
      <w:bookmarkStart w:id="232" w:name="_Toc437690628"/>
      <w:bookmarkStart w:id="233" w:name="_Toc437704583"/>
      <w:bookmarkStart w:id="234" w:name="_Toc437858539"/>
      <w:bookmarkStart w:id="235" w:name="_Toc437864089"/>
      <w:bookmarkStart w:id="236" w:name="_Toc437881441"/>
      <w:bookmarkStart w:id="237" w:name="_Toc437690637"/>
      <w:bookmarkStart w:id="238" w:name="_Toc437704592"/>
      <w:bookmarkStart w:id="239" w:name="_Toc437858549"/>
      <w:bookmarkStart w:id="240" w:name="_Toc437864099"/>
      <w:bookmarkStart w:id="241" w:name="_Toc437881451"/>
      <w:bookmarkStart w:id="242" w:name="_Toc441133850"/>
      <w:bookmarkStart w:id="243" w:name="_Toc441246315"/>
      <w:bookmarkStart w:id="244" w:name="_Toc441246431"/>
      <w:bookmarkStart w:id="245" w:name="_Toc441312323"/>
      <w:bookmarkStart w:id="246" w:name="_Toc441337448"/>
      <w:bookmarkStart w:id="247" w:name="_Toc441562814"/>
      <w:bookmarkStart w:id="248" w:name="_Toc441562940"/>
      <w:bookmarkStart w:id="249" w:name="_Toc455499400"/>
      <w:bookmarkStart w:id="250" w:name="_Toc455502421"/>
      <w:bookmarkStart w:id="251" w:name="_Ref466492560"/>
      <w:bookmarkStart w:id="252" w:name="_Toc493844250"/>
      <w:bookmarkStart w:id="253" w:name="_Ref433720073"/>
      <w:bookmarkStart w:id="254" w:name="_Toc433883848"/>
      <w:bookmarkEnd w:id="113"/>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EC326F">
        <w:lastRenderedPageBreak/>
        <w:t>Overall</w:t>
      </w:r>
      <w:r w:rsidR="000922E9" w:rsidRPr="00EC326F">
        <w:t xml:space="preserve"> results</w:t>
      </w:r>
      <w:bookmarkEnd w:id="249"/>
      <w:bookmarkEnd w:id="250"/>
      <w:bookmarkEnd w:id="251"/>
      <w:bookmarkEnd w:id="252"/>
    </w:p>
    <w:p w14:paraId="56CCB379" w14:textId="77777777" w:rsidR="009D2160" w:rsidRPr="00EC326F" w:rsidRDefault="009D2160" w:rsidP="009D2160">
      <w:pPr>
        <w:pStyle w:val="Heading3"/>
        <w:rPr>
          <w:snapToGrid/>
        </w:rPr>
      </w:pPr>
      <w:bookmarkStart w:id="255" w:name="_Toc437519336"/>
      <w:bookmarkStart w:id="256" w:name="_Toc437521787"/>
      <w:bookmarkStart w:id="257" w:name="_Toc437524822"/>
      <w:bookmarkStart w:id="258" w:name="_Toc437536211"/>
      <w:bookmarkStart w:id="259" w:name="_Toc437519337"/>
      <w:bookmarkStart w:id="260" w:name="_Toc437521788"/>
      <w:bookmarkStart w:id="261" w:name="_Toc437524823"/>
      <w:bookmarkStart w:id="262" w:name="_Toc437536212"/>
      <w:bookmarkStart w:id="263" w:name="_Toc437519338"/>
      <w:bookmarkStart w:id="264" w:name="_Toc437521789"/>
      <w:bookmarkStart w:id="265" w:name="_Toc437524824"/>
      <w:bookmarkStart w:id="266" w:name="_Toc437536213"/>
      <w:bookmarkStart w:id="267" w:name="_Toc437519339"/>
      <w:bookmarkStart w:id="268" w:name="_Toc437521790"/>
      <w:bookmarkStart w:id="269" w:name="_Toc437524825"/>
      <w:bookmarkStart w:id="270" w:name="_Toc437536214"/>
      <w:bookmarkStart w:id="271" w:name="_Toc437519340"/>
      <w:bookmarkStart w:id="272" w:name="_Toc437521791"/>
      <w:bookmarkStart w:id="273" w:name="_Toc437524826"/>
      <w:bookmarkStart w:id="274" w:name="_Toc437536215"/>
      <w:bookmarkStart w:id="275" w:name="_Toc455502426"/>
      <w:bookmarkStart w:id="276" w:name="_Toc455499405"/>
      <w:bookmarkStart w:id="277" w:name="_Toc493844251"/>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EC326F">
        <w:t>Total lifetime cost</w:t>
      </w:r>
      <w:bookmarkEnd w:id="275"/>
      <w:bookmarkEnd w:id="276"/>
      <w:bookmarkEnd w:id="277"/>
    </w:p>
    <w:p w14:paraId="060E0CFD" w14:textId="1B70DB96" w:rsidR="009D2160" w:rsidRPr="00EC326F" w:rsidRDefault="009D2160" w:rsidP="009D2160">
      <w:pPr>
        <w:pStyle w:val="PwCNormal"/>
        <w:numPr>
          <w:ilvl w:val="0"/>
          <w:numId w:val="0"/>
        </w:numPr>
      </w:pPr>
      <w:r w:rsidRPr="00EC326F">
        <w:t xml:space="preserve">The estimated total lifetime cost for the whole population as at 30 June 2016 is </w:t>
      </w:r>
      <w:r w:rsidRPr="00EC326F">
        <w:rPr>
          <w:b/>
        </w:rPr>
        <w:t>$4,51</w:t>
      </w:r>
      <w:r w:rsidR="00960BC8">
        <w:rPr>
          <w:b/>
        </w:rPr>
        <w:t>4</w:t>
      </w:r>
      <w:r w:rsidRPr="00EC326F">
        <w:rPr>
          <w:b/>
        </w:rPr>
        <w:t xml:space="preserve"> billion</w:t>
      </w:r>
      <w:r w:rsidRPr="00EC326F">
        <w:t xml:space="preserve"> dollars. This figure is the net present value of the</w:t>
      </w:r>
      <w:r w:rsidR="00FB0893">
        <w:t xml:space="preserve"> future</w:t>
      </w:r>
      <w:r w:rsidRPr="00EC326F">
        <w:t xml:space="preserve"> </w:t>
      </w:r>
      <w:r w:rsidR="004706E4">
        <w:t>in-scope</w:t>
      </w:r>
      <w:r w:rsidRPr="00EC326F">
        <w:t xml:space="preserve"> payments expected to be made over the remaining natural lifetimes of the full model population. In calculating the net present value, the projected payments are discounted to current dollar values.</w:t>
      </w:r>
    </w:p>
    <w:p w14:paraId="64150C31" w14:textId="77777777" w:rsidR="009D2160" w:rsidRPr="00EC326F" w:rsidRDefault="009D2160" w:rsidP="009D2160">
      <w:pPr>
        <w:pStyle w:val="PwCNormal"/>
        <w:numPr>
          <w:ilvl w:val="0"/>
          <w:numId w:val="0"/>
        </w:numPr>
      </w:pPr>
      <w:r w:rsidRPr="00EC326F">
        <w:t xml:space="preserve">This is a substantial figure; by way of comparison the </w:t>
      </w:r>
      <w:r w:rsidR="004706E4">
        <w:t>in-scope</w:t>
      </w:r>
      <w:r w:rsidRPr="00EC326F">
        <w:t xml:space="preserve"> payments made in the 2015/16 year totalled $1</w:t>
      </w:r>
      <w:r w:rsidR="00E14210" w:rsidRPr="00EC326F">
        <w:t>11.5</w:t>
      </w:r>
      <w:r w:rsidRPr="00EC326F">
        <w:t xml:space="preserve"> billion. Hence the total lifetime cost is over 40 times the size of recent annual payments. Such a multiplier is perhaps not unreasonable given that we have included the age pension in the valuation, which a significant proportion of the model population are expected to receive in the future for many years post retirement.</w:t>
      </w:r>
    </w:p>
    <w:p w14:paraId="0551452A" w14:textId="77777777" w:rsidR="009D2160" w:rsidRPr="00EC326F" w:rsidRDefault="009D2160" w:rsidP="00B26157">
      <w:pPr>
        <w:pStyle w:val="Caption"/>
      </w:pPr>
      <w:bookmarkStart w:id="278" w:name="_Ref466541565"/>
      <w:r w:rsidRPr="00EC326F">
        <w:t xml:space="preserve">Table </w:t>
      </w:r>
      <w:fldSimple w:instr=" SEQ Table \* ARABIC ">
        <w:r w:rsidR="007A42DF">
          <w:rPr>
            <w:noProof/>
          </w:rPr>
          <w:t>20</w:t>
        </w:r>
      </w:fldSimple>
      <w:bookmarkEnd w:id="278"/>
      <w:r w:rsidRPr="00EC326F">
        <w:t>: Summary of key valuation results</w:t>
      </w:r>
    </w:p>
    <w:tbl>
      <w:tblPr>
        <w:tblW w:w="9476" w:type="dxa"/>
        <w:tblInd w:w="57" w:type="dxa"/>
        <w:tblLayout w:type="fixed"/>
        <w:tblCellMar>
          <w:left w:w="113" w:type="dxa"/>
          <w:right w:w="113" w:type="dxa"/>
        </w:tblCellMar>
        <w:tblLook w:val="04A0" w:firstRow="1" w:lastRow="0" w:firstColumn="1" w:lastColumn="0" w:noHBand="0" w:noVBand="1"/>
        <w:tblCaption w:val=" Summary of key valuation results&#10;&#10;"/>
        <w:tblDescription w:val="This table lists figures for current welfare recipients in several categories, as well as previous welfare recipients and the rest of the Australian resident population. &#10;&#10;The categories given for current welfare recipients are: studying payments, working age payments, parenting payments, carer payments, disability support, age pensioners, family (non-income support), carer (non-income support) and other (non-income support), as well as a total for all current welfare recipients. Previous welfare recipients are divided into those that exited within 1 to 3 years, and those who took 4 or more years, as well as a combined total.&#10;&#10;For each category, the horizontal axis shows the number of people in the population, their average age, their lifetime cost in billions of dollars, the average payment that was made to them in 2015/2016, their average lifetime cost, the ratio of total average lifetime cost to the average 2015/2016 payment and the expected proportion of future lifetime in income support classes.&#10;&#10;The largest lifetime costs are the age pension, at 518 billion dollars, followed by working age payments at $401 billion, and then disability payments and family non-income support and at 352 and 301 billion respectively. Disability support and age pensioners were expected to spend the highest proportion of their future lifetime in IS classes (96% of their future lifetime, others ranged from 40 to 85 per cent. Parenting, carer and disability payment recipients received the highest per-person average amounts, with $29,700, $26,800 and $22,100 each, compared to $17,100 for aged pensioners and $11,300 for working age recipients. &#10;&#10;There are 4.2 million previous welfare recipients, who have an average age of 44 years. Their lifetime cost is 652 billion dollars, and they have a lifetime cost of $156,000 per person.&#10;&#10;The rest of the Australian population has 11.9 million people, an average age of 28 years, and will have an average lifetime cost of $148,000 per person.&#10;"/>
      </w:tblPr>
      <w:tblGrid>
        <w:gridCol w:w="2750"/>
        <w:gridCol w:w="1077"/>
        <w:gridCol w:w="907"/>
        <w:gridCol w:w="855"/>
        <w:gridCol w:w="993"/>
        <w:gridCol w:w="925"/>
        <w:gridCol w:w="892"/>
        <w:gridCol w:w="1077"/>
      </w:tblGrid>
      <w:tr w:rsidR="000C427F" w:rsidRPr="00EC326F" w14:paraId="0D70D488" w14:textId="77777777" w:rsidTr="00EB292D">
        <w:trPr>
          <w:trHeight w:val="1357"/>
          <w:tblHeader/>
        </w:trPr>
        <w:tc>
          <w:tcPr>
            <w:tcW w:w="2750" w:type="dxa"/>
            <w:tcBorders>
              <w:top w:val="single" w:sz="4" w:space="0" w:color="E02628"/>
              <w:left w:val="nil"/>
              <w:bottom w:val="single" w:sz="4" w:space="0" w:color="FFFFFF" w:themeColor="background1"/>
              <w:right w:val="single" w:sz="4" w:space="0" w:color="FFFFFF"/>
            </w:tcBorders>
            <w:shd w:val="clear" w:color="auto" w:fill="E02628"/>
            <w:hideMark/>
          </w:tcPr>
          <w:p w14:paraId="19D7156E" w14:textId="77777777" w:rsidR="000C427F" w:rsidRPr="00EC326F" w:rsidRDefault="000C427F" w:rsidP="00EB292D">
            <w:pPr>
              <w:pStyle w:val="TableColumnHeadingSmall"/>
              <w:rPr>
                <w:snapToGrid/>
                <w:lang w:eastAsia="en-AU"/>
              </w:rPr>
            </w:pPr>
          </w:p>
          <w:p w14:paraId="6B5DE723" w14:textId="77777777" w:rsidR="000C427F" w:rsidRPr="00EC326F" w:rsidRDefault="000C427F" w:rsidP="00EB292D">
            <w:pPr>
              <w:pStyle w:val="TableColumnHeadingSmall"/>
              <w:rPr>
                <w:snapToGrid/>
                <w:lang w:eastAsia="en-AU"/>
              </w:rPr>
            </w:pPr>
            <w:r w:rsidRPr="00EC326F">
              <w:rPr>
                <w:snapToGrid/>
                <w:lang w:eastAsia="en-AU"/>
              </w:rPr>
              <w:t>Population segment</w:t>
            </w:r>
          </w:p>
        </w:tc>
        <w:tc>
          <w:tcPr>
            <w:tcW w:w="1077"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0C79232D" w14:textId="77777777" w:rsidR="000C427F" w:rsidRPr="00EC326F" w:rsidRDefault="000C427F" w:rsidP="00EB292D">
            <w:pPr>
              <w:pStyle w:val="TableColumnHeadingSmall"/>
              <w:rPr>
                <w:rFonts w:cstheme="minorHAnsi"/>
                <w:snapToGrid/>
                <w:color w:val="FFFFFF"/>
                <w:lang w:eastAsia="en-AU"/>
              </w:rPr>
            </w:pPr>
          </w:p>
          <w:p w14:paraId="1E4739C2" w14:textId="77777777" w:rsidR="000C427F" w:rsidRPr="00EC326F" w:rsidRDefault="000C427F" w:rsidP="00EB292D">
            <w:pPr>
              <w:pStyle w:val="TableColumnHeadingSmall"/>
              <w:rPr>
                <w:rFonts w:cstheme="minorHAnsi"/>
                <w:snapToGrid/>
                <w:color w:val="FFFFFF"/>
                <w:lang w:eastAsia="en-AU"/>
              </w:rPr>
            </w:pPr>
            <w:r w:rsidRPr="00EC326F">
              <w:rPr>
                <w:rFonts w:cstheme="minorHAnsi"/>
                <w:snapToGrid/>
                <w:color w:val="FFFFFF"/>
                <w:lang w:eastAsia="en-AU"/>
              </w:rPr>
              <w:t>Number in starting population</w:t>
            </w:r>
          </w:p>
        </w:tc>
        <w:tc>
          <w:tcPr>
            <w:tcW w:w="907"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2D7F9B19" w14:textId="77777777" w:rsidR="000C427F" w:rsidRPr="00EC326F" w:rsidRDefault="000C427F" w:rsidP="001C0BC4">
            <w:pPr>
              <w:pStyle w:val="TableColumnHeadingSmall"/>
              <w:jc w:val="center"/>
              <w:rPr>
                <w:rFonts w:cstheme="minorHAnsi"/>
                <w:snapToGrid/>
                <w:color w:val="FFFFFF"/>
                <w:lang w:eastAsia="en-AU"/>
              </w:rPr>
            </w:pPr>
          </w:p>
          <w:p w14:paraId="136DDCD6" w14:textId="77777777" w:rsidR="000C427F" w:rsidRPr="00EC326F" w:rsidRDefault="000C427F" w:rsidP="001C0BC4">
            <w:pPr>
              <w:pStyle w:val="TableColumnHeadingSmall"/>
              <w:jc w:val="center"/>
              <w:rPr>
                <w:rFonts w:cstheme="minorHAnsi"/>
                <w:snapToGrid/>
                <w:color w:val="FFFFFF"/>
                <w:lang w:eastAsia="en-AU"/>
              </w:rPr>
            </w:pPr>
            <w:r w:rsidRPr="00EC326F">
              <w:rPr>
                <w:rFonts w:cstheme="minorHAnsi"/>
                <w:snapToGrid/>
                <w:color w:val="FFFFFF"/>
                <w:lang w:eastAsia="en-AU"/>
              </w:rPr>
              <w:t>Average age</w:t>
            </w:r>
          </w:p>
        </w:tc>
        <w:tc>
          <w:tcPr>
            <w:tcW w:w="855"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78BDAD8B" w14:textId="77777777" w:rsidR="000C427F" w:rsidRPr="00EC326F" w:rsidRDefault="000C427F" w:rsidP="001C0BC4">
            <w:pPr>
              <w:pStyle w:val="TableColumnHeadingSmall"/>
              <w:jc w:val="center"/>
              <w:rPr>
                <w:rFonts w:cstheme="minorHAnsi"/>
                <w:snapToGrid/>
                <w:color w:val="FFFFFF"/>
                <w:lang w:eastAsia="en-AU"/>
              </w:rPr>
            </w:pPr>
          </w:p>
          <w:p w14:paraId="1FB7A95B" w14:textId="77777777" w:rsidR="000C427F" w:rsidRPr="00EC326F" w:rsidRDefault="008E7403" w:rsidP="001C0BC4">
            <w:pPr>
              <w:pStyle w:val="TableColumnHeadingSmall"/>
              <w:jc w:val="center"/>
              <w:rPr>
                <w:rFonts w:cstheme="minorHAnsi"/>
                <w:snapToGrid/>
                <w:color w:val="FFFFFF"/>
                <w:lang w:eastAsia="en-AU"/>
              </w:rPr>
            </w:pPr>
            <w:r w:rsidRPr="00EC326F">
              <w:rPr>
                <w:rFonts w:cstheme="minorHAnsi"/>
                <w:snapToGrid/>
                <w:color w:val="FFFFFF"/>
                <w:lang w:eastAsia="en-AU"/>
              </w:rPr>
              <w:t xml:space="preserve">Total </w:t>
            </w:r>
            <w:r w:rsidR="00B75977" w:rsidRPr="00EC326F">
              <w:rPr>
                <w:rFonts w:cstheme="minorHAnsi"/>
                <w:snapToGrid/>
                <w:color w:val="FFFFFF"/>
                <w:lang w:eastAsia="en-AU"/>
              </w:rPr>
              <w:t xml:space="preserve">Lifetime cost </w:t>
            </w:r>
            <w:r w:rsidR="00B75977" w:rsidRPr="00EC326F">
              <w:rPr>
                <w:rFonts w:cstheme="minorHAnsi"/>
                <w:snapToGrid/>
                <w:color w:val="FFFFFF"/>
                <w:lang w:eastAsia="en-AU"/>
              </w:rPr>
              <w:br/>
              <w:t>($b</w:t>
            </w:r>
            <w:r w:rsidR="000C427F" w:rsidRPr="00EC326F">
              <w:rPr>
                <w:rFonts w:cstheme="minorHAnsi"/>
                <w:snapToGrid/>
                <w:color w:val="FFFFFF"/>
                <w:lang w:eastAsia="en-AU"/>
              </w:rPr>
              <w:t>n)</w:t>
            </w:r>
          </w:p>
        </w:tc>
        <w:tc>
          <w:tcPr>
            <w:tcW w:w="993"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63E8C546" w14:textId="77777777" w:rsidR="000C427F" w:rsidRPr="00EC326F" w:rsidRDefault="000C427F" w:rsidP="001C0BC4">
            <w:pPr>
              <w:pStyle w:val="TableColumnHeadingSmall"/>
              <w:jc w:val="center"/>
              <w:rPr>
                <w:rFonts w:cstheme="minorHAnsi"/>
                <w:snapToGrid/>
                <w:color w:val="FFFFFF"/>
                <w:lang w:eastAsia="en-AU"/>
              </w:rPr>
            </w:pPr>
          </w:p>
          <w:p w14:paraId="73E4F7A0" w14:textId="77777777" w:rsidR="000C427F" w:rsidRPr="00EC326F" w:rsidRDefault="000C427F" w:rsidP="001C0BC4">
            <w:pPr>
              <w:pStyle w:val="TableColumnHeadingSmall"/>
              <w:jc w:val="center"/>
              <w:rPr>
                <w:rFonts w:cstheme="minorHAnsi"/>
                <w:snapToGrid/>
                <w:color w:val="FFFFFF"/>
                <w:lang w:eastAsia="en-AU"/>
              </w:rPr>
            </w:pPr>
            <w:r w:rsidRPr="00EC326F">
              <w:rPr>
                <w:rFonts w:cstheme="minorHAnsi"/>
                <w:snapToGrid/>
                <w:color w:val="FFFFFF"/>
                <w:lang w:eastAsia="en-AU"/>
              </w:rPr>
              <w:t xml:space="preserve">Average payment in 2015/16 </w:t>
            </w:r>
            <w:r w:rsidRPr="00EC326F">
              <w:rPr>
                <w:rFonts w:cstheme="minorHAnsi"/>
                <w:snapToGrid/>
                <w:color w:val="FFFFFF"/>
                <w:lang w:eastAsia="en-AU"/>
              </w:rPr>
              <w:br/>
              <w:t>(a)</w:t>
            </w:r>
          </w:p>
        </w:tc>
        <w:tc>
          <w:tcPr>
            <w:tcW w:w="925" w:type="dxa"/>
            <w:tcBorders>
              <w:top w:val="single" w:sz="4" w:space="0" w:color="E02628"/>
              <w:left w:val="nil"/>
              <w:bottom w:val="single" w:sz="4" w:space="0" w:color="FFFFFF" w:themeColor="background1"/>
              <w:right w:val="single" w:sz="4" w:space="0" w:color="FFFFFF"/>
            </w:tcBorders>
            <w:shd w:val="clear" w:color="auto" w:fill="E02628"/>
            <w:hideMark/>
          </w:tcPr>
          <w:p w14:paraId="31FCB63A" w14:textId="77777777" w:rsidR="000C427F" w:rsidRPr="00EC326F" w:rsidRDefault="000C427F" w:rsidP="001C0BC4">
            <w:pPr>
              <w:pStyle w:val="TableColumnHeadingSmall"/>
              <w:jc w:val="center"/>
              <w:rPr>
                <w:rFonts w:cstheme="minorHAnsi"/>
                <w:snapToGrid/>
                <w:color w:val="FFFFFF"/>
                <w:lang w:eastAsia="en-AU"/>
              </w:rPr>
            </w:pPr>
          </w:p>
          <w:p w14:paraId="46E7A7B6" w14:textId="77777777" w:rsidR="000C427F" w:rsidRPr="00EC326F" w:rsidRDefault="000C427F" w:rsidP="001C0BC4">
            <w:pPr>
              <w:pStyle w:val="TableColumnHeadingSmall"/>
              <w:jc w:val="center"/>
              <w:rPr>
                <w:rFonts w:cstheme="minorHAnsi"/>
                <w:snapToGrid/>
                <w:color w:val="FFFFFF"/>
                <w:lang w:eastAsia="en-AU"/>
              </w:rPr>
            </w:pPr>
            <w:r w:rsidRPr="00EC326F">
              <w:rPr>
                <w:rFonts w:cstheme="minorHAnsi"/>
                <w:snapToGrid/>
                <w:color w:val="FFFFFF"/>
                <w:lang w:eastAsia="en-AU"/>
              </w:rPr>
              <w:t>Average lifetime cost ($'000) (b)</w:t>
            </w:r>
          </w:p>
        </w:tc>
        <w:tc>
          <w:tcPr>
            <w:tcW w:w="892" w:type="dxa"/>
            <w:tcBorders>
              <w:top w:val="single" w:sz="4" w:space="0" w:color="E02628"/>
              <w:left w:val="single" w:sz="4" w:space="0" w:color="FFFFFF"/>
              <w:bottom w:val="single" w:sz="4" w:space="0" w:color="FFFFFF" w:themeColor="background1"/>
              <w:right w:val="nil"/>
            </w:tcBorders>
            <w:shd w:val="clear" w:color="auto" w:fill="E02628"/>
            <w:hideMark/>
          </w:tcPr>
          <w:p w14:paraId="4019C663" w14:textId="77777777" w:rsidR="000C427F" w:rsidRPr="00EC326F" w:rsidRDefault="000C427F" w:rsidP="001C0BC4">
            <w:pPr>
              <w:pStyle w:val="TableColumnHeadingSmall"/>
              <w:jc w:val="center"/>
              <w:rPr>
                <w:rFonts w:cstheme="minorHAnsi"/>
                <w:snapToGrid/>
                <w:color w:val="FFFFFF"/>
                <w:lang w:eastAsia="en-AU"/>
              </w:rPr>
            </w:pPr>
          </w:p>
          <w:p w14:paraId="37DC9291" w14:textId="77777777" w:rsidR="000C427F" w:rsidRPr="00EC326F" w:rsidRDefault="000C427F" w:rsidP="001C0BC4">
            <w:pPr>
              <w:pStyle w:val="TableColumnHeadingSmall"/>
              <w:jc w:val="center"/>
              <w:rPr>
                <w:rFonts w:cstheme="minorHAnsi"/>
                <w:snapToGrid/>
                <w:color w:val="FFFFFF"/>
                <w:lang w:eastAsia="en-AU"/>
              </w:rPr>
            </w:pPr>
            <w:r w:rsidRPr="00EC326F">
              <w:rPr>
                <w:rFonts w:cstheme="minorHAnsi"/>
                <w:snapToGrid/>
                <w:color w:val="FFFFFF"/>
                <w:lang w:eastAsia="en-AU"/>
              </w:rPr>
              <w:t>Ratio</w:t>
            </w:r>
          </w:p>
          <w:p w14:paraId="23EF8CE9" w14:textId="77777777" w:rsidR="000C427F" w:rsidRPr="00EC326F" w:rsidRDefault="000C427F" w:rsidP="001C0BC4">
            <w:pPr>
              <w:pStyle w:val="TableColumnHeadingSmall"/>
              <w:jc w:val="center"/>
              <w:rPr>
                <w:rFonts w:cstheme="minorHAnsi"/>
                <w:snapToGrid/>
                <w:color w:val="FFFFFF"/>
                <w:lang w:eastAsia="en-AU"/>
              </w:rPr>
            </w:pPr>
            <w:r w:rsidRPr="00EC326F">
              <w:rPr>
                <w:rFonts w:cstheme="minorHAnsi"/>
                <w:snapToGrid/>
                <w:color w:val="FFFFFF"/>
                <w:lang w:eastAsia="en-AU"/>
              </w:rPr>
              <w:t>= (b) / (a)</w:t>
            </w:r>
          </w:p>
        </w:tc>
        <w:tc>
          <w:tcPr>
            <w:tcW w:w="1077" w:type="dxa"/>
            <w:tcBorders>
              <w:top w:val="single" w:sz="4" w:space="0" w:color="E02628"/>
              <w:left w:val="single" w:sz="4" w:space="0" w:color="FFFFFF"/>
              <w:bottom w:val="single" w:sz="4" w:space="0" w:color="FFFFFF" w:themeColor="background1"/>
              <w:right w:val="nil"/>
            </w:tcBorders>
            <w:shd w:val="clear" w:color="auto" w:fill="E02628"/>
          </w:tcPr>
          <w:p w14:paraId="37FD7E04" w14:textId="77777777" w:rsidR="000C427F" w:rsidRPr="00EC326F" w:rsidRDefault="000C427F" w:rsidP="00EB292D">
            <w:pPr>
              <w:pStyle w:val="TableColumnHeadingSmall"/>
              <w:rPr>
                <w:rFonts w:cstheme="minorHAnsi"/>
                <w:snapToGrid/>
                <w:color w:val="FFFFFF"/>
                <w:lang w:eastAsia="en-AU"/>
              </w:rPr>
            </w:pPr>
          </w:p>
          <w:p w14:paraId="12D84236" w14:textId="77777777" w:rsidR="000C427F" w:rsidRPr="00EC326F" w:rsidRDefault="000C427F" w:rsidP="00EB292D">
            <w:pPr>
              <w:pStyle w:val="TableColumnHeadingSmall"/>
              <w:rPr>
                <w:rFonts w:cstheme="minorHAnsi"/>
                <w:snapToGrid/>
                <w:color w:val="FFFFFF"/>
                <w:lang w:eastAsia="en-AU"/>
              </w:rPr>
            </w:pPr>
            <w:r w:rsidRPr="00EC326F">
              <w:rPr>
                <w:rFonts w:cstheme="minorHAnsi"/>
                <w:snapToGrid/>
                <w:color w:val="FFFFFF"/>
                <w:lang w:eastAsia="en-AU"/>
              </w:rPr>
              <w:t>Expected proportion of future lifetime in IS classes</w:t>
            </w:r>
          </w:p>
        </w:tc>
      </w:tr>
      <w:tr w:rsidR="000C427F" w:rsidRPr="00EC326F" w14:paraId="36BC32D9" w14:textId="77777777" w:rsidTr="00EB292D">
        <w:trPr>
          <w:trHeight w:val="227"/>
          <w:tblHeader/>
        </w:trPr>
        <w:tc>
          <w:tcPr>
            <w:tcW w:w="2750" w:type="dxa"/>
            <w:tcBorders>
              <w:top w:val="single" w:sz="4" w:space="0" w:color="FFFFFF" w:themeColor="background1"/>
              <w:left w:val="nil"/>
              <w:bottom w:val="single" w:sz="4" w:space="0" w:color="E02628"/>
              <w:right w:val="nil"/>
            </w:tcBorders>
            <w:shd w:val="clear" w:color="auto" w:fill="E02628"/>
            <w:noWrap/>
            <w:vAlign w:val="center"/>
            <w:hideMark/>
          </w:tcPr>
          <w:p w14:paraId="3C9620C0" w14:textId="77777777" w:rsidR="000C427F" w:rsidRPr="00EC326F" w:rsidRDefault="000C427F" w:rsidP="00EB292D">
            <w:pPr>
              <w:pStyle w:val="TableColumnHeadingSmall"/>
              <w:rPr>
                <w:rFonts w:cstheme="minorHAnsi"/>
                <w:snapToGrid/>
                <w:lang w:eastAsia="en-AU"/>
              </w:rPr>
            </w:pPr>
            <w:r w:rsidRPr="00EC326F">
              <w:rPr>
                <w:rFonts w:cstheme="minorHAnsi"/>
                <w:snapToGrid/>
                <w:lang w:eastAsia="en-AU"/>
              </w:rPr>
              <w:t>Current welfare recipients</w:t>
            </w:r>
          </w:p>
        </w:tc>
        <w:tc>
          <w:tcPr>
            <w:tcW w:w="1077" w:type="dxa"/>
            <w:tcBorders>
              <w:top w:val="single" w:sz="4" w:space="0" w:color="FFFFFF" w:themeColor="background1"/>
              <w:left w:val="nil"/>
              <w:bottom w:val="single" w:sz="4" w:space="0" w:color="E02628"/>
              <w:right w:val="nil"/>
            </w:tcBorders>
            <w:shd w:val="clear" w:color="auto" w:fill="E02628"/>
            <w:noWrap/>
            <w:vAlign w:val="center"/>
            <w:hideMark/>
          </w:tcPr>
          <w:p w14:paraId="66733A31" w14:textId="77777777" w:rsidR="000C427F" w:rsidRPr="00EC326F" w:rsidRDefault="000C427F" w:rsidP="00EB292D">
            <w:pPr>
              <w:pStyle w:val="TableColumnHeadingSmall"/>
              <w:rPr>
                <w:rFonts w:cstheme="minorHAnsi"/>
                <w:snapToGrid/>
                <w:lang w:eastAsia="en-AU"/>
              </w:rPr>
            </w:pPr>
            <w:r w:rsidRPr="00EC326F">
              <w:rPr>
                <w:rFonts w:cstheme="minorHAnsi"/>
                <w:snapToGrid/>
                <w:lang w:eastAsia="en-AU"/>
              </w:rPr>
              <w:t> </w:t>
            </w:r>
          </w:p>
        </w:tc>
        <w:tc>
          <w:tcPr>
            <w:tcW w:w="907" w:type="dxa"/>
            <w:tcBorders>
              <w:top w:val="single" w:sz="4" w:space="0" w:color="FFFFFF" w:themeColor="background1"/>
              <w:left w:val="nil"/>
              <w:bottom w:val="single" w:sz="4" w:space="0" w:color="E02628"/>
              <w:right w:val="nil"/>
            </w:tcBorders>
            <w:shd w:val="clear" w:color="auto" w:fill="E02628"/>
            <w:noWrap/>
            <w:vAlign w:val="center"/>
            <w:hideMark/>
          </w:tcPr>
          <w:p w14:paraId="6D8C5ED6" w14:textId="77777777" w:rsidR="000C427F" w:rsidRPr="00EC326F" w:rsidRDefault="000C427F" w:rsidP="00EB292D">
            <w:pPr>
              <w:pStyle w:val="TableColumnHeadingSmall"/>
              <w:rPr>
                <w:rFonts w:cstheme="minorHAnsi"/>
                <w:snapToGrid/>
                <w:lang w:eastAsia="en-AU"/>
              </w:rPr>
            </w:pPr>
            <w:r w:rsidRPr="00EC326F">
              <w:rPr>
                <w:rFonts w:cstheme="minorHAnsi"/>
                <w:snapToGrid/>
                <w:lang w:eastAsia="en-AU"/>
              </w:rPr>
              <w:t> </w:t>
            </w:r>
          </w:p>
        </w:tc>
        <w:tc>
          <w:tcPr>
            <w:tcW w:w="855" w:type="dxa"/>
            <w:tcBorders>
              <w:top w:val="single" w:sz="4" w:space="0" w:color="FFFFFF" w:themeColor="background1"/>
              <w:left w:val="nil"/>
              <w:bottom w:val="single" w:sz="4" w:space="0" w:color="E02628"/>
              <w:right w:val="nil"/>
            </w:tcBorders>
            <w:shd w:val="clear" w:color="auto" w:fill="E02628"/>
            <w:noWrap/>
            <w:vAlign w:val="center"/>
            <w:hideMark/>
          </w:tcPr>
          <w:p w14:paraId="3D1F2D4E" w14:textId="77777777" w:rsidR="000C427F" w:rsidRPr="00EC326F" w:rsidRDefault="000C427F" w:rsidP="00EB292D">
            <w:pPr>
              <w:pStyle w:val="TableColumnHeadingSmall"/>
              <w:rPr>
                <w:rFonts w:cstheme="minorHAnsi"/>
                <w:snapToGrid/>
                <w:lang w:eastAsia="en-AU"/>
              </w:rPr>
            </w:pPr>
            <w:r w:rsidRPr="00EC326F">
              <w:rPr>
                <w:rFonts w:cstheme="minorHAnsi"/>
                <w:snapToGrid/>
                <w:lang w:eastAsia="en-AU"/>
              </w:rPr>
              <w:t> </w:t>
            </w:r>
          </w:p>
        </w:tc>
        <w:tc>
          <w:tcPr>
            <w:tcW w:w="993" w:type="dxa"/>
            <w:tcBorders>
              <w:top w:val="single" w:sz="4" w:space="0" w:color="FFFFFF" w:themeColor="background1"/>
              <w:left w:val="nil"/>
              <w:bottom w:val="single" w:sz="4" w:space="0" w:color="E02628"/>
              <w:right w:val="nil"/>
            </w:tcBorders>
            <w:shd w:val="clear" w:color="auto" w:fill="E02628"/>
            <w:noWrap/>
            <w:vAlign w:val="center"/>
            <w:hideMark/>
          </w:tcPr>
          <w:p w14:paraId="7019E306" w14:textId="77777777" w:rsidR="000C427F" w:rsidRPr="00EC326F" w:rsidRDefault="000C427F" w:rsidP="00EB292D">
            <w:pPr>
              <w:pStyle w:val="TableColumnHeadingSmall"/>
              <w:rPr>
                <w:rFonts w:cstheme="minorHAnsi"/>
                <w:snapToGrid/>
                <w:lang w:eastAsia="en-AU"/>
              </w:rPr>
            </w:pPr>
          </w:p>
        </w:tc>
        <w:tc>
          <w:tcPr>
            <w:tcW w:w="925" w:type="dxa"/>
            <w:tcBorders>
              <w:top w:val="single" w:sz="4" w:space="0" w:color="FFFFFF" w:themeColor="background1"/>
              <w:left w:val="nil"/>
              <w:bottom w:val="single" w:sz="4" w:space="0" w:color="E02628"/>
              <w:right w:val="nil"/>
            </w:tcBorders>
            <w:shd w:val="clear" w:color="auto" w:fill="E02628"/>
            <w:noWrap/>
            <w:vAlign w:val="center"/>
            <w:hideMark/>
          </w:tcPr>
          <w:p w14:paraId="2C274748" w14:textId="77777777" w:rsidR="000C427F" w:rsidRPr="00EC326F" w:rsidRDefault="000C427F" w:rsidP="00EB292D">
            <w:pPr>
              <w:pStyle w:val="TableColumnHeadingSmall"/>
              <w:rPr>
                <w:rFonts w:cstheme="minorHAnsi"/>
                <w:snapToGrid/>
                <w:lang w:eastAsia="en-AU"/>
              </w:rPr>
            </w:pPr>
            <w:r w:rsidRPr="00EC326F">
              <w:rPr>
                <w:rFonts w:cstheme="minorHAnsi"/>
                <w:snapToGrid/>
                <w:lang w:eastAsia="en-AU"/>
              </w:rPr>
              <w:t> </w:t>
            </w:r>
          </w:p>
        </w:tc>
        <w:tc>
          <w:tcPr>
            <w:tcW w:w="892" w:type="dxa"/>
            <w:tcBorders>
              <w:top w:val="single" w:sz="4" w:space="0" w:color="FFFFFF" w:themeColor="background1"/>
              <w:left w:val="nil"/>
              <w:bottom w:val="single" w:sz="4" w:space="0" w:color="E02628"/>
              <w:right w:val="nil"/>
            </w:tcBorders>
            <w:shd w:val="clear" w:color="auto" w:fill="E02628"/>
            <w:noWrap/>
            <w:vAlign w:val="center"/>
            <w:hideMark/>
          </w:tcPr>
          <w:p w14:paraId="79E6506C" w14:textId="77777777" w:rsidR="000C427F" w:rsidRPr="00EC326F" w:rsidRDefault="000C427F" w:rsidP="00EB292D">
            <w:pPr>
              <w:pStyle w:val="TableColumnHeadingSmall"/>
              <w:rPr>
                <w:rFonts w:cstheme="minorHAnsi"/>
                <w:snapToGrid/>
                <w:lang w:eastAsia="en-AU"/>
              </w:rPr>
            </w:pPr>
            <w:r w:rsidRPr="00EC326F">
              <w:rPr>
                <w:rFonts w:cstheme="minorHAnsi"/>
                <w:snapToGrid/>
                <w:lang w:eastAsia="en-AU"/>
              </w:rPr>
              <w:t> </w:t>
            </w:r>
          </w:p>
        </w:tc>
        <w:tc>
          <w:tcPr>
            <w:tcW w:w="1077" w:type="dxa"/>
            <w:tcBorders>
              <w:top w:val="single" w:sz="4" w:space="0" w:color="FFFFFF" w:themeColor="background1"/>
              <w:left w:val="nil"/>
              <w:bottom w:val="single" w:sz="4" w:space="0" w:color="E02628"/>
              <w:right w:val="nil"/>
            </w:tcBorders>
            <w:shd w:val="clear" w:color="auto" w:fill="E02628"/>
          </w:tcPr>
          <w:p w14:paraId="13A83314" w14:textId="77777777" w:rsidR="000C427F" w:rsidRPr="00EC326F" w:rsidRDefault="000C427F" w:rsidP="00EB292D">
            <w:pPr>
              <w:pStyle w:val="TableColumnHeadingSmall"/>
              <w:rPr>
                <w:rFonts w:cstheme="minorHAnsi"/>
                <w:snapToGrid/>
                <w:lang w:eastAsia="en-AU"/>
              </w:rPr>
            </w:pPr>
          </w:p>
        </w:tc>
      </w:tr>
      <w:tr w:rsidR="00B26157" w:rsidRPr="00EC326F" w14:paraId="2276DDC6"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6CF78B97" w14:textId="77777777" w:rsidR="00B26157" w:rsidRPr="00EC326F" w:rsidRDefault="00B26157" w:rsidP="00B26157">
            <w:pPr>
              <w:pStyle w:val="TableTextSmall"/>
              <w:rPr>
                <w:snapToGrid/>
                <w:lang w:eastAsia="en-AU"/>
              </w:rPr>
            </w:pPr>
            <w:r w:rsidRPr="00EC326F">
              <w:rPr>
                <w:snapToGrid/>
                <w:lang w:eastAsia="en-AU"/>
              </w:rPr>
              <w:t>- Studying payment recipients</w:t>
            </w:r>
          </w:p>
        </w:tc>
        <w:tc>
          <w:tcPr>
            <w:tcW w:w="1077" w:type="dxa"/>
            <w:tcBorders>
              <w:top w:val="single" w:sz="4" w:space="0" w:color="E02628"/>
              <w:left w:val="nil"/>
              <w:bottom w:val="single" w:sz="4" w:space="0" w:color="E02628"/>
              <w:right w:val="nil"/>
            </w:tcBorders>
            <w:shd w:val="clear" w:color="000000" w:fill="FFFFFF"/>
            <w:noWrap/>
            <w:vAlign w:val="center"/>
            <w:hideMark/>
          </w:tcPr>
          <w:p w14:paraId="6FB31B1C" w14:textId="00BA2FBC"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390,207</w:t>
            </w:r>
          </w:p>
        </w:tc>
        <w:tc>
          <w:tcPr>
            <w:tcW w:w="907" w:type="dxa"/>
            <w:tcBorders>
              <w:top w:val="single" w:sz="4" w:space="0" w:color="E02628"/>
              <w:left w:val="nil"/>
              <w:bottom w:val="single" w:sz="4" w:space="0" w:color="E02628"/>
              <w:right w:val="nil"/>
            </w:tcBorders>
            <w:shd w:val="clear" w:color="000000" w:fill="FFFFFF"/>
            <w:noWrap/>
            <w:vAlign w:val="center"/>
            <w:hideMark/>
          </w:tcPr>
          <w:p w14:paraId="4523F9BB" w14:textId="22EB1D00"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24</w:t>
            </w:r>
          </w:p>
        </w:tc>
        <w:tc>
          <w:tcPr>
            <w:tcW w:w="855" w:type="dxa"/>
            <w:tcBorders>
              <w:top w:val="single" w:sz="4" w:space="0" w:color="E02628"/>
              <w:left w:val="nil"/>
              <w:bottom w:val="single" w:sz="4" w:space="0" w:color="E02628"/>
              <w:right w:val="nil"/>
            </w:tcBorders>
            <w:shd w:val="clear" w:color="000000" w:fill="FFFFFF"/>
            <w:noWrap/>
            <w:vAlign w:val="center"/>
            <w:hideMark/>
          </w:tcPr>
          <w:p w14:paraId="10305ED1" w14:textId="76127F3D"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82</w:t>
            </w:r>
          </w:p>
        </w:tc>
        <w:tc>
          <w:tcPr>
            <w:tcW w:w="993" w:type="dxa"/>
            <w:tcBorders>
              <w:top w:val="single" w:sz="4" w:space="0" w:color="E02628"/>
              <w:left w:val="nil"/>
              <w:bottom w:val="single" w:sz="4" w:space="0" w:color="E02628"/>
              <w:right w:val="nil"/>
            </w:tcBorders>
            <w:shd w:val="clear" w:color="000000" w:fill="FFFFFF"/>
            <w:noWrap/>
            <w:vAlign w:val="center"/>
            <w:hideMark/>
          </w:tcPr>
          <w:p w14:paraId="2AB23046" w14:textId="550DA75D"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8,600</w:t>
            </w:r>
          </w:p>
        </w:tc>
        <w:tc>
          <w:tcPr>
            <w:tcW w:w="925" w:type="dxa"/>
            <w:tcBorders>
              <w:top w:val="single" w:sz="4" w:space="0" w:color="E02628"/>
              <w:left w:val="nil"/>
              <w:bottom w:val="single" w:sz="4" w:space="0" w:color="E02628"/>
              <w:right w:val="nil"/>
            </w:tcBorders>
            <w:shd w:val="clear" w:color="000000" w:fill="FFFFFF"/>
            <w:noWrap/>
            <w:vAlign w:val="center"/>
            <w:hideMark/>
          </w:tcPr>
          <w:p w14:paraId="10F2B7B0" w14:textId="66AFA225"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210</w:t>
            </w:r>
          </w:p>
        </w:tc>
        <w:tc>
          <w:tcPr>
            <w:tcW w:w="892" w:type="dxa"/>
            <w:tcBorders>
              <w:top w:val="single" w:sz="4" w:space="0" w:color="E02628"/>
              <w:left w:val="nil"/>
              <w:bottom w:val="single" w:sz="4" w:space="0" w:color="E02628"/>
              <w:right w:val="nil"/>
            </w:tcBorders>
            <w:shd w:val="clear" w:color="000000" w:fill="FFFFFF"/>
            <w:noWrap/>
            <w:vAlign w:val="center"/>
            <w:hideMark/>
          </w:tcPr>
          <w:p w14:paraId="4A7D8EA3" w14:textId="54A91A4D"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24</w:t>
            </w:r>
          </w:p>
        </w:tc>
        <w:tc>
          <w:tcPr>
            <w:tcW w:w="1077" w:type="dxa"/>
            <w:tcBorders>
              <w:top w:val="single" w:sz="4" w:space="0" w:color="E02628"/>
              <w:left w:val="nil"/>
              <w:bottom w:val="single" w:sz="4" w:space="0" w:color="E02628"/>
              <w:right w:val="nil"/>
            </w:tcBorders>
            <w:shd w:val="clear" w:color="000000" w:fill="FFFFFF"/>
            <w:vAlign w:val="center"/>
          </w:tcPr>
          <w:p w14:paraId="4DD5E9CB" w14:textId="4A048EF9"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41%</w:t>
            </w:r>
          </w:p>
        </w:tc>
      </w:tr>
      <w:tr w:rsidR="00B26157" w:rsidRPr="00EC326F" w14:paraId="5CFE9D87"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4526C447" w14:textId="77777777" w:rsidR="00B26157" w:rsidRPr="00EC326F" w:rsidRDefault="00B26157" w:rsidP="00B26157">
            <w:pPr>
              <w:pStyle w:val="TableTextSmall"/>
              <w:rPr>
                <w:snapToGrid/>
                <w:lang w:eastAsia="en-AU"/>
              </w:rPr>
            </w:pPr>
            <w:r w:rsidRPr="00EC326F">
              <w:rPr>
                <w:snapToGrid/>
                <w:lang w:eastAsia="en-AU"/>
              </w:rPr>
              <w:t>- Working age payment recipients</w:t>
            </w:r>
          </w:p>
        </w:tc>
        <w:tc>
          <w:tcPr>
            <w:tcW w:w="1077" w:type="dxa"/>
            <w:tcBorders>
              <w:top w:val="single" w:sz="4" w:space="0" w:color="E02628"/>
              <w:left w:val="nil"/>
              <w:bottom w:val="single" w:sz="4" w:space="0" w:color="E02628"/>
              <w:right w:val="nil"/>
            </w:tcBorders>
            <w:shd w:val="clear" w:color="000000" w:fill="FFFFFF"/>
            <w:noWrap/>
            <w:vAlign w:val="center"/>
            <w:hideMark/>
          </w:tcPr>
          <w:p w14:paraId="7B44BF57" w14:textId="5CC2E096"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1,317,538</w:t>
            </w:r>
          </w:p>
        </w:tc>
        <w:tc>
          <w:tcPr>
            <w:tcW w:w="907" w:type="dxa"/>
            <w:tcBorders>
              <w:top w:val="single" w:sz="4" w:space="0" w:color="E02628"/>
              <w:left w:val="nil"/>
              <w:bottom w:val="single" w:sz="4" w:space="0" w:color="E02628"/>
              <w:right w:val="nil"/>
            </w:tcBorders>
            <w:shd w:val="clear" w:color="000000" w:fill="FFFFFF"/>
            <w:noWrap/>
            <w:vAlign w:val="center"/>
            <w:hideMark/>
          </w:tcPr>
          <w:p w14:paraId="176D6DDC" w14:textId="0E637D88"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39</w:t>
            </w:r>
          </w:p>
        </w:tc>
        <w:tc>
          <w:tcPr>
            <w:tcW w:w="855" w:type="dxa"/>
            <w:tcBorders>
              <w:top w:val="single" w:sz="4" w:space="0" w:color="E02628"/>
              <w:left w:val="nil"/>
              <w:bottom w:val="single" w:sz="4" w:space="0" w:color="E02628"/>
              <w:right w:val="nil"/>
            </w:tcBorders>
            <w:shd w:val="clear" w:color="000000" w:fill="FFFFFF"/>
            <w:noWrap/>
            <w:vAlign w:val="center"/>
            <w:hideMark/>
          </w:tcPr>
          <w:p w14:paraId="5C1C5122" w14:textId="61409C65"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401</w:t>
            </w:r>
          </w:p>
        </w:tc>
        <w:tc>
          <w:tcPr>
            <w:tcW w:w="993" w:type="dxa"/>
            <w:tcBorders>
              <w:top w:val="single" w:sz="4" w:space="0" w:color="E02628"/>
              <w:left w:val="nil"/>
              <w:bottom w:val="single" w:sz="4" w:space="0" w:color="E02628"/>
              <w:right w:val="nil"/>
            </w:tcBorders>
            <w:shd w:val="clear" w:color="000000" w:fill="FFFFFF"/>
            <w:noWrap/>
            <w:vAlign w:val="center"/>
            <w:hideMark/>
          </w:tcPr>
          <w:p w14:paraId="456178BE" w14:textId="0E947B57"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11,300</w:t>
            </w:r>
          </w:p>
        </w:tc>
        <w:tc>
          <w:tcPr>
            <w:tcW w:w="925" w:type="dxa"/>
            <w:tcBorders>
              <w:top w:val="single" w:sz="4" w:space="0" w:color="E02628"/>
              <w:left w:val="nil"/>
              <w:bottom w:val="single" w:sz="4" w:space="0" w:color="E02628"/>
              <w:right w:val="nil"/>
            </w:tcBorders>
            <w:shd w:val="clear" w:color="000000" w:fill="FFFFFF"/>
            <w:noWrap/>
            <w:vAlign w:val="center"/>
            <w:hideMark/>
          </w:tcPr>
          <w:p w14:paraId="4761E05F" w14:textId="1D0625DA"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304</w:t>
            </w:r>
          </w:p>
        </w:tc>
        <w:tc>
          <w:tcPr>
            <w:tcW w:w="892" w:type="dxa"/>
            <w:tcBorders>
              <w:top w:val="single" w:sz="4" w:space="0" w:color="E02628"/>
              <w:left w:val="nil"/>
              <w:bottom w:val="single" w:sz="4" w:space="0" w:color="E02628"/>
              <w:right w:val="nil"/>
            </w:tcBorders>
            <w:shd w:val="clear" w:color="000000" w:fill="FFFFFF"/>
            <w:noWrap/>
            <w:vAlign w:val="center"/>
            <w:hideMark/>
          </w:tcPr>
          <w:p w14:paraId="10E98411" w14:textId="297114D7"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27</w:t>
            </w:r>
          </w:p>
        </w:tc>
        <w:tc>
          <w:tcPr>
            <w:tcW w:w="1077" w:type="dxa"/>
            <w:tcBorders>
              <w:top w:val="single" w:sz="4" w:space="0" w:color="E02628"/>
              <w:left w:val="nil"/>
              <w:bottom w:val="single" w:sz="4" w:space="0" w:color="E02628"/>
              <w:right w:val="nil"/>
            </w:tcBorders>
            <w:shd w:val="clear" w:color="000000" w:fill="FFFFFF"/>
            <w:vAlign w:val="center"/>
          </w:tcPr>
          <w:p w14:paraId="697C34B3" w14:textId="1BE53F20"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61%</w:t>
            </w:r>
          </w:p>
        </w:tc>
      </w:tr>
      <w:tr w:rsidR="00B26157" w:rsidRPr="00EC326F" w14:paraId="190A92C5"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2EEE3077" w14:textId="77777777" w:rsidR="00B26157" w:rsidRPr="00EC326F" w:rsidRDefault="00B26157" w:rsidP="00B26157">
            <w:pPr>
              <w:pStyle w:val="TableTextSmall"/>
              <w:rPr>
                <w:snapToGrid/>
                <w:lang w:eastAsia="en-AU"/>
              </w:rPr>
            </w:pPr>
            <w:r w:rsidRPr="00EC326F">
              <w:rPr>
                <w:snapToGrid/>
                <w:lang w:eastAsia="en-AU"/>
              </w:rPr>
              <w:t>- Parenting payment recipients</w:t>
            </w:r>
          </w:p>
        </w:tc>
        <w:tc>
          <w:tcPr>
            <w:tcW w:w="1077" w:type="dxa"/>
            <w:tcBorders>
              <w:top w:val="single" w:sz="4" w:space="0" w:color="E02628"/>
              <w:left w:val="nil"/>
              <w:bottom w:val="single" w:sz="4" w:space="0" w:color="E02628"/>
              <w:right w:val="nil"/>
            </w:tcBorders>
            <w:shd w:val="clear" w:color="000000" w:fill="FFFFFF"/>
            <w:noWrap/>
            <w:vAlign w:val="center"/>
            <w:hideMark/>
          </w:tcPr>
          <w:p w14:paraId="02C618B4" w14:textId="313A4BF2"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436,585</w:t>
            </w:r>
          </w:p>
        </w:tc>
        <w:tc>
          <w:tcPr>
            <w:tcW w:w="907" w:type="dxa"/>
            <w:tcBorders>
              <w:top w:val="single" w:sz="4" w:space="0" w:color="E02628"/>
              <w:left w:val="nil"/>
              <w:bottom w:val="single" w:sz="4" w:space="0" w:color="E02628"/>
              <w:right w:val="nil"/>
            </w:tcBorders>
            <w:shd w:val="clear" w:color="000000" w:fill="FFFFFF"/>
            <w:noWrap/>
            <w:vAlign w:val="center"/>
            <w:hideMark/>
          </w:tcPr>
          <w:p w14:paraId="04AE7235" w14:textId="2CA182B0"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33</w:t>
            </w:r>
          </w:p>
        </w:tc>
        <w:tc>
          <w:tcPr>
            <w:tcW w:w="855" w:type="dxa"/>
            <w:tcBorders>
              <w:top w:val="single" w:sz="4" w:space="0" w:color="E02628"/>
              <w:left w:val="nil"/>
              <w:bottom w:val="single" w:sz="4" w:space="0" w:color="E02628"/>
              <w:right w:val="nil"/>
            </w:tcBorders>
            <w:shd w:val="clear" w:color="000000" w:fill="FFFFFF"/>
            <w:noWrap/>
            <w:vAlign w:val="center"/>
            <w:hideMark/>
          </w:tcPr>
          <w:p w14:paraId="3360134E" w14:textId="0BCCC2F7"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207</w:t>
            </w:r>
          </w:p>
        </w:tc>
        <w:tc>
          <w:tcPr>
            <w:tcW w:w="993" w:type="dxa"/>
            <w:tcBorders>
              <w:top w:val="single" w:sz="4" w:space="0" w:color="E02628"/>
              <w:left w:val="nil"/>
              <w:bottom w:val="single" w:sz="4" w:space="0" w:color="E02628"/>
              <w:right w:val="nil"/>
            </w:tcBorders>
            <w:shd w:val="clear" w:color="000000" w:fill="FFFFFF"/>
            <w:noWrap/>
            <w:vAlign w:val="center"/>
            <w:hideMark/>
          </w:tcPr>
          <w:p w14:paraId="07D15CB7" w14:textId="0D2F4EB1"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29,700</w:t>
            </w:r>
          </w:p>
        </w:tc>
        <w:tc>
          <w:tcPr>
            <w:tcW w:w="925" w:type="dxa"/>
            <w:tcBorders>
              <w:top w:val="single" w:sz="4" w:space="0" w:color="E02628"/>
              <w:left w:val="nil"/>
              <w:bottom w:val="single" w:sz="4" w:space="0" w:color="E02628"/>
              <w:right w:val="nil"/>
            </w:tcBorders>
            <w:shd w:val="clear" w:color="000000" w:fill="FFFFFF"/>
            <w:noWrap/>
            <w:vAlign w:val="center"/>
            <w:hideMark/>
          </w:tcPr>
          <w:p w14:paraId="05DE845B" w14:textId="45CB1DBF"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475</w:t>
            </w:r>
          </w:p>
        </w:tc>
        <w:tc>
          <w:tcPr>
            <w:tcW w:w="892" w:type="dxa"/>
            <w:tcBorders>
              <w:top w:val="single" w:sz="4" w:space="0" w:color="E02628"/>
              <w:left w:val="nil"/>
              <w:bottom w:val="single" w:sz="4" w:space="0" w:color="E02628"/>
              <w:right w:val="nil"/>
            </w:tcBorders>
            <w:shd w:val="clear" w:color="000000" w:fill="FFFFFF"/>
            <w:noWrap/>
            <w:vAlign w:val="center"/>
            <w:hideMark/>
          </w:tcPr>
          <w:p w14:paraId="448844CD" w14:textId="053E79E7"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16</w:t>
            </w:r>
          </w:p>
        </w:tc>
        <w:tc>
          <w:tcPr>
            <w:tcW w:w="1077" w:type="dxa"/>
            <w:tcBorders>
              <w:top w:val="single" w:sz="4" w:space="0" w:color="E02628"/>
              <w:left w:val="nil"/>
              <w:bottom w:val="single" w:sz="4" w:space="0" w:color="E02628"/>
              <w:right w:val="nil"/>
            </w:tcBorders>
            <w:shd w:val="clear" w:color="000000" w:fill="FFFFFF"/>
            <w:vAlign w:val="center"/>
          </w:tcPr>
          <w:p w14:paraId="3AC45556" w14:textId="038C7B33"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64%</w:t>
            </w:r>
          </w:p>
        </w:tc>
      </w:tr>
      <w:tr w:rsidR="00B26157" w:rsidRPr="00EC326F" w14:paraId="73B84BED"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45AD50D4" w14:textId="77777777" w:rsidR="00B26157" w:rsidRPr="00EC326F" w:rsidRDefault="00B26157" w:rsidP="00B26157">
            <w:pPr>
              <w:pStyle w:val="TableTextSmall"/>
              <w:rPr>
                <w:snapToGrid/>
                <w:lang w:eastAsia="en-AU"/>
              </w:rPr>
            </w:pPr>
            <w:r w:rsidRPr="00EC326F">
              <w:rPr>
                <w:snapToGrid/>
                <w:lang w:eastAsia="en-AU"/>
              </w:rPr>
              <w:t>- Carer payment recipients</w:t>
            </w:r>
          </w:p>
        </w:tc>
        <w:tc>
          <w:tcPr>
            <w:tcW w:w="1077" w:type="dxa"/>
            <w:tcBorders>
              <w:top w:val="single" w:sz="4" w:space="0" w:color="E02628"/>
              <w:left w:val="nil"/>
              <w:bottom w:val="single" w:sz="4" w:space="0" w:color="E02628"/>
              <w:right w:val="nil"/>
            </w:tcBorders>
            <w:shd w:val="clear" w:color="000000" w:fill="FFFFFF"/>
            <w:noWrap/>
            <w:vAlign w:val="center"/>
            <w:hideMark/>
          </w:tcPr>
          <w:p w14:paraId="2502B6E0" w14:textId="39635CA4"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271,541</w:t>
            </w:r>
          </w:p>
        </w:tc>
        <w:tc>
          <w:tcPr>
            <w:tcW w:w="907" w:type="dxa"/>
            <w:tcBorders>
              <w:top w:val="single" w:sz="4" w:space="0" w:color="E02628"/>
              <w:left w:val="nil"/>
              <w:bottom w:val="single" w:sz="4" w:space="0" w:color="E02628"/>
              <w:right w:val="nil"/>
            </w:tcBorders>
            <w:shd w:val="clear" w:color="000000" w:fill="FFFFFF"/>
            <w:noWrap/>
            <w:vAlign w:val="center"/>
            <w:hideMark/>
          </w:tcPr>
          <w:p w14:paraId="742E6B64" w14:textId="154E1E7A"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51</w:t>
            </w:r>
          </w:p>
        </w:tc>
        <w:tc>
          <w:tcPr>
            <w:tcW w:w="855" w:type="dxa"/>
            <w:tcBorders>
              <w:top w:val="single" w:sz="4" w:space="0" w:color="E02628"/>
              <w:left w:val="nil"/>
              <w:bottom w:val="single" w:sz="4" w:space="0" w:color="E02628"/>
              <w:right w:val="nil"/>
            </w:tcBorders>
            <w:shd w:val="clear" w:color="000000" w:fill="FFFFFF"/>
            <w:noWrap/>
            <w:vAlign w:val="center"/>
            <w:hideMark/>
          </w:tcPr>
          <w:p w14:paraId="33DAC820" w14:textId="56106D74"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119</w:t>
            </w:r>
          </w:p>
        </w:tc>
        <w:tc>
          <w:tcPr>
            <w:tcW w:w="993" w:type="dxa"/>
            <w:tcBorders>
              <w:top w:val="single" w:sz="4" w:space="0" w:color="E02628"/>
              <w:left w:val="nil"/>
              <w:bottom w:val="single" w:sz="4" w:space="0" w:color="E02628"/>
              <w:right w:val="nil"/>
            </w:tcBorders>
            <w:shd w:val="clear" w:color="000000" w:fill="FFFFFF"/>
            <w:noWrap/>
            <w:vAlign w:val="center"/>
            <w:hideMark/>
          </w:tcPr>
          <w:p w14:paraId="6B3C4392" w14:textId="7B4550B6"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26,800</w:t>
            </w:r>
          </w:p>
        </w:tc>
        <w:tc>
          <w:tcPr>
            <w:tcW w:w="925" w:type="dxa"/>
            <w:tcBorders>
              <w:top w:val="single" w:sz="4" w:space="0" w:color="E02628"/>
              <w:left w:val="nil"/>
              <w:bottom w:val="single" w:sz="4" w:space="0" w:color="E02628"/>
              <w:right w:val="nil"/>
            </w:tcBorders>
            <w:shd w:val="clear" w:color="000000" w:fill="FFFFFF"/>
            <w:noWrap/>
            <w:vAlign w:val="center"/>
            <w:hideMark/>
          </w:tcPr>
          <w:p w14:paraId="01F930FA" w14:textId="1678321C"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438</w:t>
            </w:r>
          </w:p>
        </w:tc>
        <w:tc>
          <w:tcPr>
            <w:tcW w:w="892" w:type="dxa"/>
            <w:tcBorders>
              <w:top w:val="single" w:sz="4" w:space="0" w:color="E02628"/>
              <w:left w:val="nil"/>
              <w:bottom w:val="single" w:sz="4" w:space="0" w:color="E02628"/>
              <w:right w:val="nil"/>
            </w:tcBorders>
            <w:shd w:val="clear" w:color="000000" w:fill="FFFFFF"/>
            <w:noWrap/>
            <w:vAlign w:val="center"/>
            <w:hideMark/>
          </w:tcPr>
          <w:p w14:paraId="4FD8A0E4" w14:textId="24E5DE92"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16</w:t>
            </w:r>
          </w:p>
        </w:tc>
        <w:tc>
          <w:tcPr>
            <w:tcW w:w="1077" w:type="dxa"/>
            <w:tcBorders>
              <w:top w:val="single" w:sz="4" w:space="0" w:color="E02628"/>
              <w:left w:val="nil"/>
              <w:bottom w:val="single" w:sz="4" w:space="0" w:color="E02628"/>
              <w:right w:val="nil"/>
            </w:tcBorders>
            <w:shd w:val="clear" w:color="000000" w:fill="FFFFFF"/>
            <w:vAlign w:val="center"/>
          </w:tcPr>
          <w:p w14:paraId="44A11BE7" w14:textId="68854610"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85%</w:t>
            </w:r>
          </w:p>
        </w:tc>
      </w:tr>
      <w:tr w:rsidR="00B26157" w:rsidRPr="00EC326F" w14:paraId="5D68F00A"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0045A93B" w14:textId="77777777" w:rsidR="00B26157" w:rsidRPr="00EC326F" w:rsidRDefault="00B26157" w:rsidP="00B26157">
            <w:pPr>
              <w:pStyle w:val="TableTextSmall"/>
              <w:rPr>
                <w:snapToGrid/>
                <w:lang w:eastAsia="en-AU"/>
              </w:rPr>
            </w:pPr>
            <w:r w:rsidRPr="00EC326F">
              <w:rPr>
                <w:snapToGrid/>
                <w:lang w:eastAsia="en-AU"/>
              </w:rPr>
              <w:t>- Disability support pensioners</w:t>
            </w:r>
          </w:p>
        </w:tc>
        <w:tc>
          <w:tcPr>
            <w:tcW w:w="1077" w:type="dxa"/>
            <w:tcBorders>
              <w:top w:val="single" w:sz="4" w:space="0" w:color="E02628"/>
              <w:left w:val="nil"/>
              <w:bottom w:val="single" w:sz="4" w:space="0" w:color="E02628"/>
              <w:right w:val="nil"/>
            </w:tcBorders>
            <w:shd w:val="clear" w:color="000000" w:fill="FFFFFF"/>
            <w:noWrap/>
            <w:vAlign w:val="center"/>
            <w:hideMark/>
          </w:tcPr>
          <w:p w14:paraId="0B79DFBA" w14:textId="647AF8E5"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781,816</w:t>
            </w:r>
          </w:p>
        </w:tc>
        <w:tc>
          <w:tcPr>
            <w:tcW w:w="907" w:type="dxa"/>
            <w:tcBorders>
              <w:top w:val="single" w:sz="4" w:space="0" w:color="E02628"/>
              <w:left w:val="nil"/>
              <w:bottom w:val="single" w:sz="4" w:space="0" w:color="E02628"/>
              <w:right w:val="nil"/>
            </w:tcBorders>
            <w:shd w:val="clear" w:color="000000" w:fill="FFFFFF"/>
            <w:noWrap/>
            <w:vAlign w:val="center"/>
            <w:hideMark/>
          </w:tcPr>
          <w:p w14:paraId="5D88AB40" w14:textId="35284E30"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50</w:t>
            </w:r>
          </w:p>
        </w:tc>
        <w:tc>
          <w:tcPr>
            <w:tcW w:w="855" w:type="dxa"/>
            <w:tcBorders>
              <w:top w:val="single" w:sz="4" w:space="0" w:color="E02628"/>
              <w:left w:val="nil"/>
              <w:bottom w:val="single" w:sz="4" w:space="0" w:color="E02628"/>
              <w:right w:val="nil"/>
            </w:tcBorders>
            <w:shd w:val="clear" w:color="000000" w:fill="FFFFFF"/>
            <w:noWrap/>
            <w:vAlign w:val="center"/>
            <w:hideMark/>
          </w:tcPr>
          <w:p w14:paraId="5F1EA5CF" w14:textId="171DC1EE"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352</w:t>
            </w:r>
          </w:p>
        </w:tc>
        <w:tc>
          <w:tcPr>
            <w:tcW w:w="993" w:type="dxa"/>
            <w:tcBorders>
              <w:top w:val="single" w:sz="4" w:space="0" w:color="E02628"/>
              <w:left w:val="nil"/>
              <w:bottom w:val="single" w:sz="4" w:space="0" w:color="E02628"/>
              <w:right w:val="nil"/>
            </w:tcBorders>
            <w:shd w:val="clear" w:color="000000" w:fill="FFFFFF"/>
            <w:noWrap/>
            <w:vAlign w:val="center"/>
            <w:hideMark/>
          </w:tcPr>
          <w:p w14:paraId="35CBD283" w14:textId="48C89F92"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22,100</w:t>
            </w:r>
          </w:p>
        </w:tc>
        <w:tc>
          <w:tcPr>
            <w:tcW w:w="925" w:type="dxa"/>
            <w:tcBorders>
              <w:top w:val="single" w:sz="4" w:space="0" w:color="E02628"/>
              <w:left w:val="nil"/>
              <w:bottom w:val="single" w:sz="4" w:space="0" w:color="E02628"/>
              <w:right w:val="nil"/>
            </w:tcBorders>
            <w:shd w:val="clear" w:color="000000" w:fill="FFFFFF"/>
            <w:noWrap/>
            <w:vAlign w:val="center"/>
            <w:hideMark/>
          </w:tcPr>
          <w:p w14:paraId="6757BD09" w14:textId="042D1CF2"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450</w:t>
            </w:r>
          </w:p>
        </w:tc>
        <w:tc>
          <w:tcPr>
            <w:tcW w:w="892" w:type="dxa"/>
            <w:tcBorders>
              <w:top w:val="single" w:sz="4" w:space="0" w:color="E02628"/>
              <w:left w:val="nil"/>
              <w:bottom w:val="single" w:sz="4" w:space="0" w:color="E02628"/>
              <w:right w:val="nil"/>
            </w:tcBorders>
            <w:shd w:val="clear" w:color="000000" w:fill="FFFFFF"/>
            <w:noWrap/>
            <w:vAlign w:val="center"/>
            <w:hideMark/>
          </w:tcPr>
          <w:p w14:paraId="2BFBED1E" w14:textId="3A8C7AA8"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20</w:t>
            </w:r>
          </w:p>
        </w:tc>
        <w:tc>
          <w:tcPr>
            <w:tcW w:w="1077" w:type="dxa"/>
            <w:tcBorders>
              <w:top w:val="single" w:sz="4" w:space="0" w:color="E02628"/>
              <w:left w:val="nil"/>
              <w:bottom w:val="single" w:sz="4" w:space="0" w:color="E02628"/>
              <w:right w:val="nil"/>
            </w:tcBorders>
            <w:shd w:val="clear" w:color="000000" w:fill="FFFFFF"/>
            <w:vAlign w:val="center"/>
          </w:tcPr>
          <w:p w14:paraId="7AC4727C" w14:textId="4DC51CC6"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96%</w:t>
            </w:r>
          </w:p>
        </w:tc>
      </w:tr>
      <w:tr w:rsidR="00B26157" w:rsidRPr="00EC326F" w14:paraId="296CECB2"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1DCD862D" w14:textId="77777777" w:rsidR="00B26157" w:rsidRPr="00EC326F" w:rsidRDefault="00B26157" w:rsidP="00B26157">
            <w:pPr>
              <w:pStyle w:val="TableTextSmall"/>
              <w:rPr>
                <w:snapToGrid/>
                <w:lang w:eastAsia="en-AU"/>
              </w:rPr>
            </w:pPr>
            <w:r w:rsidRPr="00EC326F">
              <w:rPr>
                <w:snapToGrid/>
                <w:lang w:eastAsia="en-AU"/>
              </w:rPr>
              <w:t>- Age pensioners</w:t>
            </w:r>
          </w:p>
        </w:tc>
        <w:tc>
          <w:tcPr>
            <w:tcW w:w="1077" w:type="dxa"/>
            <w:tcBorders>
              <w:top w:val="single" w:sz="4" w:space="0" w:color="E02628"/>
              <w:left w:val="nil"/>
              <w:bottom w:val="single" w:sz="4" w:space="0" w:color="E02628"/>
              <w:right w:val="nil"/>
            </w:tcBorders>
            <w:shd w:val="clear" w:color="000000" w:fill="FFFFFF"/>
            <w:noWrap/>
            <w:vAlign w:val="center"/>
            <w:hideMark/>
          </w:tcPr>
          <w:p w14:paraId="70A13E51" w14:textId="44731119"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2,550,939</w:t>
            </w:r>
          </w:p>
        </w:tc>
        <w:tc>
          <w:tcPr>
            <w:tcW w:w="907" w:type="dxa"/>
            <w:tcBorders>
              <w:top w:val="single" w:sz="4" w:space="0" w:color="E02628"/>
              <w:left w:val="nil"/>
              <w:bottom w:val="single" w:sz="4" w:space="0" w:color="E02628"/>
              <w:right w:val="nil"/>
            </w:tcBorders>
            <w:shd w:val="clear" w:color="000000" w:fill="FFFFFF"/>
            <w:noWrap/>
            <w:vAlign w:val="center"/>
            <w:hideMark/>
          </w:tcPr>
          <w:p w14:paraId="74E09EB0" w14:textId="1A053625"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76</w:t>
            </w:r>
          </w:p>
        </w:tc>
        <w:tc>
          <w:tcPr>
            <w:tcW w:w="855" w:type="dxa"/>
            <w:tcBorders>
              <w:top w:val="single" w:sz="4" w:space="0" w:color="E02628"/>
              <w:left w:val="nil"/>
              <w:bottom w:val="single" w:sz="4" w:space="0" w:color="E02628"/>
              <w:right w:val="nil"/>
            </w:tcBorders>
            <w:shd w:val="clear" w:color="000000" w:fill="FFFFFF"/>
            <w:noWrap/>
            <w:vAlign w:val="center"/>
            <w:hideMark/>
          </w:tcPr>
          <w:p w14:paraId="6834AA1D" w14:textId="37D18B58"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518</w:t>
            </w:r>
          </w:p>
        </w:tc>
        <w:tc>
          <w:tcPr>
            <w:tcW w:w="993" w:type="dxa"/>
            <w:tcBorders>
              <w:top w:val="single" w:sz="4" w:space="0" w:color="E02628"/>
              <w:left w:val="nil"/>
              <w:bottom w:val="single" w:sz="4" w:space="0" w:color="E02628"/>
              <w:right w:val="nil"/>
            </w:tcBorders>
            <w:shd w:val="clear" w:color="000000" w:fill="FFFFFF"/>
            <w:noWrap/>
            <w:vAlign w:val="center"/>
            <w:hideMark/>
          </w:tcPr>
          <w:p w14:paraId="476F1531" w14:textId="0CB7A367"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17,100</w:t>
            </w:r>
          </w:p>
        </w:tc>
        <w:tc>
          <w:tcPr>
            <w:tcW w:w="925" w:type="dxa"/>
            <w:tcBorders>
              <w:top w:val="single" w:sz="4" w:space="0" w:color="E02628"/>
              <w:left w:val="nil"/>
              <w:bottom w:val="single" w:sz="4" w:space="0" w:color="E02628"/>
              <w:right w:val="nil"/>
            </w:tcBorders>
            <w:shd w:val="clear" w:color="000000" w:fill="FFFFFF"/>
            <w:noWrap/>
            <w:vAlign w:val="center"/>
            <w:hideMark/>
          </w:tcPr>
          <w:p w14:paraId="0B8CDFE8" w14:textId="4C89886B"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203</w:t>
            </w:r>
          </w:p>
        </w:tc>
        <w:tc>
          <w:tcPr>
            <w:tcW w:w="892" w:type="dxa"/>
            <w:tcBorders>
              <w:top w:val="single" w:sz="4" w:space="0" w:color="E02628"/>
              <w:left w:val="nil"/>
              <w:bottom w:val="single" w:sz="4" w:space="0" w:color="E02628"/>
              <w:right w:val="nil"/>
            </w:tcBorders>
            <w:shd w:val="clear" w:color="000000" w:fill="FFFFFF"/>
            <w:noWrap/>
            <w:vAlign w:val="center"/>
            <w:hideMark/>
          </w:tcPr>
          <w:p w14:paraId="3676785C" w14:textId="561A8ADC"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12</w:t>
            </w:r>
          </w:p>
        </w:tc>
        <w:tc>
          <w:tcPr>
            <w:tcW w:w="1077" w:type="dxa"/>
            <w:tcBorders>
              <w:top w:val="single" w:sz="4" w:space="0" w:color="E02628"/>
              <w:left w:val="nil"/>
              <w:bottom w:val="single" w:sz="4" w:space="0" w:color="E02628"/>
              <w:right w:val="nil"/>
            </w:tcBorders>
            <w:shd w:val="clear" w:color="000000" w:fill="FFFFFF"/>
            <w:vAlign w:val="center"/>
          </w:tcPr>
          <w:p w14:paraId="79F43A49" w14:textId="71848663"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96%</w:t>
            </w:r>
          </w:p>
        </w:tc>
      </w:tr>
      <w:tr w:rsidR="00B26157" w:rsidRPr="00EC326F" w14:paraId="65999308"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52C12AFA" w14:textId="77777777" w:rsidR="00B26157" w:rsidRPr="00EC326F" w:rsidRDefault="00B26157" w:rsidP="00B26157">
            <w:pPr>
              <w:pStyle w:val="TableTextSmall"/>
              <w:rPr>
                <w:snapToGrid/>
                <w:lang w:eastAsia="en-AU"/>
              </w:rPr>
            </w:pPr>
            <w:r w:rsidRPr="00EC326F">
              <w:rPr>
                <w:snapToGrid/>
                <w:lang w:eastAsia="en-AU"/>
              </w:rPr>
              <w:t>- Family non IS clients</w:t>
            </w:r>
          </w:p>
        </w:tc>
        <w:tc>
          <w:tcPr>
            <w:tcW w:w="1077" w:type="dxa"/>
            <w:tcBorders>
              <w:top w:val="single" w:sz="4" w:space="0" w:color="E02628"/>
              <w:left w:val="nil"/>
              <w:bottom w:val="single" w:sz="4" w:space="0" w:color="E02628"/>
              <w:right w:val="nil"/>
            </w:tcBorders>
            <w:shd w:val="clear" w:color="000000" w:fill="FFFFFF"/>
            <w:noWrap/>
            <w:vAlign w:val="center"/>
            <w:hideMark/>
          </w:tcPr>
          <w:p w14:paraId="579A8924" w14:textId="067F47ED"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1,553,941</w:t>
            </w:r>
          </w:p>
        </w:tc>
        <w:tc>
          <w:tcPr>
            <w:tcW w:w="907" w:type="dxa"/>
            <w:tcBorders>
              <w:top w:val="single" w:sz="4" w:space="0" w:color="E02628"/>
              <w:left w:val="nil"/>
              <w:bottom w:val="single" w:sz="4" w:space="0" w:color="E02628"/>
              <w:right w:val="nil"/>
            </w:tcBorders>
            <w:shd w:val="clear" w:color="000000" w:fill="FFFFFF"/>
            <w:noWrap/>
            <w:vAlign w:val="center"/>
            <w:hideMark/>
          </w:tcPr>
          <w:p w14:paraId="5E8C1F7D" w14:textId="2DB4B861"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40</w:t>
            </w:r>
          </w:p>
        </w:tc>
        <w:tc>
          <w:tcPr>
            <w:tcW w:w="855" w:type="dxa"/>
            <w:tcBorders>
              <w:top w:val="single" w:sz="4" w:space="0" w:color="E02628"/>
              <w:left w:val="nil"/>
              <w:bottom w:val="single" w:sz="4" w:space="0" w:color="E02628"/>
              <w:right w:val="nil"/>
            </w:tcBorders>
            <w:shd w:val="clear" w:color="000000" w:fill="FFFFFF"/>
            <w:noWrap/>
            <w:vAlign w:val="center"/>
            <w:hideMark/>
          </w:tcPr>
          <w:p w14:paraId="40A0F074" w14:textId="17F34829"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301</w:t>
            </w:r>
          </w:p>
        </w:tc>
        <w:tc>
          <w:tcPr>
            <w:tcW w:w="993" w:type="dxa"/>
            <w:tcBorders>
              <w:top w:val="single" w:sz="4" w:space="0" w:color="E02628"/>
              <w:left w:val="nil"/>
              <w:bottom w:val="single" w:sz="4" w:space="0" w:color="E02628"/>
              <w:right w:val="nil"/>
            </w:tcBorders>
            <w:shd w:val="clear" w:color="000000" w:fill="FFFFFF"/>
            <w:noWrap/>
            <w:vAlign w:val="center"/>
            <w:hideMark/>
          </w:tcPr>
          <w:p w14:paraId="79355725" w14:textId="617693EE"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5,600</w:t>
            </w:r>
          </w:p>
        </w:tc>
        <w:tc>
          <w:tcPr>
            <w:tcW w:w="925" w:type="dxa"/>
            <w:tcBorders>
              <w:top w:val="single" w:sz="4" w:space="0" w:color="E02628"/>
              <w:left w:val="nil"/>
              <w:bottom w:val="single" w:sz="4" w:space="0" w:color="E02628"/>
              <w:right w:val="nil"/>
            </w:tcBorders>
            <w:shd w:val="clear" w:color="000000" w:fill="FFFFFF"/>
            <w:noWrap/>
            <w:vAlign w:val="center"/>
            <w:hideMark/>
          </w:tcPr>
          <w:p w14:paraId="0E5D31D0" w14:textId="6DFEEE7C"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194</w:t>
            </w:r>
          </w:p>
        </w:tc>
        <w:tc>
          <w:tcPr>
            <w:tcW w:w="892" w:type="dxa"/>
            <w:tcBorders>
              <w:top w:val="single" w:sz="4" w:space="0" w:color="E02628"/>
              <w:left w:val="nil"/>
              <w:bottom w:val="single" w:sz="4" w:space="0" w:color="E02628"/>
              <w:right w:val="nil"/>
            </w:tcBorders>
            <w:shd w:val="clear" w:color="000000" w:fill="FFFFFF"/>
            <w:noWrap/>
            <w:vAlign w:val="center"/>
            <w:hideMark/>
          </w:tcPr>
          <w:p w14:paraId="284CA658" w14:textId="49EB6F3D"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35</w:t>
            </w:r>
          </w:p>
        </w:tc>
        <w:tc>
          <w:tcPr>
            <w:tcW w:w="1077" w:type="dxa"/>
            <w:tcBorders>
              <w:top w:val="single" w:sz="4" w:space="0" w:color="E02628"/>
              <w:left w:val="nil"/>
              <w:bottom w:val="single" w:sz="4" w:space="0" w:color="E02628"/>
              <w:right w:val="nil"/>
            </w:tcBorders>
            <w:shd w:val="clear" w:color="000000" w:fill="FFFFFF"/>
            <w:vAlign w:val="center"/>
          </w:tcPr>
          <w:p w14:paraId="1F965723" w14:textId="629C5262"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40%</w:t>
            </w:r>
          </w:p>
        </w:tc>
      </w:tr>
      <w:tr w:rsidR="00B26157" w:rsidRPr="00EC326F" w14:paraId="4861820D"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4FAA9862" w14:textId="77777777" w:rsidR="00B26157" w:rsidRPr="00EC326F" w:rsidRDefault="00B26157" w:rsidP="00B26157">
            <w:pPr>
              <w:pStyle w:val="TableTextSmall"/>
              <w:rPr>
                <w:snapToGrid/>
                <w:lang w:eastAsia="en-AU"/>
              </w:rPr>
            </w:pPr>
            <w:r w:rsidRPr="00EC326F">
              <w:rPr>
                <w:snapToGrid/>
                <w:lang w:eastAsia="en-AU"/>
              </w:rPr>
              <w:t>- Carer non IS clients</w:t>
            </w:r>
          </w:p>
        </w:tc>
        <w:tc>
          <w:tcPr>
            <w:tcW w:w="1077" w:type="dxa"/>
            <w:tcBorders>
              <w:top w:val="single" w:sz="4" w:space="0" w:color="E02628"/>
              <w:left w:val="nil"/>
              <w:bottom w:val="single" w:sz="4" w:space="0" w:color="E02628"/>
              <w:right w:val="nil"/>
            </w:tcBorders>
            <w:shd w:val="clear" w:color="000000" w:fill="FFFFFF"/>
            <w:noWrap/>
            <w:vAlign w:val="center"/>
            <w:hideMark/>
          </w:tcPr>
          <w:p w14:paraId="5EA4D8D1" w14:textId="123B93DE"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200,678</w:t>
            </w:r>
          </w:p>
        </w:tc>
        <w:tc>
          <w:tcPr>
            <w:tcW w:w="907" w:type="dxa"/>
            <w:tcBorders>
              <w:top w:val="single" w:sz="4" w:space="0" w:color="E02628"/>
              <w:left w:val="nil"/>
              <w:bottom w:val="single" w:sz="4" w:space="0" w:color="E02628"/>
              <w:right w:val="nil"/>
            </w:tcBorders>
            <w:shd w:val="clear" w:color="000000" w:fill="FFFFFF"/>
            <w:noWrap/>
            <w:vAlign w:val="center"/>
            <w:hideMark/>
          </w:tcPr>
          <w:p w14:paraId="751EB55F" w14:textId="099D3FEC"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51</w:t>
            </w:r>
          </w:p>
        </w:tc>
        <w:tc>
          <w:tcPr>
            <w:tcW w:w="855" w:type="dxa"/>
            <w:tcBorders>
              <w:top w:val="single" w:sz="4" w:space="0" w:color="E02628"/>
              <w:left w:val="nil"/>
              <w:bottom w:val="single" w:sz="4" w:space="0" w:color="E02628"/>
              <w:right w:val="nil"/>
            </w:tcBorders>
            <w:shd w:val="clear" w:color="000000" w:fill="FFFFFF"/>
            <w:noWrap/>
            <w:vAlign w:val="center"/>
            <w:hideMark/>
          </w:tcPr>
          <w:p w14:paraId="3620E97C" w14:textId="4485FC38"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41</w:t>
            </w:r>
          </w:p>
        </w:tc>
        <w:tc>
          <w:tcPr>
            <w:tcW w:w="993" w:type="dxa"/>
            <w:tcBorders>
              <w:top w:val="single" w:sz="4" w:space="0" w:color="E02628"/>
              <w:left w:val="nil"/>
              <w:bottom w:val="single" w:sz="4" w:space="0" w:color="E02628"/>
              <w:right w:val="nil"/>
            </w:tcBorders>
            <w:shd w:val="clear" w:color="000000" w:fill="FFFFFF"/>
            <w:noWrap/>
            <w:vAlign w:val="center"/>
            <w:hideMark/>
          </w:tcPr>
          <w:p w14:paraId="27AA0A26" w14:textId="542A4B29"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6,900</w:t>
            </w:r>
          </w:p>
        </w:tc>
        <w:tc>
          <w:tcPr>
            <w:tcW w:w="925" w:type="dxa"/>
            <w:tcBorders>
              <w:top w:val="single" w:sz="4" w:space="0" w:color="E02628"/>
              <w:left w:val="nil"/>
              <w:bottom w:val="single" w:sz="4" w:space="0" w:color="E02628"/>
              <w:right w:val="nil"/>
            </w:tcBorders>
            <w:shd w:val="clear" w:color="000000" w:fill="FFFFFF"/>
            <w:noWrap/>
            <w:vAlign w:val="center"/>
            <w:hideMark/>
          </w:tcPr>
          <w:p w14:paraId="41540DF3" w14:textId="0811D30E"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206</w:t>
            </w:r>
          </w:p>
        </w:tc>
        <w:tc>
          <w:tcPr>
            <w:tcW w:w="892" w:type="dxa"/>
            <w:tcBorders>
              <w:top w:val="single" w:sz="4" w:space="0" w:color="E02628"/>
              <w:left w:val="nil"/>
              <w:bottom w:val="single" w:sz="4" w:space="0" w:color="E02628"/>
              <w:right w:val="nil"/>
            </w:tcBorders>
            <w:shd w:val="clear" w:color="000000" w:fill="FFFFFF"/>
            <w:noWrap/>
            <w:vAlign w:val="center"/>
            <w:hideMark/>
          </w:tcPr>
          <w:p w14:paraId="50A7FB51" w14:textId="101F8F80"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30</w:t>
            </w:r>
          </w:p>
        </w:tc>
        <w:tc>
          <w:tcPr>
            <w:tcW w:w="1077" w:type="dxa"/>
            <w:tcBorders>
              <w:top w:val="single" w:sz="4" w:space="0" w:color="E02628"/>
              <w:left w:val="nil"/>
              <w:bottom w:val="single" w:sz="4" w:space="0" w:color="E02628"/>
              <w:right w:val="nil"/>
            </w:tcBorders>
            <w:shd w:val="clear" w:color="000000" w:fill="FFFFFF"/>
            <w:vAlign w:val="center"/>
          </w:tcPr>
          <w:p w14:paraId="57613CAC" w14:textId="5A616BA4"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44%</w:t>
            </w:r>
          </w:p>
        </w:tc>
      </w:tr>
      <w:tr w:rsidR="00B26157" w:rsidRPr="00EC326F" w14:paraId="6E9CA8E2"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5FC71851" w14:textId="77777777" w:rsidR="00B26157" w:rsidRPr="00EC326F" w:rsidRDefault="00B26157" w:rsidP="00B26157">
            <w:pPr>
              <w:pStyle w:val="TableTextSmall"/>
              <w:rPr>
                <w:snapToGrid/>
                <w:lang w:eastAsia="en-AU"/>
              </w:rPr>
            </w:pPr>
            <w:r w:rsidRPr="00EC326F">
              <w:rPr>
                <w:snapToGrid/>
                <w:lang w:eastAsia="en-AU"/>
              </w:rPr>
              <w:t>- Other non IS clients</w:t>
            </w:r>
          </w:p>
        </w:tc>
        <w:tc>
          <w:tcPr>
            <w:tcW w:w="1077" w:type="dxa"/>
            <w:tcBorders>
              <w:top w:val="single" w:sz="4" w:space="0" w:color="E02628"/>
              <w:left w:val="nil"/>
              <w:bottom w:val="single" w:sz="4" w:space="0" w:color="E02628"/>
              <w:right w:val="nil"/>
            </w:tcBorders>
            <w:shd w:val="clear" w:color="000000" w:fill="FFFFFF"/>
            <w:noWrap/>
            <w:vAlign w:val="center"/>
            <w:hideMark/>
          </w:tcPr>
          <w:p w14:paraId="73FCD555" w14:textId="416A47FC"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543,327</w:t>
            </w:r>
          </w:p>
        </w:tc>
        <w:tc>
          <w:tcPr>
            <w:tcW w:w="907" w:type="dxa"/>
            <w:tcBorders>
              <w:top w:val="single" w:sz="4" w:space="0" w:color="E02628"/>
              <w:left w:val="nil"/>
              <w:bottom w:val="single" w:sz="4" w:space="0" w:color="E02628"/>
              <w:right w:val="nil"/>
            </w:tcBorders>
            <w:shd w:val="clear" w:color="000000" w:fill="FFFFFF"/>
            <w:noWrap/>
            <w:vAlign w:val="center"/>
            <w:hideMark/>
          </w:tcPr>
          <w:p w14:paraId="45910C06" w14:textId="4D7B1AAF"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54</w:t>
            </w:r>
          </w:p>
        </w:tc>
        <w:tc>
          <w:tcPr>
            <w:tcW w:w="855" w:type="dxa"/>
            <w:tcBorders>
              <w:top w:val="single" w:sz="4" w:space="0" w:color="E02628"/>
              <w:left w:val="nil"/>
              <w:bottom w:val="single" w:sz="4" w:space="0" w:color="E02628"/>
              <w:right w:val="nil"/>
            </w:tcBorders>
            <w:shd w:val="clear" w:color="000000" w:fill="FFFFFF"/>
            <w:noWrap/>
            <w:vAlign w:val="center"/>
            <w:hideMark/>
          </w:tcPr>
          <w:p w14:paraId="68871C9E" w14:textId="66585E61"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74</w:t>
            </w:r>
          </w:p>
        </w:tc>
        <w:tc>
          <w:tcPr>
            <w:tcW w:w="993" w:type="dxa"/>
            <w:tcBorders>
              <w:top w:val="single" w:sz="4" w:space="0" w:color="E02628"/>
              <w:left w:val="nil"/>
              <w:bottom w:val="single" w:sz="4" w:space="0" w:color="E02628"/>
              <w:right w:val="nil"/>
            </w:tcBorders>
            <w:shd w:val="clear" w:color="000000" w:fill="FFFFFF"/>
            <w:noWrap/>
            <w:vAlign w:val="center"/>
            <w:hideMark/>
          </w:tcPr>
          <w:p w14:paraId="2261BC75" w14:textId="43DDA380"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2,800</w:t>
            </w:r>
          </w:p>
        </w:tc>
        <w:tc>
          <w:tcPr>
            <w:tcW w:w="925" w:type="dxa"/>
            <w:tcBorders>
              <w:top w:val="single" w:sz="4" w:space="0" w:color="E02628"/>
              <w:left w:val="nil"/>
              <w:bottom w:val="single" w:sz="4" w:space="0" w:color="E02628"/>
              <w:right w:val="nil"/>
            </w:tcBorders>
            <w:shd w:val="clear" w:color="000000" w:fill="FFFFFF"/>
            <w:noWrap/>
            <w:vAlign w:val="center"/>
            <w:hideMark/>
          </w:tcPr>
          <w:p w14:paraId="1A878CED" w14:textId="3ED2B812"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137</w:t>
            </w:r>
          </w:p>
        </w:tc>
        <w:tc>
          <w:tcPr>
            <w:tcW w:w="892" w:type="dxa"/>
            <w:tcBorders>
              <w:top w:val="single" w:sz="4" w:space="0" w:color="E02628"/>
              <w:left w:val="nil"/>
              <w:bottom w:val="single" w:sz="4" w:space="0" w:color="E02628"/>
              <w:right w:val="nil"/>
            </w:tcBorders>
            <w:shd w:val="clear" w:color="000000" w:fill="FFFFFF"/>
            <w:noWrap/>
            <w:vAlign w:val="center"/>
            <w:hideMark/>
          </w:tcPr>
          <w:p w14:paraId="5D363152" w14:textId="6ADC7A08" w:rsidR="00B26157" w:rsidRPr="00EC326F" w:rsidRDefault="00B26157" w:rsidP="00B26157">
            <w:pPr>
              <w:pStyle w:val="TableTextSmall"/>
              <w:jc w:val="center"/>
              <w:rPr>
                <w:rFonts w:ascii="Arial" w:hAnsi="Arial"/>
                <w:snapToGrid/>
                <w:color w:val="333333"/>
                <w:lang w:eastAsia="en-AU"/>
              </w:rPr>
            </w:pPr>
            <w:r>
              <w:rPr>
                <w:rFonts w:ascii="Arial" w:hAnsi="Arial"/>
                <w:color w:val="404040"/>
                <w:sz w:val="14"/>
                <w:szCs w:val="14"/>
              </w:rPr>
              <w:t>49</w:t>
            </w:r>
          </w:p>
        </w:tc>
        <w:tc>
          <w:tcPr>
            <w:tcW w:w="1077" w:type="dxa"/>
            <w:tcBorders>
              <w:top w:val="single" w:sz="4" w:space="0" w:color="E02628"/>
              <w:left w:val="nil"/>
              <w:bottom w:val="single" w:sz="4" w:space="0" w:color="E02628"/>
              <w:right w:val="nil"/>
            </w:tcBorders>
            <w:shd w:val="clear" w:color="000000" w:fill="FFFFFF"/>
            <w:vAlign w:val="center"/>
          </w:tcPr>
          <w:p w14:paraId="030EECBC" w14:textId="39870822"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40%</w:t>
            </w:r>
          </w:p>
        </w:tc>
      </w:tr>
      <w:tr w:rsidR="00B26157" w:rsidRPr="00EC326F" w14:paraId="50231B05"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0B07D5FA" w14:textId="77777777" w:rsidR="00B26157" w:rsidRPr="00EC326F" w:rsidRDefault="00B26157" w:rsidP="00B26157">
            <w:pPr>
              <w:pStyle w:val="TableTextSmall"/>
              <w:rPr>
                <w:i/>
                <w:iCs/>
                <w:snapToGrid/>
                <w:lang w:eastAsia="en-AU"/>
              </w:rPr>
            </w:pPr>
            <w:r w:rsidRPr="00EC326F">
              <w:rPr>
                <w:i/>
                <w:iCs/>
                <w:snapToGrid/>
                <w:lang w:eastAsia="en-AU"/>
              </w:rPr>
              <w:t>Total current welfare recipients</w:t>
            </w:r>
          </w:p>
        </w:tc>
        <w:tc>
          <w:tcPr>
            <w:tcW w:w="1077" w:type="dxa"/>
            <w:tcBorders>
              <w:top w:val="single" w:sz="4" w:space="0" w:color="E02628"/>
              <w:left w:val="nil"/>
              <w:bottom w:val="single" w:sz="4" w:space="0" w:color="E02628"/>
              <w:right w:val="nil"/>
            </w:tcBorders>
            <w:shd w:val="clear" w:color="000000" w:fill="FFFFFF"/>
            <w:noWrap/>
            <w:vAlign w:val="center"/>
            <w:hideMark/>
          </w:tcPr>
          <w:p w14:paraId="46A88334" w14:textId="6CC60EBD" w:rsidR="00B26157" w:rsidRPr="00EC326F" w:rsidRDefault="00B26157" w:rsidP="00B26157">
            <w:pPr>
              <w:pStyle w:val="TableTextSmall"/>
              <w:jc w:val="center"/>
              <w:rPr>
                <w:rFonts w:ascii="Arial" w:hAnsi="Arial"/>
                <w:i/>
                <w:iCs/>
                <w:snapToGrid/>
                <w:color w:val="333333"/>
                <w:lang w:eastAsia="en-AU"/>
              </w:rPr>
            </w:pPr>
            <w:r>
              <w:rPr>
                <w:rFonts w:ascii="Arial" w:hAnsi="Arial"/>
                <w:i/>
                <w:iCs/>
                <w:color w:val="404040"/>
                <w:sz w:val="14"/>
                <w:szCs w:val="14"/>
              </w:rPr>
              <w:t>8,046,572</w:t>
            </w:r>
          </w:p>
        </w:tc>
        <w:tc>
          <w:tcPr>
            <w:tcW w:w="907" w:type="dxa"/>
            <w:tcBorders>
              <w:top w:val="single" w:sz="4" w:space="0" w:color="E02628"/>
              <w:left w:val="nil"/>
              <w:bottom w:val="single" w:sz="4" w:space="0" w:color="E02628"/>
              <w:right w:val="nil"/>
            </w:tcBorders>
            <w:shd w:val="clear" w:color="000000" w:fill="FFFFFF"/>
            <w:noWrap/>
            <w:vAlign w:val="center"/>
            <w:hideMark/>
          </w:tcPr>
          <w:p w14:paraId="49BE4240" w14:textId="6951CDB8" w:rsidR="00B26157" w:rsidRPr="00EC326F" w:rsidRDefault="00B26157" w:rsidP="00B26157">
            <w:pPr>
              <w:pStyle w:val="TableTextSmall"/>
              <w:jc w:val="center"/>
              <w:rPr>
                <w:rFonts w:ascii="Arial" w:hAnsi="Arial"/>
                <w:i/>
                <w:iCs/>
                <w:snapToGrid/>
                <w:color w:val="333333"/>
                <w:lang w:eastAsia="en-AU"/>
              </w:rPr>
            </w:pPr>
            <w:r>
              <w:rPr>
                <w:rFonts w:ascii="Arial" w:hAnsi="Arial"/>
                <w:i/>
                <w:iCs/>
                <w:color w:val="404040"/>
                <w:sz w:val="14"/>
                <w:szCs w:val="14"/>
              </w:rPr>
              <w:t>53</w:t>
            </w:r>
          </w:p>
        </w:tc>
        <w:tc>
          <w:tcPr>
            <w:tcW w:w="855" w:type="dxa"/>
            <w:tcBorders>
              <w:top w:val="single" w:sz="4" w:space="0" w:color="E02628"/>
              <w:left w:val="nil"/>
              <w:bottom w:val="single" w:sz="4" w:space="0" w:color="E02628"/>
              <w:right w:val="nil"/>
            </w:tcBorders>
            <w:shd w:val="clear" w:color="000000" w:fill="FFFFFF"/>
            <w:noWrap/>
            <w:vAlign w:val="center"/>
            <w:hideMark/>
          </w:tcPr>
          <w:p w14:paraId="23005B5B" w14:textId="05485005" w:rsidR="00B26157" w:rsidRPr="00EC326F" w:rsidRDefault="00B26157" w:rsidP="00B26157">
            <w:pPr>
              <w:pStyle w:val="TableTextSmall"/>
              <w:jc w:val="center"/>
              <w:rPr>
                <w:rFonts w:ascii="Arial" w:hAnsi="Arial"/>
                <w:i/>
                <w:iCs/>
                <w:snapToGrid/>
                <w:color w:val="333333"/>
                <w:lang w:eastAsia="en-AU"/>
              </w:rPr>
            </w:pPr>
            <w:r>
              <w:rPr>
                <w:rFonts w:ascii="Arial" w:hAnsi="Arial"/>
                <w:i/>
                <w:iCs/>
                <w:color w:val="404040"/>
                <w:sz w:val="14"/>
                <w:szCs w:val="14"/>
              </w:rPr>
              <w:t>2,095</w:t>
            </w:r>
          </w:p>
        </w:tc>
        <w:tc>
          <w:tcPr>
            <w:tcW w:w="993" w:type="dxa"/>
            <w:tcBorders>
              <w:top w:val="single" w:sz="4" w:space="0" w:color="E02628"/>
              <w:left w:val="nil"/>
              <w:bottom w:val="single" w:sz="4" w:space="0" w:color="E02628"/>
              <w:right w:val="nil"/>
            </w:tcBorders>
            <w:shd w:val="clear" w:color="000000" w:fill="FFFFFF"/>
            <w:noWrap/>
            <w:vAlign w:val="center"/>
            <w:hideMark/>
          </w:tcPr>
          <w:p w14:paraId="5FBD7E2F" w14:textId="2853AC5C" w:rsidR="00B26157" w:rsidRPr="00EC326F" w:rsidRDefault="00B26157" w:rsidP="00B26157">
            <w:pPr>
              <w:pStyle w:val="TableTextSmall"/>
              <w:jc w:val="center"/>
              <w:rPr>
                <w:rFonts w:ascii="Arial" w:hAnsi="Arial"/>
                <w:i/>
                <w:iCs/>
                <w:snapToGrid/>
                <w:color w:val="333333"/>
                <w:lang w:eastAsia="en-AU"/>
              </w:rPr>
            </w:pPr>
            <w:r>
              <w:rPr>
                <w:rFonts w:ascii="Arial" w:hAnsi="Arial"/>
                <w:i/>
                <w:iCs/>
                <w:color w:val="404040"/>
                <w:sz w:val="14"/>
                <w:szCs w:val="14"/>
              </w:rPr>
              <w:t>13,800</w:t>
            </w:r>
          </w:p>
        </w:tc>
        <w:tc>
          <w:tcPr>
            <w:tcW w:w="925" w:type="dxa"/>
            <w:tcBorders>
              <w:top w:val="single" w:sz="4" w:space="0" w:color="E02628"/>
              <w:left w:val="nil"/>
              <w:bottom w:val="single" w:sz="4" w:space="0" w:color="E02628"/>
              <w:right w:val="nil"/>
            </w:tcBorders>
            <w:shd w:val="clear" w:color="000000" w:fill="FFFFFF"/>
            <w:noWrap/>
            <w:vAlign w:val="center"/>
            <w:hideMark/>
          </w:tcPr>
          <w:p w14:paraId="039EBFE6" w14:textId="295C9944" w:rsidR="00B26157" w:rsidRPr="00EC326F" w:rsidRDefault="00B26157" w:rsidP="00B26157">
            <w:pPr>
              <w:pStyle w:val="TableTextSmall"/>
              <w:jc w:val="center"/>
              <w:rPr>
                <w:rFonts w:ascii="Arial" w:hAnsi="Arial"/>
                <w:i/>
                <w:iCs/>
                <w:snapToGrid/>
                <w:color w:val="333333"/>
                <w:lang w:eastAsia="en-AU"/>
              </w:rPr>
            </w:pPr>
            <w:r>
              <w:rPr>
                <w:rFonts w:ascii="Arial" w:hAnsi="Arial"/>
                <w:i/>
                <w:iCs/>
                <w:color w:val="404040"/>
                <w:sz w:val="14"/>
                <w:szCs w:val="14"/>
              </w:rPr>
              <w:t>260</w:t>
            </w:r>
          </w:p>
        </w:tc>
        <w:tc>
          <w:tcPr>
            <w:tcW w:w="892" w:type="dxa"/>
            <w:tcBorders>
              <w:top w:val="single" w:sz="4" w:space="0" w:color="E02628"/>
              <w:left w:val="nil"/>
              <w:bottom w:val="single" w:sz="4" w:space="0" w:color="E02628"/>
              <w:right w:val="nil"/>
            </w:tcBorders>
            <w:shd w:val="clear" w:color="000000" w:fill="FFFFFF"/>
            <w:noWrap/>
            <w:vAlign w:val="center"/>
            <w:hideMark/>
          </w:tcPr>
          <w:p w14:paraId="7C348077" w14:textId="5A7796BF" w:rsidR="00B26157" w:rsidRPr="00EC326F" w:rsidRDefault="00B26157" w:rsidP="00B26157">
            <w:pPr>
              <w:pStyle w:val="TableTextSmall"/>
              <w:jc w:val="center"/>
              <w:rPr>
                <w:rFonts w:ascii="Arial" w:hAnsi="Arial"/>
                <w:i/>
                <w:snapToGrid/>
                <w:color w:val="333333"/>
                <w:lang w:eastAsia="en-AU"/>
              </w:rPr>
            </w:pPr>
            <w:r>
              <w:rPr>
                <w:rFonts w:ascii="Arial" w:hAnsi="Arial"/>
                <w:color w:val="404040"/>
                <w:sz w:val="14"/>
                <w:szCs w:val="14"/>
              </w:rPr>
              <w:t>19</w:t>
            </w:r>
          </w:p>
        </w:tc>
        <w:tc>
          <w:tcPr>
            <w:tcW w:w="1077" w:type="dxa"/>
            <w:tcBorders>
              <w:top w:val="single" w:sz="4" w:space="0" w:color="E02628"/>
              <w:left w:val="nil"/>
              <w:bottom w:val="single" w:sz="4" w:space="0" w:color="E02628"/>
              <w:right w:val="nil"/>
            </w:tcBorders>
            <w:shd w:val="clear" w:color="000000" w:fill="FFFFFF"/>
            <w:vAlign w:val="center"/>
          </w:tcPr>
          <w:p w14:paraId="053151FD" w14:textId="5E490C06" w:rsidR="00B26157" w:rsidRPr="00EC326F" w:rsidRDefault="00B26157" w:rsidP="00B26157">
            <w:pPr>
              <w:pStyle w:val="TableTextSmall"/>
              <w:jc w:val="center"/>
              <w:rPr>
                <w:rFonts w:ascii="Arial" w:hAnsi="Arial"/>
                <w:i/>
                <w:snapToGrid/>
                <w:lang w:eastAsia="en-AU"/>
              </w:rPr>
            </w:pPr>
            <w:r>
              <w:rPr>
                <w:rFonts w:ascii="Arial" w:hAnsi="Arial"/>
                <w:color w:val="404040"/>
                <w:sz w:val="14"/>
                <w:szCs w:val="14"/>
              </w:rPr>
              <w:t>60%</w:t>
            </w:r>
          </w:p>
        </w:tc>
      </w:tr>
      <w:tr w:rsidR="00B26157" w:rsidRPr="00EC326F" w14:paraId="40FC83B1" w14:textId="77777777" w:rsidTr="00744519">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6DD06CED" w14:textId="77777777" w:rsidR="00B26157" w:rsidRPr="00EC326F" w:rsidRDefault="00B26157" w:rsidP="00B26157">
            <w:pPr>
              <w:pStyle w:val="TableColumnHeadingSmall"/>
              <w:rPr>
                <w:snapToGrid/>
                <w:lang w:eastAsia="en-AU"/>
              </w:rPr>
            </w:pPr>
            <w:r w:rsidRPr="00EC326F">
              <w:rPr>
                <w:snapToGrid/>
                <w:lang w:eastAsia="en-AU"/>
              </w:rPr>
              <w:t>Previous welfare recipients</w:t>
            </w:r>
          </w:p>
        </w:tc>
        <w:tc>
          <w:tcPr>
            <w:tcW w:w="1077" w:type="dxa"/>
            <w:tcBorders>
              <w:top w:val="single" w:sz="4" w:space="0" w:color="E02628"/>
              <w:left w:val="nil"/>
              <w:bottom w:val="single" w:sz="4" w:space="0" w:color="E02628"/>
              <w:right w:val="nil"/>
            </w:tcBorders>
            <w:shd w:val="clear" w:color="auto" w:fill="E02628"/>
            <w:noWrap/>
            <w:vAlign w:val="center"/>
            <w:hideMark/>
          </w:tcPr>
          <w:p w14:paraId="6FEF9F54" w14:textId="335F266F" w:rsidR="00B26157" w:rsidRPr="00EC326F" w:rsidRDefault="00B26157" w:rsidP="00B26157">
            <w:pPr>
              <w:pStyle w:val="TableColumnHeadingSmall"/>
              <w:jc w:val="center"/>
              <w:rPr>
                <w:snapToGrid/>
                <w:lang w:eastAsia="en-AU"/>
              </w:rPr>
            </w:pPr>
            <w:r>
              <w:rPr>
                <w:rFonts w:ascii="Arial" w:hAnsi="Arial"/>
                <w:color w:val="FFFFFF"/>
                <w:sz w:val="14"/>
                <w:szCs w:val="14"/>
              </w:rPr>
              <w:t> </w:t>
            </w:r>
          </w:p>
        </w:tc>
        <w:tc>
          <w:tcPr>
            <w:tcW w:w="907" w:type="dxa"/>
            <w:tcBorders>
              <w:top w:val="single" w:sz="4" w:space="0" w:color="E02628"/>
              <w:left w:val="nil"/>
              <w:bottom w:val="single" w:sz="4" w:space="0" w:color="E02628"/>
              <w:right w:val="nil"/>
            </w:tcBorders>
            <w:shd w:val="clear" w:color="auto" w:fill="E02628"/>
            <w:noWrap/>
            <w:vAlign w:val="center"/>
            <w:hideMark/>
          </w:tcPr>
          <w:p w14:paraId="56C0549F" w14:textId="3D895761" w:rsidR="00B26157" w:rsidRPr="00EC326F" w:rsidRDefault="00B26157" w:rsidP="00B26157">
            <w:pPr>
              <w:pStyle w:val="TableColumnHeadingSmall"/>
              <w:jc w:val="center"/>
              <w:rPr>
                <w:snapToGrid/>
                <w:lang w:eastAsia="en-AU"/>
              </w:rPr>
            </w:pPr>
            <w:r>
              <w:rPr>
                <w:rFonts w:ascii="Arial" w:hAnsi="Arial"/>
                <w:b w:val="0"/>
                <w:bCs/>
                <w:color w:val="FFFFFF"/>
                <w:sz w:val="14"/>
                <w:szCs w:val="14"/>
              </w:rPr>
              <w:t> </w:t>
            </w:r>
          </w:p>
        </w:tc>
        <w:tc>
          <w:tcPr>
            <w:tcW w:w="855" w:type="dxa"/>
            <w:tcBorders>
              <w:top w:val="single" w:sz="4" w:space="0" w:color="E02628"/>
              <w:left w:val="nil"/>
              <w:bottom w:val="single" w:sz="4" w:space="0" w:color="E02628"/>
              <w:right w:val="nil"/>
            </w:tcBorders>
            <w:shd w:val="clear" w:color="auto" w:fill="E02628"/>
            <w:noWrap/>
            <w:vAlign w:val="center"/>
            <w:hideMark/>
          </w:tcPr>
          <w:p w14:paraId="2B7B4263" w14:textId="64524B83" w:rsidR="00B26157" w:rsidRPr="00EC326F" w:rsidRDefault="00B26157" w:rsidP="00B26157">
            <w:pPr>
              <w:pStyle w:val="TableColumnHeadingSmall"/>
              <w:jc w:val="center"/>
              <w:rPr>
                <w:snapToGrid/>
                <w:lang w:eastAsia="en-AU"/>
              </w:rPr>
            </w:pPr>
            <w:r>
              <w:rPr>
                <w:rFonts w:ascii="Arial" w:hAnsi="Arial"/>
                <w:color w:val="FFFFFF"/>
                <w:sz w:val="14"/>
                <w:szCs w:val="14"/>
              </w:rPr>
              <w:t> </w:t>
            </w:r>
          </w:p>
        </w:tc>
        <w:tc>
          <w:tcPr>
            <w:tcW w:w="993" w:type="dxa"/>
            <w:tcBorders>
              <w:top w:val="single" w:sz="4" w:space="0" w:color="E02628"/>
              <w:left w:val="nil"/>
              <w:bottom w:val="single" w:sz="4" w:space="0" w:color="E02628"/>
              <w:right w:val="nil"/>
            </w:tcBorders>
            <w:shd w:val="clear" w:color="auto" w:fill="E02628"/>
            <w:noWrap/>
            <w:vAlign w:val="center"/>
            <w:hideMark/>
          </w:tcPr>
          <w:p w14:paraId="32AE95A6" w14:textId="166BB187" w:rsidR="00B26157" w:rsidRPr="00EC326F" w:rsidRDefault="00B26157" w:rsidP="00B26157">
            <w:pPr>
              <w:pStyle w:val="TableColumnHeadingSmall"/>
              <w:jc w:val="center"/>
              <w:rPr>
                <w:snapToGrid/>
                <w:lang w:eastAsia="en-AU"/>
              </w:rPr>
            </w:pPr>
            <w:r>
              <w:rPr>
                <w:rFonts w:ascii="Arial" w:hAnsi="Arial"/>
                <w:color w:val="FFFFFF"/>
                <w:sz w:val="14"/>
                <w:szCs w:val="14"/>
              </w:rPr>
              <w:t> </w:t>
            </w:r>
          </w:p>
        </w:tc>
        <w:tc>
          <w:tcPr>
            <w:tcW w:w="925" w:type="dxa"/>
            <w:tcBorders>
              <w:top w:val="single" w:sz="4" w:space="0" w:color="E02628"/>
              <w:left w:val="nil"/>
              <w:bottom w:val="single" w:sz="4" w:space="0" w:color="E02628"/>
              <w:right w:val="nil"/>
            </w:tcBorders>
            <w:shd w:val="clear" w:color="auto" w:fill="E02628"/>
            <w:noWrap/>
            <w:vAlign w:val="center"/>
            <w:hideMark/>
          </w:tcPr>
          <w:p w14:paraId="6EAFD84B" w14:textId="3C864290" w:rsidR="00B26157" w:rsidRPr="00EC326F" w:rsidRDefault="00B26157" w:rsidP="00B26157">
            <w:pPr>
              <w:pStyle w:val="TableColumnHeadingSmall"/>
              <w:jc w:val="center"/>
              <w:rPr>
                <w:snapToGrid/>
                <w:lang w:eastAsia="en-AU"/>
              </w:rPr>
            </w:pPr>
            <w:r>
              <w:rPr>
                <w:rFonts w:ascii="Arial" w:hAnsi="Arial"/>
                <w:color w:val="FFFFFF"/>
                <w:sz w:val="14"/>
                <w:szCs w:val="14"/>
              </w:rPr>
              <w:t> </w:t>
            </w:r>
          </w:p>
        </w:tc>
        <w:tc>
          <w:tcPr>
            <w:tcW w:w="892" w:type="dxa"/>
            <w:tcBorders>
              <w:top w:val="single" w:sz="4" w:space="0" w:color="E02628"/>
              <w:left w:val="nil"/>
              <w:bottom w:val="single" w:sz="4" w:space="0" w:color="E02628"/>
              <w:right w:val="nil"/>
            </w:tcBorders>
            <w:shd w:val="clear" w:color="auto" w:fill="E02628"/>
            <w:noWrap/>
            <w:vAlign w:val="center"/>
            <w:hideMark/>
          </w:tcPr>
          <w:p w14:paraId="6B09B106" w14:textId="05B462D6" w:rsidR="00B26157" w:rsidRPr="00EC326F" w:rsidRDefault="00B26157" w:rsidP="00B26157">
            <w:pPr>
              <w:pStyle w:val="TableColumnHeadingSmall"/>
              <w:jc w:val="center"/>
              <w:rPr>
                <w:snapToGrid/>
                <w:lang w:eastAsia="en-AU"/>
              </w:rPr>
            </w:pPr>
            <w:r>
              <w:rPr>
                <w:rFonts w:ascii="Arial" w:hAnsi="Arial"/>
                <w:color w:val="FFFFFF"/>
                <w:sz w:val="14"/>
                <w:szCs w:val="14"/>
              </w:rPr>
              <w:t> </w:t>
            </w:r>
          </w:p>
        </w:tc>
        <w:tc>
          <w:tcPr>
            <w:tcW w:w="1077" w:type="dxa"/>
            <w:tcBorders>
              <w:top w:val="single" w:sz="4" w:space="0" w:color="E02628"/>
              <w:left w:val="nil"/>
              <w:bottom w:val="single" w:sz="4" w:space="0" w:color="E02628"/>
              <w:right w:val="nil"/>
            </w:tcBorders>
            <w:shd w:val="clear" w:color="auto" w:fill="E02628"/>
            <w:vAlign w:val="center"/>
          </w:tcPr>
          <w:p w14:paraId="6DD93614" w14:textId="74405B05" w:rsidR="00B26157" w:rsidRPr="00EC326F" w:rsidRDefault="00B26157" w:rsidP="00B26157">
            <w:pPr>
              <w:pStyle w:val="TableColumnHeadingSmall"/>
              <w:jc w:val="center"/>
              <w:rPr>
                <w:snapToGrid/>
                <w:lang w:eastAsia="en-AU"/>
              </w:rPr>
            </w:pPr>
            <w:r>
              <w:rPr>
                <w:rFonts w:ascii="Arial" w:hAnsi="Arial"/>
                <w:color w:val="FFFFFF"/>
                <w:sz w:val="14"/>
                <w:szCs w:val="14"/>
              </w:rPr>
              <w:t> </w:t>
            </w:r>
          </w:p>
        </w:tc>
      </w:tr>
      <w:tr w:rsidR="00B26157" w:rsidRPr="00EC326F" w14:paraId="5902E0E2"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325502D4" w14:textId="77777777" w:rsidR="00B26157" w:rsidRPr="00EC326F" w:rsidRDefault="00B26157" w:rsidP="00B26157">
            <w:pPr>
              <w:pStyle w:val="TableTextSmall"/>
              <w:rPr>
                <w:snapToGrid/>
                <w:lang w:eastAsia="en-AU"/>
              </w:rPr>
            </w:pPr>
            <w:r w:rsidRPr="00EC326F">
              <w:rPr>
                <w:snapToGrid/>
                <w:lang w:eastAsia="en-AU"/>
              </w:rPr>
              <w:t>- Exited 1-3 years</w:t>
            </w:r>
          </w:p>
        </w:tc>
        <w:tc>
          <w:tcPr>
            <w:tcW w:w="1077" w:type="dxa"/>
            <w:tcBorders>
              <w:top w:val="single" w:sz="4" w:space="0" w:color="E02628"/>
              <w:left w:val="nil"/>
              <w:bottom w:val="single" w:sz="4" w:space="0" w:color="E02628"/>
              <w:right w:val="nil"/>
            </w:tcBorders>
            <w:shd w:val="clear" w:color="000000" w:fill="FFFFFF"/>
            <w:noWrap/>
            <w:vAlign w:val="center"/>
            <w:hideMark/>
          </w:tcPr>
          <w:p w14:paraId="025A5D94" w14:textId="437B3BE2"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1,418,858</w:t>
            </w:r>
          </w:p>
        </w:tc>
        <w:tc>
          <w:tcPr>
            <w:tcW w:w="907" w:type="dxa"/>
            <w:tcBorders>
              <w:top w:val="single" w:sz="4" w:space="0" w:color="E02628"/>
              <w:left w:val="nil"/>
              <w:bottom w:val="single" w:sz="4" w:space="0" w:color="E02628"/>
              <w:right w:val="nil"/>
            </w:tcBorders>
            <w:shd w:val="clear" w:color="000000" w:fill="FFFFFF"/>
            <w:noWrap/>
            <w:vAlign w:val="center"/>
            <w:hideMark/>
          </w:tcPr>
          <w:p w14:paraId="5FC4B315" w14:textId="64E8E5A0"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40</w:t>
            </w:r>
          </w:p>
        </w:tc>
        <w:tc>
          <w:tcPr>
            <w:tcW w:w="855" w:type="dxa"/>
            <w:tcBorders>
              <w:top w:val="single" w:sz="4" w:space="0" w:color="E02628"/>
              <w:left w:val="nil"/>
              <w:bottom w:val="single" w:sz="4" w:space="0" w:color="E02628"/>
              <w:right w:val="nil"/>
            </w:tcBorders>
            <w:shd w:val="clear" w:color="000000" w:fill="FFFFFF"/>
            <w:noWrap/>
            <w:vAlign w:val="center"/>
            <w:hideMark/>
          </w:tcPr>
          <w:p w14:paraId="18170EF1" w14:textId="7B65E920"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242</w:t>
            </w:r>
          </w:p>
        </w:tc>
        <w:tc>
          <w:tcPr>
            <w:tcW w:w="993" w:type="dxa"/>
            <w:tcBorders>
              <w:top w:val="single" w:sz="4" w:space="0" w:color="E02628"/>
              <w:left w:val="nil"/>
              <w:bottom w:val="single" w:sz="4" w:space="0" w:color="E02628"/>
              <w:right w:val="nil"/>
            </w:tcBorders>
            <w:shd w:val="clear" w:color="000000" w:fill="FFFFFF"/>
            <w:noWrap/>
            <w:vAlign w:val="center"/>
            <w:hideMark/>
          </w:tcPr>
          <w:p w14:paraId="47A4E3A8" w14:textId="0981015A"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n/a</w:t>
            </w:r>
          </w:p>
        </w:tc>
        <w:tc>
          <w:tcPr>
            <w:tcW w:w="925" w:type="dxa"/>
            <w:tcBorders>
              <w:top w:val="single" w:sz="4" w:space="0" w:color="E02628"/>
              <w:left w:val="nil"/>
              <w:bottom w:val="single" w:sz="4" w:space="0" w:color="E02628"/>
              <w:right w:val="nil"/>
            </w:tcBorders>
            <w:shd w:val="clear" w:color="000000" w:fill="FFFFFF"/>
            <w:noWrap/>
            <w:vAlign w:val="center"/>
            <w:hideMark/>
          </w:tcPr>
          <w:p w14:paraId="1BBE6F09" w14:textId="4BE2A9F4"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170</w:t>
            </w:r>
          </w:p>
        </w:tc>
        <w:tc>
          <w:tcPr>
            <w:tcW w:w="892" w:type="dxa"/>
            <w:tcBorders>
              <w:top w:val="single" w:sz="4" w:space="0" w:color="E02628"/>
              <w:left w:val="nil"/>
              <w:bottom w:val="single" w:sz="4" w:space="0" w:color="E02628"/>
              <w:right w:val="nil"/>
            </w:tcBorders>
            <w:shd w:val="clear" w:color="000000" w:fill="FFFFFF"/>
            <w:noWrap/>
            <w:vAlign w:val="center"/>
            <w:hideMark/>
          </w:tcPr>
          <w:p w14:paraId="73B67F4A" w14:textId="573F3430"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n/a</w:t>
            </w:r>
          </w:p>
        </w:tc>
        <w:tc>
          <w:tcPr>
            <w:tcW w:w="1077" w:type="dxa"/>
            <w:tcBorders>
              <w:top w:val="single" w:sz="4" w:space="0" w:color="E02628"/>
              <w:left w:val="nil"/>
              <w:bottom w:val="single" w:sz="4" w:space="0" w:color="E02628"/>
              <w:right w:val="nil"/>
            </w:tcBorders>
            <w:shd w:val="clear" w:color="000000" w:fill="FFFFFF"/>
            <w:vAlign w:val="center"/>
          </w:tcPr>
          <w:p w14:paraId="3B3E1D9D" w14:textId="6197E1DE"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41%</w:t>
            </w:r>
          </w:p>
        </w:tc>
      </w:tr>
      <w:tr w:rsidR="00B26157" w:rsidRPr="00EC326F" w14:paraId="64FFAE00"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5E7A1790" w14:textId="77777777" w:rsidR="00B26157" w:rsidRPr="00EC326F" w:rsidRDefault="00B26157" w:rsidP="00B26157">
            <w:pPr>
              <w:pStyle w:val="TableTextSmall"/>
              <w:rPr>
                <w:snapToGrid/>
                <w:lang w:eastAsia="en-AU"/>
              </w:rPr>
            </w:pPr>
            <w:r w:rsidRPr="00EC326F">
              <w:rPr>
                <w:snapToGrid/>
                <w:lang w:eastAsia="en-AU"/>
              </w:rPr>
              <w:t>- Exited 4+ years</w:t>
            </w:r>
          </w:p>
        </w:tc>
        <w:tc>
          <w:tcPr>
            <w:tcW w:w="1077" w:type="dxa"/>
            <w:tcBorders>
              <w:top w:val="single" w:sz="4" w:space="0" w:color="E02628"/>
              <w:left w:val="nil"/>
              <w:bottom w:val="single" w:sz="4" w:space="0" w:color="E02628"/>
              <w:right w:val="nil"/>
            </w:tcBorders>
            <w:shd w:val="clear" w:color="000000" w:fill="FFFFFF"/>
            <w:noWrap/>
            <w:vAlign w:val="center"/>
            <w:hideMark/>
          </w:tcPr>
          <w:p w14:paraId="0CE6EADF" w14:textId="769F5A53"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2,767,739</w:t>
            </w:r>
          </w:p>
        </w:tc>
        <w:tc>
          <w:tcPr>
            <w:tcW w:w="907" w:type="dxa"/>
            <w:tcBorders>
              <w:top w:val="single" w:sz="4" w:space="0" w:color="E02628"/>
              <w:left w:val="nil"/>
              <w:bottom w:val="single" w:sz="4" w:space="0" w:color="E02628"/>
              <w:right w:val="nil"/>
            </w:tcBorders>
            <w:shd w:val="clear" w:color="000000" w:fill="FFFFFF"/>
            <w:noWrap/>
            <w:vAlign w:val="center"/>
            <w:hideMark/>
          </w:tcPr>
          <w:p w14:paraId="11CD34A5" w14:textId="283FF21D"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46</w:t>
            </w:r>
          </w:p>
        </w:tc>
        <w:tc>
          <w:tcPr>
            <w:tcW w:w="855" w:type="dxa"/>
            <w:tcBorders>
              <w:top w:val="single" w:sz="4" w:space="0" w:color="E02628"/>
              <w:left w:val="nil"/>
              <w:bottom w:val="single" w:sz="4" w:space="0" w:color="E02628"/>
              <w:right w:val="nil"/>
            </w:tcBorders>
            <w:shd w:val="clear" w:color="000000" w:fill="FFFFFF"/>
            <w:noWrap/>
            <w:vAlign w:val="center"/>
            <w:hideMark/>
          </w:tcPr>
          <w:p w14:paraId="08696A4C" w14:textId="5BDBFE17"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411</w:t>
            </w:r>
          </w:p>
        </w:tc>
        <w:tc>
          <w:tcPr>
            <w:tcW w:w="993" w:type="dxa"/>
            <w:tcBorders>
              <w:top w:val="single" w:sz="4" w:space="0" w:color="E02628"/>
              <w:left w:val="nil"/>
              <w:bottom w:val="single" w:sz="4" w:space="0" w:color="E02628"/>
              <w:right w:val="nil"/>
            </w:tcBorders>
            <w:shd w:val="clear" w:color="000000" w:fill="FFFFFF"/>
            <w:noWrap/>
            <w:vAlign w:val="center"/>
            <w:hideMark/>
          </w:tcPr>
          <w:p w14:paraId="4F1F9C9B" w14:textId="673ABD53"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n/a</w:t>
            </w:r>
          </w:p>
        </w:tc>
        <w:tc>
          <w:tcPr>
            <w:tcW w:w="925" w:type="dxa"/>
            <w:tcBorders>
              <w:top w:val="single" w:sz="4" w:space="0" w:color="E02628"/>
              <w:left w:val="nil"/>
              <w:bottom w:val="single" w:sz="4" w:space="0" w:color="E02628"/>
              <w:right w:val="nil"/>
            </w:tcBorders>
            <w:shd w:val="clear" w:color="000000" w:fill="FFFFFF"/>
            <w:noWrap/>
            <w:vAlign w:val="center"/>
            <w:hideMark/>
          </w:tcPr>
          <w:p w14:paraId="0AC7CC97" w14:textId="26FBB11B"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148</w:t>
            </w:r>
          </w:p>
        </w:tc>
        <w:tc>
          <w:tcPr>
            <w:tcW w:w="892" w:type="dxa"/>
            <w:tcBorders>
              <w:top w:val="single" w:sz="4" w:space="0" w:color="E02628"/>
              <w:left w:val="nil"/>
              <w:bottom w:val="single" w:sz="4" w:space="0" w:color="E02628"/>
              <w:right w:val="nil"/>
            </w:tcBorders>
            <w:shd w:val="clear" w:color="000000" w:fill="FFFFFF"/>
            <w:noWrap/>
            <w:vAlign w:val="center"/>
            <w:hideMark/>
          </w:tcPr>
          <w:p w14:paraId="2E006E03" w14:textId="6975F6D1"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n/a</w:t>
            </w:r>
          </w:p>
        </w:tc>
        <w:tc>
          <w:tcPr>
            <w:tcW w:w="1077" w:type="dxa"/>
            <w:tcBorders>
              <w:top w:val="single" w:sz="4" w:space="0" w:color="E02628"/>
              <w:left w:val="nil"/>
              <w:bottom w:val="single" w:sz="4" w:space="0" w:color="E02628"/>
              <w:right w:val="nil"/>
            </w:tcBorders>
            <w:shd w:val="clear" w:color="000000" w:fill="FFFFFF"/>
            <w:vAlign w:val="center"/>
          </w:tcPr>
          <w:p w14:paraId="6189228F" w14:textId="7BCD5C95"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40%</w:t>
            </w:r>
          </w:p>
        </w:tc>
      </w:tr>
      <w:tr w:rsidR="00B26157" w:rsidRPr="00EC326F" w14:paraId="4AEFF878"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3FC31EFA" w14:textId="77777777" w:rsidR="00B26157" w:rsidRPr="00EC326F" w:rsidRDefault="00B26157" w:rsidP="00B26157">
            <w:pPr>
              <w:pStyle w:val="TableTextSmall"/>
              <w:rPr>
                <w:i/>
                <w:iCs/>
                <w:snapToGrid/>
                <w:lang w:eastAsia="en-AU"/>
              </w:rPr>
            </w:pPr>
            <w:r w:rsidRPr="00EC326F">
              <w:rPr>
                <w:i/>
                <w:iCs/>
                <w:snapToGrid/>
                <w:lang w:eastAsia="en-AU"/>
              </w:rPr>
              <w:t>Total previous welfare recipients</w:t>
            </w:r>
          </w:p>
        </w:tc>
        <w:tc>
          <w:tcPr>
            <w:tcW w:w="1077" w:type="dxa"/>
            <w:tcBorders>
              <w:top w:val="single" w:sz="4" w:space="0" w:color="E02628"/>
              <w:left w:val="nil"/>
              <w:bottom w:val="single" w:sz="4" w:space="0" w:color="E02628"/>
              <w:right w:val="nil"/>
            </w:tcBorders>
            <w:shd w:val="clear" w:color="000000" w:fill="FFFFFF"/>
            <w:noWrap/>
            <w:vAlign w:val="center"/>
            <w:hideMark/>
          </w:tcPr>
          <w:p w14:paraId="3B8822A7" w14:textId="2720B634" w:rsidR="00B26157" w:rsidRPr="00EC326F" w:rsidRDefault="00B26157" w:rsidP="00B26157">
            <w:pPr>
              <w:pStyle w:val="TableTextSmall"/>
              <w:jc w:val="center"/>
              <w:rPr>
                <w:rFonts w:ascii="Arial" w:hAnsi="Arial"/>
                <w:i/>
                <w:iCs/>
                <w:snapToGrid/>
                <w:lang w:eastAsia="en-AU"/>
              </w:rPr>
            </w:pPr>
            <w:r>
              <w:rPr>
                <w:rFonts w:ascii="Arial" w:hAnsi="Arial"/>
                <w:i/>
                <w:iCs/>
                <w:color w:val="404040"/>
                <w:sz w:val="14"/>
                <w:szCs w:val="14"/>
              </w:rPr>
              <w:t>4,186,597</w:t>
            </w:r>
          </w:p>
        </w:tc>
        <w:tc>
          <w:tcPr>
            <w:tcW w:w="907" w:type="dxa"/>
            <w:tcBorders>
              <w:top w:val="single" w:sz="4" w:space="0" w:color="E02628"/>
              <w:left w:val="nil"/>
              <w:bottom w:val="single" w:sz="4" w:space="0" w:color="E02628"/>
              <w:right w:val="nil"/>
            </w:tcBorders>
            <w:shd w:val="clear" w:color="000000" w:fill="FFFFFF"/>
            <w:noWrap/>
            <w:vAlign w:val="center"/>
            <w:hideMark/>
          </w:tcPr>
          <w:p w14:paraId="70A64598" w14:textId="37F36862" w:rsidR="00B26157" w:rsidRPr="00EC326F" w:rsidRDefault="00B26157" w:rsidP="00B26157">
            <w:pPr>
              <w:pStyle w:val="TableTextSmall"/>
              <w:jc w:val="center"/>
              <w:rPr>
                <w:rFonts w:ascii="Arial" w:hAnsi="Arial"/>
                <w:i/>
                <w:iCs/>
                <w:snapToGrid/>
                <w:lang w:eastAsia="en-AU"/>
              </w:rPr>
            </w:pPr>
            <w:r>
              <w:rPr>
                <w:rFonts w:ascii="Arial" w:hAnsi="Arial"/>
                <w:i/>
                <w:iCs/>
                <w:color w:val="404040"/>
                <w:sz w:val="14"/>
                <w:szCs w:val="14"/>
              </w:rPr>
              <w:t>44</w:t>
            </w:r>
          </w:p>
        </w:tc>
        <w:tc>
          <w:tcPr>
            <w:tcW w:w="855" w:type="dxa"/>
            <w:tcBorders>
              <w:top w:val="single" w:sz="4" w:space="0" w:color="E02628"/>
              <w:left w:val="nil"/>
              <w:bottom w:val="single" w:sz="4" w:space="0" w:color="E02628"/>
              <w:right w:val="nil"/>
            </w:tcBorders>
            <w:shd w:val="clear" w:color="000000" w:fill="FFFFFF"/>
            <w:noWrap/>
            <w:vAlign w:val="center"/>
            <w:hideMark/>
          </w:tcPr>
          <w:p w14:paraId="35C8CBC2" w14:textId="43C97430" w:rsidR="00B26157" w:rsidRPr="00EC326F" w:rsidRDefault="00B26157" w:rsidP="00B26157">
            <w:pPr>
              <w:pStyle w:val="TableTextSmall"/>
              <w:jc w:val="center"/>
              <w:rPr>
                <w:rFonts w:ascii="Arial" w:hAnsi="Arial"/>
                <w:i/>
                <w:iCs/>
                <w:snapToGrid/>
                <w:lang w:eastAsia="en-AU"/>
              </w:rPr>
            </w:pPr>
            <w:r>
              <w:rPr>
                <w:rFonts w:ascii="Arial" w:hAnsi="Arial"/>
                <w:i/>
                <w:iCs/>
                <w:color w:val="404040"/>
                <w:sz w:val="14"/>
                <w:szCs w:val="14"/>
              </w:rPr>
              <w:t>653</w:t>
            </w:r>
          </w:p>
        </w:tc>
        <w:tc>
          <w:tcPr>
            <w:tcW w:w="993" w:type="dxa"/>
            <w:tcBorders>
              <w:top w:val="single" w:sz="4" w:space="0" w:color="E02628"/>
              <w:left w:val="nil"/>
              <w:bottom w:val="single" w:sz="4" w:space="0" w:color="E02628"/>
              <w:right w:val="nil"/>
            </w:tcBorders>
            <w:shd w:val="clear" w:color="000000" w:fill="FFFFFF"/>
            <w:noWrap/>
            <w:vAlign w:val="center"/>
            <w:hideMark/>
          </w:tcPr>
          <w:p w14:paraId="733DAEE9" w14:textId="6CE270AB" w:rsidR="00B26157" w:rsidRPr="00EC326F" w:rsidRDefault="00B26157" w:rsidP="00B26157">
            <w:pPr>
              <w:pStyle w:val="TableTextSmall"/>
              <w:jc w:val="center"/>
              <w:rPr>
                <w:rFonts w:ascii="Arial" w:hAnsi="Arial"/>
                <w:i/>
                <w:snapToGrid/>
                <w:lang w:eastAsia="en-AU"/>
              </w:rPr>
            </w:pPr>
            <w:r>
              <w:rPr>
                <w:rFonts w:ascii="Arial" w:hAnsi="Arial"/>
                <w:color w:val="404040"/>
                <w:sz w:val="14"/>
                <w:szCs w:val="14"/>
              </w:rPr>
              <w:t>n/a</w:t>
            </w:r>
          </w:p>
        </w:tc>
        <w:tc>
          <w:tcPr>
            <w:tcW w:w="925" w:type="dxa"/>
            <w:tcBorders>
              <w:top w:val="single" w:sz="4" w:space="0" w:color="E02628"/>
              <w:left w:val="nil"/>
              <w:bottom w:val="single" w:sz="4" w:space="0" w:color="E02628"/>
              <w:right w:val="nil"/>
            </w:tcBorders>
            <w:shd w:val="clear" w:color="000000" w:fill="FFFFFF"/>
            <w:noWrap/>
            <w:vAlign w:val="center"/>
            <w:hideMark/>
          </w:tcPr>
          <w:p w14:paraId="206C0DE4" w14:textId="69E3455E" w:rsidR="00B26157" w:rsidRPr="00EC326F" w:rsidRDefault="00B26157" w:rsidP="00B26157">
            <w:pPr>
              <w:pStyle w:val="TableTextSmall"/>
              <w:jc w:val="center"/>
              <w:rPr>
                <w:rFonts w:ascii="Arial" w:hAnsi="Arial"/>
                <w:i/>
                <w:iCs/>
                <w:snapToGrid/>
                <w:lang w:eastAsia="en-AU"/>
              </w:rPr>
            </w:pPr>
            <w:r>
              <w:rPr>
                <w:rFonts w:ascii="Arial" w:hAnsi="Arial"/>
                <w:i/>
                <w:iCs/>
                <w:color w:val="404040"/>
                <w:sz w:val="14"/>
                <w:szCs w:val="14"/>
              </w:rPr>
              <w:t>156</w:t>
            </w:r>
          </w:p>
        </w:tc>
        <w:tc>
          <w:tcPr>
            <w:tcW w:w="892" w:type="dxa"/>
            <w:tcBorders>
              <w:top w:val="single" w:sz="4" w:space="0" w:color="E02628"/>
              <w:left w:val="nil"/>
              <w:bottom w:val="single" w:sz="4" w:space="0" w:color="E02628"/>
              <w:right w:val="nil"/>
            </w:tcBorders>
            <w:shd w:val="clear" w:color="000000" w:fill="FFFFFF"/>
            <w:noWrap/>
            <w:vAlign w:val="center"/>
            <w:hideMark/>
          </w:tcPr>
          <w:p w14:paraId="6C5DB75F" w14:textId="61275E69" w:rsidR="00B26157" w:rsidRPr="00EC326F" w:rsidRDefault="00B26157" w:rsidP="00B26157">
            <w:pPr>
              <w:pStyle w:val="TableTextSmall"/>
              <w:jc w:val="center"/>
              <w:rPr>
                <w:rFonts w:ascii="Arial" w:hAnsi="Arial"/>
                <w:i/>
                <w:snapToGrid/>
                <w:lang w:eastAsia="en-AU"/>
              </w:rPr>
            </w:pPr>
            <w:r>
              <w:rPr>
                <w:rFonts w:ascii="Arial" w:hAnsi="Arial"/>
                <w:color w:val="404040"/>
                <w:sz w:val="14"/>
                <w:szCs w:val="14"/>
              </w:rPr>
              <w:t>n/a</w:t>
            </w:r>
          </w:p>
        </w:tc>
        <w:tc>
          <w:tcPr>
            <w:tcW w:w="1077" w:type="dxa"/>
            <w:tcBorders>
              <w:top w:val="single" w:sz="4" w:space="0" w:color="E02628"/>
              <w:left w:val="nil"/>
              <w:bottom w:val="single" w:sz="4" w:space="0" w:color="E02628"/>
              <w:right w:val="nil"/>
            </w:tcBorders>
            <w:shd w:val="clear" w:color="000000" w:fill="FFFFFF"/>
            <w:vAlign w:val="center"/>
          </w:tcPr>
          <w:p w14:paraId="6250A5A8" w14:textId="2E071874" w:rsidR="00B26157" w:rsidRPr="00EC326F" w:rsidRDefault="00B26157" w:rsidP="00B26157">
            <w:pPr>
              <w:pStyle w:val="TableTextSmall"/>
              <w:jc w:val="center"/>
              <w:rPr>
                <w:rFonts w:ascii="Arial" w:hAnsi="Arial"/>
                <w:i/>
                <w:snapToGrid/>
                <w:lang w:eastAsia="en-AU"/>
              </w:rPr>
            </w:pPr>
            <w:r>
              <w:rPr>
                <w:rFonts w:ascii="Arial" w:hAnsi="Arial"/>
                <w:color w:val="404040"/>
                <w:sz w:val="14"/>
                <w:szCs w:val="14"/>
              </w:rPr>
              <w:t>41%</w:t>
            </w:r>
          </w:p>
        </w:tc>
      </w:tr>
      <w:tr w:rsidR="00B26157" w:rsidRPr="00EC326F" w14:paraId="0F3EE886" w14:textId="77777777" w:rsidTr="00744519">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731BF6A5" w14:textId="77777777" w:rsidR="00B26157" w:rsidRPr="00EC326F" w:rsidRDefault="00B26157" w:rsidP="00B26157">
            <w:pPr>
              <w:pStyle w:val="TableColumnHeadingSmall"/>
              <w:rPr>
                <w:snapToGrid/>
                <w:lang w:eastAsia="en-AU"/>
              </w:rPr>
            </w:pPr>
            <w:r w:rsidRPr="00EC326F">
              <w:rPr>
                <w:snapToGrid/>
                <w:lang w:eastAsia="en-AU"/>
              </w:rPr>
              <w:t>Rest of Australian resident population</w:t>
            </w:r>
          </w:p>
        </w:tc>
        <w:tc>
          <w:tcPr>
            <w:tcW w:w="1077" w:type="dxa"/>
            <w:tcBorders>
              <w:top w:val="single" w:sz="4" w:space="0" w:color="E02628"/>
              <w:left w:val="nil"/>
              <w:bottom w:val="single" w:sz="4" w:space="0" w:color="E02628"/>
              <w:right w:val="nil"/>
            </w:tcBorders>
            <w:shd w:val="clear" w:color="auto" w:fill="E02628"/>
            <w:noWrap/>
            <w:vAlign w:val="center"/>
            <w:hideMark/>
          </w:tcPr>
          <w:p w14:paraId="12D21D18" w14:textId="6141D5C8" w:rsidR="00B26157" w:rsidRPr="00EC326F" w:rsidRDefault="00B26157" w:rsidP="00B26157">
            <w:pPr>
              <w:pStyle w:val="TableColumnHeadingSmall"/>
              <w:jc w:val="center"/>
              <w:rPr>
                <w:snapToGrid/>
                <w:lang w:eastAsia="en-AU"/>
              </w:rPr>
            </w:pPr>
            <w:r>
              <w:rPr>
                <w:rFonts w:ascii="Arial" w:hAnsi="Arial"/>
                <w:color w:val="FFFFFF"/>
                <w:sz w:val="14"/>
                <w:szCs w:val="14"/>
              </w:rPr>
              <w:t> </w:t>
            </w:r>
          </w:p>
        </w:tc>
        <w:tc>
          <w:tcPr>
            <w:tcW w:w="907" w:type="dxa"/>
            <w:tcBorders>
              <w:top w:val="single" w:sz="4" w:space="0" w:color="E02628"/>
              <w:left w:val="nil"/>
              <w:bottom w:val="single" w:sz="4" w:space="0" w:color="E02628"/>
              <w:right w:val="nil"/>
            </w:tcBorders>
            <w:shd w:val="clear" w:color="auto" w:fill="E02628"/>
            <w:noWrap/>
            <w:vAlign w:val="center"/>
            <w:hideMark/>
          </w:tcPr>
          <w:p w14:paraId="21B2CCA8" w14:textId="21541B4E" w:rsidR="00B26157" w:rsidRPr="00EC326F" w:rsidRDefault="00B26157" w:rsidP="00B26157">
            <w:pPr>
              <w:pStyle w:val="TableColumnHeadingSmall"/>
              <w:jc w:val="center"/>
              <w:rPr>
                <w:snapToGrid/>
                <w:lang w:eastAsia="en-AU"/>
              </w:rPr>
            </w:pPr>
            <w:r>
              <w:rPr>
                <w:rFonts w:ascii="Arial" w:hAnsi="Arial"/>
                <w:b w:val="0"/>
                <w:bCs/>
                <w:color w:val="FFFFFF"/>
                <w:sz w:val="14"/>
                <w:szCs w:val="14"/>
              </w:rPr>
              <w:t> </w:t>
            </w:r>
          </w:p>
        </w:tc>
        <w:tc>
          <w:tcPr>
            <w:tcW w:w="855" w:type="dxa"/>
            <w:tcBorders>
              <w:top w:val="single" w:sz="4" w:space="0" w:color="E02628"/>
              <w:left w:val="nil"/>
              <w:bottom w:val="single" w:sz="4" w:space="0" w:color="E02628"/>
              <w:right w:val="nil"/>
            </w:tcBorders>
            <w:shd w:val="clear" w:color="auto" w:fill="E02628"/>
            <w:noWrap/>
            <w:vAlign w:val="center"/>
            <w:hideMark/>
          </w:tcPr>
          <w:p w14:paraId="6361FF94" w14:textId="35B349FA" w:rsidR="00B26157" w:rsidRPr="00EC326F" w:rsidRDefault="00B26157" w:rsidP="00B26157">
            <w:pPr>
              <w:pStyle w:val="TableColumnHeadingSmall"/>
              <w:jc w:val="center"/>
              <w:rPr>
                <w:snapToGrid/>
                <w:lang w:eastAsia="en-AU"/>
              </w:rPr>
            </w:pPr>
            <w:r>
              <w:rPr>
                <w:rFonts w:ascii="Arial" w:hAnsi="Arial"/>
                <w:color w:val="FFFFFF"/>
                <w:sz w:val="14"/>
                <w:szCs w:val="14"/>
              </w:rPr>
              <w:t> </w:t>
            </w:r>
          </w:p>
        </w:tc>
        <w:tc>
          <w:tcPr>
            <w:tcW w:w="993" w:type="dxa"/>
            <w:tcBorders>
              <w:top w:val="single" w:sz="4" w:space="0" w:color="E02628"/>
              <w:left w:val="nil"/>
              <w:bottom w:val="single" w:sz="4" w:space="0" w:color="E02628"/>
              <w:right w:val="nil"/>
            </w:tcBorders>
            <w:shd w:val="clear" w:color="auto" w:fill="E02628"/>
            <w:noWrap/>
            <w:vAlign w:val="center"/>
            <w:hideMark/>
          </w:tcPr>
          <w:p w14:paraId="4196B399" w14:textId="148A5BB0" w:rsidR="00B26157" w:rsidRPr="00EC326F" w:rsidRDefault="00B26157" w:rsidP="00B26157">
            <w:pPr>
              <w:pStyle w:val="TableColumnHeadingSmall"/>
              <w:jc w:val="center"/>
              <w:rPr>
                <w:snapToGrid/>
                <w:lang w:eastAsia="en-AU"/>
              </w:rPr>
            </w:pPr>
            <w:r>
              <w:rPr>
                <w:rFonts w:ascii="Arial" w:hAnsi="Arial"/>
                <w:color w:val="FFFFFF"/>
                <w:sz w:val="14"/>
                <w:szCs w:val="14"/>
              </w:rPr>
              <w:t> </w:t>
            </w:r>
          </w:p>
        </w:tc>
        <w:tc>
          <w:tcPr>
            <w:tcW w:w="925" w:type="dxa"/>
            <w:tcBorders>
              <w:top w:val="single" w:sz="4" w:space="0" w:color="E02628"/>
              <w:left w:val="nil"/>
              <w:bottom w:val="single" w:sz="4" w:space="0" w:color="E02628"/>
              <w:right w:val="nil"/>
            </w:tcBorders>
            <w:shd w:val="clear" w:color="auto" w:fill="E02628"/>
            <w:noWrap/>
            <w:vAlign w:val="center"/>
            <w:hideMark/>
          </w:tcPr>
          <w:p w14:paraId="4D74BE76" w14:textId="1AEC3C31" w:rsidR="00B26157" w:rsidRPr="00EC326F" w:rsidRDefault="00B26157" w:rsidP="00B26157">
            <w:pPr>
              <w:pStyle w:val="TableColumnHeadingSmall"/>
              <w:jc w:val="center"/>
              <w:rPr>
                <w:snapToGrid/>
                <w:lang w:eastAsia="en-AU"/>
              </w:rPr>
            </w:pPr>
            <w:r>
              <w:rPr>
                <w:rFonts w:ascii="Arial" w:hAnsi="Arial"/>
                <w:color w:val="FFFFFF"/>
                <w:sz w:val="14"/>
                <w:szCs w:val="14"/>
              </w:rPr>
              <w:t> </w:t>
            </w:r>
          </w:p>
        </w:tc>
        <w:tc>
          <w:tcPr>
            <w:tcW w:w="892" w:type="dxa"/>
            <w:tcBorders>
              <w:top w:val="single" w:sz="4" w:space="0" w:color="E02628"/>
              <w:left w:val="nil"/>
              <w:bottom w:val="single" w:sz="4" w:space="0" w:color="E02628"/>
              <w:right w:val="nil"/>
            </w:tcBorders>
            <w:shd w:val="clear" w:color="auto" w:fill="E02628"/>
            <w:noWrap/>
            <w:vAlign w:val="center"/>
            <w:hideMark/>
          </w:tcPr>
          <w:p w14:paraId="12BB9275" w14:textId="73CDE1B0" w:rsidR="00B26157" w:rsidRPr="00EC326F" w:rsidRDefault="00B26157" w:rsidP="00B26157">
            <w:pPr>
              <w:pStyle w:val="TableColumnHeadingSmall"/>
              <w:jc w:val="center"/>
              <w:rPr>
                <w:snapToGrid/>
                <w:lang w:eastAsia="en-AU"/>
              </w:rPr>
            </w:pPr>
            <w:r>
              <w:rPr>
                <w:rFonts w:ascii="Arial" w:hAnsi="Arial"/>
                <w:color w:val="FFFFFF"/>
                <w:sz w:val="14"/>
                <w:szCs w:val="14"/>
              </w:rPr>
              <w:t> </w:t>
            </w:r>
          </w:p>
        </w:tc>
        <w:tc>
          <w:tcPr>
            <w:tcW w:w="1077" w:type="dxa"/>
            <w:tcBorders>
              <w:top w:val="single" w:sz="4" w:space="0" w:color="E02628"/>
              <w:left w:val="nil"/>
              <w:bottom w:val="single" w:sz="4" w:space="0" w:color="E02628"/>
              <w:right w:val="nil"/>
            </w:tcBorders>
            <w:shd w:val="clear" w:color="auto" w:fill="E02628"/>
            <w:vAlign w:val="center"/>
          </w:tcPr>
          <w:p w14:paraId="40EE40F6" w14:textId="3C581E7D" w:rsidR="00B26157" w:rsidRPr="00EC326F" w:rsidRDefault="00B26157" w:rsidP="00B26157">
            <w:pPr>
              <w:pStyle w:val="TableColumnHeadingSmall"/>
              <w:jc w:val="center"/>
              <w:rPr>
                <w:snapToGrid/>
                <w:lang w:eastAsia="en-AU"/>
              </w:rPr>
            </w:pPr>
            <w:r>
              <w:rPr>
                <w:rFonts w:ascii="Arial" w:hAnsi="Arial"/>
                <w:color w:val="FFFFFF"/>
                <w:sz w:val="14"/>
                <w:szCs w:val="14"/>
              </w:rPr>
              <w:t> </w:t>
            </w:r>
          </w:p>
        </w:tc>
      </w:tr>
      <w:tr w:rsidR="00B26157" w:rsidRPr="00EC326F" w14:paraId="5D77B487" w14:textId="77777777" w:rsidTr="00EB292D">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7B6B1745" w14:textId="77777777" w:rsidR="00B26157" w:rsidRPr="00EC326F" w:rsidRDefault="00B26157" w:rsidP="00B26157">
            <w:pPr>
              <w:pStyle w:val="TableTextSmall"/>
              <w:rPr>
                <w:snapToGrid/>
                <w:lang w:eastAsia="en-AU"/>
              </w:rPr>
            </w:pPr>
            <w:r w:rsidRPr="00EC326F">
              <w:rPr>
                <w:snapToGrid/>
                <w:lang w:eastAsia="en-AU"/>
              </w:rPr>
              <w:t>- Rest of Australian resident population</w:t>
            </w:r>
          </w:p>
        </w:tc>
        <w:tc>
          <w:tcPr>
            <w:tcW w:w="1077" w:type="dxa"/>
            <w:tcBorders>
              <w:top w:val="single" w:sz="4" w:space="0" w:color="E02628"/>
              <w:left w:val="nil"/>
              <w:bottom w:val="single" w:sz="4" w:space="0" w:color="E02628"/>
              <w:right w:val="nil"/>
            </w:tcBorders>
            <w:shd w:val="clear" w:color="000000" w:fill="FFFFFF"/>
            <w:noWrap/>
            <w:vAlign w:val="center"/>
            <w:hideMark/>
          </w:tcPr>
          <w:p w14:paraId="5668B3EB" w14:textId="6DD1D5C9"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11,929,432</w:t>
            </w:r>
          </w:p>
        </w:tc>
        <w:tc>
          <w:tcPr>
            <w:tcW w:w="907" w:type="dxa"/>
            <w:tcBorders>
              <w:top w:val="single" w:sz="4" w:space="0" w:color="E02628"/>
              <w:left w:val="nil"/>
              <w:bottom w:val="single" w:sz="4" w:space="0" w:color="E02628"/>
              <w:right w:val="nil"/>
            </w:tcBorders>
            <w:shd w:val="clear" w:color="000000" w:fill="FFFFFF"/>
            <w:noWrap/>
            <w:vAlign w:val="center"/>
            <w:hideMark/>
          </w:tcPr>
          <w:p w14:paraId="09CB0FF9" w14:textId="6D35D514"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28</w:t>
            </w:r>
          </w:p>
        </w:tc>
        <w:tc>
          <w:tcPr>
            <w:tcW w:w="855" w:type="dxa"/>
            <w:tcBorders>
              <w:top w:val="single" w:sz="4" w:space="0" w:color="E02628"/>
              <w:left w:val="nil"/>
              <w:bottom w:val="single" w:sz="4" w:space="0" w:color="E02628"/>
              <w:right w:val="nil"/>
            </w:tcBorders>
            <w:shd w:val="clear" w:color="000000" w:fill="FFFFFF"/>
            <w:noWrap/>
            <w:vAlign w:val="center"/>
            <w:hideMark/>
          </w:tcPr>
          <w:p w14:paraId="4E306F84" w14:textId="35766E23"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1,766</w:t>
            </w:r>
          </w:p>
        </w:tc>
        <w:tc>
          <w:tcPr>
            <w:tcW w:w="993" w:type="dxa"/>
            <w:tcBorders>
              <w:top w:val="single" w:sz="4" w:space="0" w:color="E02628"/>
              <w:left w:val="nil"/>
              <w:bottom w:val="single" w:sz="4" w:space="0" w:color="E02628"/>
              <w:right w:val="nil"/>
            </w:tcBorders>
            <w:shd w:val="clear" w:color="000000" w:fill="FFFFFF"/>
            <w:noWrap/>
            <w:vAlign w:val="center"/>
            <w:hideMark/>
          </w:tcPr>
          <w:p w14:paraId="3332ED4D" w14:textId="18C26E6E"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n/a</w:t>
            </w:r>
          </w:p>
        </w:tc>
        <w:tc>
          <w:tcPr>
            <w:tcW w:w="925" w:type="dxa"/>
            <w:tcBorders>
              <w:top w:val="single" w:sz="4" w:space="0" w:color="E02628"/>
              <w:left w:val="nil"/>
              <w:bottom w:val="single" w:sz="4" w:space="0" w:color="E02628"/>
              <w:right w:val="nil"/>
            </w:tcBorders>
            <w:shd w:val="clear" w:color="000000" w:fill="FFFFFF"/>
            <w:noWrap/>
            <w:vAlign w:val="center"/>
            <w:hideMark/>
          </w:tcPr>
          <w:p w14:paraId="43C66E5A" w14:textId="56DAF381"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148</w:t>
            </w:r>
          </w:p>
        </w:tc>
        <w:tc>
          <w:tcPr>
            <w:tcW w:w="892" w:type="dxa"/>
            <w:tcBorders>
              <w:top w:val="single" w:sz="4" w:space="0" w:color="E02628"/>
              <w:left w:val="nil"/>
              <w:bottom w:val="single" w:sz="4" w:space="0" w:color="E02628"/>
              <w:right w:val="nil"/>
            </w:tcBorders>
            <w:shd w:val="clear" w:color="000000" w:fill="FFFFFF"/>
            <w:noWrap/>
            <w:vAlign w:val="center"/>
            <w:hideMark/>
          </w:tcPr>
          <w:p w14:paraId="2E844232" w14:textId="655799E2"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n/a</w:t>
            </w:r>
          </w:p>
        </w:tc>
        <w:tc>
          <w:tcPr>
            <w:tcW w:w="1077" w:type="dxa"/>
            <w:tcBorders>
              <w:top w:val="single" w:sz="4" w:space="0" w:color="E02628"/>
              <w:left w:val="nil"/>
              <w:bottom w:val="single" w:sz="4" w:space="0" w:color="E02628"/>
              <w:right w:val="nil"/>
            </w:tcBorders>
            <w:shd w:val="clear" w:color="000000" w:fill="FFFFFF"/>
            <w:vAlign w:val="center"/>
          </w:tcPr>
          <w:p w14:paraId="22EC474A" w14:textId="50D5B6CA" w:rsidR="00B26157" w:rsidRPr="00EC326F" w:rsidRDefault="00B26157" w:rsidP="00B26157">
            <w:pPr>
              <w:pStyle w:val="TableTextSmall"/>
              <w:jc w:val="center"/>
              <w:rPr>
                <w:rFonts w:ascii="Arial" w:hAnsi="Arial"/>
                <w:snapToGrid/>
                <w:lang w:eastAsia="en-AU"/>
              </w:rPr>
            </w:pPr>
            <w:r>
              <w:rPr>
                <w:rFonts w:ascii="Arial" w:hAnsi="Arial"/>
                <w:color w:val="404040"/>
                <w:sz w:val="14"/>
                <w:szCs w:val="14"/>
              </w:rPr>
              <w:t>35%</w:t>
            </w:r>
          </w:p>
        </w:tc>
      </w:tr>
      <w:tr w:rsidR="00B26157" w:rsidRPr="00EC326F" w14:paraId="0351285F" w14:textId="77777777" w:rsidTr="00EB292D">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5455864B" w14:textId="77777777" w:rsidR="00B26157" w:rsidRPr="00EC326F" w:rsidRDefault="00B26157" w:rsidP="00B26157">
            <w:pPr>
              <w:pStyle w:val="TableColumnHeadingSmall"/>
              <w:rPr>
                <w:snapToGrid/>
                <w:lang w:eastAsia="en-AU"/>
              </w:rPr>
            </w:pPr>
            <w:r w:rsidRPr="00EC326F">
              <w:rPr>
                <w:snapToGrid/>
                <w:lang w:eastAsia="en-AU"/>
              </w:rPr>
              <w:t>Australian resident population</w:t>
            </w:r>
          </w:p>
        </w:tc>
        <w:tc>
          <w:tcPr>
            <w:tcW w:w="1077" w:type="dxa"/>
            <w:tcBorders>
              <w:top w:val="single" w:sz="4" w:space="0" w:color="E02628"/>
              <w:left w:val="nil"/>
              <w:bottom w:val="single" w:sz="4" w:space="0" w:color="E02628"/>
              <w:right w:val="nil"/>
            </w:tcBorders>
            <w:shd w:val="clear" w:color="auto" w:fill="E02628"/>
            <w:noWrap/>
            <w:vAlign w:val="center"/>
            <w:hideMark/>
          </w:tcPr>
          <w:p w14:paraId="700DD09F" w14:textId="699A8458" w:rsidR="00B26157" w:rsidRPr="00EC326F" w:rsidRDefault="00B26157" w:rsidP="00B26157">
            <w:pPr>
              <w:pStyle w:val="TableColumnHeadingSmall"/>
              <w:jc w:val="center"/>
              <w:rPr>
                <w:rFonts w:ascii="Arial" w:hAnsi="Arial"/>
                <w:snapToGrid/>
                <w:lang w:eastAsia="en-AU"/>
              </w:rPr>
            </w:pPr>
            <w:r>
              <w:rPr>
                <w:rFonts w:ascii="Arial" w:hAnsi="Arial"/>
                <w:b w:val="0"/>
                <w:bCs/>
                <w:color w:val="FFFFFF"/>
                <w:sz w:val="14"/>
                <w:szCs w:val="14"/>
              </w:rPr>
              <w:t>24,162,601</w:t>
            </w:r>
          </w:p>
        </w:tc>
        <w:tc>
          <w:tcPr>
            <w:tcW w:w="907" w:type="dxa"/>
            <w:tcBorders>
              <w:top w:val="single" w:sz="4" w:space="0" w:color="E02628"/>
              <w:left w:val="nil"/>
              <w:bottom w:val="single" w:sz="4" w:space="0" w:color="E02628"/>
              <w:right w:val="nil"/>
            </w:tcBorders>
            <w:shd w:val="clear" w:color="auto" w:fill="E02628"/>
            <w:noWrap/>
            <w:vAlign w:val="center"/>
            <w:hideMark/>
          </w:tcPr>
          <w:p w14:paraId="5D095ABF" w14:textId="4B7A7756" w:rsidR="00B26157" w:rsidRPr="00EC326F" w:rsidRDefault="00B26157" w:rsidP="00B26157">
            <w:pPr>
              <w:pStyle w:val="TableColumnHeadingSmall"/>
              <w:jc w:val="center"/>
              <w:rPr>
                <w:rFonts w:ascii="Arial" w:hAnsi="Arial"/>
                <w:snapToGrid/>
                <w:lang w:eastAsia="en-AU"/>
              </w:rPr>
            </w:pPr>
            <w:r>
              <w:rPr>
                <w:rFonts w:ascii="Arial" w:hAnsi="Arial"/>
                <w:b w:val="0"/>
                <w:bCs/>
                <w:color w:val="FFFFFF"/>
                <w:sz w:val="14"/>
                <w:szCs w:val="14"/>
              </w:rPr>
              <w:t>39</w:t>
            </w:r>
          </w:p>
        </w:tc>
        <w:tc>
          <w:tcPr>
            <w:tcW w:w="855" w:type="dxa"/>
            <w:tcBorders>
              <w:top w:val="single" w:sz="4" w:space="0" w:color="E02628"/>
              <w:left w:val="nil"/>
              <w:bottom w:val="single" w:sz="4" w:space="0" w:color="E02628"/>
              <w:right w:val="nil"/>
            </w:tcBorders>
            <w:shd w:val="clear" w:color="auto" w:fill="E02628"/>
            <w:noWrap/>
            <w:vAlign w:val="center"/>
            <w:hideMark/>
          </w:tcPr>
          <w:p w14:paraId="4AEB3C4F" w14:textId="3AE49607" w:rsidR="00B26157" w:rsidRPr="00EC326F" w:rsidRDefault="00B26157" w:rsidP="00B26157">
            <w:pPr>
              <w:pStyle w:val="TableColumnHeadingSmall"/>
              <w:jc w:val="center"/>
              <w:rPr>
                <w:rFonts w:ascii="Arial" w:hAnsi="Arial"/>
                <w:snapToGrid/>
                <w:lang w:eastAsia="en-AU"/>
              </w:rPr>
            </w:pPr>
            <w:r>
              <w:rPr>
                <w:rFonts w:ascii="Arial" w:hAnsi="Arial"/>
                <w:b w:val="0"/>
                <w:bCs/>
                <w:color w:val="FFFFFF"/>
                <w:sz w:val="14"/>
                <w:szCs w:val="14"/>
              </w:rPr>
              <w:t>4,514</w:t>
            </w:r>
          </w:p>
        </w:tc>
        <w:tc>
          <w:tcPr>
            <w:tcW w:w="993" w:type="dxa"/>
            <w:tcBorders>
              <w:top w:val="single" w:sz="4" w:space="0" w:color="E02628"/>
              <w:left w:val="nil"/>
              <w:bottom w:val="single" w:sz="4" w:space="0" w:color="E02628"/>
              <w:right w:val="nil"/>
            </w:tcBorders>
            <w:shd w:val="clear" w:color="auto" w:fill="E02628"/>
            <w:noWrap/>
            <w:vAlign w:val="center"/>
            <w:hideMark/>
          </w:tcPr>
          <w:p w14:paraId="3D758442" w14:textId="67113177" w:rsidR="00B26157" w:rsidRPr="00EC326F" w:rsidRDefault="00B26157" w:rsidP="00B26157">
            <w:pPr>
              <w:pStyle w:val="TableColumnHeadingSmall"/>
              <w:jc w:val="center"/>
              <w:rPr>
                <w:rFonts w:ascii="Arial" w:hAnsi="Arial"/>
                <w:snapToGrid/>
                <w:lang w:eastAsia="en-AU"/>
              </w:rPr>
            </w:pPr>
            <w:r>
              <w:rPr>
                <w:rFonts w:ascii="Arial" w:hAnsi="Arial"/>
                <w:b w:val="0"/>
                <w:bCs/>
                <w:color w:val="FFFFFF"/>
                <w:sz w:val="14"/>
                <w:szCs w:val="14"/>
              </w:rPr>
              <w:t>n/a</w:t>
            </w:r>
          </w:p>
        </w:tc>
        <w:tc>
          <w:tcPr>
            <w:tcW w:w="925" w:type="dxa"/>
            <w:tcBorders>
              <w:top w:val="single" w:sz="4" w:space="0" w:color="E02628"/>
              <w:left w:val="nil"/>
              <w:bottom w:val="single" w:sz="4" w:space="0" w:color="E02628"/>
              <w:right w:val="nil"/>
            </w:tcBorders>
            <w:shd w:val="clear" w:color="auto" w:fill="E02628"/>
            <w:noWrap/>
            <w:vAlign w:val="center"/>
            <w:hideMark/>
          </w:tcPr>
          <w:p w14:paraId="605F9E7C" w14:textId="32317550" w:rsidR="00B26157" w:rsidRPr="00EC326F" w:rsidRDefault="00B26157" w:rsidP="00B26157">
            <w:pPr>
              <w:pStyle w:val="TableColumnHeadingSmall"/>
              <w:jc w:val="center"/>
              <w:rPr>
                <w:rFonts w:ascii="Arial" w:hAnsi="Arial"/>
                <w:snapToGrid/>
                <w:lang w:eastAsia="en-AU"/>
              </w:rPr>
            </w:pPr>
            <w:r>
              <w:rPr>
                <w:rFonts w:ascii="Arial" w:hAnsi="Arial"/>
                <w:b w:val="0"/>
                <w:bCs/>
                <w:color w:val="FFFFFF"/>
                <w:sz w:val="14"/>
                <w:szCs w:val="14"/>
              </w:rPr>
              <w:t>187</w:t>
            </w:r>
          </w:p>
        </w:tc>
        <w:tc>
          <w:tcPr>
            <w:tcW w:w="892" w:type="dxa"/>
            <w:tcBorders>
              <w:top w:val="single" w:sz="4" w:space="0" w:color="E02628"/>
              <w:left w:val="nil"/>
              <w:bottom w:val="single" w:sz="4" w:space="0" w:color="E02628"/>
              <w:right w:val="nil"/>
            </w:tcBorders>
            <w:shd w:val="clear" w:color="auto" w:fill="E02628"/>
            <w:noWrap/>
            <w:vAlign w:val="center"/>
            <w:hideMark/>
          </w:tcPr>
          <w:p w14:paraId="4F4FD1F7" w14:textId="5823E220" w:rsidR="00B26157" w:rsidRPr="00EC326F" w:rsidRDefault="00B26157" w:rsidP="00B26157">
            <w:pPr>
              <w:pStyle w:val="TableColumnHeadingSmall"/>
              <w:jc w:val="center"/>
              <w:rPr>
                <w:rFonts w:ascii="Arial" w:hAnsi="Arial"/>
                <w:snapToGrid/>
                <w:lang w:eastAsia="en-AU"/>
              </w:rPr>
            </w:pPr>
            <w:r>
              <w:rPr>
                <w:rFonts w:ascii="Arial" w:hAnsi="Arial"/>
                <w:b w:val="0"/>
                <w:bCs/>
                <w:color w:val="FFFFFF"/>
                <w:sz w:val="14"/>
                <w:szCs w:val="14"/>
              </w:rPr>
              <w:t>n/a</w:t>
            </w:r>
          </w:p>
        </w:tc>
        <w:tc>
          <w:tcPr>
            <w:tcW w:w="1077" w:type="dxa"/>
            <w:tcBorders>
              <w:top w:val="single" w:sz="4" w:space="0" w:color="E02628"/>
              <w:left w:val="nil"/>
              <w:bottom w:val="single" w:sz="4" w:space="0" w:color="E02628"/>
              <w:right w:val="nil"/>
            </w:tcBorders>
            <w:shd w:val="clear" w:color="auto" w:fill="E02628"/>
            <w:vAlign w:val="center"/>
          </w:tcPr>
          <w:p w14:paraId="4436BF2E" w14:textId="62256635" w:rsidR="00B26157" w:rsidRPr="00EC326F" w:rsidRDefault="00B26157" w:rsidP="00B26157">
            <w:pPr>
              <w:pStyle w:val="TableColumnHeadingSmall"/>
              <w:jc w:val="center"/>
              <w:rPr>
                <w:rFonts w:ascii="Arial" w:hAnsi="Arial"/>
                <w:snapToGrid/>
                <w:lang w:eastAsia="en-AU"/>
              </w:rPr>
            </w:pPr>
            <w:r>
              <w:rPr>
                <w:rFonts w:ascii="Arial" w:hAnsi="Arial"/>
                <w:b w:val="0"/>
                <w:bCs/>
                <w:color w:val="FFFFFF"/>
                <w:sz w:val="14"/>
                <w:szCs w:val="14"/>
              </w:rPr>
              <w:t>42%</w:t>
            </w:r>
          </w:p>
        </w:tc>
      </w:tr>
    </w:tbl>
    <w:p w14:paraId="68C29777" w14:textId="77777777" w:rsidR="00B54D40" w:rsidRPr="00EC326F" w:rsidRDefault="00B54D40" w:rsidP="00B54D40">
      <w:pPr>
        <w:pStyle w:val="Sources"/>
        <w:keepNext/>
      </w:pPr>
      <w:r w:rsidRPr="00EC326F">
        <w:t xml:space="preserve">Notes: </w:t>
      </w:r>
    </w:p>
    <w:p w14:paraId="0C39AF16" w14:textId="77777777" w:rsidR="00B54D40" w:rsidRDefault="00B54D40" w:rsidP="00B54D40">
      <w:pPr>
        <w:pStyle w:val="Sources"/>
        <w:numPr>
          <w:ilvl w:val="0"/>
          <w:numId w:val="57"/>
        </w:numPr>
      </w:pPr>
      <w:r w:rsidRPr="00EC326F">
        <w:t>The average payment in 2015/16 is understated owing to the data maturity issues with FTB and family payment data. This has a particular impact on the average payments for people in the family non IS and other non IS classes; we would expect these amount</w:t>
      </w:r>
      <w:r>
        <w:t>s</w:t>
      </w:r>
      <w:r w:rsidRPr="00EC326F">
        <w:t xml:space="preserve"> to ultimately be larger than the figures shown.</w:t>
      </w:r>
    </w:p>
    <w:p w14:paraId="1BFEA654" w14:textId="77777777" w:rsidR="00B54D40" w:rsidRPr="0062685D" w:rsidRDefault="00B54D40" w:rsidP="00B54D40">
      <w:pPr>
        <w:pStyle w:val="Sources"/>
        <w:numPr>
          <w:ilvl w:val="0"/>
          <w:numId w:val="57"/>
        </w:numPr>
      </w:pPr>
      <w:r>
        <w:t>Exited 4+ years refers to previous welfare recipients who have exited in the past 4-15 years</w:t>
      </w:r>
    </w:p>
    <w:p w14:paraId="5287A1A2" w14:textId="77777777" w:rsidR="009D2160" w:rsidRPr="00EC326F" w:rsidRDefault="009D2160" w:rsidP="009D2160">
      <w:pPr>
        <w:pStyle w:val="PwCNormal"/>
        <w:numPr>
          <w:ilvl w:val="0"/>
          <w:numId w:val="0"/>
        </w:numPr>
        <w:spacing w:before="240" w:after="60"/>
      </w:pPr>
      <w:r w:rsidRPr="00EC326F">
        <w:t>The above table shows the contribution of each class and population group to the total lifetime cost, which reflects the number of people in that class and their average lifetime cost. The average lifetime cost for people in each class is driven by the probability of an average person in that starting population entering, remaining in or leaving the system in each future year; combined with the type and amount of payments they are likely to receive. A few comparative indicators have been included in the table to help explain the results:</w:t>
      </w:r>
    </w:p>
    <w:p w14:paraId="3850A4CF" w14:textId="77777777" w:rsidR="009D2160" w:rsidRPr="00EC326F" w:rsidRDefault="009D2160" w:rsidP="009D2160">
      <w:pPr>
        <w:pStyle w:val="ListBullet"/>
        <w:spacing w:before="60" w:after="60"/>
      </w:pPr>
      <w:r w:rsidRPr="00EC326F">
        <w:t>The average age of the starting population is shown – obviously, younger people have a longer period over which they may receive benefits, but also a greater potential to move out of the system and become self-</w:t>
      </w:r>
      <w:r w:rsidRPr="00EC326F">
        <w:lastRenderedPageBreak/>
        <w:t>reliant at some stage, compared to older people. Also, the age pension costs for younger people are further into the future and so are lo</w:t>
      </w:r>
      <w:r w:rsidR="00CD3E41">
        <w:t>wer as they are discounted more.</w:t>
      </w:r>
    </w:p>
    <w:p w14:paraId="08CF74B1" w14:textId="77777777" w:rsidR="009D2160" w:rsidRPr="00EC326F" w:rsidRDefault="009D2160" w:rsidP="009D2160">
      <w:pPr>
        <w:pStyle w:val="ListBullet"/>
        <w:spacing w:before="60" w:after="60"/>
      </w:pPr>
      <w:r w:rsidRPr="00EC326F">
        <w:t xml:space="preserve">The average total payment received by people in each class in 2015/16 is shown, which as can be seen is quite different by class, reflecting the nature and mix of the payments received </w:t>
      </w:r>
      <w:r w:rsidR="008E7403" w:rsidRPr="00EC326F">
        <w:t>by</w:t>
      </w:r>
      <w:r w:rsidR="00CD3E41">
        <w:t xml:space="preserve"> people in that class.</w:t>
      </w:r>
    </w:p>
    <w:p w14:paraId="19BC5576" w14:textId="77777777" w:rsidR="009D2160" w:rsidRDefault="009D2160" w:rsidP="009D2160">
      <w:pPr>
        <w:pStyle w:val="ListBullet"/>
      </w:pPr>
      <w:r w:rsidRPr="00EC326F">
        <w:t xml:space="preserve">The ratio of the average lifetime cost to the annual payment is shown for current welfare recipients – this ratio will reflect the average number of years on benefit projected for people in that class, along with the extent to which future payment levels will change based on people transitioning into different classes or changing their circumstances. For example, the age pension ratio of 12 would mainly reflect the number of years that the current population of age pensioners are likely to remain in receipt of payments, along with some variation in payment as people age and their circumstances change. The ratio of </w:t>
      </w:r>
      <w:r w:rsidR="00A277D3" w:rsidRPr="00EC326F">
        <w:t>24</w:t>
      </w:r>
      <w:r w:rsidRPr="00EC326F">
        <w:t xml:space="preserve"> for studying payment recipients would reflect the fact that while many in this class will exit the system within a couple of years, this is swamped by the long term cost of the people who transition to other classes after studying, or return to the system at a later stage of their lives, particularly as they retire and go onto the age pension.</w:t>
      </w:r>
    </w:p>
    <w:p w14:paraId="69275B51" w14:textId="77777777" w:rsidR="001C0BC4" w:rsidRPr="00EC326F" w:rsidRDefault="001C0BC4" w:rsidP="009D2160">
      <w:pPr>
        <w:pStyle w:val="ListBullet"/>
      </w:pPr>
      <w:r>
        <w:t>The expected proportion of future years in an income support class is provided as an indicator of the extent to which people in each class are expected to be self-sufficient over the remainder of their lives. We can see that aged pensioners and disability support pensioners are expected to receive income support for most of their remaining lifetimes and that the proportions are lower for those in other classes, especially those not currently receiving welfare payments.</w:t>
      </w:r>
    </w:p>
    <w:p w14:paraId="25E72F42" w14:textId="77777777" w:rsidR="009D2160" w:rsidRPr="00EC326F" w:rsidRDefault="009D2160" w:rsidP="009D2160">
      <w:pPr>
        <w:pStyle w:val="Heading4"/>
      </w:pPr>
      <w:bookmarkStart w:id="279" w:name="_Toc455503959"/>
      <w:bookmarkStart w:id="280" w:name="_Toc455502427"/>
      <w:bookmarkStart w:id="281" w:name="_Toc455499406"/>
      <w:r w:rsidRPr="00EC326F">
        <w:t>Contribution of payment categories to total lifetime cost</w:t>
      </w:r>
      <w:bookmarkEnd w:id="279"/>
      <w:bookmarkEnd w:id="280"/>
      <w:bookmarkEnd w:id="281"/>
    </w:p>
    <w:p w14:paraId="310CC1FB" w14:textId="24105CB8" w:rsidR="009D2160" w:rsidRPr="00EC326F" w:rsidRDefault="0014358B" w:rsidP="009D2160">
      <w:pPr>
        <w:pStyle w:val="PwCNormal"/>
        <w:numPr>
          <w:ilvl w:val="0"/>
          <w:numId w:val="0"/>
        </w:numPr>
      </w:pPr>
      <w:r>
        <w:t xml:space="preserve">Total lifetime cost is calculated as </w:t>
      </w:r>
      <w:r w:rsidRPr="00EC326F">
        <w:t>net present value of future in-scope payments made to all people in the model population over the remainder of their natural lifetimes.</w:t>
      </w:r>
      <w:r w:rsidR="00C27CCE">
        <w:t xml:space="preserve"> Given that a large portion of the model population is likely to receive the age pension in the future, t</w:t>
      </w:r>
      <w:r w:rsidR="009D2160" w:rsidRPr="00EC326F">
        <w:t>he total lifetime cost is dominated by the age pensi</w:t>
      </w:r>
      <w:r w:rsidR="00CD3E41">
        <w:t>on</w:t>
      </w:r>
      <w:r w:rsidR="00C27CCE">
        <w:t xml:space="preserve">. The chart below illustrates </w:t>
      </w:r>
      <w:r w:rsidR="009D2160" w:rsidRPr="00EC326F">
        <w:t>how each payment category contributes</w:t>
      </w:r>
      <w:r w:rsidR="00C27CCE">
        <w:t xml:space="preserve"> to total lifetime cost.</w:t>
      </w:r>
    </w:p>
    <w:p w14:paraId="517A8D34" w14:textId="77777777" w:rsidR="009D2160" w:rsidRPr="00EC326F" w:rsidRDefault="009D2160" w:rsidP="009D2160">
      <w:pPr>
        <w:pStyle w:val="Caption"/>
      </w:pPr>
      <w:r w:rsidRPr="00EC326F">
        <w:t xml:space="preserve">Figure </w:t>
      </w:r>
      <w:fldSimple w:instr=" SEQ Figure \* ARABIC ">
        <w:r w:rsidR="007A42DF">
          <w:rPr>
            <w:noProof/>
          </w:rPr>
          <w:t>23</w:t>
        </w:r>
      </w:fldSimple>
      <w:r w:rsidRPr="00EC326F">
        <w:t>: Composition of lifetime cost ($billion) by p</w:t>
      </w:r>
      <w:r w:rsidR="000C427F" w:rsidRPr="00EC326F">
        <w:t>ayment category</w:t>
      </w:r>
    </w:p>
    <w:p w14:paraId="6587E79E" w14:textId="22C1C979" w:rsidR="00411D0F" w:rsidRPr="00EC326F" w:rsidRDefault="00107250" w:rsidP="009D2160">
      <w:pPr>
        <w:pStyle w:val="PwCNormal"/>
        <w:numPr>
          <w:ilvl w:val="0"/>
          <w:numId w:val="0"/>
        </w:numPr>
      </w:pPr>
      <w:r w:rsidRPr="00107250">
        <w:rPr>
          <w:noProof/>
          <w:lang w:eastAsia="en-AU"/>
        </w:rPr>
        <w:drawing>
          <wp:inline distT="0" distB="0" distL="0" distR="0" wp14:anchorId="60C301AA" wp14:editId="6E0639BF">
            <wp:extent cx="3657600" cy="2160000"/>
            <wp:effectExtent l="0" t="0" r="0" b="0"/>
            <wp:docPr id="863" name="Picture 863" descr="This figure is a horizontal bar chart. The chart shows the total lifetime cost split by payment category. The vertical axis shows payment category. The horizontal axis shows lifetime cost in billions of dollars ranging from 0 to 3 trillion dollars. &#10;&#10;The lifetime costs by payment category were: 39 billion dollars for IS studying, 247 billion dollars for IS working age, 118 billion dollars for IS parents, 223 billion dollars for IS carers, 476 billion dollars for IS disability, 2.468 trillion dollars for IS aged, 1 billion dollars for IS dependent, 356 billion dollars for Other – FTB, 113 billion dollars for Other –family, 39 billion dollars for Other – new parents, 0 dollars for Other – living, 5 billion dollars for Other – health and disability, 84 billion dollars for Other – carer, 5 billion dollars for Other – study and skills, 2 billion dollars for Other – remote and regional, 232 billion dollars for Other – general allowances, 6 billion dollars for All other and 102 billion dollars for Rent assistance.&#10;" title=" Composition of lifetime cost ($billion) by payment category&#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57600" cy="2160000"/>
                    </a:xfrm>
                    <a:prstGeom prst="rect">
                      <a:avLst/>
                    </a:prstGeom>
                    <a:noFill/>
                    <a:ln>
                      <a:noFill/>
                    </a:ln>
                  </pic:spPr>
                </pic:pic>
              </a:graphicData>
            </a:graphic>
          </wp:inline>
        </w:drawing>
      </w:r>
    </w:p>
    <w:p w14:paraId="29CD8F89" w14:textId="77777777" w:rsidR="009D2160" w:rsidRPr="00EC326F" w:rsidRDefault="000C427F" w:rsidP="009D2160">
      <w:pPr>
        <w:pStyle w:val="PwCNormal"/>
        <w:numPr>
          <w:ilvl w:val="0"/>
          <w:numId w:val="0"/>
        </w:numPr>
      </w:pPr>
      <w:r w:rsidRPr="00EC326F">
        <w:rPr>
          <w:noProof/>
          <w:lang w:eastAsia="en-AU"/>
        </w:rPr>
        <w:drawing>
          <wp:inline distT="0" distB="0" distL="0" distR="0" wp14:anchorId="14249E57" wp14:editId="4055B9D5">
            <wp:extent cx="6264275" cy="354965"/>
            <wp:effectExtent l="0" t="0" r="0" b="6985"/>
            <wp:docPr id="3142" name="Picture 3142"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4275" cy="354965"/>
                    </a:xfrm>
                    <a:prstGeom prst="rect">
                      <a:avLst/>
                    </a:prstGeom>
                    <a:noFill/>
                    <a:ln>
                      <a:noFill/>
                    </a:ln>
                  </pic:spPr>
                </pic:pic>
              </a:graphicData>
            </a:graphic>
          </wp:inline>
        </w:drawing>
      </w:r>
    </w:p>
    <w:p w14:paraId="4E084D44" w14:textId="4B4842B5" w:rsidR="008E7403" w:rsidRPr="00EC326F" w:rsidRDefault="008E7403" w:rsidP="009D2160">
      <w:pPr>
        <w:pStyle w:val="PwCNormal"/>
        <w:numPr>
          <w:ilvl w:val="0"/>
          <w:numId w:val="0"/>
        </w:numPr>
      </w:pPr>
      <w:r w:rsidRPr="00EC326F">
        <w:t xml:space="preserve">The largest contribution is from the age pension which represents 55% of the total lifetime cost. The next largest </w:t>
      </w:r>
      <w:r w:rsidR="007716BE">
        <w:t xml:space="preserve">income support </w:t>
      </w:r>
      <w:r w:rsidRPr="00EC326F">
        <w:t>contributions are from the disability support pension and working age payment categories.</w:t>
      </w:r>
    </w:p>
    <w:p w14:paraId="2F890305" w14:textId="77777777" w:rsidR="009D2160" w:rsidRPr="00EC326F" w:rsidRDefault="009D2160" w:rsidP="009D2160">
      <w:pPr>
        <w:pStyle w:val="PwCNormal"/>
        <w:keepNext/>
        <w:numPr>
          <w:ilvl w:val="0"/>
          <w:numId w:val="0"/>
        </w:numPr>
      </w:pPr>
      <w:r w:rsidRPr="00EC326F">
        <w:lastRenderedPageBreak/>
        <w:t>The relative contributions of each class</w:t>
      </w:r>
      <w:r w:rsidR="008E7403" w:rsidRPr="00EC326F">
        <w:t xml:space="preserve"> to the total lifetime cost</w:t>
      </w:r>
      <w:r w:rsidRPr="00EC326F">
        <w:t xml:space="preserve"> are impacted by the numbers of people in each class as well as the average cost for each. </w:t>
      </w:r>
    </w:p>
    <w:p w14:paraId="36459E13" w14:textId="21829BFD" w:rsidR="009D2160" w:rsidRPr="00EC326F" w:rsidRDefault="009D2160" w:rsidP="009D2160">
      <w:pPr>
        <w:pStyle w:val="Caption"/>
      </w:pPr>
      <w:r w:rsidRPr="00EC326F">
        <w:t xml:space="preserve">Figure </w:t>
      </w:r>
      <w:fldSimple w:instr=" SEQ Figure \* ARABIC ">
        <w:r w:rsidR="007A42DF">
          <w:rPr>
            <w:noProof/>
          </w:rPr>
          <w:t>24</w:t>
        </w:r>
      </w:fldSimple>
      <w:r w:rsidRPr="00EC326F">
        <w:t>: Drivers of welfare class</w:t>
      </w:r>
      <w:r w:rsidR="00F14608" w:rsidRPr="00EC326F">
        <w:t xml:space="preserve"> lifetime costs</w:t>
      </w:r>
    </w:p>
    <w:p w14:paraId="27CE0EC7" w14:textId="553DEA64" w:rsidR="009D2160" w:rsidRPr="00EC326F" w:rsidRDefault="009D2160" w:rsidP="008F6AF0">
      <w:pPr>
        <w:pStyle w:val="TableTextSmall"/>
        <w:keepNext/>
        <w:tabs>
          <w:tab w:val="left" w:pos="5387"/>
        </w:tabs>
        <w:ind w:left="737"/>
        <w:jc w:val="center"/>
        <w:rPr>
          <w:i/>
          <w:sz w:val="20"/>
          <w:szCs w:val="20"/>
        </w:rPr>
      </w:pPr>
      <w:r w:rsidRPr="00EC326F">
        <w:rPr>
          <w:i/>
          <w:szCs w:val="16"/>
        </w:rPr>
        <w:t>Number of people in class</w:t>
      </w:r>
      <w:r w:rsidRPr="00EC326F">
        <w:rPr>
          <w:i/>
          <w:sz w:val="20"/>
          <w:szCs w:val="20"/>
        </w:rPr>
        <w:tab/>
      </w:r>
      <w:r w:rsidRPr="00EC326F">
        <w:rPr>
          <w:i/>
          <w:szCs w:val="16"/>
        </w:rPr>
        <w:t>Average lifetime cost</w:t>
      </w:r>
    </w:p>
    <w:p w14:paraId="20173C99" w14:textId="60BBE978" w:rsidR="00F14608" w:rsidRPr="00EC326F" w:rsidRDefault="007C66EF" w:rsidP="00552E32">
      <w:pPr>
        <w:pStyle w:val="TableTextSmall"/>
        <w:keepNext/>
        <w:jc w:val="center"/>
      </w:pPr>
      <w:r w:rsidRPr="00EC326F">
        <w:rPr>
          <w:noProof/>
          <w:lang w:eastAsia="en-AU"/>
        </w:rPr>
        <w:drawing>
          <wp:inline distT="0" distB="0" distL="0" distR="0" wp14:anchorId="014DC943" wp14:editId="4BCD453F">
            <wp:extent cx="2664000" cy="1800000"/>
            <wp:effectExtent l="0" t="0" r="3175" b="0"/>
            <wp:docPr id="862" name="Picture 862" descr="This figure contains 2 horizontal bar charts. The left horizontal bar chart shows the number of individuals in the model population split by welfare class. The right horizontal bar chart shows the average lifetime costs of individuals for each welfare class, with each bar split into payment category components of the average lifetime cost.&#10;&#10;The left bar chart vertical axis shows welfare class. The left bar chart horizontal axis shows number of individuals ranging from 0 to 3,000,000 (note that this has been truncated). The number of individuals in the rest of the Australian population is much larger than other classes and has not been shown in full in the chart.&#10;&#10;The number of people in the model population for each welfare class is: 390,000 for studying, 1,318,000 for working age, 437,000 for parents, 272,000 for carers, 782,000 for disability support, 2,551,000 for pension age, 1,554,000 for Non IS Family, 201,000 for Non IS Carer, 543,000 for Non IS Other, 1,419,000 for previous welfare recipients that received welfare within the last 3 years, 2,768,000 for previous welfare recipients that have not received welfare in the last 3 years, and 11.93 million for the rest of the Australian population." title="Drivers of welfare class lifetim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4000" cy="1800000"/>
                    </a:xfrm>
                    <a:prstGeom prst="rect">
                      <a:avLst/>
                    </a:prstGeom>
                    <a:noFill/>
                    <a:ln>
                      <a:noFill/>
                    </a:ln>
                  </pic:spPr>
                </pic:pic>
              </a:graphicData>
            </a:graphic>
          </wp:inline>
        </w:drawing>
      </w:r>
      <w:r w:rsidR="009D2160" w:rsidRPr="00EC326F">
        <w:rPr>
          <w:i/>
        </w:rPr>
        <w:tab/>
      </w:r>
      <w:r w:rsidR="00EA124E" w:rsidRPr="00EA124E">
        <w:rPr>
          <w:noProof/>
          <w:lang w:eastAsia="en-AU"/>
        </w:rPr>
        <w:drawing>
          <wp:inline distT="0" distB="0" distL="0" distR="0" wp14:anchorId="7014E7CE" wp14:editId="49B72AE6">
            <wp:extent cx="2484000" cy="1800000"/>
            <wp:effectExtent l="0" t="0" r="0" b="0"/>
            <wp:docPr id="1038" name="Picture 1038" descr="The right bar chart vertical axis shows welfare class. The right bar chart horizontal axis shows average lifetime cost ranging from $0 to $500,000. &#10;The bars for each welfare class are split into the average lifetime cost associated with the following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average lifetime cost for each welfare class is: $210,000 for studying, $304,000 for working age, $475,000 for parents, $438,000 for carers, $450,000 for disability support, $203,000 for pension age, $194,000 for Non IS Family, $206,000 for Non IS Carer, $137,000 for Non IS Other, $170,000 for previous welfare recipients that received welfare within the last 3 years, $148,000 for previous welfare recipients that have not received welfare in the last 3 years, and $148,000 for rest of Australian population." title="Drivers of welfare class lifetime cos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84000" cy="1800000"/>
                    </a:xfrm>
                    <a:prstGeom prst="rect">
                      <a:avLst/>
                    </a:prstGeom>
                    <a:noFill/>
                    <a:ln>
                      <a:noFill/>
                    </a:ln>
                  </pic:spPr>
                </pic:pic>
              </a:graphicData>
            </a:graphic>
          </wp:inline>
        </w:drawing>
      </w:r>
      <w:r w:rsidR="00F14608" w:rsidRPr="00EC326F">
        <w:rPr>
          <w:noProof/>
          <w:lang w:eastAsia="en-AU"/>
        </w:rPr>
        <w:drawing>
          <wp:inline distT="0" distB="0" distL="0" distR="0" wp14:anchorId="0B9248E9" wp14:editId="54F6DA76">
            <wp:extent cx="6264275" cy="354965"/>
            <wp:effectExtent l="0" t="0" r="0" b="6985"/>
            <wp:docPr id="3167" name="Picture 3167"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4275" cy="354965"/>
                    </a:xfrm>
                    <a:prstGeom prst="rect">
                      <a:avLst/>
                    </a:prstGeom>
                    <a:noFill/>
                    <a:ln>
                      <a:noFill/>
                    </a:ln>
                  </pic:spPr>
                </pic:pic>
              </a:graphicData>
            </a:graphic>
          </wp:inline>
        </w:drawing>
      </w:r>
    </w:p>
    <w:p w14:paraId="788B52F8" w14:textId="77777777" w:rsidR="00BF571F" w:rsidRDefault="009D2160" w:rsidP="00BF571F">
      <w:pPr>
        <w:pStyle w:val="Sources"/>
      </w:pPr>
      <w:r w:rsidRPr="00EC326F">
        <w:t>Note</w:t>
      </w:r>
      <w:r w:rsidR="00BF571F">
        <w:t>s</w:t>
      </w:r>
      <w:r w:rsidRPr="00EC326F">
        <w:t>:</w:t>
      </w:r>
    </w:p>
    <w:p w14:paraId="367C7C58" w14:textId="23F89602" w:rsidR="009D2160" w:rsidRDefault="00BF571F" w:rsidP="00BF571F">
      <w:pPr>
        <w:pStyle w:val="Sources"/>
        <w:rPr>
          <w:i/>
        </w:rPr>
      </w:pPr>
      <w:r>
        <w:t xml:space="preserve">1. </w:t>
      </w:r>
      <w:r w:rsidR="009D2160" w:rsidRPr="00EC326F">
        <w:t>The rest of the Australian population class contains 11.9</w:t>
      </w:r>
      <w:r w:rsidR="00E14210" w:rsidRPr="00EC326F">
        <w:t>3</w:t>
      </w:r>
      <w:r w:rsidR="009D2160" w:rsidRPr="00EC326F">
        <w:t>m people and is not shown in full in this chart.</w:t>
      </w:r>
      <w:r w:rsidR="009D2160" w:rsidRPr="00EC326F">
        <w:rPr>
          <w:i/>
        </w:rPr>
        <w:t xml:space="preserve"> </w:t>
      </w:r>
    </w:p>
    <w:p w14:paraId="08462865" w14:textId="265BD20A" w:rsidR="00BF571F" w:rsidRPr="0062685D" w:rsidRDefault="00BF571F" w:rsidP="00BF571F">
      <w:pPr>
        <w:pStyle w:val="Sources"/>
      </w:pPr>
      <w:r>
        <w:t>2. Exited 4+ years refers to previous welfare recipients who have exited in the past 4-15 years</w:t>
      </w:r>
    </w:p>
    <w:p w14:paraId="23EA0A72" w14:textId="77777777" w:rsidR="00BF571F" w:rsidRDefault="00BF571F" w:rsidP="001A4479">
      <w:pPr>
        <w:pStyle w:val="PwCNormal-keepwithnext"/>
        <w:numPr>
          <w:ilvl w:val="0"/>
          <w:numId w:val="37"/>
        </w:numPr>
      </w:pPr>
    </w:p>
    <w:p w14:paraId="60BB0FBD" w14:textId="6BBE805C" w:rsidR="00A277D3" w:rsidRPr="00EC326F" w:rsidRDefault="00A277D3" w:rsidP="001A4479">
      <w:pPr>
        <w:pStyle w:val="PwCNormal-keepwithnext"/>
        <w:numPr>
          <w:ilvl w:val="0"/>
          <w:numId w:val="37"/>
        </w:numPr>
      </w:pPr>
      <w:r w:rsidRPr="00EC326F">
        <w:t>Fr</w:t>
      </w:r>
      <w:r w:rsidR="00CD3E41">
        <w:t>om</w:t>
      </w:r>
      <w:r w:rsidRPr="00EC326F">
        <w:t xml:space="preserve"> the total lifetime cost for current welfare recipients</w:t>
      </w:r>
      <w:r w:rsidR="001C0BC4">
        <w:t xml:space="preserve"> (shown in </w:t>
      </w:r>
      <w:r w:rsidR="001C0BC4">
        <w:fldChar w:fldCharType="begin"/>
      </w:r>
      <w:r w:rsidR="001C0BC4">
        <w:instrText xml:space="preserve"> REF _Ref466541565 \h </w:instrText>
      </w:r>
      <w:r w:rsidR="001C0BC4">
        <w:fldChar w:fldCharType="separate"/>
      </w:r>
      <w:r w:rsidR="007A42DF" w:rsidRPr="00EC326F">
        <w:t xml:space="preserve">Table </w:t>
      </w:r>
      <w:r w:rsidR="007A42DF">
        <w:rPr>
          <w:noProof/>
        </w:rPr>
        <w:t>20</w:t>
      </w:r>
      <w:r w:rsidR="001C0BC4">
        <w:fldChar w:fldCharType="end"/>
      </w:r>
      <w:r w:rsidR="001C0BC4">
        <w:t>) and this information on the cost drivers, we can see that</w:t>
      </w:r>
      <w:r w:rsidRPr="00EC326F">
        <w:t>:</w:t>
      </w:r>
    </w:p>
    <w:p w14:paraId="0357A25A" w14:textId="77777777" w:rsidR="00A277D3" w:rsidRPr="00EC326F" w:rsidRDefault="00A277D3" w:rsidP="001A4479">
      <w:pPr>
        <w:pStyle w:val="Bullet1"/>
        <w:numPr>
          <w:ilvl w:val="0"/>
          <w:numId w:val="39"/>
        </w:numPr>
        <w:spacing w:before="40" w:after="40"/>
      </w:pPr>
      <w:r w:rsidRPr="00EC326F">
        <w:t>The largest contribution is from people in the Age Pension class</w:t>
      </w:r>
      <w:r w:rsidR="008E7403" w:rsidRPr="00EC326F">
        <w:t xml:space="preserve"> ($518</w:t>
      </w:r>
      <w:r w:rsidR="00377B1F" w:rsidRPr="00EC326F">
        <w:t>b</w:t>
      </w:r>
      <w:r w:rsidR="008E7403" w:rsidRPr="00EC326F">
        <w:t>n)</w:t>
      </w:r>
      <w:r w:rsidRPr="00EC326F">
        <w:t xml:space="preserve">. This is primarily a result of the large number of people in this class; the average lifetime cost per person is less than for many other </w:t>
      </w:r>
      <w:r w:rsidR="001C0BC4">
        <w:t>classes</w:t>
      </w:r>
      <w:r w:rsidRPr="00EC326F">
        <w:t xml:space="preserve">. </w:t>
      </w:r>
    </w:p>
    <w:p w14:paraId="53FBFE42" w14:textId="77777777" w:rsidR="00A277D3" w:rsidRPr="00EC326F" w:rsidRDefault="00A277D3" w:rsidP="001A4479">
      <w:pPr>
        <w:pStyle w:val="Bullet1"/>
        <w:numPr>
          <w:ilvl w:val="0"/>
          <w:numId w:val="39"/>
        </w:numPr>
        <w:spacing w:before="40" w:after="40"/>
      </w:pPr>
      <w:r w:rsidRPr="00EC326F">
        <w:t>The other classes of current welfare recipients with particularly large contributions to the lifetime cost are:</w:t>
      </w:r>
    </w:p>
    <w:p w14:paraId="05560039" w14:textId="77777777" w:rsidR="00A277D3" w:rsidRPr="00EC326F" w:rsidRDefault="00A277D3" w:rsidP="00A277D3">
      <w:pPr>
        <w:pStyle w:val="ListBullet2"/>
      </w:pPr>
      <w:r w:rsidRPr="00EC326F">
        <w:t>Working Age</w:t>
      </w:r>
      <w:r w:rsidR="008E7403" w:rsidRPr="00EC326F">
        <w:t xml:space="preserve"> payment recipients ($401</w:t>
      </w:r>
      <w:r w:rsidR="00377B1F" w:rsidRPr="00EC326F">
        <w:t>b</w:t>
      </w:r>
      <w:r w:rsidR="008E7403" w:rsidRPr="00EC326F">
        <w:t>n)</w:t>
      </w:r>
      <w:r w:rsidRPr="00EC326F">
        <w:t xml:space="preserve"> – this is driven by a combination of high numbers of people in the class, and a relatively high average lifetime cost per person</w:t>
      </w:r>
    </w:p>
    <w:p w14:paraId="4F5340CE" w14:textId="77777777" w:rsidR="00A277D3" w:rsidRPr="00EC326F" w:rsidRDefault="00A277D3" w:rsidP="00A277D3">
      <w:pPr>
        <w:pStyle w:val="ListBullet2"/>
      </w:pPr>
      <w:r w:rsidRPr="00EC326F">
        <w:t>Disability Support</w:t>
      </w:r>
      <w:r w:rsidR="008E7403" w:rsidRPr="00EC326F">
        <w:t xml:space="preserve"> Pension recipients ($352</w:t>
      </w:r>
      <w:r w:rsidR="00377B1F" w:rsidRPr="00EC326F">
        <w:t>b</w:t>
      </w:r>
      <w:r w:rsidR="008E7403" w:rsidRPr="00EC326F">
        <w:t>n)</w:t>
      </w:r>
      <w:r w:rsidRPr="00EC326F">
        <w:t xml:space="preserve"> – this is driven by a combination of a high average lifetime cost per person, and </w:t>
      </w:r>
      <w:r w:rsidR="001C0BC4">
        <w:t>the</w:t>
      </w:r>
      <w:r w:rsidRPr="00EC326F">
        <w:t xml:space="preserve"> numbers of people in the class</w:t>
      </w:r>
    </w:p>
    <w:p w14:paraId="47E9FE38" w14:textId="77777777" w:rsidR="00A277D3" w:rsidRPr="00EC326F" w:rsidRDefault="00A277D3" w:rsidP="00A277D3">
      <w:pPr>
        <w:pStyle w:val="ListBullet2"/>
      </w:pPr>
      <w:r w:rsidRPr="00EC326F">
        <w:t>Non IS Family</w:t>
      </w:r>
      <w:r w:rsidR="008E7403" w:rsidRPr="00EC326F">
        <w:t xml:space="preserve"> payment recipients ($301</w:t>
      </w:r>
      <w:r w:rsidR="00377B1F" w:rsidRPr="00EC326F">
        <w:t>b</w:t>
      </w:r>
      <w:r w:rsidR="008E7403" w:rsidRPr="00EC326F">
        <w:t>n)</w:t>
      </w:r>
      <w:r w:rsidRPr="00EC326F">
        <w:t xml:space="preserve"> – this is mainly driven by high numbers of people in the class</w:t>
      </w:r>
    </w:p>
    <w:p w14:paraId="76CA8CF2" w14:textId="77777777" w:rsidR="00A277D3" w:rsidRPr="00EC326F" w:rsidRDefault="00A277D3" w:rsidP="001A4479">
      <w:pPr>
        <w:pStyle w:val="Bullet1"/>
        <w:numPr>
          <w:ilvl w:val="0"/>
          <w:numId w:val="39"/>
        </w:numPr>
        <w:spacing w:before="40" w:after="40"/>
      </w:pPr>
      <w:r w:rsidRPr="00EC326F">
        <w:t>It can also be seen that</w:t>
      </w:r>
      <w:r w:rsidR="001C0BC4">
        <w:t xml:space="preserve">, </w:t>
      </w:r>
      <w:r w:rsidRPr="00EC326F">
        <w:t>along with Disability Support</w:t>
      </w:r>
      <w:r w:rsidR="008E7403" w:rsidRPr="00EC326F">
        <w:t xml:space="preserve"> Pension</w:t>
      </w:r>
      <w:r w:rsidRPr="00EC326F">
        <w:t xml:space="preserve">, the Parents and Carers classes also have a high average lifetime cost per person. This reflects a mix of drivers including long durations in </w:t>
      </w:r>
      <w:r w:rsidR="001C0BC4">
        <w:t>an income support class</w:t>
      </w:r>
      <w:r w:rsidRPr="00EC326F">
        <w:t xml:space="preserve"> and </w:t>
      </w:r>
      <w:r w:rsidR="001C0BC4">
        <w:t xml:space="preserve">the </w:t>
      </w:r>
      <w:r w:rsidRPr="00EC326F">
        <w:t>people in these classes accessing a broad range of payments</w:t>
      </w:r>
    </w:p>
    <w:p w14:paraId="538E219D" w14:textId="77777777" w:rsidR="009D2160" w:rsidRPr="00EC326F" w:rsidRDefault="009D2160" w:rsidP="009D2160">
      <w:pPr>
        <w:pStyle w:val="Bullet1"/>
        <w:numPr>
          <w:ilvl w:val="0"/>
          <w:numId w:val="0"/>
        </w:numPr>
        <w:tabs>
          <w:tab w:val="left" w:pos="720"/>
        </w:tabs>
      </w:pPr>
      <w:r w:rsidRPr="00EC326F">
        <w:t xml:space="preserve">Despite having one of the lowest future lifetime costs per person, Class 12 Rest of Aust. Population accounts for </w:t>
      </w:r>
      <w:r w:rsidR="00A277D3" w:rsidRPr="00EC326F">
        <w:t>almost</w:t>
      </w:r>
      <w:r w:rsidRPr="00EC326F">
        <w:t xml:space="preserve"> 40% of the total lifetime cost for the model population. This is driven by the fact that this class makes up half of the model population.</w:t>
      </w:r>
    </w:p>
    <w:p w14:paraId="0EAC6E10" w14:textId="77777777" w:rsidR="009D2160" w:rsidRPr="00EC326F" w:rsidRDefault="009D2160" w:rsidP="009D2160">
      <w:pPr>
        <w:pStyle w:val="Heading3"/>
      </w:pPr>
      <w:bookmarkStart w:id="282" w:name="_Ref466493406"/>
      <w:bookmarkStart w:id="283" w:name="_Ref466494471"/>
      <w:bookmarkStart w:id="284" w:name="_Toc493844252"/>
      <w:r w:rsidRPr="00EC326F">
        <w:t>Change since the baseline valuation</w:t>
      </w:r>
      <w:bookmarkEnd w:id="282"/>
      <w:bookmarkEnd w:id="283"/>
      <w:bookmarkEnd w:id="284"/>
    </w:p>
    <w:p w14:paraId="0807101E" w14:textId="77777777" w:rsidR="008E7403" w:rsidRPr="00EC326F" w:rsidRDefault="008E7403" w:rsidP="008E7403">
      <w:pPr>
        <w:pStyle w:val="Minorheading"/>
      </w:pPr>
      <w:bookmarkStart w:id="285" w:name="_Ref465929794"/>
      <w:r w:rsidRPr="00EC326F">
        <w:t>Introduction</w:t>
      </w:r>
    </w:p>
    <w:p w14:paraId="1201FA23" w14:textId="77777777" w:rsidR="002C149A" w:rsidRPr="00EC326F" w:rsidRDefault="002C149A" w:rsidP="002C149A">
      <w:pPr>
        <w:pStyle w:val="Bullet1"/>
        <w:numPr>
          <w:ilvl w:val="0"/>
          <w:numId w:val="0"/>
        </w:numPr>
        <w:tabs>
          <w:tab w:val="left" w:pos="720"/>
        </w:tabs>
      </w:pPr>
      <w:r w:rsidRPr="00EC326F">
        <w:t>Over the time from one valuation to the next we do not expect the total lifetime cost to stay the same. Changes will occur for a number of reasons including:</w:t>
      </w:r>
    </w:p>
    <w:p w14:paraId="70E5BCC5" w14:textId="77777777" w:rsidR="002C149A" w:rsidRPr="00EC326F" w:rsidRDefault="002C149A" w:rsidP="001A4479">
      <w:pPr>
        <w:pStyle w:val="Bullet1"/>
        <w:numPr>
          <w:ilvl w:val="0"/>
          <w:numId w:val="40"/>
        </w:numPr>
        <w:tabs>
          <w:tab w:val="left" w:pos="720"/>
        </w:tabs>
      </w:pPr>
      <w:r w:rsidRPr="00EC326F">
        <w:t>Changes to the size and composition of the population</w:t>
      </w:r>
    </w:p>
    <w:p w14:paraId="3887CA47" w14:textId="77777777" w:rsidR="002C149A" w:rsidRPr="00EC326F" w:rsidRDefault="002C149A" w:rsidP="001A4479">
      <w:pPr>
        <w:pStyle w:val="Bullet1"/>
        <w:numPr>
          <w:ilvl w:val="0"/>
          <w:numId w:val="40"/>
        </w:numPr>
        <w:tabs>
          <w:tab w:val="left" w:pos="720"/>
        </w:tabs>
      </w:pPr>
      <w:r w:rsidRPr="00EC326F">
        <w:t>Inflationary increases in the rate</w:t>
      </w:r>
      <w:r w:rsidR="00CD3E41">
        <w:t>s</w:t>
      </w:r>
      <w:r w:rsidRPr="00EC326F">
        <w:t xml:space="preserve"> of payment. For instance, the basic fortnightly rate of the aged pension for single people was $782.20 at 1 July 2015 and increased to $794.80 by 1 July 2016 (an increase of 1.6%). </w:t>
      </w:r>
    </w:p>
    <w:p w14:paraId="4C67D13F" w14:textId="77777777" w:rsidR="002C149A" w:rsidRPr="00EC326F" w:rsidRDefault="002C149A" w:rsidP="001A4479">
      <w:pPr>
        <w:pStyle w:val="Bullet1"/>
        <w:numPr>
          <w:ilvl w:val="0"/>
          <w:numId w:val="40"/>
        </w:numPr>
        <w:tabs>
          <w:tab w:val="left" w:pos="720"/>
        </w:tabs>
      </w:pPr>
      <w:r w:rsidRPr="00EC326F">
        <w:t>Changes to the welfare payments arising from policy changes, and</w:t>
      </w:r>
    </w:p>
    <w:p w14:paraId="45D3345B" w14:textId="77777777" w:rsidR="002C149A" w:rsidRPr="00EC326F" w:rsidRDefault="002C149A" w:rsidP="001A4479">
      <w:pPr>
        <w:pStyle w:val="Bullet1"/>
        <w:numPr>
          <w:ilvl w:val="0"/>
          <w:numId w:val="40"/>
        </w:numPr>
        <w:tabs>
          <w:tab w:val="left" w:pos="720"/>
        </w:tabs>
      </w:pPr>
      <w:r w:rsidRPr="00EC326F">
        <w:lastRenderedPageBreak/>
        <w:t xml:space="preserve">Changes to </w:t>
      </w:r>
      <w:r w:rsidR="00E14210" w:rsidRPr="00EC326F">
        <w:t xml:space="preserve">both </w:t>
      </w:r>
      <w:r w:rsidRPr="00EC326F">
        <w:t>the current and expected future utilisation of each part of the welfare system.</w:t>
      </w:r>
    </w:p>
    <w:p w14:paraId="528C5210" w14:textId="77777777" w:rsidR="008E7403" w:rsidRPr="00EC326F" w:rsidRDefault="008E7403" w:rsidP="008E7403">
      <w:pPr>
        <w:pStyle w:val="Minorheading"/>
      </w:pPr>
      <w:r w:rsidRPr="00EC326F">
        <w:t>Approach</w:t>
      </w:r>
    </w:p>
    <w:p w14:paraId="6C3502D5" w14:textId="77777777" w:rsidR="008E7403" w:rsidRPr="00EC326F" w:rsidRDefault="008E7403" w:rsidP="008E7403">
      <w:pPr>
        <w:pStyle w:val="PwCNormal"/>
      </w:pPr>
      <w:r w:rsidRPr="00EC326F">
        <w:t xml:space="preserve">In order to understand the overall change in the lifetime cost result we have considered each </w:t>
      </w:r>
      <w:r w:rsidR="001C0BC4">
        <w:t xml:space="preserve">potential </w:t>
      </w:r>
      <w:r w:rsidRPr="00EC326F">
        <w:t>element of change in turn, exploring the change in results as the population information and each set of assumptions are updated to reflect the 2016 valuation data and assumptions.</w:t>
      </w:r>
    </w:p>
    <w:p w14:paraId="48BA891C" w14:textId="77777777" w:rsidR="008E7403" w:rsidRPr="00EC326F" w:rsidRDefault="008E7403" w:rsidP="008E7403">
      <w:pPr>
        <w:pStyle w:val="PwCNormal"/>
      </w:pPr>
      <w:r w:rsidRPr="00EC326F">
        <w:t xml:space="preserve">Note that as all the valuation assumptions interact with each other this analysis </w:t>
      </w:r>
      <w:r w:rsidR="001C0BC4">
        <w:t>is</w:t>
      </w:r>
      <w:r w:rsidRPr="00EC326F">
        <w:t xml:space="preserve"> sensitive to the order in which the changes are made. For instance, the impact of updating the class movement assumptions for a class will be influenced by the numbers of people in that class and so will differ depending on the order in which the population information and class assumptions are updated.</w:t>
      </w:r>
    </w:p>
    <w:p w14:paraId="372AC805" w14:textId="77777777" w:rsidR="008E7403" w:rsidRPr="00EC326F" w:rsidRDefault="008E7403" w:rsidP="008E7403">
      <w:pPr>
        <w:pStyle w:val="PwCNormal"/>
      </w:pPr>
      <w:r w:rsidRPr="00EC326F">
        <w:t>This sensitivity to ordering is greater for the areas of change which interact strongly with each other (notably the demographic</w:t>
      </w:r>
      <w:r w:rsidR="001C0BC4">
        <w:t xml:space="preserve"> </w:t>
      </w:r>
      <w:r w:rsidR="001C0BC4" w:rsidRPr="00EC326F">
        <w:t>assumptions</w:t>
      </w:r>
      <w:r w:rsidRPr="00EC326F">
        <w:t xml:space="preserve">, class movement assumptions and economic module) and for the areas where the changes have the greatest impact. Changes that are specific to individual payment categories are </w:t>
      </w:r>
      <w:r w:rsidR="001C0BC4">
        <w:t xml:space="preserve">typically </w:t>
      </w:r>
      <w:r w:rsidRPr="00EC326F">
        <w:t>less sensitive to the ordering of change as lifetime cost results are explicitly assessed for each payment category</w:t>
      </w:r>
      <w:r w:rsidR="001C0BC4">
        <w:t xml:space="preserve"> and the effects are more easily isolated</w:t>
      </w:r>
      <w:r w:rsidRPr="00EC326F">
        <w:t>.</w:t>
      </w:r>
    </w:p>
    <w:p w14:paraId="7F484147" w14:textId="77777777" w:rsidR="008E7403" w:rsidRDefault="008E7403" w:rsidP="008E7403">
      <w:pPr>
        <w:pStyle w:val="PwCNormal"/>
      </w:pPr>
      <w:r w:rsidRPr="00EC326F">
        <w:t>In selecting an ordering we have recognised changes to the method and composition of the starting population first and then updated the assumptions about the future experience in the general order of the modelling sequence. The effect of introducing the economic module has been considered last in order to isolate the impact of this change.</w:t>
      </w:r>
    </w:p>
    <w:p w14:paraId="11FD3C5A" w14:textId="77777777" w:rsidR="001C0BC4" w:rsidRPr="00EC326F" w:rsidRDefault="001C0BC4" w:rsidP="008E7403">
      <w:pPr>
        <w:pStyle w:val="PwCNormal"/>
      </w:pPr>
      <w:r>
        <w:t>At this valuation the changes have also been confounded by the refinements made to the payment category definitions and across the modules of the va</w:t>
      </w:r>
      <w:r w:rsidR="00CD3E41">
        <w:t>luation mod</w:t>
      </w:r>
      <w:r>
        <w:t>e</w:t>
      </w:r>
      <w:r w:rsidR="00CD3E41">
        <w:t>l</w:t>
      </w:r>
      <w:r>
        <w:t>.</w:t>
      </w:r>
    </w:p>
    <w:p w14:paraId="3B011067" w14:textId="77777777" w:rsidR="008E7403" w:rsidRPr="00EC326F" w:rsidRDefault="008E7403" w:rsidP="008E7403">
      <w:pPr>
        <w:pStyle w:val="PwCNormal"/>
      </w:pPr>
      <w:r w:rsidRPr="00EC326F">
        <w:t xml:space="preserve">As </w:t>
      </w:r>
      <w:r w:rsidR="001C0BC4">
        <w:t xml:space="preserve">a result of these considerations </w:t>
      </w:r>
      <w:r w:rsidRPr="00EC326F">
        <w:t>this analysis should be considered as an attribution of movements rather than a strict process of changes seen at each stage.</w:t>
      </w:r>
    </w:p>
    <w:p w14:paraId="32DF12BD" w14:textId="77777777" w:rsidR="008E7403" w:rsidRPr="00EC326F" w:rsidRDefault="008E7403" w:rsidP="008E7403">
      <w:pPr>
        <w:pStyle w:val="Minorheading"/>
      </w:pPr>
      <w:r w:rsidRPr="00EC326F">
        <w:t>Explanation of the change in overall lifetime cost</w:t>
      </w:r>
    </w:p>
    <w:p w14:paraId="32DEB5E7" w14:textId="77777777" w:rsidR="002C149A" w:rsidRPr="00EC326F" w:rsidRDefault="002C149A" w:rsidP="002C149A">
      <w:pPr>
        <w:pStyle w:val="Bullet1"/>
        <w:numPr>
          <w:ilvl w:val="0"/>
          <w:numId w:val="0"/>
        </w:numPr>
        <w:tabs>
          <w:tab w:val="left" w:pos="720"/>
        </w:tabs>
      </w:pPr>
      <w:r w:rsidRPr="00EC326F">
        <w:t>The figure below shows a breakdown of the movements in the total lifetime cost from June 2015 to June 2016.</w:t>
      </w:r>
    </w:p>
    <w:p w14:paraId="24F51F35" w14:textId="77777777" w:rsidR="002C149A" w:rsidRPr="002A0A1A" w:rsidRDefault="002C149A" w:rsidP="002C149A">
      <w:pPr>
        <w:pStyle w:val="Caption"/>
      </w:pPr>
      <w:bookmarkStart w:id="286" w:name="_Ref466493297"/>
      <w:r w:rsidRPr="002A0A1A">
        <w:t xml:space="preserve">Figure </w:t>
      </w:r>
      <w:fldSimple w:instr=" SEQ Figure \* ARABIC ">
        <w:r w:rsidR="007A42DF">
          <w:rPr>
            <w:noProof/>
          </w:rPr>
          <w:t>25</w:t>
        </w:r>
      </w:fldSimple>
      <w:bookmarkEnd w:id="286"/>
      <w:r w:rsidRPr="002A0A1A">
        <w:t>: Explanation of change in lifetime cost</w:t>
      </w:r>
    </w:p>
    <w:p w14:paraId="6ABB083F" w14:textId="064F3CF7" w:rsidR="002C149A" w:rsidRPr="00EC326F" w:rsidRDefault="00AF768F" w:rsidP="002C149A">
      <w:pPr>
        <w:pStyle w:val="Bullet1"/>
        <w:numPr>
          <w:ilvl w:val="0"/>
          <w:numId w:val="0"/>
        </w:numPr>
        <w:tabs>
          <w:tab w:val="left" w:pos="720"/>
        </w:tabs>
      </w:pPr>
      <w:r w:rsidRPr="00064170">
        <w:rPr>
          <w:noProof/>
          <w:lang w:eastAsia="en-AU"/>
        </w:rPr>
        <w:drawing>
          <wp:inline distT="0" distB="0" distL="0" distR="0" wp14:anchorId="7447C528" wp14:editId="244265DA">
            <wp:extent cx="6264275" cy="2795905"/>
            <wp:effectExtent l="0" t="0" r="3175" b="4445"/>
            <wp:docPr id="415" name="Picture 415" descr="This figure is a column chart. The chart depicts the total change in lifetime cost between the June 2015 and June 2016 valuation by splitting the total change into contributing components. The vertical axis shows total lifetime cost, ranging from $0 to $6 billion. &#10;&#10;The horizontal axis is split into three sections. The first section shows the components contributing to the movement between the Lifetime cost at June 2015 and the Initial forecast. This section consists of the following columns: Lifetime Cost as at June 2015 ($4,764bn), impact of the expected payments during 2015/16 (-$124bn), impact of the adjustment for discounting (+286bn), and Initial forecast ($4,926bn, which is the sum of the earlier columns in this section). The second section shows the components contributing to the movement between the Initial forecast and the Updated forecast. This section consists of the following columns: Initial forecast ($4,926bn), impact of births during 2015/16 (+47bn), impact of net migration during 2015/16 (+$26bn), impact of actual indexation compared to expected indexation (-$135bn), and Updated forecast ($4,864bn, which is the sum of the earlier columns in this section). The third section shows the components contributing to the movement between the Updated forecast and the Lifetime cost at June 2016. This section consists of the following columns: Updated forecast ($4,864bn), impact of method refinements (-$39bn), impact of updated numbers of people in each class (-$19bn), impact of updated class and demographic assumptions (-$157bn), impact of updated utilisation and payment assumptions (+$34bn), impact of policy changes during year (-$28bn), impact of economic module (-$142bn), and Lifetime cost as at June 2016 ($4,514bn, which is the sum of the earlier columns in this section).&#10;&#10;Further details about these sections are discussed in the accompanying text within the report.&#10;&#10;" title=" Explanation of change in lifetime co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4275" cy="2795905"/>
                    </a:xfrm>
                    <a:prstGeom prst="rect">
                      <a:avLst/>
                    </a:prstGeom>
                    <a:noFill/>
                    <a:ln>
                      <a:noFill/>
                    </a:ln>
                  </pic:spPr>
                </pic:pic>
              </a:graphicData>
            </a:graphic>
          </wp:inline>
        </w:drawing>
      </w:r>
    </w:p>
    <w:p w14:paraId="24384A7B" w14:textId="77777777" w:rsidR="002C149A" w:rsidRPr="00EC326F" w:rsidRDefault="002C149A" w:rsidP="002C149A">
      <w:pPr>
        <w:pStyle w:val="Bullet1"/>
        <w:numPr>
          <w:ilvl w:val="0"/>
          <w:numId w:val="0"/>
        </w:numPr>
        <w:tabs>
          <w:tab w:val="left" w:pos="720"/>
        </w:tabs>
        <w:ind w:left="284" w:hanging="284"/>
      </w:pPr>
      <w:r w:rsidRPr="00EC326F">
        <w:t>The figure shows these movements in three stages which are discussed in turn below.</w:t>
      </w:r>
    </w:p>
    <w:p w14:paraId="1E8E1240" w14:textId="77777777" w:rsidR="002C149A" w:rsidRPr="00EC326F" w:rsidRDefault="002C149A" w:rsidP="002C149A">
      <w:pPr>
        <w:pStyle w:val="Heading4"/>
      </w:pPr>
      <w:r w:rsidRPr="00EC326F">
        <w:t>Initial forecast</w:t>
      </w:r>
    </w:p>
    <w:p w14:paraId="4B5ED241" w14:textId="77777777" w:rsidR="00795805" w:rsidRDefault="002C149A" w:rsidP="002C149A">
      <w:pPr>
        <w:pStyle w:val="Bullet1"/>
        <w:numPr>
          <w:ilvl w:val="0"/>
          <w:numId w:val="0"/>
        </w:numPr>
        <w:tabs>
          <w:tab w:val="left" w:pos="720"/>
        </w:tabs>
      </w:pPr>
      <w:r w:rsidRPr="00EC326F">
        <w:t>As part of the work undertaken for the baseline valuation we provided a partial forecast of the expected lifetime cost at the 2016 valuation of $4,926bn</w:t>
      </w:r>
      <w:r w:rsidR="00B532FC">
        <w:t xml:space="preserve"> (an increase of $162bn)</w:t>
      </w:r>
      <w:r w:rsidRPr="00EC326F">
        <w:t>. This forecast provide</w:t>
      </w:r>
      <w:r w:rsidR="00795805">
        <w:t>d</w:t>
      </w:r>
      <w:r w:rsidRPr="00EC326F">
        <w:t xml:space="preserve"> information about what the result would be if the actual experience over the last 12 months was exactly in line with all the assumptions </w:t>
      </w:r>
      <w:r w:rsidRPr="00EC326F">
        <w:lastRenderedPageBreak/>
        <w:t xml:space="preserve">made for the baseline valuation and there </w:t>
      </w:r>
      <w:r w:rsidR="00795805">
        <w:t>were</w:t>
      </w:r>
      <w:r w:rsidRPr="00EC326F">
        <w:t xml:space="preserve"> no changes to the valuation assumptions about the future experience. </w:t>
      </w:r>
    </w:p>
    <w:p w14:paraId="0FB4D983" w14:textId="77777777" w:rsidR="002C149A" w:rsidRPr="00EC326F" w:rsidRDefault="002C149A" w:rsidP="00795805">
      <w:pPr>
        <w:pStyle w:val="PwCNormal-keepwithnext"/>
      </w:pPr>
      <w:r w:rsidRPr="00EC326F">
        <w:t xml:space="preserve">The forecast </w:t>
      </w:r>
      <w:r w:rsidR="00795805">
        <w:t>wa</w:t>
      </w:r>
      <w:r w:rsidRPr="00EC326F">
        <w:t>s based on the 30 June 2015 lifetime cost and allow</w:t>
      </w:r>
      <w:r w:rsidR="00795805">
        <w:t>ed</w:t>
      </w:r>
      <w:r w:rsidRPr="00EC326F">
        <w:t xml:space="preserve"> for the following adjustments:</w:t>
      </w:r>
    </w:p>
    <w:p w14:paraId="28093E86" w14:textId="77777777" w:rsidR="002C149A" w:rsidRPr="00EC326F" w:rsidRDefault="002C149A" w:rsidP="002C149A">
      <w:pPr>
        <w:pStyle w:val="ListBullet"/>
      </w:pPr>
      <w:r w:rsidRPr="00EC326F">
        <w:t>Ex</w:t>
      </w:r>
      <w:r w:rsidR="00795805">
        <w:t>pected payments during 2015/16 we</w:t>
      </w:r>
      <w:r w:rsidRPr="00EC326F">
        <w:t xml:space="preserve">re deducted: These </w:t>
      </w:r>
      <w:r w:rsidR="00795805">
        <w:t>we</w:t>
      </w:r>
      <w:r w:rsidR="00795805" w:rsidRPr="00EC326F">
        <w:t xml:space="preserve">re </w:t>
      </w:r>
      <w:r w:rsidRPr="00EC326F">
        <w:t xml:space="preserve">deducted as only payments from </w:t>
      </w:r>
      <w:r w:rsidR="00CD3E41">
        <w:t>July</w:t>
      </w:r>
      <w:r w:rsidRPr="00EC326F">
        <w:t xml:space="preserve"> 2016 onwards are included in the lifetime cost at June 2016.</w:t>
      </w:r>
    </w:p>
    <w:p w14:paraId="05B05C8C" w14:textId="77777777" w:rsidR="002C149A" w:rsidRPr="00EC326F" w:rsidRDefault="002C149A" w:rsidP="002C149A">
      <w:pPr>
        <w:pStyle w:val="ListBullet"/>
      </w:pPr>
      <w:r w:rsidRPr="00EC326F">
        <w:t>Adjustment for discounting to 30 June 2016: This adjust</w:t>
      </w:r>
      <w:r w:rsidR="00795805">
        <w:t>ed</w:t>
      </w:r>
      <w:r w:rsidRPr="00EC326F">
        <w:t xml:space="preserve"> the lifetime cost to be in June 2016 ‘current dollar values’ (rather than June 2015 ‘current dollar values’).</w:t>
      </w:r>
    </w:p>
    <w:p w14:paraId="59DB0D5F" w14:textId="77777777" w:rsidR="002C149A" w:rsidRPr="00EC326F" w:rsidRDefault="002C149A" w:rsidP="002C149A">
      <w:pPr>
        <w:pStyle w:val="Bullet1"/>
        <w:numPr>
          <w:ilvl w:val="0"/>
          <w:numId w:val="0"/>
        </w:numPr>
        <w:tabs>
          <w:tab w:val="left" w:pos="720"/>
        </w:tabs>
      </w:pPr>
      <w:r w:rsidRPr="00EC326F">
        <w:t>The initial forecast was partial in that it only included information for the individuals who were part of the 2015 valuation population and expected to also be part of the 2016 valuation population. A complete forecast would need to include the full 2016 population, adding records for newborn children and those migrating into the country and removing records for those emigrating.</w:t>
      </w:r>
    </w:p>
    <w:p w14:paraId="439CDD4A" w14:textId="77777777" w:rsidR="002C149A" w:rsidRPr="00EC326F" w:rsidRDefault="002C149A" w:rsidP="002C149A">
      <w:pPr>
        <w:pStyle w:val="Heading4"/>
      </w:pPr>
      <w:r w:rsidRPr="00EC326F">
        <w:t>Updated forecast</w:t>
      </w:r>
    </w:p>
    <w:p w14:paraId="73E2294F" w14:textId="77777777" w:rsidR="002C149A" w:rsidRPr="00EC326F" w:rsidRDefault="002C149A" w:rsidP="002C149A">
      <w:pPr>
        <w:pStyle w:val="Bullet1"/>
        <w:numPr>
          <w:ilvl w:val="0"/>
          <w:numId w:val="0"/>
        </w:numPr>
        <w:tabs>
          <w:tab w:val="left" w:pos="720"/>
        </w:tabs>
      </w:pPr>
      <w:r w:rsidRPr="00EC326F">
        <w:t>As the first step of understanding the change in the lifetime cost result we have updated the initial forecast to take into account information on:</w:t>
      </w:r>
    </w:p>
    <w:p w14:paraId="4657BC34" w14:textId="77777777" w:rsidR="002C149A" w:rsidRPr="00EC326F" w:rsidRDefault="002C149A" w:rsidP="002C149A">
      <w:pPr>
        <w:pStyle w:val="ListBullet"/>
      </w:pPr>
      <w:r w:rsidRPr="00EC326F">
        <w:t>Births during the 2015-16 year</w:t>
      </w:r>
    </w:p>
    <w:p w14:paraId="2EDBDE26" w14:textId="77777777" w:rsidR="002C149A" w:rsidRPr="00EC326F" w:rsidRDefault="002C149A" w:rsidP="002C149A">
      <w:pPr>
        <w:pStyle w:val="ListBullet"/>
      </w:pPr>
      <w:r w:rsidRPr="00EC326F">
        <w:t>The changes in population at other ages based on the net migration</w:t>
      </w:r>
    </w:p>
    <w:p w14:paraId="43E627AE" w14:textId="77777777" w:rsidR="002C149A" w:rsidRPr="00EC326F" w:rsidRDefault="002C149A" w:rsidP="002C149A">
      <w:pPr>
        <w:pStyle w:val="ListBullet"/>
      </w:pPr>
      <w:r w:rsidRPr="00EC326F">
        <w:t>Indexation of payments over the year – updating the indexation assumptions to reflect the actual indexation applied over the year and an updated view of future inflation</w:t>
      </w:r>
    </w:p>
    <w:p w14:paraId="6F8D09D0" w14:textId="77777777" w:rsidR="002C149A" w:rsidRPr="00EC326F" w:rsidRDefault="002C149A" w:rsidP="002C149A">
      <w:pPr>
        <w:pStyle w:val="Bullet1"/>
        <w:numPr>
          <w:ilvl w:val="0"/>
          <w:numId w:val="0"/>
        </w:numPr>
        <w:tabs>
          <w:tab w:val="left" w:pos="720"/>
        </w:tabs>
      </w:pPr>
      <w:r w:rsidRPr="00EC326F">
        <w:t>The impact of births and net migration are to increase the lifetime cost by $47bn and $26bn respectively. The actual indexation over the year has been lower than expected and so allowance for this has acted to reduce the lifetime cost by around $135bn.</w:t>
      </w:r>
    </w:p>
    <w:p w14:paraId="10BE54F8" w14:textId="77777777" w:rsidR="002C149A" w:rsidRPr="00EC326F" w:rsidRDefault="002C149A" w:rsidP="002C149A">
      <w:pPr>
        <w:pStyle w:val="Bullet1"/>
        <w:numPr>
          <w:ilvl w:val="0"/>
          <w:numId w:val="0"/>
        </w:numPr>
        <w:tabs>
          <w:tab w:val="left" w:pos="720"/>
        </w:tabs>
      </w:pPr>
      <w:r w:rsidRPr="00EC326F">
        <w:t xml:space="preserve">All of these elements are external to the welfare system itself and outside of the management control of the Department. This updated forecast </w:t>
      </w:r>
      <w:r w:rsidR="00B532FC">
        <w:t xml:space="preserve">is $62bn lower than the initial forecast and </w:t>
      </w:r>
      <w:r w:rsidRPr="00EC326F">
        <w:t>provides a benchmark to which the 2016 valuation result can be compared.</w:t>
      </w:r>
    </w:p>
    <w:p w14:paraId="70CE70DA" w14:textId="77777777" w:rsidR="002C149A" w:rsidRPr="00EC326F" w:rsidRDefault="002C149A" w:rsidP="002C149A">
      <w:pPr>
        <w:pStyle w:val="Heading4"/>
      </w:pPr>
      <w:r w:rsidRPr="00EC326F">
        <w:t>Further changes in the assessment of June 2016 lifetime cost</w:t>
      </w:r>
    </w:p>
    <w:p w14:paraId="3ACC5554" w14:textId="28E286CE" w:rsidR="002C149A" w:rsidRPr="00EC326F" w:rsidRDefault="002C149A" w:rsidP="002C149A">
      <w:pPr>
        <w:pStyle w:val="Bullet1"/>
        <w:numPr>
          <w:ilvl w:val="0"/>
          <w:numId w:val="0"/>
        </w:numPr>
        <w:tabs>
          <w:tab w:val="left" w:pos="720"/>
        </w:tabs>
      </w:pPr>
      <w:r w:rsidRPr="00EC326F">
        <w:t>The 2016 lifetime cost of $4,51</w:t>
      </w:r>
      <w:r w:rsidR="00960BC8">
        <w:t>4</w:t>
      </w:r>
      <w:r w:rsidRPr="00EC326F">
        <w:t>bn is a reduction of around $350bn from the updated forecast.</w:t>
      </w:r>
    </w:p>
    <w:p w14:paraId="4BF2545A" w14:textId="77777777" w:rsidR="002C149A" w:rsidRPr="00EC326F" w:rsidRDefault="002C149A" w:rsidP="002C149A">
      <w:pPr>
        <w:pStyle w:val="Bullet1"/>
        <w:numPr>
          <w:ilvl w:val="0"/>
          <w:numId w:val="0"/>
        </w:numPr>
        <w:tabs>
          <w:tab w:val="left" w:pos="720"/>
        </w:tabs>
      </w:pPr>
      <w:r w:rsidRPr="00EC326F">
        <w:t>This reduction arises as a result of a combination of changes which influence the valuation result. They include:</w:t>
      </w:r>
    </w:p>
    <w:p w14:paraId="2A9ADC8F" w14:textId="77777777" w:rsidR="002C149A" w:rsidRPr="00EC326F" w:rsidRDefault="002C149A" w:rsidP="002C149A">
      <w:pPr>
        <w:pStyle w:val="ListBullet"/>
      </w:pPr>
      <w:r w:rsidRPr="00EC326F">
        <w:t>Differences between the actual and expected experience over the 2015-16 year. Th</w:t>
      </w:r>
      <w:r w:rsidR="008E7403" w:rsidRPr="00EC326F">
        <w:t>is</w:t>
      </w:r>
      <w:r w:rsidRPr="00EC326F">
        <w:t xml:space="preserve"> influences the numbers of people in each class of the population at 30 June 2016.</w:t>
      </w:r>
    </w:p>
    <w:p w14:paraId="120C27F4" w14:textId="77777777" w:rsidR="002C149A" w:rsidRPr="00EC326F" w:rsidRDefault="002C149A" w:rsidP="002C149A">
      <w:pPr>
        <w:pStyle w:val="ListBullet"/>
      </w:pPr>
      <w:r w:rsidRPr="00EC326F">
        <w:t>Revisions to the valuation model assumptions which reflect:</w:t>
      </w:r>
    </w:p>
    <w:p w14:paraId="7765727C" w14:textId="77777777" w:rsidR="002C149A" w:rsidRPr="00EC326F" w:rsidRDefault="002C149A" w:rsidP="002C149A">
      <w:pPr>
        <w:pStyle w:val="ListBullet2"/>
      </w:pPr>
      <w:r w:rsidRPr="00EC326F">
        <w:t xml:space="preserve">Updated information on the actual experience, such as changes to the expected rates of movement between two classes or changes to the average amount of payments being received when people are in a particular class. </w:t>
      </w:r>
    </w:p>
    <w:p w14:paraId="09E5FDC1" w14:textId="77777777" w:rsidR="002C149A" w:rsidRPr="00EC326F" w:rsidRDefault="002C149A" w:rsidP="002C149A">
      <w:pPr>
        <w:pStyle w:val="ListBullet2"/>
      </w:pPr>
      <w:r w:rsidRPr="00EC326F">
        <w:t>Updated information on external drivers of welfare utilisation, such as future unemployment rates</w:t>
      </w:r>
    </w:p>
    <w:p w14:paraId="57448E95" w14:textId="77777777" w:rsidR="002C149A" w:rsidRPr="00EC326F" w:rsidRDefault="002C149A" w:rsidP="002C149A">
      <w:pPr>
        <w:pStyle w:val="ListBullet2"/>
      </w:pPr>
      <w:r w:rsidRPr="00EC326F">
        <w:t>Changes to the policy settings</w:t>
      </w:r>
    </w:p>
    <w:p w14:paraId="7C1ED02E" w14:textId="77777777" w:rsidR="002C149A" w:rsidRPr="00EC326F" w:rsidRDefault="002C149A" w:rsidP="002C149A">
      <w:pPr>
        <w:pStyle w:val="ListBullet"/>
      </w:pPr>
      <w:r w:rsidRPr="00EC326F">
        <w:t>Changes to the valuation model which are independent of the underlying experience and reflect the methodology improvements implemented at this valuation.</w:t>
      </w:r>
    </w:p>
    <w:p w14:paraId="45255DAF" w14:textId="482F1ADF" w:rsidR="002C149A" w:rsidRPr="00EC326F" w:rsidRDefault="002C149A" w:rsidP="002C149A">
      <w:pPr>
        <w:pStyle w:val="Bullet1"/>
        <w:numPr>
          <w:ilvl w:val="0"/>
          <w:numId w:val="0"/>
        </w:numPr>
        <w:tabs>
          <w:tab w:val="left" w:pos="720"/>
        </w:tabs>
      </w:pPr>
      <w:r w:rsidRPr="00EC326F">
        <w:t xml:space="preserve">We included these changes within the following items in </w:t>
      </w:r>
      <w:r w:rsidR="00881FC5">
        <w:fldChar w:fldCharType="begin"/>
      </w:r>
      <w:r w:rsidR="00881FC5">
        <w:instrText xml:space="preserve"> REF _Ref466493297 \h </w:instrText>
      </w:r>
      <w:r w:rsidR="00881FC5">
        <w:fldChar w:fldCharType="separate"/>
      </w:r>
      <w:r w:rsidR="007A42DF" w:rsidRPr="002A0A1A">
        <w:t xml:space="preserve">Figure </w:t>
      </w:r>
      <w:r w:rsidR="007A42DF">
        <w:rPr>
          <w:noProof/>
        </w:rPr>
        <w:t>25</w:t>
      </w:r>
      <w:r w:rsidR="00881FC5">
        <w:fldChar w:fldCharType="end"/>
      </w:r>
      <w:r w:rsidRPr="00EC326F">
        <w:t>, and further explanation is provided below.</w:t>
      </w:r>
    </w:p>
    <w:p w14:paraId="4587EED8" w14:textId="77777777" w:rsidR="00A277D3" w:rsidRPr="00EC326F" w:rsidRDefault="00A277D3" w:rsidP="00A277D3">
      <w:pPr>
        <w:pStyle w:val="ListBullet"/>
      </w:pPr>
      <w:r w:rsidRPr="00EC326F">
        <w:rPr>
          <w:b/>
        </w:rPr>
        <w:t>Method refinements:</w:t>
      </w:r>
      <w:r w:rsidRPr="00EC326F">
        <w:t xml:space="preserve"> At this second valuation of the welfare system we have implemented a number of changes to improve the valuation model. These changes have been discussed in </w:t>
      </w:r>
      <w:r w:rsidR="0011562A">
        <w:t>section</w:t>
      </w:r>
      <w:r w:rsidRPr="00EC326F">
        <w:t xml:space="preserve">s </w:t>
      </w:r>
      <w:r w:rsidRPr="00EC326F">
        <w:fldChar w:fldCharType="begin"/>
      </w:r>
      <w:r w:rsidRPr="00EC326F">
        <w:instrText xml:space="preserve"> REF _Ref465929967 \r \h  \* MERGEFORMAT </w:instrText>
      </w:r>
      <w:r w:rsidRPr="00EC326F">
        <w:fldChar w:fldCharType="separate"/>
      </w:r>
      <w:r w:rsidR="007A42DF">
        <w:t>4</w:t>
      </w:r>
      <w:r w:rsidRPr="00EC326F">
        <w:fldChar w:fldCharType="end"/>
      </w:r>
      <w:r w:rsidRPr="00EC326F">
        <w:t xml:space="preserve"> and </w:t>
      </w:r>
      <w:r w:rsidRPr="00EC326F">
        <w:fldChar w:fldCharType="begin"/>
      </w:r>
      <w:r w:rsidRPr="00EC326F">
        <w:instrText xml:space="preserve"> REF _Ref465929980 \r \h  \* MERGEFORMAT </w:instrText>
      </w:r>
      <w:r w:rsidRPr="00EC326F">
        <w:fldChar w:fldCharType="separate"/>
      </w:r>
      <w:r w:rsidR="007A42DF">
        <w:t>5</w:t>
      </w:r>
      <w:r w:rsidRPr="00EC326F">
        <w:fldChar w:fldCharType="end"/>
      </w:r>
      <w:r w:rsidRPr="00EC326F">
        <w:t xml:space="preserve">. They include the changes </w:t>
      </w:r>
      <w:r w:rsidR="00B532FC">
        <w:t xml:space="preserve">to the payment category definitions, changes </w:t>
      </w:r>
      <w:r w:rsidRPr="00EC326F">
        <w:t xml:space="preserve">to add class characteristic variables into the model and refined approaches to developing many of the underlying model assumptions. The overall effect of these changes is a lifetime cost reduction of </w:t>
      </w:r>
      <w:r w:rsidRPr="00EC326F">
        <w:rPr>
          <w:b/>
        </w:rPr>
        <w:t>$</w:t>
      </w:r>
      <w:r w:rsidR="00B532FC">
        <w:rPr>
          <w:b/>
        </w:rPr>
        <w:t>39</w:t>
      </w:r>
      <w:r w:rsidRPr="00EC326F">
        <w:rPr>
          <w:b/>
        </w:rPr>
        <w:t>bn</w:t>
      </w:r>
      <w:r w:rsidRPr="00EC326F">
        <w:t>.</w:t>
      </w:r>
    </w:p>
    <w:p w14:paraId="0AE2C05E" w14:textId="29AF0154" w:rsidR="00A277D3" w:rsidRPr="00EC326F" w:rsidRDefault="00A277D3" w:rsidP="00A277D3">
      <w:pPr>
        <w:pStyle w:val="ListBullet"/>
      </w:pPr>
      <w:r w:rsidRPr="00EC326F">
        <w:rPr>
          <w:b/>
        </w:rPr>
        <w:t>Updated number and profile of people in each class (compared to the expected position):</w:t>
      </w:r>
      <w:r w:rsidRPr="00EC326F">
        <w:t xml:space="preserve"> This allows for the number and profile of people in each class differing from what was expected based on the June 2015 </w:t>
      </w:r>
      <w:r w:rsidRPr="00EC326F">
        <w:lastRenderedPageBreak/>
        <w:t xml:space="preserve">valuation. In particular there were slightly less people than expected in some of the </w:t>
      </w:r>
      <w:r w:rsidR="001C6B01">
        <w:t>i</w:t>
      </w:r>
      <w:r w:rsidRPr="00EC326F">
        <w:t xml:space="preserve">ncome </w:t>
      </w:r>
      <w:r w:rsidR="001C6B01">
        <w:t>s</w:t>
      </w:r>
      <w:r w:rsidRPr="00EC326F">
        <w:t xml:space="preserve">upport classes. This experience resulted in a decrease in the lifetime cost of around </w:t>
      </w:r>
      <w:r w:rsidRPr="00EC326F">
        <w:rPr>
          <w:b/>
        </w:rPr>
        <w:t>$19bn</w:t>
      </w:r>
      <w:r w:rsidRPr="00EC326F">
        <w:t>.</w:t>
      </w:r>
    </w:p>
    <w:p w14:paraId="37FA9F34" w14:textId="77777777" w:rsidR="00A277D3" w:rsidRPr="00EC326F" w:rsidRDefault="00A277D3" w:rsidP="00A277D3">
      <w:pPr>
        <w:pStyle w:val="ListBullet"/>
        <w:numPr>
          <w:ilvl w:val="0"/>
          <w:numId w:val="0"/>
        </w:numPr>
        <w:ind w:left="284"/>
      </w:pPr>
      <w:r w:rsidRPr="00EC326F">
        <w:t>The decrease in lifetime cost seen here is reflective of class transition experience over the last year differing from the assumptions used for the previous valuation. This experience has been used to form an updated view on future transitions and this results in a further decrease in lifetime cost as the updated view is flowed through to the class assumptions for the current valuation. This is discussed further in the point below.</w:t>
      </w:r>
    </w:p>
    <w:p w14:paraId="24BA6B8E" w14:textId="1A9A0A11" w:rsidR="00A277D3" w:rsidRPr="00EC326F" w:rsidRDefault="00A277D3" w:rsidP="00A277D3">
      <w:pPr>
        <w:pStyle w:val="ListBullet"/>
        <w:numPr>
          <w:ilvl w:val="0"/>
          <w:numId w:val="0"/>
        </w:numPr>
        <w:ind w:left="284"/>
      </w:pPr>
      <w:r w:rsidRPr="00EC326F">
        <w:t xml:space="preserve">The experience seen in this item also in part </w:t>
      </w:r>
      <w:r w:rsidRPr="00881FC5">
        <w:t xml:space="preserve">reflects the operational activity relating to the Disability Support Pension eligibility assessment process (see </w:t>
      </w:r>
      <w:r w:rsidR="0011562A">
        <w:t>section</w:t>
      </w:r>
      <w:r w:rsidRPr="00881FC5">
        <w:t xml:space="preserve"> </w:t>
      </w:r>
      <w:r w:rsidR="00881FC5">
        <w:fldChar w:fldCharType="begin"/>
      </w:r>
      <w:r w:rsidR="00881FC5">
        <w:instrText xml:space="preserve"> REF _Ref466493355 \w \h </w:instrText>
      </w:r>
      <w:r w:rsidR="00881FC5">
        <w:fldChar w:fldCharType="separate"/>
      </w:r>
      <w:r w:rsidR="007A42DF">
        <w:t>5.2</w:t>
      </w:r>
      <w:r w:rsidR="00881FC5">
        <w:fldChar w:fldCharType="end"/>
      </w:r>
      <w:r w:rsidRPr="00881FC5">
        <w:t>). In particular</w:t>
      </w:r>
      <w:r w:rsidRPr="00EC326F">
        <w:t xml:space="preserve"> we have seen a reduction in the number of people in the D</w:t>
      </w:r>
      <w:r w:rsidR="00916C7F">
        <w:t xml:space="preserve">isability </w:t>
      </w:r>
      <w:r w:rsidRPr="00EC326F">
        <w:t>S</w:t>
      </w:r>
      <w:r w:rsidR="00916C7F">
        <w:t xml:space="preserve">upport </w:t>
      </w:r>
      <w:r w:rsidRPr="00EC326F">
        <w:t>P</w:t>
      </w:r>
      <w:r w:rsidR="00916C7F">
        <w:t>ension</w:t>
      </w:r>
      <w:r w:rsidRPr="00EC326F">
        <w:t xml:space="preserve"> class and this has contributed to the decrease in the lifetime cost.</w:t>
      </w:r>
    </w:p>
    <w:p w14:paraId="1EBCDC03" w14:textId="77777777" w:rsidR="00A277D3" w:rsidRPr="00EC326F" w:rsidRDefault="00A277D3" w:rsidP="00A277D3">
      <w:pPr>
        <w:pStyle w:val="ListBullet"/>
      </w:pPr>
      <w:r w:rsidRPr="00EC326F">
        <w:rPr>
          <w:b/>
        </w:rPr>
        <w:t>Updates to class and demographic assumptions</w:t>
      </w:r>
      <w:r w:rsidR="00F91CA9" w:rsidRPr="00EC326F">
        <w:rPr>
          <w:b/>
        </w:rPr>
        <w:t xml:space="preserve"> ($157bn decrease)</w:t>
      </w:r>
      <w:r w:rsidRPr="00EC326F">
        <w:rPr>
          <w:b/>
        </w:rPr>
        <w:t>:</w:t>
      </w:r>
      <w:r w:rsidRPr="00EC326F">
        <w:t xml:space="preserve"> This component of the change reflects the updates made to the partnering, children and educational attainment assumptions and those made to the class movement assumptions. These updates reflect the latest experience captured in the administrative data and also reflect the explicit consideration of the impact of the new modelling variables on the class movements. </w:t>
      </w:r>
    </w:p>
    <w:p w14:paraId="4E51261F" w14:textId="77777777" w:rsidR="00A277D3" w:rsidRPr="00EC326F" w:rsidRDefault="00A277D3" w:rsidP="00A277D3">
      <w:pPr>
        <w:pStyle w:val="ListContinue"/>
        <w:ind w:left="284"/>
        <w:contextualSpacing w:val="0"/>
      </w:pPr>
      <w:r w:rsidRPr="00EC326F">
        <w:t>The impacts of the demographic and class movement assumption sets are closely inter-related owing to the iterative nature of the model, with changes in person characteristics influencing class movements which in turn influence expectations of the class movements the following year. The long-term nature of the model also means that the impacts are highly geared, with quite subtle changes in single year assumptions building up to material impacts when compounded over peoples full future lifetime.</w:t>
      </w:r>
    </w:p>
    <w:p w14:paraId="1A305499" w14:textId="77777777" w:rsidR="00A277D3" w:rsidRPr="00EC326F" w:rsidRDefault="00A277D3" w:rsidP="00A277D3">
      <w:pPr>
        <w:pStyle w:val="ListContinue"/>
        <w:contextualSpacing w:val="0"/>
      </w:pPr>
      <w:r w:rsidRPr="00EC326F">
        <w:t>Noting the very high number of individual assumptions within these assumptions sets (age-based assumptions for people in each class with each potential mix of risk characteristics) it is not practical to isolate the impact of every individual assumption change, however we have identified the main factors underlying the changes from these assumptions are:</w:t>
      </w:r>
    </w:p>
    <w:p w14:paraId="4B2A232F" w14:textId="77777777" w:rsidR="00A277D3" w:rsidRPr="00EC326F" w:rsidRDefault="00A277D3" w:rsidP="00A277D3">
      <w:pPr>
        <w:pStyle w:val="ListBullet2"/>
      </w:pPr>
      <w:r w:rsidRPr="00EC326F">
        <w:t>A</w:t>
      </w:r>
      <w:r w:rsidR="00F91CA9" w:rsidRPr="00EC326F">
        <w:t>round a $40bn decrease from updating the demographic assumptions to reflect more recent experience. This included a</w:t>
      </w:r>
      <w:r w:rsidRPr="00EC326F">
        <w:t xml:space="preserve"> decrease in the projected proportion of women with children</w:t>
      </w:r>
      <w:r w:rsidR="00F91CA9" w:rsidRPr="00EC326F">
        <w:t xml:space="preserve">, </w:t>
      </w:r>
      <w:r w:rsidRPr="00EC326F">
        <w:t>resulting in decreased projected numbers of people in Class 3 Parents and Class 7 Non IS Family.</w:t>
      </w:r>
    </w:p>
    <w:p w14:paraId="2A94A55B" w14:textId="7326F45C" w:rsidR="00A277D3" w:rsidRPr="00EC326F" w:rsidRDefault="00A277D3" w:rsidP="00A277D3">
      <w:pPr>
        <w:pStyle w:val="ListBullet2"/>
      </w:pPr>
      <w:r w:rsidRPr="00EC326F">
        <w:t>A</w:t>
      </w:r>
      <w:r w:rsidR="00F91CA9" w:rsidRPr="00EC326F">
        <w:t>round a $70bn</w:t>
      </w:r>
      <w:r w:rsidRPr="00EC326F">
        <w:t xml:space="preserve"> decrease </w:t>
      </w:r>
      <w:r w:rsidR="00F91CA9" w:rsidRPr="00EC326F">
        <w:t>from changes to entry rates of which the most significant change was a reduction in the assumed entry rate</w:t>
      </w:r>
      <w:r w:rsidRPr="00EC326F">
        <w:t xml:space="preserve"> into Class </w:t>
      </w:r>
      <w:r w:rsidR="00FF7EC9">
        <w:t>‘</w:t>
      </w:r>
      <w:r w:rsidRPr="00EC326F">
        <w:t>2 Working Age</w:t>
      </w:r>
      <w:r w:rsidR="00FF7EC9">
        <w:t>’</w:t>
      </w:r>
      <w:r w:rsidRPr="00EC326F">
        <w:t>.</w:t>
      </w:r>
    </w:p>
    <w:p w14:paraId="23986163" w14:textId="77777777" w:rsidR="00A277D3" w:rsidRPr="00EC326F" w:rsidRDefault="00F91CA9" w:rsidP="00A277D3">
      <w:pPr>
        <w:pStyle w:val="ListBullet2"/>
      </w:pPr>
      <w:r w:rsidRPr="00EC326F">
        <w:t xml:space="preserve">Other changes in the assumptions </w:t>
      </w:r>
      <w:r w:rsidR="00B532FC">
        <w:t xml:space="preserve">for </w:t>
      </w:r>
      <w:r w:rsidRPr="00EC326F">
        <w:t>movements from the active classes, including a</w:t>
      </w:r>
      <w:r w:rsidR="00A277D3" w:rsidRPr="00EC326F">
        <w:t xml:space="preserve"> decrease in the assumptions for the number of </w:t>
      </w:r>
      <w:r w:rsidR="00B532FC">
        <w:t xml:space="preserve">subsequent </w:t>
      </w:r>
      <w:r w:rsidR="00A277D3" w:rsidRPr="00EC326F">
        <w:t>transitions into Class 4 Carers, Class 5 Disability Support and Class 8 Non IS Carer</w:t>
      </w:r>
      <w:r w:rsidRPr="00EC326F">
        <w:t xml:space="preserve"> (around</w:t>
      </w:r>
      <w:r w:rsidR="00CD3E41">
        <w:t xml:space="preserve"> a</w:t>
      </w:r>
      <w:r w:rsidRPr="00EC326F">
        <w:t xml:space="preserve"> $40bn decrease)</w:t>
      </w:r>
      <w:r w:rsidR="00A277D3" w:rsidRPr="00EC326F">
        <w:t>.</w:t>
      </w:r>
    </w:p>
    <w:p w14:paraId="27DCD7D3" w14:textId="77777777" w:rsidR="00A277D3" w:rsidRPr="00EC326F" w:rsidRDefault="00A277D3" w:rsidP="00A277D3">
      <w:pPr>
        <w:pStyle w:val="ListBullet"/>
        <w:numPr>
          <w:ilvl w:val="0"/>
          <w:numId w:val="0"/>
        </w:numPr>
        <w:tabs>
          <w:tab w:val="left" w:pos="720"/>
        </w:tabs>
        <w:ind w:left="284"/>
      </w:pPr>
      <w:r w:rsidRPr="00EC326F">
        <w:t>The changes to the underlying assumptions are reflective of recent experience.</w:t>
      </w:r>
    </w:p>
    <w:p w14:paraId="5E5090B8" w14:textId="77777777" w:rsidR="00A277D3" w:rsidRPr="00EC326F" w:rsidRDefault="00A277D3" w:rsidP="00A277D3">
      <w:pPr>
        <w:pStyle w:val="ListBullet"/>
      </w:pPr>
      <w:r w:rsidRPr="00EC326F">
        <w:rPr>
          <w:b/>
        </w:rPr>
        <w:t>Updates to utilisation and payment assumptions:</w:t>
      </w:r>
      <w:r w:rsidRPr="00EC326F">
        <w:t xml:space="preserve"> Based on recent experience, there has been an increase in average payment sizes outside of changes which can be explained by movements in indexation. This may suggest that a higher proportion of welfare recipients have been receiving payments for the full year (rather than for just part of the year). In particular we have noted a trend of increased payment levels for </w:t>
      </w:r>
      <w:r w:rsidR="00B532FC">
        <w:t>working age payments</w:t>
      </w:r>
      <w:r w:rsidRPr="00EC326F">
        <w:t xml:space="preserve"> (above the increases which would </w:t>
      </w:r>
      <w:r w:rsidR="00CD3E41">
        <w:t xml:space="preserve">be </w:t>
      </w:r>
      <w:r w:rsidRPr="00EC326F">
        <w:t>expected due to payment indexation). The estimated impact of this i</w:t>
      </w:r>
      <w:r w:rsidR="00CD3E41">
        <w:t>s</w:t>
      </w:r>
      <w:r w:rsidRPr="00EC326F">
        <w:t xml:space="preserve"> an increase in the lifetime cost of </w:t>
      </w:r>
      <w:r w:rsidRPr="00EC326F">
        <w:rPr>
          <w:b/>
        </w:rPr>
        <w:t>$3</w:t>
      </w:r>
      <w:r w:rsidR="00B532FC">
        <w:rPr>
          <w:b/>
        </w:rPr>
        <w:t>4</w:t>
      </w:r>
      <w:r w:rsidRPr="00EC326F">
        <w:rPr>
          <w:b/>
        </w:rPr>
        <w:t>bn</w:t>
      </w:r>
      <w:r w:rsidRPr="00EC326F">
        <w:t>.</w:t>
      </w:r>
    </w:p>
    <w:p w14:paraId="53CCBF3B" w14:textId="77777777" w:rsidR="00A277D3" w:rsidRPr="00EC326F" w:rsidRDefault="00A277D3" w:rsidP="00A277D3">
      <w:pPr>
        <w:pStyle w:val="ListBullet"/>
      </w:pPr>
      <w:r w:rsidRPr="00EC326F">
        <w:rPr>
          <w:b/>
        </w:rPr>
        <w:t>Policy changes:</w:t>
      </w:r>
      <w:r w:rsidRPr="00EC326F">
        <w:t xml:space="preserve"> The reduction of </w:t>
      </w:r>
      <w:r w:rsidRPr="00EC326F">
        <w:rPr>
          <w:b/>
        </w:rPr>
        <w:t>$28bn</w:t>
      </w:r>
      <w:r w:rsidRPr="00EC326F">
        <w:t xml:space="preserve"> reflects the changes in policy settings which have occurred over the past year. The main elements of this are:</w:t>
      </w:r>
    </w:p>
    <w:p w14:paraId="70D112D9" w14:textId="77777777" w:rsidR="00A277D3" w:rsidRPr="00EC326F" w:rsidRDefault="00A277D3" w:rsidP="00A277D3">
      <w:pPr>
        <w:pStyle w:val="ListBullet2"/>
      </w:pPr>
      <w:r w:rsidRPr="00EC326F">
        <w:t>Family Tax Benefit Part B – primary earner income limit reduced from $150,000 to $100,000 per year</w:t>
      </w:r>
      <w:r w:rsidR="00840291" w:rsidRPr="00EC326F">
        <w:t xml:space="preserve"> ($9bn reduction)</w:t>
      </w:r>
      <w:r w:rsidRPr="00EC326F">
        <w:t>.</w:t>
      </w:r>
    </w:p>
    <w:p w14:paraId="1FCCF590" w14:textId="77777777" w:rsidR="00A277D3" w:rsidRPr="00EC326F" w:rsidRDefault="00A277D3" w:rsidP="00A277D3">
      <w:pPr>
        <w:pStyle w:val="ListBullet2"/>
      </w:pPr>
      <w:r w:rsidRPr="00EC326F">
        <w:t>Removal of Family Tax Benefit Part B for couple families with a youngest child aged 13 and over</w:t>
      </w:r>
      <w:r w:rsidR="00840291" w:rsidRPr="00EC326F">
        <w:t xml:space="preserve"> ($4bn reduction)</w:t>
      </w:r>
      <w:r w:rsidRPr="00EC326F">
        <w:t>.</w:t>
      </w:r>
    </w:p>
    <w:p w14:paraId="14F549FD" w14:textId="77777777" w:rsidR="00A277D3" w:rsidRPr="00EC326F" w:rsidRDefault="00A277D3" w:rsidP="00A277D3">
      <w:pPr>
        <w:pStyle w:val="ListBullet2"/>
      </w:pPr>
      <w:r w:rsidRPr="00EC326F">
        <w:t>Cessation of the Large Family Supplement</w:t>
      </w:r>
      <w:r w:rsidR="00840291" w:rsidRPr="00EC326F">
        <w:t xml:space="preserve"> ($4bn reduction)</w:t>
      </w:r>
      <w:r w:rsidRPr="00EC326F">
        <w:t>.</w:t>
      </w:r>
    </w:p>
    <w:p w14:paraId="21243CFD" w14:textId="77777777" w:rsidR="00A277D3" w:rsidRPr="00EC326F" w:rsidRDefault="00A277D3" w:rsidP="00A277D3">
      <w:pPr>
        <w:pStyle w:val="ListBullet2"/>
      </w:pPr>
      <w:r w:rsidRPr="00EC326F">
        <w:t>Changes to Family Assistance Law affecting Child Care Benefit (CCB) approved Family Day Care (FDC) services</w:t>
      </w:r>
      <w:r w:rsidR="00840291" w:rsidRPr="00EC326F">
        <w:t xml:space="preserve"> ($7bn reduction)</w:t>
      </w:r>
      <w:r w:rsidRPr="00EC326F">
        <w:t>.</w:t>
      </w:r>
    </w:p>
    <w:p w14:paraId="064473BB" w14:textId="77777777" w:rsidR="00A277D3" w:rsidRPr="00EC326F" w:rsidRDefault="00A277D3" w:rsidP="00A277D3">
      <w:pPr>
        <w:pStyle w:val="ListBullet2"/>
      </w:pPr>
      <w:r w:rsidRPr="00EC326F">
        <w:t>Student Start-up Loan (SSL) replaced the Student Start-up Scholarship (SSS)</w:t>
      </w:r>
      <w:r w:rsidR="00840291" w:rsidRPr="00EC326F">
        <w:t xml:space="preserve"> ($4bn reduction)</w:t>
      </w:r>
      <w:r w:rsidRPr="00EC326F">
        <w:t>.</w:t>
      </w:r>
    </w:p>
    <w:p w14:paraId="0B187ACB" w14:textId="77777777" w:rsidR="00A277D3" w:rsidRPr="00EC326F" w:rsidRDefault="00A277D3" w:rsidP="00A277D3">
      <w:pPr>
        <w:pStyle w:val="ListBullet2"/>
        <w:numPr>
          <w:ilvl w:val="0"/>
          <w:numId w:val="0"/>
        </w:numPr>
        <w:ind w:left="284"/>
      </w:pPr>
      <w:r w:rsidRPr="00EC326F">
        <w:t xml:space="preserve">At the previous valuation we made allowances for a number of upcoming policy changes including the pension age changes, changes to the pension asset test, changes to the Schoolkids Bonus and changes to </w:t>
      </w:r>
      <w:r w:rsidRPr="00EC326F">
        <w:lastRenderedPageBreak/>
        <w:t xml:space="preserve">the Income Support Bonus. We have continued to make allowance for these and estimates have not changed substantially. As such </w:t>
      </w:r>
      <w:r w:rsidR="008E7403" w:rsidRPr="00EC326F">
        <w:t xml:space="preserve">these items do not make a material contribution to the change in </w:t>
      </w:r>
      <w:r w:rsidRPr="00EC326F">
        <w:t>the lifetime cost</w:t>
      </w:r>
      <w:r w:rsidR="00B532FC">
        <w:t xml:space="preserve"> at this valuation</w:t>
      </w:r>
      <w:r w:rsidRPr="00EC326F">
        <w:t>.</w:t>
      </w:r>
    </w:p>
    <w:p w14:paraId="452B7784" w14:textId="77777777" w:rsidR="00A277D3" w:rsidRPr="00EC326F" w:rsidRDefault="00A277D3" w:rsidP="00A277D3">
      <w:pPr>
        <w:pStyle w:val="ListBullet"/>
      </w:pPr>
      <w:r w:rsidRPr="00EC326F">
        <w:rPr>
          <w:b/>
        </w:rPr>
        <w:t>Economic module:</w:t>
      </w:r>
      <w:r w:rsidRPr="00EC326F">
        <w:t xml:space="preserve"> the economic module is newly introduced at this valuation. The module itself has minimal impact on the valuation result, however in conjunction with introducing the module we have changed the assumption of the long term unemployment rate from an implicit assumption of being a continuation of recent experience</w:t>
      </w:r>
      <w:r w:rsidR="00795805">
        <w:t>, which has been around 6%,</w:t>
      </w:r>
      <w:r w:rsidRPr="00EC326F">
        <w:t xml:space="preserve"> to an explicit assumption of a 5% rate. This suggests entries to the welfare </w:t>
      </w:r>
      <w:r w:rsidRPr="00881FC5">
        <w:t xml:space="preserve">system in future years will be lower than assumed for the baseline valuation and exits will be somewhat higher. The effect of this change is a lifetime cost reduction of </w:t>
      </w:r>
      <w:r w:rsidRPr="00881FC5">
        <w:rPr>
          <w:b/>
        </w:rPr>
        <w:t>$142bn</w:t>
      </w:r>
      <w:r w:rsidRPr="00881FC5">
        <w:t xml:space="preserve">. This is discussed further in </w:t>
      </w:r>
      <w:r w:rsidR="0011562A">
        <w:t>section</w:t>
      </w:r>
      <w:r w:rsidRPr="00881FC5">
        <w:t xml:space="preserve"> </w:t>
      </w:r>
      <w:r w:rsidR="00881FC5">
        <w:fldChar w:fldCharType="begin"/>
      </w:r>
      <w:r w:rsidR="00881FC5">
        <w:instrText xml:space="preserve"> REF _Ref466493382 \w \h </w:instrText>
      </w:r>
      <w:r w:rsidR="00881FC5">
        <w:fldChar w:fldCharType="separate"/>
      </w:r>
      <w:r w:rsidR="007A42DF">
        <w:t>7.4</w:t>
      </w:r>
      <w:r w:rsidR="00881FC5">
        <w:fldChar w:fldCharType="end"/>
      </w:r>
      <w:r w:rsidRPr="00881FC5">
        <w:t xml:space="preserve"> below</w:t>
      </w:r>
      <w:r w:rsidRPr="00EC326F">
        <w:t>.</w:t>
      </w:r>
    </w:p>
    <w:p w14:paraId="2F94DE84" w14:textId="77777777" w:rsidR="00A277D3" w:rsidRPr="00EC326F" w:rsidRDefault="00A277D3" w:rsidP="00A277D3">
      <w:pPr>
        <w:pStyle w:val="Heading3"/>
      </w:pPr>
      <w:bookmarkStart w:id="287" w:name="_Toc441667457"/>
      <w:bookmarkStart w:id="288" w:name="_Toc441682854"/>
      <w:bookmarkStart w:id="289" w:name="_Toc441667458"/>
      <w:bookmarkStart w:id="290" w:name="_Toc441682855"/>
      <w:bookmarkStart w:id="291" w:name="_Toc493844253"/>
      <w:bookmarkStart w:id="292" w:name="_Ref437599356"/>
      <w:bookmarkStart w:id="293" w:name="_Toc455499407"/>
      <w:bookmarkStart w:id="294" w:name="_Toc455502428"/>
      <w:bookmarkEnd w:id="285"/>
      <w:bookmarkEnd w:id="287"/>
      <w:bookmarkEnd w:id="288"/>
      <w:bookmarkEnd w:id="289"/>
      <w:bookmarkEnd w:id="290"/>
      <w:r w:rsidRPr="00EC326F">
        <w:t>Summary of overall change in lifetime cost</w:t>
      </w:r>
      <w:bookmarkEnd w:id="291"/>
    </w:p>
    <w:p w14:paraId="7D294671" w14:textId="77777777" w:rsidR="00A277D3" w:rsidRPr="00EC326F" w:rsidRDefault="00A277D3" w:rsidP="00A277D3">
      <w:pPr>
        <w:pStyle w:val="Heading4"/>
      </w:pPr>
      <w:r w:rsidRPr="00EC326F">
        <w:t>Total lifetime cost results</w:t>
      </w:r>
    </w:p>
    <w:p w14:paraId="33804ABF" w14:textId="77777777" w:rsidR="00A277D3" w:rsidRPr="00EC326F" w:rsidRDefault="00A277D3" w:rsidP="00A277D3">
      <w:pPr>
        <w:pStyle w:val="PwCNormal"/>
        <w:numPr>
          <w:ilvl w:val="0"/>
          <w:numId w:val="0"/>
        </w:numPr>
      </w:pPr>
      <w:r w:rsidRPr="00EC326F">
        <w:t xml:space="preserve">In this section we </w:t>
      </w:r>
      <w:r w:rsidR="00730E72" w:rsidRPr="00EC326F">
        <w:t>provide further information on</w:t>
      </w:r>
      <w:r w:rsidRPr="00EC326F">
        <w:t xml:space="preserve"> the </w:t>
      </w:r>
      <w:r w:rsidRPr="00881FC5">
        <w:t xml:space="preserve">overall change in lifetime cost </w:t>
      </w:r>
      <w:r w:rsidR="00730E72" w:rsidRPr="00881FC5">
        <w:t>by showing how this can be broken into</w:t>
      </w:r>
      <w:r w:rsidRPr="00881FC5">
        <w:t xml:space="preserve"> the change in population and the change in the average lifetime cost per person. This is </w:t>
      </w:r>
      <w:r w:rsidR="00254659" w:rsidRPr="00881FC5">
        <w:t xml:space="preserve">effectively </w:t>
      </w:r>
      <w:r w:rsidRPr="00881FC5">
        <w:t xml:space="preserve">a simplified presentation of the changes outlined in </w:t>
      </w:r>
      <w:r w:rsidR="00B532FC">
        <w:t xml:space="preserve">the previous </w:t>
      </w:r>
      <w:r w:rsidR="0011562A">
        <w:t>section</w:t>
      </w:r>
      <w:r w:rsidRPr="00881FC5">
        <w:t xml:space="preserve">, with </w:t>
      </w:r>
      <w:r w:rsidR="00730E72" w:rsidRPr="00881FC5">
        <w:t>these elements being aligned to give more o</w:t>
      </w:r>
      <w:r w:rsidRPr="00881FC5">
        <w:t>f a focus on the impact of the changes rather than the specific model</w:t>
      </w:r>
      <w:r w:rsidRPr="00EC326F">
        <w:t xml:space="preserve"> changes which have been made.</w:t>
      </w:r>
    </w:p>
    <w:p w14:paraId="7D0596E9" w14:textId="1A560652" w:rsidR="00A277D3" w:rsidRPr="00EC326F" w:rsidRDefault="00A277D3" w:rsidP="00A277D3">
      <w:pPr>
        <w:pStyle w:val="PwCNormal"/>
        <w:numPr>
          <w:ilvl w:val="0"/>
          <w:numId w:val="0"/>
        </w:numPr>
      </w:pPr>
      <w:r w:rsidRPr="00EC326F">
        <w:t>The total lifetime cost of $4,51</w:t>
      </w:r>
      <w:r w:rsidR="00960BC8">
        <w:t>4</w:t>
      </w:r>
      <w:r w:rsidRPr="00EC326F">
        <w:t>bn is a decrease of $25</w:t>
      </w:r>
      <w:r w:rsidR="00960BC8">
        <w:t>0</w:t>
      </w:r>
      <w:r w:rsidRPr="00EC326F">
        <w:t>bn (or 5.</w:t>
      </w:r>
      <w:r w:rsidR="002E5940">
        <w:t>3</w:t>
      </w:r>
      <w:r w:rsidRPr="00EC326F">
        <w:t>%) compared to the baseline valuation. This was primarily driven by a decrease in the average lifetime costs of 6.4%, partially offset by an increase to the total population of 1.2%.</w:t>
      </w:r>
      <w:r w:rsidR="002843A0">
        <w:t xml:space="preserve"> </w:t>
      </w:r>
      <w:r w:rsidRPr="00EC326F">
        <w:t>The table below shows further details of this</w:t>
      </w:r>
      <w:r w:rsidR="00730E72" w:rsidRPr="00EC326F">
        <w:t xml:space="preserve"> for the whole population</w:t>
      </w:r>
      <w:r w:rsidRPr="00EC326F">
        <w:t xml:space="preserve">. </w:t>
      </w:r>
    </w:p>
    <w:p w14:paraId="5A7B73C9" w14:textId="77777777" w:rsidR="00A277D3" w:rsidRPr="002A0A1A" w:rsidRDefault="00A277D3" w:rsidP="00A277D3">
      <w:pPr>
        <w:pStyle w:val="Caption"/>
      </w:pPr>
      <w:r w:rsidRPr="00EC326F">
        <w:t xml:space="preserve">Table </w:t>
      </w:r>
      <w:fldSimple w:instr=" SEQ Table \* ARABIC ">
        <w:r w:rsidR="007A42DF">
          <w:rPr>
            <w:noProof/>
          </w:rPr>
          <w:t>21</w:t>
        </w:r>
      </w:fldSimple>
      <w:r w:rsidRPr="00EC326F">
        <w:t>: Change in overall lifetime cost</w:t>
      </w:r>
    </w:p>
    <w:tbl>
      <w:tblPr>
        <w:tblStyle w:val="ListTable3-Accent62"/>
        <w:tblW w:w="9781" w:type="dxa"/>
        <w:tblInd w:w="108" w:type="dxa"/>
        <w:tblLayout w:type="fixed"/>
        <w:tblCellMar>
          <w:left w:w="57" w:type="dxa"/>
          <w:right w:w="57" w:type="dxa"/>
        </w:tblCellMar>
        <w:tblLook w:val="04A0" w:firstRow="1" w:lastRow="0" w:firstColumn="1" w:lastColumn="0" w:noHBand="0" w:noVBand="1"/>
        <w:tblCaption w:val=" Change in overall lifetime cost"/>
        <w:tblDescription w:val="This table shows the breakdown of the total change in overall lifetime cost into; change in population, change in inflation, impact of new economic module, impact of policy changes and other changes. These are shown as rows in the table.&#10;&#10;The changes in lifetime cost are considered by relevant payment categories; IS Non Age Pension, IS Age Pension, Non IS Family Supplements and Non IS Other Supplements. These are shown as columns in the table alongside a total change column.&#10;&#10;The Jun 15 Total Lifetime cost is $4,764bn and the Jun 16 Total Lifetime cost is $4,514bn. This gives a change in total lifetime cost of -$250bn, a 5.3% reduction. There was an increase of 1.2% due to the change in population, and a decrease of 6.4% due to changes to average lifetime cost. The average lifetime cost has reduced by $13,000 (6.4%) since the previous valuation. Less than $1,000 of this change is attributable to changes in inflation, approximately $6,000 of this change is due to the impact of the economics module, approximately $1000 of is from policy changes and $6,000 is from other changes.&#10;&#10;The average lifetime cost of clients in the IS Non Age Pension payment categories has decreased by approximately $9,000. Less than $1,000 of this change is due to inflation. $3,000 of the change is driven by the introduction of the new economics module. Less than $1,000 of the change is driven by policy changes and the remaining $6,000 is due to other changes.&#10;&#10;The average lifetime cost of clients in the IS Age Pension payment category has decreased by less than $1,000. Inflation had a small impact (less than $1,000), the economics module reduced the average lifetime cost by $2,000, policy changes reduced it by less than $1,000. These changes were partially offset by increases caused by other changes ($1,000).&#10;&#10;The average lifetime cost of clients in the Non IS Family Supplements payment categories (H,I or J) has decreased by approximately $1,000. The impact of the new economic module, as well as other changes had the biggest impact of -$1,000 each, whilst inflation and policy changes both contributed less than $1,000.&#10;&#10;The average lifetime cost of clients in the Non IS Other Supplements payment categories has decreased by approximately $2,000. This was primarily caused by other changes (-$1,000). Changes due to inflation, policy changes and the economics module were less than $1,000 each.&#10;"/>
      </w:tblPr>
      <w:tblGrid>
        <w:gridCol w:w="3416"/>
        <w:gridCol w:w="1397"/>
        <w:gridCol w:w="1242"/>
        <w:gridCol w:w="1242"/>
        <w:gridCol w:w="1242"/>
        <w:gridCol w:w="1242"/>
      </w:tblGrid>
      <w:tr w:rsidR="00CF4091" w:rsidRPr="00EC326F" w14:paraId="700C61C1" w14:textId="77777777" w:rsidTr="00CF409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16" w:type="dxa"/>
            <w:tcBorders>
              <w:top w:val="single" w:sz="4" w:space="0" w:color="E0301E" w:themeColor="accent6"/>
              <w:right w:val="single" w:sz="4" w:space="0" w:color="E0301E" w:themeColor="accent6"/>
            </w:tcBorders>
          </w:tcPr>
          <w:p w14:paraId="4D15CBB2" w14:textId="77777777" w:rsidR="00CF4091" w:rsidRPr="00EC326F" w:rsidRDefault="00CF4091" w:rsidP="00715253">
            <w:pPr>
              <w:pStyle w:val="TableTextSmall"/>
              <w:jc w:val="center"/>
              <w:rPr>
                <w:rFonts w:asciiTheme="majorHAnsi" w:hAnsiTheme="majorHAnsi"/>
                <w:color w:val="FFFFFF" w:themeColor="background1"/>
              </w:rPr>
            </w:pPr>
          </w:p>
        </w:tc>
        <w:tc>
          <w:tcPr>
            <w:tcW w:w="1397" w:type="dxa"/>
            <w:tcBorders>
              <w:top w:val="single" w:sz="4" w:space="0" w:color="E0301E" w:themeColor="accent6"/>
              <w:left w:val="single" w:sz="4" w:space="0" w:color="E0301E" w:themeColor="accent6"/>
              <w:right w:val="single" w:sz="4" w:space="0" w:color="E0301E" w:themeColor="accent6"/>
            </w:tcBorders>
          </w:tcPr>
          <w:p w14:paraId="58345829" w14:textId="77777777" w:rsidR="00CF4091" w:rsidRPr="00EC326F" w:rsidRDefault="00CF4091" w:rsidP="00715253">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2" w:type="dxa"/>
            <w:tcBorders>
              <w:left w:val="single" w:sz="4" w:space="0" w:color="E0301E" w:themeColor="accent6"/>
              <w:right w:val="nil"/>
            </w:tcBorders>
          </w:tcPr>
          <w:p w14:paraId="6556D044" w14:textId="713D3FB8" w:rsidR="00CF4091" w:rsidRPr="00EC326F" w:rsidRDefault="00CF4091" w:rsidP="00CF4091">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bCs w:val="0"/>
                <w:color w:val="FFFFFF" w:themeColor="background1"/>
              </w:rPr>
              <w:t>Income</w:t>
            </w:r>
          </w:p>
        </w:tc>
        <w:tc>
          <w:tcPr>
            <w:tcW w:w="1242" w:type="dxa"/>
            <w:tcBorders>
              <w:left w:val="nil"/>
              <w:right w:val="single" w:sz="4" w:space="0" w:color="E0301E" w:themeColor="accent6"/>
            </w:tcBorders>
          </w:tcPr>
          <w:p w14:paraId="6B26F755" w14:textId="2070600F" w:rsidR="00CF4091" w:rsidRPr="00EC326F" w:rsidRDefault="00CF4091" w:rsidP="00CF4091">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bCs w:val="0"/>
                <w:color w:val="FFFFFF" w:themeColor="background1"/>
              </w:rPr>
              <w:t>Support</w:t>
            </w:r>
          </w:p>
        </w:tc>
        <w:tc>
          <w:tcPr>
            <w:tcW w:w="1242" w:type="dxa"/>
            <w:tcBorders>
              <w:left w:val="single" w:sz="4" w:space="0" w:color="E0301E" w:themeColor="accent6"/>
            </w:tcBorders>
          </w:tcPr>
          <w:p w14:paraId="0F0E85F6" w14:textId="55C25E11" w:rsidR="00CF4091" w:rsidRPr="00EC326F" w:rsidRDefault="00CF4091" w:rsidP="00CF4091">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color w:val="FFFFFF" w:themeColor="background1"/>
              </w:rPr>
              <w:t>Non-Income</w:t>
            </w:r>
          </w:p>
        </w:tc>
        <w:tc>
          <w:tcPr>
            <w:tcW w:w="1242" w:type="dxa"/>
          </w:tcPr>
          <w:p w14:paraId="50EB5AEF" w14:textId="42BC8BAD" w:rsidR="00CF4091" w:rsidRPr="00EC326F" w:rsidRDefault="00CF4091" w:rsidP="00CF4091">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Support</w:t>
            </w:r>
          </w:p>
        </w:tc>
      </w:tr>
      <w:tr w:rsidR="00A277D3" w:rsidRPr="00EC326F" w14:paraId="6B82B1EF" w14:textId="77777777" w:rsidTr="00CF409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16" w:type="dxa"/>
            <w:tcBorders>
              <w:bottom w:val="single" w:sz="4" w:space="0" w:color="E0301E" w:themeColor="accent6"/>
              <w:right w:val="single" w:sz="4" w:space="0" w:color="E0301E" w:themeColor="accent6"/>
            </w:tcBorders>
          </w:tcPr>
          <w:p w14:paraId="260F2EA3" w14:textId="77777777" w:rsidR="00A277D3" w:rsidRPr="00EC326F" w:rsidRDefault="00A277D3" w:rsidP="00715253">
            <w:pPr>
              <w:pStyle w:val="TableTextSmall"/>
              <w:jc w:val="center"/>
              <w:rPr>
                <w:rFonts w:asciiTheme="majorHAnsi" w:hAnsiTheme="majorHAnsi"/>
                <w:color w:val="FFFFFF" w:themeColor="background1"/>
              </w:rPr>
            </w:pPr>
          </w:p>
        </w:tc>
        <w:tc>
          <w:tcPr>
            <w:tcW w:w="1397" w:type="dxa"/>
            <w:tcBorders>
              <w:left w:val="single" w:sz="4" w:space="0" w:color="E0301E" w:themeColor="accent6"/>
              <w:bottom w:val="single" w:sz="4" w:space="0" w:color="E0301E" w:themeColor="accent6"/>
              <w:right w:val="single" w:sz="4" w:space="0" w:color="E0301E" w:themeColor="accent6"/>
            </w:tcBorders>
          </w:tcPr>
          <w:p w14:paraId="2F7CF111" w14:textId="77777777" w:rsidR="00A277D3" w:rsidRPr="00EC326F" w:rsidRDefault="00A277D3" w:rsidP="00715253">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1242" w:type="dxa"/>
            <w:tcBorders>
              <w:left w:val="single" w:sz="4" w:space="0" w:color="E0301E" w:themeColor="accent6"/>
              <w:bottom w:val="single" w:sz="4" w:space="0" w:color="E0301E" w:themeColor="accent6"/>
            </w:tcBorders>
          </w:tcPr>
          <w:p w14:paraId="6738E873" w14:textId="77777777" w:rsidR="00A277D3" w:rsidRPr="00EC326F" w:rsidRDefault="003114C1"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Non</w:t>
            </w:r>
            <w:r w:rsidR="00A277D3" w:rsidRPr="00EC326F">
              <w:rPr>
                <w:rFonts w:asciiTheme="majorHAnsi" w:hAnsiTheme="majorHAnsi"/>
                <w:b w:val="0"/>
                <w:color w:val="FFFFFF" w:themeColor="background1"/>
              </w:rPr>
              <w:t xml:space="preserve"> Age Pension</w:t>
            </w:r>
          </w:p>
        </w:tc>
        <w:tc>
          <w:tcPr>
            <w:tcW w:w="1242" w:type="dxa"/>
            <w:tcBorders>
              <w:bottom w:val="single" w:sz="4" w:space="0" w:color="E0301E" w:themeColor="accent6"/>
              <w:right w:val="single" w:sz="4" w:space="0" w:color="E0301E" w:themeColor="accent6"/>
            </w:tcBorders>
          </w:tcPr>
          <w:p w14:paraId="0D3A645D" w14:textId="77777777" w:rsidR="00A277D3" w:rsidRPr="00EC326F" w:rsidRDefault="00A277D3" w:rsidP="00715253">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242" w:type="dxa"/>
            <w:tcBorders>
              <w:top w:val="nil"/>
              <w:left w:val="single" w:sz="4" w:space="0" w:color="E0301E" w:themeColor="accent6"/>
              <w:bottom w:val="single" w:sz="4" w:space="0" w:color="E0301E" w:themeColor="accent6"/>
            </w:tcBorders>
          </w:tcPr>
          <w:p w14:paraId="1428FC6F" w14:textId="77777777" w:rsidR="00A277D3" w:rsidRPr="00EC326F" w:rsidRDefault="00A277D3" w:rsidP="00715253">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242" w:type="dxa"/>
            <w:tcBorders>
              <w:bottom w:val="single" w:sz="4" w:space="0" w:color="E0301E" w:themeColor="accent6"/>
            </w:tcBorders>
          </w:tcPr>
          <w:p w14:paraId="0368EE18" w14:textId="77777777" w:rsidR="00A277D3" w:rsidRPr="00EC326F" w:rsidRDefault="00A277D3" w:rsidP="00715253">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A277D3" w:rsidRPr="00EC326F" w14:paraId="48B4381A" w14:textId="77777777" w:rsidTr="00CF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tcBorders>
              <w:bottom w:val="nil"/>
              <w:right w:val="single" w:sz="4" w:space="0" w:color="E0301E" w:themeColor="accent6"/>
            </w:tcBorders>
          </w:tcPr>
          <w:p w14:paraId="0FF105E7" w14:textId="77777777" w:rsidR="00A277D3" w:rsidRPr="00EC326F" w:rsidRDefault="00A277D3" w:rsidP="00715253">
            <w:pPr>
              <w:pStyle w:val="TableTextSmall"/>
            </w:pPr>
            <w:r w:rsidRPr="00EC326F">
              <w:t>Jun-15 Total Lifetime Cost</w:t>
            </w:r>
          </w:p>
        </w:tc>
        <w:tc>
          <w:tcPr>
            <w:tcW w:w="1397" w:type="dxa"/>
            <w:tcBorders>
              <w:left w:val="single" w:sz="4" w:space="0" w:color="E0301E" w:themeColor="accent6"/>
              <w:bottom w:val="nil"/>
              <w:right w:val="single" w:sz="4" w:space="0" w:color="E0301E" w:themeColor="accent6"/>
            </w:tcBorders>
          </w:tcPr>
          <w:p w14:paraId="2C7C2DEF"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rPr>
                <w:b/>
                <w:snapToGrid/>
                <w:color w:val="auto"/>
                <w:lang w:eastAsia="en-AU"/>
              </w:rPr>
            </w:pPr>
            <w:r w:rsidRPr="00EC326F">
              <w:rPr>
                <w:b/>
              </w:rPr>
              <w:t>$4,764bn</w:t>
            </w:r>
          </w:p>
        </w:tc>
        <w:tc>
          <w:tcPr>
            <w:tcW w:w="1242" w:type="dxa"/>
            <w:tcBorders>
              <w:left w:val="single" w:sz="4" w:space="0" w:color="E0301E" w:themeColor="accent6"/>
              <w:bottom w:val="nil"/>
            </w:tcBorders>
            <w:shd w:val="clear" w:color="auto" w:fill="D9D9D9" w:themeFill="background1" w:themeFillShade="D9"/>
          </w:tcPr>
          <w:p w14:paraId="32FAFA73" w14:textId="77777777" w:rsidR="00A277D3" w:rsidRPr="00EC326F" w:rsidRDefault="00A277D3" w:rsidP="00715253">
            <w:pPr>
              <w:pStyle w:val="TableTextSmall"/>
              <w:cnfStyle w:val="000000100000" w:firstRow="0" w:lastRow="0" w:firstColumn="0" w:lastColumn="0" w:oddVBand="0" w:evenVBand="0" w:oddHBand="1" w:evenHBand="0" w:firstRowFirstColumn="0" w:firstRowLastColumn="0" w:lastRowFirstColumn="0" w:lastRowLastColumn="0"/>
            </w:pPr>
          </w:p>
        </w:tc>
        <w:tc>
          <w:tcPr>
            <w:tcW w:w="1242" w:type="dxa"/>
            <w:tcBorders>
              <w:bottom w:val="nil"/>
              <w:right w:val="single" w:sz="4" w:space="0" w:color="E0301E" w:themeColor="accent6"/>
            </w:tcBorders>
            <w:shd w:val="clear" w:color="auto" w:fill="D9D9D9" w:themeFill="background1" w:themeFillShade="D9"/>
          </w:tcPr>
          <w:p w14:paraId="6166D256" w14:textId="77777777" w:rsidR="00A277D3" w:rsidRPr="00EC326F" w:rsidRDefault="00A277D3" w:rsidP="00715253">
            <w:pPr>
              <w:pStyle w:val="TableTextSmall"/>
              <w:cnfStyle w:val="000000100000" w:firstRow="0" w:lastRow="0" w:firstColumn="0" w:lastColumn="0" w:oddVBand="0" w:evenVBand="0" w:oddHBand="1" w:evenHBand="0" w:firstRowFirstColumn="0" w:firstRowLastColumn="0" w:lastRowFirstColumn="0" w:lastRowLastColumn="0"/>
            </w:pPr>
          </w:p>
        </w:tc>
        <w:tc>
          <w:tcPr>
            <w:tcW w:w="1242" w:type="dxa"/>
            <w:tcBorders>
              <w:left w:val="single" w:sz="4" w:space="0" w:color="E0301E" w:themeColor="accent6"/>
              <w:bottom w:val="nil"/>
            </w:tcBorders>
            <w:shd w:val="clear" w:color="auto" w:fill="D9D9D9" w:themeFill="background1" w:themeFillShade="D9"/>
          </w:tcPr>
          <w:p w14:paraId="40A00ECD" w14:textId="77777777" w:rsidR="00A277D3" w:rsidRPr="00EC326F" w:rsidRDefault="00A277D3" w:rsidP="00715253">
            <w:pPr>
              <w:pStyle w:val="TableTextSmall"/>
              <w:cnfStyle w:val="000000100000" w:firstRow="0" w:lastRow="0" w:firstColumn="0" w:lastColumn="0" w:oddVBand="0" w:evenVBand="0" w:oddHBand="1" w:evenHBand="0" w:firstRowFirstColumn="0" w:firstRowLastColumn="0" w:lastRowFirstColumn="0" w:lastRowLastColumn="0"/>
            </w:pPr>
          </w:p>
        </w:tc>
        <w:tc>
          <w:tcPr>
            <w:tcW w:w="1242" w:type="dxa"/>
            <w:tcBorders>
              <w:bottom w:val="nil"/>
            </w:tcBorders>
            <w:shd w:val="clear" w:color="auto" w:fill="D9D9D9" w:themeFill="background1" w:themeFillShade="D9"/>
          </w:tcPr>
          <w:p w14:paraId="576494FB" w14:textId="77777777" w:rsidR="00A277D3" w:rsidRPr="00EC326F" w:rsidRDefault="00A277D3" w:rsidP="00715253">
            <w:pPr>
              <w:pStyle w:val="TableTextSmall"/>
              <w:cnfStyle w:val="000000100000" w:firstRow="0" w:lastRow="0" w:firstColumn="0" w:lastColumn="0" w:oddVBand="0" w:evenVBand="0" w:oddHBand="1" w:evenHBand="0" w:firstRowFirstColumn="0" w:firstRowLastColumn="0" w:lastRowFirstColumn="0" w:lastRowLastColumn="0"/>
            </w:pPr>
          </w:p>
        </w:tc>
      </w:tr>
      <w:tr w:rsidR="00A277D3" w:rsidRPr="00EC326F" w14:paraId="788F66C4" w14:textId="77777777" w:rsidTr="00CF4091">
        <w:tc>
          <w:tcPr>
            <w:cnfStyle w:val="001000000000" w:firstRow="0" w:lastRow="0" w:firstColumn="1" w:lastColumn="0" w:oddVBand="0" w:evenVBand="0" w:oddHBand="0" w:evenHBand="0" w:firstRowFirstColumn="0" w:firstRowLastColumn="0" w:lastRowFirstColumn="0" w:lastRowLastColumn="0"/>
            <w:tcW w:w="3416" w:type="dxa"/>
            <w:tcBorders>
              <w:top w:val="nil"/>
              <w:bottom w:val="single" w:sz="4" w:space="0" w:color="E0301E" w:themeColor="accent6"/>
              <w:right w:val="single" w:sz="4" w:space="0" w:color="E0301E" w:themeColor="accent6"/>
            </w:tcBorders>
          </w:tcPr>
          <w:p w14:paraId="44D90BE5" w14:textId="77777777" w:rsidR="00A277D3" w:rsidRPr="00EC326F" w:rsidRDefault="00A277D3" w:rsidP="00715253">
            <w:pPr>
              <w:pStyle w:val="TableTextSmall"/>
            </w:pPr>
            <w:r w:rsidRPr="00EC326F">
              <w:t>Jun-16 Total Lifetime Cost</w:t>
            </w:r>
          </w:p>
        </w:tc>
        <w:tc>
          <w:tcPr>
            <w:tcW w:w="1397" w:type="dxa"/>
            <w:tcBorders>
              <w:top w:val="nil"/>
              <w:left w:val="single" w:sz="4" w:space="0" w:color="E0301E" w:themeColor="accent6"/>
              <w:bottom w:val="single" w:sz="4" w:space="0" w:color="E0301E" w:themeColor="accent6"/>
              <w:right w:val="single" w:sz="4" w:space="0" w:color="E0301E" w:themeColor="accent6"/>
            </w:tcBorders>
          </w:tcPr>
          <w:p w14:paraId="55AA30D9" w14:textId="1C9FA57E" w:rsidR="00A277D3" w:rsidRPr="00EC326F" w:rsidRDefault="00A277D3" w:rsidP="002E5940">
            <w:pPr>
              <w:pStyle w:val="TableTextSmall"/>
              <w:jc w:val="center"/>
              <w:cnfStyle w:val="000000000000" w:firstRow="0" w:lastRow="0" w:firstColumn="0" w:lastColumn="0" w:oddVBand="0" w:evenVBand="0" w:oddHBand="0" w:evenHBand="0" w:firstRowFirstColumn="0" w:firstRowLastColumn="0" w:lastRowFirstColumn="0" w:lastRowLastColumn="0"/>
              <w:rPr>
                <w:b/>
              </w:rPr>
            </w:pPr>
            <w:r w:rsidRPr="00EC326F">
              <w:rPr>
                <w:b/>
              </w:rPr>
              <w:t>$4,51</w:t>
            </w:r>
            <w:r w:rsidR="002E5940">
              <w:rPr>
                <w:b/>
              </w:rPr>
              <w:t>4</w:t>
            </w:r>
            <w:r w:rsidRPr="00EC326F">
              <w:rPr>
                <w:b/>
              </w:rPr>
              <w:t>bn</w:t>
            </w:r>
          </w:p>
        </w:tc>
        <w:tc>
          <w:tcPr>
            <w:tcW w:w="1242" w:type="dxa"/>
            <w:tcBorders>
              <w:top w:val="nil"/>
              <w:left w:val="single" w:sz="4" w:space="0" w:color="E0301E" w:themeColor="accent6"/>
              <w:bottom w:val="nil"/>
            </w:tcBorders>
            <w:shd w:val="clear" w:color="auto" w:fill="D9D9D9" w:themeFill="background1" w:themeFillShade="D9"/>
          </w:tcPr>
          <w:p w14:paraId="7D20DACE" w14:textId="77777777" w:rsidR="00A277D3" w:rsidRPr="00EC326F" w:rsidRDefault="00A277D3" w:rsidP="00715253">
            <w:pPr>
              <w:pStyle w:val="TableTextSmall"/>
              <w:cnfStyle w:val="000000000000" w:firstRow="0" w:lastRow="0" w:firstColumn="0" w:lastColumn="0" w:oddVBand="0" w:evenVBand="0" w:oddHBand="0" w:evenHBand="0" w:firstRowFirstColumn="0" w:firstRowLastColumn="0" w:lastRowFirstColumn="0" w:lastRowLastColumn="0"/>
            </w:pPr>
          </w:p>
        </w:tc>
        <w:tc>
          <w:tcPr>
            <w:tcW w:w="1242" w:type="dxa"/>
            <w:tcBorders>
              <w:top w:val="nil"/>
              <w:bottom w:val="nil"/>
              <w:right w:val="single" w:sz="4" w:space="0" w:color="E0301E" w:themeColor="accent6"/>
            </w:tcBorders>
            <w:shd w:val="clear" w:color="auto" w:fill="D9D9D9" w:themeFill="background1" w:themeFillShade="D9"/>
          </w:tcPr>
          <w:p w14:paraId="70771934" w14:textId="77777777" w:rsidR="00A277D3" w:rsidRPr="00EC326F" w:rsidRDefault="00A277D3" w:rsidP="00715253">
            <w:pPr>
              <w:pStyle w:val="TableTextSmall"/>
              <w:cnfStyle w:val="000000000000" w:firstRow="0" w:lastRow="0" w:firstColumn="0" w:lastColumn="0" w:oddVBand="0" w:evenVBand="0" w:oddHBand="0" w:evenHBand="0" w:firstRowFirstColumn="0" w:firstRowLastColumn="0" w:lastRowFirstColumn="0" w:lastRowLastColumn="0"/>
            </w:pPr>
          </w:p>
        </w:tc>
        <w:tc>
          <w:tcPr>
            <w:tcW w:w="1242" w:type="dxa"/>
            <w:tcBorders>
              <w:top w:val="nil"/>
              <w:left w:val="single" w:sz="4" w:space="0" w:color="E0301E" w:themeColor="accent6"/>
              <w:bottom w:val="nil"/>
            </w:tcBorders>
            <w:shd w:val="clear" w:color="auto" w:fill="D9D9D9" w:themeFill="background1" w:themeFillShade="D9"/>
          </w:tcPr>
          <w:p w14:paraId="240ED036" w14:textId="77777777" w:rsidR="00A277D3" w:rsidRPr="00EC326F" w:rsidRDefault="00A277D3" w:rsidP="00715253">
            <w:pPr>
              <w:pStyle w:val="TableTextSmall"/>
              <w:cnfStyle w:val="000000000000" w:firstRow="0" w:lastRow="0" w:firstColumn="0" w:lastColumn="0" w:oddVBand="0" w:evenVBand="0" w:oddHBand="0" w:evenHBand="0" w:firstRowFirstColumn="0" w:firstRowLastColumn="0" w:lastRowFirstColumn="0" w:lastRowLastColumn="0"/>
            </w:pPr>
          </w:p>
        </w:tc>
        <w:tc>
          <w:tcPr>
            <w:tcW w:w="1242" w:type="dxa"/>
            <w:tcBorders>
              <w:top w:val="nil"/>
              <w:bottom w:val="nil"/>
            </w:tcBorders>
            <w:shd w:val="clear" w:color="auto" w:fill="D9D9D9" w:themeFill="background1" w:themeFillShade="D9"/>
          </w:tcPr>
          <w:p w14:paraId="675665E1" w14:textId="77777777" w:rsidR="00A277D3" w:rsidRPr="00EC326F" w:rsidRDefault="00A277D3" w:rsidP="00715253">
            <w:pPr>
              <w:pStyle w:val="TableTextSmall"/>
              <w:cnfStyle w:val="000000000000" w:firstRow="0" w:lastRow="0" w:firstColumn="0" w:lastColumn="0" w:oddVBand="0" w:evenVBand="0" w:oddHBand="0" w:evenHBand="0" w:firstRowFirstColumn="0" w:firstRowLastColumn="0" w:lastRowFirstColumn="0" w:lastRowLastColumn="0"/>
            </w:pPr>
          </w:p>
        </w:tc>
      </w:tr>
      <w:tr w:rsidR="00A277D3" w:rsidRPr="00EC326F" w14:paraId="5835D450" w14:textId="77777777" w:rsidTr="00CF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tcBorders>
              <w:bottom w:val="nil"/>
              <w:right w:val="single" w:sz="4" w:space="0" w:color="E0301E" w:themeColor="accent6"/>
            </w:tcBorders>
          </w:tcPr>
          <w:p w14:paraId="30665AF9" w14:textId="77777777" w:rsidR="00A277D3" w:rsidRPr="00EC326F" w:rsidRDefault="00A277D3" w:rsidP="00715253">
            <w:pPr>
              <w:pStyle w:val="TableTextSmall"/>
            </w:pPr>
            <w:r w:rsidRPr="00EC326F">
              <w:t>Change in Total Lifetime Cost</w:t>
            </w:r>
          </w:p>
        </w:tc>
        <w:tc>
          <w:tcPr>
            <w:tcW w:w="1397" w:type="dxa"/>
            <w:tcBorders>
              <w:left w:val="single" w:sz="4" w:space="0" w:color="E0301E" w:themeColor="accent6"/>
              <w:bottom w:val="nil"/>
              <w:right w:val="single" w:sz="4" w:space="0" w:color="E0301E" w:themeColor="accent6"/>
            </w:tcBorders>
          </w:tcPr>
          <w:p w14:paraId="61BCE057" w14:textId="339C9B28" w:rsidR="00A277D3" w:rsidRPr="00EC326F" w:rsidRDefault="00A277D3" w:rsidP="002E5940">
            <w:pPr>
              <w:pStyle w:val="TableTextSmall"/>
              <w:jc w:val="center"/>
              <w:cnfStyle w:val="000000100000" w:firstRow="0" w:lastRow="0" w:firstColumn="0" w:lastColumn="0" w:oddVBand="0" w:evenVBand="0" w:oddHBand="1" w:evenHBand="0" w:firstRowFirstColumn="0" w:firstRowLastColumn="0" w:lastRowFirstColumn="0" w:lastRowLastColumn="0"/>
              <w:rPr>
                <w:b/>
              </w:rPr>
            </w:pPr>
            <w:r w:rsidRPr="00EC326F">
              <w:rPr>
                <w:b/>
              </w:rPr>
              <w:t>-$25</w:t>
            </w:r>
            <w:r w:rsidR="002E5940">
              <w:rPr>
                <w:b/>
              </w:rPr>
              <w:t>0</w:t>
            </w:r>
            <w:r w:rsidRPr="00EC326F">
              <w:rPr>
                <w:b/>
              </w:rPr>
              <w:t>bn (5.3%)</w:t>
            </w:r>
          </w:p>
        </w:tc>
        <w:tc>
          <w:tcPr>
            <w:tcW w:w="1242" w:type="dxa"/>
            <w:tcBorders>
              <w:top w:val="nil"/>
              <w:left w:val="single" w:sz="4" w:space="0" w:color="E0301E" w:themeColor="accent6"/>
              <w:bottom w:val="nil"/>
            </w:tcBorders>
            <w:shd w:val="clear" w:color="auto" w:fill="D9D9D9" w:themeFill="background1" w:themeFillShade="D9"/>
          </w:tcPr>
          <w:p w14:paraId="25F75A4D" w14:textId="77777777" w:rsidR="00A277D3" w:rsidRPr="00EC326F" w:rsidRDefault="00A277D3" w:rsidP="00715253">
            <w:pPr>
              <w:pStyle w:val="TableTextSmall"/>
              <w:cnfStyle w:val="000000100000" w:firstRow="0" w:lastRow="0" w:firstColumn="0" w:lastColumn="0" w:oddVBand="0" w:evenVBand="0" w:oddHBand="1" w:evenHBand="0" w:firstRowFirstColumn="0" w:firstRowLastColumn="0" w:lastRowFirstColumn="0" w:lastRowLastColumn="0"/>
            </w:pPr>
          </w:p>
        </w:tc>
        <w:tc>
          <w:tcPr>
            <w:tcW w:w="1242" w:type="dxa"/>
            <w:tcBorders>
              <w:top w:val="nil"/>
              <w:bottom w:val="nil"/>
              <w:right w:val="single" w:sz="4" w:space="0" w:color="E0301E" w:themeColor="accent6"/>
            </w:tcBorders>
            <w:shd w:val="clear" w:color="auto" w:fill="D9D9D9" w:themeFill="background1" w:themeFillShade="D9"/>
          </w:tcPr>
          <w:p w14:paraId="1D4FF6A5" w14:textId="77777777" w:rsidR="00A277D3" w:rsidRPr="00EC326F" w:rsidRDefault="00A277D3" w:rsidP="00715253">
            <w:pPr>
              <w:pStyle w:val="TableTextSmall"/>
              <w:cnfStyle w:val="000000100000" w:firstRow="0" w:lastRow="0" w:firstColumn="0" w:lastColumn="0" w:oddVBand="0" w:evenVBand="0" w:oddHBand="1" w:evenHBand="0" w:firstRowFirstColumn="0" w:firstRowLastColumn="0" w:lastRowFirstColumn="0" w:lastRowLastColumn="0"/>
            </w:pPr>
          </w:p>
        </w:tc>
        <w:tc>
          <w:tcPr>
            <w:tcW w:w="1242" w:type="dxa"/>
            <w:tcBorders>
              <w:top w:val="nil"/>
              <w:left w:val="single" w:sz="4" w:space="0" w:color="E0301E" w:themeColor="accent6"/>
              <w:bottom w:val="nil"/>
            </w:tcBorders>
            <w:shd w:val="clear" w:color="auto" w:fill="D9D9D9" w:themeFill="background1" w:themeFillShade="D9"/>
          </w:tcPr>
          <w:p w14:paraId="1FB5D409" w14:textId="77777777" w:rsidR="00A277D3" w:rsidRPr="00EC326F" w:rsidRDefault="00A277D3" w:rsidP="00715253">
            <w:pPr>
              <w:pStyle w:val="TableTextSmall"/>
              <w:cnfStyle w:val="000000100000" w:firstRow="0" w:lastRow="0" w:firstColumn="0" w:lastColumn="0" w:oddVBand="0" w:evenVBand="0" w:oddHBand="1" w:evenHBand="0" w:firstRowFirstColumn="0" w:firstRowLastColumn="0" w:lastRowFirstColumn="0" w:lastRowLastColumn="0"/>
            </w:pPr>
          </w:p>
        </w:tc>
        <w:tc>
          <w:tcPr>
            <w:tcW w:w="1242" w:type="dxa"/>
            <w:tcBorders>
              <w:top w:val="nil"/>
              <w:bottom w:val="nil"/>
            </w:tcBorders>
            <w:shd w:val="clear" w:color="auto" w:fill="D9D9D9" w:themeFill="background1" w:themeFillShade="D9"/>
          </w:tcPr>
          <w:p w14:paraId="1D942AAC" w14:textId="77777777" w:rsidR="00A277D3" w:rsidRPr="00EC326F" w:rsidRDefault="00A277D3" w:rsidP="00715253">
            <w:pPr>
              <w:pStyle w:val="TableTextSmall"/>
              <w:cnfStyle w:val="000000100000" w:firstRow="0" w:lastRow="0" w:firstColumn="0" w:lastColumn="0" w:oddVBand="0" w:evenVBand="0" w:oddHBand="1" w:evenHBand="0" w:firstRowFirstColumn="0" w:firstRowLastColumn="0" w:lastRowFirstColumn="0" w:lastRowLastColumn="0"/>
            </w:pPr>
          </w:p>
        </w:tc>
      </w:tr>
      <w:tr w:rsidR="00A277D3" w:rsidRPr="00EC326F" w14:paraId="57400A98" w14:textId="77777777" w:rsidTr="00CF4091">
        <w:tc>
          <w:tcPr>
            <w:cnfStyle w:val="001000000000" w:firstRow="0" w:lastRow="0" w:firstColumn="1" w:lastColumn="0" w:oddVBand="0" w:evenVBand="0" w:oddHBand="0" w:evenHBand="0" w:firstRowFirstColumn="0" w:firstRowLastColumn="0" w:lastRowFirstColumn="0" w:lastRowLastColumn="0"/>
            <w:tcW w:w="3416" w:type="dxa"/>
            <w:tcBorders>
              <w:top w:val="single" w:sz="4" w:space="0" w:color="E0301E" w:themeColor="accent6"/>
              <w:bottom w:val="single" w:sz="4" w:space="0" w:color="E0301E" w:themeColor="accent6"/>
              <w:right w:val="single" w:sz="4" w:space="0" w:color="E0301E" w:themeColor="accent6"/>
            </w:tcBorders>
          </w:tcPr>
          <w:p w14:paraId="241ED403" w14:textId="77777777" w:rsidR="00A277D3" w:rsidRPr="00EC326F" w:rsidRDefault="00A277D3" w:rsidP="00715253">
            <w:pPr>
              <w:pStyle w:val="TableTextSmall"/>
            </w:pPr>
            <w:r w:rsidRPr="00EC326F">
              <w:t>Change due to Population</w:t>
            </w:r>
          </w:p>
        </w:tc>
        <w:tc>
          <w:tcPr>
            <w:tcW w:w="1397"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4DB82D7D" w14:textId="77777777" w:rsidR="00A277D3" w:rsidRPr="00EC326F" w:rsidRDefault="00A277D3" w:rsidP="00715253">
            <w:pPr>
              <w:pStyle w:val="TableTextSmall"/>
              <w:jc w:val="center"/>
              <w:cnfStyle w:val="000000000000" w:firstRow="0" w:lastRow="0" w:firstColumn="0" w:lastColumn="0" w:oddVBand="0" w:evenVBand="0" w:oddHBand="0" w:evenHBand="0" w:firstRowFirstColumn="0" w:firstRowLastColumn="0" w:lastRowFirstColumn="0" w:lastRowLastColumn="0"/>
              <w:rPr>
                <w:b/>
              </w:rPr>
            </w:pPr>
            <w:r w:rsidRPr="00EC326F">
              <w:rPr>
                <w:b/>
              </w:rPr>
              <w:t>+1.2%</w:t>
            </w:r>
          </w:p>
        </w:tc>
        <w:tc>
          <w:tcPr>
            <w:tcW w:w="1242" w:type="dxa"/>
            <w:tcBorders>
              <w:top w:val="nil"/>
              <w:left w:val="single" w:sz="4" w:space="0" w:color="E0301E" w:themeColor="accent6"/>
              <w:bottom w:val="single" w:sz="4" w:space="0" w:color="E0301E" w:themeColor="accent6"/>
            </w:tcBorders>
            <w:shd w:val="clear" w:color="auto" w:fill="D9D9D9" w:themeFill="background1" w:themeFillShade="D9"/>
          </w:tcPr>
          <w:p w14:paraId="2DB5E94E" w14:textId="77777777" w:rsidR="00A277D3" w:rsidRPr="00EC326F" w:rsidRDefault="00A277D3" w:rsidP="00715253">
            <w:pPr>
              <w:pStyle w:val="TableTextSmall"/>
              <w:cnfStyle w:val="000000000000" w:firstRow="0" w:lastRow="0" w:firstColumn="0" w:lastColumn="0" w:oddVBand="0" w:evenVBand="0" w:oddHBand="0" w:evenHBand="0" w:firstRowFirstColumn="0" w:firstRowLastColumn="0" w:lastRowFirstColumn="0" w:lastRowLastColumn="0"/>
            </w:pPr>
          </w:p>
        </w:tc>
        <w:tc>
          <w:tcPr>
            <w:tcW w:w="1242" w:type="dxa"/>
            <w:tcBorders>
              <w:top w:val="nil"/>
              <w:bottom w:val="single" w:sz="4" w:space="0" w:color="E0301E" w:themeColor="accent6"/>
              <w:right w:val="single" w:sz="4" w:space="0" w:color="E0301E" w:themeColor="accent6"/>
            </w:tcBorders>
            <w:shd w:val="clear" w:color="auto" w:fill="D9D9D9" w:themeFill="background1" w:themeFillShade="D9"/>
          </w:tcPr>
          <w:p w14:paraId="36C42775" w14:textId="77777777" w:rsidR="00A277D3" w:rsidRPr="00EC326F" w:rsidRDefault="00A277D3" w:rsidP="00715253">
            <w:pPr>
              <w:pStyle w:val="TableTextSmall"/>
              <w:cnfStyle w:val="000000000000" w:firstRow="0" w:lastRow="0" w:firstColumn="0" w:lastColumn="0" w:oddVBand="0" w:evenVBand="0" w:oddHBand="0" w:evenHBand="0" w:firstRowFirstColumn="0" w:firstRowLastColumn="0" w:lastRowFirstColumn="0" w:lastRowLastColumn="0"/>
            </w:pPr>
          </w:p>
        </w:tc>
        <w:tc>
          <w:tcPr>
            <w:tcW w:w="1242" w:type="dxa"/>
            <w:tcBorders>
              <w:top w:val="nil"/>
              <w:left w:val="single" w:sz="4" w:space="0" w:color="E0301E" w:themeColor="accent6"/>
              <w:bottom w:val="single" w:sz="4" w:space="0" w:color="E0301E" w:themeColor="accent6"/>
            </w:tcBorders>
            <w:shd w:val="clear" w:color="auto" w:fill="D9D9D9" w:themeFill="background1" w:themeFillShade="D9"/>
          </w:tcPr>
          <w:p w14:paraId="1E2A9058" w14:textId="77777777" w:rsidR="00A277D3" w:rsidRPr="00EC326F" w:rsidRDefault="00A277D3" w:rsidP="00715253">
            <w:pPr>
              <w:pStyle w:val="TableTextSmall"/>
              <w:cnfStyle w:val="000000000000" w:firstRow="0" w:lastRow="0" w:firstColumn="0" w:lastColumn="0" w:oddVBand="0" w:evenVBand="0" w:oddHBand="0" w:evenHBand="0" w:firstRowFirstColumn="0" w:firstRowLastColumn="0" w:lastRowFirstColumn="0" w:lastRowLastColumn="0"/>
            </w:pPr>
          </w:p>
        </w:tc>
        <w:tc>
          <w:tcPr>
            <w:tcW w:w="1242" w:type="dxa"/>
            <w:tcBorders>
              <w:top w:val="nil"/>
              <w:bottom w:val="single" w:sz="4" w:space="0" w:color="E0301E" w:themeColor="accent6"/>
            </w:tcBorders>
            <w:shd w:val="clear" w:color="auto" w:fill="D9D9D9" w:themeFill="background1" w:themeFillShade="D9"/>
          </w:tcPr>
          <w:p w14:paraId="61F03577" w14:textId="77777777" w:rsidR="00A277D3" w:rsidRPr="00EC326F" w:rsidRDefault="00A277D3" w:rsidP="00715253">
            <w:pPr>
              <w:pStyle w:val="TableTextSmall"/>
              <w:cnfStyle w:val="000000000000" w:firstRow="0" w:lastRow="0" w:firstColumn="0" w:lastColumn="0" w:oddVBand="0" w:evenVBand="0" w:oddHBand="0" w:evenHBand="0" w:firstRowFirstColumn="0" w:firstRowLastColumn="0" w:lastRowFirstColumn="0" w:lastRowLastColumn="0"/>
            </w:pPr>
          </w:p>
        </w:tc>
      </w:tr>
      <w:tr w:rsidR="00A277D3" w:rsidRPr="00EC326F" w14:paraId="5A069394" w14:textId="77777777" w:rsidTr="00CF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tcBorders>
              <w:bottom w:val="nil"/>
              <w:right w:val="single" w:sz="4" w:space="0" w:color="E0301E" w:themeColor="accent6"/>
            </w:tcBorders>
          </w:tcPr>
          <w:p w14:paraId="4EE3466E" w14:textId="77777777" w:rsidR="00A277D3" w:rsidRPr="00EC326F" w:rsidRDefault="00A277D3" w:rsidP="00715253">
            <w:pPr>
              <w:pStyle w:val="TableTextSmall"/>
            </w:pPr>
            <w:r w:rsidRPr="00EC326F">
              <w:t>Change due to Average Lifetime Cost</w:t>
            </w:r>
          </w:p>
        </w:tc>
        <w:tc>
          <w:tcPr>
            <w:tcW w:w="1397" w:type="dxa"/>
            <w:tcBorders>
              <w:left w:val="single" w:sz="4" w:space="0" w:color="E0301E" w:themeColor="accent6"/>
              <w:bottom w:val="nil"/>
              <w:right w:val="single" w:sz="4" w:space="0" w:color="E0301E" w:themeColor="accent6"/>
            </w:tcBorders>
          </w:tcPr>
          <w:p w14:paraId="0011C24E" w14:textId="77777777" w:rsidR="00A277D3" w:rsidRPr="00EC326F" w:rsidRDefault="003114C1" w:rsidP="00715253">
            <w:pPr>
              <w:pStyle w:val="TableTextSmall"/>
              <w:jc w:val="center"/>
              <w:cnfStyle w:val="000000100000" w:firstRow="0" w:lastRow="0" w:firstColumn="0" w:lastColumn="0" w:oddVBand="0" w:evenVBand="0" w:oddHBand="1" w:evenHBand="0" w:firstRowFirstColumn="0" w:firstRowLastColumn="0" w:lastRowFirstColumn="0" w:lastRowLastColumn="0"/>
              <w:rPr>
                <w:b/>
              </w:rPr>
            </w:pPr>
            <w:r w:rsidRPr="00EC326F">
              <w:rPr>
                <w:b/>
              </w:rPr>
              <w:t>-$13k (</w:t>
            </w:r>
            <w:r w:rsidR="00A277D3" w:rsidRPr="00EC326F">
              <w:rPr>
                <w:b/>
              </w:rPr>
              <w:t>6.4%)</w:t>
            </w:r>
          </w:p>
        </w:tc>
        <w:tc>
          <w:tcPr>
            <w:tcW w:w="1242" w:type="dxa"/>
            <w:tcBorders>
              <w:left w:val="single" w:sz="4" w:space="0" w:color="E0301E" w:themeColor="accent6"/>
              <w:bottom w:val="nil"/>
            </w:tcBorders>
          </w:tcPr>
          <w:p w14:paraId="4457E3BB"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rPr>
                <w:b/>
                <w:color w:val="808080"/>
              </w:rPr>
            </w:pPr>
            <w:r w:rsidRPr="00EC326F">
              <w:rPr>
                <w:b/>
              </w:rPr>
              <w:t>-$9k</w:t>
            </w:r>
          </w:p>
        </w:tc>
        <w:tc>
          <w:tcPr>
            <w:tcW w:w="1242" w:type="dxa"/>
            <w:tcBorders>
              <w:bottom w:val="nil"/>
              <w:right w:val="single" w:sz="4" w:space="0" w:color="E0301E" w:themeColor="accent6"/>
            </w:tcBorders>
          </w:tcPr>
          <w:p w14:paraId="7AC85C04"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rPr>
                <w:b/>
                <w:color w:val="auto"/>
              </w:rPr>
            </w:pPr>
            <w:r w:rsidRPr="00EC326F">
              <w:rPr>
                <w:b/>
                <w:color w:val="808080"/>
              </w:rPr>
              <w:t>&lt; $1k</w:t>
            </w:r>
          </w:p>
        </w:tc>
        <w:tc>
          <w:tcPr>
            <w:tcW w:w="1242" w:type="dxa"/>
            <w:tcBorders>
              <w:left w:val="single" w:sz="4" w:space="0" w:color="E0301E" w:themeColor="accent6"/>
              <w:bottom w:val="nil"/>
            </w:tcBorders>
          </w:tcPr>
          <w:p w14:paraId="737F002F"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rPr>
                <w:b/>
                <w:color w:val="808080"/>
              </w:rPr>
            </w:pPr>
            <w:r w:rsidRPr="00EC326F">
              <w:rPr>
                <w:b/>
              </w:rPr>
              <w:t>-$1k</w:t>
            </w:r>
          </w:p>
        </w:tc>
        <w:tc>
          <w:tcPr>
            <w:tcW w:w="1242" w:type="dxa"/>
            <w:tcBorders>
              <w:bottom w:val="nil"/>
            </w:tcBorders>
          </w:tcPr>
          <w:p w14:paraId="6A36F94B"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rPr>
                <w:b/>
                <w:color w:val="auto"/>
              </w:rPr>
            </w:pPr>
            <w:r w:rsidRPr="00EC326F">
              <w:rPr>
                <w:b/>
              </w:rPr>
              <w:t>-$2k</w:t>
            </w:r>
          </w:p>
        </w:tc>
      </w:tr>
      <w:tr w:rsidR="00A277D3" w:rsidRPr="00EC326F" w14:paraId="131D4B49" w14:textId="77777777" w:rsidTr="00CF4091">
        <w:tc>
          <w:tcPr>
            <w:cnfStyle w:val="001000000000" w:firstRow="0" w:lastRow="0" w:firstColumn="1" w:lastColumn="0" w:oddVBand="0" w:evenVBand="0" w:oddHBand="0" w:evenHBand="0" w:firstRowFirstColumn="0" w:firstRowLastColumn="0" w:lastRowFirstColumn="0" w:lastRowLastColumn="0"/>
            <w:tcW w:w="3416" w:type="dxa"/>
            <w:tcBorders>
              <w:top w:val="nil"/>
              <w:bottom w:val="nil"/>
              <w:right w:val="single" w:sz="4" w:space="0" w:color="E0301E" w:themeColor="accent6"/>
            </w:tcBorders>
          </w:tcPr>
          <w:p w14:paraId="49586CBB" w14:textId="77777777" w:rsidR="00A277D3" w:rsidRPr="00EC326F" w:rsidRDefault="00A277D3" w:rsidP="00715253">
            <w:pPr>
              <w:pStyle w:val="TableTextSmall"/>
              <w:rPr>
                <w:b w:val="0"/>
              </w:rPr>
            </w:pPr>
            <w:r w:rsidRPr="00EC326F">
              <w:rPr>
                <w:b w:val="0"/>
              </w:rPr>
              <w:t>- Impact of change in inflation</w:t>
            </w:r>
          </w:p>
        </w:tc>
        <w:tc>
          <w:tcPr>
            <w:tcW w:w="1397" w:type="dxa"/>
            <w:tcBorders>
              <w:top w:val="nil"/>
              <w:left w:val="single" w:sz="4" w:space="0" w:color="E0301E" w:themeColor="accent6"/>
              <w:bottom w:val="nil"/>
              <w:right w:val="single" w:sz="4" w:space="0" w:color="E0301E" w:themeColor="accent6"/>
            </w:tcBorders>
          </w:tcPr>
          <w:p w14:paraId="60502536" w14:textId="77777777" w:rsidR="00A277D3" w:rsidRPr="00EC326F" w:rsidRDefault="00A277D3" w:rsidP="00715253">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2" w:type="dxa"/>
            <w:tcBorders>
              <w:top w:val="nil"/>
              <w:left w:val="single" w:sz="4" w:space="0" w:color="E0301E" w:themeColor="accent6"/>
              <w:bottom w:val="nil"/>
            </w:tcBorders>
          </w:tcPr>
          <w:p w14:paraId="7DB07C4E" w14:textId="77777777" w:rsidR="00A277D3" w:rsidRPr="00EC326F" w:rsidRDefault="00A277D3" w:rsidP="00715253">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2" w:type="dxa"/>
            <w:tcBorders>
              <w:top w:val="nil"/>
              <w:bottom w:val="nil"/>
              <w:right w:val="single" w:sz="4" w:space="0" w:color="E0301E" w:themeColor="accent6"/>
            </w:tcBorders>
          </w:tcPr>
          <w:p w14:paraId="769DA78E" w14:textId="77777777" w:rsidR="00A277D3" w:rsidRPr="00EC326F" w:rsidRDefault="00A277D3" w:rsidP="00715253">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2" w:type="dxa"/>
            <w:tcBorders>
              <w:top w:val="nil"/>
              <w:left w:val="single" w:sz="4" w:space="0" w:color="E0301E" w:themeColor="accent6"/>
              <w:bottom w:val="nil"/>
            </w:tcBorders>
          </w:tcPr>
          <w:p w14:paraId="1931F018" w14:textId="77777777" w:rsidR="00A277D3" w:rsidRPr="00EC326F" w:rsidRDefault="00A277D3" w:rsidP="00715253">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2" w:type="dxa"/>
            <w:tcBorders>
              <w:top w:val="nil"/>
              <w:bottom w:val="nil"/>
            </w:tcBorders>
          </w:tcPr>
          <w:p w14:paraId="2BD485C9" w14:textId="77777777" w:rsidR="00A277D3" w:rsidRPr="00EC326F" w:rsidRDefault="00A277D3" w:rsidP="00715253">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A277D3" w:rsidRPr="00EC326F" w14:paraId="314BF5FE" w14:textId="77777777" w:rsidTr="00CF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tcBorders>
              <w:top w:val="nil"/>
              <w:bottom w:val="nil"/>
              <w:right w:val="single" w:sz="4" w:space="0" w:color="E0301E" w:themeColor="accent6"/>
            </w:tcBorders>
          </w:tcPr>
          <w:p w14:paraId="65DDEC22" w14:textId="77777777" w:rsidR="00A277D3" w:rsidRPr="00EC326F" w:rsidRDefault="00A277D3" w:rsidP="00CD3E41">
            <w:pPr>
              <w:pStyle w:val="TableTextSmall"/>
              <w:rPr>
                <w:b w:val="0"/>
              </w:rPr>
            </w:pPr>
            <w:r w:rsidRPr="00EC326F">
              <w:rPr>
                <w:b w:val="0"/>
              </w:rPr>
              <w:t>- Impact of new economic module</w:t>
            </w:r>
          </w:p>
        </w:tc>
        <w:tc>
          <w:tcPr>
            <w:tcW w:w="1397" w:type="dxa"/>
            <w:tcBorders>
              <w:top w:val="nil"/>
              <w:left w:val="single" w:sz="4" w:space="0" w:color="E0301E" w:themeColor="accent6"/>
              <w:bottom w:val="nil"/>
              <w:right w:val="single" w:sz="4" w:space="0" w:color="E0301E" w:themeColor="accent6"/>
            </w:tcBorders>
          </w:tcPr>
          <w:p w14:paraId="0DB8D289"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t>-$6k</w:t>
            </w:r>
          </w:p>
        </w:tc>
        <w:tc>
          <w:tcPr>
            <w:tcW w:w="1242" w:type="dxa"/>
            <w:tcBorders>
              <w:top w:val="nil"/>
              <w:left w:val="single" w:sz="4" w:space="0" w:color="E0301E" w:themeColor="accent6"/>
              <w:bottom w:val="nil"/>
            </w:tcBorders>
          </w:tcPr>
          <w:p w14:paraId="067180C1"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t>-$3k</w:t>
            </w:r>
          </w:p>
        </w:tc>
        <w:tc>
          <w:tcPr>
            <w:tcW w:w="1242" w:type="dxa"/>
            <w:tcBorders>
              <w:top w:val="nil"/>
              <w:bottom w:val="nil"/>
              <w:right w:val="single" w:sz="4" w:space="0" w:color="E0301E" w:themeColor="accent6"/>
            </w:tcBorders>
          </w:tcPr>
          <w:p w14:paraId="4B651B51"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t>-$2k</w:t>
            </w:r>
          </w:p>
        </w:tc>
        <w:tc>
          <w:tcPr>
            <w:tcW w:w="1242" w:type="dxa"/>
            <w:tcBorders>
              <w:top w:val="nil"/>
              <w:left w:val="single" w:sz="4" w:space="0" w:color="E0301E" w:themeColor="accent6"/>
              <w:bottom w:val="nil"/>
            </w:tcBorders>
          </w:tcPr>
          <w:p w14:paraId="00D5DCE7"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t>-$1k</w:t>
            </w:r>
          </w:p>
        </w:tc>
        <w:tc>
          <w:tcPr>
            <w:tcW w:w="1242" w:type="dxa"/>
            <w:tcBorders>
              <w:top w:val="nil"/>
              <w:bottom w:val="nil"/>
            </w:tcBorders>
          </w:tcPr>
          <w:p w14:paraId="278841AB"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D47B8F" w:rsidRPr="00EC326F" w14:paraId="217A64AD" w14:textId="77777777" w:rsidTr="00CF4091">
        <w:tc>
          <w:tcPr>
            <w:cnfStyle w:val="001000000000" w:firstRow="0" w:lastRow="0" w:firstColumn="1" w:lastColumn="0" w:oddVBand="0" w:evenVBand="0" w:oddHBand="0" w:evenHBand="0" w:firstRowFirstColumn="0" w:firstRowLastColumn="0" w:lastRowFirstColumn="0" w:lastRowLastColumn="0"/>
            <w:tcW w:w="3416" w:type="dxa"/>
            <w:tcBorders>
              <w:top w:val="nil"/>
              <w:bottom w:val="nil"/>
              <w:right w:val="single" w:sz="4" w:space="0" w:color="E0301E" w:themeColor="accent6"/>
            </w:tcBorders>
          </w:tcPr>
          <w:p w14:paraId="0A29C482" w14:textId="267B5992" w:rsidR="00D47B8F" w:rsidRPr="00EC326F" w:rsidRDefault="00D47B8F" w:rsidP="00CD3E41">
            <w:pPr>
              <w:pStyle w:val="TableTextSmall"/>
            </w:pPr>
            <w:r w:rsidRPr="00D47B8F">
              <w:rPr>
                <w:b w:val="0"/>
              </w:rPr>
              <w:t>- Impact of policy changes</w:t>
            </w:r>
          </w:p>
        </w:tc>
        <w:tc>
          <w:tcPr>
            <w:tcW w:w="1397" w:type="dxa"/>
            <w:tcBorders>
              <w:top w:val="nil"/>
              <w:left w:val="single" w:sz="4" w:space="0" w:color="E0301E" w:themeColor="accent6"/>
              <w:bottom w:val="nil"/>
              <w:right w:val="single" w:sz="4" w:space="0" w:color="E0301E" w:themeColor="accent6"/>
            </w:tcBorders>
          </w:tcPr>
          <w:p w14:paraId="7F645AD5" w14:textId="117FDFEE" w:rsidR="00D47B8F" w:rsidRPr="00D47B8F" w:rsidRDefault="00D47B8F" w:rsidP="00D47B8F">
            <w:pPr>
              <w:pStyle w:val="TableTextSmall"/>
              <w:jc w:val="center"/>
              <w:cnfStyle w:val="000000000000" w:firstRow="0" w:lastRow="0" w:firstColumn="0" w:lastColumn="0" w:oddVBand="0" w:evenVBand="0" w:oddHBand="0" w:evenHBand="0" w:firstRowFirstColumn="0" w:firstRowLastColumn="0" w:lastRowFirstColumn="0" w:lastRowLastColumn="0"/>
            </w:pPr>
            <w:r w:rsidRPr="00D47B8F">
              <w:t>-$1k</w:t>
            </w:r>
          </w:p>
        </w:tc>
        <w:tc>
          <w:tcPr>
            <w:tcW w:w="1242" w:type="dxa"/>
            <w:tcBorders>
              <w:top w:val="nil"/>
              <w:left w:val="single" w:sz="4" w:space="0" w:color="E0301E" w:themeColor="accent6"/>
              <w:bottom w:val="nil"/>
            </w:tcBorders>
          </w:tcPr>
          <w:p w14:paraId="47FD92A4" w14:textId="19F912D8" w:rsidR="00D47B8F" w:rsidRPr="00D47B8F" w:rsidRDefault="00455062" w:rsidP="00D47B8F">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42" w:type="dxa"/>
            <w:tcBorders>
              <w:top w:val="nil"/>
              <w:bottom w:val="nil"/>
              <w:right w:val="single" w:sz="4" w:space="0" w:color="E0301E" w:themeColor="accent6"/>
            </w:tcBorders>
          </w:tcPr>
          <w:p w14:paraId="65EF81C1" w14:textId="03549C9F" w:rsidR="00D47B8F" w:rsidRPr="00D47B8F" w:rsidRDefault="00455062" w:rsidP="00D47B8F">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42" w:type="dxa"/>
            <w:tcBorders>
              <w:top w:val="nil"/>
              <w:left w:val="single" w:sz="4" w:space="0" w:color="E0301E" w:themeColor="accent6"/>
              <w:bottom w:val="nil"/>
            </w:tcBorders>
          </w:tcPr>
          <w:p w14:paraId="3051C3B2" w14:textId="6009436C" w:rsidR="00D47B8F" w:rsidRPr="00D47B8F" w:rsidRDefault="00455062" w:rsidP="00D47B8F">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42" w:type="dxa"/>
            <w:tcBorders>
              <w:top w:val="nil"/>
              <w:bottom w:val="nil"/>
            </w:tcBorders>
          </w:tcPr>
          <w:p w14:paraId="4BCD63CC" w14:textId="5E6C60E6" w:rsidR="00D47B8F" w:rsidRPr="00D47B8F" w:rsidRDefault="00455062" w:rsidP="00D47B8F">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r>
      <w:tr w:rsidR="00A277D3" w:rsidRPr="00EC326F" w14:paraId="0E9466D1" w14:textId="77777777" w:rsidTr="00CF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tcBorders>
              <w:top w:val="nil"/>
              <w:right w:val="single" w:sz="4" w:space="0" w:color="E0301E" w:themeColor="accent6"/>
            </w:tcBorders>
          </w:tcPr>
          <w:p w14:paraId="4A28F172" w14:textId="77777777" w:rsidR="00A277D3" w:rsidRPr="00EC326F" w:rsidRDefault="00A277D3" w:rsidP="00715253">
            <w:pPr>
              <w:pStyle w:val="TableTextSmall"/>
              <w:rPr>
                <w:b w:val="0"/>
              </w:rPr>
            </w:pPr>
            <w:r w:rsidRPr="00EC326F">
              <w:rPr>
                <w:b w:val="0"/>
              </w:rPr>
              <w:t>- Impact of other changes</w:t>
            </w:r>
          </w:p>
        </w:tc>
        <w:tc>
          <w:tcPr>
            <w:tcW w:w="1397" w:type="dxa"/>
            <w:tcBorders>
              <w:top w:val="nil"/>
              <w:left w:val="single" w:sz="4" w:space="0" w:color="E0301E" w:themeColor="accent6"/>
              <w:right w:val="single" w:sz="4" w:space="0" w:color="E0301E" w:themeColor="accent6"/>
            </w:tcBorders>
          </w:tcPr>
          <w:p w14:paraId="1FC36E48" w14:textId="7ECE4027" w:rsidR="00A277D3" w:rsidRPr="00EC326F" w:rsidRDefault="00A277D3" w:rsidP="00455062">
            <w:pPr>
              <w:pStyle w:val="TableTextSmall"/>
              <w:jc w:val="center"/>
              <w:cnfStyle w:val="000000100000" w:firstRow="0" w:lastRow="0" w:firstColumn="0" w:lastColumn="0" w:oddVBand="0" w:evenVBand="0" w:oddHBand="1" w:evenHBand="0" w:firstRowFirstColumn="0" w:firstRowLastColumn="0" w:lastRowFirstColumn="0" w:lastRowLastColumn="0"/>
              <w:rPr>
                <w:color w:val="auto"/>
              </w:rPr>
            </w:pPr>
            <w:r w:rsidRPr="00EC326F">
              <w:t>-$</w:t>
            </w:r>
            <w:r w:rsidR="00455062">
              <w:t>6</w:t>
            </w:r>
            <w:r w:rsidRPr="00EC326F">
              <w:t>k</w:t>
            </w:r>
          </w:p>
        </w:tc>
        <w:tc>
          <w:tcPr>
            <w:tcW w:w="1242" w:type="dxa"/>
            <w:tcBorders>
              <w:top w:val="nil"/>
              <w:left w:val="single" w:sz="4" w:space="0" w:color="E0301E" w:themeColor="accent6"/>
            </w:tcBorders>
          </w:tcPr>
          <w:p w14:paraId="276A8372"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-$6k</w:t>
            </w:r>
          </w:p>
        </w:tc>
        <w:tc>
          <w:tcPr>
            <w:tcW w:w="1242" w:type="dxa"/>
            <w:tcBorders>
              <w:top w:val="nil"/>
              <w:right w:val="single" w:sz="4" w:space="0" w:color="E0301E" w:themeColor="accent6"/>
            </w:tcBorders>
          </w:tcPr>
          <w:p w14:paraId="3C41643C"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+$1k</w:t>
            </w:r>
          </w:p>
        </w:tc>
        <w:tc>
          <w:tcPr>
            <w:tcW w:w="1242" w:type="dxa"/>
            <w:tcBorders>
              <w:top w:val="nil"/>
              <w:left w:val="single" w:sz="4" w:space="0" w:color="E0301E" w:themeColor="accent6"/>
            </w:tcBorders>
          </w:tcPr>
          <w:p w14:paraId="33AF3800" w14:textId="498007E3" w:rsidR="00A277D3" w:rsidRPr="00EC326F" w:rsidRDefault="00455062" w:rsidP="00715253">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t>+$1k</w:t>
            </w:r>
          </w:p>
        </w:tc>
        <w:tc>
          <w:tcPr>
            <w:tcW w:w="1242" w:type="dxa"/>
            <w:tcBorders>
              <w:top w:val="nil"/>
            </w:tcBorders>
          </w:tcPr>
          <w:p w14:paraId="6404288C" w14:textId="77777777" w:rsidR="00A277D3" w:rsidRPr="00EC326F" w:rsidRDefault="00A277D3" w:rsidP="00715253">
            <w:pPr>
              <w:pStyle w:val="TableTextSmall"/>
              <w:jc w:val="center"/>
              <w:cnfStyle w:val="000000100000" w:firstRow="0" w:lastRow="0" w:firstColumn="0" w:lastColumn="0" w:oddVBand="0" w:evenVBand="0" w:oddHBand="1" w:evenHBand="0" w:firstRowFirstColumn="0" w:firstRowLastColumn="0" w:lastRowFirstColumn="0" w:lastRowLastColumn="0"/>
              <w:rPr>
                <w:color w:val="auto"/>
              </w:rPr>
            </w:pPr>
            <w:r w:rsidRPr="00EC326F">
              <w:t>-$1k</w:t>
            </w:r>
          </w:p>
        </w:tc>
      </w:tr>
    </w:tbl>
    <w:p w14:paraId="6E391F3D" w14:textId="77777777" w:rsidR="00730E72" w:rsidRPr="00EC326F" w:rsidRDefault="00730E72" w:rsidP="00A277D3">
      <w:pPr>
        <w:pStyle w:val="PwCNormal"/>
        <w:numPr>
          <w:ilvl w:val="0"/>
          <w:numId w:val="0"/>
        </w:numPr>
      </w:pPr>
      <w:r w:rsidRPr="00EC326F">
        <w:t xml:space="preserve">The population included </w:t>
      </w:r>
      <w:r w:rsidRPr="00881FC5">
        <w:t xml:space="preserve">in the model increased by 1.2%. The changes in welfare recipients for the year were discussed in </w:t>
      </w:r>
      <w:r w:rsidR="0011562A">
        <w:t>section</w:t>
      </w:r>
      <w:r w:rsidRPr="00881FC5">
        <w:t xml:space="preserve"> </w:t>
      </w:r>
      <w:r w:rsidR="00881FC5" w:rsidRPr="00881FC5">
        <w:fldChar w:fldCharType="begin"/>
      </w:r>
      <w:r w:rsidR="00881FC5" w:rsidRPr="00881FC5">
        <w:instrText xml:space="preserve"> REF _Ref466493425 \w \h </w:instrText>
      </w:r>
      <w:r w:rsidR="00881FC5">
        <w:instrText xml:space="preserve"> \* MERGEFORMAT </w:instrText>
      </w:r>
      <w:r w:rsidR="00881FC5" w:rsidRPr="00881FC5">
        <w:fldChar w:fldCharType="separate"/>
      </w:r>
      <w:r w:rsidR="007A42DF">
        <w:t>6.5</w:t>
      </w:r>
      <w:r w:rsidR="00881FC5" w:rsidRPr="00881FC5">
        <w:fldChar w:fldCharType="end"/>
      </w:r>
      <w:r w:rsidRPr="00881FC5">
        <w:t xml:space="preserve"> and an increase of 0.5% was seen </w:t>
      </w:r>
      <w:r w:rsidR="00B532FC">
        <w:t>across all welfare recipients</w:t>
      </w:r>
      <w:r w:rsidRPr="00881FC5">
        <w:t>. The non-welfare recipient population increased by</w:t>
      </w:r>
      <w:r w:rsidRPr="00EC326F">
        <w:t xml:space="preserve"> 1.6% as a result of </w:t>
      </w:r>
      <w:r w:rsidR="00532267">
        <w:t>the increase in the Australian estimated resident p</w:t>
      </w:r>
      <w:r w:rsidRPr="00EC326F">
        <w:t>opulation.</w:t>
      </w:r>
    </w:p>
    <w:p w14:paraId="207053A9" w14:textId="77777777" w:rsidR="00A277D3" w:rsidRPr="00EC326F" w:rsidRDefault="00A277D3" w:rsidP="00A277D3">
      <w:pPr>
        <w:pStyle w:val="PwCNormal"/>
        <w:numPr>
          <w:ilvl w:val="0"/>
          <w:numId w:val="0"/>
        </w:numPr>
      </w:pPr>
      <w:r w:rsidRPr="00EC326F">
        <w:t xml:space="preserve">The </w:t>
      </w:r>
      <w:r w:rsidR="00B532FC">
        <w:t>reduction</w:t>
      </w:r>
      <w:r w:rsidRPr="00EC326F">
        <w:t xml:space="preserve"> in the </w:t>
      </w:r>
      <w:r w:rsidRPr="00EC326F">
        <w:rPr>
          <w:b/>
        </w:rPr>
        <w:t>average lifetime cost</w:t>
      </w:r>
      <w:r w:rsidRPr="00EC326F">
        <w:t xml:space="preserve"> can be broken down as follows:</w:t>
      </w:r>
    </w:p>
    <w:p w14:paraId="10462E79" w14:textId="77777777" w:rsidR="00A277D3" w:rsidRPr="00EC326F" w:rsidRDefault="00A277D3" w:rsidP="001A4479">
      <w:pPr>
        <w:pStyle w:val="Bullet1"/>
        <w:numPr>
          <w:ilvl w:val="0"/>
          <w:numId w:val="39"/>
        </w:numPr>
      </w:pPr>
      <w:r w:rsidRPr="00EC326F">
        <w:t xml:space="preserve">The </w:t>
      </w:r>
      <w:r w:rsidRPr="00EC326F">
        <w:rPr>
          <w:b/>
        </w:rPr>
        <w:t>change in inflation</w:t>
      </w:r>
      <w:r w:rsidRPr="00EC326F">
        <w:t xml:space="preserve"> encompasses an increase in the average lifetime cost as a result of inflation over the year (which brings the costs into June 2016 values), offset by a decrease in the lifetime cost as a result of a decrease in the expected future indexation allowed for in the projections. The overall impact of this </w:t>
      </w:r>
      <w:r w:rsidR="00AC3B85" w:rsidRPr="00EC326F">
        <w:t xml:space="preserve">on </w:t>
      </w:r>
      <w:r w:rsidRPr="00EC326F">
        <w:t>the average lifetime cost</w:t>
      </w:r>
      <w:r w:rsidR="00AC3B85" w:rsidRPr="00EC326F">
        <w:t xml:space="preserve"> is relatively neutral</w:t>
      </w:r>
      <w:r w:rsidRPr="00EC326F">
        <w:t>.</w:t>
      </w:r>
    </w:p>
    <w:p w14:paraId="6F7194A5" w14:textId="1D36BBAB" w:rsidR="00A277D3" w:rsidRPr="00EC326F" w:rsidRDefault="00A277D3" w:rsidP="001A4479">
      <w:pPr>
        <w:pStyle w:val="Bullet1"/>
        <w:numPr>
          <w:ilvl w:val="0"/>
          <w:numId w:val="39"/>
        </w:numPr>
      </w:pPr>
      <w:r w:rsidRPr="00EC326F">
        <w:t xml:space="preserve">The impact of the </w:t>
      </w:r>
      <w:r w:rsidRPr="00EC326F">
        <w:rPr>
          <w:b/>
        </w:rPr>
        <w:t>economic module</w:t>
      </w:r>
      <w:r w:rsidRPr="00EC326F">
        <w:t xml:space="preserve"> is a decrease in the average lifetime cost of around </w:t>
      </w:r>
      <w:r w:rsidRPr="00EC326F">
        <w:rPr>
          <w:b/>
        </w:rPr>
        <w:t>$6k</w:t>
      </w:r>
      <w:r w:rsidRPr="00EC326F">
        <w:t xml:space="preserve">. </w:t>
      </w:r>
      <w:r w:rsidR="00AC3069" w:rsidRPr="00EC326F">
        <w:t>As</w:t>
      </w:r>
      <w:r w:rsidRPr="00EC326F">
        <w:t xml:space="preserve"> discussed in the previous section the main impacts of this were a decrease in the projected number of people in Class </w:t>
      </w:r>
      <w:r w:rsidR="00FF7EC9">
        <w:t>‘</w:t>
      </w:r>
      <w:r w:rsidRPr="00EC326F">
        <w:t>2 Working Age</w:t>
      </w:r>
      <w:r w:rsidR="00FF7EC9">
        <w:t>’</w:t>
      </w:r>
      <w:r w:rsidRPr="00EC326F">
        <w:t>, and a flow on decrease in the number of projected transitions from Class 2 into other income support classes</w:t>
      </w:r>
      <w:r w:rsidR="00AC3069" w:rsidRPr="00EC326F">
        <w:t xml:space="preserve"> including age pension</w:t>
      </w:r>
      <w:r w:rsidRPr="00EC326F">
        <w:t xml:space="preserve">, which results in a further decrease in the lifetime cost. The table above indicates that the main impacts are </w:t>
      </w:r>
      <w:r w:rsidR="00AC3069" w:rsidRPr="00EC326F">
        <w:t>to</w:t>
      </w:r>
      <w:r w:rsidRPr="00EC326F">
        <w:t xml:space="preserve"> the Income Support </w:t>
      </w:r>
      <w:r w:rsidR="00AC3069" w:rsidRPr="00EC326F">
        <w:t>payments</w:t>
      </w:r>
      <w:r w:rsidRPr="00EC326F">
        <w:t xml:space="preserve"> shown, which is in line with our previous observation.</w:t>
      </w:r>
    </w:p>
    <w:p w14:paraId="5CC9C943" w14:textId="48C6E85C" w:rsidR="00307781" w:rsidRDefault="00307781" w:rsidP="001A4479">
      <w:pPr>
        <w:pStyle w:val="Bullet1"/>
        <w:numPr>
          <w:ilvl w:val="0"/>
          <w:numId w:val="39"/>
        </w:numPr>
      </w:pPr>
      <w:r>
        <w:t xml:space="preserve">The impact of the </w:t>
      </w:r>
      <w:r w:rsidRPr="00307781">
        <w:rPr>
          <w:b/>
        </w:rPr>
        <w:t>policy changes</w:t>
      </w:r>
      <w:r>
        <w:t xml:space="preserve"> is a decrease in the average lifetime cost of around </w:t>
      </w:r>
      <w:r w:rsidRPr="00307781">
        <w:rPr>
          <w:b/>
        </w:rPr>
        <w:t>$1k</w:t>
      </w:r>
      <w:r>
        <w:t xml:space="preserve">. This reflects the changes in policy settings over the last year. The main changes relate to family supplements and the </w:t>
      </w:r>
      <w:r>
        <w:lastRenderedPageBreak/>
        <w:t>replacement of the Student Start-up Scholarship with the Student Start-up Loan. This was discussed in more detail in the previous section.</w:t>
      </w:r>
    </w:p>
    <w:p w14:paraId="73608316" w14:textId="7929A0E7" w:rsidR="00A277D3" w:rsidRPr="00EC326F" w:rsidRDefault="00A277D3" w:rsidP="001A4479">
      <w:pPr>
        <w:pStyle w:val="Bullet1"/>
        <w:numPr>
          <w:ilvl w:val="0"/>
          <w:numId w:val="39"/>
        </w:numPr>
      </w:pPr>
      <w:r w:rsidRPr="00EC326F">
        <w:t xml:space="preserve">The impact of the </w:t>
      </w:r>
      <w:r w:rsidRPr="00EC326F">
        <w:rPr>
          <w:b/>
        </w:rPr>
        <w:t>other changes</w:t>
      </w:r>
      <w:r w:rsidRPr="00EC326F">
        <w:t xml:space="preserve"> is a decrease in the average lifetime cost of around </w:t>
      </w:r>
      <w:r w:rsidRPr="00EC326F">
        <w:rPr>
          <w:b/>
        </w:rPr>
        <w:t>$</w:t>
      </w:r>
      <w:r w:rsidR="00AD6A2A">
        <w:rPr>
          <w:b/>
        </w:rPr>
        <w:t>6</w:t>
      </w:r>
      <w:r w:rsidRPr="00EC326F">
        <w:rPr>
          <w:b/>
        </w:rPr>
        <w:t>k</w:t>
      </w:r>
      <w:r w:rsidRPr="00EC326F">
        <w:t>. The largest driver of this is the changes to the class assumptions, which ha</w:t>
      </w:r>
      <w:r w:rsidR="00AC3069" w:rsidRPr="00EC326F">
        <w:t>ve</w:t>
      </w:r>
      <w:r w:rsidRPr="00EC326F">
        <w:t xml:space="preserve"> led to a decrease in the projected number of people in Class </w:t>
      </w:r>
      <w:r w:rsidR="00FF7EC9">
        <w:t>‘</w:t>
      </w:r>
      <w:r w:rsidRPr="00EC326F">
        <w:t>2 Working Age</w:t>
      </w:r>
      <w:r w:rsidR="00FF7EC9">
        <w:t>’</w:t>
      </w:r>
      <w:r w:rsidRPr="00EC326F">
        <w:t xml:space="preserve">, </w:t>
      </w:r>
      <w:r w:rsidR="00AA2FF7" w:rsidRPr="00EC326F">
        <w:t>3 Parents, 5 Disability Support</w:t>
      </w:r>
      <w:r w:rsidRPr="00EC326F">
        <w:t xml:space="preserve">, 7 Non IS Family and 8 Non IS Carer. This item also </w:t>
      </w:r>
      <w:r w:rsidR="00AC3069" w:rsidRPr="00EC326F">
        <w:t>incorporates</w:t>
      </w:r>
      <w:r w:rsidRPr="00EC326F">
        <w:t xml:space="preserve"> the impact</w:t>
      </w:r>
      <w:r w:rsidR="00AC3069" w:rsidRPr="00EC326F">
        <w:t>s</w:t>
      </w:r>
      <w:r w:rsidRPr="00EC326F">
        <w:t xml:space="preserve"> of methodology changes</w:t>
      </w:r>
      <w:r w:rsidR="007E531F">
        <w:t xml:space="preserve"> and</w:t>
      </w:r>
      <w:r w:rsidRPr="00EC326F">
        <w:t xml:space="preserve"> the update to payment and utilisation assumptions.</w:t>
      </w:r>
    </w:p>
    <w:p w14:paraId="5891DAA7" w14:textId="77777777" w:rsidR="00A277D3" w:rsidRPr="00EC326F" w:rsidRDefault="00A277D3" w:rsidP="00A277D3">
      <w:pPr>
        <w:pStyle w:val="Heading4"/>
      </w:pPr>
      <w:r w:rsidRPr="00EC326F">
        <w:t>Class level lifetime cost results</w:t>
      </w:r>
    </w:p>
    <w:p w14:paraId="6E7E15A7" w14:textId="436A8A1E" w:rsidR="00B532FC" w:rsidRDefault="00B532FC" w:rsidP="00B532FC">
      <w:pPr>
        <w:pStyle w:val="PwCNormal"/>
      </w:pPr>
      <w:r>
        <w:t xml:space="preserve">The changes seen do not impact on people in each class in the same way. For instance, the reduction in future entry rates into the </w:t>
      </w:r>
      <w:r w:rsidR="00916C7F">
        <w:t>W</w:t>
      </w:r>
      <w:r>
        <w:t xml:space="preserve">orking </w:t>
      </w:r>
      <w:r w:rsidR="00916C7F">
        <w:t>A</w:t>
      </w:r>
      <w:r>
        <w:t>ge class has a much greater impact on people not currently receiving welfare than on current disability support pension and aged pension recipients.</w:t>
      </w:r>
    </w:p>
    <w:p w14:paraId="76119177" w14:textId="77777777" w:rsidR="00B532FC" w:rsidRDefault="00B532FC" w:rsidP="00BF1E58">
      <w:pPr>
        <w:pStyle w:val="PwCNormal"/>
      </w:pPr>
      <w:r>
        <w:t>Furthermore, when new predictive variab</w:t>
      </w:r>
      <w:r w:rsidR="00B00EA2">
        <w:t>les are introduced to the model</w:t>
      </w:r>
      <w:r>
        <w:t xml:space="preserve">, the impact is typically fairly neutral for the full population. However the new variables will result in more differentiation between those who are expected </w:t>
      </w:r>
      <w:r w:rsidR="00CD3E41">
        <w:t xml:space="preserve">to </w:t>
      </w:r>
      <w:r>
        <w:t>have high</w:t>
      </w:r>
      <w:r w:rsidR="00B00EA2">
        <w:t>er</w:t>
      </w:r>
      <w:r>
        <w:t xml:space="preserve"> persistency in the welfare system and those who are expected to have low</w:t>
      </w:r>
      <w:r w:rsidR="00B00EA2">
        <w:t>er</w:t>
      </w:r>
      <w:r>
        <w:t xml:space="preserve"> persistency in the welfare system.</w:t>
      </w:r>
      <w:r w:rsidR="00B00EA2">
        <w:t xml:space="preserve"> </w:t>
      </w:r>
      <w:r>
        <w:t xml:space="preserve">The addition of the new variables this year has led to </w:t>
      </w:r>
      <w:r w:rsidR="00B00EA2">
        <w:t xml:space="preserve">improved identification of </w:t>
      </w:r>
      <w:r>
        <w:t xml:space="preserve">groups within some of the income support classes (particularly classes 3, 4 and 5) who are projected to have higher persistency in the welfare system and this has led to increased lifetime costs for these classes. Conversely the new variables have also resulted in </w:t>
      </w:r>
      <w:r w:rsidR="00B00EA2">
        <w:t xml:space="preserve">better identification of the </w:t>
      </w:r>
      <w:r>
        <w:t>groups of the population with lower expected persistency in the welfare system and a reduced lifetime cost for the non-income support and non-welfare recipient classes.</w:t>
      </w:r>
    </w:p>
    <w:p w14:paraId="1B066E5B" w14:textId="77777777" w:rsidR="00A277D3" w:rsidRPr="00EC326F" w:rsidRDefault="00A277D3" w:rsidP="004E1EB1">
      <w:pPr>
        <w:pStyle w:val="PwCNormal-keepwithnext"/>
      </w:pPr>
      <w:r w:rsidRPr="00EC326F">
        <w:t xml:space="preserve">The table below shows a class level </w:t>
      </w:r>
      <w:r w:rsidR="00B532FC">
        <w:t>summary</w:t>
      </w:r>
      <w:r w:rsidRPr="00EC326F">
        <w:t xml:space="preserve"> of the changes in population and average lifetime cost. These contribute to the total change discussed above.</w:t>
      </w:r>
    </w:p>
    <w:p w14:paraId="60C450BB" w14:textId="77777777" w:rsidR="00A277D3" w:rsidRPr="00EC326F" w:rsidRDefault="00A277D3" w:rsidP="00A277D3">
      <w:pPr>
        <w:pStyle w:val="Caption"/>
      </w:pPr>
      <w:r w:rsidRPr="00EC326F">
        <w:t xml:space="preserve">Table </w:t>
      </w:r>
      <w:fldSimple w:instr=" SEQ Table \* ARABIC ">
        <w:r w:rsidR="007A42DF">
          <w:rPr>
            <w:noProof/>
          </w:rPr>
          <w:t>22</w:t>
        </w:r>
      </w:fldSimple>
      <w:r w:rsidRPr="00EC326F">
        <w:t>: Summary of changes in lifetime cost by class</w:t>
      </w:r>
    </w:p>
    <w:tbl>
      <w:tblPr>
        <w:tblW w:w="9921" w:type="dxa"/>
        <w:tblInd w:w="57" w:type="dxa"/>
        <w:tblLayout w:type="fixed"/>
        <w:tblCellMar>
          <w:left w:w="113" w:type="dxa"/>
          <w:right w:w="113" w:type="dxa"/>
        </w:tblCellMar>
        <w:tblLook w:val="04A0" w:firstRow="1" w:lastRow="0" w:firstColumn="1" w:lastColumn="0" w:noHBand="0" w:noVBand="1"/>
        <w:tblCaption w:val=" Summary of changes in lifetime cost by class&#10;&#10;"/>
        <w:tblDescription w:val="This table is a summary of the changes in lifetime cost by class. The total change in lifetime cost is broken down into the change due to population changes and the change due to average lifetime cost. These changes are considered for each welfare class.&#10;&#10;The lifetime cost for each class under the 2016 valuation is provided in table 1. In 2015, the lifetime costs were relatively similar to the figures for 2016. The lifetime costs for clients in the studying class, working age class, Non IS classes were higher in 2015 than in 2016. The magnitude of difference ranged from -$1bn for the Non IS Carer class to -$41bn for the Non IS Family class. &#10;&#10;The lifetime cost for classes 3-6 was between $10bn and $16bn higher in 2016 than in 2015. &#10;&#10;Across the majority of classes, population changes were less influential than changes to average lifetime cost in driving the overall difference between 2015 and 2016 lifetime cost.&#10;&#10;Further features of the data in this table are discussed in the accompanying text within the report.&#10;"/>
      </w:tblPr>
      <w:tblGrid>
        <w:gridCol w:w="2438"/>
        <w:gridCol w:w="964"/>
        <w:gridCol w:w="964"/>
        <w:gridCol w:w="907"/>
        <w:gridCol w:w="1020"/>
        <w:gridCol w:w="1134"/>
        <w:gridCol w:w="1247"/>
        <w:gridCol w:w="1247"/>
      </w:tblGrid>
      <w:tr w:rsidR="007F6B0F" w:rsidRPr="00EC326F" w14:paraId="4B579319" w14:textId="77777777" w:rsidTr="00AC3069">
        <w:trPr>
          <w:trHeight w:val="1010"/>
          <w:tblHeader/>
        </w:trPr>
        <w:tc>
          <w:tcPr>
            <w:tcW w:w="2438" w:type="dxa"/>
            <w:tcBorders>
              <w:top w:val="single" w:sz="4" w:space="0" w:color="E02628"/>
              <w:left w:val="nil"/>
              <w:bottom w:val="single" w:sz="4" w:space="0" w:color="FFFFFF" w:themeColor="background1"/>
              <w:right w:val="single" w:sz="4" w:space="0" w:color="FFFFFF"/>
            </w:tcBorders>
            <w:shd w:val="clear" w:color="auto" w:fill="E02628"/>
            <w:hideMark/>
          </w:tcPr>
          <w:p w14:paraId="6659EE32" w14:textId="77777777" w:rsidR="007F6B0F" w:rsidRPr="00EC326F" w:rsidRDefault="007F6B0F" w:rsidP="007F6B0F">
            <w:pPr>
              <w:pStyle w:val="TableColumnHeadingSmall"/>
            </w:pPr>
          </w:p>
          <w:p w14:paraId="2313F352" w14:textId="77777777" w:rsidR="007F6B0F" w:rsidRPr="00EC326F" w:rsidRDefault="007F6B0F" w:rsidP="007F6B0F">
            <w:pPr>
              <w:pStyle w:val="TableColumnHeadingSmall"/>
            </w:pPr>
            <w:r w:rsidRPr="00EC326F">
              <w:t>Population segment</w:t>
            </w:r>
          </w:p>
        </w:tc>
        <w:tc>
          <w:tcPr>
            <w:tcW w:w="964"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4F6A4DA1" w14:textId="77777777" w:rsidR="007F6B0F" w:rsidRPr="00EC326F" w:rsidRDefault="007F6B0F" w:rsidP="007F6B0F">
            <w:pPr>
              <w:pStyle w:val="TableColumnHeadingSmall"/>
            </w:pPr>
          </w:p>
          <w:p w14:paraId="3C310636" w14:textId="77777777" w:rsidR="007F6B0F" w:rsidRPr="00EC326F" w:rsidRDefault="007F6B0F" w:rsidP="007F6B0F">
            <w:pPr>
              <w:pStyle w:val="TableColumnHeadingSmall"/>
            </w:pPr>
            <w:r w:rsidRPr="00EC326F">
              <w:t>Jun-15 Lifetime Cost</w:t>
            </w:r>
            <w:r w:rsidR="00E21757" w:rsidRPr="00EC326F">
              <w:t xml:space="preserve"> ($bn)</w:t>
            </w:r>
          </w:p>
        </w:tc>
        <w:tc>
          <w:tcPr>
            <w:tcW w:w="964"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3FC80E99" w14:textId="77777777" w:rsidR="007F6B0F" w:rsidRPr="00EC326F" w:rsidRDefault="007F6B0F" w:rsidP="007F6B0F">
            <w:pPr>
              <w:pStyle w:val="TableColumnHeadingSmall"/>
            </w:pPr>
          </w:p>
          <w:p w14:paraId="78E4DA45" w14:textId="77777777" w:rsidR="007F6B0F" w:rsidRPr="00EC326F" w:rsidRDefault="007F6B0F" w:rsidP="007F6B0F">
            <w:pPr>
              <w:pStyle w:val="TableColumnHeadingSmall"/>
            </w:pPr>
            <w:r w:rsidRPr="00EC326F">
              <w:t>Jun-16 Lifetime Cost</w:t>
            </w:r>
            <w:r w:rsidR="00E21757" w:rsidRPr="00EC326F">
              <w:t xml:space="preserve"> ($bn)</w:t>
            </w:r>
          </w:p>
        </w:tc>
        <w:tc>
          <w:tcPr>
            <w:tcW w:w="907"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7E968F56" w14:textId="77777777" w:rsidR="007F6B0F" w:rsidRPr="00EC326F" w:rsidRDefault="007F6B0F" w:rsidP="007F6B0F">
            <w:pPr>
              <w:pStyle w:val="TableColumnHeadingSmall"/>
            </w:pPr>
          </w:p>
          <w:p w14:paraId="7105C343" w14:textId="77777777" w:rsidR="007F6B0F" w:rsidRPr="00EC326F" w:rsidRDefault="007F6B0F" w:rsidP="007F6B0F">
            <w:pPr>
              <w:pStyle w:val="TableColumnHeadingSmall"/>
            </w:pPr>
            <w:r w:rsidRPr="00EC326F">
              <w:t>Change in lifetime cost</w:t>
            </w:r>
            <w:r w:rsidR="00E21757" w:rsidRPr="00EC326F">
              <w:t xml:space="preserve"> ($bn)</w:t>
            </w:r>
          </w:p>
        </w:tc>
        <w:tc>
          <w:tcPr>
            <w:tcW w:w="1020"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0520C646" w14:textId="77777777" w:rsidR="007F6B0F" w:rsidRPr="00EC326F" w:rsidRDefault="007F6B0F" w:rsidP="007F6B0F">
            <w:pPr>
              <w:pStyle w:val="TableColumnHeadingSmall"/>
            </w:pPr>
          </w:p>
          <w:p w14:paraId="55631251" w14:textId="77777777" w:rsidR="007F6B0F" w:rsidRPr="00EC326F" w:rsidRDefault="007F6B0F" w:rsidP="007F6B0F">
            <w:pPr>
              <w:pStyle w:val="TableColumnHeadingSmall"/>
            </w:pPr>
            <w:r w:rsidRPr="00EC326F">
              <w:t>Change in lifetime cost (%)</w:t>
            </w:r>
          </w:p>
        </w:tc>
        <w:tc>
          <w:tcPr>
            <w:tcW w:w="1134"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54C291AE" w14:textId="77777777" w:rsidR="007F6B0F" w:rsidRPr="00EC326F" w:rsidRDefault="007F6B0F" w:rsidP="007F6B0F">
            <w:pPr>
              <w:pStyle w:val="TableColumnHeadingSmall"/>
            </w:pPr>
          </w:p>
          <w:p w14:paraId="475B9B66" w14:textId="77777777" w:rsidR="007F6B0F" w:rsidRPr="00EC326F" w:rsidRDefault="007F6B0F" w:rsidP="007F6B0F">
            <w:pPr>
              <w:pStyle w:val="TableColumnHeadingSmall"/>
            </w:pPr>
            <w:r w:rsidRPr="00EC326F">
              <w:t>Change in lifetime cost – population change component</w:t>
            </w:r>
          </w:p>
        </w:tc>
        <w:tc>
          <w:tcPr>
            <w:tcW w:w="1247" w:type="dxa"/>
            <w:tcBorders>
              <w:top w:val="single" w:sz="4" w:space="0" w:color="E02628"/>
              <w:left w:val="single" w:sz="4" w:space="0" w:color="FFFFFF"/>
              <w:bottom w:val="single" w:sz="4" w:space="0" w:color="E02628"/>
              <w:right w:val="single" w:sz="4" w:space="0" w:color="FFFFFF"/>
            </w:tcBorders>
            <w:shd w:val="clear" w:color="auto" w:fill="E02628"/>
          </w:tcPr>
          <w:p w14:paraId="20657412" w14:textId="77777777" w:rsidR="007F6B0F" w:rsidRPr="00EC326F" w:rsidRDefault="007F6B0F" w:rsidP="007F6B0F">
            <w:pPr>
              <w:pStyle w:val="TableColumnHeadingSmall"/>
            </w:pPr>
          </w:p>
          <w:p w14:paraId="6F228C1C" w14:textId="77777777" w:rsidR="007F6B0F" w:rsidRPr="00EC326F" w:rsidRDefault="00ED5B65" w:rsidP="007F6B0F">
            <w:pPr>
              <w:pStyle w:val="TableColumnHeadingSmall"/>
            </w:pPr>
            <w:r w:rsidRPr="00EC326F">
              <w:t>C</w:t>
            </w:r>
            <w:r w:rsidR="007F6B0F" w:rsidRPr="00EC326F">
              <w:t>hange in lifetime cost – ave lifetime cost change component (%)</w:t>
            </w:r>
          </w:p>
        </w:tc>
        <w:tc>
          <w:tcPr>
            <w:tcW w:w="1247" w:type="dxa"/>
            <w:tcBorders>
              <w:top w:val="single" w:sz="4" w:space="0" w:color="E02628"/>
              <w:left w:val="single" w:sz="4" w:space="0" w:color="FFFFFF"/>
              <w:bottom w:val="single" w:sz="4" w:space="0" w:color="E02628"/>
              <w:right w:val="single" w:sz="4" w:space="0" w:color="FFFFFF"/>
            </w:tcBorders>
            <w:shd w:val="clear" w:color="auto" w:fill="E02628"/>
          </w:tcPr>
          <w:p w14:paraId="1B660982" w14:textId="77777777" w:rsidR="007F6B0F" w:rsidRPr="00EC326F" w:rsidRDefault="007F6B0F" w:rsidP="007F6B0F">
            <w:pPr>
              <w:pStyle w:val="TableColumnHeadingSmall"/>
            </w:pPr>
          </w:p>
          <w:p w14:paraId="3487731B" w14:textId="77777777" w:rsidR="007F6B0F" w:rsidRPr="00EC326F" w:rsidRDefault="00ED5B65" w:rsidP="007F6B0F">
            <w:pPr>
              <w:pStyle w:val="TableColumnHeadingSmall"/>
            </w:pPr>
            <w:r w:rsidRPr="00EC326F">
              <w:t>C</w:t>
            </w:r>
            <w:r w:rsidR="007F6B0F" w:rsidRPr="00EC326F">
              <w:t>hange in lifetime cost – ave lif</w:t>
            </w:r>
            <w:r w:rsidR="00E21757" w:rsidRPr="00EC326F">
              <w:t>etime cost change component ($’000</w:t>
            </w:r>
            <w:r w:rsidR="007F6B0F" w:rsidRPr="00EC326F">
              <w:t>)</w:t>
            </w:r>
          </w:p>
        </w:tc>
      </w:tr>
      <w:tr w:rsidR="007F6B0F" w:rsidRPr="00EC326F" w14:paraId="2D8C825B" w14:textId="77777777" w:rsidTr="00AC3069">
        <w:trPr>
          <w:trHeight w:val="227"/>
          <w:tblHeader/>
        </w:trPr>
        <w:tc>
          <w:tcPr>
            <w:tcW w:w="2438" w:type="dxa"/>
            <w:tcBorders>
              <w:top w:val="single" w:sz="4" w:space="0" w:color="E02628"/>
              <w:left w:val="nil"/>
              <w:bottom w:val="single" w:sz="4" w:space="0" w:color="E02628"/>
              <w:right w:val="nil"/>
            </w:tcBorders>
            <w:shd w:val="clear" w:color="auto" w:fill="E02628"/>
            <w:noWrap/>
            <w:vAlign w:val="center"/>
            <w:hideMark/>
          </w:tcPr>
          <w:p w14:paraId="79B2FA13" w14:textId="77777777" w:rsidR="007F6B0F" w:rsidRPr="00EC326F" w:rsidRDefault="007F6B0F" w:rsidP="007F6B0F">
            <w:pPr>
              <w:pStyle w:val="TableColumnHeadingSmall"/>
              <w:rPr>
                <w:snapToGrid/>
                <w:lang w:eastAsia="en-AU"/>
              </w:rPr>
            </w:pPr>
            <w:r w:rsidRPr="00EC326F">
              <w:rPr>
                <w:snapToGrid/>
                <w:lang w:eastAsia="en-AU"/>
              </w:rPr>
              <w:t>Current welfare recipients</w:t>
            </w:r>
          </w:p>
        </w:tc>
        <w:tc>
          <w:tcPr>
            <w:tcW w:w="964" w:type="dxa"/>
            <w:tcBorders>
              <w:top w:val="single" w:sz="4" w:space="0" w:color="E02628"/>
              <w:left w:val="nil"/>
              <w:bottom w:val="single" w:sz="4" w:space="0" w:color="E02628"/>
              <w:right w:val="nil"/>
            </w:tcBorders>
            <w:shd w:val="clear" w:color="auto" w:fill="E02628"/>
          </w:tcPr>
          <w:p w14:paraId="62309C7E" w14:textId="77777777" w:rsidR="007F6B0F" w:rsidRPr="00EC326F" w:rsidRDefault="007F6B0F" w:rsidP="007F6B0F">
            <w:pPr>
              <w:pStyle w:val="TableColumnHeadingSmall"/>
            </w:pPr>
          </w:p>
        </w:tc>
        <w:tc>
          <w:tcPr>
            <w:tcW w:w="964" w:type="dxa"/>
            <w:tcBorders>
              <w:top w:val="single" w:sz="4" w:space="0" w:color="E02628"/>
              <w:left w:val="nil"/>
              <w:bottom w:val="single" w:sz="4" w:space="0" w:color="E02628"/>
              <w:right w:val="nil"/>
            </w:tcBorders>
            <w:shd w:val="clear" w:color="auto" w:fill="E02628"/>
          </w:tcPr>
          <w:p w14:paraId="7DF075B2" w14:textId="77777777" w:rsidR="007F6B0F" w:rsidRPr="00EC326F" w:rsidRDefault="007F6B0F" w:rsidP="007F6B0F">
            <w:pPr>
              <w:pStyle w:val="TableColumnHeadingSmall"/>
            </w:pPr>
          </w:p>
        </w:tc>
        <w:tc>
          <w:tcPr>
            <w:tcW w:w="907" w:type="dxa"/>
            <w:tcBorders>
              <w:top w:val="single" w:sz="4" w:space="0" w:color="E02628"/>
              <w:left w:val="nil"/>
              <w:bottom w:val="single" w:sz="4" w:space="0" w:color="E02628"/>
              <w:right w:val="nil"/>
            </w:tcBorders>
            <w:shd w:val="clear" w:color="auto" w:fill="E02628"/>
            <w:noWrap/>
          </w:tcPr>
          <w:p w14:paraId="0CE02B66" w14:textId="77777777" w:rsidR="007F6B0F" w:rsidRPr="00EC326F" w:rsidRDefault="007F6B0F" w:rsidP="007F6B0F">
            <w:pPr>
              <w:pStyle w:val="TableColumnHeadingSmall"/>
            </w:pPr>
          </w:p>
        </w:tc>
        <w:tc>
          <w:tcPr>
            <w:tcW w:w="1020" w:type="dxa"/>
            <w:tcBorders>
              <w:top w:val="single" w:sz="4" w:space="0" w:color="E02628"/>
              <w:left w:val="nil"/>
              <w:bottom w:val="single" w:sz="4" w:space="0" w:color="E02628"/>
              <w:right w:val="nil"/>
            </w:tcBorders>
            <w:shd w:val="clear" w:color="auto" w:fill="E02628"/>
            <w:noWrap/>
          </w:tcPr>
          <w:p w14:paraId="0EED93BE" w14:textId="77777777" w:rsidR="007F6B0F" w:rsidRPr="00EC326F" w:rsidRDefault="007F6B0F" w:rsidP="007F6B0F">
            <w:pPr>
              <w:pStyle w:val="TableColumnHeadingSmall"/>
            </w:pPr>
          </w:p>
        </w:tc>
        <w:tc>
          <w:tcPr>
            <w:tcW w:w="1134" w:type="dxa"/>
            <w:tcBorders>
              <w:top w:val="single" w:sz="4" w:space="0" w:color="E02628"/>
              <w:left w:val="nil"/>
              <w:bottom w:val="single" w:sz="4" w:space="0" w:color="E02628"/>
              <w:right w:val="nil"/>
            </w:tcBorders>
            <w:shd w:val="clear" w:color="auto" w:fill="E02628"/>
            <w:noWrap/>
          </w:tcPr>
          <w:p w14:paraId="4B498F87" w14:textId="77777777" w:rsidR="007F6B0F" w:rsidRPr="00EC326F" w:rsidRDefault="007F6B0F" w:rsidP="007F6B0F">
            <w:pPr>
              <w:pStyle w:val="TableColumnHeadingSmall"/>
            </w:pPr>
          </w:p>
        </w:tc>
        <w:tc>
          <w:tcPr>
            <w:tcW w:w="1247" w:type="dxa"/>
            <w:tcBorders>
              <w:top w:val="single" w:sz="4" w:space="0" w:color="E02628"/>
              <w:left w:val="nil"/>
              <w:bottom w:val="single" w:sz="4" w:space="0" w:color="E02628"/>
              <w:right w:val="single" w:sz="4" w:space="0" w:color="E0301E" w:themeColor="accent6"/>
            </w:tcBorders>
            <w:shd w:val="clear" w:color="auto" w:fill="E02628"/>
          </w:tcPr>
          <w:p w14:paraId="60140E06" w14:textId="77777777" w:rsidR="007F6B0F" w:rsidRPr="00EC326F" w:rsidRDefault="007F6B0F" w:rsidP="007F6B0F">
            <w:pPr>
              <w:pStyle w:val="TableColumnHeadingSmall"/>
            </w:pPr>
          </w:p>
        </w:tc>
        <w:tc>
          <w:tcPr>
            <w:tcW w:w="1247" w:type="dxa"/>
            <w:tcBorders>
              <w:top w:val="single" w:sz="4" w:space="0" w:color="E02628"/>
              <w:left w:val="single" w:sz="4" w:space="0" w:color="E0301E" w:themeColor="accent6"/>
              <w:bottom w:val="single" w:sz="4" w:space="0" w:color="E02628"/>
              <w:right w:val="nil"/>
            </w:tcBorders>
            <w:shd w:val="clear" w:color="auto" w:fill="E02628"/>
          </w:tcPr>
          <w:p w14:paraId="7C6AF02A" w14:textId="77777777" w:rsidR="007F6B0F" w:rsidRPr="00EC326F" w:rsidRDefault="007F6B0F" w:rsidP="007F6B0F">
            <w:pPr>
              <w:pStyle w:val="TableColumnHeadingSmall"/>
            </w:pPr>
          </w:p>
        </w:tc>
      </w:tr>
      <w:tr w:rsidR="007F6B0F" w:rsidRPr="00EC326F" w14:paraId="562BEB96"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0271A3B8" w14:textId="77777777" w:rsidR="007F6B0F" w:rsidRPr="00EC326F" w:rsidRDefault="007F6B0F" w:rsidP="00A35222">
            <w:pPr>
              <w:pStyle w:val="TableTextSmall"/>
              <w:rPr>
                <w:snapToGrid/>
                <w:lang w:eastAsia="en-AU"/>
              </w:rPr>
            </w:pPr>
            <w:r w:rsidRPr="00EC326F">
              <w:rPr>
                <w:snapToGrid/>
                <w:lang w:eastAsia="en-AU"/>
              </w:rPr>
              <w:t>- 1 Studying</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5CA28855" w14:textId="77777777" w:rsidR="007F6B0F" w:rsidRPr="00EC326F" w:rsidRDefault="007F6B0F" w:rsidP="007F6B0F">
            <w:pPr>
              <w:pStyle w:val="TableTextSmall"/>
              <w:jc w:val="center"/>
            </w:pPr>
            <w:r w:rsidRPr="00EC326F">
              <w:t>97</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62551173" w14:textId="77777777" w:rsidR="007F6B0F" w:rsidRPr="00EC326F" w:rsidRDefault="007F6B0F" w:rsidP="007F6B0F">
            <w:pPr>
              <w:pStyle w:val="TableTextSmall"/>
              <w:jc w:val="center"/>
            </w:pPr>
            <w:r w:rsidRPr="00EC326F">
              <w:t>82</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748B612F" w14:textId="77777777" w:rsidR="007F6B0F" w:rsidRPr="00EC326F" w:rsidRDefault="007F6B0F" w:rsidP="007F6B0F">
            <w:pPr>
              <w:pStyle w:val="TableTextSmall"/>
              <w:jc w:val="center"/>
            </w:pPr>
            <w:r w:rsidRPr="00EC326F">
              <w:t>-15</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221C444F" w14:textId="4D0EBA73" w:rsidR="007F6B0F" w:rsidRPr="00EC326F" w:rsidRDefault="007F6B0F" w:rsidP="007F6B0F">
            <w:pPr>
              <w:pStyle w:val="TableTextSmall"/>
              <w:jc w:val="center"/>
            </w:pPr>
            <w:r w:rsidRPr="00EC326F">
              <w:t>-15.</w:t>
            </w:r>
            <w:r w:rsidR="009648FA">
              <w:t>4</w:t>
            </w:r>
            <w:r w:rsidRPr="00EC326F">
              <w:t>%</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31754478" w14:textId="77777777" w:rsidR="007F6B0F" w:rsidRPr="00EC326F" w:rsidRDefault="007F6B0F" w:rsidP="007F6B0F">
            <w:pPr>
              <w:pStyle w:val="TableTextSmall"/>
              <w:jc w:val="center"/>
            </w:pPr>
            <w:r w:rsidRPr="00EC326F">
              <w:t>-0.3%</w:t>
            </w:r>
          </w:p>
        </w:tc>
        <w:tc>
          <w:tcPr>
            <w:tcW w:w="1247" w:type="dxa"/>
            <w:tcBorders>
              <w:top w:val="single" w:sz="4" w:space="0" w:color="E02628"/>
              <w:left w:val="single" w:sz="4" w:space="0" w:color="E0301E" w:themeColor="accent6"/>
              <w:bottom w:val="single" w:sz="4" w:space="0" w:color="E02628"/>
            </w:tcBorders>
            <w:shd w:val="clear" w:color="000000" w:fill="FFFFFF"/>
          </w:tcPr>
          <w:p w14:paraId="7AD08B27" w14:textId="4913A36C" w:rsidR="007F6B0F" w:rsidRPr="00EC326F" w:rsidRDefault="007F6B0F" w:rsidP="009648FA">
            <w:pPr>
              <w:pStyle w:val="TableTextSmall"/>
              <w:jc w:val="center"/>
            </w:pPr>
            <w:r w:rsidRPr="00EC326F">
              <w:t>-1</w:t>
            </w:r>
            <w:r w:rsidR="009648FA">
              <w:t>5.1</w:t>
            </w:r>
            <w:r w:rsidRPr="00EC326F">
              <w:t>%</w:t>
            </w:r>
          </w:p>
        </w:tc>
        <w:tc>
          <w:tcPr>
            <w:tcW w:w="1247" w:type="dxa"/>
            <w:tcBorders>
              <w:top w:val="single" w:sz="4" w:space="0" w:color="E02628"/>
              <w:bottom w:val="single" w:sz="4" w:space="0" w:color="E02628"/>
              <w:right w:val="nil"/>
            </w:tcBorders>
            <w:shd w:val="clear" w:color="000000" w:fill="FFFFFF"/>
          </w:tcPr>
          <w:p w14:paraId="2D775606" w14:textId="77777777" w:rsidR="007F6B0F" w:rsidRPr="00EC326F" w:rsidRDefault="007F6B0F" w:rsidP="007F6B0F">
            <w:pPr>
              <w:pStyle w:val="TableTextSmall"/>
              <w:jc w:val="center"/>
            </w:pPr>
            <w:r w:rsidRPr="00EC326F">
              <w:t>-37</w:t>
            </w:r>
          </w:p>
        </w:tc>
      </w:tr>
      <w:tr w:rsidR="007F6B0F" w:rsidRPr="00EC326F" w14:paraId="71419851"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6DF9B74D" w14:textId="77777777" w:rsidR="007F6B0F" w:rsidRPr="00EC326F" w:rsidRDefault="007F6B0F" w:rsidP="00A35222">
            <w:pPr>
              <w:pStyle w:val="TableTextSmall"/>
              <w:rPr>
                <w:snapToGrid/>
                <w:lang w:eastAsia="en-AU"/>
              </w:rPr>
            </w:pPr>
            <w:r w:rsidRPr="00EC326F">
              <w:rPr>
                <w:snapToGrid/>
                <w:lang w:eastAsia="en-AU"/>
              </w:rPr>
              <w:t>- 2 Working age</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1FF9EEB3" w14:textId="77777777" w:rsidR="007F6B0F" w:rsidRPr="00EC326F" w:rsidRDefault="007F6B0F" w:rsidP="007F6B0F">
            <w:pPr>
              <w:pStyle w:val="TableTextSmall"/>
              <w:jc w:val="center"/>
            </w:pPr>
            <w:r w:rsidRPr="00EC326F">
              <w:t>410</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524707E4" w14:textId="77777777" w:rsidR="007F6B0F" w:rsidRPr="00EC326F" w:rsidRDefault="007F6B0F" w:rsidP="007F6B0F">
            <w:pPr>
              <w:pStyle w:val="TableTextSmall"/>
              <w:jc w:val="center"/>
            </w:pPr>
            <w:r w:rsidRPr="00EC326F">
              <w:t>401</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0A069EE2" w14:textId="77777777" w:rsidR="007F6B0F" w:rsidRPr="00EC326F" w:rsidRDefault="007F6B0F" w:rsidP="007F6B0F">
            <w:pPr>
              <w:pStyle w:val="TableTextSmall"/>
              <w:jc w:val="center"/>
            </w:pPr>
            <w:r w:rsidRPr="00EC326F">
              <w:t>-10</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3B09EA8A" w14:textId="77777777" w:rsidR="007F6B0F" w:rsidRPr="00EC326F" w:rsidRDefault="007F6B0F" w:rsidP="007F6B0F">
            <w:pPr>
              <w:pStyle w:val="TableTextSmall"/>
              <w:jc w:val="center"/>
            </w:pPr>
            <w:r w:rsidRPr="00EC326F">
              <w:t>-2.4%</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067790F2" w14:textId="77777777" w:rsidR="007F6B0F" w:rsidRPr="00EC326F" w:rsidRDefault="007F6B0F" w:rsidP="007F6B0F">
            <w:pPr>
              <w:pStyle w:val="TableTextSmall"/>
              <w:jc w:val="center"/>
            </w:pPr>
            <w:r w:rsidRPr="00EC326F">
              <w:t>+1.2%</w:t>
            </w:r>
          </w:p>
        </w:tc>
        <w:tc>
          <w:tcPr>
            <w:tcW w:w="1247" w:type="dxa"/>
            <w:tcBorders>
              <w:top w:val="single" w:sz="4" w:space="0" w:color="E02628"/>
              <w:left w:val="single" w:sz="4" w:space="0" w:color="E0301E" w:themeColor="accent6"/>
              <w:bottom w:val="single" w:sz="4" w:space="0" w:color="E02628"/>
            </w:tcBorders>
            <w:shd w:val="clear" w:color="000000" w:fill="FFFFFF"/>
          </w:tcPr>
          <w:p w14:paraId="34003B1A" w14:textId="77777777" w:rsidR="007F6B0F" w:rsidRPr="00EC326F" w:rsidRDefault="007F6B0F" w:rsidP="007F6B0F">
            <w:pPr>
              <w:pStyle w:val="TableTextSmall"/>
              <w:jc w:val="center"/>
            </w:pPr>
            <w:r w:rsidRPr="00EC326F">
              <w:t>-3.5%</w:t>
            </w:r>
          </w:p>
        </w:tc>
        <w:tc>
          <w:tcPr>
            <w:tcW w:w="1247" w:type="dxa"/>
            <w:tcBorders>
              <w:top w:val="single" w:sz="4" w:space="0" w:color="E02628"/>
              <w:bottom w:val="single" w:sz="4" w:space="0" w:color="E02628"/>
              <w:right w:val="nil"/>
            </w:tcBorders>
            <w:shd w:val="clear" w:color="000000" w:fill="FFFFFF"/>
          </w:tcPr>
          <w:p w14:paraId="07E82E37" w14:textId="77777777" w:rsidR="007F6B0F" w:rsidRPr="00EC326F" w:rsidRDefault="007F6B0F" w:rsidP="007F6B0F">
            <w:pPr>
              <w:pStyle w:val="TableTextSmall"/>
              <w:jc w:val="center"/>
            </w:pPr>
            <w:r w:rsidRPr="00EC326F">
              <w:t>-11</w:t>
            </w:r>
          </w:p>
        </w:tc>
      </w:tr>
      <w:tr w:rsidR="007F6B0F" w:rsidRPr="00EC326F" w14:paraId="456D3BD5"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7C7D5F4C" w14:textId="77777777" w:rsidR="007F6B0F" w:rsidRPr="00EC326F" w:rsidRDefault="007F6B0F" w:rsidP="00A35222">
            <w:pPr>
              <w:pStyle w:val="TableTextSmall"/>
              <w:rPr>
                <w:snapToGrid/>
                <w:lang w:eastAsia="en-AU"/>
              </w:rPr>
            </w:pPr>
            <w:r w:rsidRPr="00EC326F">
              <w:rPr>
                <w:snapToGrid/>
                <w:lang w:eastAsia="en-AU"/>
              </w:rPr>
              <w:t>- 3 Parenting</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70BDDAD2" w14:textId="77777777" w:rsidR="007F6B0F" w:rsidRPr="00EC326F" w:rsidRDefault="007F6B0F" w:rsidP="007F6B0F">
            <w:pPr>
              <w:pStyle w:val="TableTextSmall"/>
              <w:jc w:val="center"/>
            </w:pPr>
            <w:r w:rsidRPr="00EC326F">
              <w:t>191</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3E80A000" w14:textId="77777777" w:rsidR="007F6B0F" w:rsidRPr="00EC326F" w:rsidRDefault="007F6B0F" w:rsidP="007F6B0F">
            <w:pPr>
              <w:pStyle w:val="TableTextSmall"/>
              <w:jc w:val="center"/>
            </w:pPr>
            <w:r w:rsidRPr="00EC326F">
              <w:t>207</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678707A0" w14:textId="77777777" w:rsidR="007F6B0F" w:rsidRPr="00EC326F" w:rsidRDefault="00E21757" w:rsidP="007F6B0F">
            <w:pPr>
              <w:pStyle w:val="TableTextSmall"/>
              <w:jc w:val="center"/>
            </w:pPr>
            <w:r w:rsidRPr="00EC326F">
              <w:t>+</w:t>
            </w:r>
            <w:r w:rsidR="007F6B0F" w:rsidRPr="00EC326F">
              <w:t>16</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423C66FB" w14:textId="11713151" w:rsidR="007F6B0F" w:rsidRPr="00EC326F" w:rsidRDefault="007F6B0F" w:rsidP="007F6B0F">
            <w:pPr>
              <w:pStyle w:val="TableTextSmall"/>
              <w:jc w:val="center"/>
            </w:pPr>
            <w:r w:rsidRPr="00EC326F">
              <w:t>8.</w:t>
            </w:r>
            <w:r w:rsidR="009648FA">
              <w:t>6</w:t>
            </w:r>
            <w:r w:rsidRPr="00EC326F">
              <w:t>%</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22478D91" w14:textId="77777777" w:rsidR="007F6B0F" w:rsidRPr="00EC326F" w:rsidRDefault="007F6B0F" w:rsidP="007F6B0F">
            <w:pPr>
              <w:pStyle w:val="TableTextSmall"/>
              <w:jc w:val="center"/>
            </w:pPr>
            <w:r w:rsidRPr="00EC326F">
              <w:t>+1.0%</w:t>
            </w:r>
          </w:p>
        </w:tc>
        <w:tc>
          <w:tcPr>
            <w:tcW w:w="1247" w:type="dxa"/>
            <w:tcBorders>
              <w:top w:val="single" w:sz="4" w:space="0" w:color="E02628"/>
              <w:left w:val="single" w:sz="4" w:space="0" w:color="E0301E" w:themeColor="accent6"/>
              <w:bottom w:val="single" w:sz="4" w:space="0" w:color="E02628"/>
            </w:tcBorders>
            <w:shd w:val="clear" w:color="000000" w:fill="FFFFFF"/>
          </w:tcPr>
          <w:p w14:paraId="2E0EBA1C" w14:textId="77777777" w:rsidR="007F6B0F" w:rsidRPr="00EC326F" w:rsidRDefault="007F6B0F" w:rsidP="007F6B0F">
            <w:pPr>
              <w:pStyle w:val="TableTextSmall"/>
              <w:jc w:val="center"/>
            </w:pPr>
            <w:r w:rsidRPr="00EC326F">
              <w:t>7.5%</w:t>
            </w:r>
          </w:p>
        </w:tc>
        <w:tc>
          <w:tcPr>
            <w:tcW w:w="1247" w:type="dxa"/>
            <w:tcBorders>
              <w:top w:val="single" w:sz="4" w:space="0" w:color="E02628"/>
              <w:bottom w:val="single" w:sz="4" w:space="0" w:color="E02628"/>
              <w:right w:val="nil"/>
            </w:tcBorders>
            <w:shd w:val="clear" w:color="000000" w:fill="FFFFFF"/>
          </w:tcPr>
          <w:p w14:paraId="06069420" w14:textId="77777777" w:rsidR="007F6B0F" w:rsidRPr="00EC326F" w:rsidRDefault="007F6B0F" w:rsidP="007F6B0F">
            <w:pPr>
              <w:pStyle w:val="TableTextSmall"/>
              <w:jc w:val="center"/>
            </w:pPr>
            <w:r w:rsidRPr="00EC326F">
              <w:t>+33</w:t>
            </w:r>
          </w:p>
        </w:tc>
      </w:tr>
      <w:tr w:rsidR="007F6B0F" w:rsidRPr="00EC326F" w14:paraId="5DA50E41"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0A9D3AAA" w14:textId="77777777" w:rsidR="007F6B0F" w:rsidRPr="00EC326F" w:rsidRDefault="007F6B0F" w:rsidP="00A35222">
            <w:pPr>
              <w:pStyle w:val="TableTextSmall"/>
              <w:rPr>
                <w:snapToGrid/>
                <w:lang w:eastAsia="en-AU"/>
              </w:rPr>
            </w:pPr>
            <w:r w:rsidRPr="00EC326F">
              <w:rPr>
                <w:snapToGrid/>
                <w:lang w:eastAsia="en-AU"/>
              </w:rPr>
              <w:t xml:space="preserve">- 4 </w:t>
            </w:r>
            <w:r w:rsidR="00A35222" w:rsidRPr="00EC326F">
              <w:rPr>
                <w:snapToGrid/>
                <w:lang w:eastAsia="en-AU"/>
              </w:rPr>
              <w:t>Carers</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4CE04EE5" w14:textId="77777777" w:rsidR="007F6B0F" w:rsidRPr="00EC326F" w:rsidRDefault="007F6B0F" w:rsidP="007F6B0F">
            <w:pPr>
              <w:pStyle w:val="TableTextSmall"/>
              <w:jc w:val="center"/>
            </w:pPr>
            <w:r w:rsidRPr="00EC326F">
              <w:t>109</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543F7770" w14:textId="77777777" w:rsidR="007F6B0F" w:rsidRPr="00EC326F" w:rsidRDefault="007F6B0F" w:rsidP="007F6B0F">
            <w:pPr>
              <w:pStyle w:val="TableTextSmall"/>
              <w:jc w:val="center"/>
            </w:pPr>
            <w:r w:rsidRPr="00EC326F">
              <w:t>119</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21D5F222" w14:textId="77777777" w:rsidR="007F6B0F" w:rsidRPr="00EC326F" w:rsidRDefault="00E21757" w:rsidP="007F6B0F">
            <w:pPr>
              <w:pStyle w:val="TableTextSmall"/>
              <w:jc w:val="center"/>
            </w:pPr>
            <w:r w:rsidRPr="00EC326F">
              <w:t>+</w:t>
            </w:r>
            <w:r w:rsidR="007F6B0F" w:rsidRPr="00EC326F">
              <w:t>10</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27B6D227" w14:textId="77777777" w:rsidR="007F6B0F" w:rsidRPr="00EC326F" w:rsidRDefault="007F6B0F" w:rsidP="007F6B0F">
            <w:pPr>
              <w:pStyle w:val="TableTextSmall"/>
              <w:jc w:val="center"/>
            </w:pPr>
            <w:r w:rsidRPr="00EC326F">
              <w:t>9.0%</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2BA8E6CE" w14:textId="77777777" w:rsidR="007F6B0F" w:rsidRPr="00EC326F" w:rsidRDefault="007F6B0F" w:rsidP="007F6B0F">
            <w:pPr>
              <w:pStyle w:val="TableTextSmall"/>
              <w:jc w:val="center"/>
            </w:pPr>
            <w:r w:rsidRPr="00EC326F">
              <w:t>+2.3%</w:t>
            </w:r>
          </w:p>
        </w:tc>
        <w:tc>
          <w:tcPr>
            <w:tcW w:w="1247" w:type="dxa"/>
            <w:tcBorders>
              <w:top w:val="single" w:sz="4" w:space="0" w:color="E02628"/>
              <w:left w:val="single" w:sz="4" w:space="0" w:color="E0301E" w:themeColor="accent6"/>
              <w:bottom w:val="single" w:sz="4" w:space="0" w:color="E02628"/>
            </w:tcBorders>
            <w:shd w:val="clear" w:color="000000" w:fill="FFFFFF"/>
          </w:tcPr>
          <w:p w14:paraId="09AB2F00" w14:textId="3E7DA40D" w:rsidR="007F6B0F" w:rsidRPr="00EC326F" w:rsidRDefault="007F6B0F" w:rsidP="007F6B0F">
            <w:pPr>
              <w:pStyle w:val="TableTextSmall"/>
              <w:jc w:val="center"/>
            </w:pPr>
            <w:r w:rsidRPr="00EC326F">
              <w:t>6.</w:t>
            </w:r>
            <w:r w:rsidR="009648FA">
              <w:t>5</w:t>
            </w:r>
            <w:r w:rsidRPr="00EC326F">
              <w:t>%</w:t>
            </w:r>
          </w:p>
        </w:tc>
        <w:tc>
          <w:tcPr>
            <w:tcW w:w="1247" w:type="dxa"/>
            <w:tcBorders>
              <w:top w:val="single" w:sz="4" w:space="0" w:color="E02628"/>
              <w:bottom w:val="single" w:sz="4" w:space="0" w:color="E02628"/>
              <w:right w:val="nil"/>
            </w:tcBorders>
            <w:shd w:val="clear" w:color="000000" w:fill="FFFFFF"/>
          </w:tcPr>
          <w:p w14:paraId="0736D564" w14:textId="77777777" w:rsidR="007F6B0F" w:rsidRPr="00EC326F" w:rsidRDefault="007F6B0F" w:rsidP="007F6B0F">
            <w:pPr>
              <w:pStyle w:val="TableTextSmall"/>
              <w:jc w:val="center"/>
            </w:pPr>
            <w:r w:rsidRPr="00EC326F">
              <w:t>+27</w:t>
            </w:r>
          </w:p>
        </w:tc>
      </w:tr>
      <w:tr w:rsidR="007F6B0F" w:rsidRPr="00EC326F" w14:paraId="57E070D7"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2020C4E8" w14:textId="77777777" w:rsidR="007F6B0F" w:rsidRPr="00EC326F" w:rsidRDefault="007F6B0F" w:rsidP="00A35222">
            <w:pPr>
              <w:pStyle w:val="TableTextSmall"/>
              <w:rPr>
                <w:snapToGrid/>
                <w:lang w:eastAsia="en-AU"/>
              </w:rPr>
            </w:pPr>
            <w:r w:rsidRPr="00EC326F">
              <w:rPr>
                <w:snapToGrid/>
                <w:lang w:eastAsia="en-AU"/>
              </w:rPr>
              <w:t xml:space="preserve">- 5 Disability </w:t>
            </w:r>
            <w:r w:rsidR="00A35222" w:rsidRPr="00EC326F">
              <w:rPr>
                <w:snapToGrid/>
                <w:lang w:eastAsia="en-AU"/>
              </w:rPr>
              <w:t>S</w:t>
            </w:r>
            <w:r w:rsidRPr="00EC326F">
              <w:rPr>
                <w:snapToGrid/>
                <w:lang w:eastAsia="en-AU"/>
              </w:rPr>
              <w:t>upport</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242EC456" w14:textId="77777777" w:rsidR="007F6B0F" w:rsidRPr="00EC326F" w:rsidRDefault="007F6B0F" w:rsidP="007F6B0F">
            <w:pPr>
              <w:pStyle w:val="TableTextSmall"/>
              <w:jc w:val="center"/>
            </w:pPr>
            <w:r w:rsidRPr="00EC326F">
              <w:t>338</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312ED8BB" w14:textId="77777777" w:rsidR="007F6B0F" w:rsidRPr="00EC326F" w:rsidRDefault="007F6B0F" w:rsidP="007F6B0F">
            <w:pPr>
              <w:pStyle w:val="TableTextSmall"/>
              <w:jc w:val="center"/>
            </w:pPr>
            <w:r w:rsidRPr="00EC326F">
              <w:t>352</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6D3D4E54" w14:textId="77777777" w:rsidR="007F6B0F" w:rsidRPr="00EC326F" w:rsidRDefault="00E21757" w:rsidP="007F6B0F">
            <w:pPr>
              <w:pStyle w:val="TableTextSmall"/>
              <w:jc w:val="center"/>
            </w:pPr>
            <w:r w:rsidRPr="00EC326F">
              <w:t>+</w:t>
            </w:r>
            <w:r w:rsidR="007F6B0F" w:rsidRPr="00EC326F">
              <w:t>14</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63F2E8E5" w14:textId="77777777" w:rsidR="007F6B0F" w:rsidRPr="00EC326F" w:rsidRDefault="007F6B0F" w:rsidP="007F6B0F">
            <w:pPr>
              <w:pStyle w:val="TableTextSmall"/>
              <w:jc w:val="center"/>
            </w:pPr>
            <w:r w:rsidRPr="00EC326F">
              <w:t>4.0%</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78DD871C" w14:textId="77777777" w:rsidR="007F6B0F" w:rsidRPr="00EC326F" w:rsidRDefault="007F6B0F" w:rsidP="007F6B0F">
            <w:pPr>
              <w:pStyle w:val="TableTextSmall"/>
              <w:jc w:val="center"/>
            </w:pPr>
            <w:r w:rsidRPr="00EC326F">
              <w:t>-3.8%</w:t>
            </w:r>
          </w:p>
        </w:tc>
        <w:tc>
          <w:tcPr>
            <w:tcW w:w="1247" w:type="dxa"/>
            <w:tcBorders>
              <w:top w:val="single" w:sz="4" w:space="0" w:color="E02628"/>
              <w:left w:val="single" w:sz="4" w:space="0" w:color="E0301E" w:themeColor="accent6"/>
              <w:bottom w:val="single" w:sz="4" w:space="0" w:color="E02628"/>
            </w:tcBorders>
            <w:shd w:val="clear" w:color="000000" w:fill="FFFFFF"/>
          </w:tcPr>
          <w:p w14:paraId="659528EB" w14:textId="77777777" w:rsidR="007F6B0F" w:rsidRPr="00EC326F" w:rsidRDefault="007F6B0F" w:rsidP="007F6B0F">
            <w:pPr>
              <w:pStyle w:val="TableTextSmall"/>
              <w:jc w:val="center"/>
            </w:pPr>
            <w:r w:rsidRPr="00EC326F">
              <w:t>8.1%</w:t>
            </w:r>
          </w:p>
        </w:tc>
        <w:tc>
          <w:tcPr>
            <w:tcW w:w="1247" w:type="dxa"/>
            <w:tcBorders>
              <w:top w:val="single" w:sz="4" w:space="0" w:color="E02628"/>
              <w:bottom w:val="single" w:sz="4" w:space="0" w:color="E02628"/>
              <w:right w:val="nil"/>
            </w:tcBorders>
            <w:shd w:val="clear" w:color="000000" w:fill="FFFFFF"/>
          </w:tcPr>
          <w:p w14:paraId="264FA101" w14:textId="77777777" w:rsidR="007F6B0F" w:rsidRPr="00EC326F" w:rsidRDefault="007F6B0F" w:rsidP="007F6B0F">
            <w:pPr>
              <w:pStyle w:val="TableTextSmall"/>
              <w:jc w:val="center"/>
            </w:pPr>
            <w:r w:rsidRPr="00EC326F">
              <w:t>+34</w:t>
            </w:r>
          </w:p>
        </w:tc>
      </w:tr>
      <w:tr w:rsidR="007F6B0F" w:rsidRPr="00EC326F" w14:paraId="6FAAA6E6"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5855BAE6" w14:textId="77777777" w:rsidR="007F6B0F" w:rsidRPr="00EC326F" w:rsidRDefault="007F6B0F" w:rsidP="00A35222">
            <w:pPr>
              <w:pStyle w:val="TableTextSmall"/>
              <w:rPr>
                <w:snapToGrid/>
                <w:lang w:eastAsia="en-AU"/>
              </w:rPr>
            </w:pPr>
            <w:r w:rsidRPr="00EC326F">
              <w:rPr>
                <w:snapToGrid/>
                <w:lang w:eastAsia="en-AU"/>
              </w:rPr>
              <w:t xml:space="preserve">- 6 </w:t>
            </w:r>
            <w:r w:rsidR="00A35222" w:rsidRPr="00EC326F">
              <w:rPr>
                <w:snapToGrid/>
                <w:lang w:eastAsia="en-AU"/>
              </w:rPr>
              <w:t xml:space="preserve">Pension </w:t>
            </w:r>
            <w:r w:rsidRPr="00EC326F">
              <w:rPr>
                <w:snapToGrid/>
                <w:lang w:eastAsia="en-AU"/>
              </w:rPr>
              <w:t>Age</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6BEFFEBD" w14:textId="77777777" w:rsidR="007F6B0F" w:rsidRPr="00EC326F" w:rsidRDefault="007F6B0F" w:rsidP="007F6B0F">
            <w:pPr>
              <w:pStyle w:val="TableTextSmall"/>
              <w:jc w:val="center"/>
            </w:pPr>
            <w:r w:rsidRPr="00EC326F">
              <w:t>507</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710C9C28" w14:textId="77777777" w:rsidR="007F6B0F" w:rsidRPr="00EC326F" w:rsidRDefault="007F6B0F" w:rsidP="007F6B0F">
            <w:pPr>
              <w:pStyle w:val="TableTextSmall"/>
              <w:jc w:val="center"/>
            </w:pPr>
            <w:r w:rsidRPr="00EC326F">
              <w:t>518</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0BCFA258" w14:textId="77777777" w:rsidR="007F6B0F" w:rsidRPr="00EC326F" w:rsidRDefault="00E21757" w:rsidP="007F6B0F">
            <w:pPr>
              <w:pStyle w:val="TableTextSmall"/>
              <w:jc w:val="center"/>
            </w:pPr>
            <w:r w:rsidRPr="00EC326F">
              <w:t>+</w:t>
            </w:r>
            <w:r w:rsidR="007F6B0F" w:rsidRPr="00EC326F">
              <w:t>11</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3793CE87" w14:textId="750B6654" w:rsidR="007F6B0F" w:rsidRPr="00EC326F" w:rsidRDefault="007F6B0F" w:rsidP="007F6B0F">
            <w:pPr>
              <w:pStyle w:val="TableTextSmall"/>
              <w:jc w:val="center"/>
            </w:pPr>
            <w:r w:rsidRPr="00EC326F">
              <w:t>2.</w:t>
            </w:r>
            <w:r w:rsidR="009648FA">
              <w:t>2</w:t>
            </w:r>
            <w:r w:rsidRPr="00EC326F">
              <w:t>%</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3C66F29A" w14:textId="77777777" w:rsidR="007F6B0F" w:rsidRPr="00EC326F" w:rsidRDefault="007F6B0F" w:rsidP="007F6B0F">
            <w:pPr>
              <w:pStyle w:val="TableTextSmall"/>
              <w:jc w:val="center"/>
            </w:pPr>
            <w:r w:rsidRPr="00EC326F">
              <w:t>+2.2%</w:t>
            </w:r>
          </w:p>
        </w:tc>
        <w:tc>
          <w:tcPr>
            <w:tcW w:w="1247" w:type="dxa"/>
            <w:tcBorders>
              <w:top w:val="single" w:sz="4" w:space="0" w:color="E02628"/>
              <w:left w:val="single" w:sz="4" w:space="0" w:color="E0301E" w:themeColor="accent6"/>
              <w:bottom w:val="single" w:sz="4" w:space="0" w:color="E02628"/>
            </w:tcBorders>
            <w:shd w:val="clear" w:color="000000" w:fill="FFFFFF"/>
          </w:tcPr>
          <w:p w14:paraId="5475C474" w14:textId="51619C07" w:rsidR="007F6B0F" w:rsidRPr="00EC326F" w:rsidRDefault="009648FA" w:rsidP="007F6B0F">
            <w:pPr>
              <w:pStyle w:val="TableTextSmall"/>
              <w:jc w:val="center"/>
            </w:pPr>
            <w:r>
              <w:t>0.0</w:t>
            </w:r>
            <w:r w:rsidR="007F6B0F" w:rsidRPr="00EC326F">
              <w:t>%</w:t>
            </w:r>
          </w:p>
        </w:tc>
        <w:tc>
          <w:tcPr>
            <w:tcW w:w="1247" w:type="dxa"/>
            <w:tcBorders>
              <w:top w:val="single" w:sz="4" w:space="0" w:color="E02628"/>
              <w:bottom w:val="single" w:sz="4" w:space="0" w:color="E02628"/>
              <w:right w:val="nil"/>
            </w:tcBorders>
            <w:shd w:val="clear" w:color="000000" w:fill="FFFFFF"/>
          </w:tcPr>
          <w:p w14:paraId="44FE6D0F" w14:textId="77777777" w:rsidR="007F6B0F" w:rsidRPr="00EC326F" w:rsidRDefault="007F6B0F" w:rsidP="007F6B0F">
            <w:pPr>
              <w:pStyle w:val="TableTextSmall"/>
              <w:jc w:val="center"/>
            </w:pPr>
            <w:r w:rsidRPr="009648FA">
              <w:rPr>
                <w:color w:val="808080"/>
              </w:rPr>
              <w:t>&lt; 1</w:t>
            </w:r>
          </w:p>
        </w:tc>
      </w:tr>
      <w:tr w:rsidR="007F6B0F" w:rsidRPr="00EC326F" w14:paraId="3B7C41A7"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00D1A637" w14:textId="77777777" w:rsidR="007F6B0F" w:rsidRPr="00EC326F" w:rsidRDefault="007F6B0F" w:rsidP="00A35222">
            <w:pPr>
              <w:pStyle w:val="TableTextSmall"/>
              <w:rPr>
                <w:snapToGrid/>
                <w:lang w:eastAsia="en-AU"/>
              </w:rPr>
            </w:pPr>
            <w:r w:rsidRPr="00EC326F">
              <w:rPr>
                <w:snapToGrid/>
                <w:lang w:eastAsia="en-AU"/>
              </w:rPr>
              <w:t xml:space="preserve">- 7 </w:t>
            </w:r>
            <w:r w:rsidR="00A35222" w:rsidRPr="00EC326F">
              <w:rPr>
                <w:snapToGrid/>
                <w:lang w:eastAsia="en-AU"/>
              </w:rPr>
              <w:t>N</w:t>
            </w:r>
            <w:r w:rsidRPr="00EC326F">
              <w:rPr>
                <w:snapToGrid/>
                <w:lang w:eastAsia="en-AU"/>
              </w:rPr>
              <w:t xml:space="preserve">on IS </w:t>
            </w:r>
            <w:r w:rsidR="00A35222" w:rsidRPr="00EC326F">
              <w:rPr>
                <w:snapToGrid/>
                <w:lang w:eastAsia="en-AU"/>
              </w:rPr>
              <w:t>Family</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05E24BC0" w14:textId="77777777" w:rsidR="007F6B0F" w:rsidRPr="00EC326F" w:rsidRDefault="007F6B0F" w:rsidP="007F6B0F">
            <w:pPr>
              <w:pStyle w:val="TableTextSmall"/>
              <w:jc w:val="center"/>
            </w:pPr>
            <w:r w:rsidRPr="00EC326F">
              <w:t>342</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5580A7F7" w14:textId="77777777" w:rsidR="007F6B0F" w:rsidRPr="00EC326F" w:rsidRDefault="007F6B0F" w:rsidP="007F6B0F">
            <w:pPr>
              <w:pStyle w:val="TableTextSmall"/>
              <w:jc w:val="center"/>
            </w:pPr>
            <w:r w:rsidRPr="00EC326F">
              <w:t>301</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43B8A24E" w14:textId="77777777" w:rsidR="007F6B0F" w:rsidRPr="00EC326F" w:rsidRDefault="007F6B0F" w:rsidP="007F6B0F">
            <w:pPr>
              <w:pStyle w:val="TableTextSmall"/>
              <w:jc w:val="center"/>
            </w:pPr>
            <w:r w:rsidRPr="00EC326F">
              <w:t>-41</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1D375052" w14:textId="28AB8798" w:rsidR="007F6B0F" w:rsidRPr="00EC326F" w:rsidRDefault="007F6B0F" w:rsidP="009648FA">
            <w:pPr>
              <w:pStyle w:val="TableTextSmall"/>
              <w:jc w:val="center"/>
            </w:pPr>
            <w:r w:rsidRPr="00EC326F">
              <w:t>-1</w:t>
            </w:r>
            <w:r w:rsidR="009648FA">
              <w:t>1.9</w:t>
            </w:r>
            <w:r w:rsidRPr="00EC326F">
              <w:t>%</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6E11264A" w14:textId="77777777" w:rsidR="007F6B0F" w:rsidRPr="00EC326F" w:rsidRDefault="007F6B0F" w:rsidP="007F6B0F">
            <w:pPr>
              <w:pStyle w:val="TableTextSmall"/>
              <w:jc w:val="center"/>
            </w:pPr>
            <w:r w:rsidRPr="00EC326F">
              <w:t>+0.5%</w:t>
            </w:r>
          </w:p>
        </w:tc>
        <w:tc>
          <w:tcPr>
            <w:tcW w:w="1247" w:type="dxa"/>
            <w:tcBorders>
              <w:top w:val="single" w:sz="4" w:space="0" w:color="E02628"/>
              <w:left w:val="single" w:sz="4" w:space="0" w:color="E0301E" w:themeColor="accent6"/>
              <w:bottom w:val="single" w:sz="4" w:space="0" w:color="E02628"/>
            </w:tcBorders>
            <w:shd w:val="clear" w:color="000000" w:fill="FFFFFF"/>
          </w:tcPr>
          <w:p w14:paraId="22F6D02F" w14:textId="577D9DE5" w:rsidR="007F6B0F" w:rsidRPr="00EC326F" w:rsidRDefault="007F6B0F" w:rsidP="009648FA">
            <w:pPr>
              <w:pStyle w:val="TableTextSmall"/>
              <w:jc w:val="center"/>
            </w:pPr>
            <w:r w:rsidRPr="00EC326F">
              <w:t>-12.</w:t>
            </w:r>
            <w:r w:rsidR="009648FA">
              <w:t>3</w:t>
            </w:r>
            <w:r w:rsidRPr="00EC326F">
              <w:t>%</w:t>
            </w:r>
          </w:p>
        </w:tc>
        <w:tc>
          <w:tcPr>
            <w:tcW w:w="1247" w:type="dxa"/>
            <w:tcBorders>
              <w:top w:val="single" w:sz="4" w:space="0" w:color="E02628"/>
              <w:bottom w:val="single" w:sz="4" w:space="0" w:color="E02628"/>
              <w:right w:val="nil"/>
            </w:tcBorders>
            <w:shd w:val="clear" w:color="000000" w:fill="FFFFFF"/>
          </w:tcPr>
          <w:p w14:paraId="719D52BE" w14:textId="77777777" w:rsidR="007F6B0F" w:rsidRPr="00EC326F" w:rsidRDefault="007F6B0F" w:rsidP="007F6B0F">
            <w:pPr>
              <w:pStyle w:val="TableTextSmall"/>
              <w:jc w:val="center"/>
            </w:pPr>
            <w:r w:rsidRPr="00EC326F">
              <w:t>-27</w:t>
            </w:r>
          </w:p>
        </w:tc>
      </w:tr>
      <w:tr w:rsidR="007F6B0F" w:rsidRPr="00EC326F" w14:paraId="7A659D9B"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28EF7C9C" w14:textId="77777777" w:rsidR="007F6B0F" w:rsidRPr="00EC326F" w:rsidRDefault="007F6B0F" w:rsidP="00A35222">
            <w:pPr>
              <w:pStyle w:val="TableTextSmall"/>
              <w:rPr>
                <w:snapToGrid/>
                <w:lang w:eastAsia="en-AU"/>
              </w:rPr>
            </w:pPr>
            <w:r w:rsidRPr="00EC326F">
              <w:rPr>
                <w:snapToGrid/>
                <w:lang w:eastAsia="en-AU"/>
              </w:rPr>
              <w:t xml:space="preserve">- 8 </w:t>
            </w:r>
            <w:r w:rsidR="00A35222" w:rsidRPr="00EC326F">
              <w:rPr>
                <w:snapToGrid/>
                <w:lang w:eastAsia="en-AU"/>
              </w:rPr>
              <w:t xml:space="preserve">Non IS </w:t>
            </w:r>
            <w:r w:rsidRPr="00EC326F">
              <w:rPr>
                <w:snapToGrid/>
                <w:lang w:eastAsia="en-AU"/>
              </w:rPr>
              <w:t>Carer</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068C3774" w14:textId="77777777" w:rsidR="007F6B0F" w:rsidRPr="00EC326F" w:rsidRDefault="007F6B0F" w:rsidP="007F6B0F">
            <w:pPr>
              <w:pStyle w:val="TableTextSmall"/>
              <w:jc w:val="center"/>
            </w:pPr>
            <w:r w:rsidRPr="00EC326F">
              <w:t>42</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4C381B41" w14:textId="77777777" w:rsidR="007F6B0F" w:rsidRPr="00EC326F" w:rsidRDefault="007F6B0F" w:rsidP="007F6B0F">
            <w:pPr>
              <w:pStyle w:val="TableTextSmall"/>
              <w:jc w:val="center"/>
            </w:pPr>
            <w:r w:rsidRPr="00EC326F">
              <w:t>41</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1F7A7CB5" w14:textId="77777777" w:rsidR="007F6B0F" w:rsidRPr="00EC326F" w:rsidRDefault="007F6B0F" w:rsidP="007F6B0F">
            <w:pPr>
              <w:pStyle w:val="TableTextSmall"/>
              <w:jc w:val="center"/>
            </w:pPr>
            <w:r w:rsidRPr="00EC326F">
              <w:t>-1</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390EFB67" w14:textId="091F4591" w:rsidR="007F6B0F" w:rsidRPr="00EC326F" w:rsidRDefault="007F6B0F" w:rsidP="007F6B0F">
            <w:pPr>
              <w:pStyle w:val="TableTextSmall"/>
              <w:jc w:val="center"/>
            </w:pPr>
            <w:r w:rsidRPr="00EC326F">
              <w:t>-2.</w:t>
            </w:r>
            <w:r w:rsidR="009648FA">
              <w:t>3</w:t>
            </w:r>
            <w:r w:rsidRPr="00EC326F">
              <w:t>%</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0ECF7B7B" w14:textId="77777777" w:rsidR="007F6B0F" w:rsidRPr="00EC326F" w:rsidRDefault="007F6B0F" w:rsidP="007F6B0F">
            <w:pPr>
              <w:pStyle w:val="TableTextSmall"/>
              <w:jc w:val="center"/>
            </w:pPr>
            <w:r w:rsidRPr="00EC326F">
              <w:t>+0.8%</w:t>
            </w:r>
          </w:p>
        </w:tc>
        <w:tc>
          <w:tcPr>
            <w:tcW w:w="1247" w:type="dxa"/>
            <w:tcBorders>
              <w:top w:val="single" w:sz="4" w:space="0" w:color="E02628"/>
              <w:left w:val="single" w:sz="4" w:space="0" w:color="E0301E" w:themeColor="accent6"/>
              <w:bottom w:val="single" w:sz="4" w:space="0" w:color="E02628"/>
            </w:tcBorders>
            <w:shd w:val="clear" w:color="000000" w:fill="FFFFFF"/>
          </w:tcPr>
          <w:p w14:paraId="48C0E816" w14:textId="0FBC8A52" w:rsidR="007F6B0F" w:rsidRPr="00EC326F" w:rsidRDefault="007F6B0F" w:rsidP="007F6B0F">
            <w:pPr>
              <w:pStyle w:val="TableTextSmall"/>
              <w:jc w:val="center"/>
            </w:pPr>
            <w:r w:rsidRPr="00EC326F">
              <w:t>-3.</w:t>
            </w:r>
            <w:r w:rsidR="009648FA">
              <w:t>1</w:t>
            </w:r>
            <w:r w:rsidRPr="00EC326F">
              <w:t>%</w:t>
            </w:r>
          </w:p>
        </w:tc>
        <w:tc>
          <w:tcPr>
            <w:tcW w:w="1247" w:type="dxa"/>
            <w:tcBorders>
              <w:top w:val="single" w:sz="4" w:space="0" w:color="E02628"/>
              <w:bottom w:val="single" w:sz="4" w:space="0" w:color="E02628"/>
              <w:right w:val="nil"/>
            </w:tcBorders>
            <w:shd w:val="clear" w:color="000000" w:fill="FFFFFF"/>
          </w:tcPr>
          <w:p w14:paraId="2B947BFF" w14:textId="77777777" w:rsidR="007F6B0F" w:rsidRPr="00EC326F" w:rsidRDefault="007F6B0F" w:rsidP="007F6B0F">
            <w:pPr>
              <w:pStyle w:val="TableTextSmall"/>
              <w:jc w:val="center"/>
            </w:pPr>
            <w:r w:rsidRPr="00EC326F">
              <w:t>-7</w:t>
            </w:r>
          </w:p>
        </w:tc>
      </w:tr>
      <w:tr w:rsidR="007F6B0F" w:rsidRPr="00EC326F" w14:paraId="27E66D94"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275C3773" w14:textId="77777777" w:rsidR="007F6B0F" w:rsidRPr="00EC326F" w:rsidRDefault="007F6B0F" w:rsidP="00A35222">
            <w:pPr>
              <w:pStyle w:val="TableTextSmall"/>
              <w:rPr>
                <w:snapToGrid/>
                <w:lang w:eastAsia="en-AU"/>
              </w:rPr>
            </w:pPr>
            <w:r w:rsidRPr="00EC326F">
              <w:rPr>
                <w:snapToGrid/>
                <w:lang w:eastAsia="en-AU"/>
              </w:rPr>
              <w:t xml:space="preserve">- 9 </w:t>
            </w:r>
            <w:r w:rsidR="00A35222" w:rsidRPr="00EC326F">
              <w:rPr>
                <w:snapToGrid/>
                <w:lang w:eastAsia="en-AU"/>
              </w:rPr>
              <w:t xml:space="preserve">Non </w:t>
            </w:r>
            <w:r w:rsidRPr="00EC326F">
              <w:rPr>
                <w:snapToGrid/>
                <w:lang w:eastAsia="en-AU"/>
              </w:rPr>
              <w:t xml:space="preserve">IS </w:t>
            </w:r>
            <w:r w:rsidR="00A35222" w:rsidRPr="00EC326F">
              <w:rPr>
                <w:snapToGrid/>
                <w:lang w:eastAsia="en-AU"/>
              </w:rPr>
              <w:t>Other</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17C7FF3C" w14:textId="77777777" w:rsidR="007F6B0F" w:rsidRPr="00EC326F" w:rsidRDefault="007F6B0F" w:rsidP="007F6B0F">
            <w:pPr>
              <w:pStyle w:val="TableTextSmall"/>
              <w:jc w:val="center"/>
            </w:pPr>
            <w:r w:rsidRPr="00EC326F">
              <w:t>87</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6E976D12" w14:textId="77777777" w:rsidR="007F6B0F" w:rsidRPr="00EC326F" w:rsidRDefault="007F6B0F" w:rsidP="007F6B0F">
            <w:pPr>
              <w:pStyle w:val="TableTextSmall"/>
              <w:jc w:val="center"/>
            </w:pPr>
            <w:r w:rsidRPr="00EC326F">
              <w:t>74</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4240484B" w14:textId="77777777" w:rsidR="007F6B0F" w:rsidRPr="00EC326F" w:rsidRDefault="007F6B0F" w:rsidP="007F6B0F">
            <w:pPr>
              <w:pStyle w:val="TableTextSmall"/>
              <w:jc w:val="center"/>
            </w:pPr>
            <w:r w:rsidRPr="00EC326F">
              <w:t>-13</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37224FB8" w14:textId="4F131992" w:rsidR="007F6B0F" w:rsidRPr="00EC326F" w:rsidRDefault="007F6B0F" w:rsidP="009648FA">
            <w:pPr>
              <w:pStyle w:val="TableTextSmall"/>
              <w:jc w:val="center"/>
            </w:pPr>
            <w:r w:rsidRPr="00EC326F">
              <w:t>-14.</w:t>
            </w:r>
            <w:r w:rsidR="009648FA">
              <w:t>8</w:t>
            </w:r>
            <w:r w:rsidRPr="00EC326F">
              <w:t>%</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3A5923F4" w14:textId="77777777" w:rsidR="007F6B0F" w:rsidRPr="00EC326F" w:rsidRDefault="007F6B0F" w:rsidP="007F6B0F">
            <w:pPr>
              <w:pStyle w:val="TableTextSmall"/>
              <w:jc w:val="center"/>
            </w:pPr>
            <w:r w:rsidRPr="00EC326F">
              <w:t>-3.2%</w:t>
            </w:r>
          </w:p>
        </w:tc>
        <w:tc>
          <w:tcPr>
            <w:tcW w:w="1247" w:type="dxa"/>
            <w:tcBorders>
              <w:top w:val="single" w:sz="4" w:space="0" w:color="E02628"/>
              <w:left w:val="single" w:sz="4" w:space="0" w:color="E0301E" w:themeColor="accent6"/>
              <w:bottom w:val="single" w:sz="4" w:space="0" w:color="E02628"/>
            </w:tcBorders>
            <w:shd w:val="clear" w:color="000000" w:fill="FFFFFF"/>
          </w:tcPr>
          <w:p w14:paraId="08C526E1" w14:textId="2AC8CF35" w:rsidR="007F6B0F" w:rsidRPr="00EC326F" w:rsidRDefault="007F6B0F" w:rsidP="007F6B0F">
            <w:pPr>
              <w:pStyle w:val="TableTextSmall"/>
              <w:jc w:val="center"/>
            </w:pPr>
            <w:r w:rsidRPr="00EC326F">
              <w:t>-12.</w:t>
            </w:r>
            <w:r w:rsidR="009648FA">
              <w:t>0</w:t>
            </w:r>
            <w:r w:rsidRPr="00EC326F">
              <w:t>%</w:t>
            </w:r>
          </w:p>
        </w:tc>
        <w:tc>
          <w:tcPr>
            <w:tcW w:w="1247" w:type="dxa"/>
            <w:tcBorders>
              <w:top w:val="single" w:sz="4" w:space="0" w:color="E02628"/>
              <w:bottom w:val="single" w:sz="4" w:space="0" w:color="E02628"/>
              <w:right w:val="nil"/>
            </w:tcBorders>
            <w:shd w:val="clear" w:color="000000" w:fill="FFFFFF"/>
          </w:tcPr>
          <w:p w14:paraId="0E71340C" w14:textId="77777777" w:rsidR="007F6B0F" w:rsidRPr="00EC326F" w:rsidRDefault="007F6B0F" w:rsidP="007F6B0F">
            <w:pPr>
              <w:pStyle w:val="TableTextSmall"/>
              <w:jc w:val="center"/>
            </w:pPr>
            <w:r w:rsidRPr="00EC326F">
              <w:t>-19</w:t>
            </w:r>
          </w:p>
        </w:tc>
      </w:tr>
      <w:tr w:rsidR="007F6B0F" w:rsidRPr="00EC326F" w14:paraId="7A46E9AC"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4E06899A" w14:textId="77777777" w:rsidR="007F6B0F" w:rsidRPr="00EC326F" w:rsidRDefault="007F6B0F" w:rsidP="007F6B0F">
            <w:pPr>
              <w:pStyle w:val="TableTextSmall"/>
              <w:rPr>
                <w:i/>
                <w:snapToGrid/>
                <w:lang w:eastAsia="en-AU"/>
              </w:rPr>
            </w:pPr>
            <w:r w:rsidRPr="00EC326F">
              <w:rPr>
                <w:i/>
                <w:snapToGrid/>
                <w:lang w:eastAsia="en-AU"/>
              </w:rPr>
              <w:t>Total current welfare recipients</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6BD9B3AE" w14:textId="77777777" w:rsidR="007F6B0F" w:rsidRPr="00EC326F" w:rsidRDefault="007F6B0F" w:rsidP="007F6B0F">
            <w:pPr>
              <w:pStyle w:val="TableTextSmall"/>
              <w:jc w:val="center"/>
              <w:rPr>
                <w:i/>
              </w:rPr>
            </w:pPr>
            <w:r w:rsidRPr="00EC326F">
              <w:rPr>
                <w:i/>
              </w:rPr>
              <w:t>2,123</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19CF1924" w14:textId="74C1DD92" w:rsidR="007F6B0F" w:rsidRPr="00EC326F" w:rsidRDefault="007F6B0F" w:rsidP="002E5940">
            <w:pPr>
              <w:pStyle w:val="TableTextSmall"/>
              <w:jc w:val="center"/>
              <w:rPr>
                <w:i/>
              </w:rPr>
            </w:pPr>
            <w:r w:rsidRPr="00EC326F">
              <w:rPr>
                <w:i/>
              </w:rPr>
              <w:t>2,09</w:t>
            </w:r>
            <w:r w:rsidR="002E5940">
              <w:rPr>
                <w:i/>
              </w:rPr>
              <w:t>5</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39044887" w14:textId="4C5E2885" w:rsidR="007F6B0F" w:rsidRPr="00EC326F" w:rsidRDefault="007F6B0F" w:rsidP="009648FA">
            <w:pPr>
              <w:pStyle w:val="TableTextSmall"/>
              <w:jc w:val="center"/>
              <w:rPr>
                <w:i/>
              </w:rPr>
            </w:pPr>
            <w:r w:rsidRPr="00EC326F">
              <w:rPr>
                <w:i/>
              </w:rPr>
              <w:t>-2</w:t>
            </w:r>
            <w:r w:rsidR="009648FA">
              <w:rPr>
                <w:i/>
              </w:rPr>
              <w:t>8</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745F43B3" w14:textId="5345412B" w:rsidR="007F6B0F" w:rsidRPr="00EC326F" w:rsidRDefault="007F6B0F" w:rsidP="009648FA">
            <w:pPr>
              <w:pStyle w:val="TableTextSmall"/>
              <w:jc w:val="center"/>
              <w:rPr>
                <w:i/>
              </w:rPr>
            </w:pPr>
            <w:r w:rsidRPr="00EC326F">
              <w:rPr>
                <w:i/>
              </w:rPr>
              <w:t>-1.</w:t>
            </w:r>
            <w:r w:rsidR="009648FA">
              <w:rPr>
                <w:i/>
              </w:rPr>
              <w:t>3</w:t>
            </w:r>
            <w:r w:rsidRPr="00EC326F">
              <w:rPr>
                <w:i/>
              </w:rPr>
              <w:t>%</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05B51002" w14:textId="77777777" w:rsidR="007F6B0F" w:rsidRPr="00EC326F" w:rsidRDefault="007F6B0F" w:rsidP="007F6B0F">
            <w:pPr>
              <w:pStyle w:val="TableTextSmall"/>
              <w:jc w:val="center"/>
              <w:rPr>
                <w:i/>
              </w:rPr>
            </w:pPr>
            <w:r w:rsidRPr="00EC326F">
              <w:rPr>
                <w:i/>
              </w:rPr>
              <w:t>+0.5%</w:t>
            </w:r>
          </w:p>
        </w:tc>
        <w:tc>
          <w:tcPr>
            <w:tcW w:w="1247" w:type="dxa"/>
            <w:tcBorders>
              <w:top w:val="single" w:sz="4" w:space="0" w:color="E02628"/>
              <w:left w:val="single" w:sz="4" w:space="0" w:color="E0301E" w:themeColor="accent6"/>
              <w:bottom w:val="single" w:sz="4" w:space="0" w:color="E02628"/>
            </w:tcBorders>
            <w:shd w:val="clear" w:color="000000" w:fill="FFFFFF"/>
          </w:tcPr>
          <w:p w14:paraId="0E33D873" w14:textId="22E1FA12" w:rsidR="007F6B0F" w:rsidRPr="00EC326F" w:rsidRDefault="007F6B0F" w:rsidP="009648FA">
            <w:pPr>
              <w:pStyle w:val="TableTextSmall"/>
              <w:jc w:val="center"/>
              <w:rPr>
                <w:i/>
              </w:rPr>
            </w:pPr>
            <w:r w:rsidRPr="00EC326F">
              <w:rPr>
                <w:i/>
              </w:rPr>
              <w:t>-1.</w:t>
            </w:r>
            <w:r w:rsidR="009648FA">
              <w:rPr>
                <w:i/>
              </w:rPr>
              <w:t>8</w:t>
            </w:r>
            <w:r w:rsidRPr="00EC326F">
              <w:rPr>
                <w:i/>
              </w:rPr>
              <w:t>%</w:t>
            </w:r>
          </w:p>
        </w:tc>
        <w:tc>
          <w:tcPr>
            <w:tcW w:w="1247" w:type="dxa"/>
            <w:tcBorders>
              <w:top w:val="single" w:sz="4" w:space="0" w:color="E02628"/>
              <w:bottom w:val="single" w:sz="4" w:space="0" w:color="E02628"/>
              <w:right w:val="nil"/>
            </w:tcBorders>
            <w:shd w:val="clear" w:color="000000" w:fill="FFFFFF"/>
          </w:tcPr>
          <w:p w14:paraId="76035E55" w14:textId="77777777" w:rsidR="007F6B0F" w:rsidRPr="00EC326F" w:rsidRDefault="007F6B0F" w:rsidP="000A3D3E">
            <w:pPr>
              <w:pStyle w:val="TableTextSmall"/>
              <w:jc w:val="center"/>
              <w:rPr>
                <w:i/>
              </w:rPr>
            </w:pPr>
            <w:r w:rsidRPr="00EC326F">
              <w:rPr>
                <w:i/>
              </w:rPr>
              <w:t>-</w:t>
            </w:r>
            <w:r w:rsidR="000A3D3E">
              <w:rPr>
                <w:i/>
              </w:rPr>
              <w:t>5</w:t>
            </w:r>
          </w:p>
        </w:tc>
      </w:tr>
      <w:tr w:rsidR="007F6B0F" w:rsidRPr="00EC326F" w14:paraId="7FFE104C"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E02628"/>
            <w:noWrap/>
            <w:vAlign w:val="center"/>
            <w:hideMark/>
          </w:tcPr>
          <w:p w14:paraId="0D7F6300" w14:textId="77777777" w:rsidR="007F6B0F" w:rsidRPr="00EC326F" w:rsidRDefault="007F6B0F" w:rsidP="007F6B0F">
            <w:pPr>
              <w:pStyle w:val="TableColumnHeadingSmall"/>
              <w:rPr>
                <w:snapToGrid/>
                <w:lang w:eastAsia="en-AU"/>
              </w:rPr>
            </w:pPr>
            <w:r w:rsidRPr="00EC326F">
              <w:rPr>
                <w:snapToGrid/>
                <w:lang w:eastAsia="en-AU"/>
              </w:rPr>
              <w:t>Non welfare recipients</w:t>
            </w:r>
          </w:p>
        </w:tc>
        <w:tc>
          <w:tcPr>
            <w:tcW w:w="964" w:type="dxa"/>
            <w:tcBorders>
              <w:top w:val="single" w:sz="4" w:space="0" w:color="E02628"/>
              <w:left w:val="single" w:sz="4" w:space="0" w:color="E0301E" w:themeColor="accent6"/>
              <w:bottom w:val="single" w:sz="4" w:space="0" w:color="E02628"/>
              <w:right w:val="nil"/>
            </w:tcBorders>
            <w:shd w:val="clear" w:color="auto" w:fill="E02628"/>
          </w:tcPr>
          <w:p w14:paraId="6B059FAF" w14:textId="77777777" w:rsidR="007F6B0F" w:rsidRPr="00EC326F" w:rsidRDefault="007F6B0F" w:rsidP="007F6B0F">
            <w:pPr>
              <w:pStyle w:val="TableColumnHeadingSmall"/>
              <w:jc w:val="center"/>
            </w:pPr>
          </w:p>
        </w:tc>
        <w:tc>
          <w:tcPr>
            <w:tcW w:w="964" w:type="dxa"/>
            <w:tcBorders>
              <w:top w:val="single" w:sz="4" w:space="0" w:color="E02628"/>
              <w:left w:val="nil"/>
              <w:bottom w:val="single" w:sz="4" w:space="0" w:color="E02628"/>
              <w:right w:val="single" w:sz="4" w:space="0" w:color="E0301E" w:themeColor="accent6"/>
            </w:tcBorders>
            <w:shd w:val="clear" w:color="auto" w:fill="E02628"/>
          </w:tcPr>
          <w:p w14:paraId="51CBEE9D" w14:textId="77777777" w:rsidR="007F6B0F" w:rsidRPr="00EC326F" w:rsidRDefault="007F6B0F" w:rsidP="007F6B0F">
            <w:pPr>
              <w:pStyle w:val="TableColumnHeadingSmall"/>
              <w:jc w:val="center"/>
            </w:pPr>
          </w:p>
        </w:tc>
        <w:tc>
          <w:tcPr>
            <w:tcW w:w="907" w:type="dxa"/>
            <w:tcBorders>
              <w:top w:val="single" w:sz="4" w:space="0" w:color="E02628"/>
              <w:left w:val="single" w:sz="4" w:space="0" w:color="E0301E" w:themeColor="accent6"/>
              <w:bottom w:val="single" w:sz="4" w:space="0" w:color="E02628"/>
            </w:tcBorders>
            <w:shd w:val="clear" w:color="auto" w:fill="E02628"/>
            <w:noWrap/>
          </w:tcPr>
          <w:p w14:paraId="178DE88F" w14:textId="77777777" w:rsidR="007F6B0F" w:rsidRPr="00EC326F" w:rsidRDefault="007F6B0F" w:rsidP="007F6B0F">
            <w:pPr>
              <w:pStyle w:val="TableColumnHeadingSmall"/>
              <w:jc w:val="center"/>
            </w:pPr>
          </w:p>
        </w:tc>
        <w:tc>
          <w:tcPr>
            <w:tcW w:w="1020" w:type="dxa"/>
            <w:tcBorders>
              <w:top w:val="single" w:sz="4" w:space="0" w:color="E02628"/>
              <w:bottom w:val="single" w:sz="4" w:space="0" w:color="E02628"/>
              <w:right w:val="single" w:sz="4" w:space="0" w:color="E0301E" w:themeColor="accent6"/>
            </w:tcBorders>
            <w:shd w:val="clear" w:color="auto" w:fill="E02628"/>
            <w:noWrap/>
          </w:tcPr>
          <w:p w14:paraId="3A1F8287" w14:textId="77777777" w:rsidR="007F6B0F" w:rsidRPr="00EC326F" w:rsidRDefault="007F6B0F" w:rsidP="007F6B0F">
            <w:pPr>
              <w:pStyle w:val="TableColumnHeadingSmall"/>
              <w:jc w:val="center"/>
            </w:pP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E02628"/>
            <w:noWrap/>
          </w:tcPr>
          <w:p w14:paraId="65DF40F1" w14:textId="77777777" w:rsidR="007F6B0F" w:rsidRPr="00EC326F" w:rsidRDefault="007F6B0F" w:rsidP="007F6B0F">
            <w:pPr>
              <w:pStyle w:val="TableColumnHeadingSmall"/>
              <w:jc w:val="center"/>
            </w:pPr>
          </w:p>
        </w:tc>
        <w:tc>
          <w:tcPr>
            <w:tcW w:w="1247" w:type="dxa"/>
            <w:tcBorders>
              <w:top w:val="single" w:sz="4" w:space="0" w:color="E02628"/>
              <w:left w:val="single" w:sz="4" w:space="0" w:color="E0301E" w:themeColor="accent6"/>
              <w:bottom w:val="single" w:sz="4" w:space="0" w:color="E02628"/>
            </w:tcBorders>
            <w:shd w:val="clear" w:color="auto" w:fill="E02628"/>
          </w:tcPr>
          <w:p w14:paraId="40CB5DD4" w14:textId="77777777" w:rsidR="007F6B0F" w:rsidRPr="00EC326F" w:rsidRDefault="007F6B0F" w:rsidP="007F6B0F">
            <w:pPr>
              <w:pStyle w:val="TableColumnHeadingSmall"/>
              <w:jc w:val="center"/>
            </w:pPr>
          </w:p>
        </w:tc>
        <w:tc>
          <w:tcPr>
            <w:tcW w:w="1247" w:type="dxa"/>
            <w:tcBorders>
              <w:top w:val="single" w:sz="4" w:space="0" w:color="E02628"/>
              <w:bottom w:val="single" w:sz="4" w:space="0" w:color="E02628"/>
              <w:right w:val="nil"/>
            </w:tcBorders>
            <w:shd w:val="clear" w:color="auto" w:fill="E02628"/>
          </w:tcPr>
          <w:p w14:paraId="54DB66A8" w14:textId="77777777" w:rsidR="007F6B0F" w:rsidRPr="00EC326F" w:rsidRDefault="007F6B0F" w:rsidP="007F6B0F">
            <w:pPr>
              <w:pStyle w:val="TableColumnHeadingSmall"/>
              <w:jc w:val="center"/>
            </w:pPr>
          </w:p>
        </w:tc>
      </w:tr>
      <w:tr w:rsidR="00AC3069" w:rsidRPr="00EC326F" w14:paraId="7D17E17B"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50C42892" w14:textId="77777777" w:rsidR="00AC3069" w:rsidRPr="00EC326F" w:rsidRDefault="00AC3069" w:rsidP="00AC3069">
            <w:pPr>
              <w:pStyle w:val="TableTextSmall"/>
              <w:rPr>
                <w:snapToGrid/>
                <w:lang w:eastAsia="en-AU"/>
              </w:rPr>
            </w:pPr>
            <w:r w:rsidRPr="00EC326F">
              <w:rPr>
                <w:snapToGrid/>
                <w:lang w:eastAsia="en-AU"/>
              </w:rPr>
              <w:t>- 10 Previous welfare recipients</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105557B6" w14:textId="77777777" w:rsidR="00AC3069" w:rsidRPr="00EC326F" w:rsidRDefault="00AC3069" w:rsidP="00AC3069">
            <w:pPr>
              <w:pStyle w:val="TableTextSmall"/>
              <w:jc w:val="center"/>
            </w:pPr>
            <w:r w:rsidRPr="00EC326F">
              <w:t>680</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35129F75" w14:textId="52434A26" w:rsidR="00AC3069" w:rsidRPr="00EC326F" w:rsidRDefault="00AC3069" w:rsidP="009648FA">
            <w:pPr>
              <w:pStyle w:val="TableTextSmall"/>
              <w:jc w:val="center"/>
            </w:pPr>
            <w:r w:rsidRPr="00EC326F">
              <w:t>65</w:t>
            </w:r>
            <w:r w:rsidR="009648FA">
              <w:t>3</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267C2A24" w14:textId="7A8063D3" w:rsidR="00AC3069" w:rsidRPr="00EC326F" w:rsidRDefault="00AC3069" w:rsidP="009648FA">
            <w:pPr>
              <w:pStyle w:val="TableTextSmall"/>
              <w:jc w:val="center"/>
            </w:pPr>
            <w:r w:rsidRPr="00EC326F">
              <w:t>-2</w:t>
            </w:r>
            <w:r w:rsidR="009648FA">
              <w:t>7</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04696A5E" w14:textId="2A82958E" w:rsidR="00AC3069" w:rsidRPr="00EC326F" w:rsidRDefault="00AC3069" w:rsidP="00AC3069">
            <w:pPr>
              <w:pStyle w:val="TableTextSmall"/>
              <w:jc w:val="center"/>
            </w:pPr>
            <w:r w:rsidRPr="00EC326F">
              <w:t>-4.</w:t>
            </w:r>
            <w:r w:rsidR="009648FA">
              <w:t>0</w:t>
            </w:r>
            <w:r w:rsidRPr="00EC326F">
              <w:t>%</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5B224FF8" w14:textId="77777777" w:rsidR="00AC3069" w:rsidRPr="00EC326F" w:rsidRDefault="00AC3069" w:rsidP="00AC3069">
            <w:pPr>
              <w:pStyle w:val="TableTextSmall"/>
              <w:jc w:val="center"/>
            </w:pPr>
            <w:r w:rsidRPr="00EC326F">
              <w:t>+7.0%</w:t>
            </w:r>
          </w:p>
        </w:tc>
        <w:tc>
          <w:tcPr>
            <w:tcW w:w="1247" w:type="dxa"/>
            <w:tcBorders>
              <w:top w:val="single" w:sz="4" w:space="0" w:color="E02628"/>
              <w:left w:val="single" w:sz="4" w:space="0" w:color="E0301E" w:themeColor="accent6"/>
              <w:bottom w:val="single" w:sz="4" w:space="0" w:color="E02628"/>
            </w:tcBorders>
            <w:shd w:val="clear" w:color="000000" w:fill="FFFFFF"/>
          </w:tcPr>
          <w:p w14:paraId="4E62C34C" w14:textId="6EB044D2" w:rsidR="00AC3069" w:rsidRPr="00EC326F" w:rsidRDefault="00AC3069" w:rsidP="00AC3069">
            <w:pPr>
              <w:pStyle w:val="TableTextSmall"/>
              <w:jc w:val="center"/>
            </w:pPr>
            <w:r w:rsidRPr="00EC326F">
              <w:t>-10.</w:t>
            </w:r>
            <w:r w:rsidR="009648FA">
              <w:t>3</w:t>
            </w:r>
            <w:r w:rsidRPr="00EC326F">
              <w:t>%</w:t>
            </w:r>
          </w:p>
        </w:tc>
        <w:tc>
          <w:tcPr>
            <w:tcW w:w="1247" w:type="dxa"/>
            <w:tcBorders>
              <w:top w:val="single" w:sz="4" w:space="0" w:color="E02628"/>
              <w:bottom w:val="single" w:sz="4" w:space="0" w:color="E02628"/>
              <w:right w:val="nil"/>
            </w:tcBorders>
            <w:shd w:val="clear" w:color="000000" w:fill="FFFFFF"/>
          </w:tcPr>
          <w:p w14:paraId="3DEB0B28" w14:textId="77777777" w:rsidR="00AC3069" w:rsidRPr="00EC326F" w:rsidRDefault="00AC3069" w:rsidP="00AC3069">
            <w:pPr>
              <w:pStyle w:val="TableTextSmall"/>
              <w:jc w:val="center"/>
            </w:pPr>
            <w:r w:rsidRPr="00EC326F">
              <w:t>-18</w:t>
            </w:r>
          </w:p>
        </w:tc>
      </w:tr>
      <w:tr w:rsidR="00AC3069" w:rsidRPr="00EC326F" w14:paraId="0DF0672B"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183237BA" w14:textId="77777777" w:rsidR="00AC3069" w:rsidRPr="00EC326F" w:rsidRDefault="00AC3069" w:rsidP="00AC3069">
            <w:pPr>
              <w:pStyle w:val="TableTextSmall"/>
              <w:rPr>
                <w:snapToGrid/>
                <w:lang w:eastAsia="en-AU"/>
              </w:rPr>
            </w:pPr>
            <w:r w:rsidRPr="00EC326F">
              <w:rPr>
                <w:snapToGrid/>
                <w:lang w:eastAsia="en-AU"/>
              </w:rPr>
              <w:t>- 12 Rest of Australian Population</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5990A0C7" w14:textId="77777777" w:rsidR="00AC3069" w:rsidRPr="00EC326F" w:rsidRDefault="00AC3069" w:rsidP="00AC3069">
            <w:pPr>
              <w:pStyle w:val="TableTextSmall"/>
              <w:jc w:val="center"/>
            </w:pPr>
            <w:r w:rsidRPr="00EC326F">
              <w:t>1,961</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1C74D3B4" w14:textId="7B4D1D21" w:rsidR="00AC3069" w:rsidRPr="00EC326F" w:rsidRDefault="00AC3069" w:rsidP="009648FA">
            <w:pPr>
              <w:pStyle w:val="TableTextSmall"/>
              <w:jc w:val="center"/>
            </w:pPr>
            <w:r w:rsidRPr="00EC326F">
              <w:t>1,76</w:t>
            </w:r>
            <w:r w:rsidR="009648FA">
              <w:t>6</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48EA58F6" w14:textId="58636A1B" w:rsidR="00AC3069" w:rsidRPr="00EC326F" w:rsidRDefault="00AC3069" w:rsidP="009648FA">
            <w:pPr>
              <w:pStyle w:val="TableTextSmall"/>
              <w:jc w:val="center"/>
            </w:pPr>
            <w:r w:rsidRPr="00EC326F">
              <w:t>-19</w:t>
            </w:r>
            <w:r w:rsidR="009648FA">
              <w:t>6</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6163B486" w14:textId="78EA7608" w:rsidR="00AC3069" w:rsidRPr="00EC326F" w:rsidRDefault="00AC3069" w:rsidP="00AC3069">
            <w:pPr>
              <w:pStyle w:val="TableTextSmall"/>
              <w:jc w:val="center"/>
            </w:pPr>
            <w:r w:rsidRPr="00EC326F">
              <w:t>-</w:t>
            </w:r>
            <w:r w:rsidR="009648FA">
              <w:t>10.0</w:t>
            </w:r>
            <w:r w:rsidRPr="00EC326F">
              <w:t>%</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49116CBE" w14:textId="77777777" w:rsidR="00AC3069" w:rsidRPr="00EC326F" w:rsidRDefault="00AC3069" w:rsidP="00AC3069">
            <w:pPr>
              <w:pStyle w:val="TableTextSmall"/>
              <w:jc w:val="center"/>
            </w:pPr>
            <w:r w:rsidRPr="00EC326F">
              <w:t>-0.2%</w:t>
            </w:r>
          </w:p>
        </w:tc>
        <w:tc>
          <w:tcPr>
            <w:tcW w:w="1247" w:type="dxa"/>
            <w:tcBorders>
              <w:top w:val="single" w:sz="4" w:space="0" w:color="E02628"/>
              <w:left w:val="single" w:sz="4" w:space="0" w:color="E0301E" w:themeColor="accent6"/>
              <w:bottom w:val="single" w:sz="4" w:space="0" w:color="E02628"/>
            </w:tcBorders>
            <w:shd w:val="clear" w:color="000000" w:fill="FFFFFF"/>
          </w:tcPr>
          <w:p w14:paraId="3C859CBA" w14:textId="77777777" w:rsidR="00AC3069" w:rsidRPr="00EC326F" w:rsidRDefault="00AC3069" w:rsidP="00AC3069">
            <w:pPr>
              <w:pStyle w:val="TableTextSmall"/>
              <w:jc w:val="center"/>
            </w:pPr>
            <w:r w:rsidRPr="00EC326F">
              <w:t>-9.8%</w:t>
            </w:r>
          </w:p>
        </w:tc>
        <w:tc>
          <w:tcPr>
            <w:tcW w:w="1247" w:type="dxa"/>
            <w:tcBorders>
              <w:top w:val="single" w:sz="4" w:space="0" w:color="E02628"/>
              <w:bottom w:val="single" w:sz="4" w:space="0" w:color="E02628"/>
              <w:right w:val="nil"/>
            </w:tcBorders>
            <w:shd w:val="clear" w:color="000000" w:fill="FFFFFF"/>
          </w:tcPr>
          <w:p w14:paraId="6CDA4E08" w14:textId="77777777" w:rsidR="00AC3069" w:rsidRPr="00EC326F" w:rsidRDefault="00AC3069" w:rsidP="00AC3069">
            <w:pPr>
              <w:pStyle w:val="TableTextSmall"/>
              <w:jc w:val="center"/>
            </w:pPr>
            <w:r w:rsidRPr="00EC326F">
              <w:t>-16</w:t>
            </w:r>
          </w:p>
        </w:tc>
      </w:tr>
      <w:tr w:rsidR="00AC3069" w:rsidRPr="00EC326F" w14:paraId="7FF6DF94"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5AB2A394" w14:textId="77777777" w:rsidR="00AC3069" w:rsidRPr="00EC326F" w:rsidRDefault="00AC3069" w:rsidP="00AC3069">
            <w:pPr>
              <w:pStyle w:val="TableTextSmall"/>
              <w:rPr>
                <w:i/>
                <w:snapToGrid/>
                <w:lang w:eastAsia="en-AU"/>
              </w:rPr>
            </w:pPr>
            <w:r w:rsidRPr="00EC326F">
              <w:rPr>
                <w:i/>
                <w:snapToGrid/>
                <w:lang w:eastAsia="en-AU"/>
              </w:rPr>
              <w:t>Total previous welfare recipients</w:t>
            </w:r>
          </w:p>
        </w:tc>
        <w:tc>
          <w:tcPr>
            <w:tcW w:w="964" w:type="dxa"/>
            <w:tcBorders>
              <w:top w:val="single" w:sz="4" w:space="0" w:color="E02628"/>
              <w:left w:val="single" w:sz="4" w:space="0" w:color="E0301E" w:themeColor="accent6"/>
              <w:bottom w:val="single" w:sz="4" w:space="0" w:color="E02628"/>
              <w:right w:val="nil"/>
            </w:tcBorders>
            <w:shd w:val="clear" w:color="000000" w:fill="FFFFFF"/>
          </w:tcPr>
          <w:p w14:paraId="123A3F22" w14:textId="77777777" w:rsidR="00AC3069" w:rsidRPr="00EC326F" w:rsidRDefault="00AC3069" w:rsidP="00AC3069">
            <w:pPr>
              <w:pStyle w:val="TableTextSmall"/>
              <w:jc w:val="center"/>
              <w:rPr>
                <w:i/>
              </w:rPr>
            </w:pPr>
            <w:r w:rsidRPr="00EC326F">
              <w:rPr>
                <w:i/>
              </w:rPr>
              <w:t>2,641</w:t>
            </w:r>
          </w:p>
        </w:tc>
        <w:tc>
          <w:tcPr>
            <w:tcW w:w="964" w:type="dxa"/>
            <w:tcBorders>
              <w:top w:val="single" w:sz="4" w:space="0" w:color="E02628"/>
              <w:left w:val="nil"/>
              <w:bottom w:val="single" w:sz="4" w:space="0" w:color="E02628"/>
              <w:right w:val="single" w:sz="4" w:space="0" w:color="E0301E" w:themeColor="accent6"/>
            </w:tcBorders>
            <w:shd w:val="clear" w:color="000000" w:fill="FFFFFF"/>
          </w:tcPr>
          <w:p w14:paraId="5F94B113" w14:textId="55BF0425" w:rsidR="00AC3069" w:rsidRPr="00EC326F" w:rsidRDefault="00AC3069" w:rsidP="009648FA">
            <w:pPr>
              <w:pStyle w:val="TableTextSmall"/>
              <w:jc w:val="center"/>
              <w:rPr>
                <w:i/>
              </w:rPr>
            </w:pPr>
            <w:r w:rsidRPr="00EC326F">
              <w:rPr>
                <w:i/>
              </w:rPr>
              <w:t>2,41</w:t>
            </w:r>
            <w:r w:rsidR="009648FA">
              <w:rPr>
                <w:i/>
              </w:rPr>
              <w:t>8</w:t>
            </w:r>
          </w:p>
        </w:tc>
        <w:tc>
          <w:tcPr>
            <w:tcW w:w="907" w:type="dxa"/>
            <w:tcBorders>
              <w:top w:val="single" w:sz="4" w:space="0" w:color="E02628"/>
              <w:left w:val="single" w:sz="4" w:space="0" w:color="E0301E" w:themeColor="accent6"/>
              <w:bottom w:val="single" w:sz="4" w:space="0" w:color="E02628"/>
            </w:tcBorders>
            <w:shd w:val="clear" w:color="000000" w:fill="FFFFFF"/>
            <w:noWrap/>
            <w:hideMark/>
          </w:tcPr>
          <w:p w14:paraId="665A08CE" w14:textId="1C0EE75F" w:rsidR="00AC3069" w:rsidRPr="00EC326F" w:rsidRDefault="00AC3069" w:rsidP="00AC3069">
            <w:pPr>
              <w:pStyle w:val="TableTextSmall"/>
              <w:jc w:val="center"/>
              <w:rPr>
                <w:i/>
              </w:rPr>
            </w:pPr>
            <w:r w:rsidRPr="00EC326F">
              <w:rPr>
                <w:i/>
              </w:rPr>
              <w:t>-22</w:t>
            </w:r>
            <w:r w:rsidR="009648FA">
              <w:rPr>
                <w:i/>
              </w:rPr>
              <w:t>3</w:t>
            </w:r>
          </w:p>
        </w:tc>
        <w:tc>
          <w:tcPr>
            <w:tcW w:w="1020" w:type="dxa"/>
            <w:tcBorders>
              <w:top w:val="single" w:sz="4" w:space="0" w:color="E02628"/>
              <w:bottom w:val="single" w:sz="4" w:space="0" w:color="E02628"/>
              <w:right w:val="single" w:sz="4" w:space="0" w:color="E0301E" w:themeColor="accent6"/>
            </w:tcBorders>
            <w:shd w:val="clear" w:color="000000" w:fill="FFFFFF"/>
            <w:noWrap/>
          </w:tcPr>
          <w:p w14:paraId="2710BE0C" w14:textId="77777777" w:rsidR="00AC3069" w:rsidRPr="00EC326F" w:rsidRDefault="00AC3069" w:rsidP="00AC3069">
            <w:pPr>
              <w:pStyle w:val="TableTextSmall"/>
              <w:jc w:val="center"/>
              <w:rPr>
                <w:i/>
              </w:rPr>
            </w:pPr>
            <w:r w:rsidRPr="00EC326F">
              <w:rPr>
                <w:i/>
              </w:rPr>
              <w:t>-8.4%</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tcPr>
          <w:p w14:paraId="4857ABD3" w14:textId="77777777" w:rsidR="00AC3069" w:rsidRPr="00EC326F" w:rsidRDefault="00AC3069" w:rsidP="00AC3069">
            <w:pPr>
              <w:pStyle w:val="TableTextSmall"/>
              <w:jc w:val="center"/>
              <w:rPr>
                <w:i/>
              </w:rPr>
            </w:pPr>
            <w:r w:rsidRPr="00EC326F">
              <w:rPr>
                <w:i/>
              </w:rPr>
              <w:t>+1.6%</w:t>
            </w:r>
          </w:p>
        </w:tc>
        <w:tc>
          <w:tcPr>
            <w:tcW w:w="1247" w:type="dxa"/>
            <w:tcBorders>
              <w:top w:val="single" w:sz="4" w:space="0" w:color="E02628"/>
              <w:left w:val="single" w:sz="4" w:space="0" w:color="E0301E" w:themeColor="accent6"/>
              <w:bottom w:val="single" w:sz="4" w:space="0" w:color="E02628"/>
            </w:tcBorders>
            <w:shd w:val="clear" w:color="000000" w:fill="FFFFFF"/>
          </w:tcPr>
          <w:p w14:paraId="666792D8" w14:textId="77777777" w:rsidR="00AC3069" w:rsidRPr="00EC326F" w:rsidRDefault="00AC3069" w:rsidP="00AC3069">
            <w:pPr>
              <w:pStyle w:val="TableTextSmall"/>
              <w:jc w:val="center"/>
              <w:rPr>
                <w:i/>
              </w:rPr>
            </w:pPr>
            <w:r w:rsidRPr="00EC326F">
              <w:rPr>
                <w:i/>
              </w:rPr>
              <w:t>-9.9%</w:t>
            </w:r>
          </w:p>
        </w:tc>
        <w:tc>
          <w:tcPr>
            <w:tcW w:w="1247" w:type="dxa"/>
            <w:tcBorders>
              <w:top w:val="single" w:sz="4" w:space="0" w:color="E02628"/>
              <w:bottom w:val="single" w:sz="4" w:space="0" w:color="E02628"/>
              <w:right w:val="nil"/>
            </w:tcBorders>
            <w:shd w:val="clear" w:color="000000" w:fill="FFFFFF"/>
          </w:tcPr>
          <w:p w14:paraId="2E795677" w14:textId="77777777" w:rsidR="00AC3069" w:rsidRPr="00EC326F" w:rsidRDefault="00AC3069" w:rsidP="00AC3069">
            <w:pPr>
              <w:pStyle w:val="TableTextSmall"/>
              <w:jc w:val="center"/>
              <w:rPr>
                <w:i/>
              </w:rPr>
            </w:pPr>
            <w:r w:rsidRPr="00EC326F">
              <w:rPr>
                <w:i/>
              </w:rPr>
              <w:t>-16</w:t>
            </w:r>
          </w:p>
        </w:tc>
      </w:tr>
      <w:tr w:rsidR="00AC3069" w:rsidRPr="00EC326F" w14:paraId="69EE77CA" w14:textId="77777777" w:rsidTr="00AC3069">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E02628"/>
            <w:noWrap/>
            <w:vAlign w:val="center"/>
            <w:hideMark/>
          </w:tcPr>
          <w:p w14:paraId="3CEC347D" w14:textId="77777777" w:rsidR="00AC3069" w:rsidRPr="00EC326F" w:rsidRDefault="00AC3069" w:rsidP="00AC3069">
            <w:pPr>
              <w:pStyle w:val="TableColumnHeadingSmall"/>
              <w:rPr>
                <w:snapToGrid/>
                <w:lang w:eastAsia="en-AU"/>
              </w:rPr>
            </w:pPr>
            <w:r w:rsidRPr="00EC326F">
              <w:rPr>
                <w:snapToGrid/>
                <w:lang w:eastAsia="en-AU"/>
              </w:rPr>
              <w:t>Australian resident population</w:t>
            </w:r>
          </w:p>
        </w:tc>
        <w:tc>
          <w:tcPr>
            <w:tcW w:w="964" w:type="dxa"/>
            <w:tcBorders>
              <w:top w:val="single" w:sz="4" w:space="0" w:color="E02628"/>
              <w:left w:val="single" w:sz="4" w:space="0" w:color="E0301E" w:themeColor="accent6"/>
              <w:bottom w:val="single" w:sz="4" w:space="0" w:color="E02628"/>
              <w:right w:val="nil"/>
            </w:tcBorders>
            <w:shd w:val="clear" w:color="auto" w:fill="E02628"/>
          </w:tcPr>
          <w:p w14:paraId="4CA685D6" w14:textId="77777777" w:rsidR="00AC3069" w:rsidRPr="00EC326F" w:rsidRDefault="00AC3069" w:rsidP="00AC3069">
            <w:pPr>
              <w:pStyle w:val="TableColumnHeadingSmall"/>
              <w:jc w:val="center"/>
            </w:pPr>
            <w:r w:rsidRPr="00EC326F">
              <w:t>4,764</w:t>
            </w:r>
          </w:p>
        </w:tc>
        <w:tc>
          <w:tcPr>
            <w:tcW w:w="964" w:type="dxa"/>
            <w:tcBorders>
              <w:top w:val="single" w:sz="4" w:space="0" w:color="E02628"/>
              <w:left w:val="nil"/>
              <w:bottom w:val="single" w:sz="4" w:space="0" w:color="E02628"/>
              <w:right w:val="single" w:sz="4" w:space="0" w:color="E0301E" w:themeColor="accent6"/>
            </w:tcBorders>
            <w:shd w:val="clear" w:color="auto" w:fill="E02628"/>
          </w:tcPr>
          <w:p w14:paraId="2B694832" w14:textId="02CED885" w:rsidR="00AC3069" w:rsidRPr="00EC326F" w:rsidRDefault="00AC3069" w:rsidP="00AC3069">
            <w:pPr>
              <w:pStyle w:val="TableColumnHeadingSmall"/>
              <w:jc w:val="center"/>
            </w:pPr>
            <w:r w:rsidRPr="00EC326F">
              <w:t>4,51</w:t>
            </w:r>
            <w:r w:rsidR="009648FA">
              <w:t>4</w:t>
            </w:r>
          </w:p>
        </w:tc>
        <w:tc>
          <w:tcPr>
            <w:tcW w:w="907" w:type="dxa"/>
            <w:tcBorders>
              <w:top w:val="single" w:sz="4" w:space="0" w:color="E02628"/>
              <w:left w:val="single" w:sz="4" w:space="0" w:color="E0301E" w:themeColor="accent6"/>
              <w:bottom w:val="single" w:sz="4" w:space="0" w:color="E02628"/>
              <w:right w:val="single" w:sz="4" w:space="0" w:color="E0301E" w:themeColor="accent6"/>
            </w:tcBorders>
            <w:shd w:val="clear" w:color="auto" w:fill="E02628"/>
            <w:noWrap/>
            <w:hideMark/>
          </w:tcPr>
          <w:p w14:paraId="01037DC2" w14:textId="545511D9" w:rsidR="00AC3069" w:rsidRPr="00EC326F" w:rsidRDefault="00AC3069" w:rsidP="00AC3069">
            <w:pPr>
              <w:pStyle w:val="TableColumnHeadingSmall"/>
              <w:jc w:val="center"/>
            </w:pPr>
            <w:r w:rsidRPr="00EC326F">
              <w:t>-25</w:t>
            </w:r>
            <w:r w:rsidR="009648FA">
              <w:t>0</w:t>
            </w:r>
          </w:p>
        </w:tc>
        <w:tc>
          <w:tcPr>
            <w:tcW w:w="1020" w:type="dxa"/>
            <w:tcBorders>
              <w:top w:val="single" w:sz="4" w:space="0" w:color="E02628"/>
              <w:left w:val="single" w:sz="4" w:space="0" w:color="E0301E" w:themeColor="accent6"/>
              <w:bottom w:val="single" w:sz="4" w:space="0" w:color="E02628"/>
              <w:right w:val="single" w:sz="4" w:space="0" w:color="E0301E" w:themeColor="accent6"/>
            </w:tcBorders>
            <w:shd w:val="clear" w:color="auto" w:fill="E02628"/>
            <w:noWrap/>
          </w:tcPr>
          <w:p w14:paraId="7DFC3BE9" w14:textId="77777777" w:rsidR="00AC3069" w:rsidRPr="00EC326F" w:rsidRDefault="00AC3069" w:rsidP="00AC3069">
            <w:pPr>
              <w:pStyle w:val="TableColumnHeadingSmall"/>
              <w:jc w:val="center"/>
            </w:pPr>
            <w:r w:rsidRPr="00EC326F">
              <w:t>-5.3%</w:t>
            </w:r>
          </w:p>
        </w:tc>
        <w:tc>
          <w:tcPr>
            <w:tcW w:w="1134" w:type="dxa"/>
            <w:tcBorders>
              <w:top w:val="single" w:sz="4" w:space="0" w:color="E02628"/>
              <w:left w:val="single" w:sz="4" w:space="0" w:color="E0301E" w:themeColor="accent6"/>
              <w:bottom w:val="single" w:sz="4" w:space="0" w:color="E02628"/>
              <w:right w:val="nil"/>
            </w:tcBorders>
            <w:shd w:val="clear" w:color="auto" w:fill="E02628"/>
            <w:noWrap/>
          </w:tcPr>
          <w:p w14:paraId="509361F1" w14:textId="77777777" w:rsidR="00AC3069" w:rsidRPr="00EC326F" w:rsidRDefault="00AC3069" w:rsidP="00AC3069">
            <w:pPr>
              <w:pStyle w:val="TableColumnHeadingSmall"/>
              <w:jc w:val="center"/>
            </w:pPr>
            <w:r w:rsidRPr="00EC326F">
              <w:t>+1.2%</w:t>
            </w:r>
          </w:p>
        </w:tc>
        <w:tc>
          <w:tcPr>
            <w:tcW w:w="1247" w:type="dxa"/>
            <w:tcBorders>
              <w:top w:val="single" w:sz="4" w:space="0" w:color="E02628"/>
              <w:left w:val="nil"/>
              <w:bottom w:val="single" w:sz="4" w:space="0" w:color="E02628"/>
              <w:right w:val="single" w:sz="4" w:space="0" w:color="E0301E" w:themeColor="accent6"/>
            </w:tcBorders>
            <w:shd w:val="clear" w:color="auto" w:fill="E02628"/>
          </w:tcPr>
          <w:p w14:paraId="41212927" w14:textId="77777777" w:rsidR="00AC3069" w:rsidRPr="00EC326F" w:rsidRDefault="00AC3069" w:rsidP="00AC3069">
            <w:pPr>
              <w:pStyle w:val="TableColumnHeadingSmall"/>
              <w:jc w:val="center"/>
            </w:pPr>
            <w:r w:rsidRPr="00EC326F">
              <w:t>-6.4%</w:t>
            </w:r>
          </w:p>
        </w:tc>
        <w:tc>
          <w:tcPr>
            <w:tcW w:w="1247" w:type="dxa"/>
            <w:tcBorders>
              <w:top w:val="single" w:sz="4" w:space="0" w:color="E02628"/>
              <w:left w:val="single" w:sz="4" w:space="0" w:color="E0301E" w:themeColor="accent6"/>
              <w:bottom w:val="single" w:sz="4" w:space="0" w:color="E02628"/>
              <w:right w:val="nil"/>
            </w:tcBorders>
            <w:shd w:val="clear" w:color="auto" w:fill="E02628"/>
          </w:tcPr>
          <w:p w14:paraId="30348566" w14:textId="77777777" w:rsidR="00AC3069" w:rsidRPr="00EC326F" w:rsidRDefault="00AC3069" w:rsidP="00AC3069">
            <w:pPr>
              <w:pStyle w:val="TableColumnHeadingSmall"/>
              <w:jc w:val="center"/>
            </w:pPr>
            <w:r w:rsidRPr="00EC326F">
              <w:t>-13</w:t>
            </w:r>
          </w:p>
        </w:tc>
      </w:tr>
    </w:tbl>
    <w:p w14:paraId="7C766323" w14:textId="77777777" w:rsidR="00774DA3" w:rsidRPr="00EC326F" w:rsidRDefault="008C30D6" w:rsidP="00A277D3">
      <w:pPr>
        <w:pStyle w:val="PwCNormal"/>
        <w:numPr>
          <w:ilvl w:val="0"/>
          <w:numId w:val="0"/>
        </w:numPr>
      </w:pPr>
      <w:r w:rsidRPr="00EC326F">
        <w:t>Th</w:t>
      </w:r>
      <w:r w:rsidR="00B00EA2">
        <w:t>is</w:t>
      </w:r>
      <w:r w:rsidRPr="00EC326F">
        <w:t xml:space="preserve"> change in average lifetime cost is </w:t>
      </w:r>
      <w:r w:rsidR="00B00EA2">
        <w:t>broken down</w:t>
      </w:r>
      <w:r w:rsidRPr="00EC326F">
        <w:t xml:space="preserve"> below into </w:t>
      </w:r>
      <w:r w:rsidR="00B00EA2">
        <w:t xml:space="preserve">the </w:t>
      </w:r>
      <w:r w:rsidRPr="00EC326F">
        <w:t>changes relating to inflation, changes relating to the economic module and other changes.</w:t>
      </w:r>
    </w:p>
    <w:p w14:paraId="64C61EFD" w14:textId="77777777" w:rsidR="00A35222" w:rsidRPr="00EC326F" w:rsidRDefault="00A35222" w:rsidP="00A35222">
      <w:pPr>
        <w:pStyle w:val="Caption"/>
      </w:pPr>
      <w:r w:rsidRPr="00EC326F">
        <w:lastRenderedPageBreak/>
        <w:t xml:space="preserve">Table </w:t>
      </w:r>
      <w:fldSimple w:instr=" SEQ Table \* ARABIC ">
        <w:r w:rsidR="007A42DF">
          <w:rPr>
            <w:noProof/>
          </w:rPr>
          <w:t>23</w:t>
        </w:r>
      </w:fldSimple>
      <w:r w:rsidRPr="00EC326F">
        <w:t>: Breakdown in average lifetime cost changes by class</w:t>
      </w:r>
    </w:p>
    <w:tbl>
      <w:tblPr>
        <w:tblW w:w="9873" w:type="dxa"/>
        <w:tblInd w:w="57" w:type="dxa"/>
        <w:tblLayout w:type="fixed"/>
        <w:tblCellMar>
          <w:left w:w="113" w:type="dxa"/>
          <w:right w:w="113" w:type="dxa"/>
        </w:tblCellMar>
        <w:tblLook w:val="04A0" w:firstRow="1" w:lastRow="0" w:firstColumn="1" w:lastColumn="0" w:noHBand="0" w:noVBand="1"/>
        <w:tblCaption w:val=" Breakdown in average lifetime cost changes by class&#10;"/>
        <w:tblDescription w:val="This table is a summary of the changes in average lifetime cost by class. It is a continuation of table 22. There are five data columns; Change in lifetime cost – ave lifetime cost change component, impact of inflation on average lifetime cost, impact of change in the economic module on average lifetime cost, impact of policy changes on average lifetime cost and other changes impacting average lifetime cost. &#10;&#10;Inflation changes had the lowest impact on all classes (less than $1,000 change). &#10;&#10;Changes due to average lifetime cost are repeated from Table 22. &#10;&#10;Changes due to the economic module varied across the classes. The most change in average lifetime cost was seen for the studying class (-$14,000) and the working age class (-$13,000). &#10;&#10;Policy changes had a limited impact on the average lifetime cost of clients in the disability and pension age class, as well as previous welfare recipients. Changes in other classes due to policy changes were relatively minimal, ranging  from a $6,000 reduction in the parenting class, to a reduction of $1,000 in the working age, carer, Non IS carer, Non IS other and rest of population classes &#10;&#10;Other changes caused relative large movements in the average lifetime cost of the parenting class (+48,000), the carer class (+31,000) and the disability support class (+$33,000).&#10;&#10;Further features of the data in this table are discussed in the accompanying text within the report.&#10;"/>
      </w:tblPr>
      <w:tblGrid>
        <w:gridCol w:w="2750"/>
        <w:gridCol w:w="1587"/>
        <w:gridCol w:w="1474"/>
        <w:gridCol w:w="1361"/>
        <w:gridCol w:w="1283"/>
        <w:gridCol w:w="1418"/>
      </w:tblGrid>
      <w:tr w:rsidR="009648FA" w:rsidRPr="00EC326F" w14:paraId="70EA4824" w14:textId="77777777" w:rsidTr="00716FF0">
        <w:trPr>
          <w:trHeight w:val="1010"/>
          <w:tblHeader/>
        </w:trPr>
        <w:tc>
          <w:tcPr>
            <w:tcW w:w="2750" w:type="dxa"/>
            <w:tcBorders>
              <w:top w:val="single" w:sz="4" w:space="0" w:color="E02628"/>
              <w:left w:val="nil"/>
              <w:bottom w:val="single" w:sz="4" w:space="0" w:color="FFFFFF" w:themeColor="background1"/>
              <w:right w:val="single" w:sz="4" w:space="0" w:color="FFFFFF"/>
            </w:tcBorders>
            <w:shd w:val="clear" w:color="auto" w:fill="E02628"/>
            <w:hideMark/>
          </w:tcPr>
          <w:p w14:paraId="4C70AEB6" w14:textId="77777777" w:rsidR="009648FA" w:rsidRPr="00EC326F" w:rsidRDefault="009648FA" w:rsidP="009648FA">
            <w:pPr>
              <w:pStyle w:val="TableColumnHeadingSmall"/>
            </w:pPr>
            <w:r w:rsidRPr="00EC326F">
              <w:t>Population segment</w:t>
            </w:r>
          </w:p>
        </w:tc>
        <w:tc>
          <w:tcPr>
            <w:tcW w:w="1587"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77C2C1D7" w14:textId="0175433B" w:rsidR="009648FA" w:rsidRPr="00EC326F" w:rsidRDefault="009648FA" w:rsidP="009648FA">
            <w:pPr>
              <w:pStyle w:val="TableColumnHeadingSmall"/>
              <w:jc w:val="center"/>
            </w:pPr>
            <w:r>
              <w:t>C</w:t>
            </w:r>
            <w:r w:rsidRPr="00EC326F">
              <w:t xml:space="preserve">hange in lifetime cost – ave lifetime cost change component </w:t>
            </w:r>
            <w:r w:rsidR="00716FF0">
              <w:br/>
            </w:r>
            <w:r w:rsidRPr="00EC326F">
              <w:t>($’000)</w:t>
            </w:r>
          </w:p>
        </w:tc>
        <w:tc>
          <w:tcPr>
            <w:tcW w:w="1474"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7FACCFE9" w14:textId="003B24D3" w:rsidR="009648FA" w:rsidRPr="00EC326F" w:rsidRDefault="009648FA" w:rsidP="009648FA">
            <w:pPr>
              <w:pStyle w:val="TableColumnHeadingSmall"/>
              <w:jc w:val="center"/>
            </w:pPr>
            <w:r w:rsidRPr="00EC326F">
              <w:t xml:space="preserve">Impact of change in inflation on ave lifetime cost </w:t>
            </w:r>
            <w:r w:rsidR="00716FF0">
              <w:br/>
            </w:r>
            <w:r w:rsidRPr="00EC326F">
              <w:t>($’000)</w:t>
            </w:r>
          </w:p>
        </w:tc>
        <w:tc>
          <w:tcPr>
            <w:tcW w:w="1361"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5A2F5DE5" w14:textId="77777777" w:rsidR="009648FA" w:rsidRPr="00EC326F" w:rsidRDefault="009648FA" w:rsidP="009648FA">
            <w:pPr>
              <w:pStyle w:val="TableColumnHeadingSmall"/>
              <w:jc w:val="center"/>
            </w:pPr>
            <w:r w:rsidRPr="00EC326F">
              <w:t>Impact of change in economic module on ave lifetime cost ($’000)</w:t>
            </w:r>
          </w:p>
        </w:tc>
        <w:tc>
          <w:tcPr>
            <w:tcW w:w="1283"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3FCCD17F" w14:textId="6B138D9C" w:rsidR="009648FA" w:rsidRPr="00EC326F" w:rsidRDefault="009648FA" w:rsidP="009648FA">
            <w:pPr>
              <w:pStyle w:val="TableColumnHeadingSmall"/>
              <w:jc w:val="center"/>
            </w:pPr>
            <w:r w:rsidRPr="00EC326F">
              <w:t xml:space="preserve">Impact of </w:t>
            </w:r>
            <w:r>
              <w:t>policy</w:t>
            </w:r>
            <w:r w:rsidRPr="00EC326F">
              <w:t xml:space="preserve"> changes on ave lifetime cost </w:t>
            </w:r>
            <w:r w:rsidR="00716FF0">
              <w:br/>
            </w:r>
            <w:r w:rsidRPr="00EC326F">
              <w:t>($’000)</w:t>
            </w:r>
          </w:p>
        </w:tc>
        <w:tc>
          <w:tcPr>
            <w:tcW w:w="1418"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26C1B931" w14:textId="35C62B0D" w:rsidR="009648FA" w:rsidRPr="00EC326F" w:rsidRDefault="009648FA" w:rsidP="009648FA">
            <w:pPr>
              <w:pStyle w:val="TableColumnHeadingSmall"/>
              <w:jc w:val="center"/>
            </w:pPr>
            <w:r w:rsidRPr="00EC326F">
              <w:t xml:space="preserve">Impact of other changes on ave lifetime cost </w:t>
            </w:r>
            <w:r w:rsidR="00716FF0">
              <w:br/>
            </w:r>
            <w:r w:rsidRPr="00EC326F">
              <w:t>($’000)</w:t>
            </w:r>
          </w:p>
        </w:tc>
      </w:tr>
      <w:tr w:rsidR="009648FA" w:rsidRPr="00EC326F" w14:paraId="05661F11" w14:textId="77777777" w:rsidTr="00716FF0">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66DE87E2" w14:textId="77777777" w:rsidR="009648FA" w:rsidRPr="00EC326F" w:rsidRDefault="009648FA" w:rsidP="009648FA">
            <w:pPr>
              <w:pStyle w:val="TableColumnHeadingSmall"/>
              <w:rPr>
                <w:snapToGrid/>
                <w:lang w:eastAsia="en-AU"/>
              </w:rPr>
            </w:pPr>
            <w:r w:rsidRPr="00EC326F">
              <w:rPr>
                <w:snapToGrid/>
                <w:lang w:eastAsia="en-AU"/>
              </w:rPr>
              <w:t>Current welfare recipients</w:t>
            </w:r>
          </w:p>
        </w:tc>
        <w:tc>
          <w:tcPr>
            <w:tcW w:w="1587" w:type="dxa"/>
            <w:tcBorders>
              <w:top w:val="single" w:sz="4" w:space="0" w:color="E02628"/>
              <w:left w:val="nil"/>
              <w:bottom w:val="single" w:sz="4" w:space="0" w:color="E02628"/>
              <w:right w:val="nil"/>
            </w:tcBorders>
            <w:shd w:val="clear" w:color="auto" w:fill="E02628"/>
            <w:noWrap/>
          </w:tcPr>
          <w:p w14:paraId="020FDE38" w14:textId="77777777" w:rsidR="009648FA" w:rsidRPr="00EC326F" w:rsidRDefault="009648FA" w:rsidP="009648FA">
            <w:pPr>
              <w:pStyle w:val="TableColumnHeadingSmall"/>
            </w:pPr>
          </w:p>
        </w:tc>
        <w:tc>
          <w:tcPr>
            <w:tcW w:w="1474" w:type="dxa"/>
            <w:tcBorders>
              <w:top w:val="single" w:sz="4" w:space="0" w:color="E02628"/>
              <w:left w:val="nil"/>
              <w:bottom w:val="single" w:sz="4" w:space="0" w:color="E02628"/>
              <w:right w:val="nil"/>
            </w:tcBorders>
            <w:shd w:val="clear" w:color="auto" w:fill="E02628"/>
          </w:tcPr>
          <w:p w14:paraId="35CCBA26" w14:textId="77777777" w:rsidR="009648FA" w:rsidRPr="00EC326F" w:rsidRDefault="009648FA" w:rsidP="009648FA">
            <w:pPr>
              <w:pStyle w:val="TableColumnHeadingSmall"/>
            </w:pPr>
          </w:p>
        </w:tc>
        <w:tc>
          <w:tcPr>
            <w:tcW w:w="1361" w:type="dxa"/>
            <w:tcBorders>
              <w:top w:val="single" w:sz="4" w:space="0" w:color="E02628"/>
              <w:left w:val="nil"/>
              <w:bottom w:val="single" w:sz="4" w:space="0" w:color="E02628"/>
              <w:right w:val="nil"/>
            </w:tcBorders>
            <w:shd w:val="clear" w:color="auto" w:fill="E02628"/>
          </w:tcPr>
          <w:p w14:paraId="0A0E194E" w14:textId="77777777" w:rsidR="009648FA" w:rsidRPr="00EC326F" w:rsidRDefault="009648FA" w:rsidP="009648FA">
            <w:pPr>
              <w:pStyle w:val="TableColumnHeadingSmall"/>
            </w:pPr>
          </w:p>
        </w:tc>
        <w:tc>
          <w:tcPr>
            <w:tcW w:w="1283" w:type="dxa"/>
            <w:tcBorders>
              <w:top w:val="single" w:sz="4" w:space="0" w:color="E02628"/>
              <w:left w:val="nil"/>
              <w:bottom w:val="single" w:sz="4" w:space="0" w:color="E02628"/>
              <w:right w:val="nil"/>
            </w:tcBorders>
            <w:shd w:val="clear" w:color="auto" w:fill="E02628"/>
          </w:tcPr>
          <w:p w14:paraId="6F47131C" w14:textId="77777777" w:rsidR="009648FA" w:rsidRPr="00EC326F" w:rsidRDefault="009648FA" w:rsidP="009648FA">
            <w:pPr>
              <w:pStyle w:val="TableColumnHeadingSmall"/>
            </w:pPr>
          </w:p>
        </w:tc>
        <w:tc>
          <w:tcPr>
            <w:tcW w:w="1418" w:type="dxa"/>
            <w:tcBorders>
              <w:top w:val="single" w:sz="4" w:space="0" w:color="E02628"/>
              <w:left w:val="nil"/>
              <w:bottom w:val="single" w:sz="4" w:space="0" w:color="E02628"/>
              <w:right w:val="nil"/>
            </w:tcBorders>
            <w:shd w:val="clear" w:color="auto" w:fill="E02628"/>
            <w:noWrap/>
          </w:tcPr>
          <w:p w14:paraId="59ED731E" w14:textId="49A6FFD7" w:rsidR="009648FA" w:rsidRPr="00EC326F" w:rsidRDefault="009648FA" w:rsidP="009648FA">
            <w:pPr>
              <w:pStyle w:val="TableColumnHeadingSmall"/>
            </w:pPr>
          </w:p>
        </w:tc>
      </w:tr>
      <w:tr w:rsidR="009648FA" w:rsidRPr="00EC326F" w14:paraId="60525A5A"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39C2887F" w14:textId="77777777" w:rsidR="009648FA" w:rsidRPr="00EC326F" w:rsidRDefault="009648FA" w:rsidP="009648FA">
            <w:pPr>
              <w:pStyle w:val="TableTextSmall"/>
              <w:keepNext/>
              <w:rPr>
                <w:snapToGrid/>
                <w:lang w:eastAsia="en-AU"/>
              </w:rPr>
            </w:pPr>
            <w:r w:rsidRPr="00EC326F">
              <w:rPr>
                <w:snapToGrid/>
                <w:lang w:eastAsia="en-AU"/>
              </w:rPr>
              <w:t>- 1 Studying</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76FB4840" w14:textId="77777777" w:rsidR="009648FA" w:rsidRPr="00EC326F" w:rsidRDefault="009648FA" w:rsidP="009648FA">
            <w:pPr>
              <w:pStyle w:val="TableTextSmall"/>
              <w:keepNext/>
              <w:jc w:val="center"/>
            </w:pPr>
            <w:r w:rsidRPr="00EC326F">
              <w:t>-37</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210FB078" w14:textId="77777777" w:rsidR="009648FA" w:rsidRPr="00EC326F" w:rsidRDefault="009648FA" w:rsidP="009648FA">
            <w:pPr>
              <w:pStyle w:val="TableTextSmall"/>
              <w:keepNext/>
              <w:jc w:val="center"/>
              <w:rPr>
                <w:color w:val="808080"/>
              </w:rPr>
            </w:pPr>
            <w:r w:rsidRPr="00EC326F">
              <w:rPr>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71F1B0C0" w14:textId="77777777" w:rsidR="009648FA" w:rsidRPr="00EC326F" w:rsidRDefault="009648FA" w:rsidP="009648FA">
            <w:pPr>
              <w:pStyle w:val="TableTextSmall"/>
              <w:keepNext/>
              <w:jc w:val="center"/>
            </w:pPr>
            <w:r w:rsidRPr="00EC326F">
              <w:t>-14</w:t>
            </w:r>
          </w:p>
        </w:tc>
        <w:tc>
          <w:tcPr>
            <w:tcW w:w="1283" w:type="dxa"/>
            <w:tcBorders>
              <w:top w:val="single" w:sz="4" w:space="0" w:color="E02628"/>
              <w:left w:val="nil"/>
              <w:bottom w:val="single" w:sz="4" w:space="0" w:color="E02628"/>
              <w:right w:val="nil"/>
            </w:tcBorders>
            <w:shd w:val="clear" w:color="000000" w:fill="FFFFFF"/>
            <w:vAlign w:val="center"/>
          </w:tcPr>
          <w:p w14:paraId="7FEF2866" w14:textId="4F30CDC0" w:rsidR="009648FA" w:rsidRPr="00EC326F" w:rsidRDefault="009648FA" w:rsidP="009648FA">
            <w:pPr>
              <w:pStyle w:val="TableTextSmall"/>
              <w:keepNext/>
              <w:jc w:val="center"/>
            </w:pPr>
            <w:r w:rsidRPr="00EC326F">
              <w:t>-</w:t>
            </w:r>
            <w:r>
              <w:t>3</w:t>
            </w:r>
          </w:p>
        </w:tc>
        <w:tc>
          <w:tcPr>
            <w:tcW w:w="1418" w:type="dxa"/>
            <w:tcBorders>
              <w:top w:val="single" w:sz="4" w:space="0" w:color="E02628"/>
              <w:left w:val="nil"/>
              <w:bottom w:val="single" w:sz="4" w:space="0" w:color="E02628"/>
              <w:right w:val="nil"/>
            </w:tcBorders>
            <w:shd w:val="clear" w:color="000000" w:fill="FFFFFF"/>
            <w:noWrap/>
            <w:vAlign w:val="center"/>
          </w:tcPr>
          <w:p w14:paraId="6016A8B0" w14:textId="5E9AA021" w:rsidR="009648FA" w:rsidRPr="00EC326F" w:rsidRDefault="009648FA" w:rsidP="009648FA">
            <w:pPr>
              <w:pStyle w:val="TableTextSmall"/>
              <w:keepNext/>
              <w:jc w:val="center"/>
            </w:pPr>
            <w:r w:rsidRPr="00EC326F">
              <w:t>-2</w:t>
            </w:r>
            <w:r>
              <w:t>1</w:t>
            </w:r>
          </w:p>
        </w:tc>
      </w:tr>
      <w:tr w:rsidR="009648FA" w:rsidRPr="00EC326F" w14:paraId="5C465757"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5261168C" w14:textId="77777777" w:rsidR="009648FA" w:rsidRPr="00EC326F" w:rsidRDefault="009648FA" w:rsidP="009648FA">
            <w:pPr>
              <w:pStyle w:val="TableTextSmall"/>
              <w:keepNext/>
              <w:rPr>
                <w:snapToGrid/>
                <w:lang w:eastAsia="en-AU"/>
              </w:rPr>
            </w:pPr>
            <w:r w:rsidRPr="00EC326F">
              <w:rPr>
                <w:snapToGrid/>
                <w:lang w:eastAsia="en-AU"/>
              </w:rPr>
              <w:t>- 2 Working age</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71AAC941" w14:textId="77777777" w:rsidR="009648FA" w:rsidRPr="00EC326F" w:rsidRDefault="009648FA" w:rsidP="009648FA">
            <w:pPr>
              <w:pStyle w:val="TableTextSmall"/>
              <w:keepNext/>
              <w:jc w:val="center"/>
            </w:pPr>
            <w:r w:rsidRPr="00EC326F">
              <w:t>-11</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3FF7BEFF" w14:textId="77777777" w:rsidR="009648FA" w:rsidRPr="00EC326F" w:rsidRDefault="009648FA" w:rsidP="009648FA">
            <w:pPr>
              <w:pStyle w:val="TableTextSmall"/>
              <w:keepNext/>
              <w:jc w:val="center"/>
              <w:rPr>
                <w:color w:val="808080"/>
              </w:rPr>
            </w:pPr>
            <w:r w:rsidRPr="00EC326F">
              <w:rPr>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1E670432" w14:textId="77777777" w:rsidR="009648FA" w:rsidRPr="00EC326F" w:rsidRDefault="009648FA" w:rsidP="009648FA">
            <w:pPr>
              <w:pStyle w:val="TableTextSmall"/>
              <w:keepNext/>
              <w:jc w:val="center"/>
            </w:pPr>
            <w:r w:rsidRPr="00EC326F">
              <w:t>-13</w:t>
            </w:r>
          </w:p>
        </w:tc>
        <w:tc>
          <w:tcPr>
            <w:tcW w:w="1283" w:type="dxa"/>
            <w:tcBorders>
              <w:top w:val="single" w:sz="4" w:space="0" w:color="E02628"/>
              <w:left w:val="nil"/>
              <w:bottom w:val="single" w:sz="4" w:space="0" w:color="E02628"/>
              <w:right w:val="nil"/>
            </w:tcBorders>
            <w:shd w:val="clear" w:color="000000" w:fill="FFFFFF"/>
            <w:vAlign w:val="center"/>
          </w:tcPr>
          <w:p w14:paraId="00FD941D" w14:textId="0F29EEBB" w:rsidR="009648FA" w:rsidRPr="00EC326F" w:rsidRDefault="009648FA" w:rsidP="009648FA">
            <w:pPr>
              <w:pStyle w:val="TableTextSmall"/>
              <w:keepNext/>
              <w:jc w:val="center"/>
            </w:pPr>
            <w:r>
              <w:t>-1</w:t>
            </w:r>
          </w:p>
        </w:tc>
        <w:tc>
          <w:tcPr>
            <w:tcW w:w="1418" w:type="dxa"/>
            <w:tcBorders>
              <w:top w:val="single" w:sz="4" w:space="0" w:color="E02628"/>
              <w:left w:val="nil"/>
              <w:bottom w:val="single" w:sz="4" w:space="0" w:color="E02628"/>
              <w:right w:val="nil"/>
            </w:tcBorders>
            <w:shd w:val="clear" w:color="000000" w:fill="FFFFFF"/>
            <w:noWrap/>
            <w:vAlign w:val="center"/>
          </w:tcPr>
          <w:p w14:paraId="7118B78C" w14:textId="6CFDEADA" w:rsidR="009648FA" w:rsidRPr="00EC326F" w:rsidRDefault="009648FA" w:rsidP="009648FA">
            <w:pPr>
              <w:pStyle w:val="TableTextSmall"/>
              <w:keepNext/>
              <w:jc w:val="center"/>
            </w:pPr>
            <w:r w:rsidRPr="00EC326F">
              <w:t>+</w:t>
            </w:r>
            <w:r>
              <w:t>3</w:t>
            </w:r>
          </w:p>
        </w:tc>
      </w:tr>
      <w:tr w:rsidR="009648FA" w:rsidRPr="00EC326F" w14:paraId="2E1C1377"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11918A96" w14:textId="77777777" w:rsidR="009648FA" w:rsidRPr="00EC326F" w:rsidRDefault="009648FA" w:rsidP="009648FA">
            <w:pPr>
              <w:pStyle w:val="TableTextSmall"/>
              <w:keepNext/>
              <w:rPr>
                <w:snapToGrid/>
                <w:lang w:eastAsia="en-AU"/>
              </w:rPr>
            </w:pPr>
            <w:r w:rsidRPr="00EC326F">
              <w:rPr>
                <w:snapToGrid/>
                <w:lang w:eastAsia="en-AU"/>
              </w:rPr>
              <w:t>- 3 Parenting</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177E5823" w14:textId="77777777" w:rsidR="009648FA" w:rsidRPr="00EC326F" w:rsidRDefault="009648FA" w:rsidP="009648FA">
            <w:pPr>
              <w:pStyle w:val="TableTextSmall"/>
              <w:keepNext/>
              <w:jc w:val="center"/>
            </w:pPr>
            <w:r w:rsidRPr="00EC326F">
              <w:t>+33</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650800AB" w14:textId="77777777" w:rsidR="009648FA" w:rsidRPr="009648FA" w:rsidRDefault="009648FA" w:rsidP="009648FA">
            <w:pPr>
              <w:pStyle w:val="TableTextSmall"/>
              <w:keepNext/>
              <w:jc w:val="center"/>
              <w:rPr>
                <w:color w:val="808080"/>
              </w:rPr>
            </w:pPr>
            <w:r w:rsidRPr="009648FA">
              <w:rPr>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7F0E84AC" w14:textId="77777777" w:rsidR="009648FA" w:rsidRPr="00EC326F" w:rsidRDefault="009648FA" w:rsidP="009648FA">
            <w:pPr>
              <w:pStyle w:val="TableTextSmall"/>
              <w:keepNext/>
              <w:jc w:val="center"/>
            </w:pPr>
            <w:r w:rsidRPr="00EC326F">
              <w:t>-9</w:t>
            </w:r>
          </w:p>
        </w:tc>
        <w:tc>
          <w:tcPr>
            <w:tcW w:w="1283" w:type="dxa"/>
            <w:tcBorders>
              <w:top w:val="single" w:sz="4" w:space="0" w:color="E02628"/>
              <w:left w:val="nil"/>
              <w:bottom w:val="single" w:sz="4" w:space="0" w:color="E02628"/>
              <w:right w:val="nil"/>
            </w:tcBorders>
            <w:shd w:val="clear" w:color="000000" w:fill="FFFFFF"/>
            <w:vAlign w:val="center"/>
          </w:tcPr>
          <w:p w14:paraId="5E759684" w14:textId="6E7DA29F" w:rsidR="009648FA" w:rsidRPr="00EC326F" w:rsidRDefault="009648FA" w:rsidP="009648FA">
            <w:pPr>
              <w:pStyle w:val="TableTextSmall"/>
              <w:keepNext/>
              <w:jc w:val="center"/>
            </w:pPr>
            <w:r>
              <w:t>-6</w:t>
            </w:r>
          </w:p>
        </w:tc>
        <w:tc>
          <w:tcPr>
            <w:tcW w:w="1418" w:type="dxa"/>
            <w:tcBorders>
              <w:top w:val="single" w:sz="4" w:space="0" w:color="E02628"/>
              <w:left w:val="nil"/>
              <w:bottom w:val="single" w:sz="4" w:space="0" w:color="E02628"/>
              <w:right w:val="nil"/>
            </w:tcBorders>
            <w:shd w:val="clear" w:color="000000" w:fill="FFFFFF"/>
            <w:noWrap/>
            <w:vAlign w:val="center"/>
          </w:tcPr>
          <w:p w14:paraId="6B04B18B" w14:textId="6427975E" w:rsidR="009648FA" w:rsidRPr="00EC326F" w:rsidRDefault="009648FA" w:rsidP="009648FA">
            <w:pPr>
              <w:pStyle w:val="TableTextSmall"/>
              <w:keepNext/>
              <w:jc w:val="center"/>
            </w:pPr>
            <w:r w:rsidRPr="00EC326F">
              <w:t>+4</w:t>
            </w:r>
            <w:r>
              <w:t>8</w:t>
            </w:r>
          </w:p>
        </w:tc>
      </w:tr>
      <w:tr w:rsidR="009648FA" w:rsidRPr="00EC326F" w14:paraId="1CF2684A"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06237A5A" w14:textId="77777777" w:rsidR="009648FA" w:rsidRPr="00EC326F" w:rsidRDefault="009648FA" w:rsidP="009648FA">
            <w:pPr>
              <w:pStyle w:val="TableTextSmall"/>
              <w:keepNext/>
              <w:rPr>
                <w:snapToGrid/>
                <w:lang w:eastAsia="en-AU"/>
              </w:rPr>
            </w:pPr>
            <w:r w:rsidRPr="00EC326F">
              <w:rPr>
                <w:snapToGrid/>
                <w:lang w:eastAsia="en-AU"/>
              </w:rPr>
              <w:t>- 4 Carers</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1A197210" w14:textId="77777777" w:rsidR="009648FA" w:rsidRPr="00EC326F" w:rsidRDefault="009648FA" w:rsidP="009648FA">
            <w:pPr>
              <w:pStyle w:val="TableTextSmall"/>
              <w:keepNext/>
              <w:jc w:val="center"/>
            </w:pPr>
            <w:r w:rsidRPr="00EC326F">
              <w:t>+27</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5D399F76" w14:textId="77777777" w:rsidR="009648FA" w:rsidRPr="00EC326F" w:rsidRDefault="009648FA" w:rsidP="009648FA">
            <w:pPr>
              <w:pStyle w:val="TableTextSmall"/>
              <w:keepNext/>
              <w:jc w:val="center"/>
              <w:rPr>
                <w:color w:val="808080"/>
              </w:rPr>
            </w:pPr>
            <w:r w:rsidRPr="00EC326F">
              <w:rPr>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06A74EEF" w14:textId="77777777" w:rsidR="009648FA" w:rsidRPr="00EC326F" w:rsidRDefault="009648FA" w:rsidP="009648FA">
            <w:pPr>
              <w:pStyle w:val="TableTextSmall"/>
              <w:keepNext/>
              <w:jc w:val="center"/>
            </w:pPr>
            <w:r w:rsidRPr="00EC326F">
              <w:t>-4</w:t>
            </w:r>
          </w:p>
        </w:tc>
        <w:tc>
          <w:tcPr>
            <w:tcW w:w="1283" w:type="dxa"/>
            <w:tcBorders>
              <w:top w:val="single" w:sz="4" w:space="0" w:color="E02628"/>
              <w:left w:val="nil"/>
              <w:bottom w:val="single" w:sz="4" w:space="0" w:color="E02628"/>
              <w:right w:val="nil"/>
            </w:tcBorders>
            <w:shd w:val="clear" w:color="000000" w:fill="FFFFFF"/>
            <w:vAlign w:val="center"/>
          </w:tcPr>
          <w:p w14:paraId="33DB1AD9" w14:textId="2B19D545" w:rsidR="009648FA" w:rsidRPr="00EC326F" w:rsidRDefault="009648FA" w:rsidP="009648FA">
            <w:pPr>
              <w:pStyle w:val="TableTextSmall"/>
              <w:keepNext/>
              <w:jc w:val="center"/>
            </w:pPr>
            <w:r>
              <w:t>-1</w:t>
            </w:r>
          </w:p>
        </w:tc>
        <w:tc>
          <w:tcPr>
            <w:tcW w:w="1418" w:type="dxa"/>
            <w:tcBorders>
              <w:top w:val="single" w:sz="4" w:space="0" w:color="E02628"/>
              <w:left w:val="nil"/>
              <w:bottom w:val="single" w:sz="4" w:space="0" w:color="E02628"/>
              <w:right w:val="nil"/>
            </w:tcBorders>
            <w:shd w:val="clear" w:color="000000" w:fill="FFFFFF"/>
            <w:noWrap/>
            <w:vAlign w:val="center"/>
          </w:tcPr>
          <w:p w14:paraId="5B8BCADD" w14:textId="5DE6D9D2" w:rsidR="009648FA" w:rsidRPr="00EC326F" w:rsidRDefault="009648FA" w:rsidP="009648FA">
            <w:pPr>
              <w:pStyle w:val="TableTextSmall"/>
              <w:keepNext/>
              <w:jc w:val="center"/>
            </w:pPr>
            <w:r w:rsidRPr="00EC326F">
              <w:t>+3</w:t>
            </w:r>
            <w:r>
              <w:t>1</w:t>
            </w:r>
          </w:p>
        </w:tc>
      </w:tr>
      <w:tr w:rsidR="009648FA" w:rsidRPr="00EC326F" w14:paraId="19A9B2A4"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1A9796DB" w14:textId="77777777" w:rsidR="009648FA" w:rsidRPr="00EC326F" w:rsidRDefault="009648FA" w:rsidP="009648FA">
            <w:pPr>
              <w:pStyle w:val="TableTextSmall"/>
              <w:keepNext/>
              <w:rPr>
                <w:snapToGrid/>
                <w:lang w:eastAsia="en-AU"/>
              </w:rPr>
            </w:pPr>
            <w:r w:rsidRPr="00EC326F">
              <w:rPr>
                <w:snapToGrid/>
                <w:lang w:eastAsia="en-AU"/>
              </w:rPr>
              <w:t>- 5 Disability Support</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44831D56" w14:textId="77777777" w:rsidR="009648FA" w:rsidRPr="00EC326F" w:rsidRDefault="009648FA" w:rsidP="009648FA">
            <w:pPr>
              <w:pStyle w:val="TableTextSmall"/>
              <w:keepNext/>
              <w:jc w:val="center"/>
            </w:pPr>
            <w:r w:rsidRPr="00EC326F">
              <w:t>+34</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7509348C" w14:textId="77777777" w:rsidR="009648FA" w:rsidRPr="00EC326F" w:rsidRDefault="009648FA" w:rsidP="009648FA">
            <w:pPr>
              <w:pStyle w:val="TableTextSmall"/>
              <w:keepNext/>
              <w:jc w:val="center"/>
              <w:rPr>
                <w:color w:val="808080"/>
              </w:rPr>
            </w:pPr>
            <w:r w:rsidRPr="00EC326F">
              <w:rPr>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7D31C38F" w14:textId="77777777" w:rsidR="009648FA" w:rsidRPr="00EC326F" w:rsidRDefault="009648FA" w:rsidP="009648FA">
            <w:pPr>
              <w:pStyle w:val="TableTextSmall"/>
              <w:keepNext/>
              <w:jc w:val="center"/>
            </w:pPr>
            <w:r w:rsidRPr="00EC326F">
              <w:rPr>
                <w:color w:val="808080"/>
              </w:rPr>
              <w:t>&lt; 1</w:t>
            </w:r>
          </w:p>
        </w:tc>
        <w:tc>
          <w:tcPr>
            <w:tcW w:w="1283" w:type="dxa"/>
            <w:tcBorders>
              <w:top w:val="single" w:sz="4" w:space="0" w:color="E02628"/>
              <w:left w:val="nil"/>
              <w:bottom w:val="single" w:sz="4" w:space="0" w:color="E02628"/>
              <w:right w:val="nil"/>
            </w:tcBorders>
            <w:shd w:val="clear" w:color="000000" w:fill="FFFFFF"/>
            <w:vAlign w:val="center"/>
          </w:tcPr>
          <w:p w14:paraId="15E06762" w14:textId="0ED5CB83" w:rsidR="009648FA" w:rsidRPr="00EC326F" w:rsidRDefault="009648FA" w:rsidP="009648FA">
            <w:pPr>
              <w:pStyle w:val="TableTextSmall"/>
              <w:keepNext/>
              <w:jc w:val="center"/>
            </w:pPr>
            <w:r>
              <w:rPr>
                <w:color w:val="808080"/>
              </w:rPr>
              <w:t xml:space="preserve">&lt; </w:t>
            </w:r>
            <w:r w:rsidRPr="00EC326F">
              <w:rPr>
                <w:color w:val="808080"/>
              </w:rPr>
              <w:t>1</w:t>
            </w:r>
          </w:p>
        </w:tc>
        <w:tc>
          <w:tcPr>
            <w:tcW w:w="1418" w:type="dxa"/>
            <w:tcBorders>
              <w:top w:val="single" w:sz="4" w:space="0" w:color="E02628"/>
              <w:left w:val="nil"/>
              <w:bottom w:val="single" w:sz="4" w:space="0" w:color="E02628"/>
              <w:right w:val="nil"/>
            </w:tcBorders>
            <w:shd w:val="clear" w:color="000000" w:fill="FFFFFF"/>
            <w:noWrap/>
            <w:vAlign w:val="center"/>
          </w:tcPr>
          <w:p w14:paraId="792849F2" w14:textId="1D511B08" w:rsidR="009648FA" w:rsidRPr="00EC326F" w:rsidRDefault="009648FA" w:rsidP="009648FA">
            <w:pPr>
              <w:pStyle w:val="TableTextSmall"/>
              <w:keepNext/>
              <w:jc w:val="center"/>
            </w:pPr>
            <w:r w:rsidRPr="00EC326F">
              <w:t>+33</w:t>
            </w:r>
          </w:p>
        </w:tc>
      </w:tr>
      <w:tr w:rsidR="009648FA" w:rsidRPr="00EC326F" w14:paraId="117B20BF"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1E36FC72" w14:textId="77777777" w:rsidR="009648FA" w:rsidRPr="00EC326F" w:rsidRDefault="009648FA" w:rsidP="009648FA">
            <w:pPr>
              <w:pStyle w:val="TableTextSmall"/>
              <w:keepNext/>
              <w:rPr>
                <w:snapToGrid/>
                <w:lang w:eastAsia="en-AU"/>
              </w:rPr>
            </w:pPr>
            <w:r w:rsidRPr="00EC326F">
              <w:rPr>
                <w:snapToGrid/>
                <w:lang w:eastAsia="en-AU"/>
              </w:rPr>
              <w:t>- 6 Pension Age</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3E7F641A" w14:textId="77777777" w:rsidR="009648FA" w:rsidRPr="00EC326F" w:rsidRDefault="009648FA" w:rsidP="009648FA">
            <w:pPr>
              <w:pStyle w:val="TableTextSmall"/>
              <w:keepNext/>
              <w:jc w:val="center"/>
            </w:pPr>
            <w:r w:rsidRPr="00EC326F">
              <w:rPr>
                <w:color w:val="808080"/>
              </w:rPr>
              <w:t>&lt; 1</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3830063F" w14:textId="77777777" w:rsidR="009648FA" w:rsidRPr="00EC326F" w:rsidRDefault="009648FA" w:rsidP="009648FA">
            <w:pPr>
              <w:pStyle w:val="TableTextSmall"/>
              <w:keepNext/>
              <w:jc w:val="center"/>
              <w:rPr>
                <w:color w:val="808080"/>
              </w:rPr>
            </w:pPr>
            <w:r w:rsidRPr="00EC326F">
              <w:rPr>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256C7FB2" w14:textId="77777777" w:rsidR="009648FA" w:rsidRPr="00EC326F" w:rsidRDefault="009648FA" w:rsidP="009648FA">
            <w:pPr>
              <w:pStyle w:val="TableTextSmall"/>
              <w:keepNext/>
              <w:jc w:val="center"/>
            </w:pPr>
            <w:r w:rsidRPr="00EC326F">
              <w:rPr>
                <w:color w:val="808080"/>
              </w:rPr>
              <w:t>&lt; 1</w:t>
            </w:r>
          </w:p>
        </w:tc>
        <w:tc>
          <w:tcPr>
            <w:tcW w:w="1283" w:type="dxa"/>
            <w:tcBorders>
              <w:top w:val="single" w:sz="4" w:space="0" w:color="E02628"/>
              <w:left w:val="nil"/>
              <w:bottom w:val="single" w:sz="4" w:space="0" w:color="E02628"/>
              <w:right w:val="nil"/>
            </w:tcBorders>
            <w:shd w:val="clear" w:color="000000" w:fill="FFFFFF"/>
            <w:vAlign w:val="center"/>
          </w:tcPr>
          <w:p w14:paraId="38EA902D" w14:textId="0B3A5F23" w:rsidR="009648FA" w:rsidRPr="00EC326F" w:rsidRDefault="009648FA" w:rsidP="009648FA">
            <w:pPr>
              <w:pStyle w:val="TableTextSmall"/>
              <w:keepNext/>
              <w:jc w:val="center"/>
              <w:rPr>
                <w:color w:val="808080"/>
              </w:rPr>
            </w:pPr>
            <w:r w:rsidRPr="00EC326F">
              <w:rPr>
                <w:color w:val="808080"/>
              </w:rPr>
              <w:t>&lt; 1</w:t>
            </w:r>
          </w:p>
        </w:tc>
        <w:tc>
          <w:tcPr>
            <w:tcW w:w="1418" w:type="dxa"/>
            <w:tcBorders>
              <w:top w:val="single" w:sz="4" w:space="0" w:color="E02628"/>
              <w:left w:val="nil"/>
              <w:bottom w:val="single" w:sz="4" w:space="0" w:color="E02628"/>
              <w:right w:val="nil"/>
            </w:tcBorders>
            <w:shd w:val="clear" w:color="000000" w:fill="FFFFFF"/>
            <w:noWrap/>
            <w:vAlign w:val="center"/>
          </w:tcPr>
          <w:p w14:paraId="4E6B9D37" w14:textId="0B958F02" w:rsidR="009648FA" w:rsidRPr="00EC326F" w:rsidRDefault="009648FA" w:rsidP="009648FA">
            <w:pPr>
              <w:pStyle w:val="TableTextSmall"/>
              <w:keepNext/>
              <w:jc w:val="center"/>
            </w:pPr>
            <w:r w:rsidRPr="00EC326F">
              <w:rPr>
                <w:color w:val="808080"/>
              </w:rPr>
              <w:t>&lt; 1</w:t>
            </w:r>
          </w:p>
        </w:tc>
      </w:tr>
      <w:tr w:rsidR="009648FA" w:rsidRPr="00EC326F" w14:paraId="55891C99"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3BA40A17" w14:textId="77777777" w:rsidR="009648FA" w:rsidRPr="00EC326F" w:rsidRDefault="009648FA" w:rsidP="009648FA">
            <w:pPr>
              <w:pStyle w:val="TableTextSmall"/>
              <w:keepNext/>
              <w:rPr>
                <w:snapToGrid/>
                <w:lang w:eastAsia="en-AU"/>
              </w:rPr>
            </w:pPr>
            <w:r w:rsidRPr="00EC326F">
              <w:rPr>
                <w:snapToGrid/>
                <w:lang w:eastAsia="en-AU"/>
              </w:rPr>
              <w:t>- 7 Non IS Family</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1F23F1DE" w14:textId="77777777" w:rsidR="009648FA" w:rsidRPr="00EC326F" w:rsidRDefault="009648FA" w:rsidP="009648FA">
            <w:pPr>
              <w:pStyle w:val="TableTextSmall"/>
              <w:keepNext/>
              <w:jc w:val="center"/>
            </w:pPr>
            <w:r w:rsidRPr="00EC326F">
              <w:t>-27</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41029F80" w14:textId="77777777" w:rsidR="009648FA" w:rsidRPr="00EC326F" w:rsidRDefault="009648FA" w:rsidP="009648FA">
            <w:pPr>
              <w:pStyle w:val="TableTextSmall"/>
              <w:keepNext/>
              <w:jc w:val="center"/>
              <w:rPr>
                <w:color w:val="808080"/>
              </w:rPr>
            </w:pPr>
            <w:r w:rsidRPr="00EC326F">
              <w:rPr>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1CADC0C7" w14:textId="77777777" w:rsidR="009648FA" w:rsidRPr="00EC326F" w:rsidRDefault="009648FA" w:rsidP="009648FA">
            <w:pPr>
              <w:pStyle w:val="TableTextSmall"/>
              <w:keepNext/>
              <w:jc w:val="center"/>
            </w:pPr>
            <w:r w:rsidRPr="00EC326F">
              <w:t>-7</w:t>
            </w:r>
          </w:p>
        </w:tc>
        <w:tc>
          <w:tcPr>
            <w:tcW w:w="1283" w:type="dxa"/>
            <w:tcBorders>
              <w:top w:val="single" w:sz="4" w:space="0" w:color="E02628"/>
              <w:left w:val="nil"/>
              <w:bottom w:val="single" w:sz="4" w:space="0" w:color="E02628"/>
              <w:right w:val="nil"/>
            </w:tcBorders>
            <w:shd w:val="clear" w:color="000000" w:fill="FFFFFF"/>
            <w:vAlign w:val="center"/>
          </w:tcPr>
          <w:p w14:paraId="26B605AE" w14:textId="3AED11AB" w:rsidR="009648FA" w:rsidRPr="00EC326F" w:rsidRDefault="009648FA" w:rsidP="009648FA">
            <w:pPr>
              <w:pStyle w:val="TableTextSmall"/>
              <w:keepNext/>
              <w:jc w:val="center"/>
            </w:pPr>
            <w:r w:rsidRPr="00EC326F">
              <w:t>-2</w:t>
            </w:r>
          </w:p>
        </w:tc>
        <w:tc>
          <w:tcPr>
            <w:tcW w:w="1418" w:type="dxa"/>
            <w:tcBorders>
              <w:top w:val="single" w:sz="4" w:space="0" w:color="E02628"/>
              <w:left w:val="nil"/>
              <w:bottom w:val="single" w:sz="4" w:space="0" w:color="E02628"/>
              <w:right w:val="nil"/>
            </w:tcBorders>
            <w:shd w:val="clear" w:color="000000" w:fill="FFFFFF"/>
            <w:noWrap/>
            <w:vAlign w:val="center"/>
          </w:tcPr>
          <w:p w14:paraId="50C94C83" w14:textId="7C3F43F9" w:rsidR="009648FA" w:rsidRPr="00EC326F" w:rsidRDefault="009648FA" w:rsidP="009648FA">
            <w:pPr>
              <w:pStyle w:val="TableTextSmall"/>
              <w:keepNext/>
              <w:jc w:val="center"/>
            </w:pPr>
            <w:r w:rsidRPr="00EC326F">
              <w:t>-</w:t>
            </w:r>
            <w:r>
              <w:t>19</w:t>
            </w:r>
          </w:p>
        </w:tc>
      </w:tr>
      <w:tr w:rsidR="009648FA" w:rsidRPr="00EC326F" w14:paraId="69FD7CA5"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081AFFB7" w14:textId="77777777" w:rsidR="009648FA" w:rsidRPr="00EC326F" w:rsidRDefault="009648FA" w:rsidP="009648FA">
            <w:pPr>
              <w:pStyle w:val="TableTextSmall"/>
              <w:keepNext/>
              <w:rPr>
                <w:snapToGrid/>
                <w:lang w:eastAsia="en-AU"/>
              </w:rPr>
            </w:pPr>
            <w:r w:rsidRPr="00EC326F">
              <w:rPr>
                <w:snapToGrid/>
                <w:lang w:eastAsia="en-AU"/>
              </w:rPr>
              <w:t>- 8 Non IS Carer</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0ED0B2B3" w14:textId="77777777" w:rsidR="009648FA" w:rsidRPr="00EC326F" w:rsidRDefault="009648FA" w:rsidP="009648FA">
            <w:pPr>
              <w:pStyle w:val="TableTextSmall"/>
              <w:keepNext/>
              <w:jc w:val="center"/>
            </w:pPr>
            <w:r w:rsidRPr="00EC326F">
              <w:t>-7</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77643EBD" w14:textId="77777777" w:rsidR="009648FA" w:rsidRPr="00EC326F" w:rsidRDefault="009648FA" w:rsidP="009648FA">
            <w:pPr>
              <w:pStyle w:val="TableTextSmall"/>
              <w:keepNext/>
              <w:jc w:val="center"/>
              <w:rPr>
                <w:color w:val="808080"/>
              </w:rPr>
            </w:pPr>
            <w:r w:rsidRPr="00EC326F">
              <w:rPr>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5BC7BDF6" w14:textId="77777777" w:rsidR="009648FA" w:rsidRPr="00EC326F" w:rsidRDefault="009648FA" w:rsidP="009648FA">
            <w:pPr>
              <w:pStyle w:val="TableTextSmall"/>
              <w:keepNext/>
              <w:jc w:val="center"/>
            </w:pPr>
            <w:r w:rsidRPr="00EC326F">
              <w:t>-3</w:t>
            </w:r>
          </w:p>
        </w:tc>
        <w:tc>
          <w:tcPr>
            <w:tcW w:w="1283" w:type="dxa"/>
            <w:tcBorders>
              <w:top w:val="single" w:sz="4" w:space="0" w:color="E02628"/>
              <w:left w:val="nil"/>
              <w:bottom w:val="single" w:sz="4" w:space="0" w:color="E02628"/>
              <w:right w:val="nil"/>
            </w:tcBorders>
            <w:shd w:val="clear" w:color="000000" w:fill="FFFFFF"/>
            <w:vAlign w:val="center"/>
          </w:tcPr>
          <w:p w14:paraId="3DF96D0E" w14:textId="53CD3F84" w:rsidR="009648FA" w:rsidRPr="00EC326F" w:rsidRDefault="009648FA" w:rsidP="009648FA">
            <w:pPr>
              <w:pStyle w:val="TableTextSmall"/>
              <w:keepNext/>
              <w:jc w:val="center"/>
            </w:pPr>
            <w:r w:rsidRPr="00EC326F">
              <w:t>-</w:t>
            </w:r>
            <w:r>
              <w:t>1</w:t>
            </w:r>
          </w:p>
        </w:tc>
        <w:tc>
          <w:tcPr>
            <w:tcW w:w="1418" w:type="dxa"/>
            <w:tcBorders>
              <w:top w:val="single" w:sz="4" w:space="0" w:color="E02628"/>
              <w:left w:val="nil"/>
              <w:bottom w:val="single" w:sz="4" w:space="0" w:color="E02628"/>
              <w:right w:val="nil"/>
            </w:tcBorders>
            <w:shd w:val="clear" w:color="000000" w:fill="FFFFFF"/>
            <w:noWrap/>
            <w:vAlign w:val="center"/>
          </w:tcPr>
          <w:p w14:paraId="18CF7663" w14:textId="221F9CDF" w:rsidR="009648FA" w:rsidRPr="00EC326F" w:rsidRDefault="009648FA" w:rsidP="009648FA">
            <w:pPr>
              <w:pStyle w:val="TableTextSmall"/>
              <w:keepNext/>
              <w:jc w:val="center"/>
            </w:pPr>
            <w:r w:rsidRPr="00EC326F">
              <w:t>-</w:t>
            </w:r>
            <w:r>
              <w:t>3</w:t>
            </w:r>
          </w:p>
        </w:tc>
      </w:tr>
      <w:tr w:rsidR="009648FA" w:rsidRPr="00EC326F" w14:paraId="3189C7E2"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3CA3A720" w14:textId="77777777" w:rsidR="009648FA" w:rsidRPr="00EC326F" w:rsidRDefault="009648FA" w:rsidP="009648FA">
            <w:pPr>
              <w:pStyle w:val="TableTextSmall"/>
              <w:keepNext/>
              <w:rPr>
                <w:snapToGrid/>
                <w:lang w:eastAsia="en-AU"/>
              </w:rPr>
            </w:pPr>
            <w:r w:rsidRPr="00EC326F">
              <w:rPr>
                <w:snapToGrid/>
                <w:lang w:eastAsia="en-AU"/>
              </w:rPr>
              <w:t>- 9 Non IS Other</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6D4F40A7" w14:textId="77777777" w:rsidR="009648FA" w:rsidRPr="00EC326F" w:rsidRDefault="009648FA" w:rsidP="009648FA">
            <w:pPr>
              <w:pStyle w:val="TableTextSmall"/>
              <w:keepNext/>
              <w:jc w:val="center"/>
            </w:pPr>
            <w:r w:rsidRPr="00EC326F">
              <w:t>-19</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14703231" w14:textId="77777777" w:rsidR="009648FA" w:rsidRPr="00EC326F" w:rsidRDefault="009648FA" w:rsidP="009648FA">
            <w:pPr>
              <w:pStyle w:val="TableTextSmall"/>
              <w:keepNext/>
              <w:jc w:val="center"/>
              <w:rPr>
                <w:color w:val="808080"/>
              </w:rPr>
            </w:pPr>
            <w:r w:rsidRPr="00EC326F">
              <w:rPr>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2F424E74" w14:textId="77777777" w:rsidR="009648FA" w:rsidRPr="00EC326F" w:rsidRDefault="009648FA" w:rsidP="009648FA">
            <w:pPr>
              <w:pStyle w:val="TableTextSmall"/>
              <w:keepNext/>
              <w:jc w:val="center"/>
            </w:pPr>
            <w:r w:rsidRPr="00EC326F">
              <w:t>-4</w:t>
            </w:r>
          </w:p>
        </w:tc>
        <w:tc>
          <w:tcPr>
            <w:tcW w:w="1283" w:type="dxa"/>
            <w:tcBorders>
              <w:top w:val="single" w:sz="4" w:space="0" w:color="E02628"/>
              <w:left w:val="nil"/>
              <w:bottom w:val="single" w:sz="4" w:space="0" w:color="E02628"/>
              <w:right w:val="nil"/>
            </w:tcBorders>
            <w:shd w:val="clear" w:color="000000" w:fill="FFFFFF"/>
            <w:vAlign w:val="center"/>
          </w:tcPr>
          <w:p w14:paraId="47922383" w14:textId="040A7FB3" w:rsidR="009648FA" w:rsidRPr="00EC326F" w:rsidRDefault="009648FA" w:rsidP="009648FA">
            <w:pPr>
              <w:pStyle w:val="TableTextSmall"/>
              <w:keepNext/>
              <w:jc w:val="center"/>
            </w:pPr>
            <w:r w:rsidRPr="00EC326F">
              <w:t>-1</w:t>
            </w:r>
          </w:p>
        </w:tc>
        <w:tc>
          <w:tcPr>
            <w:tcW w:w="1418" w:type="dxa"/>
            <w:tcBorders>
              <w:top w:val="single" w:sz="4" w:space="0" w:color="E02628"/>
              <w:left w:val="nil"/>
              <w:bottom w:val="single" w:sz="4" w:space="0" w:color="E02628"/>
              <w:right w:val="nil"/>
            </w:tcBorders>
            <w:shd w:val="clear" w:color="000000" w:fill="FFFFFF"/>
            <w:noWrap/>
            <w:vAlign w:val="center"/>
          </w:tcPr>
          <w:p w14:paraId="1DC88B04" w14:textId="31D1E2C4" w:rsidR="009648FA" w:rsidRPr="00EC326F" w:rsidRDefault="009648FA" w:rsidP="009648FA">
            <w:pPr>
              <w:pStyle w:val="TableTextSmall"/>
              <w:keepNext/>
              <w:jc w:val="center"/>
            </w:pPr>
            <w:r w:rsidRPr="00EC326F">
              <w:t>-1</w:t>
            </w:r>
            <w:r>
              <w:t>3</w:t>
            </w:r>
          </w:p>
        </w:tc>
      </w:tr>
      <w:tr w:rsidR="009648FA" w:rsidRPr="00EC326F" w14:paraId="1E66389C"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0DC6021F" w14:textId="77777777" w:rsidR="009648FA" w:rsidRPr="00EC326F" w:rsidRDefault="009648FA" w:rsidP="009648FA">
            <w:pPr>
              <w:pStyle w:val="TableTextSmall"/>
              <w:keepNext/>
              <w:rPr>
                <w:snapToGrid/>
                <w:lang w:eastAsia="en-AU"/>
              </w:rPr>
            </w:pPr>
            <w:r w:rsidRPr="00EC326F">
              <w:rPr>
                <w:i/>
                <w:snapToGrid/>
                <w:lang w:eastAsia="en-AU"/>
              </w:rPr>
              <w:t>Total current welfare recipients</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004C0AA6" w14:textId="77777777" w:rsidR="009648FA" w:rsidRPr="00EC326F" w:rsidRDefault="009648FA" w:rsidP="009648FA">
            <w:pPr>
              <w:pStyle w:val="TableTextSmall"/>
              <w:keepNext/>
              <w:jc w:val="center"/>
              <w:rPr>
                <w:i/>
              </w:rPr>
            </w:pPr>
            <w:r w:rsidRPr="00EC326F">
              <w:rPr>
                <w:i/>
              </w:rPr>
              <w:t>-</w:t>
            </w:r>
            <w:r>
              <w:rPr>
                <w:i/>
              </w:rPr>
              <w:t>5</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00413C4E" w14:textId="77777777" w:rsidR="009648FA" w:rsidRPr="00EC326F" w:rsidRDefault="009648FA" w:rsidP="009648FA">
            <w:pPr>
              <w:pStyle w:val="TableTextSmall"/>
              <w:keepNext/>
              <w:jc w:val="center"/>
              <w:rPr>
                <w:i/>
                <w:color w:val="808080"/>
              </w:rPr>
            </w:pPr>
            <w:r w:rsidRPr="00EC326F">
              <w:rPr>
                <w:i/>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61B32014" w14:textId="77777777" w:rsidR="009648FA" w:rsidRPr="00EC326F" w:rsidRDefault="009648FA" w:rsidP="009648FA">
            <w:pPr>
              <w:pStyle w:val="TableTextSmall"/>
              <w:keepNext/>
              <w:jc w:val="center"/>
              <w:rPr>
                <w:i/>
              </w:rPr>
            </w:pPr>
            <w:r w:rsidRPr="00EC326F">
              <w:rPr>
                <w:i/>
              </w:rPr>
              <w:t>-5</w:t>
            </w:r>
          </w:p>
        </w:tc>
        <w:tc>
          <w:tcPr>
            <w:tcW w:w="1283" w:type="dxa"/>
            <w:tcBorders>
              <w:top w:val="single" w:sz="4" w:space="0" w:color="E02628"/>
              <w:left w:val="nil"/>
              <w:bottom w:val="single" w:sz="4" w:space="0" w:color="E02628"/>
              <w:right w:val="nil"/>
            </w:tcBorders>
            <w:shd w:val="clear" w:color="000000" w:fill="FFFFFF"/>
            <w:vAlign w:val="center"/>
          </w:tcPr>
          <w:p w14:paraId="7C19681C" w14:textId="6C7F3056" w:rsidR="009648FA" w:rsidRPr="009648FA" w:rsidRDefault="009648FA" w:rsidP="009648FA">
            <w:pPr>
              <w:pStyle w:val="TableTextSmall"/>
              <w:keepNext/>
              <w:jc w:val="center"/>
              <w:rPr>
                <w:i/>
                <w:color w:val="808080"/>
              </w:rPr>
            </w:pPr>
            <w:r w:rsidRPr="009648FA">
              <w:rPr>
                <w:i/>
              </w:rPr>
              <w:t>-1</w:t>
            </w:r>
          </w:p>
        </w:tc>
        <w:tc>
          <w:tcPr>
            <w:tcW w:w="1418" w:type="dxa"/>
            <w:tcBorders>
              <w:top w:val="single" w:sz="4" w:space="0" w:color="E02628"/>
              <w:left w:val="nil"/>
              <w:bottom w:val="single" w:sz="4" w:space="0" w:color="E02628"/>
              <w:right w:val="nil"/>
            </w:tcBorders>
            <w:shd w:val="clear" w:color="000000" w:fill="FFFFFF"/>
            <w:noWrap/>
            <w:vAlign w:val="center"/>
          </w:tcPr>
          <w:p w14:paraId="2FE279C5" w14:textId="5BF5452E" w:rsidR="009648FA" w:rsidRPr="00EC326F" w:rsidRDefault="00873FEE" w:rsidP="009648FA">
            <w:pPr>
              <w:pStyle w:val="TableTextSmall"/>
              <w:keepNext/>
              <w:jc w:val="center"/>
              <w:rPr>
                <w:i/>
              </w:rPr>
            </w:pPr>
            <w:r>
              <w:rPr>
                <w:i/>
              </w:rPr>
              <w:t>+</w:t>
            </w:r>
            <w:r w:rsidRPr="009648FA">
              <w:rPr>
                <w:i/>
              </w:rPr>
              <w:t>1</w:t>
            </w:r>
          </w:p>
        </w:tc>
      </w:tr>
      <w:tr w:rsidR="009648FA" w:rsidRPr="00EC326F" w14:paraId="11A1B6FE"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E02628"/>
            <w:noWrap/>
            <w:vAlign w:val="center"/>
            <w:hideMark/>
          </w:tcPr>
          <w:p w14:paraId="52967B6F" w14:textId="77777777" w:rsidR="009648FA" w:rsidRPr="00EC326F" w:rsidRDefault="009648FA" w:rsidP="009648FA">
            <w:pPr>
              <w:pStyle w:val="TableColumnHeadingSmall"/>
              <w:rPr>
                <w:snapToGrid/>
                <w:lang w:eastAsia="en-AU"/>
              </w:rPr>
            </w:pPr>
            <w:r w:rsidRPr="00EC326F">
              <w:rPr>
                <w:snapToGrid/>
                <w:lang w:eastAsia="en-AU"/>
              </w:rPr>
              <w:t>Non welfare recipients</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E02628"/>
            <w:noWrap/>
            <w:vAlign w:val="center"/>
          </w:tcPr>
          <w:p w14:paraId="720A2517" w14:textId="77777777" w:rsidR="009648FA" w:rsidRPr="00EC326F" w:rsidRDefault="009648FA" w:rsidP="009648FA">
            <w:pPr>
              <w:pStyle w:val="TableColumnHeadingSmall"/>
              <w:jc w:val="center"/>
            </w:pPr>
          </w:p>
        </w:tc>
        <w:tc>
          <w:tcPr>
            <w:tcW w:w="1474" w:type="dxa"/>
            <w:tcBorders>
              <w:top w:val="single" w:sz="4" w:space="0" w:color="E02628"/>
              <w:left w:val="single" w:sz="4" w:space="0" w:color="E0301E" w:themeColor="accent6"/>
              <w:bottom w:val="single" w:sz="4" w:space="0" w:color="E02628"/>
              <w:right w:val="nil"/>
            </w:tcBorders>
            <w:shd w:val="clear" w:color="auto" w:fill="E02628"/>
            <w:vAlign w:val="center"/>
          </w:tcPr>
          <w:p w14:paraId="0A3DE669" w14:textId="77777777" w:rsidR="009648FA" w:rsidRPr="00EC326F" w:rsidRDefault="009648FA" w:rsidP="009648FA">
            <w:pPr>
              <w:pStyle w:val="TableColumnHeadingSmall"/>
              <w:jc w:val="center"/>
            </w:pPr>
          </w:p>
        </w:tc>
        <w:tc>
          <w:tcPr>
            <w:tcW w:w="1361" w:type="dxa"/>
            <w:tcBorders>
              <w:top w:val="single" w:sz="4" w:space="0" w:color="E02628"/>
              <w:left w:val="nil"/>
              <w:bottom w:val="single" w:sz="4" w:space="0" w:color="E02628"/>
              <w:right w:val="nil"/>
            </w:tcBorders>
            <w:shd w:val="clear" w:color="auto" w:fill="E02628"/>
            <w:vAlign w:val="center"/>
          </w:tcPr>
          <w:p w14:paraId="03BCF1C9" w14:textId="77777777" w:rsidR="009648FA" w:rsidRPr="00EC326F" w:rsidRDefault="009648FA" w:rsidP="009648FA">
            <w:pPr>
              <w:pStyle w:val="TableColumnHeadingSmall"/>
              <w:jc w:val="center"/>
            </w:pPr>
          </w:p>
        </w:tc>
        <w:tc>
          <w:tcPr>
            <w:tcW w:w="1283" w:type="dxa"/>
            <w:tcBorders>
              <w:top w:val="single" w:sz="4" w:space="0" w:color="E02628"/>
              <w:left w:val="nil"/>
              <w:bottom w:val="single" w:sz="4" w:space="0" w:color="E02628"/>
              <w:right w:val="nil"/>
            </w:tcBorders>
            <w:shd w:val="clear" w:color="auto" w:fill="E02628"/>
            <w:vAlign w:val="center"/>
          </w:tcPr>
          <w:p w14:paraId="4810C028" w14:textId="77777777" w:rsidR="009648FA" w:rsidRPr="00EC326F" w:rsidRDefault="009648FA" w:rsidP="009648FA">
            <w:pPr>
              <w:pStyle w:val="TableColumnHeadingSmall"/>
              <w:jc w:val="center"/>
            </w:pPr>
          </w:p>
        </w:tc>
        <w:tc>
          <w:tcPr>
            <w:tcW w:w="1418" w:type="dxa"/>
            <w:tcBorders>
              <w:top w:val="single" w:sz="4" w:space="0" w:color="E02628"/>
              <w:left w:val="nil"/>
              <w:bottom w:val="single" w:sz="4" w:space="0" w:color="E02628"/>
              <w:right w:val="nil"/>
            </w:tcBorders>
            <w:shd w:val="clear" w:color="auto" w:fill="E02628"/>
            <w:noWrap/>
            <w:vAlign w:val="center"/>
          </w:tcPr>
          <w:p w14:paraId="029462DF" w14:textId="387914FE" w:rsidR="009648FA" w:rsidRPr="00EC326F" w:rsidRDefault="009648FA" w:rsidP="009648FA">
            <w:pPr>
              <w:pStyle w:val="TableColumnHeadingSmall"/>
              <w:jc w:val="center"/>
            </w:pPr>
          </w:p>
        </w:tc>
      </w:tr>
      <w:tr w:rsidR="009648FA" w:rsidRPr="00EC326F" w14:paraId="14B7DFA6"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03F5E7AD" w14:textId="77777777" w:rsidR="009648FA" w:rsidRPr="00EC326F" w:rsidRDefault="009648FA" w:rsidP="009648FA">
            <w:pPr>
              <w:pStyle w:val="TableTextSmall"/>
              <w:rPr>
                <w:snapToGrid/>
                <w:lang w:eastAsia="en-AU"/>
              </w:rPr>
            </w:pPr>
            <w:r w:rsidRPr="00EC326F">
              <w:rPr>
                <w:snapToGrid/>
                <w:lang w:eastAsia="en-AU"/>
              </w:rPr>
              <w:t>- 10 Previous welfare recipients</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0BC58136" w14:textId="77777777" w:rsidR="009648FA" w:rsidRPr="00EC326F" w:rsidRDefault="009648FA" w:rsidP="009648FA">
            <w:pPr>
              <w:pStyle w:val="TableTextSmall"/>
              <w:jc w:val="center"/>
            </w:pPr>
            <w:r w:rsidRPr="00EC326F">
              <w:t>-18</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32FAB249" w14:textId="77777777" w:rsidR="009648FA" w:rsidRPr="00EC326F" w:rsidRDefault="009648FA" w:rsidP="009648FA">
            <w:pPr>
              <w:pStyle w:val="TableTextSmall"/>
              <w:jc w:val="center"/>
              <w:rPr>
                <w:color w:val="808080"/>
              </w:rPr>
            </w:pPr>
            <w:r w:rsidRPr="00EC326F">
              <w:rPr>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569660CD" w14:textId="77777777" w:rsidR="009648FA" w:rsidRPr="00EC326F" w:rsidRDefault="009648FA" w:rsidP="009648FA">
            <w:pPr>
              <w:pStyle w:val="TableTextSmall"/>
              <w:jc w:val="center"/>
            </w:pPr>
            <w:r w:rsidRPr="00EC326F">
              <w:t>-7</w:t>
            </w:r>
          </w:p>
        </w:tc>
        <w:tc>
          <w:tcPr>
            <w:tcW w:w="1283" w:type="dxa"/>
            <w:tcBorders>
              <w:top w:val="single" w:sz="4" w:space="0" w:color="E02628"/>
              <w:left w:val="nil"/>
              <w:bottom w:val="single" w:sz="4" w:space="0" w:color="E02628"/>
              <w:right w:val="nil"/>
            </w:tcBorders>
            <w:shd w:val="clear" w:color="000000" w:fill="FFFFFF"/>
            <w:vAlign w:val="center"/>
          </w:tcPr>
          <w:p w14:paraId="6EC5135F" w14:textId="7C26599E" w:rsidR="009648FA" w:rsidRPr="00EC326F" w:rsidRDefault="009648FA" w:rsidP="009648FA">
            <w:pPr>
              <w:pStyle w:val="TableTextSmall"/>
              <w:jc w:val="center"/>
            </w:pPr>
            <w:r w:rsidRPr="00EC326F">
              <w:rPr>
                <w:color w:val="808080"/>
              </w:rPr>
              <w:t>&lt; 1</w:t>
            </w:r>
          </w:p>
        </w:tc>
        <w:tc>
          <w:tcPr>
            <w:tcW w:w="1418" w:type="dxa"/>
            <w:tcBorders>
              <w:top w:val="single" w:sz="4" w:space="0" w:color="E02628"/>
              <w:left w:val="nil"/>
              <w:bottom w:val="single" w:sz="4" w:space="0" w:color="E02628"/>
              <w:right w:val="nil"/>
            </w:tcBorders>
            <w:shd w:val="clear" w:color="000000" w:fill="FFFFFF"/>
            <w:noWrap/>
            <w:vAlign w:val="center"/>
          </w:tcPr>
          <w:p w14:paraId="620C80D9" w14:textId="6B6BD697" w:rsidR="009648FA" w:rsidRPr="00EC326F" w:rsidRDefault="009648FA" w:rsidP="00873FEE">
            <w:pPr>
              <w:pStyle w:val="TableTextSmall"/>
              <w:jc w:val="center"/>
            </w:pPr>
            <w:r w:rsidRPr="00EC326F">
              <w:t>-1</w:t>
            </w:r>
            <w:r w:rsidR="00873FEE">
              <w:t>1</w:t>
            </w:r>
          </w:p>
        </w:tc>
      </w:tr>
      <w:tr w:rsidR="009648FA" w:rsidRPr="00EC326F" w14:paraId="0AFC535A"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6D0B9C79" w14:textId="77777777" w:rsidR="009648FA" w:rsidRPr="00EC326F" w:rsidRDefault="009648FA" w:rsidP="009648FA">
            <w:pPr>
              <w:pStyle w:val="TableTextSmall"/>
              <w:rPr>
                <w:snapToGrid/>
                <w:lang w:eastAsia="en-AU"/>
              </w:rPr>
            </w:pPr>
            <w:r w:rsidRPr="00EC326F">
              <w:rPr>
                <w:snapToGrid/>
                <w:lang w:eastAsia="en-AU"/>
              </w:rPr>
              <w:t>- 12 Rest of Australian Population</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717EBE7F" w14:textId="77777777" w:rsidR="009648FA" w:rsidRPr="00EC326F" w:rsidRDefault="009648FA" w:rsidP="009648FA">
            <w:pPr>
              <w:pStyle w:val="TableTextSmall"/>
              <w:jc w:val="center"/>
            </w:pPr>
            <w:r w:rsidRPr="00EC326F">
              <w:t>-16</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265F07BF" w14:textId="77777777" w:rsidR="009648FA" w:rsidRPr="00EC326F" w:rsidRDefault="009648FA" w:rsidP="009648FA">
            <w:pPr>
              <w:pStyle w:val="TableTextSmall"/>
              <w:jc w:val="center"/>
              <w:rPr>
                <w:color w:val="808080"/>
              </w:rPr>
            </w:pPr>
            <w:r w:rsidRPr="00EC326F">
              <w:rPr>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26B8FCBC" w14:textId="77777777" w:rsidR="009648FA" w:rsidRPr="00EC326F" w:rsidRDefault="009648FA" w:rsidP="009648FA">
            <w:pPr>
              <w:pStyle w:val="TableTextSmall"/>
              <w:jc w:val="center"/>
            </w:pPr>
            <w:r w:rsidRPr="00EC326F">
              <w:t>-7</w:t>
            </w:r>
          </w:p>
        </w:tc>
        <w:tc>
          <w:tcPr>
            <w:tcW w:w="1283" w:type="dxa"/>
            <w:tcBorders>
              <w:top w:val="single" w:sz="4" w:space="0" w:color="E02628"/>
              <w:left w:val="nil"/>
              <w:bottom w:val="single" w:sz="4" w:space="0" w:color="E02628"/>
              <w:right w:val="nil"/>
            </w:tcBorders>
            <w:shd w:val="clear" w:color="000000" w:fill="FFFFFF"/>
            <w:vAlign w:val="center"/>
          </w:tcPr>
          <w:p w14:paraId="236778DA" w14:textId="38C57CBC" w:rsidR="009648FA" w:rsidRPr="00EC326F" w:rsidRDefault="009648FA" w:rsidP="009648FA">
            <w:pPr>
              <w:pStyle w:val="TableTextSmall"/>
              <w:jc w:val="center"/>
            </w:pPr>
            <w:r w:rsidRPr="00EC326F">
              <w:t>-</w:t>
            </w:r>
            <w:r>
              <w:t>1</w:t>
            </w:r>
          </w:p>
        </w:tc>
        <w:tc>
          <w:tcPr>
            <w:tcW w:w="1418" w:type="dxa"/>
            <w:tcBorders>
              <w:top w:val="single" w:sz="4" w:space="0" w:color="E02628"/>
              <w:left w:val="nil"/>
              <w:bottom w:val="single" w:sz="4" w:space="0" w:color="E02628"/>
              <w:right w:val="nil"/>
            </w:tcBorders>
            <w:shd w:val="clear" w:color="000000" w:fill="FFFFFF"/>
            <w:noWrap/>
            <w:vAlign w:val="center"/>
          </w:tcPr>
          <w:p w14:paraId="21C483AD" w14:textId="231459BD" w:rsidR="009648FA" w:rsidRPr="00EC326F" w:rsidRDefault="009648FA" w:rsidP="009648FA">
            <w:pPr>
              <w:pStyle w:val="TableTextSmall"/>
              <w:jc w:val="center"/>
            </w:pPr>
            <w:r w:rsidRPr="00EC326F">
              <w:t>-</w:t>
            </w:r>
            <w:r w:rsidR="00873FEE">
              <w:t>8</w:t>
            </w:r>
          </w:p>
        </w:tc>
      </w:tr>
      <w:tr w:rsidR="009648FA" w:rsidRPr="00EC326F" w14:paraId="5DD7991E"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000000" w:fill="FFFFFF"/>
            <w:noWrap/>
            <w:vAlign w:val="center"/>
            <w:hideMark/>
          </w:tcPr>
          <w:p w14:paraId="0D164C76" w14:textId="77777777" w:rsidR="009648FA" w:rsidRPr="00EC326F" w:rsidRDefault="009648FA" w:rsidP="009648FA">
            <w:pPr>
              <w:pStyle w:val="TableTextSmall"/>
              <w:rPr>
                <w:i/>
                <w:snapToGrid/>
                <w:lang w:eastAsia="en-AU"/>
              </w:rPr>
            </w:pPr>
            <w:r w:rsidRPr="00EC326F">
              <w:rPr>
                <w:i/>
                <w:snapToGrid/>
                <w:lang w:eastAsia="en-AU"/>
              </w:rPr>
              <w:t>Total previous welfare recipients</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000000" w:fill="FFFFFF"/>
            <w:noWrap/>
            <w:vAlign w:val="center"/>
          </w:tcPr>
          <w:p w14:paraId="2B7FF727" w14:textId="77777777" w:rsidR="009648FA" w:rsidRPr="00EC326F" w:rsidRDefault="009648FA" w:rsidP="009648FA">
            <w:pPr>
              <w:pStyle w:val="TableTextSmall"/>
              <w:jc w:val="center"/>
              <w:rPr>
                <w:i/>
              </w:rPr>
            </w:pPr>
            <w:r w:rsidRPr="00EC326F">
              <w:rPr>
                <w:i/>
              </w:rPr>
              <w:t>-16</w:t>
            </w:r>
          </w:p>
        </w:tc>
        <w:tc>
          <w:tcPr>
            <w:tcW w:w="1474" w:type="dxa"/>
            <w:tcBorders>
              <w:top w:val="single" w:sz="4" w:space="0" w:color="E02628"/>
              <w:left w:val="single" w:sz="4" w:space="0" w:color="E0301E" w:themeColor="accent6"/>
              <w:bottom w:val="single" w:sz="4" w:space="0" w:color="E02628"/>
              <w:right w:val="nil"/>
            </w:tcBorders>
            <w:shd w:val="clear" w:color="000000" w:fill="FFFFFF"/>
            <w:vAlign w:val="center"/>
          </w:tcPr>
          <w:p w14:paraId="6739540E" w14:textId="77777777" w:rsidR="009648FA" w:rsidRPr="00EC326F" w:rsidRDefault="009648FA" w:rsidP="009648FA">
            <w:pPr>
              <w:pStyle w:val="TableTextSmall"/>
              <w:jc w:val="center"/>
              <w:rPr>
                <w:i/>
                <w:color w:val="808080"/>
              </w:rPr>
            </w:pPr>
            <w:r w:rsidRPr="00EC326F">
              <w:rPr>
                <w:i/>
                <w:color w:val="808080"/>
              </w:rPr>
              <w:t>&lt; 1</w:t>
            </w:r>
          </w:p>
        </w:tc>
        <w:tc>
          <w:tcPr>
            <w:tcW w:w="1361" w:type="dxa"/>
            <w:tcBorders>
              <w:top w:val="single" w:sz="4" w:space="0" w:color="E02628"/>
              <w:left w:val="nil"/>
              <w:bottom w:val="single" w:sz="4" w:space="0" w:color="E02628"/>
              <w:right w:val="nil"/>
            </w:tcBorders>
            <w:shd w:val="clear" w:color="000000" w:fill="FFFFFF"/>
            <w:vAlign w:val="center"/>
          </w:tcPr>
          <w:p w14:paraId="1D5A8277" w14:textId="77777777" w:rsidR="009648FA" w:rsidRPr="00EC326F" w:rsidRDefault="009648FA" w:rsidP="009648FA">
            <w:pPr>
              <w:pStyle w:val="TableTextSmall"/>
              <w:jc w:val="center"/>
              <w:rPr>
                <w:i/>
              </w:rPr>
            </w:pPr>
            <w:r w:rsidRPr="00EC326F">
              <w:rPr>
                <w:i/>
              </w:rPr>
              <w:t>-7</w:t>
            </w:r>
          </w:p>
        </w:tc>
        <w:tc>
          <w:tcPr>
            <w:tcW w:w="1283" w:type="dxa"/>
            <w:tcBorders>
              <w:top w:val="single" w:sz="4" w:space="0" w:color="E02628"/>
              <w:left w:val="nil"/>
              <w:bottom w:val="single" w:sz="4" w:space="0" w:color="E02628"/>
              <w:right w:val="nil"/>
            </w:tcBorders>
            <w:shd w:val="clear" w:color="000000" w:fill="FFFFFF"/>
            <w:vAlign w:val="center"/>
          </w:tcPr>
          <w:p w14:paraId="6F708A63" w14:textId="0B4F1224" w:rsidR="009648FA" w:rsidRPr="00EC326F" w:rsidRDefault="009648FA" w:rsidP="009648FA">
            <w:pPr>
              <w:pStyle w:val="TableTextSmall"/>
              <w:jc w:val="center"/>
              <w:rPr>
                <w:i/>
              </w:rPr>
            </w:pPr>
            <w:r w:rsidRPr="00EC326F">
              <w:rPr>
                <w:i/>
              </w:rPr>
              <w:t>-1</w:t>
            </w:r>
          </w:p>
        </w:tc>
        <w:tc>
          <w:tcPr>
            <w:tcW w:w="1418" w:type="dxa"/>
            <w:tcBorders>
              <w:top w:val="single" w:sz="4" w:space="0" w:color="E02628"/>
              <w:left w:val="nil"/>
              <w:bottom w:val="single" w:sz="4" w:space="0" w:color="E02628"/>
              <w:right w:val="nil"/>
            </w:tcBorders>
            <w:shd w:val="clear" w:color="000000" w:fill="FFFFFF"/>
            <w:noWrap/>
            <w:vAlign w:val="center"/>
          </w:tcPr>
          <w:p w14:paraId="344BDFDB" w14:textId="5EC37D4D" w:rsidR="009648FA" w:rsidRPr="00EC326F" w:rsidRDefault="009648FA" w:rsidP="00873FEE">
            <w:pPr>
              <w:pStyle w:val="TableTextSmall"/>
              <w:jc w:val="center"/>
              <w:rPr>
                <w:i/>
              </w:rPr>
            </w:pPr>
            <w:r w:rsidRPr="00EC326F">
              <w:rPr>
                <w:i/>
              </w:rPr>
              <w:t>-</w:t>
            </w:r>
            <w:r w:rsidR="00873FEE">
              <w:rPr>
                <w:i/>
              </w:rPr>
              <w:t>9</w:t>
            </w:r>
          </w:p>
        </w:tc>
      </w:tr>
      <w:tr w:rsidR="009648FA" w:rsidRPr="00EC326F" w14:paraId="6B8EC457" w14:textId="77777777" w:rsidTr="00716FF0">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E02628"/>
            <w:noWrap/>
            <w:vAlign w:val="center"/>
            <w:hideMark/>
          </w:tcPr>
          <w:p w14:paraId="3319F575" w14:textId="77777777" w:rsidR="009648FA" w:rsidRPr="00EC326F" w:rsidRDefault="009648FA" w:rsidP="009648FA">
            <w:pPr>
              <w:pStyle w:val="TableColumnHeadingSmall"/>
            </w:pPr>
            <w:r w:rsidRPr="00EC326F">
              <w:t>Australian resident population</w:t>
            </w:r>
          </w:p>
        </w:tc>
        <w:tc>
          <w:tcPr>
            <w:tcW w:w="1587" w:type="dxa"/>
            <w:tcBorders>
              <w:top w:val="single" w:sz="4" w:space="0" w:color="E02628"/>
              <w:left w:val="single" w:sz="4" w:space="0" w:color="E0301E" w:themeColor="accent6"/>
              <w:bottom w:val="single" w:sz="4" w:space="0" w:color="E02628"/>
              <w:right w:val="nil"/>
            </w:tcBorders>
            <w:shd w:val="clear" w:color="auto" w:fill="E02628"/>
            <w:noWrap/>
            <w:vAlign w:val="center"/>
          </w:tcPr>
          <w:p w14:paraId="05EA5004" w14:textId="77777777" w:rsidR="009648FA" w:rsidRPr="00EC326F" w:rsidRDefault="009648FA" w:rsidP="009648FA">
            <w:pPr>
              <w:pStyle w:val="TableColumnHeadingSmall"/>
              <w:jc w:val="center"/>
            </w:pPr>
            <w:r w:rsidRPr="00EC326F">
              <w:t>-13</w:t>
            </w:r>
          </w:p>
        </w:tc>
        <w:tc>
          <w:tcPr>
            <w:tcW w:w="1474" w:type="dxa"/>
            <w:tcBorders>
              <w:top w:val="single" w:sz="4" w:space="0" w:color="E02628"/>
              <w:left w:val="nil"/>
              <w:bottom w:val="single" w:sz="4" w:space="0" w:color="E02628"/>
              <w:right w:val="nil"/>
            </w:tcBorders>
            <w:shd w:val="clear" w:color="auto" w:fill="E02628"/>
            <w:vAlign w:val="center"/>
          </w:tcPr>
          <w:p w14:paraId="090C5A03" w14:textId="77777777" w:rsidR="009648FA" w:rsidRPr="00EC326F" w:rsidRDefault="009648FA" w:rsidP="009648FA">
            <w:pPr>
              <w:pStyle w:val="TableColumnHeadingSmall"/>
              <w:jc w:val="center"/>
            </w:pPr>
            <w:r w:rsidRPr="00EC326F">
              <w:t>&lt; 1</w:t>
            </w:r>
          </w:p>
        </w:tc>
        <w:tc>
          <w:tcPr>
            <w:tcW w:w="1361" w:type="dxa"/>
            <w:tcBorders>
              <w:top w:val="single" w:sz="4" w:space="0" w:color="E02628"/>
              <w:left w:val="nil"/>
              <w:bottom w:val="single" w:sz="4" w:space="0" w:color="E02628"/>
              <w:right w:val="nil"/>
            </w:tcBorders>
            <w:shd w:val="clear" w:color="auto" w:fill="E02628"/>
            <w:vAlign w:val="center"/>
          </w:tcPr>
          <w:p w14:paraId="39E5CD2D" w14:textId="77777777" w:rsidR="009648FA" w:rsidRPr="00EC326F" w:rsidRDefault="009648FA" w:rsidP="009648FA">
            <w:pPr>
              <w:pStyle w:val="TableColumnHeadingSmall"/>
              <w:jc w:val="center"/>
            </w:pPr>
            <w:r w:rsidRPr="00EC326F">
              <w:t>-6</w:t>
            </w:r>
          </w:p>
        </w:tc>
        <w:tc>
          <w:tcPr>
            <w:tcW w:w="1283" w:type="dxa"/>
            <w:tcBorders>
              <w:top w:val="single" w:sz="4" w:space="0" w:color="E02628"/>
              <w:left w:val="nil"/>
              <w:bottom w:val="single" w:sz="4" w:space="0" w:color="E02628"/>
              <w:right w:val="nil"/>
            </w:tcBorders>
            <w:shd w:val="clear" w:color="auto" w:fill="E02628"/>
            <w:vAlign w:val="center"/>
          </w:tcPr>
          <w:p w14:paraId="1CABEF6A" w14:textId="4E6AA15B" w:rsidR="009648FA" w:rsidRPr="00EC326F" w:rsidRDefault="009648FA" w:rsidP="009648FA">
            <w:pPr>
              <w:pStyle w:val="TableColumnHeadingSmall"/>
              <w:jc w:val="center"/>
            </w:pPr>
            <w:r w:rsidRPr="00EC326F">
              <w:t>-</w:t>
            </w:r>
            <w:r>
              <w:t>1</w:t>
            </w:r>
          </w:p>
        </w:tc>
        <w:tc>
          <w:tcPr>
            <w:tcW w:w="1418" w:type="dxa"/>
            <w:tcBorders>
              <w:top w:val="single" w:sz="4" w:space="0" w:color="E02628"/>
              <w:left w:val="nil"/>
              <w:bottom w:val="single" w:sz="4" w:space="0" w:color="E02628"/>
              <w:right w:val="nil"/>
            </w:tcBorders>
            <w:shd w:val="clear" w:color="auto" w:fill="E02628"/>
            <w:noWrap/>
            <w:vAlign w:val="center"/>
          </w:tcPr>
          <w:p w14:paraId="3FFD1801" w14:textId="0CAAE46B" w:rsidR="009648FA" w:rsidRPr="00EC326F" w:rsidRDefault="009648FA" w:rsidP="00873FEE">
            <w:pPr>
              <w:pStyle w:val="TableColumnHeadingSmall"/>
              <w:jc w:val="center"/>
            </w:pPr>
            <w:r w:rsidRPr="00EC326F">
              <w:t>-</w:t>
            </w:r>
            <w:r w:rsidR="00873FEE">
              <w:t>6</w:t>
            </w:r>
          </w:p>
        </w:tc>
      </w:tr>
    </w:tbl>
    <w:p w14:paraId="5F0F1F9C" w14:textId="70F937BE" w:rsidR="00A277D3" w:rsidRPr="00EC326F" w:rsidRDefault="00A277D3" w:rsidP="009178E9">
      <w:pPr>
        <w:pStyle w:val="PwCNormal"/>
        <w:numPr>
          <w:ilvl w:val="0"/>
          <w:numId w:val="0"/>
        </w:numPr>
      </w:pPr>
      <w:r w:rsidRPr="00EC326F">
        <w:t>As can be seen</w:t>
      </w:r>
      <w:r w:rsidR="00A44940" w:rsidRPr="00EC326F">
        <w:t xml:space="preserve"> from the tables above</w:t>
      </w:r>
      <w:r w:rsidR="009178E9">
        <w:t>, t</w:t>
      </w:r>
      <w:r w:rsidRPr="00EC326F">
        <w:t xml:space="preserve">he majority of the overall </w:t>
      </w:r>
      <w:r w:rsidR="00B00EA2">
        <w:t>$25</w:t>
      </w:r>
      <w:r w:rsidR="00960BC8">
        <w:t>0</w:t>
      </w:r>
      <w:r w:rsidR="00B00EA2">
        <w:t xml:space="preserve">bn </w:t>
      </w:r>
      <w:r w:rsidRPr="00EC326F">
        <w:t>decrease in lifetime cost</w:t>
      </w:r>
      <w:r w:rsidR="00B00EA2">
        <w:t xml:space="preserve"> is</w:t>
      </w:r>
      <w:r w:rsidRPr="00EC326F">
        <w:t xml:space="preserve"> for </w:t>
      </w:r>
      <w:r w:rsidRPr="00EC326F">
        <w:rPr>
          <w:b/>
        </w:rPr>
        <w:t>non-welfare recipients</w:t>
      </w:r>
      <w:r w:rsidRPr="00EC326F">
        <w:t xml:space="preserve"> (classes 10 and 12) which showed a decrease of </w:t>
      </w:r>
      <w:r w:rsidRPr="00EC326F">
        <w:rPr>
          <w:b/>
        </w:rPr>
        <w:t>$22</w:t>
      </w:r>
      <w:r w:rsidR="00873FEE">
        <w:rPr>
          <w:b/>
        </w:rPr>
        <w:t>3</w:t>
      </w:r>
      <w:r w:rsidRPr="00EC326F">
        <w:rPr>
          <w:b/>
        </w:rPr>
        <w:t>bn</w:t>
      </w:r>
      <w:r w:rsidRPr="00EC326F">
        <w:t>. This i</w:t>
      </w:r>
      <w:r w:rsidR="00AC3069" w:rsidRPr="00EC326F">
        <w:t>s the result of a $16k (or 9.9%</w:t>
      </w:r>
      <w:r w:rsidRPr="00EC326F">
        <w:t>) decrease in average lifetime costs, partially offset by a 1.6% increase in the population in these classes. The decrease in average lifetime cost is as a result of the impact of the economic modules and the other changes, which were discussed above.</w:t>
      </w:r>
      <w:r w:rsidR="00B00EA2">
        <w:t xml:space="preserve"> Together these factors have reduced our assessment of the proportions of time that people in these classes may receive income support in future.</w:t>
      </w:r>
    </w:p>
    <w:p w14:paraId="623C93FD" w14:textId="211B84F8" w:rsidR="00A277D3" w:rsidRPr="00EC326F" w:rsidRDefault="00A277D3" w:rsidP="009178E9">
      <w:pPr>
        <w:pStyle w:val="PwCNormal"/>
      </w:pPr>
      <w:r w:rsidRPr="00EC326F">
        <w:t xml:space="preserve">The change in the lifetime cost relating to current welfare recipients was a decrease of </w:t>
      </w:r>
      <w:r w:rsidRPr="00EC326F">
        <w:rPr>
          <w:b/>
        </w:rPr>
        <w:t>$2</w:t>
      </w:r>
      <w:r w:rsidR="00873FEE">
        <w:rPr>
          <w:b/>
        </w:rPr>
        <w:t>8</w:t>
      </w:r>
      <w:r w:rsidRPr="00EC326F">
        <w:rPr>
          <w:b/>
        </w:rPr>
        <w:t>bn</w:t>
      </w:r>
      <w:r w:rsidRPr="00EC326F">
        <w:t xml:space="preserve"> or 1.</w:t>
      </w:r>
      <w:r w:rsidR="00873FEE">
        <w:t>3</w:t>
      </w:r>
      <w:r w:rsidRPr="00EC326F">
        <w:t>%. This is driven by a $5k (or 1.</w:t>
      </w:r>
      <w:r w:rsidR="00873FEE">
        <w:t>8</w:t>
      </w:r>
      <w:r w:rsidRPr="00EC326F">
        <w:t xml:space="preserve">%) decrease in the average lifetime cost, partially offset by a 0.5% increase in the welfare recipient population. </w:t>
      </w:r>
    </w:p>
    <w:p w14:paraId="49063577" w14:textId="77777777" w:rsidR="00A277D3" w:rsidRDefault="00A277D3" w:rsidP="009178E9">
      <w:pPr>
        <w:pStyle w:val="ListBullet"/>
      </w:pPr>
      <w:r w:rsidRPr="00EC326F">
        <w:t xml:space="preserve">At an overall level the $5k decrease in the average lifetime cost of the current welfare recipients is driven by the impact of the economic module. The largest impacts of the economic module can be seen for studying, working age and parenting payment recipients. This is because these groups have </w:t>
      </w:r>
      <w:r w:rsidR="00CD3E41">
        <w:t xml:space="preserve">a </w:t>
      </w:r>
      <w:r w:rsidRPr="00EC326F">
        <w:t xml:space="preserve">relatively </w:t>
      </w:r>
      <w:r w:rsidR="00CD3E41">
        <w:t>high chanc</w:t>
      </w:r>
      <w:r w:rsidRPr="00EC326F">
        <w:t>e</w:t>
      </w:r>
      <w:r w:rsidR="00CD3E41">
        <w:t xml:space="preserve"> </w:t>
      </w:r>
      <w:r w:rsidRPr="00EC326F">
        <w:t>of using working age payments in future and so are most impacted by the changes in projected unemployment rates.</w:t>
      </w:r>
    </w:p>
    <w:p w14:paraId="4A88034E" w14:textId="0BE168F2" w:rsidR="00307781" w:rsidRPr="00EC326F" w:rsidRDefault="00307781" w:rsidP="001C1846">
      <w:pPr>
        <w:pStyle w:val="ListBullet"/>
      </w:pPr>
      <w:r w:rsidRPr="00307781">
        <w:t>The impact of the policy changes over the year resulted in a decrease in the average lifetime cost of $1k</w:t>
      </w:r>
      <w:r>
        <w:t xml:space="preserve"> for current welfare recipients</w:t>
      </w:r>
      <w:r w:rsidRPr="00307781">
        <w:t xml:space="preserve">. The </w:t>
      </w:r>
      <w:r>
        <w:t>main policy changes relate the family supplements and the replacement of the Student Start-up Scholarship with the Student Start-up Loan. The largest impacts can be seen in classes 1</w:t>
      </w:r>
      <w:r w:rsidR="007E531F">
        <w:t>,</w:t>
      </w:r>
      <w:r>
        <w:t xml:space="preserve"> 3</w:t>
      </w:r>
      <w:r w:rsidR="007E531F">
        <w:t xml:space="preserve"> and 7</w:t>
      </w:r>
      <w:r>
        <w:t>.</w:t>
      </w:r>
    </w:p>
    <w:p w14:paraId="0E3DE6EE" w14:textId="77777777" w:rsidR="00A277D3" w:rsidRPr="00EC326F" w:rsidRDefault="00A277D3" w:rsidP="009178E9">
      <w:pPr>
        <w:pStyle w:val="ListBullet"/>
      </w:pPr>
      <w:r w:rsidRPr="00EC326F">
        <w:t xml:space="preserve">The impact of the other changes </w:t>
      </w:r>
      <w:r w:rsidR="00B00EA2">
        <w:t>varies considerably across the</w:t>
      </w:r>
      <w:r w:rsidRPr="00EC326F">
        <w:t xml:space="preserve"> </w:t>
      </w:r>
      <w:r w:rsidR="009178E9">
        <w:t>different classes:</w:t>
      </w:r>
    </w:p>
    <w:p w14:paraId="77D103FC" w14:textId="77777777" w:rsidR="00B00EA2" w:rsidRPr="00EC326F" w:rsidRDefault="00B00EA2" w:rsidP="009178E9">
      <w:pPr>
        <w:pStyle w:val="ListBullet2"/>
      </w:pPr>
      <w:r w:rsidRPr="00EC326F">
        <w:t xml:space="preserve">The other changes have resulted in an increase in the average lifetime costs for classes 3, 4 and 5. This is in part a result of an increased persistency for people currently in these classes as a result of including </w:t>
      </w:r>
      <w:r w:rsidR="009178E9">
        <w:t>new predictive variable</w:t>
      </w:r>
      <w:r w:rsidRPr="00EC326F">
        <w:t xml:space="preserve"> information in the model</w:t>
      </w:r>
      <w:r w:rsidR="009178E9">
        <w:t>, as discussed above</w:t>
      </w:r>
      <w:r w:rsidRPr="00EC326F">
        <w:t>.</w:t>
      </w:r>
    </w:p>
    <w:p w14:paraId="2892DE59" w14:textId="77777777" w:rsidR="00B00EA2" w:rsidRPr="00B00EA2" w:rsidRDefault="00B00EA2" w:rsidP="009178E9">
      <w:pPr>
        <w:pStyle w:val="ListBullet2"/>
      </w:pPr>
      <w:r w:rsidRPr="00B00EA2">
        <w:t xml:space="preserve">The other changes have resulted in a decrease in average lifetime costs for classes 7, 8 and 9. In particular we have seen a decrease in the lifetime cost for working age income support payments for this group. This is, in part, a result of this group being less likely to exit the welfare system and </w:t>
      </w:r>
      <w:r>
        <w:t>later</w:t>
      </w:r>
      <w:r w:rsidRPr="00B00EA2">
        <w:t xml:space="preserve"> re-enter into the Working Age class following the decrease to the entry assumptions into that class.</w:t>
      </w:r>
    </w:p>
    <w:p w14:paraId="2568C34B" w14:textId="77777777" w:rsidR="00B00EA2" w:rsidRPr="00B00EA2" w:rsidRDefault="00B00EA2" w:rsidP="009178E9">
      <w:pPr>
        <w:pStyle w:val="ListBullet2"/>
      </w:pPr>
      <w:r w:rsidRPr="00B00EA2">
        <w:t>For similar reasons t</w:t>
      </w:r>
      <w:r w:rsidR="00A277D3" w:rsidRPr="00B00EA2">
        <w:t>he other changes have resulted in a decrease for class</w:t>
      </w:r>
      <w:r w:rsidRPr="00B00EA2">
        <w:t xml:space="preserve"> 1, since people in this class are typically young and likely to exit the welfare system at some point in the future.</w:t>
      </w:r>
    </w:p>
    <w:p w14:paraId="3F18C83F" w14:textId="77777777" w:rsidR="00A277D3" w:rsidRPr="00EC326F" w:rsidRDefault="00A277D3" w:rsidP="009178E9">
      <w:pPr>
        <w:pStyle w:val="PwCNormal"/>
      </w:pPr>
      <w:r w:rsidRPr="00EC326F">
        <w:lastRenderedPageBreak/>
        <w:t xml:space="preserve">As can be seen above there is some class level variation in the change in population over the year. Notably the number of people in the Disability Support </w:t>
      </w:r>
      <w:r w:rsidR="002A69AD" w:rsidRPr="00EC326F">
        <w:t xml:space="preserve">Pension </w:t>
      </w:r>
      <w:r w:rsidRPr="00EC326F">
        <w:t xml:space="preserve">class has reduced by 3.8% which is likely to be in part a result of the tightened eligibility assessment process which has reduced the number of new entrants into this class. We also note that there has been a </w:t>
      </w:r>
      <w:r w:rsidR="0066781C">
        <w:t>2.3</w:t>
      </w:r>
      <w:r w:rsidRPr="00EC326F">
        <w:t>% increase in the number of people in the Carer class – this growth is in line with recent experience.</w:t>
      </w:r>
    </w:p>
    <w:p w14:paraId="34C6F4F9" w14:textId="77777777" w:rsidR="00A277D3" w:rsidRPr="00EC326F" w:rsidRDefault="00A277D3" w:rsidP="00A277D3">
      <w:pPr>
        <w:pStyle w:val="PwCNormal"/>
        <w:numPr>
          <w:ilvl w:val="0"/>
          <w:numId w:val="0"/>
        </w:numPr>
      </w:pPr>
      <w:r w:rsidRPr="00EC326F">
        <w:t xml:space="preserve">We have included further commentary on the </w:t>
      </w:r>
      <w:r w:rsidR="00715253" w:rsidRPr="00EC326F">
        <w:t>changes in population and average lifetime cost</w:t>
      </w:r>
      <w:r w:rsidRPr="00EC326F">
        <w:t xml:space="preserve"> in the discussion of the results for each class </w:t>
      </w:r>
      <w:r w:rsidR="00715253" w:rsidRPr="00EC326F">
        <w:t xml:space="preserve">in </w:t>
      </w:r>
      <w:r w:rsidR="0011562A">
        <w:t>section</w:t>
      </w:r>
      <w:r w:rsidR="00715253" w:rsidRPr="00EC326F">
        <w:t>s</w:t>
      </w:r>
      <w:r w:rsidR="00881FC5">
        <w:t xml:space="preserve"> </w:t>
      </w:r>
      <w:r w:rsidR="00881FC5">
        <w:fldChar w:fldCharType="begin"/>
      </w:r>
      <w:r w:rsidR="00881FC5">
        <w:instrText xml:space="preserve"> REF _Ref437277121 \w \h </w:instrText>
      </w:r>
      <w:r w:rsidR="00881FC5">
        <w:fldChar w:fldCharType="separate"/>
      </w:r>
      <w:r w:rsidR="007A42DF">
        <w:t>8</w:t>
      </w:r>
      <w:r w:rsidR="00881FC5">
        <w:fldChar w:fldCharType="end"/>
      </w:r>
      <w:r w:rsidR="00881FC5">
        <w:t xml:space="preserve">, </w:t>
      </w:r>
      <w:r w:rsidR="00881FC5">
        <w:fldChar w:fldCharType="begin"/>
      </w:r>
      <w:r w:rsidR="00881FC5">
        <w:instrText xml:space="preserve"> REF _Ref466373125 \w \h </w:instrText>
      </w:r>
      <w:r w:rsidR="00881FC5">
        <w:fldChar w:fldCharType="separate"/>
      </w:r>
      <w:r w:rsidR="007A42DF">
        <w:t>9</w:t>
      </w:r>
      <w:r w:rsidR="00881FC5">
        <w:fldChar w:fldCharType="end"/>
      </w:r>
      <w:r w:rsidR="00881FC5">
        <w:t xml:space="preserve"> and </w:t>
      </w:r>
      <w:r w:rsidR="00881FC5">
        <w:fldChar w:fldCharType="begin"/>
      </w:r>
      <w:r w:rsidR="00881FC5">
        <w:instrText xml:space="preserve"> REF _Ref466493476 \w \h </w:instrText>
      </w:r>
      <w:r w:rsidR="00881FC5">
        <w:fldChar w:fldCharType="separate"/>
      </w:r>
      <w:r w:rsidR="007A42DF">
        <w:t>10</w:t>
      </w:r>
      <w:r w:rsidR="00881FC5">
        <w:fldChar w:fldCharType="end"/>
      </w:r>
      <w:r w:rsidRPr="00EC326F">
        <w:t>.</w:t>
      </w:r>
    </w:p>
    <w:p w14:paraId="4FB0D75D" w14:textId="77777777" w:rsidR="008E7403" w:rsidRPr="00EC326F" w:rsidRDefault="008E7403" w:rsidP="008E7403">
      <w:pPr>
        <w:pStyle w:val="Heading3"/>
      </w:pPr>
      <w:bookmarkStart w:id="295" w:name="_Ref466493382"/>
      <w:bookmarkStart w:id="296" w:name="_Toc493844254"/>
      <w:r w:rsidRPr="00EC326F">
        <w:t>Impact of the introduction of the economic module</w:t>
      </w:r>
      <w:bookmarkEnd w:id="295"/>
      <w:bookmarkEnd w:id="296"/>
    </w:p>
    <w:p w14:paraId="4E42DBA2" w14:textId="77777777" w:rsidR="008E7403" w:rsidRPr="00EC326F" w:rsidRDefault="008E7403" w:rsidP="008E7403">
      <w:pPr>
        <w:pStyle w:val="Bullet1"/>
        <w:numPr>
          <w:ilvl w:val="0"/>
          <w:numId w:val="0"/>
        </w:numPr>
        <w:tabs>
          <w:tab w:val="left" w:pos="720"/>
        </w:tabs>
      </w:pPr>
      <w:r w:rsidRPr="00EC326F">
        <w:t xml:space="preserve">The economic </w:t>
      </w:r>
      <w:r w:rsidR="0066781C">
        <w:t>module</w:t>
      </w:r>
      <w:r w:rsidRPr="00EC326F">
        <w:t xml:space="preserve"> adjust</w:t>
      </w:r>
      <w:r w:rsidR="0066781C">
        <w:t>s</w:t>
      </w:r>
      <w:r w:rsidRPr="00EC326F">
        <w:t xml:space="preserve"> the results of the model to be more reflective of economic conditions expected over the long term timeframe covered by the model.</w:t>
      </w:r>
    </w:p>
    <w:p w14:paraId="75F0AF50" w14:textId="77777777" w:rsidR="008E7403" w:rsidRPr="00EC326F" w:rsidRDefault="008E7403" w:rsidP="008E7403">
      <w:pPr>
        <w:pStyle w:val="Bullet1"/>
        <w:numPr>
          <w:ilvl w:val="0"/>
          <w:numId w:val="0"/>
        </w:numPr>
        <w:tabs>
          <w:tab w:val="left" w:pos="720"/>
        </w:tabs>
      </w:pPr>
      <w:r w:rsidRPr="00EC326F">
        <w:t xml:space="preserve">The selected central assumption allows for the expected impact of the unemployment rate decreasing from </w:t>
      </w:r>
      <w:r w:rsidR="0066781C">
        <w:t>its current level of around 6%</w:t>
      </w:r>
      <w:r w:rsidRPr="00EC326F">
        <w:t xml:space="preserve"> to a long term assumption of 5%. This compares to the implicit assumptions used in the baseline valuation of the future economic environment being similar to recent experience. This change results in a decrease in the lifetime cost of $142bn, compared to the lifetime cost before this adjustment. The main reasons for this decrease in lifetime cost are:</w:t>
      </w:r>
    </w:p>
    <w:p w14:paraId="2D828B9F" w14:textId="51999CBF" w:rsidR="008E7403" w:rsidRPr="00EC326F" w:rsidRDefault="008E7403" w:rsidP="008E7403">
      <w:pPr>
        <w:pStyle w:val="ListBullet"/>
      </w:pPr>
      <w:r w:rsidRPr="00EC326F">
        <w:t xml:space="preserve">A decrease in the projected number of people in Class </w:t>
      </w:r>
      <w:r w:rsidR="00FF7EC9">
        <w:t>‘</w:t>
      </w:r>
      <w:r w:rsidRPr="00EC326F">
        <w:t>2 Working Age</w:t>
      </w:r>
      <w:r w:rsidR="00FF7EC9">
        <w:t>’</w:t>
      </w:r>
      <w:r w:rsidRPr="00EC326F">
        <w:t>, as a result of decreased projected entries into this class and increased projected exits out of the class.</w:t>
      </w:r>
    </w:p>
    <w:p w14:paraId="04331A79" w14:textId="77777777" w:rsidR="008E7403" w:rsidRPr="00EC326F" w:rsidRDefault="008E7403" w:rsidP="008E7403">
      <w:pPr>
        <w:pStyle w:val="ListBullet"/>
      </w:pPr>
      <w:r w:rsidRPr="00EC326F">
        <w:t>The flow on effect of less people being projected to transition from Class 2 into other income support classes, which results in a further decrease in the lifetime cost.</w:t>
      </w:r>
    </w:p>
    <w:p w14:paraId="378B40EA" w14:textId="77777777" w:rsidR="008E7403" w:rsidRPr="00EC326F" w:rsidRDefault="008E7403" w:rsidP="008E7403">
      <w:pPr>
        <w:pStyle w:val="ListBullet2"/>
      </w:pPr>
      <w:r w:rsidRPr="00EC326F">
        <w:t>This includes a reduced rate of future utilisation of the age pension, since analysis has shown that people not receiving income support payments are less likely to draw on the age pension later in life, most likely as they will have greater opportunity to save to become self-sufficient in retirement.</w:t>
      </w:r>
    </w:p>
    <w:p w14:paraId="74462A3F" w14:textId="77777777" w:rsidR="008E7403" w:rsidRPr="00EC326F" w:rsidRDefault="008E7403" w:rsidP="008E7403">
      <w:pPr>
        <w:pStyle w:val="Bullet1"/>
        <w:numPr>
          <w:ilvl w:val="0"/>
          <w:numId w:val="0"/>
        </w:numPr>
        <w:tabs>
          <w:tab w:val="left" w:pos="720"/>
        </w:tabs>
      </w:pPr>
      <w:r w:rsidRPr="00EC326F">
        <w:t>The selection of a long term unemployment rate of 5% is a key area of judgement and has a significant impact on the lifetime cost. We have set out the impact of possible alternative scenarios below.</w:t>
      </w:r>
    </w:p>
    <w:p w14:paraId="42CF998A" w14:textId="77777777" w:rsidR="008E7403" w:rsidRPr="0066781C" w:rsidRDefault="008E7403" w:rsidP="008E7403">
      <w:pPr>
        <w:pStyle w:val="Caption"/>
      </w:pPr>
      <w:r w:rsidRPr="0066781C">
        <w:t xml:space="preserve">Table </w:t>
      </w:r>
      <w:fldSimple w:instr=" SEQ Table \* ARABIC ">
        <w:r w:rsidR="007A42DF">
          <w:rPr>
            <w:noProof/>
          </w:rPr>
          <w:t>24</w:t>
        </w:r>
      </w:fldSimple>
      <w:r w:rsidRPr="0066781C">
        <w:t xml:space="preserve">: Sensitivity of current liabilities to changes in economic module assumptions </w:t>
      </w:r>
    </w:p>
    <w:tbl>
      <w:tblPr>
        <w:tblStyle w:val="Tables-APBase"/>
        <w:tblW w:w="4711" w:type="pct"/>
        <w:tblInd w:w="108" w:type="dxa"/>
        <w:tblBorders>
          <w:bottom w:val="single" w:sz="4" w:space="0" w:color="E0301E"/>
          <w:insideH w:val="single" w:sz="4" w:space="0" w:color="E0301E"/>
        </w:tblBorders>
        <w:tblLayout w:type="fixed"/>
        <w:tblLook w:val="04A0" w:firstRow="1" w:lastRow="0" w:firstColumn="1" w:lastColumn="0" w:noHBand="0" w:noVBand="1"/>
        <w:tblCaption w:val=" Sensitivity of current liabilities to changes in economic module assumptions &#10;"/>
        <w:tblDescription w:val="This table shows the sensitivity of current liabilities to changes in economic module assumptions.&#10;&#10;The table has four columns; the first lists four alternative assumptions, the second displays the Change in lifetime cost (non-Age Pension component, the third contains the change in lifetime cost (Age Pension component), the fourth and fifth show the total change in lifetime cost in dollars and percentages respectively. &#10;&#10;If the long term unemployment rate assumption is 5% (the base assumption) there is no change in lifetime cost.&#10;&#10;If the long term unemployment rate assumption is 6% (a 1% increase from base assumption) the total increase in lifetime cost is $140 billion ($99 billion change in the non-Age pension component and $41 billion change in the age pension component).. This is equivalent to a 3.1% increase overall.&#10;&#10;If the long term unemployment rate assumption is 7% (a 2% increase from base assumption) the total increase in lifetime cost is $293bn ($213 billion in the non-Age pension and $80 billion in the age pension component). This is equivalent to a 6.5% increase overall.&#10;&#10;If the long term unemployment rate assumption is 4% (a 1% decrease from base assumption) the total decrease in lifetime cost is $116bn ($78 billion in the non-Age pension and $38 billion in the age pension component).. This is equivalent to a 2.6% decrease overall.&#10;"/>
      </w:tblPr>
      <w:tblGrid>
        <w:gridCol w:w="3650"/>
        <w:gridCol w:w="1853"/>
        <w:gridCol w:w="1842"/>
        <w:gridCol w:w="1159"/>
        <w:gridCol w:w="994"/>
      </w:tblGrid>
      <w:tr w:rsidR="00A01560" w:rsidRPr="004E1EB1" w14:paraId="6CD634F0" w14:textId="77777777" w:rsidTr="002C08A6">
        <w:trPr>
          <w:cnfStyle w:val="100000000000" w:firstRow="1" w:lastRow="0" w:firstColumn="0" w:lastColumn="0" w:oddVBand="0" w:evenVBand="0" w:oddHBand="0" w:evenHBand="0" w:firstRowFirstColumn="0" w:firstRowLastColumn="0" w:lastRowFirstColumn="0" w:lastRowLastColumn="0"/>
          <w:trHeight w:val="397"/>
        </w:trPr>
        <w:tc>
          <w:tcPr>
            <w:cnfStyle w:val="000000000100" w:firstRow="0" w:lastRow="0" w:firstColumn="0" w:lastColumn="0" w:oddVBand="0" w:evenVBand="0" w:oddHBand="0" w:evenHBand="0" w:firstRowFirstColumn="1" w:firstRowLastColumn="0" w:lastRowFirstColumn="0" w:lastRowLastColumn="0"/>
            <w:tcW w:w="3651"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31421747" w14:textId="77777777" w:rsidR="00A01560" w:rsidRPr="0066781C" w:rsidRDefault="00A01560" w:rsidP="00881F47">
            <w:pPr>
              <w:pStyle w:val="TableColumnHeadingSmall"/>
            </w:pPr>
            <w:r>
              <w:t>Long term unemployment rate assumption</w:t>
            </w:r>
          </w:p>
        </w:tc>
        <w:tc>
          <w:tcPr>
            <w:tcW w:w="1853"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4F83D7F5" w14:textId="77777777" w:rsidR="00A01560" w:rsidRPr="0066781C" w:rsidRDefault="00A01560" w:rsidP="000A30F0">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66781C">
              <w:t>Change in lifetime cost, non-Age Pension component</w:t>
            </w:r>
          </w:p>
        </w:tc>
        <w:tc>
          <w:tcPr>
            <w:tcW w:w="1842"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1000B1B1" w14:textId="77777777" w:rsidR="00A01560" w:rsidRPr="0066781C" w:rsidRDefault="00A01560" w:rsidP="0066781C">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66781C">
              <w:t>Change in lifetime cost, Age Pension component</w:t>
            </w:r>
          </w:p>
        </w:tc>
        <w:tc>
          <w:tcPr>
            <w:tcW w:w="1159"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668452AE" w14:textId="3148FE47" w:rsidR="00A01560" w:rsidRPr="0066781C" w:rsidRDefault="00A01560" w:rsidP="0066781C">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66781C">
              <w:t>Total change in lifetime cost</w:t>
            </w:r>
            <w:r>
              <w:t xml:space="preserve"> ($)</w:t>
            </w:r>
          </w:p>
        </w:tc>
        <w:tc>
          <w:tcPr>
            <w:tcW w:w="993"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05AD850F" w14:textId="054F3775" w:rsidR="00A01560" w:rsidRPr="0066781C" w:rsidRDefault="00A01560" w:rsidP="0066781C">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66781C">
              <w:t>Total change in lifetime cost</w:t>
            </w:r>
            <w:r>
              <w:t xml:space="preserve"> (%)</w:t>
            </w:r>
          </w:p>
        </w:tc>
      </w:tr>
      <w:tr w:rsidR="0066781C" w:rsidRPr="004E1EB1" w14:paraId="72691A70" w14:textId="77777777" w:rsidTr="002C08A6">
        <w:trPr>
          <w:trHeight w:val="284"/>
        </w:trPr>
        <w:tc>
          <w:tcPr>
            <w:tcW w:w="3651" w:type="dxa"/>
            <w:tcBorders>
              <w:top w:val="single" w:sz="4" w:space="0" w:color="E0301E"/>
              <w:left w:val="single" w:sz="4" w:space="0" w:color="FFFFFF"/>
              <w:bottom w:val="single" w:sz="4" w:space="0" w:color="E0301E"/>
              <w:right w:val="single" w:sz="4" w:space="0" w:color="E0301E" w:themeColor="accent6"/>
            </w:tcBorders>
            <w:hideMark/>
          </w:tcPr>
          <w:p w14:paraId="70B9C6A2" w14:textId="77777777" w:rsidR="0066781C" w:rsidRPr="004E1EB1" w:rsidRDefault="0066781C" w:rsidP="0066781C">
            <w:pPr>
              <w:pStyle w:val="TableTextSmall"/>
              <w:rPr>
                <w:highlight w:val="yellow"/>
              </w:rPr>
            </w:pPr>
            <w:r>
              <w:t xml:space="preserve">4% (1% </w:t>
            </w:r>
            <w:r w:rsidRPr="0066781C">
              <w:t>decrease</w:t>
            </w:r>
            <w:r>
              <w:t xml:space="preserve"> </w:t>
            </w:r>
            <w:r w:rsidRPr="0066781C">
              <w:t>from</w:t>
            </w:r>
            <w:r>
              <w:t xml:space="preserve"> base assumption)</w:t>
            </w:r>
          </w:p>
        </w:tc>
        <w:tc>
          <w:tcPr>
            <w:tcW w:w="1853" w:type="dxa"/>
            <w:tcBorders>
              <w:top w:val="single" w:sz="4" w:space="0" w:color="E0301E"/>
              <w:left w:val="single" w:sz="4" w:space="0" w:color="E0301E" w:themeColor="accent6"/>
              <w:bottom w:val="single" w:sz="4" w:space="0" w:color="E0301E"/>
              <w:right w:val="nil"/>
            </w:tcBorders>
          </w:tcPr>
          <w:p w14:paraId="220620FA" w14:textId="77777777" w:rsidR="0066781C" w:rsidRPr="0066781C" w:rsidRDefault="0066781C" w:rsidP="00936E99">
            <w:pPr>
              <w:pStyle w:val="TableTextSmall"/>
              <w:jc w:val="center"/>
            </w:pPr>
            <w:r w:rsidRPr="0066781C">
              <w:t>-$78bn</w:t>
            </w:r>
          </w:p>
        </w:tc>
        <w:tc>
          <w:tcPr>
            <w:tcW w:w="1842" w:type="dxa"/>
            <w:tcBorders>
              <w:top w:val="single" w:sz="4" w:space="0" w:color="E0301E"/>
              <w:left w:val="nil"/>
              <w:bottom w:val="single" w:sz="4" w:space="0" w:color="E0301E"/>
              <w:right w:val="single" w:sz="4" w:space="0" w:color="E0301E" w:themeColor="accent6"/>
            </w:tcBorders>
          </w:tcPr>
          <w:p w14:paraId="602BCE7E" w14:textId="77777777" w:rsidR="0066781C" w:rsidRPr="0066781C" w:rsidRDefault="0066781C" w:rsidP="00936E99">
            <w:pPr>
              <w:pStyle w:val="TableTextSmall"/>
              <w:jc w:val="center"/>
            </w:pPr>
            <w:r w:rsidRPr="0066781C">
              <w:t>-$38bn</w:t>
            </w:r>
          </w:p>
        </w:tc>
        <w:tc>
          <w:tcPr>
            <w:tcW w:w="1158" w:type="dxa"/>
            <w:tcBorders>
              <w:top w:val="single" w:sz="4" w:space="0" w:color="E0301E"/>
              <w:left w:val="single" w:sz="4" w:space="0" w:color="E0301E" w:themeColor="accent6"/>
              <w:bottom w:val="single" w:sz="4" w:space="0" w:color="E0301E"/>
              <w:right w:val="nil"/>
            </w:tcBorders>
          </w:tcPr>
          <w:p w14:paraId="0B9D900B" w14:textId="77777777" w:rsidR="0066781C" w:rsidRPr="0066781C" w:rsidRDefault="0066781C" w:rsidP="00936E99">
            <w:pPr>
              <w:pStyle w:val="TableTextSmall"/>
              <w:jc w:val="center"/>
            </w:pPr>
            <w:r w:rsidRPr="0066781C">
              <w:t>-$116bn</w:t>
            </w:r>
          </w:p>
        </w:tc>
        <w:tc>
          <w:tcPr>
            <w:tcW w:w="994" w:type="dxa"/>
            <w:tcBorders>
              <w:top w:val="single" w:sz="4" w:space="0" w:color="E0301E"/>
              <w:left w:val="nil"/>
              <w:bottom w:val="single" w:sz="4" w:space="0" w:color="E0301E"/>
              <w:right w:val="single" w:sz="4" w:space="0" w:color="FFFFFF"/>
            </w:tcBorders>
            <w:hideMark/>
          </w:tcPr>
          <w:p w14:paraId="36ABA86C" w14:textId="77777777" w:rsidR="0066781C" w:rsidRPr="0066781C" w:rsidRDefault="0066781C" w:rsidP="00936E99">
            <w:pPr>
              <w:pStyle w:val="TableTextSmall"/>
              <w:jc w:val="center"/>
            </w:pPr>
            <w:r w:rsidRPr="0066781C">
              <w:t>-2.6%</w:t>
            </w:r>
          </w:p>
        </w:tc>
      </w:tr>
      <w:tr w:rsidR="0066781C" w:rsidRPr="004E1EB1" w14:paraId="5896CDC7" w14:textId="77777777" w:rsidTr="002C08A6">
        <w:trPr>
          <w:trHeight w:val="284"/>
        </w:trPr>
        <w:tc>
          <w:tcPr>
            <w:tcW w:w="3651" w:type="dxa"/>
            <w:tcBorders>
              <w:top w:val="single" w:sz="4" w:space="0" w:color="E0301E"/>
              <w:left w:val="single" w:sz="4" w:space="0" w:color="FFFFFF"/>
              <w:bottom w:val="single" w:sz="4" w:space="0" w:color="E0301E"/>
              <w:right w:val="single" w:sz="4" w:space="0" w:color="E0301E" w:themeColor="accent6"/>
            </w:tcBorders>
          </w:tcPr>
          <w:p w14:paraId="45282769" w14:textId="77777777" w:rsidR="0066781C" w:rsidRDefault="0066781C" w:rsidP="0066781C">
            <w:pPr>
              <w:pStyle w:val="TableTextSmall"/>
            </w:pPr>
            <w:r>
              <w:t>5% (base assumption)</w:t>
            </w:r>
          </w:p>
        </w:tc>
        <w:tc>
          <w:tcPr>
            <w:tcW w:w="1853" w:type="dxa"/>
            <w:tcBorders>
              <w:top w:val="single" w:sz="4" w:space="0" w:color="E0301E"/>
              <w:left w:val="single" w:sz="4" w:space="0" w:color="E0301E" w:themeColor="accent6"/>
              <w:bottom w:val="single" w:sz="4" w:space="0" w:color="E0301E"/>
              <w:right w:val="nil"/>
            </w:tcBorders>
          </w:tcPr>
          <w:p w14:paraId="307CB033" w14:textId="77777777" w:rsidR="0066781C" w:rsidRPr="0066781C" w:rsidRDefault="000A30F0" w:rsidP="00936E99">
            <w:pPr>
              <w:pStyle w:val="TableTextSmall"/>
              <w:jc w:val="center"/>
            </w:pPr>
            <w:r>
              <w:t>-</w:t>
            </w:r>
          </w:p>
        </w:tc>
        <w:tc>
          <w:tcPr>
            <w:tcW w:w="1842" w:type="dxa"/>
            <w:tcBorders>
              <w:top w:val="single" w:sz="4" w:space="0" w:color="E0301E"/>
              <w:left w:val="nil"/>
              <w:bottom w:val="single" w:sz="4" w:space="0" w:color="E0301E"/>
              <w:right w:val="single" w:sz="4" w:space="0" w:color="E0301E" w:themeColor="accent6"/>
            </w:tcBorders>
          </w:tcPr>
          <w:p w14:paraId="3A807230" w14:textId="77777777" w:rsidR="0066781C" w:rsidRPr="0066781C" w:rsidRDefault="000A30F0" w:rsidP="00936E99">
            <w:pPr>
              <w:pStyle w:val="TableTextSmall"/>
              <w:jc w:val="center"/>
            </w:pPr>
            <w:r>
              <w:t>-</w:t>
            </w:r>
          </w:p>
        </w:tc>
        <w:tc>
          <w:tcPr>
            <w:tcW w:w="1158" w:type="dxa"/>
            <w:tcBorders>
              <w:top w:val="single" w:sz="4" w:space="0" w:color="E0301E"/>
              <w:left w:val="single" w:sz="4" w:space="0" w:color="E0301E" w:themeColor="accent6"/>
              <w:bottom w:val="single" w:sz="4" w:space="0" w:color="E0301E"/>
              <w:right w:val="nil"/>
            </w:tcBorders>
          </w:tcPr>
          <w:p w14:paraId="6CA97739" w14:textId="77777777" w:rsidR="0066781C" w:rsidRPr="0066781C" w:rsidRDefault="000A30F0" w:rsidP="00936E99">
            <w:pPr>
              <w:pStyle w:val="TableTextSmall"/>
              <w:jc w:val="center"/>
            </w:pPr>
            <w:r>
              <w:t>-</w:t>
            </w:r>
          </w:p>
        </w:tc>
        <w:tc>
          <w:tcPr>
            <w:tcW w:w="994" w:type="dxa"/>
            <w:tcBorders>
              <w:top w:val="single" w:sz="4" w:space="0" w:color="E0301E"/>
              <w:left w:val="nil"/>
              <w:bottom w:val="single" w:sz="4" w:space="0" w:color="E0301E"/>
              <w:right w:val="single" w:sz="4" w:space="0" w:color="FFFFFF"/>
            </w:tcBorders>
          </w:tcPr>
          <w:p w14:paraId="3C4FB31A" w14:textId="77777777" w:rsidR="0066781C" w:rsidRPr="0066781C" w:rsidRDefault="000A30F0" w:rsidP="00936E99">
            <w:pPr>
              <w:pStyle w:val="TableTextSmall"/>
              <w:jc w:val="center"/>
            </w:pPr>
            <w:r>
              <w:t>-</w:t>
            </w:r>
          </w:p>
        </w:tc>
      </w:tr>
      <w:tr w:rsidR="0066781C" w:rsidRPr="004E1EB1" w14:paraId="17AFD2C2" w14:textId="77777777" w:rsidTr="002C08A6">
        <w:trPr>
          <w:trHeight w:val="284"/>
        </w:trPr>
        <w:tc>
          <w:tcPr>
            <w:tcW w:w="3651" w:type="dxa"/>
            <w:tcBorders>
              <w:top w:val="single" w:sz="4" w:space="0" w:color="E0301E"/>
              <w:left w:val="single" w:sz="4" w:space="0" w:color="FFFFFF"/>
              <w:bottom w:val="single" w:sz="4" w:space="0" w:color="E0301E"/>
              <w:right w:val="single" w:sz="4" w:space="0" w:color="E0301E" w:themeColor="accent6"/>
            </w:tcBorders>
            <w:hideMark/>
          </w:tcPr>
          <w:p w14:paraId="2C612343" w14:textId="77777777" w:rsidR="0066781C" w:rsidRPr="004E1EB1" w:rsidRDefault="0066781C" w:rsidP="0066781C">
            <w:pPr>
              <w:pStyle w:val="TableTextSmall"/>
              <w:rPr>
                <w:highlight w:val="yellow"/>
              </w:rPr>
            </w:pPr>
            <w:r>
              <w:t>6% (1% in</w:t>
            </w:r>
            <w:r w:rsidRPr="0066781C">
              <w:t>crease</w:t>
            </w:r>
            <w:r>
              <w:t xml:space="preserve"> </w:t>
            </w:r>
            <w:r w:rsidRPr="0066781C">
              <w:t>from</w:t>
            </w:r>
            <w:r>
              <w:t xml:space="preserve"> base assumption)</w:t>
            </w:r>
          </w:p>
        </w:tc>
        <w:tc>
          <w:tcPr>
            <w:tcW w:w="1853" w:type="dxa"/>
            <w:tcBorders>
              <w:top w:val="single" w:sz="4" w:space="0" w:color="E0301E"/>
              <w:left w:val="single" w:sz="4" w:space="0" w:color="E0301E" w:themeColor="accent6"/>
              <w:bottom w:val="single" w:sz="4" w:space="0" w:color="E0301E"/>
              <w:right w:val="nil"/>
            </w:tcBorders>
          </w:tcPr>
          <w:p w14:paraId="25927E42" w14:textId="77777777" w:rsidR="0066781C" w:rsidRPr="0066781C" w:rsidRDefault="0066781C" w:rsidP="00936E99">
            <w:pPr>
              <w:pStyle w:val="TableTextSmall"/>
              <w:jc w:val="center"/>
            </w:pPr>
            <w:r w:rsidRPr="0066781C">
              <w:t>+$99bn</w:t>
            </w:r>
          </w:p>
        </w:tc>
        <w:tc>
          <w:tcPr>
            <w:tcW w:w="1842" w:type="dxa"/>
            <w:tcBorders>
              <w:top w:val="single" w:sz="4" w:space="0" w:color="E0301E"/>
              <w:left w:val="nil"/>
              <w:bottom w:val="single" w:sz="4" w:space="0" w:color="E0301E"/>
              <w:right w:val="single" w:sz="4" w:space="0" w:color="E0301E" w:themeColor="accent6"/>
            </w:tcBorders>
          </w:tcPr>
          <w:p w14:paraId="0002774F" w14:textId="77777777" w:rsidR="0066781C" w:rsidRPr="0066781C" w:rsidRDefault="0066781C" w:rsidP="00936E99">
            <w:pPr>
              <w:pStyle w:val="TableTextSmall"/>
              <w:jc w:val="center"/>
            </w:pPr>
            <w:r w:rsidRPr="0066781C">
              <w:t>+$41bn</w:t>
            </w:r>
          </w:p>
        </w:tc>
        <w:tc>
          <w:tcPr>
            <w:tcW w:w="1158" w:type="dxa"/>
            <w:tcBorders>
              <w:top w:val="single" w:sz="4" w:space="0" w:color="E0301E"/>
              <w:left w:val="single" w:sz="4" w:space="0" w:color="E0301E" w:themeColor="accent6"/>
              <w:bottom w:val="single" w:sz="4" w:space="0" w:color="E0301E"/>
              <w:right w:val="nil"/>
            </w:tcBorders>
          </w:tcPr>
          <w:p w14:paraId="79A7B031" w14:textId="77777777" w:rsidR="0066781C" w:rsidRPr="0066781C" w:rsidRDefault="0066781C" w:rsidP="00936E99">
            <w:pPr>
              <w:pStyle w:val="TableTextSmall"/>
              <w:jc w:val="center"/>
            </w:pPr>
            <w:r w:rsidRPr="0066781C">
              <w:t>+$140bn</w:t>
            </w:r>
          </w:p>
        </w:tc>
        <w:tc>
          <w:tcPr>
            <w:tcW w:w="994" w:type="dxa"/>
            <w:tcBorders>
              <w:top w:val="single" w:sz="4" w:space="0" w:color="E0301E"/>
              <w:left w:val="nil"/>
              <w:bottom w:val="single" w:sz="4" w:space="0" w:color="E0301E"/>
              <w:right w:val="single" w:sz="4" w:space="0" w:color="FFFFFF"/>
            </w:tcBorders>
            <w:hideMark/>
          </w:tcPr>
          <w:p w14:paraId="311F453C" w14:textId="77777777" w:rsidR="0066781C" w:rsidRPr="0066781C" w:rsidRDefault="0066781C" w:rsidP="00936E99">
            <w:pPr>
              <w:pStyle w:val="TableTextSmall"/>
              <w:jc w:val="center"/>
            </w:pPr>
            <w:r w:rsidRPr="0066781C">
              <w:t>+3.1%</w:t>
            </w:r>
          </w:p>
        </w:tc>
      </w:tr>
      <w:tr w:rsidR="0066781C" w:rsidRPr="004E1EB1" w14:paraId="46090310" w14:textId="77777777" w:rsidTr="002C08A6">
        <w:trPr>
          <w:trHeight w:val="284"/>
        </w:trPr>
        <w:tc>
          <w:tcPr>
            <w:tcW w:w="3651" w:type="dxa"/>
            <w:tcBorders>
              <w:top w:val="single" w:sz="4" w:space="0" w:color="E0301E"/>
              <w:left w:val="single" w:sz="4" w:space="0" w:color="FFFFFF"/>
              <w:bottom w:val="single" w:sz="4" w:space="0" w:color="E0301E"/>
              <w:right w:val="single" w:sz="4" w:space="0" w:color="E0301E" w:themeColor="accent6"/>
            </w:tcBorders>
            <w:hideMark/>
          </w:tcPr>
          <w:p w14:paraId="4F352CA6" w14:textId="77777777" w:rsidR="0066781C" w:rsidRPr="004E1EB1" w:rsidRDefault="0066781C" w:rsidP="0066781C">
            <w:pPr>
              <w:pStyle w:val="TableTextSmall"/>
              <w:rPr>
                <w:highlight w:val="yellow"/>
              </w:rPr>
            </w:pPr>
            <w:r>
              <w:t>7% (2% in</w:t>
            </w:r>
            <w:r w:rsidRPr="0066781C">
              <w:t>crease</w:t>
            </w:r>
            <w:r>
              <w:t xml:space="preserve"> </w:t>
            </w:r>
            <w:r w:rsidRPr="0066781C">
              <w:t>from</w:t>
            </w:r>
            <w:r>
              <w:t xml:space="preserve"> base assumption)</w:t>
            </w:r>
          </w:p>
        </w:tc>
        <w:tc>
          <w:tcPr>
            <w:tcW w:w="1853" w:type="dxa"/>
            <w:tcBorders>
              <w:top w:val="single" w:sz="4" w:space="0" w:color="E0301E"/>
              <w:left w:val="single" w:sz="4" w:space="0" w:color="E0301E" w:themeColor="accent6"/>
              <w:bottom w:val="single" w:sz="4" w:space="0" w:color="E0301E"/>
              <w:right w:val="nil"/>
            </w:tcBorders>
          </w:tcPr>
          <w:p w14:paraId="45FEC3C8" w14:textId="77777777" w:rsidR="0066781C" w:rsidRPr="0066781C" w:rsidRDefault="0066781C" w:rsidP="00936E99">
            <w:pPr>
              <w:pStyle w:val="TableTextSmall"/>
              <w:jc w:val="center"/>
            </w:pPr>
            <w:r w:rsidRPr="0066781C">
              <w:t>+$213bn</w:t>
            </w:r>
          </w:p>
        </w:tc>
        <w:tc>
          <w:tcPr>
            <w:tcW w:w="1842" w:type="dxa"/>
            <w:tcBorders>
              <w:top w:val="single" w:sz="4" w:space="0" w:color="E0301E"/>
              <w:left w:val="nil"/>
              <w:bottom w:val="single" w:sz="4" w:space="0" w:color="E0301E"/>
              <w:right w:val="single" w:sz="4" w:space="0" w:color="E0301E" w:themeColor="accent6"/>
            </w:tcBorders>
          </w:tcPr>
          <w:p w14:paraId="59A9A393" w14:textId="77777777" w:rsidR="0066781C" w:rsidRPr="0066781C" w:rsidRDefault="0066781C" w:rsidP="00936E99">
            <w:pPr>
              <w:pStyle w:val="TableTextSmall"/>
              <w:jc w:val="center"/>
            </w:pPr>
            <w:r w:rsidRPr="0066781C">
              <w:t>+$80bn</w:t>
            </w:r>
          </w:p>
        </w:tc>
        <w:tc>
          <w:tcPr>
            <w:tcW w:w="1158" w:type="dxa"/>
            <w:tcBorders>
              <w:top w:val="single" w:sz="4" w:space="0" w:color="E0301E"/>
              <w:left w:val="single" w:sz="4" w:space="0" w:color="E0301E" w:themeColor="accent6"/>
              <w:bottom w:val="single" w:sz="4" w:space="0" w:color="E0301E"/>
              <w:right w:val="nil"/>
            </w:tcBorders>
          </w:tcPr>
          <w:p w14:paraId="5BF52906" w14:textId="77777777" w:rsidR="0066781C" w:rsidRPr="0066781C" w:rsidRDefault="0066781C" w:rsidP="00936E99">
            <w:pPr>
              <w:pStyle w:val="TableTextSmall"/>
              <w:jc w:val="center"/>
            </w:pPr>
            <w:r w:rsidRPr="0066781C">
              <w:t>+$293bn</w:t>
            </w:r>
          </w:p>
        </w:tc>
        <w:tc>
          <w:tcPr>
            <w:tcW w:w="994" w:type="dxa"/>
            <w:tcBorders>
              <w:top w:val="single" w:sz="4" w:space="0" w:color="E0301E"/>
              <w:left w:val="nil"/>
              <w:bottom w:val="single" w:sz="4" w:space="0" w:color="E0301E"/>
              <w:right w:val="single" w:sz="4" w:space="0" w:color="FFFFFF"/>
            </w:tcBorders>
            <w:hideMark/>
          </w:tcPr>
          <w:p w14:paraId="6733B739" w14:textId="77777777" w:rsidR="0066781C" w:rsidRPr="0066781C" w:rsidRDefault="0066781C" w:rsidP="00936E99">
            <w:pPr>
              <w:pStyle w:val="TableTextSmall"/>
              <w:jc w:val="center"/>
            </w:pPr>
            <w:r w:rsidRPr="0066781C">
              <w:t>+6.5%</w:t>
            </w:r>
          </w:p>
        </w:tc>
      </w:tr>
    </w:tbl>
    <w:p w14:paraId="62C7523B" w14:textId="77777777" w:rsidR="007C24C8" w:rsidRPr="0066781C" w:rsidRDefault="007C24C8" w:rsidP="001A4479">
      <w:pPr>
        <w:pStyle w:val="PwCNormal"/>
        <w:numPr>
          <w:ilvl w:val="0"/>
          <w:numId w:val="37"/>
        </w:numPr>
      </w:pPr>
      <w:r w:rsidRPr="0066781C">
        <w:t>The scenarios above show a range of lifetime cost impacts from a reduction of $116bn based on the lowest unemployment rate scenario shown, to an increase of $293bn based on the highest unemployment rate scenario shown.</w:t>
      </w:r>
    </w:p>
    <w:p w14:paraId="13AA7DF9" w14:textId="77777777" w:rsidR="009D2160" w:rsidRPr="00EC326F" w:rsidRDefault="009D2160" w:rsidP="009D2160">
      <w:pPr>
        <w:pStyle w:val="Heading3"/>
      </w:pPr>
      <w:bookmarkStart w:id="297" w:name="_Ref466491736"/>
      <w:bookmarkStart w:id="298" w:name="_Ref466492611"/>
      <w:bookmarkStart w:id="299" w:name="_Ref466494695"/>
      <w:bookmarkStart w:id="300" w:name="_Toc493844255"/>
      <w:r w:rsidRPr="00EC326F">
        <w:t>Areas of sensitivity and uncertainty</w:t>
      </w:r>
      <w:bookmarkEnd w:id="292"/>
      <w:bookmarkEnd w:id="293"/>
      <w:bookmarkEnd w:id="294"/>
      <w:bookmarkEnd w:id="297"/>
      <w:bookmarkEnd w:id="298"/>
      <w:bookmarkEnd w:id="299"/>
      <w:bookmarkEnd w:id="300"/>
    </w:p>
    <w:p w14:paraId="0EAF7973" w14:textId="77777777" w:rsidR="009D2160" w:rsidRPr="00EC326F" w:rsidRDefault="009D2160" w:rsidP="009D2160">
      <w:pPr>
        <w:pStyle w:val="Heading4"/>
      </w:pPr>
      <w:bookmarkStart w:id="301" w:name="_Toc455503961"/>
      <w:bookmarkStart w:id="302" w:name="_Toc455502429"/>
      <w:bookmarkStart w:id="303" w:name="_Toc455499408"/>
      <w:r w:rsidRPr="00EC326F">
        <w:t>Limitations of the valuation</w:t>
      </w:r>
      <w:bookmarkEnd w:id="301"/>
      <w:bookmarkEnd w:id="302"/>
      <w:bookmarkEnd w:id="303"/>
    </w:p>
    <w:p w14:paraId="7CD2E8E5" w14:textId="77777777" w:rsidR="009D2160" w:rsidRPr="00EC326F" w:rsidRDefault="009D2160" w:rsidP="001A4479">
      <w:pPr>
        <w:pStyle w:val="PwCNormal"/>
        <w:numPr>
          <w:ilvl w:val="0"/>
          <w:numId w:val="37"/>
        </w:numPr>
      </w:pPr>
      <w:r w:rsidRPr="00EC326F">
        <w:t>The valuation explores the cost of future welfare payments over the remaining natural lifetimes of the model population on the basis that the currently legislated policy persists over that timeframe. Whilst this exercise is intended to provide useful information it is important to understand its limitations.</w:t>
      </w:r>
    </w:p>
    <w:p w14:paraId="423D9B44" w14:textId="77777777" w:rsidR="009D2160" w:rsidRPr="00EC326F" w:rsidRDefault="009D2160" w:rsidP="001A4479">
      <w:pPr>
        <w:pStyle w:val="PwCNormal"/>
        <w:numPr>
          <w:ilvl w:val="0"/>
          <w:numId w:val="37"/>
        </w:numPr>
      </w:pPr>
      <w:r w:rsidRPr="00EC326F">
        <w:t>The payment system changes frequently. Hence the scenario contemplated in the valuation of current policy continuing will be unlikely to eventuate in practice. As time progresses further into the future, the potential for different policies to be put in place is greater and so differences between actual and projected payments are likely to be larger.</w:t>
      </w:r>
    </w:p>
    <w:p w14:paraId="507A6621" w14:textId="77777777" w:rsidR="009D2160" w:rsidRPr="00EC326F" w:rsidRDefault="009D2160" w:rsidP="001A4479">
      <w:pPr>
        <w:pStyle w:val="PwCNormal"/>
        <w:numPr>
          <w:ilvl w:val="0"/>
          <w:numId w:val="37"/>
        </w:numPr>
      </w:pPr>
      <w:r w:rsidRPr="00EC326F">
        <w:t xml:space="preserve">The valuation explores the use of the welfare system allowing for expected demographic changes and considering the broader economic environment. Other external factors may influence the demands on the system. These factors extend as far as changing patterns of life and work; changes in the composition of </w:t>
      </w:r>
      <w:r w:rsidRPr="00EC326F">
        <w:lastRenderedPageBreak/>
        <w:t>households; changes in mix of industries and work opportunities; impacts of trends in population health and healthcare driving changes in demand for supports and behavioural changes from individuals and in terms of the informal supports provided between members of different generations. The extremely long term nature of the projected payments within the model means that all these factors and others that we have not yet contemplated are likely to influence the use of the welfare system in future years and hence impact the liabilities. We have not considered such trends explicitly.</w:t>
      </w:r>
    </w:p>
    <w:p w14:paraId="02ACE572" w14:textId="77777777" w:rsidR="009D2160" w:rsidRPr="00EC326F" w:rsidRDefault="009D2160" w:rsidP="009D2160">
      <w:pPr>
        <w:pStyle w:val="Heading4"/>
      </w:pPr>
      <w:bookmarkStart w:id="304" w:name="_Toc455503962"/>
      <w:bookmarkStart w:id="305" w:name="_Toc455502430"/>
      <w:bookmarkStart w:id="306" w:name="_Toc455499409"/>
      <w:r w:rsidRPr="00EC326F">
        <w:t>Uncertainty</w:t>
      </w:r>
      <w:bookmarkEnd w:id="304"/>
      <w:bookmarkEnd w:id="305"/>
      <w:bookmarkEnd w:id="306"/>
    </w:p>
    <w:p w14:paraId="3DEAF7A4" w14:textId="77777777" w:rsidR="009D2160" w:rsidRPr="00EC326F" w:rsidRDefault="009D2160" w:rsidP="001A4479">
      <w:pPr>
        <w:pStyle w:val="PwCNormal"/>
        <w:numPr>
          <w:ilvl w:val="0"/>
          <w:numId w:val="37"/>
        </w:numPr>
      </w:pPr>
      <w:r w:rsidRPr="00EC326F">
        <w:t xml:space="preserve">For each person, their actual life outcomes and the welfare payments received are uncertain. This is reflected in the assumption sets adopted in the valuation model which are probabilities of different events occurring throughout people’s lives and the likely costs of the resultant life trajectories. For each group of people and the population as a whole the valuation results presented above represent the mean of the lifetime costs derived from the range of modelled future outcomes. </w:t>
      </w:r>
    </w:p>
    <w:p w14:paraId="7A2B3561" w14:textId="77777777" w:rsidR="009D2160" w:rsidRPr="00EC326F" w:rsidRDefault="009D2160" w:rsidP="001A4479">
      <w:pPr>
        <w:pStyle w:val="PwCNormal"/>
        <w:numPr>
          <w:ilvl w:val="0"/>
          <w:numId w:val="37"/>
        </w:numPr>
      </w:pPr>
      <w:r w:rsidRPr="00EC326F">
        <w:t>Many of the assumptions underlying the actuarial valuation are developed by considering patterns of past use of the welfare system. In some cases the past experience has been volatile and in others the experience has varied from year to year, most likely as a result of policy changes. Some policy changes are recent and not fully reflected in the observed experience; people may also behave differently in the future than they have in the past. These considerations mean that the assumptions are inherently uncertain and the actual future experience may differ from that modelled.</w:t>
      </w:r>
    </w:p>
    <w:p w14:paraId="66ABC32C" w14:textId="77777777" w:rsidR="009D2160" w:rsidRPr="00EC326F" w:rsidRDefault="009D2160" w:rsidP="009D2160">
      <w:pPr>
        <w:pStyle w:val="PwCNormal"/>
        <w:numPr>
          <w:ilvl w:val="0"/>
          <w:numId w:val="0"/>
        </w:numPr>
      </w:pPr>
      <w:r w:rsidRPr="00EC326F">
        <w:t>The long term nature of the lifetime cost results means they are highly sensitive to some of the assumptions. In particular:</w:t>
      </w:r>
    </w:p>
    <w:p w14:paraId="666B4F6A" w14:textId="77777777" w:rsidR="009D2160" w:rsidRPr="00EC326F" w:rsidRDefault="009D2160" w:rsidP="001A4479">
      <w:pPr>
        <w:pStyle w:val="Bullet1"/>
        <w:numPr>
          <w:ilvl w:val="0"/>
          <w:numId w:val="44"/>
        </w:numPr>
      </w:pPr>
      <w:r w:rsidRPr="00EC326F">
        <w:t>The assumed mortality rates and mortality improvements have a systemic impact on the whole population. Small changes to future mortality rates mean that, on average, people receive the age pension for a different length of time and this can impact the lifetime costs materially.</w:t>
      </w:r>
    </w:p>
    <w:p w14:paraId="3DD28CF2" w14:textId="77777777" w:rsidR="009D2160" w:rsidRPr="00EC326F" w:rsidRDefault="009D2160" w:rsidP="001A4479">
      <w:pPr>
        <w:pStyle w:val="Bullet1"/>
        <w:numPr>
          <w:ilvl w:val="0"/>
          <w:numId w:val="44"/>
        </w:numPr>
      </w:pPr>
      <w:r w:rsidRPr="00EC326F">
        <w:t xml:space="preserve">The </w:t>
      </w:r>
      <w:r w:rsidR="000A30F0">
        <w:t>inflation and discounting</w:t>
      </w:r>
      <w:r w:rsidRPr="00EC326F">
        <w:t xml:space="preserve"> assumptions also have an extremely large impact on the lifetime cost results. Many of the payments are not received until many years into the future and for some of the population are concentrated in the latter part of people’s lives. This means small changes in the indexation and discount rates can have a large impact on the lifetime cost.</w:t>
      </w:r>
    </w:p>
    <w:p w14:paraId="5175E7EB" w14:textId="77777777" w:rsidR="009D2160" w:rsidRPr="00EC326F" w:rsidRDefault="009D2160" w:rsidP="009D2160">
      <w:pPr>
        <w:pStyle w:val="ListContinue"/>
      </w:pPr>
      <w:r w:rsidRPr="00EC326F">
        <w:t>The impact is greatest for changes to the discount rate as this impacts all future payments over all timeframes. It is greater for changes to MTAWE than changes in the CPI as the payments that occur later in people’s lives are indexed by MTAWE and hence have a longer average duration.</w:t>
      </w:r>
    </w:p>
    <w:p w14:paraId="334F1191" w14:textId="77777777" w:rsidR="00D904EF" w:rsidRPr="00EC326F" w:rsidRDefault="00D904EF" w:rsidP="001A4479">
      <w:pPr>
        <w:pStyle w:val="PwCNormal"/>
        <w:numPr>
          <w:ilvl w:val="0"/>
          <w:numId w:val="37"/>
        </w:numPr>
      </w:pPr>
      <w:r w:rsidRPr="00EC326F">
        <w:t>An important part of the analysis has been to use risk based assumptions to achieve a differentiation in the lifetime cost results for different groups of the population, with these being more reflective of their underlying risk profile, to the extent that this is captured within the variables modelled. The differentiation has been improved at this valuation with the inclusion of a number of class characteristic variables.</w:t>
      </w:r>
    </w:p>
    <w:p w14:paraId="7B61B06E" w14:textId="77777777" w:rsidR="00D904EF" w:rsidRPr="00EC326F" w:rsidRDefault="00D904EF" w:rsidP="001A4479">
      <w:pPr>
        <w:pStyle w:val="PwCNormal"/>
        <w:numPr>
          <w:ilvl w:val="0"/>
          <w:numId w:val="37"/>
        </w:numPr>
      </w:pPr>
      <w:r w:rsidRPr="00EC326F">
        <w:t xml:space="preserve">Whilst the use of risk characteristic variables improves the explanatory power of the modelling, and has been </w:t>
      </w:r>
      <w:r w:rsidR="000A30F0">
        <w:t>extended</w:t>
      </w:r>
      <w:r w:rsidRPr="00EC326F">
        <w:t xml:space="preserve"> since the baseline valuation, the analysis demonstrates that not all of the variation in welfare utilisation for different people can be explained by the risk characteristics included. Although there may be opportunities to continue to include some further variables in future valuation there will be a limit to the extent to which variation between groups and individuals can be explained. </w:t>
      </w:r>
    </w:p>
    <w:p w14:paraId="6DBA541C" w14:textId="1C749A47" w:rsidR="00D904EF" w:rsidRPr="00EC326F" w:rsidRDefault="00D904EF" w:rsidP="001A4479">
      <w:pPr>
        <w:pStyle w:val="PwCNormal"/>
        <w:numPr>
          <w:ilvl w:val="0"/>
          <w:numId w:val="37"/>
        </w:numPr>
      </w:pPr>
      <w:r w:rsidRPr="00EC326F">
        <w:t xml:space="preserve">A number of the risk based characteristics are dynamic in nature. Examples in the valuation include educational attainment, partnering status, number and age profile of children, and details of </w:t>
      </w:r>
      <w:r w:rsidR="00A82D43">
        <w:t>care recipient</w:t>
      </w:r>
      <w:r w:rsidR="00A82D43" w:rsidRPr="00EC326F">
        <w:t>s</w:t>
      </w:r>
      <w:r w:rsidRPr="00EC326F">
        <w:t>. Quite small variation in adopted parameters can have a significant compounding effect over the long periods of time projected. An important validation step has been to check the reasonableness of the distributions of these parameters across the projected population into future years. What represents reasonable is ultimately a subjective judgement. Where possible we have attempted to validate with other external reference points. Changes in profile may also impact on the predictive strength of the characteristic over time. For example, obtaining a university degree may not be as powerful an influence on lifetime earnings and employment as it was for earlier generations, due to a greater proportion of the population obtaining a degree and the changing composition of the economy.</w:t>
      </w:r>
    </w:p>
    <w:p w14:paraId="2039A298" w14:textId="77777777" w:rsidR="00D904EF" w:rsidRPr="00EC326F" w:rsidRDefault="00D904EF" w:rsidP="001A4479">
      <w:pPr>
        <w:pStyle w:val="PwCNormal"/>
        <w:numPr>
          <w:ilvl w:val="0"/>
          <w:numId w:val="37"/>
        </w:numPr>
      </w:pPr>
      <w:r w:rsidRPr="00EC326F">
        <w:t xml:space="preserve">Similarly, the class and payment utilisation variables which are used to project future welfare utilisation are themselves dynamic and </w:t>
      </w:r>
      <w:r w:rsidR="000A30F0">
        <w:t>t</w:t>
      </w:r>
      <w:r w:rsidRPr="00EC326F">
        <w:t>he lifetime cost is sensitive to variations in these assumptions and there is uncertainty as to how well the adopted assumptions reflect the likely future experience of the population under the current policy settings.</w:t>
      </w:r>
    </w:p>
    <w:p w14:paraId="5E1F74C3" w14:textId="77777777" w:rsidR="00D904EF" w:rsidRPr="00EC326F" w:rsidRDefault="00D904EF" w:rsidP="00D904EF">
      <w:pPr>
        <w:pStyle w:val="PwCNormal"/>
        <w:numPr>
          <w:ilvl w:val="0"/>
          <w:numId w:val="0"/>
        </w:numPr>
      </w:pPr>
      <w:r w:rsidRPr="00EC326F">
        <w:lastRenderedPageBreak/>
        <w:t xml:space="preserve">By its nature the lifetime cost </w:t>
      </w:r>
      <w:r w:rsidR="000A30F0">
        <w:t xml:space="preserve">assessment </w:t>
      </w:r>
      <w:r w:rsidRPr="00EC326F">
        <w:t xml:space="preserve">for the rest of the Australian population group may be even more uncertain than the lifetime cost for people currently and recently in receipt of Commonwealth payments. This comprises those segments of the population who have either never been in receipt of Commonwealth payments or who have not been in the last three years. As a result, less is known about the current situation and characteristics of people in these segments. Furthermore their projected future consumption of welfare is generally further into the future than for current and recent welfare recipients. The further out into the future the costs are projected, the more uncertain they become for the range of reasons discussed above. </w:t>
      </w:r>
    </w:p>
    <w:p w14:paraId="77CF4AFB" w14:textId="77777777" w:rsidR="00D904EF" w:rsidRPr="00EC326F" w:rsidRDefault="00D904EF" w:rsidP="00D904EF">
      <w:pPr>
        <w:pStyle w:val="PwCNormal"/>
        <w:numPr>
          <w:ilvl w:val="0"/>
          <w:numId w:val="0"/>
        </w:numPr>
      </w:pPr>
      <w:r w:rsidRPr="00EC326F">
        <w:t>We have illustrated the sensitivity to the</w:t>
      </w:r>
      <w:r w:rsidR="000A30F0">
        <w:t xml:space="preserve"> key valuation model </w:t>
      </w:r>
      <w:r w:rsidRPr="00EC326F">
        <w:t>assumptions in the section below.</w:t>
      </w:r>
    </w:p>
    <w:p w14:paraId="667C7FD5" w14:textId="77777777" w:rsidR="009D2160" w:rsidRPr="00EC326F" w:rsidRDefault="009D2160" w:rsidP="009D2160">
      <w:pPr>
        <w:pStyle w:val="Heading4"/>
      </w:pPr>
      <w:bookmarkStart w:id="307" w:name="_Toc455503963"/>
      <w:bookmarkStart w:id="308" w:name="_Toc455502431"/>
      <w:bookmarkStart w:id="309" w:name="_Toc455499410"/>
      <w:r w:rsidRPr="00EC326F">
        <w:t>Sensitivity</w:t>
      </w:r>
      <w:bookmarkEnd w:id="307"/>
      <w:bookmarkEnd w:id="308"/>
      <w:bookmarkEnd w:id="309"/>
    </w:p>
    <w:p w14:paraId="514109EF" w14:textId="77777777" w:rsidR="009D2160" w:rsidRPr="00EC326F" w:rsidRDefault="009D2160" w:rsidP="009D2160">
      <w:pPr>
        <w:pStyle w:val="PwCNormal"/>
        <w:keepNext/>
        <w:keepLines/>
        <w:numPr>
          <w:ilvl w:val="0"/>
          <w:numId w:val="0"/>
        </w:numPr>
      </w:pPr>
      <w:r w:rsidRPr="00EC326F">
        <w:t>The lifetime cost results are sensitive to the underlying assumptions. To illustrate these sensitivities we have tested a range of alternate assumptions and the results are presented below.</w:t>
      </w:r>
    </w:p>
    <w:p w14:paraId="472703D2" w14:textId="77777777" w:rsidR="009D2160" w:rsidRPr="00EC326F" w:rsidRDefault="009D2160" w:rsidP="009D2160">
      <w:pPr>
        <w:pStyle w:val="Caption"/>
      </w:pPr>
      <w:r w:rsidRPr="00EC326F">
        <w:t xml:space="preserve">Table </w:t>
      </w:r>
      <w:fldSimple w:instr=" SEQ Table \* ARABIC ">
        <w:r w:rsidR="007A42DF">
          <w:rPr>
            <w:noProof/>
          </w:rPr>
          <w:t>25</w:t>
        </w:r>
      </w:fldSimple>
      <w:r w:rsidRPr="00EC326F">
        <w:t>: Sensitivity of current liabilities to changes in assumptions</w:t>
      </w:r>
    </w:p>
    <w:tbl>
      <w:tblPr>
        <w:tblStyle w:val="Tables-APBase"/>
        <w:tblW w:w="4905" w:type="pct"/>
        <w:tblBorders>
          <w:bottom w:val="single" w:sz="4" w:space="0" w:color="E0301E"/>
          <w:insideH w:val="single" w:sz="4" w:space="0" w:color="E0301E"/>
        </w:tblBorders>
        <w:tblLayout w:type="fixed"/>
        <w:tblLook w:val="04A0" w:firstRow="1" w:lastRow="0" w:firstColumn="1" w:lastColumn="0" w:noHBand="0" w:noVBand="1"/>
        <w:tblCaption w:val=" Sensitivity of current liabilities to changes in assumptions&#10;"/>
        <w:tblDescription w:val="This table lists the sensitivity of current liabilities to changes in assumptions. It details the changes in lifetime costs if certain assumptions change. It has six columns - the assumption set, the sensitivity test performed, the non-pension component of change in lifetime cost, the pension component of change in lifetime cost, the total change in lifetime cost and the % change in lifetime cost. The sets tested were mortality, economic, aged pension, entry and exit rates and simulation run.&#10;&#10;For mortality, the tests performed were :&#10;• Removal of mortality adjustments for specific population groups &#10;• Increase future mortality improvements by 25%&#10;• Remove future mortality improvements&#10;&#10;The largest change in total lifetime cost occurred in the “Remove future mortality improvements” test. The total change in lifetime cost was -$596bn (-13.2%).&#10;&#10;For the economic set, the tests performed were;&#10;• Discount rate reduces 1% to +5% &#10;• Long term CPI assumption increases by 1% (from 2.5% to 3.5%, starting from 2023/24)&#10;• Long term CPI assumption reduces by 1% (from 2.5% to 1.5%, starting from 2023/24)&#10;• Long term MTAWE assumption increases by 1% (from 4% to 5%, starting from 2023/24)&#10;• Long term MTAWE assumption reduces by 1% (from 4% to 3%, starting from 2023/24)&#10;&#10;The largest change in total lifetime cost occurred in the “Discount rate reduces 1% to +5%” test. The total increase in lifetime cost was $1,557bn (+34.5%).&#10;&#10;For age pension, the test conducted was “Adjustment to reflect an expected increase in future numbers of part pensioners is removed”. The impact was +37bn (0.8%) in lifetime cost&#10;&#10;For Entry and Exit rates, the sensitivity tests were:&#10;• Rates of movement from the rest of the population to the active classes increase by 10% for ages up to retirement age&#10;• Rates of movement from the rest of the population to the active classes increase by 10% for retirement age and above&#10;• Rates of movement from the active classes to the rest of the population increase by 10%&#10;&#10;The largest impact was the first test “Rates of movement from the rest of the population to the active classes increase by 10% for ages up to retirement age”. It increased lifetime cost by $96bn (2.1%).&#10;&#10;For the simulation, the sensitivity test conducted was “largest deviation from the presented results over 10 full simulation runs, using different sets of random numbers for each run”. The impact of this test on lifetime cost was $2bn. &#10;"/>
      </w:tblPr>
      <w:tblGrid>
        <w:gridCol w:w="1274"/>
        <w:gridCol w:w="3784"/>
        <w:gridCol w:w="1531"/>
        <w:gridCol w:w="1380"/>
        <w:gridCol w:w="1070"/>
        <w:gridCol w:w="850"/>
      </w:tblGrid>
      <w:tr w:rsidR="00A01560" w:rsidRPr="00EC326F" w14:paraId="7FC0E348" w14:textId="77777777" w:rsidTr="008E3BD6">
        <w:trPr>
          <w:cnfStyle w:val="100000000000" w:firstRow="1" w:lastRow="0" w:firstColumn="0" w:lastColumn="0" w:oddVBand="0" w:evenVBand="0" w:oddHBand="0" w:evenHBand="0" w:firstRowFirstColumn="0" w:firstRowLastColumn="0" w:lastRowFirstColumn="0" w:lastRowLastColumn="0"/>
          <w:trHeight w:val="397"/>
        </w:trPr>
        <w:tc>
          <w:tcPr>
            <w:cnfStyle w:val="000000000100" w:firstRow="0" w:lastRow="0" w:firstColumn="0" w:lastColumn="0" w:oddVBand="0" w:evenVBand="0" w:oddHBand="0" w:evenHBand="0" w:firstRowFirstColumn="1" w:firstRowLastColumn="0" w:lastRowFirstColumn="0" w:lastRowLastColumn="0"/>
            <w:tcW w:w="1274"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3ECA5BA4" w14:textId="77777777" w:rsidR="00A01560" w:rsidRPr="00EC326F" w:rsidRDefault="00A01560" w:rsidP="00936E99">
            <w:pPr>
              <w:pStyle w:val="TableColumnHeadingSmall"/>
            </w:pPr>
            <w:r w:rsidRPr="00EC326F">
              <w:t>Assumption set</w:t>
            </w:r>
          </w:p>
        </w:tc>
        <w:tc>
          <w:tcPr>
            <w:tcW w:w="3784"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742A7FF0" w14:textId="77777777" w:rsidR="00A01560" w:rsidRPr="00EC326F" w:rsidRDefault="00A01560" w:rsidP="00936E99">
            <w:pPr>
              <w:pStyle w:val="TableColumnHeadingSmall"/>
              <w:cnfStyle w:val="100000000000" w:firstRow="1" w:lastRow="0" w:firstColumn="0" w:lastColumn="0" w:oddVBand="0" w:evenVBand="0" w:oddHBand="0" w:evenHBand="0" w:firstRowFirstColumn="0" w:firstRowLastColumn="0" w:lastRowFirstColumn="0" w:lastRowLastColumn="0"/>
            </w:pPr>
            <w:r w:rsidRPr="00EC326F">
              <w:t>Sensitivity test</w:t>
            </w:r>
          </w:p>
        </w:tc>
        <w:tc>
          <w:tcPr>
            <w:tcW w:w="1531"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1D7B0078" w14:textId="77777777" w:rsidR="00A01560" w:rsidRPr="00EC326F" w:rsidRDefault="00A01560" w:rsidP="000A30F0">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Change in lifetime cost, non-Age Pension component</w:t>
            </w:r>
          </w:p>
        </w:tc>
        <w:tc>
          <w:tcPr>
            <w:tcW w:w="1380"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12CDACD3" w14:textId="77777777" w:rsidR="00A01560" w:rsidRPr="00EC326F" w:rsidRDefault="00A01560" w:rsidP="000A30F0">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Change in lifetime cost, Age Pension component</w:t>
            </w:r>
          </w:p>
        </w:tc>
        <w:tc>
          <w:tcPr>
            <w:tcW w:w="1070"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664095FD" w14:textId="4645E716" w:rsidR="00A01560" w:rsidRPr="00EC326F" w:rsidRDefault="00A01560" w:rsidP="000A30F0">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Total change in lifetime cost</w:t>
            </w:r>
            <w:r>
              <w:t xml:space="preserve"> ($)</w:t>
            </w:r>
          </w:p>
        </w:tc>
        <w:tc>
          <w:tcPr>
            <w:tcW w:w="850"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776BDB16" w14:textId="5AFBAF51" w:rsidR="00A01560" w:rsidRPr="00EC326F" w:rsidRDefault="00A01560" w:rsidP="000A30F0">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Total change in lifetime cost</w:t>
            </w:r>
            <w:r>
              <w:t xml:space="preserve"> (%)</w:t>
            </w:r>
          </w:p>
        </w:tc>
      </w:tr>
      <w:tr w:rsidR="00936E99" w:rsidRPr="00EC326F" w14:paraId="617E8D43"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25DC50F2" w14:textId="77777777" w:rsidR="00936E99" w:rsidRPr="00EC326F" w:rsidRDefault="00936E99" w:rsidP="00936E99">
            <w:pPr>
              <w:pStyle w:val="TableTextSmall"/>
            </w:pPr>
            <w:r w:rsidRPr="00EC326F">
              <w:t xml:space="preserve">Mortality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101A1D46" w14:textId="77777777" w:rsidR="00936E99" w:rsidRPr="00EC326F" w:rsidRDefault="00936E99" w:rsidP="00936E99">
            <w:pPr>
              <w:pStyle w:val="TableTextSmall"/>
            </w:pPr>
            <w:r w:rsidRPr="00EC326F">
              <w:t xml:space="preserve">Removal of mortality adjustments for specific population groups </w:t>
            </w:r>
          </w:p>
        </w:tc>
        <w:tc>
          <w:tcPr>
            <w:tcW w:w="1531" w:type="dxa"/>
            <w:tcBorders>
              <w:top w:val="single" w:sz="4" w:space="0" w:color="E0301E"/>
              <w:left w:val="single" w:sz="4" w:space="0" w:color="E0301E" w:themeColor="accent6"/>
              <w:bottom w:val="single" w:sz="4" w:space="0" w:color="E0301E"/>
              <w:right w:val="nil"/>
            </w:tcBorders>
          </w:tcPr>
          <w:p w14:paraId="54E1B33C" w14:textId="77777777" w:rsidR="00936E99" w:rsidRPr="00EC326F" w:rsidRDefault="00936E99" w:rsidP="00936E99">
            <w:pPr>
              <w:pStyle w:val="TableTextSmall"/>
              <w:jc w:val="center"/>
            </w:pPr>
            <w:r w:rsidRPr="00EC326F">
              <w:t>+$50bn</w:t>
            </w:r>
          </w:p>
        </w:tc>
        <w:tc>
          <w:tcPr>
            <w:tcW w:w="1380" w:type="dxa"/>
            <w:tcBorders>
              <w:top w:val="single" w:sz="4" w:space="0" w:color="E0301E"/>
              <w:left w:val="nil"/>
              <w:bottom w:val="single" w:sz="4" w:space="0" w:color="E0301E"/>
              <w:right w:val="single" w:sz="4" w:space="0" w:color="E0301E" w:themeColor="accent6"/>
            </w:tcBorders>
          </w:tcPr>
          <w:p w14:paraId="71A5F676" w14:textId="77777777" w:rsidR="00936E99" w:rsidRPr="00EC326F" w:rsidRDefault="00936E99" w:rsidP="00936E99">
            <w:pPr>
              <w:pStyle w:val="TableTextSmall"/>
              <w:jc w:val="center"/>
            </w:pPr>
            <w:r w:rsidRPr="00EC326F">
              <w:t>+$43bn</w:t>
            </w:r>
          </w:p>
        </w:tc>
        <w:tc>
          <w:tcPr>
            <w:tcW w:w="1070" w:type="dxa"/>
            <w:tcBorders>
              <w:top w:val="single" w:sz="4" w:space="0" w:color="E0301E"/>
              <w:left w:val="single" w:sz="4" w:space="0" w:color="E0301E" w:themeColor="accent6"/>
              <w:bottom w:val="single" w:sz="4" w:space="0" w:color="E0301E"/>
              <w:right w:val="nil"/>
            </w:tcBorders>
          </w:tcPr>
          <w:p w14:paraId="06ECFBC4" w14:textId="77777777" w:rsidR="00936E99" w:rsidRPr="00EC326F" w:rsidRDefault="00936E99" w:rsidP="00936E99">
            <w:pPr>
              <w:pStyle w:val="TableTextSmall"/>
              <w:jc w:val="center"/>
            </w:pPr>
            <w:r w:rsidRPr="00EC326F">
              <w:t>+$93bn</w:t>
            </w:r>
          </w:p>
        </w:tc>
        <w:tc>
          <w:tcPr>
            <w:tcW w:w="850" w:type="dxa"/>
            <w:tcBorders>
              <w:top w:val="single" w:sz="4" w:space="0" w:color="E0301E"/>
              <w:left w:val="nil"/>
              <w:bottom w:val="single" w:sz="4" w:space="0" w:color="E0301E"/>
              <w:right w:val="single" w:sz="4" w:space="0" w:color="FFFFFF"/>
            </w:tcBorders>
            <w:hideMark/>
          </w:tcPr>
          <w:p w14:paraId="4C833B16" w14:textId="77777777" w:rsidR="00936E99" w:rsidRPr="00EC326F" w:rsidRDefault="00936E99" w:rsidP="00936E99">
            <w:pPr>
              <w:pStyle w:val="TableTextSmall"/>
              <w:jc w:val="center"/>
            </w:pPr>
            <w:r w:rsidRPr="00EC326F">
              <w:t>+2.1%</w:t>
            </w:r>
          </w:p>
        </w:tc>
      </w:tr>
      <w:tr w:rsidR="00936E99" w:rsidRPr="00EC326F" w14:paraId="301DB86D"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4EFE2E1D" w14:textId="77777777" w:rsidR="00936E99" w:rsidRPr="00EC326F" w:rsidRDefault="00936E99" w:rsidP="00936E99">
            <w:pPr>
              <w:pStyle w:val="TableTextSmall"/>
            </w:pPr>
            <w:r w:rsidRPr="00EC326F">
              <w:t xml:space="preserve">Mortality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083BE229" w14:textId="77777777" w:rsidR="00936E99" w:rsidRPr="00EC326F" w:rsidRDefault="00936E99" w:rsidP="00936E99">
            <w:pPr>
              <w:pStyle w:val="TableTextSmall"/>
            </w:pPr>
            <w:r w:rsidRPr="00EC326F">
              <w:t>Increase future mortality improvements by 25%</w:t>
            </w:r>
          </w:p>
        </w:tc>
        <w:tc>
          <w:tcPr>
            <w:tcW w:w="1531" w:type="dxa"/>
            <w:tcBorders>
              <w:top w:val="single" w:sz="4" w:space="0" w:color="E0301E"/>
              <w:left w:val="single" w:sz="4" w:space="0" w:color="E0301E" w:themeColor="accent6"/>
              <w:bottom w:val="single" w:sz="4" w:space="0" w:color="E0301E"/>
              <w:right w:val="nil"/>
            </w:tcBorders>
          </w:tcPr>
          <w:p w14:paraId="7C5FE747" w14:textId="77777777" w:rsidR="00936E99" w:rsidRPr="00EC326F" w:rsidRDefault="00936E99" w:rsidP="00936E99">
            <w:pPr>
              <w:pStyle w:val="TableTextSmall"/>
              <w:jc w:val="center"/>
            </w:pPr>
            <w:r w:rsidRPr="00EC326F">
              <w:t>+$17bn</w:t>
            </w:r>
          </w:p>
        </w:tc>
        <w:tc>
          <w:tcPr>
            <w:tcW w:w="1380" w:type="dxa"/>
            <w:tcBorders>
              <w:top w:val="single" w:sz="4" w:space="0" w:color="E0301E"/>
              <w:left w:val="nil"/>
              <w:bottom w:val="single" w:sz="4" w:space="0" w:color="E0301E"/>
              <w:right w:val="single" w:sz="4" w:space="0" w:color="E0301E" w:themeColor="accent6"/>
            </w:tcBorders>
          </w:tcPr>
          <w:p w14:paraId="06388B54" w14:textId="77777777" w:rsidR="00936E99" w:rsidRPr="00EC326F" w:rsidRDefault="00936E99" w:rsidP="00936E99">
            <w:pPr>
              <w:pStyle w:val="TableTextSmall"/>
              <w:jc w:val="center"/>
            </w:pPr>
            <w:r w:rsidRPr="00EC326F">
              <w:t>+$96bn</w:t>
            </w:r>
          </w:p>
        </w:tc>
        <w:tc>
          <w:tcPr>
            <w:tcW w:w="1070" w:type="dxa"/>
            <w:tcBorders>
              <w:top w:val="single" w:sz="4" w:space="0" w:color="E0301E"/>
              <w:left w:val="single" w:sz="4" w:space="0" w:color="E0301E" w:themeColor="accent6"/>
              <w:bottom w:val="single" w:sz="4" w:space="0" w:color="E0301E"/>
              <w:right w:val="nil"/>
            </w:tcBorders>
          </w:tcPr>
          <w:p w14:paraId="4245C4CC" w14:textId="77777777" w:rsidR="00936E99" w:rsidRPr="00EC326F" w:rsidRDefault="00936E99" w:rsidP="00936E99">
            <w:pPr>
              <w:pStyle w:val="TableTextSmall"/>
              <w:jc w:val="center"/>
            </w:pPr>
            <w:r w:rsidRPr="00EC326F">
              <w:t>+$113bn</w:t>
            </w:r>
          </w:p>
        </w:tc>
        <w:tc>
          <w:tcPr>
            <w:tcW w:w="850" w:type="dxa"/>
            <w:tcBorders>
              <w:top w:val="single" w:sz="4" w:space="0" w:color="E0301E"/>
              <w:left w:val="nil"/>
              <w:bottom w:val="single" w:sz="4" w:space="0" w:color="E0301E"/>
              <w:right w:val="single" w:sz="4" w:space="0" w:color="FFFFFF"/>
            </w:tcBorders>
            <w:hideMark/>
          </w:tcPr>
          <w:p w14:paraId="099B9131" w14:textId="77777777" w:rsidR="00936E99" w:rsidRPr="00EC326F" w:rsidRDefault="00936E99" w:rsidP="00936E99">
            <w:pPr>
              <w:pStyle w:val="TableTextSmall"/>
              <w:jc w:val="center"/>
            </w:pPr>
            <w:r w:rsidRPr="00EC326F">
              <w:t>+2.5%</w:t>
            </w:r>
          </w:p>
        </w:tc>
      </w:tr>
      <w:tr w:rsidR="00936E99" w:rsidRPr="00EC326F" w14:paraId="177E6573"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7F390D34" w14:textId="77777777" w:rsidR="00936E99" w:rsidRPr="00EC326F" w:rsidRDefault="00936E99" w:rsidP="00936E99">
            <w:pPr>
              <w:pStyle w:val="TableTextSmall"/>
            </w:pPr>
            <w:r w:rsidRPr="00EC326F">
              <w:t xml:space="preserve">Mortality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4ABC7B67" w14:textId="77777777" w:rsidR="00936E99" w:rsidRPr="00EC326F" w:rsidRDefault="00936E99" w:rsidP="00936E99">
            <w:pPr>
              <w:pStyle w:val="TableTextSmall"/>
            </w:pPr>
            <w:r w:rsidRPr="00EC326F">
              <w:t xml:space="preserve">Remove future mortality improvements </w:t>
            </w:r>
          </w:p>
        </w:tc>
        <w:tc>
          <w:tcPr>
            <w:tcW w:w="1531" w:type="dxa"/>
            <w:tcBorders>
              <w:top w:val="single" w:sz="4" w:space="0" w:color="E0301E"/>
              <w:left w:val="single" w:sz="4" w:space="0" w:color="E0301E" w:themeColor="accent6"/>
              <w:bottom w:val="single" w:sz="4" w:space="0" w:color="E0301E"/>
              <w:right w:val="nil"/>
            </w:tcBorders>
          </w:tcPr>
          <w:p w14:paraId="3BD6ED78" w14:textId="77777777" w:rsidR="00936E99" w:rsidRPr="00EC326F" w:rsidRDefault="00936E99" w:rsidP="00936E99">
            <w:pPr>
              <w:pStyle w:val="TableTextSmall"/>
              <w:jc w:val="center"/>
            </w:pPr>
            <w:r w:rsidRPr="00EC326F">
              <w:t>-$92bn</w:t>
            </w:r>
          </w:p>
        </w:tc>
        <w:tc>
          <w:tcPr>
            <w:tcW w:w="1380" w:type="dxa"/>
            <w:tcBorders>
              <w:top w:val="single" w:sz="4" w:space="0" w:color="E0301E"/>
              <w:left w:val="nil"/>
              <w:bottom w:val="single" w:sz="4" w:space="0" w:color="E0301E"/>
              <w:right w:val="single" w:sz="4" w:space="0" w:color="E0301E" w:themeColor="accent6"/>
            </w:tcBorders>
          </w:tcPr>
          <w:p w14:paraId="3F60E046" w14:textId="77777777" w:rsidR="00936E99" w:rsidRPr="00EC326F" w:rsidRDefault="00936E99" w:rsidP="00936E99">
            <w:pPr>
              <w:pStyle w:val="TableTextSmall"/>
              <w:jc w:val="center"/>
            </w:pPr>
            <w:r w:rsidRPr="00EC326F">
              <w:t>-$504bn</w:t>
            </w:r>
          </w:p>
        </w:tc>
        <w:tc>
          <w:tcPr>
            <w:tcW w:w="1070" w:type="dxa"/>
            <w:tcBorders>
              <w:top w:val="single" w:sz="4" w:space="0" w:color="E0301E"/>
              <w:left w:val="single" w:sz="4" w:space="0" w:color="E0301E" w:themeColor="accent6"/>
              <w:bottom w:val="single" w:sz="4" w:space="0" w:color="E0301E"/>
              <w:right w:val="nil"/>
            </w:tcBorders>
          </w:tcPr>
          <w:p w14:paraId="0288A271" w14:textId="77777777" w:rsidR="00936E99" w:rsidRPr="00EC326F" w:rsidRDefault="00936E99" w:rsidP="00936E99">
            <w:pPr>
              <w:pStyle w:val="TableTextSmall"/>
              <w:jc w:val="center"/>
            </w:pPr>
            <w:r w:rsidRPr="00EC326F">
              <w:t>-$596bn</w:t>
            </w:r>
          </w:p>
        </w:tc>
        <w:tc>
          <w:tcPr>
            <w:tcW w:w="850" w:type="dxa"/>
            <w:tcBorders>
              <w:top w:val="single" w:sz="4" w:space="0" w:color="E0301E"/>
              <w:left w:val="nil"/>
              <w:bottom w:val="single" w:sz="4" w:space="0" w:color="E0301E"/>
              <w:right w:val="single" w:sz="4" w:space="0" w:color="FFFFFF"/>
            </w:tcBorders>
            <w:hideMark/>
          </w:tcPr>
          <w:p w14:paraId="4ECC87B1" w14:textId="77777777" w:rsidR="00936E99" w:rsidRPr="00EC326F" w:rsidRDefault="00936E99" w:rsidP="00936E99">
            <w:pPr>
              <w:pStyle w:val="TableTextSmall"/>
              <w:jc w:val="center"/>
            </w:pPr>
            <w:r w:rsidRPr="00EC326F">
              <w:t>-13.2%</w:t>
            </w:r>
          </w:p>
        </w:tc>
      </w:tr>
      <w:tr w:rsidR="00936E99" w:rsidRPr="00EC326F" w14:paraId="719D0C7D"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6706B694" w14:textId="77777777" w:rsidR="00936E99" w:rsidRPr="00EC326F" w:rsidRDefault="00936E99" w:rsidP="00936E99">
            <w:pPr>
              <w:pStyle w:val="TableTextSmall"/>
            </w:pPr>
            <w:r w:rsidRPr="00EC326F">
              <w:t xml:space="preserve">Economic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079748C0" w14:textId="77777777" w:rsidR="00936E99" w:rsidRPr="00EC326F" w:rsidRDefault="00936E99" w:rsidP="00936E99">
            <w:pPr>
              <w:pStyle w:val="TableTextSmall"/>
            </w:pPr>
            <w:r w:rsidRPr="00EC326F">
              <w:t xml:space="preserve">Discount rate increases 1% to +7% </w:t>
            </w:r>
          </w:p>
        </w:tc>
        <w:tc>
          <w:tcPr>
            <w:tcW w:w="1531" w:type="dxa"/>
            <w:tcBorders>
              <w:top w:val="single" w:sz="4" w:space="0" w:color="E0301E"/>
              <w:left w:val="single" w:sz="4" w:space="0" w:color="E0301E" w:themeColor="accent6"/>
              <w:bottom w:val="single" w:sz="4" w:space="0" w:color="E0301E"/>
              <w:right w:val="nil"/>
            </w:tcBorders>
          </w:tcPr>
          <w:p w14:paraId="51CEA053" w14:textId="77777777" w:rsidR="00936E99" w:rsidRPr="00EC326F" w:rsidRDefault="00936E99" w:rsidP="00936E99">
            <w:pPr>
              <w:pStyle w:val="TableTextSmall"/>
              <w:jc w:val="center"/>
            </w:pPr>
            <w:r w:rsidRPr="00EC326F">
              <w:t>-$336bn</w:t>
            </w:r>
          </w:p>
        </w:tc>
        <w:tc>
          <w:tcPr>
            <w:tcW w:w="1380" w:type="dxa"/>
            <w:tcBorders>
              <w:top w:val="single" w:sz="4" w:space="0" w:color="E0301E"/>
              <w:left w:val="nil"/>
              <w:bottom w:val="single" w:sz="4" w:space="0" w:color="E0301E"/>
              <w:right w:val="single" w:sz="4" w:space="0" w:color="E0301E" w:themeColor="accent6"/>
            </w:tcBorders>
          </w:tcPr>
          <w:p w14:paraId="7EE9814A" w14:textId="77777777" w:rsidR="00936E99" w:rsidRPr="00EC326F" w:rsidRDefault="00936E99" w:rsidP="00936E99">
            <w:pPr>
              <w:pStyle w:val="TableTextSmall"/>
              <w:jc w:val="center"/>
            </w:pPr>
            <w:r w:rsidRPr="00EC326F">
              <w:t>-$673bn</w:t>
            </w:r>
          </w:p>
        </w:tc>
        <w:tc>
          <w:tcPr>
            <w:tcW w:w="1070" w:type="dxa"/>
            <w:tcBorders>
              <w:top w:val="single" w:sz="4" w:space="0" w:color="E0301E"/>
              <w:left w:val="single" w:sz="4" w:space="0" w:color="E0301E" w:themeColor="accent6"/>
              <w:bottom w:val="single" w:sz="4" w:space="0" w:color="E0301E"/>
              <w:right w:val="nil"/>
            </w:tcBorders>
          </w:tcPr>
          <w:p w14:paraId="5F11FEB9" w14:textId="77777777" w:rsidR="00936E99" w:rsidRPr="00EC326F" w:rsidRDefault="00936E99" w:rsidP="00936E99">
            <w:pPr>
              <w:pStyle w:val="TableTextSmall"/>
              <w:jc w:val="center"/>
            </w:pPr>
            <w:r w:rsidRPr="00EC326F">
              <w:t>-$1</w:t>
            </w:r>
            <w:r w:rsidR="0011562A">
              <w:t>,</w:t>
            </w:r>
            <w:r w:rsidRPr="00EC326F">
              <w:t>008bn</w:t>
            </w:r>
          </w:p>
        </w:tc>
        <w:tc>
          <w:tcPr>
            <w:tcW w:w="850" w:type="dxa"/>
            <w:tcBorders>
              <w:top w:val="single" w:sz="4" w:space="0" w:color="E0301E"/>
              <w:left w:val="nil"/>
              <w:bottom w:val="single" w:sz="4" w:space="0" w:color="E0301E"/>
              <w:right w:val="single" w:sz="4" w:space="0" w:color="FFFFFF"/>
            </w:tcBorders>
            <w:hideMark/>
          </w:tcPr>
          <w:p w14:paraId="5065EF60" w14:textId="77777777" w:rsidR="00936E99" w:rsidRPr="00EC326F" w:rsidRDefault="00936E99" w:rsidP="00936E99">
            <w:pPr>
              <w:pStyle w:val="TableTextSmall"/>
              <w:jc w:val="center"/>
            </w:pPr>
            <w:r w:rsidRPr="00EC326F">
              <w:t>-22.3%</w:t>
            </w:r>
          </w:p>
        </w:tc>
      </w:tr>
      <w:tr w:rsidR="00936E99" w:rsidRPr="00EC326F" w14:paraId="7AF027A1"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30F516B7" w14:textId="77777777" w:rsidR="00936E99" w:rsidRPr="00EC326F" w:rsidRDefault="00936E99" w:rsidP="00936E99">
            <w:pPr>
              <w:pStyle w:val="TableTextSmall"/>
            </w:pPr>
            <w:r w:rsidRPr="00EC326F">
              <w:t xml:space="preserve">Economic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45753555" w14:textId="77777777" w:rsidR="00936E99" w:rsidRPr="00EC326F" w:rsidRDefault="00936E99" w:rsidP="00936E99">
            <w:pPr>
              <w:pStyle w:val="TableTextSmall"/>
            </w:pPr>
            <w:r w:rsidRPr="00EC326F">
              <w:t xml:space="preserve">Discount rate reduces 1% to +5% </w:t>
            </w:r>
          </w:p>
        </w:tc>
        <w:tc>
          <w:tcPr>
            <w:tcW w:w="1531" w:type="dxa"/>
            <w:tcBorders>
              <w:top w:val="single" w:sz="4" w:space="0" w:color="E0301E"/>
              <w:left w:val="single" w:sz="4" w:space="0" w:color="E0301E" w:themeColor="accent6"/>
              <w:bottom w:val="single" w:sz="4" w:space="0" w:color="E0301E"/>
              <w:right w:val="nil"/>
            </w:tcBorders>
          </w:tcPr>
          <w:p w14:paraId="3C8BE954" w14:textId="77777777" w:rsidR="00936E99" w:rsidRPr="00EC326F" w:rsidRDefault="00936E99" w:rsidP="00936E99">
            <w:pPr>
              <w:pStyle w:val="TableTextSmall"/>
              <w:jc w:val="center"/>
            </w:pPr>
            <w:r w:rsidRPr="00EC326F">
              <w:t>+$462bn</w:t>
            </w:r>
          </w:p>
        </w:tc>
        <w:tc>
          <w:tcPr>
            <w:tcW w:w="1380" w:type="dxa"/>
            <w:tcBorders>
              <w:top w:val="single" w:sz="4" w:space="0" w:color="E0301E"/>
              <w:left w:val="nil"/>
              <w:bottom w:val="single" w:sz="4" w:space="0" w:color="E0301E"/>
              <w:right w:val="single" w:sz="4" w:space="0" w:color="E0301E" w:themeColor="accent6"/>
            </w:tcBorders>
          </w:tcPr>
          <w:p w14:paraId="5E83011F" w14:textId="77777777" w:rsidR="00936E99" w:rsidRPr="00EC326F" w:rsidRDefault="00936E99" w:rsidP="00936E99">
            <w:pPr>
              <w:pStyle w:val="TableTextSmall"/>
              <w:jc w:val="center"/>
            </w:pPr>
            <w:r w:rsidRPr="00EC326F">
              <w:t>+$1,095bn</w:t>
            </w:r>
          </w:p>
        </w:tc>
        <w:tc>
          <w:tcPr>
            <w:tcW w:w="1070" w:type="dxa"/>
            <w:tcBorders>
              <w:top w:val="single" w:sz="4" w:space="0" w:color="E0301E"/>
              <w:left w:val="single" w:sz="4" w:space="0" w:color="E0301E" w:themeColor="accent6"/>
              <w:bottom w:val="single" w:sz="4" w:space="0" w:color="E0301E"/>
              <w:right w:val="nil"/>
            </w:tcBorders>
          </w:tcPr>
          <w:p w14:paraId="62CEF8A6" w14:textId="77777777" w:rsidR="00936E99" w:rsidRPr="00EC326F" w:rsidRDefault="00936E99" w:rsidP="00936E99">
            <w:pPr>
              <w:pStyle w:val="TableTextSmall"/>
              <w:jc w:val="center"/>
            </w:pPr>
            <w:r w:rsidRPr="00EC326F">
              <w:t>+$1,557bn</w:t>
            </w:r>
          </w:p>
        </w:tc>
        <w:tc>
          <w:tcPr>
            <w:tcW w:w="850" w:type="dxa"/>
            <w:tcBorders>
              <w:top w:val="single" w:sz="4" w:space="0" w:color="E0301E"/>
              <w:left w:val="nil"/>
              <w:bottom w:val="single" w:sz="4" w:space="0" w:color="E0301E"/>
              <w:right w:val="single" w:sz="4" w:space="0" w:color="FFFFFF"/>
            </w:tcBorders>
            <w:hideMark/>
          </w:tcPr>
          <w:p w14:paraId="3925D1D8" w14:textId="77777777" w:rsidR="00936E99" w:rsidRPr="00EC326F" w:rsidRDefault="00936E99" w:rsidP="00936E99">
            <w:pPr>
              <w:pStyle w:val="TableTextSmall"/>
              <w:jc w:val="center"/>
            </w:pPr>
            <w:r w:rsidRPr="00EC326F">
              <w:t>+34.5%</w:t>
            </w:r>
          </w:p>
        </w:tc>
      </w:tr>
      <w:tr w:rsidR="00936E99" w:rsidRPr="00EC326F" w14:paraId="38F2D169"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6A2D355C" w14:textId="77777777" w:rsidR="00936E99" w:rsidRPr="00EC326F" w:rsidRDefault="00936E99" w:rsidP="00936E99">
            <w:pPr>
              <w:pStyle w:val="TableTextSmall"/>
            </w:pPr>
            <w:r w:rsidRPr="00EC326F">
              <w:t xml:space="preserve">Economic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6364FD96" w14:textId="77777777" w:rsidR="00936E99" w:rsidRPr="00EC326F" w:rsidRDefault="00936E99" w:rsidP="00936E99">
            <w:pPr>
              <w:pStyle w:val="TableTextSmall"/>
            </w:pPr>
            <w:r w:rsidRPr="00EC326F">
              <w:t>Long term CPI assumption increases by 1% (from 2.5% to 3.5%, starting from 2023/24)</w:t>
            </w:r>
          </w:p>
        </w:tc>
        <w:tc>
          <w:tcPr>
            <w:tcW w:w="1531" w:type="dxa"/>
            <w:tcBorders>
              <w:top w:val="single" w:sz="4" w:space="0" w:color="E0301E"/>
              <w:left w:val="single" w:sz="4" w:space="0" w:color="E0301E" w:themeColor="accent6"/>
              <w:bottom w:val="single" w:sz="4" w:space="0" w:color="E0301E"/>
              <w:right w:val="nil"/>
            </w:tcBorders>
          </w:tcPr>
          <w:p w14:paraId="3461444D" w14:textId="77777777" w:rsidR="00936E99" w:rsidRPr="00EC326F" w:rsidRDefault="00936E99" w:rsidP="00936E99">
            <w:pPr>
              <w:pStyle w:val="TableTextSmall"/>
              <w:jc w:val="center"/>
            </w:pPr>
            <w:r w:rsidRPr="00EC326F">
              <w:t>+$156bn</w:t>
            </w:r>
          </w:p>
        </w:tc>
        <w:tc>
          <w:tcPr>
            <w:tcW w:w="1380" w:type="dxa"/>
            <w:tcBorders>
              <w:top w:val="single" w:sz="4" w:space="0" w:color="E0301E"/>
              <w:left w:val="nil"/>
              <w:bottom w:val="single" w:sz="4" w:space="0" w:color="E0301E"/>
              <w:right w:val="single" w:sz="4" w:space="0" w:color="E0301E" w:themeColor="accent6"/>
            </w:tcBorders>
          </w:tcPr>
          <w:p w14:paraId="12860B87" w14:textId="77777777" w:rsidR="00936E99" w:rsidRPr="00EC326F" w:rsidRDefault="00936E99" w:rsidP="00936E99">
            <w:pPr>
              <w:pStyle w:val="TableTextSmall"/>
              <w:jc w:val="center"/>
            </w:pPr>
            <w:r w:rsidRPr="00EC326F">
              <w:t>-</w:t>
            </w:r>
          </w:p>
        </w:tc>
        <w:tc>
          <w:tcPr>
            <w:tcW w:w="1070" w:type="dxa"/>
            <w:tcBorders>
              <w:top w:val="single" w:sz="4" w:space="0" w:color="E0301E"/>
              <w:left w:val="single" w:sz="4" w:space="0" w:color="E0301E" w:themeColor="accent6"/>
              <w:bottom w:val="single" w:sz="4" w:space="0" w:color="E0301E"/>
              <w:right w:val="nil"/>
            </w:tcBorders>
          </w:tcPr>
          <w:p w14:paraId="3B74ED72" w14:textId="77777777" w:rsidR="00936E99" w:rsidRPr="00EC326F" w:rsidRDefault="00936E99" w:rsidP="00936E99">
            <w:pPr>
              <w:pStyle w:val="TableTextSmall"/>
              <w:jc w:val="center"/>
            </w:pPr>
            <w:r w:rsidRPr="00EC326F">
              <w:t>+$156bn</w:t>
            </w:r>
          </w:p>
        </w:tc>
        <w:tc>
          <w:tcPr>
            <w:tcW w:w="850" w:type="dxa"/>
            <w:tcBorders>
              <w:top w:val="single" w:sz="4" w:space="0" w:color="E0301E"/>
              <w:left w:val="nil"/>
              <w:bottom w:val="single" w:sz="4" w:space="0" w:color="E0301E"/>
              <w:right w:val="single" w:sz="4" w:space="0" w:color="FFFFFF"/>
            </w:tcBorders>
            <w:hideMark/>
          </w:tcPr>
          <w:p w14:paraId="0FC5F91F" w14:textId="77777777" w:rsidR="00936E99" w:rsidRPr="00EC326F" w:rsidRDefault="00936E99" w:rsidP="00936E99">
            <w:pPr>
              <w:pStyle w:val="TableTextSmall"/>
              <w:jc w:val="center"/>
            </w:pPr>
            <w:r w:rsidRPr="00EC326F">
              <w:t>+3.5%</w:t>
            </w:r>
          </w:p>
        </w:tc>
      </w:tr>
      <w:tr w:rsidR="00936E99" w:rsidRPr="00EC326F" w14:paraId="74D87A24"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565876FE" w14:textId="77777777" w:rsidR="00936E99" w:rsidRPr="00EC326F" w:rsidRDefault="00936E99" w:rsidP="00936E99">
            <w:pPr>
              <w:pStyle w:val="TableTextSmall"/>
            </w:pPr>
            <w:r w:rsidRPr="00EC326F">
              <w:t xml:space="preserve">Economic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1AD9E3EA" w14:textId="77777777" w:rsidR="00936E99" w:rsidRPr="00EC326F" w:rsidRDefault="00936E99" w:rsidP="00936E99">
            <w:pPr>
              <w:pStyle w:val="TableTextSmall"/>
            </w:pPr>
            <w:r w:rsidRPr="00EC326F">
              <w:t>Long term CPI assumption reduces by 1% (from 2.5% to 1.5%, starting from 2023/24)</w:t>
            </w:r>
          </w:p>
        </w:tc>
        <w:tc>
          <w:tcPr>
            <w:tcW w:w="1531" w:type="dxa"/>
            <w:tcBorders>
              <w:top w:val="single" w:sz="4" w:space="0" w:color="E0301E"/>
              <w:left w:val="single" w:sz="4" w:space="0" w:color="E0301E" w:themeColor="accent6"/>
              <w:bottom w:val="single" w:sz="4" w:space="0" w:color="E0301E"/>
              <w:right w:val="nil"/>
            </w:tcBorders>
          </w:tcPr>
          <w:p w14:paraId="3409423A" w14:textId="77777777" w:rsidR="00936E99" w:rsidRPr="00EC326F" w:rsidRDefault="00936E99" w:rsidP="00936E99">
            <w:pPr>
              <w:pStyle w:val="TableTextSmall"/>
              <w:jc w:val="center"/>
            </w:pPr>
            <w:r w:rsidRPr="00EC326F">
              <w:t>-$120bn</w:t>
            </w:r>
          </w:p>
        </w:tc>
        <w:tc>
          <w:tcPr>
            <w:tcW w:w="1380" w:type="dxa"/>
            <w:tcBorders>
              <w:top w:val="single" w:sz="4" w:space="0" w:color="E0301E"/>
              <w:left w:val="nil"/>
              <w:bottom w:val="single" w:sz="4" w:space="0" w:color="E0301E"/>
              <w:right w:val="single" w:sz="4" w:space="0" w:color="E0301E" w:themeColor="accent6"/>
            </w:tcBorders>
          </w:tcPr>
          <w:p w14:paraId="623E8A14" w14:textId="77777777" w:rsidR="00936E99" w:rsidRPr="00EC326F" w:rsidRDefault="00936E99" w:rsidP="00936E99">
            <w:pPr>
              <w:pStyle w:val="TableTextSmall"/>
              <w:jc w:val="center"/>
            </w:pPr>
            <w:r w:rsidRPr="00EC326F">
              <w:t>-</w:t>
            </w:r>
          </w:p>
        </w:tc>
        <w:tc>
          <w:tcPr>
            <w:tcW w:w="1070" w:type="dxa"/>
            <w:tcBorders>
              <w:top w:val="single" w:sz="4" w:space="0" w:color="E0301E"/>
              <w:left w:val="single" w:sz="4" w:space="0" w:color="E0301E" w:themeColor="accent6"/>
              <w:bottom w:val="single" w:sz="4" w:space="0" w:color="E0301E"/>
              <w:right w:val="nil"/>
            </w:tcBorders>
          </w:tcPr>
          <w:p w14:paraId="14440765" w14:textId="77777777" w:rsidR="00936E99" w:rsidRPr="00EC326F" w:rsidRDefault="00936E99" w:rsidP="00936E99">
            <w:pPr>
              <w:pStyle w:val="TableTextSmall"/>
              <w:jc w:val="center"/>
            </w:pPr>
            <w:r w:rsidRPr="00EC326F">
              <w:t>-$120bn</w:t>
            </w:r>
          </w:p>
        </w:tc>
        <w:tc>
          <w:tcPr>
            <w:tcW w:w="850" w:type="dxa"/>
            <w:tcBorders>
              <w:top w:val="single" w:sz="4" w:space="0" w:color="E0301E"/>
              <w:left w:val="nil"/>
              <w:bottom w:val="single" w:sz="4" w:space="0" w:color="E0301E"/>
              <w:right w:val="single" w:sz="4" w:space="0" w:color="FFFFFF"/>
            </w:tcBorders>
            <w:hideMark/>
          </w:tcPr>
          <w:p w14:paraId="10DC7746" w14:textId="77777777" w:rsidR="00936E99" w:rsidRPr="00EC326F" w:rsidRDefault="00936E99" w:rsidP="00936E99">
            <w:pPr>
              <w:pStyle w:val="TableTextSmall"/>
              <w:jc w:val="center"/>
            </w:pPr>
            <w:r w:rsidRPr="00EC326F">
              <w:t>-2.6%</w:t>
            </w:r>
          </w:p>
        </w:tc>
      </w:tr>
      <w:tr w:rsidR="00936E99" w:rsidRPr="00EC326F" w14:paraId="78E660B7"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2FD29C62" w14:textId="77777777" w:rsidR="00936E99" w:rsidRPr="00EC326F" w:rsidRDefault="00936E99" w:rsidP="00936E99">
            <w:pPr>
              <w:pStyle w:val="TableTextSmall"/>
            </w:pPr>
            <w:r w:rsidRPr="00EC326F">
              <w:t xml:space="preserve">Economic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3DC62542" w14:textId="77777777" w:rsidR="00936E99" w:rsidRPr="00EC326F" w:rsidRDefault="00936E99" w:rsidP="00936E99">
            <w:pPr>
              <w:pStyle w:val="TableTextSmall"/>
            </w:pPr>
            <w:r w:rsidRPr="00EC326F">
              <w:t>Long term MTAWE assumption increases by 1% (from 4% to 5%, starting from 2023/24)</w:t>
            </w:r>
          </w:p>
        </w:tc>
        <w:tc>
          <w:tcPr>
            <w:tcW w:w="1531" w:type="dxa"/>
            <w:tcBorders>
              <w:top w:val="single" w:sz="4" w:space="0" w:color="E0301E"/>
              <w:left w:val="single" w:sz="4" w:space="0" w:color="E0301E" w:themeColor="accent6"/>
              <w:bottom w:val="single" w:sz="4" w:space="0" w:color="E0301E"/>
              <w:right w:val="nil"/>
            </w:tcBorders>
          </w:tcPr>
          <w:p w14:paraId="75901DA7" w14:textId="77777777" w:rsidR="00936E99" w:rsidRPr="00EC326F" w:rsidRDefault="00936E99" w:rsidP="00936E99">
            <w:pPr>
              <w:pStyle w:val="TableTextSmall"/>
              <w:jc w:val="center"/>
            </w:pPr>
            <w:r w:rsidRPr="00EC326F">
              <w:t>+$155bn</w:t>
            </w:r>
          </w:p>
        </w:tc>
        <w:tc>
          <w:tcPr>
            <w:tcW w:w="1380" w:type="dxa"/>
            <w:tcBorders>
              <w:top w:val="single" w:sz="4" w:space="0" w:color="E0301E"/>
              <w:left w:val="nil"/>
              <w:bottom w:val="single" w:sz="4" w:space="0" w:color="E0301E"/>
              <w:right w:val="single" w:sz="4" w:space="0" w:color="E0301E" w:themeColor="accent6"/>
            </w:tcBorders>
          </w:tcPr>
          <w:p w14:paraId="34CE9737" w14:textId="77777777" w:rsidR="00936E99" w:rsidRPr="00EC326F" w:rsidRDefault="00936E99" w:rsidP="00936E99">
            <w:pPr>
              <w:pStyle w:val="TableTextSmall"/>
              <w:jc w:val="center"/>
            </w:pPr>
            <w:r w:rsidRPr="00EC326F">
              <w:t>+$884bn</w:t>
            </w:r>
          </w:p>
        </w:tc>
        <w:tc>
          <w:tcPr>
            <w:tcW w:w="1070" w:type="dxa"/>
            <w:tcBorders>
              <w:top w:val="single" w:sz="4" w:space="0" w:color="E0301E"/>
              <w:left w:val="single" w:sz="4" w:space="0" w:color="E0301E" w:themeColor="accent6"/>
              <w:bottom w:val="single" w:sz="4" w:space="0" w:color="E0301E"/>
              <w:right w:val="nil"/>
            </w:tcBorders>
          </w:tcPr>
          <w:p w14:paraId="748BE315" w14:textId="77777777" w:rsidR="00936E99" w:rsidRPr="00EC326F" w:rsidRDefault="00936E99" w:rsidP="00936E99">
            <w:pPr>
              <w:pStyle w:val="TableTextSmall"/>
              <w:jc w:val="center"/>
            </w:pPr>
            <w:r w:rsidRPr="00EC326F">
              <w:t>+$1,039bn</w:t>
            </w:r>
          </w:p>
        </w:tc>
        <w:tc>
          <w:tcPr>
            <w:tcW w:w="850" w:type="dxa"/>
            <w:tcBorders>
              <w:top w:val="single" w:sz="4" w:space="0" w:color="E0301E"/>
              <w:left w:val="nil"/>
              <w:bottom w:val="single" w:sz="4" w:space="0" w:color="E0301E"/>
              <w:right w:val="single" w:sz="4" w:space="0" w:color="FFFFFF"/>
            </w:tcBorders>
            <w:hideMark/>
          </w:tcPr>
          <w:p w14:paraId="35938F1F" w14:textId="77777777" w:rsidR="00936E99" w:rsidRPr="00EC326F" w:rsidRDefault="00936E99" w:rsidP="00936E99">
            <w:pPr>
              <w:pStyle w:val="TableTextSmall"/>
              <w:jc w:val="center"/>
            </w:pPr>
            <w:r w:rsidRPr="00EC326F">
              <w:t>+23.0%</w:t>
            </w:r>
          </w:p>
        </w:tc>
      </w:tr>
      <w:tr w:rsidR="00936E99" w:rsidRPr="00EC326F" w14:paraId="2717D77E"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39193F1F" w14:textId="77777777" w:rsidR="00936E99" w:rsidRPr="00EC326F" w:rsidRDefault="00936E99" w:rsidP="00936E99">
            <w:pPr>
              <w:pStyle w:val="TableTextSmall"/>
            </w:pPr>
            <w:r w:rsidRPr="00EC326F">
              <w:t xml:space="preserve">Economic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18975ECE" w14:textId="77777777" w:rsidR="00936E99" w:rsidRPr="00EC326F" w:rsidRDefault="00936E99" w:rsidP="00936E99">
            <w:pPr>
              <w:pStyle w:val="TableTextSmall"/>
            </w:pPr>
            <w:r w:rsidRPr="00EC326F">
              <w:t>Long term MTAWE assumption reduces by 1% (from 4% to 3%, starting from 2023/24)</w:t>
            </w:r>
          </w:p>
        </w:tc>
        <w:tc>
          <w:tcPr>
            <w:tcW w:w="1531" w:type="dxa"/>
            <w:tcBorders>
              <w:top w:val="single" w:sz="4" w:space="0" w:color="E0301E"/>
              <w:left w:val="single" w:sz="4" w:space="0" w:color="E0301E" w:themeColor="accent6"/>
              <w:bottom w:val="single" w:sz="4" w:space="0" w:color="E0301E"/>
              <w:right w:val="nil"/>
            </w:tcBorders>
          </w:tcPr>
          <w:p w14:paraId="021CD6D0" w14:textId="77777777" w:rsidR="00936E99" w:rsidRPr="00EC326F" w:rsidRDefault="00936E99" w:rsidP="00936E99">
            <w:pPr>
              <w:pStyle w:val="TableTextSmall"/>
              <w:jc w:val="center"/>
            </w:pPr>
            <w:r w:rsidRPr="00EC326F">
              <w:t>-$114bn</w:t>
            </w:r>
          </w:p>
        </w:tc>
        <w:tc>
          <w:tcPr>
            <w:tcW w:w="1380" w:type="dxa"/>
            <w:tcBorders>
              <w:top w:val="single" w:sz="4" w:space="0" w:color="E0301E"/>
              <w:left w:val="nil"/>
              <w:bottom w:val="single" w:sz="4" w:space="0" w:color="E0301E"/>
              <w:right w:val="single" w:sz="4" w:space="0" w:color="E0301E" w:themeColor="accent6"/>
            </w:tcBorders>
          </w:tcPr>
          <w:p w14:paraId="2769921A" w14:textId="77777777" w:rsidR="00936E99" w:rsidRPr="00EC326F" w:rsidRDefault="00936E99" w:rsidP="00936E99">
            <w:pPr>
              <w:pStyle w:val="TableTextSmall"/>
              <w:jc w:val="center"/>
            </w:pPr>
            <w:r w:rsidRPr="00EC326F">
              <w:t>-$571bn</w:t>
            </w:r>
          </w:p>
        </w:tc>
        <w:tc>
          <w:tcPr>
            <w:tcW w:w="1070" w:type="dxa"/>
            <w:tcBorders>
              <w:top w:val="single" w:sz="4" w:space="0" w:color="E0301E"/>
              <w:left w:val="single" w:sz="4" w:space="0" w:color="E0301E" w:themeColor="accent6"/>
              <w:bottom w:val="single" w:sz="4" w:space="0" w:color="E0301E"/>
              <w:right w:val="nil"/>
            </w:tcBorders>
          </w:tcPr>
          <w:p w14:paraId="1816AD31" w14:textId="77777777" w:rsidR="00936E99" w:rsidRPr="00EC326F" w:rsidRDefault="00936E99" w:rsidP="00936E99">
            <w:pPr>
              <w:pStyle w:val="TableTextSmall"/>
              <w:jc w:val="center"/>
            </w:pPr>
            <w:r w:rsidRPr="00EC326F">
              <w:t>-$685bn</w:t>
            </w:r>
          </w:p>
        </w:tc>
        <w:tc>
          <w:tcPr>
            <w:tcW w:w="850" w:type="dxa"/>
            <w:tcBorders>
              <w:top w:val="single" w:sz="4" w:space="0" w:color="E0301E"/>
              <w:left w:val="nil"/>
              <w:bottom w:val="single" w:sz="4" w:space="0" w:color="E0301E"/>
              <w:right w:val="single" w:sz="4" w:space="0" w:color="FFFFFF"/>
            </w:tcBorders>
            <w:hideMark/>
          </w:tcPr>
          <w:p w14:paraId="38FEEEB1" w14:textId="77777777" w:rsidR="00936E99" w:rsidRPr="00EC326F" w:rsidRDefault="00936E99" w:rsidP="00936E99">
            <w:pPr>
              <w:pStyle w:val="TableTextSmall"/>
              <w:jc w:val="center"/>
            </w:pPr>
            <w:r w:rsidRPr="00EC326F">
              <w:t>-15.2%</w:t>
            </w:r>
          </w:p>
        </w:tc>
      </w:tr>
      <w:tr w:rsidR="00936E99" w:rsidRPr="00EC326F" w14:paraId="071402FB"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58B2B26C" w14:textId="77777777" w:rsidR="00936E99" w:rsidRPr="00EC326F" w:rsidRDefault="00936E99" w:rsidP="00936E99">
            <w:pPr>
              <w:pStyle w:val="TableTextSmall"/>
            </w:pPr>
            <w:r w:rsidRPr="00EC326F">
              <w:t xml:space="preserve">Aged pension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5A73B52C" w14:textId="77777777" w:rsidR="00936E99" w:rsidRPr="00EC326F" w:rsidRDefault="00936E99" w:rsidP="00936E99">
            <w:pPr>
              <w:pStyle w:val="TableTextSmall"/>
            </w:pPr>
            <w:r w:rsidRPr="00EC326F">
              <w:t>Adjustment to reflect an expected increase in future numbers of part pensioners is removed</w:t>
            </w:r>
          </w:p>
        </w:tc>
        <w:tc>
          <w:tcPr>
            <w:tcW w:w="1531" w:type="dxa"/>
            <w:tcBorders>
              <w:top w:val="single" w:sz="4" w:space="0" w:color="E0301E"/>
              <w:left w:val="single" w:sz="4" w:space="0" w:color="E0301E" w:themeColor="accent6"/>
              <w:bottom w:val="single" w:sz="4" w:space="0" w:color="E0301E"/>
              <w:right w:val="nil"/>
            </w:tcBorders>
          </w:tcPr>
          <w:p w14:paraId="23FA2DF5" w14:textId="77777777" w:rsidR="00936E99" w:rsidRPr="00EC326F" w:rsidRDefault="00936E99" w:rsidP="00936E99">
            <w:pPr>
              <w:pStyle w:val="TableTextSmall"/>
              <w:jc w:val="center"/>
            </w:pPr>
            <w:r w:rsidRPr="00EC326F">
              <w:t>+$2bn</w:t>
            </w:r>
          </w:p>
        </w:tc>
        <w:tc>
          <w:tcPr>
            <w:tcW w:w="1380" w:type="dxa"/>
            <w:tcBorders>
              <w:top w:val="single" w:sz="4" w:space="0" w:color="E0301E"/>
              <w:left w:val="nil"/>
              <w:bottom w:val="single" w:sz="4" w:space="0" w:color="E0301E"/>
              <w:right w:val="single" w:sz="4" w:space="0" w:color="E0301E" w:themeColor="accent6"/>
            </w:tcBorders>
          </w:tcPr>
          <w:p w14:paraId="4FC1C2BB" w14:textId="77777777" w:rsidR="00936E99" w:rsidRPr="00EC326F" w:rsidRDefault="00936E99" w:rsidP="00936E99">
            <w:pPr>
              <w:pStyle w:val="TableTextSmall"/>
              <w:jc w:val="center"/>
            </w:pPr>
            <w:r w:rsidRPr="00EC326F">
              <w:t>+$35bn</w:t>
            </w:r>
          </w:p>
        </w:tc>
        <w:tc>
          <w:tcPr>
            <w:tcW w:w="1070" w:type="dxa"/>
            <w:tcBorders>
              <w:top w:val="single" w:sz="4" w:space="0" w:color="E0301E"/>
              <w:left w:val="single" w:sz="4" w:space="0" w:color="E0301E" w:themeColor="accent6"/>
              <w:bottom w:val="single" w:sz="4" w:space="0" w:color="E0301E"/>
              <w:right w:val="nil"/>
            </w:tcBorders>
          </w:tcPr>
          <w:p w14:paraId="575858A6" w14:textId="77777777" w:rsidR="00936E99" w:rsidRPr="00EC326F" w:rsidRDefault="00936E99" w:rsidP="00936E99">
            <w:pPr>
              <w:pStyle w:val="TableTextSmall"/>
              <w:jc w:val="center"/>
            </w:pPr>
            <w:r w:rsidRPr="00EC326F">
              <w:t>+$37bn</w:t>
            </w:r>
          </w:p>
        </w:tc>
        <w:tc>
          <w:tcPr>
            <w:tcW w:w="850" w:type="dxa"/>
            <w:tcBorders>
              <w:top w:val="single" w:sz="4" w:space="0" w:color="E0301E"/>
              <w:left w:val="nil"/>
              <w:bottom w:val="single" w:sz="4" w:space="0" w:color="E0301E"/>
              <w:right w:val="single" w:sz="4" w:space="0" w:color="FFFFFF"/>
            </w:tcBorders>
            <w:hideMark/>
          </w:tcPr>
          <w:p w14:paraId="734DB48A" w14:textId="77777777" w:rsidR="00936E99" w:rsidRPr="00EC326F" w:rsidRDefault="00936E99" w:rsidP="00936E99">
            <w:pPr>
              <w:pStyle w:val="TableTextSmall"/>
              <w:jc w:val="center"/>
            </w:pPr>
            <w:r w:rsidRPr="00EC326F">
              <w:t>+0.8%</w:t>
            </w:r>
          </w:p>
        </w:tc>
      </w:tr>
      <w:tr w:rsidR="00936E99" w:rsidRPr="00EC326F" w14:paraId="36247AB3"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72D76680" w14:textId="77777777" w:rsidR="00936E99" w:rsidRPr="00EC326F" w:rsidRDefault="00936E99" w:rsidP="00936E99">
            <w:pPr>
              <w:pStyle w:val="TableTextSmall"/>
            </w:pPr>
            <w:r w:rsidRPr="00EC326F">
              <w:t xml:space="preserve">Entry and exit rates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4C843B5A" w14:textId="77777777" w:rsidR="00936E99" w:rsidRPr="00EC326F" w:rsidRDefault="00936E99" w:rsidP="00936E99">
            <w:pPr>
              <w:pStyle w:val="TableTextSmall"/>
            </w:pPr>
            <w:r w:rsidRPr="00EC326F">
              <w:t>Rates of movement from the rest of the population to the active classes increase by 10% for ages up to retirement age</w:t>
            </w:r>
          </w:p>
        </w:tc>
        <w:tc>
          <w:tcPr>
            <w:tcW w:w="1531" w:type="dxa"/>
            <w:tcBorders>
              <w:top w:val="single" w:sz="4" w:space="0" w:color="E0301E"/>
              <w:left w:val="single" w:sz="4" w:space="0" w:color="E0301E" w:themeColor="accent6"/>
              <w:bottom w:val="single" w:sz="4" w:space="0" w:color="E0301E"/>
              <w:right w:val="nil"/>
            </w:tcBorders>
          </w:tcPr>
          <w:p w14:paraId="07E5D978" w14:textId="77777777" w:rsidR="00936E99" w:rsidRPr="00EC326F" w:rsidRDefault="00936E99" w:rsidP="00936E99">
            <w:pPr>
              <w:pStyle w:val="TableTextSmall"/>
              <w:jc w:val="center"/>
            </w:pPr>
            <w:r w:rsidRPr="00EC326F">
              <w:t>+$79bn</w:t>
            </w:r>
          </w:p>
        </w:tc>
        <w:tc>
          <w:tcPr>
            <w:tcW w:w="1380" w:type="dxa"/>
            <w:tcBorders>
              <w:top w:val="single" w:sz="4" w:space="0" w:color="E0301E"/>
              <w:left w:val="nil"/>
              <w:bottom w:val="single" w:sz="4" w:space="0" w:color="E0301E"/>
              <w:right w:val="single" w:sz="4" w:space="0" w:color="E0301E" w:themeColor="accent6"/>
            </w:tcBorders>
          </w:tcPr>
          <w:p w14:paraId="17D4880B" w14:textId="77777777" w:rsidR="00936E99" w:rsidRPr="00EC326F" w:rsidRDefault="00936E99" w:rsidP="00936E99">
            <w:pPr>
              <w:pStyle w:val="TableTextSmall"/>
              <w:jc w:val="center"/>
            </w:pPr>
            <w:r w:rsidRPr="00EC326F">
              <w:t>+$17bn</w:t>
            </w:r>
          </w:p>
        </w:tc>
        <w:tc>
          <w:tcPr>
            <w:tcW w:w="1070" w:type="dxa"/>
            <w:tcBorders>
              <w:top w:val="single" w:sz="4" w:space="0" w:color="E0301E"/>
              <w:left w:val="single" w:sz="4" w:space="0" w:color="E0301E" w:themeColor="accent6"/>
              <w:bottom w:val="single" w:sz="4" w:space="0" w:color="E0301E"/>
              <w:right w:val="nil"/>
            </w:tcBorders>
          </w:tcPr>
          <w:p w14:paraId="4F73D15B" w14:textId="77777777" w:rsidR="00936E99" w:rsidRPr="00EC326F" w:rsidRDefault="00936E99" w:rsidP="00936E99">
            <w:pPr>
              <w:pStyle w:val="TableTextSmall"/>
              <w:jc w:val="center"/>
            </w:pPr>
            <w:r w:rsidRPr="00EC326F">
              <w:t>+$96bn</w:t>
            </w:r>
          </w:p>
        </w:tc>
        <w:tc>
          <w:tcPr>
            <w:tcW w:w="850" w:type="dxa"/>
            <w:tcBorders>
              <w:top w:val="single" w:sz="4" w:space="0" w:color="E0301E"/>
              <w:left w:val="nil"/>
              <w:bottom w:val="single" w:sz="4" w:space="0" w:color="E0301E"/>
              <w:right w:val="single" w:sz="4" w:space="0" w:color="FFFFFF"/>
            </w:tcBorders>
            <w:hideMark/>
          </w:tcPr>
          <w:p w14:paraId="29337537" w14:textId="77777777" w:rsidR="00936E99" w:rsidRPr="00EC326F" w:rsidRDefault="00936E99" w:rsidP="00936E99">
            <w:pPr>
              <w:pStyle w:val="TableTextSmall"/>
              <w:jc w:val="center"/>
            </w:pPr>
            <w:r w:rsidRPr="00EC326F">
              <w:t>+2.1%</w:t>
            </w:r>
          </w:p>
        </w:tc>
      </w:tr>
      <w:tr w:rsidR="00936E99" w:rsidRPr="00EC326F" w14:paraId="427BF98C"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3083F5F3" w14:textId="77777777" w:rsidR="00936E99" w:rsidRPr="00EC326F" w:rsidRDefault="00936E99" w:rsidP="00936E99">
            <w:pPr>
              <w:pStyle w:val="TableTextSmall"/>
            </w:pPr>
            <w:r w:rsidRPr="00EC326F">
              <w:t xml:space="preserve">Entry and exit rates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517F4BB6" w14:textId="77777777" w:rsidR="00936E99" w:rsidRPr="00EC326F" w:rsidRDefault="00936E99" w:rsidP="00936E99">
            <w:pPr>
              <w:pStyle w:val="TableTextSmall"/>
            </w:pPr>
            <w:r w:rsidRPr="00EC326F">
              <w:t>Rates of movement from the rest of the population to the active classes increase by 10% for retirement age and above</w:t>
            </w:r>
          </w:p>
        </w:tc>
        <w:tc>
          <w:tcPr>
            <w:tcW w:w="1531" w:type="dxa"/>
            <w:tcBorders>
              <w:top w:val="single" w:sz="4" w:space="0" w:color="E0301E"/>
              <w:left w:val="single" w:sz="4" w:space="0" w:color="E0301E" w:themeColor="accent6"/>
              <w:bottom w:val="single" w:sz="4" w:space="0" w:color="E0301E"/>
              <w:right w:val="nil"/>
            </w:tcBorders>
          </w:tcPr>
          <w:p w14:paraId="1B885631" w14:textId="77777777" w:rsidR="00936E99" w:rsidRPr="00EC326F" w:rsidRDefault="00936E99" w:rsidP="00936E99">
            <w:pPr>
              <w:pStyle w:val="TableTextSmall"/>
              <w:jc w:val="center"/>
            </w:pPr>
            <w:r w:rsidRPr="00EC326F">
              <w:t>+$8bn</w:t>
            </w:r>
          </w:p>
        </w:tc>
        <w:tc>
          <w:tcPr>
            <w:tcW w:w="1380" w:type="dxa"/>
            <w:tcBorders>
              <w:top w:val="single" w:sz="4" w:space="0" w:color="E0301E"/>
              <w:left w:val="nil"/>
              <w:bottom w:val="single" w:sz="4" w:space="0" w:color="E0301E"/>
              <w:right w:val="single" w:sz="4" w:space="0" w:color="E0301E" w:themeColor="accent6"/>
            </w:tcBorders>
          </w:tcPr>
          <w:p w14:paraId="585F5DCE" w14:textId="77777777" w:rsidR="00936E99" w:rsidRPr="00EC326F" w:rsidRDefault="00936E99" w:rsidP="00936E99">
            <w:pPr>
              <w:pStyle w:val="TableTextSmall"/>
              <w:jc w:val="center"/>
            </w:pPr>
            <w:r w:rsidRPr="00EC326F">
              <w:t>+$65bn</w:t>
            </w:r>
          </w:p>
        </w:tc>
        <w:tc>
          <w:tcPr>
            <w:tcW w:w="1070" w:type="dxa"/>
            <w:tcBorders>
              <w:top w:val="single" w:sz="4" w:space="0" w:color="E0301E"/>
              <w:left w:val="single" w:sz="4" w:space="0" w:color="E0301E" w:themeColor="accent6"/>
              <w:bottom w:val="single" w:sz="4" w:space="0" w:color="E0301E"/>
              <w:right w:val="nil"/>
            </w:tcBorders>
          </w:tcPr>
          <w:p w14:paraId="5D9E9707" w14:textId="77777777" w:rsidR="00936E99" w:rsidRPr="00EC326F" w:rsidRDefault="00936E99" w:rsidP="00936E99">
            <w:pPr>
              <w:pStyle w:val="TableTextSmall"/>
              <w:jc w:val="center"/>
            </w:pPr>
            <w:r w:rsidRPr="00EC326F">
              <w:t>+$73bn</w:t>
            </w:r>
          </w:p>
        </w:tc>
        <w:tc>
          <w:tcPr>
            <w:tcW w:w="850" w:type="dxa"/>
            <w:tcBorders>
              <w:top w:val="single" w:sz="4" w:space="0" w:color="E0301E"/>
              <w:left w:val="nil"/>
              <w:bottom w:val="single" w:sz="4" w:space="0" w:color="E0301E"/>
              <w:right w:val="single" w:sz="4" w:space="0" w:color="FFFFFF"/>
            </w:tcBorders>
            <w:hideMark/>
          </w:tcPr>
          <w:p w14:paraId="2814D6AA" w14:textId="77777777" w:rsidR="00936E99" w:rsidRPr="00EC326F" w:rsidRDefault="00936E99" w:rsidP="00936E99">
            <w:pPr>
              <w:pStyle w:val="TableTextSmall"/>
              <w:jc w:val="center"/>
            </w:pPr>
            <w:r w:rsidRPr="00EC326F">
              <w:t>+1.6%</w:t>
            </w:r>
          </w:p>
        </w:tc>
      </w:tr>
      <w:tr w:rsidR="00936E99" w:rsidRPr="00EC326F" w14:paraId="49B051D8"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292135C5" w14:textId="77777777" w:rsidR="00936E99" w:rsidRPr="00EC326F" w:rsidRDefault="00936E99" w:rsidP="00936E99">
            <w:pPr>
              <w:pStyle w:val="TableTextSmall"/>
            </w:pPr>
            <w:r w:rsidRPr="00EC326F">
              <w:t xml:space="preserve">Entry and exit rates </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7A188C19" w14:textId="77777777" w:rsidR="00936E99" w:rsidRPr="00EC326F" w:rsidRDefault="00936E99" w:rsidP="00936E99">
            <w:pPr>
              <w:pStyle w:val="TableTextSmall"/>
            </w:pPr>
            <w:r w:rsidRPr="00EC326F">
              <w:t>Rates of movement from the active classes to the rest of the population increase by 10%</w:t>
            </w:r>
          </w:p>
        </w:tc>
        <w:tc>
          <w:tcPr>
            <w:tcW w:w="1531" w:type="dxa"/>
            <w:tcBorders>
              <w:top w:val="single" w:sz="4" w:space="0" w:color="E0301E"/>
              <w:left w:val="single" w:sz="4" w:space="0" w:color="E0301E" w:themeColor="accent6"/>
              <w:bottom w:val="single" w:sz="4" w:space="0" w:color="E0301E"/>
              <w:right w:val="nil"/>
            </w:tcBorders>
          </w:tcPr>
          <w:p w14:paraId="1AC38A81" w14:textId="77777777" w:rsidR="00936E99" w:rsidRPr="00EC326F" w:rsidRDefault="00936E99" w:rsidP="00936E99">
            <w:pPr>
              <w:pStyle w:val="TableTextSmall"/>
              <w:jc w:val="center"/>
            </w:pPr>
            <w:r w:rsidRPr="00EC326F">
              <w:t>-$42bn</w:t>
            </w:r>
          </w:p>
        </w:tc>
        <w:tc>
          <w:tcPr>
            <w:tcW w:w="1380" w:type="dxa"/>
            <w:tcBorders>
              <w:top w:val="single" w:sz="4" w:space="0" w:color="E0301E"/>
              <w:left w:val="nil"/>
              <w:bottom w:val="single" w:sz="4" w:space="0" w:color="E0301E"/>
              <w:right w:val="single" w:sz="4" w:space="0" w:color="E0301E" w:themeColor="accent6"/>
            </w:tcBorders>
          </w:tcPr>
          <w:p w14:paraId="5AA52E3C" w14:textId="77777777" w:rsidR="00936E99" w:rsidRPr="00EC326F" w:rsidRDefault="00936E99" w:rsidP="00936E99">
            <w:pPr>
              <w:pStyle w:val="TableTextSmall"/>
              <w:jc w:val="center"/>
            </w:pPr>
            <w:r w:rsidRPr="00EC326F">
              <w:t>-$11bn</w:t>
            </w:r>
          </w:p>
        </w:tc>
        <w:tc>
          <w:tcPr>
            <w:tcW w:w="1070" w:type="dxa"/>
            <w:tcBorders>
              <w:top w:val="single" w:sz="4" w:space="0" w:color="E0301E"/>
              <w:left w:val="single" w:sz="4" w:space="0" w:color="E0301E" w:themeColor="accent6"/>
              <w:bottom w:val="single" w:sz="4" w:space="0" w:color="E0301E"/>
              <w:right w:val="nil"/>
            </w:tcBorders>
          </w:tcPr>
          <w:p w14:paraId="0DEB968E" w14:textId="77777777" w:rsidR="00936E99" w:rsidRPr="00EC326F" w:rsidRDefault="00936E99" w:rsidP="00936E99">
            <w:pPr>
              <w:pStyle w:val="TableTextSmall"/>
              <w:jc w:val="center"/>
            </w:pPr>
            <w:r w:rsidRPr="00EC326F">
              <w:t>-$53bn</w:t>
            </w:r>
          </w:p>
        </w:tc>
        <w:tc>
          <w:tcPr>
            <w:tcW w:w="850" w:type="dxa"/>
            <w:tcBorders>
              <w:top w:val="single" w:sz="4" w:space="0" w:color="E0301E"/>
              <w:left w:val="nil"/>
              <w:bottom w:val="single" w:sz="4" w:space="0" w:color="E0301E"/>
              <w:right w:val="single" w:sz="4" w:space="0" w:color="FFFFFF"/>
            </w:tcBorders>
            <w:hideMark/>
          </w:tcPr>
          <w:p w14:paraId="21FB8880" w14:textId="77777777" w:rsidR="00936E99" w:rsidRPr="00EC326F" w:rsidRDefault="00936E99" w:rsidP="00936E99">
            <w:pPr>
              <w:pStyle w:val="TableTextSmall"/>
              <w:jc w:val="center"/>
            </w:pPr>
            <w:r w:rsidRPr="00EC326F">
              <w:t>-1.2%</w:t>
            </w:r>
          </w:p>
        </w:tc>
      </w:tr>
      <w:tr w:rsidR="00936E99" w:rsidRPr="00EC326F" w14:paraId="1CA851FE" w14:textId="77777777" w:rsidTr="008E3BD6">
        <w:trPr>
          <w:trHeight w:val="284"/>
        </w:trPr>
        <w:tc>
          <w:tcPr>
            <w:tcW w:w="1274" w:type="dxa"/>
            <w:tcBorders>
              <w:top w:val="single" w:sz="4" w:space="0" w:color="E0301E"/>
              <w:left w:val="single" w:sz="4" w:space="0" w:color="FFFFFF"/>
              <w:bottom w:val="single" w:sz="4" w:space="0" w:color="E0301E"/>
              <w:right w:val="single" w:sz="4" w:space="0" w:color="FFFFFF"/>
            </w:tcBorders>
            <w:hideMark/>
          </w:tcPr>
          <w:p w14:paraId="0C409FEB" w14:textId="77777777" w:rsidR="00936E99" w:rsidRPr="00EC326F" w:rsidRDefault="00936E99" w:rsidP="00936E99">
            <w:pPr>
              <w:pStyle w:val="TableTextSmall"/>
            </w:pPr>
            <w:r w:rsidRPr="00EC326F">
              <w:t>Simulation</w:t>
            </w:r>
            <w:r w:rsidR="00CE2965" w:rsidRPr="00EC326F">
              <w:t xml:space="preserve"> run</w:t>
            </w:r>
          </w:p>
        </w:tc>
        <w:tc>
          <w:tcPr>
            <w:tcW w:w="3784" w:type="dxa"/>
            <w:tcBorders>
              <w:top w:val="single" w:sz="4" w:space="0" w:color="E0301E"/>
              <w:left w:val="single" w:sz="4" w:space="0" w:color="FFFFFF"/>
              <w:bottom w:val="single" w:sz="4" w:space="0" w:color="E0301E"/>
              <w:right w:val="single" w:sz="4" w:space="0" w:color="E0301E" w:themeColor="accent6"/>
            </w:tcBorders>
            <w:hideMark/>
          </w:tcPr>
          <w:p w14:paraId="2643A2AF" w14:textId="77777777" w:rsidR="00936E99" w:rsidRPr="00EC326F" w:rsidRDefault="00936E99" w:rsidP="002413B5">
            <w:pPr>
              <w:pStyle w:val="TableTextSmall"/>
            </w:pPr>
            <w:r w:rsidRPr="00EC326F">
              <w:t xml:space="preserve">Largest deviation from the </w:t>
            </w:r>
            <w:r w:rsidR="002413B5">
              <w:t>presented results</w:t>
            </w:r>
            <w:r w:rsidRPr="00EC326F">
              <w:t xml:space="preserve"> over 10 full simulation runs, using different sets of random numbers for each run (see below)</w:t>
            </w:r>
          </w:p>
        </w:tc>
        <w:tc>
          <w:tcPr>
            <w:tcW w:w="1531" w:type="dxa"/>
            <w:tcBorders>
              <w:top w:val="single" w:sz="4" w:space="0" w:color="E0301E"/>
              <w:left w:val="single" w:sz="4" w:space="0" w:color="E0301E" w:themeColor="accent6"/>
              <w:bottom w:val="single" w:sz="4" w:space="0" w:color="E0301E"/>
              <w:right w:val="nil"/>
            </w:tcBorders>
          </w:tcPr>
          <w:p w14:paraId="0BC4E2C7" w14:textId="77777777" w:rsidR="00936E99" w:rsidRPr="00B06DED" w:rsidRDefault="000A30F0" w:rsidP="00936E99">
            <w:pPr>
              <w:pStyle w:val="TableTextSmall"/>
              <w:jc w:val="center"/>
            </w:pPr>
            <w:r w:rsidRPr="00B06DED">
              <w:t>$1</w:t>
            </w:r>
            <w:r w:rsidR="00936E99" w:rsidRPr="00B06DED">
              <w:t>bn</w:t>
            </w:r>
          </w:p>
        </w:tc>
        <w:tc>
          <w:tcPr>
            <w:tcW w:w="1380" w:type="dxa"/>
            <w:tcBorders>
              <w:top w:val="single" w:sz="4" w:space="0" w:color="E0301E"/>
              <w:left w:val="nil"/>
              <w:bottom w:val="single" w:sz="4" w:space="0" w:color="E0301E"/>
              <w:right w:val="single" w:sz="4" w:space="0" w:color="E0301E" w:themeColor="accent6"/>
            </w:tcBorders>
          </w:tcPr>
          <w:p w14:paraId="1B3C9F8C" w14:textId="77777777" w:rsidR="00936E99" w:rsidRPr="00B06DED" w:rsidRDefault="000A30F0" w:rsidP="00B06DED">
            <w:pPr>
              <w:pStyle w:val="TableTextSmall"/>
              <w:jc w:val="center"/>
            </w:pPr>
            <w:r w:rsidRPr="00B06DED">
              <w:t>$</w:t>
            </w:r>
            <w:r w:rsidR="00B06DED" w:rsidRPr="00B06DED">
              <w:t>1</w:t>
            </w:r>
            <w:r w:rsidR="00936E99" w:rsidRPr="00B06DED">
              <w:t>bn</w:t>
            </w:r>
          </w:p>
        </w:tc>
        <w:tc>
          <w:tcPr>
            <w:tcW w:w="1070" w:type="dxa"/>
            <w:tcBorders>
              <w:top w:val="single" w:sz="4" w:space="0" w:color="E0301E"/>
              <w:left w:val="single" w:sz="4" w:space="0" w:color="E0301E" w:themeColor="accent6"/>
              <w:bottom w:val="single" w:sz="4" w:space="0" w:color="E0301E"/>
              <w:right w:val="nil"/>
            </w:tcBorders>
          </w:tcPr>
          <w:p w14:paraId="7FC17A9F" w14:textId="77777777" w:rsidR="00936E99" w:rsidRPr="00EC326F" w:rsidRDefault="000A30F0" w:rsidP="00B06DED">
            <w:pPr>
              <w:pStyle w:val="TableTextSmall"/>
              <w:jc w:val="center"/>
            </w:pPr>
            <w:r>
              <w:t>$</w:t>
            </w:r>
            <w:r w:rsidR="00B06DED">
              <w:t>2</w:t>
            </w:r>
            <w:r w:rsidR="00936E99" w:rsidRPr="00EC326F">
              <w:t>bn</w:t>
            </w:r>
          </w:p>
        </w:tc>
        <w:tc>
          <w:tcPr>
            <w:tcW w:w="850" w:type="dxa"/>
            <w:tcBorders>
              <w:top w:val="single" w:sz="4" w:space="0" w:color="E0301E"/>
              <w:left w:val="nil"/>
              <w:bottom w:val="single" w:sz="4" w:space="0" w:color="E0301E"/>
              <w:right w:val="single" w:sz="4" w:space="0" w:color="FFFFFF"/>
            </w:tcBorders>
            <w:hideMark/>
          </w:tcPr>
          <w:p w14:paraId="3C8A31E1" w14:textId="77777777" w:rsidR="00936E99" w:rsidRPr="00EC326F" w:rsidRDefault="00936E99" w:rsidP="002413B5">
            <w:pPr>
              <w:pStyle w:val="TableTextSmall"/>
              <w:jc w:val="center"/>
            </w:pPr>
            <w:r w:rsidRPr="00EC326F">
              <w:t>+0.0</w:t>
            </w:r>
            <w:r w:rsidR="002413B5">
              <w:t>4</w:t>
            </w:r>
            <w:r w:rsidRPr="00EC326F">
              <w:t>%</w:t>
            </w:r>
          </w:p>
        </w:tc>
      </w:tr>
    </w:tbl>
    <w:p w14:paraId="005E3B2B" w14:textId="77777777" w:rsidR="009D2160" w:rsidRPr="00EC326F" w:rsidRDefault="009D2160" w:rsidP="009D2160">
      <w:pPr>
        <w:pStyle w:val="Minorheading"/>
      </w:pPr>
      <w:bookmarkStart w:id="310" w:name="_Toc437599025"/>
      <w:bookmarkStart w:id="311" w:name="_Toc437599026"/>
      <w:bookmarkStart w:id="312" w:name="_Toc437599031"/>
      <w:bookmarkStart w:id="313" w:name="_Toc437599038"/>
      <w:bookmarkStart w:id="314" w:name="_Toc437599040"/>
      <w:bookmarkStart w:id="315" w:name="_Toc437599042"/>
      <w:bookmarkStart w:id="316" w:name="_Toc437599043"/>
      <w:bookmarkStart w:id="317" w:name="_Toc437599044"/>
      <w:bookmarkStart w:id="318" w:name="_Toc437599051"/>
      <w:bookmarkStart w:id="319" w:name="_Toc437599053"/>
      <w:bookmarkStart w:id="320" w:name="_Toc437599054"/>
      <w:bookmarkStart w:id="321" w:name="_Toc437599056"/>
      <w:bookmarkStart w:id="322" w:name="_Toc437599058"/>
      <w:bookmarkStart w:id="323" w:name="_Toc437599059"/>
      <w:bookmarkStart w:id="324" w:name="_Toc437599060"/>
      <w:bookmarkStart w:id="325" w:name="_Toc437599061"/>
      <w:bookmarkStart w:id="326" w:name="_Toc437599073"/>
      <w:bookmarkStart w:id="327" w:name="_Toc437599077"/>
      <w:bookmarkStart w:id="328" w:name="_Toc437599085"/>
      <w:bookmarkStart w:id="329" w:name="_Toc437599089"/>
      <w:bookmarkStart w:id="330" w:name="_Toc437599094"/>
      <w:bookmarkStart w:id="331" w:name="_Toc437599099"/>
      <w:bookmarkStart w:id="332" w:name="_Toc437599104"/>
      <w:bookmarkStart w:id="333" w:name="_Toc437599113"/>
      <w:bookmarkStart w:id="334" w:name="_Toc437599121"/>
      <w:bookmarkStart w:id="335" w:name="_Toc437599125"/>
      <w:bookmarkStart w:id="336" w:name="_Ref437350269"/>
      <w:bookmarkStart w:id="337" w:name="_Toc455499411"/>
      <w:bookmarkStart w:id="338" w:name="_Toc455502432"/>
      <w:bookmarkStart w:id="339" w:name="_Toc455503964"/>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EC326F">
        <w:t>Age pension sensitivities</w:t>
      </w:r>
      <w:bookmarkEnd w:id="336"/>
      <w:bookmarkEnd w:id="337"/>
      <w:bookmarkEnd w:id="338"/>
      <w:bookmarkEnd w:id="339"/>
    </w:p>
    <w:p w14:paraId="3A109572" w14:textId="77777777" w:rsidR="009D2160" w:rsidRPr="002A0A1A" w:rsidRDefault="00881FC5" w:rsidP="009D2160">
      <w:pPr>
        <w:pStyle w:val="PwCNormal"/>
        <w:numPr>
          <w:ilvl w:val="0"/>
          <w:numId w:val="0"/>
        </w:numPr>
      </w:pPr>
      <w:r>
        <w:t xml:space="preserve">In </w:t>
      </w:r>
      <w:r w:rsidR="0011562A">
        <w:t>section</w:t>
      </w:r>
      <w:r>
        <w:t xml:space="preserve"> </w:t>
      </w:r>
      <w:r>
        <w:fldChar w:fldCharType="begin"/>
      </w:r>
      <w:r>
        <w:instrText xml:space="preserve"> REF _Ref466184635 \w \h </w:instrText>
      </w:r>
      <w:r>
        <w:fldChar w:fldCharType="separate"/>
      </w:r>
      <w:r w:rsidR="007A42DF">
        <w:t>5.8</w:t>
      </w:r>
      <w:r>
        <w:fldChar w:fldCharType="end"/>
      </w:r>
      <w:r w:rsidR="009D2160" w:rsidRPr="00881FC5">
        <w:t xml:space="preserve"> we noted that the age pension costs may vary in future as a result of the expected future trend of an increased number</w:t>
      </w:r>
      <w:r w:rsidR="009D2160" w:rsidRPr="00EC326F">
        <w:t xml:space="preserve"> of part pensioners over time as people reach retirement with more superannuation </w:t>
      </w:r>
      <w:r w:rsidR="009D2160" w:rsidRPr="002A0A1A">
        <w:t>assets.</w:t>
      </w:r>
    </w:p>
    <w:p w14:paraId="2942126E" w14:textId="3FBD80E9" w:rsidR="009D2160" w:rsidRPr="002A0A1A" w:rsidRDefault="009D2160" w:rsidP="009D2160">
      <w:pPr>
        <w:pStyle w:val="PwCNormal"/>
        <w:numPr>
          <w:ilvl w:val="0"/>
          <w:numId w:val="0"/>
        </w:numPr>
      </w:pPr>
      <w:r w:rsidRPr="002A0A1A">
        <w:t xml:space="preserve">We have allowed for this trend in the valuation results through making an explicit adjustment to increase the proportion of part pensioners entering the </w:t>
      </w:r>
      <w:r w:rsidR="005E2656">
        <w:t>A</w:t>
      </w:r>
      <w:r w:rsidRPr="002A0A1A">
        <w:t xml:space="preserve">ge </w:t>
      </w:r>
      <w:r w:rsidR="005E2656">
        <w:t>P</w:t>
      </w:r>
      <w:r w:rsidRPr="002A0A1A">
        <w:t xml:space="preserve">ension class in future years. To illustrate the sensitivity to this assumption we have assessed the change in lifetime costs that would occur if we had not made the adjustment. Removing the adjustment would increase the liabilities by </w:t>
      </w:r>
      <w:r w:rsidR="00A44940" w:rsidRPr="002A0A1A">
        <w:t>0.8</w:t>
      </w:r>
      <w:r w:rsidRPr="002A0A1A">
        <w:t xml:space="preserve">% (applying this adjustment has reduced the lifetime cost by </w:t>
      </w:r>
      <w:r w:rsidR="00A44940" w:rsidRPr="002A0A1A">
        <w:t>0.8</w:t>
      </w:r>
      <w:r w:rsidRPr="002A0A1A">
        <w:t xml:space="preserve">%). </w:t>
      </w:r>
    </w:p>
    <w:p w14:paraId="66C9C9EB" w14:textId="77777777" w:rsidR="009D2160" w:rsidRPr="00EC326F" w:rsidRDefault="009D2160" w:rsidP="009D2160">
      <w:pPr>
        <w:pStyle w:val="Minorheading"/>
      </w:pPr>
      <w:r w:rsidRPr="00EC326F">
        <w:lastRenderedPageBreak/>
        <w:t xml:space="preserve">Simulation </w:t>
      </w:r>
      <w:r w:rsidR="00CE2965" w:rsidRPr="00EC326F">
        <w:t>run differences</w:t>
      </w:r>
    </w:p>
    <w:p w14:paraId="665432E8" w14:textId="77777777" w:rsidR="007B62B8" w:rsidRPr="00EC326F" w:rsidRDefault="007B62B8" w:rsidP="007B62B8">
      <w:pPr>
        <w:pStyle w:val="PwCNormal"/>
        <w:numPr>
          <w:ilvl w:val="0"/>
          <w:numId w:val="0"/>
        </w:numPr>
      </w:pPr>
      <w:r w:rsidRPr="00EC326F">
        <w:t xml:space="preserve">The valuation is based on a simulation method which simulates a possible future scenario for each individual. The model uses random numbers in order to determine the details of the simulation for each individual. </w:t>
      </w:r>
    </w:p>
    <w:p w14:paraId="4731D5C2" w14:textId="77777777" w:rsidR="007B62B8" w:rsidRPr="00EC326F" w:rsidRDefault="007B62B8" w:rsidP="007B62B8">
      <w:pPr>
        <w:pStyle w:val="PwCNormal"/>
        <w:numPr>
          <w:ilvl w:val="0"/>
          <w:numId w:val="0"/>
        </w:numPr>
      </w:pPr>
      <w:r w:rsidRPr="00EC326F">
        <w:t>The overall and class level results presented in this report are based on a simulation run of one simulation per person. We considered this number of simulations sufficient owing to the substantial numbers of people within each of these population groups. Where results are presented for smaller groups of people, such as for the groups of interest, the model has been run with a minimum of 100,000 simulations in total (for instance, this is equivalent to 100 simulations per person for a group of 1,000 people or lower numbers for larger groups).</w:t>
      </w:r>
    </w:p>
    <w:p w14:paraId="5DE24765" w14:textId="77777777" w:rsidR="007B62B8" w:rsidRPr="00EC326F" w:rsidRDefault="007B62B8" w:rsidP="007B62B8">
      <w:pPr>
        <w:pStyle w:val="PwCNormal"/>
        <w:numPr>
          <w:ilvl w:val="0"/>
          <w:numId w:val="0"/>
        </w:numPr>
      </w:pPr>
      <w:r w:rsidRPr="00EC326F">
        <w:t>If the model is re-run using an alternative set of random numbers then the simulated future scenario for each individual will change. However as the results are based on a large number of individuals and therefore a large number of simulation</w:t>
      </w:r>
      <w:r w:rsidR="00B06DED">
        <w:t>s</w:t>
      </w:r>
      <w:r w:rsidRPr="00EC326F">
        <w:t xml:space="preserve">, we would expect that the overall results and class level results would only change by a small proportion. Hence, simulation </w:t>
      </w:r>
      <w:r w:rsidR="00CE2965" w:rsidRPr="00EC326F">
        <w:t>run differences are</w:t>
      </w:r>
      <w:r w:rsidRPr="00EC326F">
        <w:t xml:space="preserve"> expected to be a much less significant source of uncertainty in the overall results than the uncertainty associated with the model assumptions (as illustrated in the sensitivities table).</w:t>
      </w:r>
    </w:p>
    <w:p w14:paraId="4CD9D850" w14:textId="77777777" w:rsidR="00B06DED" w:rsidRPr="00EC326F" w:rsidRDefault="00AA2FF7" w:rsidP="009D2160">
      <w:pPr>
        <w:pStyle w:val="PwCNormal"/>
        <w:numPr>
          <w:ilvl w:val="0"/>
          <w:numId w:val="0"/>
        </w:numPr>
      </w:pPr>
      <w:r w:rsidRPr="00B06DED">
        <w:t xml:space="preserve">In order to test this we have run the model ten times using different sets of random numbers. When the total lifetime cost was compared across these ten runs, the largest deviation from the </w:t>
      </w:r>
      <w:r w:rsidR="00B06DED" w:rsidRPr="00B06DED">
        <w:t>presented results</w:t>
      </w:r>
      <w:r w:rsidRPr="00B06DED">
        <w:t xml:space="preserve"> was $</w:t>
      </w:r>
      <w:r w:rsidR="00B06DED" w:rsidRPr="00B06DED">
        <w:t>2</w:t>
      </w:r>
      <w:r w:rsidRPr="00B06DED">
        <w:t>bn, or 0.0</w:t>
      </w:r>
      <w:r w:rsidR="00B06DED" w:rsidRPr="00B06DED">
        <w:t>4</w:t>
      </w:r>
      <w:r w:rsidRPr="00B06DED">
        <w:t>% of total lifetime cost</w:t>
      </w:r>
      <w:r w:rsidR="009D2160" w:rsidRPr="00B06DED">
        <w:t>.</w:t>
      </w:r>
      <w:r w:rsidR="00CC26F1" w:rsidRPr="00B06DED">
        <w:t xml:space="preserve"> This comparison was al</w:t>
      </w:r>
      <w:r w:rsidR="00EE29A5">
        <w:t>so carried out at a class level</w:t>
      </w:r>
      <w:r w:rsidR="00CC26F1" w:rsidRPr="00B06DED">
        <w:t xml:space="preserve"> </w:t>
      </w:r>
      <w:r w:rsidR="00EE29A5">
        <w:t xml:space="preserve">and </w:t>
      </w:r>
      <w:r w:rsidR="00CC26F1" w:rsidRPr="00B06DED">
        <w:t xml:space="preserve">the </w:t>
      </w:r>
      <w:r w:rsidR="00EE29A5" w:rsidRPr="00B06DED">
        <w:t>largest deviation</w:t>
      </w:r>
      <w:r w:rsidR="00EE29A5">
        <w:t xml:space="preserve"> in </w:t>
      </w:r>
      <w:r w:rsidR="00EE29A5" w:rsidRPr="00B06DED">
        <w:t xml:space="preserve">average lifetime cost from the presented results </w:t>
      </w:r>
      <w:r w:rsidR="00CC26F1" w:rsidRPr="00B06DED">
        <w:t xml:space="preserve">was </w:t>
      </w:r>
      <w:r w:rsidR="00B06DED">
        <w:t>less</w:t>
      </w:r>
      <w:r w:rsidR="00EE29A5">
        <w:t xml:space="preserve"> than $1k </w:t>
      </w:r>
      <w:r w:rsidR="00EE29A5" w:rsidRPr="00B06DED">
        <w:t>for each class</w:t>
      </w:r>
      <w:r w:rsidR="00CC26F1" w:rsidRPr="00B06DED">
        <w:t>.</w:t>
      </w:r>
    </w:p>
    <w:p w14:paraId="5C4C611C" w14:textId="77777777" w:rsidR="001A577E" w:rsidRPr="002A0A1A" w:rsidRDefault="00187352" w:rsidP="00B67FF7">
      <w:pPr>
        <w:pStyle w:val="PwCNormal"/>
        <w:numPr>
          <w:ilvl w:val="0"/>
          <w:numId w:val="0"/>
        </w:numPr>
        <w:sectPr w:rsidR="001A577E" w:rsidRPr="002A0A1A" w:rsidSect="00CC5ACB">
          <w:headerReference w:type="default" r:id="rId71"/>
          <w:pgSz w:w="11907" w:h="16840" w:code="9"/>
          <w:pgMar w:top="1588" w:right="1021" w:bottom="1418" w:left="1021" w:header="567" w:footer="567" w:gutter="0"/>
          <w:cols w:space="227"/>
          <w:docGrid w:linePitch="360"/>
        </w:sectPr>
      </w:pPr>
      <w:r w:rsidRPr="00EC326F">
        <w:rPr>
          <w:noProof/>
          <w:highlight w:val="yellow"/>
          <w:lang w:eastAsia="en-AU"/>
        </w:rPr>
        <w:drawing>
          <wp:anchor distT="0" distB="0" distL="114300" distR="114300" simplePos="0" relativeHeight="251648000" behindDoc="0" locked="0" layoutInCell="1" allowOverlap="1" wp14:anchorId="0016C6EE" wp14:editId="1D27CCFE">
            <wp:simplePos x="0" y="0"/>
            <wp:positionH relativeFrom="page">
              <wp:posOffset>659130</wp:posOffset>
            </wp:positionH>
            <wp:positionV relativeFrom="page">
              <wp:posOffset>9087485</wp:posOffset>
            </wp:positionV>
            <wp:extent cx="860400" cy="702000"/>
            <wp:effectExtent l="0" t="0" r="0" b="3175"/>
            <wp:wrapNone/>
            <wp:docPr id="1114" name="Picture 1114" descr="Decorative image of two people walking underneath a tre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0400" cy="70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64629" w14:textId="77777777" w:rsidR="00DF2C65" w:rsidRPr="00EC326F" w:rsidRDefault="0000452C" w:rsidP="00A55180">
      <w:pPr>
        <w:pStyle w:val="Heading2"/>
      </w:pPr>
      <w:bookmarkStart w:id="340" w:name="_Ref437277121"/>
      <w:bookmarkStart w:id="341" w:name="_Toc455499412"/>
      <w:bookmarkStart w:id="342" w:name="_Toc455502433"/>
      <w:bookmarkStart w:id="343" w:name="_Toc493844256"/>
      <w:r w:rsidRPr="00EC326F">
        <w:lastRenderedPageBreak/>
        <w:t xml:space="preserve">Results for </w:t>
      </w:r>
      <w:r w:rsidR="0090298C" w:rsidRPr="00EC326F">
        <w:t xml:space="preserve">income support </w:t>
      </w:r>
      <w:r w:rsidR="00EF2B1A" w:rsidRPr="00EC326F">
        <w:t>recipient</w:t>
      </w:r>
      <w:r w:rsidRPr="00EC326F">
        <w:t>s</w:t>
      </w:r>
      <w:bookmarkEnd w:id="340"/>
      <w:bookmarkEnd w:id="341"/>
      <w:bookmarkEnd w:id="342"/>
      <w:bookmarkEnd w:id="343"/>
    </w:p>
    <w:p w14:paraId="322E8EAD" w14:textId="77777777" w:rsidR="00F35D1F" w:rsidRPr="00EC326F" w:rsidRDefault="00F35D1F" w:rsidP="00F35D1F">
      <w:pPr>
        <w:pStyle w:val="PwCNormal"/>
        <w:numPr>
          <w:ilvl w:val="0"/>
          <w:numId w:val="0"/>
        </w:numPr>
      </w:pPr>
      <w:r w:rsidRPr="00EC326F">
        <w:t>In this section, for each welfare class</w:t>
      </w:r>
      <w:r w:rsidR="00D544F2" w:rsidRPr="00EC326F">
        <w:t>,</w:t>
      </w:r>
      <w:r w:rsidR="00E907D2" w:rsidRPr="00EC326F">
        <w:t xml:space="preserve"> we present</w:t>
      </w:r>
      <w:r w:rsidRPr="00EC326F">
        <w:t xml:space="preserve"> information regarding the profile of the people in that class and a breakdown of </w:t>
      </w:r>
      <w:r w:rsidR="00C24D68" w:rsidRPr="00EC326F">
        <w:t xml:space="preserve">the </w:t>
      </w:r>
      <w:r w:rsidRPr="00EC326F">
        <w:t>payments received during 201</w:t>
      </w:r>
      <w:r w:rsidR="00C24D68" w:rsidRPr="00EC326F">
        <w:t>5</w:t>
      </w:r>
      <w:r w:rsidRPr="00EC326F">
        <w:t>/1</w:t>
      </w:r>
      <w:r w:rsidR="00C24D68" w:rsidRPr="00EC326F">
        <w:t>6</w:t>
      </w:r>
      <w:r w:rsidRPr="00EC326F">
        <w:t xml:space="preserve">. We then discuss the key considerations </w:t>
      </w:r>
      <w:r w:rsidR="00C24D68" w:rsidRPr="00EC326F">
        <w:t>for the setting of the main class movement and payment type assumptions that influence the future outcomes for the class</w:t>
      </w:r>
      <w:r w:rsidRPr="00EC326F">
        <w:t>.</w:t>
      </w:r>
      <w:r w:rsidR="00CD4A84" w:rsidRPr="00EC326F">
        <w:t xml:space="preserve"> </w:t>
      </w:r>
      <w:r w:rsidR="00C24D68" w:rsidRPr="00EC326F">
        <w:t>Finally, w</w:t>
      </w:r>
      <w:r w:rsidRPr="00EC326F">
        <w:t>e present results based on the application of the assumptions</w:t>
      </w:r>
      <w:r w:rsidR="00D544F2" w:rsidRPr="00EC326F">
        <w:t xml:space="preserve"> </w:t>
      </w:r>
      <w:r w:rsidR="00C24D68" w:rsidRPr="00EC326F">
        <w:t>to the people currently in the class using</w:t>
      </w:r>
      <w:r w:rsidR="00D544F2" w:rsidRPr="00EC326F">
        <w:t xml:space="preserve"> the valuation model</w:t>
      </w:r>
      <w:r w:rsidRPr="00EC326F">
        <w:t>.</w:t>
      </w:r>
    </w:p>
    <w:p w14:paraId="3F245F62" w14:textId="77777777" w:rsidR="00F7320D" w:rsidRPr="00EC326F" w:rsidRDefault="00F7320D" w:rsidP="001A4479">
      <w:pPr>
        <w:pStyle w:val="Heading3"/>
        <w:numPr>
          <w:ilvl w:val="2"/>
          <w:numId w:val="41"/>
        </w:numPr>
        <w:rPr>
          <w:snapToGrid/>
        </w:rPr>
      </w:pPr>
      <w:bookmarkStart w:id="344" w:name="_Toc441829017"/>
      <w:bookmarkStart w:id="345" w:name="_Toc441832547"/>
      <w:bookmarkStart w:id="346" w:name="_Toc437881485"/>
      <w:bookmarkStart w:id="347" w:name="_Toc437690671"/>
      <w:bookmarkStart w:id="348" w:name="_Toc437704626"/>
      <w:bookmarkStart w:id="349" w:name="_Toc437858583"/>
      <w:bookmarkStart w:id="350" w:name="_Toc437864133"/>
      <w:bookmarkStart w:id="351" w:name="_Toc437881486"/>
      <w:bookmarkStart w:id="352" w:name="_Toc455502434"/>
      <w:bookmarkStart w:id="353" w:name="_Toc455499413"/>
      <w:bookmarkStart w:id="354" w:name="_Ref437528791"/>
      <w:bookmarkStart w:id="355" w:name="_Toc493844257"/>
      <w:bookmarkStart w:id="356" w:name="_Ref437368381"/>
      <w:bookmarkEnd w:id="344"/>
      <w:bookmarkEnd w:id="345"/>
      <w:bookmarkEnd w:id="346"/>
      <w:bookmarkEnd w:id="347"/>
      <w:bookmarkEnd w:id="348"/>
      <w:bookmarkEnd w:id="349"/>
      <w:bookmarkEnd w:id="350"/>
      <w:bookmarkEnd w:id="351"/>
      <w:r w:rsidRPr="00EC326F">
        <w:t>Studying Payment recipients</w:t>
      </w:r>
      <w:bookmarkEnd w:id="352"/>
      <w:bookmarkEnd w:id="353"/>
      <w:bookmarkEnd w:id="354"/>
      <w:bookmarkEnd w:id="355"/>
    </w:p>
    <w:p w14:paraId="716C18F3" w14:textId="77777777" w:rsidR="00F7320D" w:rsidRPr="00EC326F" w:rsidRDefault="00F7320D" w:rsidP="00F7320D">
      <w:pPr>
        <w:pStyle w:val="Heading4"/>
      </w:pPr>
      <w:bookmarkStart w:id="357" w:name="_Toc455503967"/>
      <w:bookmarkStart w:id="358" w:name="_Toc455502435"/>
      <w:bookmarkStart w:id="359" w:name="_Toc455499414"/>
      <w:r w:rsidRPr="00EC326F">
        <w:t>What does the data tell us about people receiving Studying payments?</w:t>
      </w:r>
      <w:bookmarkEnd w:id="357"/>
      <w:bookmarkEnd w:id="358"/>
      <w:bookmarkEnd w:id="359"/>
    </w:p>
    <w:p w14:paraId="5B062720" w14:textId="77777777" w:rsidR="00F7320D" w:rsidRPr="00EC326F" w:rsidRDefault="00F7320D" w:rsidP="00F7320D">
      <w:pPr>
        <w:pStyle w:val="PwCNormal"/>
        <w:numPr>
          <w:ilvl w:val="0"/>
          <w:numId w:val="0"/>
        </w:numPr>
      </w:pPr>
      <w:r w:rsidRPr="00EC326F">
        <w:t>There were 390,207 people (4.8%</w:t>
      </w:r>
      <w:r w:rsidR="00F05CEC" w:rsidRPr="00EC326F">
        <w:t xml:space="preserve"> of current welfare recipients</w:t>
      </w:r>
      <w:r w:rsidRPr="00EC326F">
        <w:t>) in the Studying class in the 2016 model population.</w:t>
      </w:r>
      <w:r w:rsidR="00142D83" w:rsidRPr="00EC326F">
        <w:t xml:space="preserve"> </w:t>
      </w:r>
      <w:r w:rsidRPr="00EC326F">
        <w:t>The following chart shows a breakdown of the number of people in the Studying class by age, gender and payment type.</w:t>
      </w:r>
    </w:p>
    <w:p w14:paraId="1617D26A" w14:textId="77777777" w:rsidR="00F7320D" w:rsidRPr="00EC326F" w:rsidRDefault="00F7320D" w:rsidP="00F7320D">
      <w:pPr>
        <w:pStyle w:val="Caption"/>
      </w:pPr>
      <w:r w:rsidRPr="00EC326F">
        <w:t xml:space="preserve">Figure </w:t>
      </w:r>
      <w:fldSimple w:instr=" SEQ Figure \* ARABIC ">
        <w:r w:rsidR="007A42DF">
          <w:rPr>
            <w:noProof/>
          </w:rPr>
          <w:t>26</w:t>
        </w:r>
      </w:fldSimple>
      <w:r w:rsidRPr="00EC326F">
        <w:t>: 2016 profile of people in Class 1 – Studying (age/gender/payment type)</w:t>
      </w:r>
    </w:p>
    <w:tbl>
      <w:tblPr>
        <w:tblStyle w:val="Tables-APBase"/>
        <w:tblW w:w="46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1 – Studying (age/gender/payment type)&#10;"/>
        <w:tblDescription w:val="This figure is a horizontal bar chart showing the number of people in the Studying class at Jun16 by age for males and females separately. The vertical axis shows age with the data shown ranging from 12 to 70. The horizontal axis shows the number of people ranging from 0 to 30,000. The number of males at each age are shown by the horizontal bars to the left of the vertical axis and the number of females at each age are shown by horizontal bars to the right.&#10;&#10;The bars for each given age and gender are split into the number of people associated with the following Studying payment types: ABSTUDY, Austudy and Youth Allowance (Studying).&#10;&#10;The chart is based on the 390,000 individuals who were in the studying class at 30 June 2016. &#10;&#10;The highest number of males in the Studying class are seen for those aged 19 - 23. Above these ages, the number of men drops sharply with age. There are around 2000 males aged 30 and less than 100 males at each age between 59 and 64.&#10;&#10;The number of females at each age in the Studying class follows a similar pattern by age as for males.  However, between ages 17 and 25, there are between 1000 and 5,000 more females in each age bucket compared to males. Above age 25, there is a less significant distinction between the number of males and females, but there tends to be more females than males at each age.&#10;&#10;For both males and females aged under 22, the vast majority are recipients of Youth Allowance (Studying) with a small number receiving ABSTUDY. Above age 22, almost all clients receive Austudy.&#10;&#10;The features shown in the chart are discussed further in the accompanying text within the report.&#10;&#10;"/>
      </w:tblPr>
      <w:tblGrid>
        <w:gridCol w:w="5955"/>
        <w:gridCol w:w="2694"/>
      </w:tblGrid>
      <w:tr w:rsidR="00F7320D" w:rsidRPr="00EC326F" w14:paraId="6D50902A" w14:textId="77777777" w:rsidTr="009C6553">
        <w:trPr>
          <w:tblHeader/>
        </w:trPr>
        <w:tc>
          <w:tcPr>
            <w:tcW w:w="5954" w:type="dxa"/>
            <w:hideMark/>
          </w:tcPr>
          <w:p w14:paraId="2AEFF38B" w14:textId="77777777" w:rsidR="00F7320D" w:rsidRPr="00EC326F" w:rsidRDefault="004D6986">
            <w:pPr>
              <w:pStyle w:val="TableTextSmall"/>
              <w:keepNext/>
              <w:rPr>
                <w:lang w:eastAsia="en-AU"/>
              </w:rPr>
            </w:pPr>
            <w:r w:rsidRPr="004D6986">
              <w:rPr>
                <w:noProof/>
                <w:lang w:eastAsia="en-AU"/>
              </w:rPr>
              <w:drawing>
                <wp:inline distT="0" distB="0" distL="0" distR="0" wp14:anchorId="44471761" wp14:editId="57CA035F">
                  <wp:extent cx="3394286" cy="2160000"/>
                  <wp:effectExtent l="0" t="0" r="0" b="0"/>
                  <wp:docPr id="307" name="Picture 307" descr="This figure is a horizontal bar chart showing the number of people in the Studying class at Jun16 by age for males and females separately. The vertical axis shows age with the data shown ranging from 12 to 70. The horizontal axis shows the number of people ranging from 0 to 30,000. The number of males at each age are shown by the horizontal bars to the left of the vertical axis and the number of females at each age are shown by horizontal bars to the right.&#10;&#10;The bars for each given age and gender are split into the number of people associated with the following Studying payment types: ABSTUDY, Austudy and Youth Allowance (Studying).&#10;&#10;The chart is based on the 390,000 individuals who were in the studying class at 30 June 2016. &#10;&#10;The highest number of males in the Studying class are seen for those aged 19 - 23. Above these ages, the number of men drops sharply with age. There are around 2000 males aged 30 and less than 100 males at each age between 59 and 64.&#10;&#10;The number of females at each age in the Studying class follows a similar pattern by age as for males.  However, between ages 17 and 25, there are between 1000 and 5,000 more females in each age bucket compared to males. Above age 25, there is a less significant distinction between the number of males and females, but there tends to be more females than males at each age.&#10;&#10;For both males and females aged under 22, the vast majority are recipients of Youth Allowance (Studying) with a small number receiving ABSTUDY. Above age 22, almost all clients receive Austudy.&#10;&#10;The features shown in the chart are discussed further in the accompanying text within the report.&#10;&#10;" title=" 2016 profile of people in Class 1 – Studying (age/gender/payment ty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94286" cy="2160000"/>
                          </a:xfrm>
                          <a:prstGeom prst="rect">
                            <a:avLst/>
                          </a:prstGeom>
                          <a:noFill/>
                          <a:ln>
                            <a:noFill/>
                          </a:ln>
                        </pic:spPr>
                      </pic:pic>
                    </a:graphicData>
                  </a:graphic>
                </wp:inline>
              </w:drawing>
            </w:r>
          </w:p>
        </w:tc>
        <w:tc>
          <w:tcPr>
            <w:tcW w:w="2694" w:type="dxa"/>
          </w:tcPr>
          <w:p w14:paraId="525ED677" w14:textId="77777777" w:rsidR="00F7320D" w:rsidRPr="00EC326F" w:rsidRDefault="00F7320D">
            <w:pPr>
              <w:pStyle w:val="TableTextSmall"/>
              <w:keepNext/>
              <w:rPr>
                <w:lang w:eastAsia="en-AU"/>
              </w:rPr>
            </w:pPr>
          </w:p>
          <w:p w14:paraId="1B566B33" w14:textId="77777777" w:rsidR="00F7320D" w:rsidRPr="00EC326F" w:rsidRDefault="00F7320D">
            <w:pPr>
              <w:pStyle w:val="TableTextSmall"/>
              <w:keepNext/>
              <w:rPr>
                <w:lang w:eastAsia="en-AU"/>
              </w:rPr>
            </w:pPr>
          </w:p>
          <w:p w14:paraId="5D5B4071" w14:textId="77777777" w:rsidR="00F7320D" w:rsidRPr="00EC326F" w:rsidRDefault="00F7320D">
            <w:pPr>
              <w:pStyle w:val="TableTextSmall"/>
              <w:keepNext/>
              <w:rPr>
                <w:lang w:eastAsia="en-AU"/>
              </w:rPr>
            </w:pPr>
          </w:p>
          <w:p w14:paraId="10C422BE" w14:textId="77777777" w:rsidR="00F7320D" w:rsidRPr="00EC326F" w:rsidRDefault="004D6986">
            <w:pPr>
              <w:pStyle w:val="TableTextSmall"/>
              <w:keepNext/>
              <w:rPr>
                <w:lang w:eastAsia="en-AU"/>
              </w:rPr>
            </w:pPr>
            <w:r w:rsidRPr="004D6986">
              <w:rPr>
                <w:noProof/>
                <w:lang w:eastAsia="en-AU"/>
              </w:rPr>
              <w:drawing>
                <wp:inline distT="0" distB="0" distL="0" distR="0" wp14:anchorId="46DA7F5E" wp14:editId="68ED0CFB">
                  <wp:extent cx="1200150" cy="501239"/>
                  <wp:effectExtent l="0" t="0" r="0" b="0"/>
                  <wp:docPr id="3090" name="Picture 3090" descr="Legend: ABSTUDY, Austudy, Youth Allowance (Studying)" title="Legend for 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5632" t="8661" r="12997" b="63386"/>
                          <a:stretch/>
                        </pic:blipFill>
                        <pic:spPr bwMode="auto">
                          <a:xfrm>
                            <a:off x="0" y="0"/>
                            <a:ext cx="1213540" cy="506831"/>
                          </a:xfrm>
                          <a:prstGeom prst="rect">
                            <a:avLst/>
                          </a:prstGeom>
                          <a:noFill/>
                          <a:ln>
                            <a:noFill/>
                          </a:ln>
                          <a:extLst>
                            <a:ext uri="{53640926-AAD7-44D8-BBD7-CCE9431645EC}">
                              <a14:shadowObscured xmlns:a14="http://schemas.microsoft.com/office/drawing/2010/main"/>
                            </a:ext>
                          </a:extLst>
                        </pic:spPr>
                      </pic:pic>
                    </a:graphicData>
                  </a:graphic>
                </wp:inline>
              </w:drawing>
            </w:r>
          </w:p>
          <w:p w14:paraId="4F7597E2" w14:textId="77777777" w:rsidR="00F7320D" w:rsidRPr="00EC326F" w:rsidRDefault="00F7320D">
            <w:pPr>
              <w:pStyle w:val="TableTextSmall"/>
              <w:keepNext/>
              <w:rPr>
                <w:lang w:eastAsia="en-AU"/>
              </w:rPr>
            </w:pPr>
          </w:p>
        </w:tc>
      </w:tr>
    </w:tbl>
    <w:p w14:paraId="46B79E02" w14:textId="77777777" w:rsidR="00F7320D" w:rsidRPr="00EC326F" w:rsidRDefault="00F7320D" w:rsidP="001A4479">
      <w:pPr>
        <w:pStyle w:val="PwCNormal"/>
        <w:numPr>
          <w:ilvl w:val="0"/>
          <w:numId w:val="37"/>
        </w:numPr>
      </w:pPr>
      <w:r w:rsidRPr="00EC326F">
        <w:t xml:space="preserve">From the chart, we can see that there are a mix of both </w:t>
      </w:r>
      <w:r w:rsidR="00397976" w:rsidRPr="00EC326F">
        <w:t xml:space="preserve">men </w:t>
      </w:r>
      <w:r w:rsidRPr="00EC326F">
        <w:t xml:space="preserve">and </w:t>
      </w:r>
      <w:r w:rsidR="00397976" w:rsidRPr="00EC326F">
        <w:rPr>
          <w:snapToGrid/>
          <w:lang w:eastAsia="en-AU"/>
        </w:rPr>
        <w:t>women</w:t>
      </w:r>
      <w:r w:rsidRPr="00EC326F">
        <w:t xml:space="preserve">, albeit with more </w:t>
      </w:r>
      <w:r w:rsidR="00397976" w:rsidRPr="00EC326F">
        <w:rPr>
          <w:snapToGrid/>
          <w:lang w:eastAsia="en-AU"/>
        </w:rPr>
        <w:t xml:space="preserve">women </w:t>
      </w:r>
      <w:r w:rsidRPr="00EC326F">
        <w:t>at younger ages. The people in the class are mostly in the age range 15 to 30, although there are some people receiving these payments at most ages through to retirement age.</w:t>
      </w:r>
    </w:p>
    <w:p w14:paraId="0D358B38" w14:textId="37C8E31B" w:rsidR="00F7320D" w:rsidRPr="00EC326F" w:rsidRDefault="00F7320D" w:rsidP="001A4479">
      <w:pPr>
        <w:pStyle w:val="PwCNormal"/>
        <w:numPr>
          <w:ilvl w:val="0"/>
          <w:numId w:val="37"/>
        </w:numPr>
      </w:pPr>
      <w:r w:rsidRPr="00EC326F">
        <w:t xml:space="preserve">The vast majority of people in the Studying class are on Youth Allowance (if aged up to 24) or Austudy (if over 24 years old). There are a small number of </w:t>
      </w:r>
      <w:r w:rsidR="00B36672">
        <w:t>I</w:t>
      </w:r>
      <w:r w:rsidRPr="00EC326F">
        <w:t>ndigenous people on ABSTUDY across all ages.</w:t>
      </w:r>
    </w:p>
    <w:p w14:paraId="5A2AAAAD" w14:textId="77777777" w:rsidR="00F7320D" w:rsidRPr="00EC326F" w:rsidRDefault="00F7320D" w:rsidP="00F7320D">
      <w:pPr>
        <w:pStyle w:val="Minorheading"/>
      </w:pPr>
      <w:r w:rsidRPr="00EC326F">
        <w:t>Movements into this class</w:t>
      </w:r>
    </w:p>
    <w:p w14:paraId="31E285B1" w14:textId="77777777" w:rsidR="000D6C29" w:rsidRPr="00EC326F" w:rsidRDefault="000D6C29" w:rsidP="000D6C29">
      <w:pPr>
        <w:pStyle w:val="PwCNormal"/>
      </w:pPr>
      <w:r w:rsidRPr="00EC326F">
        <w:t xml:space="preserve">Over the last 3 years, an average of 144,300 people (around 37% of the people in this class) per annum enter this class from another welfare class or from outside the welfare system. The following charts show the breakdown of this </w:t>
      </w:r>
      <w:r w:rsidR="00B47BE6" w:rsidRPr="00EC326F">
        <w:t xml:space="preserve">group </w:t>
      </w:r>
      <w:r w:rsidRPr="00EC326F">
        <w:t xml:space="preserve">by age, gender and previous class. </w:t>
      </w:r>
    </w:p>
    <w:p w14:paraId="5A2F9EC8" w14:textId="77777777" w:rsidR="000D6C29" w:rsidRPr="00EC326F" w:rsidRDefault="000D6C29" w:rsidP="000D6C29">
      <w:pPr>
        <w:pStyle w:val="Caption"/>
      </w:pPr>
      <w:r w:rsidRPr="00EC326F">
        <w:lastRenderedPageBreak/>
        <w:t xml:space="preserve">Figure </w:t>
      </w:r>
      <w:fldSimple w:instr=" SEQ Figure \* ARABIC ">
        <w:r w:rsidR="007A42DF">
          <w:rPr>
            <w:noProof/>
          </w:rPr>
          <w:t>27</w:t>
        </w:r>
      </w:fldSimple>
      <w:r w:rsidRPr="00EC326F">
        <w:t>: Number of people entering Class 1 – Studying (annual average over last 3 years)</w:t>
      </w:r>
    </w:p>
    <w:tbl>
      <w:tblPr>
        <w:tblW w:w="4922" w:type="pct"/>
        <w:tblLayout w:type="fixed"/>
        <w:tblLook w:val="04A0" w:firstRow="1" w:lastRow="0" w:firstColumn="1" w:lastColumn="0" w:noHBand="0" w:noVBand="1"/>
        <w:tblCaption w:val=" Number of people entering Class 1 – Studying (annual average over last 3 years)"/>
        <w:tblDescription w:val="This text box contains two charts and a legend."/>
      </w:tblPr>
      <w:tblGrid>
        <w:gridCol w:w="4627"/>
        <w:gridCol w:w="4627"/>
      </w:tblGrid>
      <w:tr w:rsidR="000D6C29" w:rsidRPr="00EC326F" w14:paraId="64230FA0" w14:textId="77777777" w:rsidTr="001B43B4">
        <w:trPr>
          <w:tblHeader/>
        </w:trPr>
        <w:tc>
          <w:tcPr>
            <w:tcW w:w="4627" w:type="dxa"/>
          </w:tcPr>
          <w:p w14:paraId="6FEB436F" w14:textId="77777777" w:rsidR="000D6C29" w:rsidRPr="00EC326F" w:rsidRDefault="000D6C29" w:rsidP="000D6C29">
            <w:pPr>
              <w:pStyle w:val="TableTextSmall"/>
              <w:keepNext/>
              <w:jc w:val="center"/>
              <w:rPr>
                <w:b/>
                <w:i/>
              </w:rPr>
            </w:pPr>
            <w:r w:rsidRPr="00EC326F">
              <w:rPr>
                <w:b/>
                <w:i/>
              </w:rPr>
              <w:t>Males</w:t>
            </w:r>
          </w:p>
        </w:tc>
        <w:tc>
          <w:tcPr>
            <w:tcW w:w="4627" w:type="dxa"/>
          </w:tcPr>
          <w:p w14:paraId="2F86DEEE" w14:textId="77777777" w:rsidR="000D6C29" w:rsidRPr="00EC326F" w:rsidRDefault="000D6C29" w:rsidP="000D6C29">
            <w:pPr>
              <w:pStyle w:val="TableTextSmall"/>
              <w:keepNext/>
              <w:jc w:val="center"/>
              <w:rPr>
                <w:b/>
                <w:i/>
              </w:rPr>
            </w:pPr>
            <w:r w:rsidRPr="00EC326F">
              <w:rPr>
                <w:b/>
                <w:i/>
              </w:rPr>
              <w:t>Females</w:t>
            </w:r>
          </w:p>
        </w:tc>
      </w:tr>
      <w:tr w:rsidR="000D6C29" w:rsidRPr="00EC326F" w14:paraId="2740AEEC" w14:textId="77777777" w:rsidTr="00300596">
        <w:tc>
          <w:tcPr>
            <w:tcW w:w="4627" w:type="dxa"/>
          </w:tcPr>
          <w:p w14:paraId="301B4BB0" w14:textId="77777777" w:rsidR="000D6C29" w:rsidRPr="00EC326F" w:rsidRDefault="000D6C29" w:rsidP="000D6C29">
            <w:pPr>
              <w:pStyle w:val="TableTextSmall"/>
              <w:keepNext/>
              <w:rPr>
                <w:lang w:eastAsia="en-AU"/>
              </w:rPr>
            </w:pPr>
            <w:r w:rsidRPr="00EC326F">
              <w:rPr>
                <w:noProof/>
                <w:lang w:eastAsia="en-AU"/>
              </w:rPr>
              <w:drawing>
                <wp:inline distT="0" distB="0" distL="0" distR="0" wp14:anchorId="56EF2A41" wp14:editId="513CF6AC">
                  <wp:extent cx="3009900" cy="1876425"/>
                  <wp:effectExtent l="0" t="0" r="0" b="9525"/>
                  <wp:docPr id="3909" name="Picture 3909" descr="This figure contains two area charts. The vertical axis on both charts displays the cumulative number of entrants into the Studying class, and ranges from 0 to 18,000. For both charts the horizontal axis shows age ranging from 0 to 110. &#10;&#10;The chart on the left shows the average number of male entrants over the period from June 2014 to June 2016, split by class prior to entry.  The chart on the right shows the average number of female entrants over the period from June 2014 to June 2016, split by class prior to entry. &#10;&#10;Both area charts show the number of entrants split by class prior to entry to the Studying class; 2 Working Age, 3 Parents, 4 Carers, 5 Disability Support, 6 Pension Age, 7 Non-IS Family, 8 Non-IS Carer, 9 Non-IS Other, 10 Previous Welfare Recipient and 12 Rest of the Australian Population.&#10;&#10;For both males and females, the charts show that the majority of entrants come from Class 12 Rest of the Australian Population.  The number of entrants has two clear peaks, one at age 18 and one at age 22, for both genders. For males there are around 13,000 entrants at the first peak and 9,000 entrants at the subsequent peak. For females, the peaks are associated with 18,000 entrants at age 18 and 11,000 entrants at age 22.&#10;&#10;Further discussion of the key features shown in the chart can be found in the accompanying text within the report.&#10;" title=" Number of people entering Class 1 – Studying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627" w:type="dxa"/>
          </w:tcPr>
          <w:p w14:paraId="22335B42" w14:textId="77777777" w:rsidR="000D6C29" w:rsidRPr="00EC326F" w:rsidRDefault="000D6C29" w:rsidP="000D6C29">
            <w:pPr>
              <w:pStyle w:val="TableTextSmall"/>
              <w:keepNext/>
              <w:rPr>
                <w:lang w:eastAsia="en-AU"/>
              </w:rPr>
            </w:pPr>
            <w:r w:rsidRPr="00EC326F">
              <w:rPr>
                <w:noProof/>
                <w:lang w:eastAsia="en-AU"/>
              </w:rPr>
              <w:drawing>
                <wp:inline distT="0" distB="0" distL="0" distR="0" wp14:anchorId="792D6A4A" wp14:editId="0D21E808">
                  <wp:extent cx="3009900" cy="1876425"/>
                  <wp:effectExtent l="0" t="0" r="0" b="9525"/>
                  <wp:docPr id="3910" name="Picture 3910" descr="This figure contains two area charts. The vertical axis on both charts displays the cumulative number of entrants into the Studying class, and ranges from 0 to 18,000. For both charts the horizontal axis shows age ranging from 0 to 110. &#10;&#10;The chart on the left shows the average number of male entrants over the period from June 2014 to June 2016, split by class prior to entry.  The chart on the right shows the average number of female entrants over the period from June 2014 to June 2016, split by class prior to entry. &#10;&#10;Both area charts show the number of entrants split by class prior to entry to the Studying class; 2 Working Age, 3 Parents, 4 Carers, 5 Disability Support, 6 Pension Age, 7 Non-IS Family, 8 Non-IS Carer, 9 Non-IS Other, 10 Previous Welfare Recipient and 12 Rest of the Australian Population.&#10;&#10;For both males and females, the charts show that the majority of entrants come from Class 12 Rest of the Australian Population.  The number of entrants has two clear peaks, one at age 18 and one at age 22, for both genders. For males there are around 13,000 entrants at the first peak and 9,000 entrants at the subsequent peak. For females, the peaks are associated with 18,000 entrants at age 18 and 11,000 entrants at age 22.&#10;&#10;Further discussion of the key features shown in the chart can be found in the accompanying text within the report.&#10;" title=" Number of people entering Class 1 – Studying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4E326EBC" w14:textId="5332FEAC" w:rsidR="00300596" w:rsidRDefault="00300596" w:rsidP="0081675B">
      <w:pPr>
        <w:pStyle w:val="PwCNormal"/>
        <w:numPr>
          <w:ilvl w:val="0"/>
          <w:numId w:val="0"/>
        </w:numPr>
        <w:jc w:val="center"/>
      </w:pPr>
      <w:r w:rsidRPr="00EC326F">
        <w:rPr>
          <w:noProof/>
          <w:lang w:eastAsia="en-AU"/>
        </w:rPr>
        <w:drawing>
          <wp:inline distT="0" distB="0" distL="0" distR="0" wp14:anchorId="6660FB14" wp14:editId="318D0C01">
            <wp:extent cx="5385600" cy="468000"/>
            <wp:effectExtent l="0" t="0" r="0" b="8255"/>
            <wp:docPr id="192" name="Picture 192" descr="Class key: studying, working age, parents, carers, disability support, pension age, non-income support family, non-income support carer, non-income support other, previous welfare recipient, rest of the Australian population and dead. &#10;" title="Class Key for 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32C682EE" w14:textId="1DE4E1A0" w:rsidR="000D6C29" w:rsidRDefault="000D6C29" w:rsidP="000D6C29">
      <w:pPr>
        <w:pStyle w:val="PwCNormal"/>
      </w:pPr>
      <w:r w:rsidRPr="00EC326F">
        <w:t xml:space="preserve">We can see that </w:t>
      </w:r>
      <w:r w:rsidR="00072850" w:rsidRPr="00EC326F">
        <w:t>most people enter this class directly from outside the welfare system, many of wh</w:t>
      </w:r>
      <w:r w:rsidR="00B47BE6" w:rsidRPr="00EC326F">
        <w:t>om</w:t>
      </w:r>
      <w:r w:rsidR="00072850" w:rsidRPr="00EC326F">
        <w:t xml:space="preserve"> have never received welfare payments before. This is not unexpected, given the age profile and nature of benefits in this class.</w:t>
      </w:r>
      <w:r w:rsidRPr="00EC326F">
        <w:t xml:space="preserve"> </w:t>
      </w:r>
      <w:r w:rsidR="00072850" w:rsidRPr="00EC326F">
        <w:t xml:space="preserve">Of the people who enter this class from within the welfare system, most people come from the </w:t>
      </w:r>
      <w:r w:rsidR="00916C7F">
        <w:t>W</w:t>
      </w:r>
      <w:r w:rsidR="00072850" w:rsidRPr="00EC326F">
        <w:t xml:space="preserve">orking </w:t>
      </w:r>
      <w:r w:rsidR="00916C7F">
        <w:t>A</w:t>
      </w:r>
      <w:r w:rsidR="00072850" w:rsidRPr="00EC326F">
        <w:t>ge class.</w:t>
      </w:r>
    </w:p>
    <w:p w14:paraId="0499AFD8" w14:textId="77777777" w:rsidR="00F7320D" w:rsidRPr="00EC326F" w:rsidRDefault="00F7320D" w:rsidP="00F7320D">
      <w:pPr>
        <w:pStyle w:val="Minorheading"/>
      </w:pPr>
      <w:r w:rsidRPr="00EC326F">
        <w:t>Movements out of this class</w:t>
      </w:r>
    </w:p>
    <w:p w14:paraId="16FB9A9B" w14:textId="77777777" w:rsidR="00F7320D" w:rsidRPr="00EC326F" w:rsidRDefault="00F7320D" w:rsidP="001A4479">
      <w:pPr>
        <w:pStyle w:val="PwCNormal"/>
        <w:numPr>
          <w:ilvl w:val="0"/>
          <w:numId w:val="37"/>
        </w:numPr>
      </w:pPr>
      <w:r w:rsidRPr="00EC326F">
        <w:t xml:space="preserve">Over the last 3 years, an average of 145,500 people (37%) per annum have transitioned out of the Studying class. The following charts show the breakdown of this </w:t>
      </w:r>
      <w:r w:rsidR="00B47BE6" w:rsidRPr="00EC326F">
        <w:t xml:space="preserve">group </w:t>
      </w:r>
      <w:r w:rsidRPr="00EC326F">
        <w:t>by age, gender and destination class.</w:t>
      </w:r>
    </w:p>
    <w:p w14:paraId="4D66FB6F" w14:textId="77777777" w:rsidR="00F7320D" w:rsidRPr="00EC326F" w:rsidRDefault="00F7320D" w:rsidP="00F7320D">
      <w:pPr>
        <w:pStyle w:val="Caption"/>
      </w:pPr>
      <w:r w:rsidRPr="00EC326F">
        <w:t xml:space="preserve">Figure </w:t>
      </w:r>
      <w:fldSimple w:instr=" SEQ Figure \* ARABIC ">
        <w:r w:rsidR="007A42DF">
          <w:rPr>
            <w:noProof/>
          </w:rPr>
          <w:t>28</w:t>
        </w:r>
      </w:fldSimple>
      <w:r w:rsidRPr="00EC326F">
        <w:t>: Number of people leaving Class 1 – Studying (annual average over last 3 years)</w:t>
      </w:r>
    </w:p>
    <w:tbl>
      <w:tblPr>
        <w:tblW w:w="4900" w:type="pct"/>
        <w:tblLayout w:type="fixed"/>
        <w:tblLook w:val="04A0" w:firstRow="1" w:lastRow="0" w:firstColumn="1" w:lastColumn="0" w:noHBand="0" w:noVBand="1"/>
        <w:tblCaption w:val=" Number of people leaving Class 1 – Studying (annual average over last 3 years)"/>
        <w:tblDescription w:val="This text box contains two charts and a legend."/>
      </w:tblPr>
      <w:tblGrid>
        <w:gridCol w:w="4607"/>
        <w:gridCol w:w="4606"/>
      </w:tblGrid>
      <w:tr w:rsidR="00F7320D" w:rsidRPr="00EC326F" w14:paraId="57AF3D59" w14:textId="77777777" w:rsidTr="001B43B4">
        <w:trPr>
          <w:tblHeader/>
        </w:trPr>
        <w:tc>
          <w:tcPr>
            <w:tcW w:w="4607" w:type="dxa"/>
            <w:hideMark/>
          </w:tcPr>
          <w:p w14:paraId="02C8A3F9" w14:textId="77777777" w:rsidR="00F7320D" w:rsidRPr="00EC326F" w:rsidRDefault="00F7320D">
            <w:pPr>
              <w:pStyle w:val="TableTextSmall"/>
              <w:keepNext/>
              <w:jc w:val="center"/>
              <w:rPr>
                <w:i/>
              </w:rPr>
            </w:pPr>
            <w:r w:rsidRPr="00EC326F">
              <w:rPr>
                <w:b/>
                <w:i/>
              </w:rPr>
              <w:t>Males</w:t>
            </w:r>
          </w:p>
        </w:tc>
        <w:tc>
          <w:tcPr>
            <w:tcW w:w="4606" w:type="dxa"/>
            <w:hideMark/>
          </w:tcPr>
          <w:p w14:paraId="66474858" w14:textId="77777777" w:rsidR="00F7320D" w:rsidRPr="00EC326F" w:rsidRDefault="00F7320D">
            <w:pPr>
              <w:pStyle w:val="TableTextSmall"/>
              <w:keepNext/>
              <w:jc w:val="center"/>
              <w:rPr>
                <w:b/>
                <w:i/>
              </w:rPr>
            </w:pPr>
            <w:r w:rsidRPr="00EC326F">
              <w:rPr>
                <w:b/>
                <w:i/>
              </w:rPr>
              <w:t>Females</w:t>
            </w:r>
          </w:p>
        </w:tc>
      </w:tr>
      <w:tr w:rsidR="00F7320D" w:rsidRPr="00EC326F" w14:paraId="67792873" w14:textId="77777777" w:rsidTr="00300596">
        <w:tc>
          <w:tcPr>
            <w:tcW w:w="4607" w:type="dxa"/>
            <w:hideMark/>
          </w:tcPr>
          <w:p w14:paraId="78D166F4" w14:textId="77777777" w:rsidR="00F7320D" w:rsidRPr="00EC326F" w:rsidRDefault="00F7320D">
            <w:pPr>
              <w:pStyle w:val="TableTextSmall"/>
              <w:keepNext/>
              <w:rPr>
                <w:b/>
                <w:lang w:eastAsia="en-AU"/>
              </w:rPr>
            </w:pPr>
            <w:r w:rsidRPr="00EC326F">
              <w:rPr>
                <w:noProof/>
                <w:lang w:eastAsia="en-AU"/>
              </w:rPr>
              <w:drawing>
                <wp:inline distT="0" distB="0" distL="0" distR="0" wp14:anchorId="527E6646" wp14:editId="7E7CB150">
                  <wp:extent cx="3014345" cy="1887855"/>
                  <wp:effectExtent l="0" t="0" r="0" b="0"/>
                  <wp:docPr id="1087" name="Picture 1087" descr="This figure contains two area charts showing the number of exits from the Studying class by age. The age profile of male and female exits is shown separately. For both charts the horizontal axis shows age at the start of the year ranging from 0 to 105 and the vertical exits shows the cumulative number of people exiting ranging from 0 to 10,000.&#10;&#10;The left hand chart shows the average number of males exiting the class over the period from June 2014 to June 2016, by age. The right hand chart shows the average number of females exiting the class over the period from June 2014 to June 2016, by age.&#10;&#10;Both area charts show the cumulative number of people who exited the Studying class split by the class they subsequently transition to. These classes include; 2 Working Age, 3 Parents, 4 Carers, 5 Disability Support, 6 Pension Age, 7 Non-IS Family, 8 Non-IS Carer, 9 Non-IS Other, 10 Previous Welfare Recipient, 11 Dead and 12 Rest of the Australian Population.&#10;&#10;For both males and females, the charts show that the majority of individuals who exit move to Class 2 Working Age or Class 10 Previous Welfare Recipient. Both graphs peak at age 24, with 7,500 males and 9,500 females leaving respectively at this age.&#10;&#10;Further discussion of the key features shown in the chart can be found in the accompanying text within the report.&#10;" title=" Number of people leaving Class 1 – Studying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14345" cy="1887855"/>
                          </a:xfrm>
                          <a:prstGeom prst="rect">
                            <a:avLst/>
                          </a:prstGeom>
                          <a:noFill/>
                          <a:ln>
                            <a:noFill/>
                          </a:ln>
                        </pic:spPr>
                      </pic:pic>
                    </a:graphicData>
                  </a:graphic>
                </wp:inline>
              </w:drawing>
            </w:r>
          </w:p>
        </w:tc>
        <w:tc>
          <w:tcPr>
            <w:tcW w:w="4606" w:type="dxa"/>
            <w:hideMark/>
          </w:tcPr>
          <w:p w14:paraId="1467A6DD" w14:textId="77777777" w:rsidR="00F7320D" w:rsidRPr="00EC326F" w:rsidRDefault="00F7320D">
            <w:pPr>
              <w:pStyle w:val="TableTextSmall"/>
              <w:keepNext/>
              <w:rPr>
                <w:lang w:eastAsia="en-AU"/>
              </w:rPr>
            </w:pPr>
            <w:r w:rsidRPr="00EC326F">
              <w:rPr>
                <w:noProof/>
                <w:lang w:eastAsia="en-AU"/>
              </w:rPr>
              <w:drawing>
                <wp:inline distT="0" distB="0" distL="0" distR="0" wp14:anchorId="1CBC9A93" wp14:editId="70E8239D">
                  <wp:extent cx="3014345" cy="1896745"/>
                  <wp:effectExtent l="0" t="0" r="0" b="8255"/>
                  <wp:docPr id="1086" name="Picture 1086" descr="This figure contains two area charts showing the number of exits from the Studying class by age. The age profile of male and female exits is shown separately. For both charts the horizontal axis shows age at the start of the year ranging from 0 to 105 and the vertical exits shows the cumulative number of people exiting ranging from 0 to 10,000.&#10;&#10;The left hand chart shows the average number of males exiting the class over the period from June 2014 to June 2016, by age. The right hand chart shows the average number of females exiting the class over the period from June 2014 to June 2016, by age.&#10;&#10;Both area charts show the cumulative number of people who exited the Studying class split by the class they subsequently transition to. These classes include; 2 Working Age, 3 Parents, 4 Carers, 5 Disability Support, 6 Pension Age, 7 Non-IS Family, 8 Non-IS Carer, 9 Non-IS Other, 10 Previous Welfare Recipient, 11 Dead and 12 Rest of the Australian Population.&#10;&#10;For both males and females, the charts show that the majority of individuals who exit move to Class 2 Working Age or Class 10 Previous Welfare Recipient. Both graphs peak at age 24, with 7,500 males and 9,500 females leaving respectively at this age.&#10;&#10;Further discussion of the key features shown in the chart can be found in the accompanying text within the report.&#10;" title=" Number of people leaving Class 1 – Studying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14345" cy="1896745"/>
                          </a:xfrm>
                          <a:prstGeom prst="rect">
                            <a:avLst/>
                          </a:prstGeom>
                          <a:noFill/>
                          <a:ln>
                            <a:noFill/>
                          </a:ln>
                        </pic:spPr>
                      </pic:pic>
                    </a:graphicData>
                  </a:graphic>
                </wp:inline>
              </w:drawing>
            </w:r>
          </w:p>
        </w:tc>
      </w:tr>
    </w:tbl>
    <w:p w14:paraId="0434D2A7" w14:textId="79821154" w:rsidR="00300596" w:rsidRDefault="00300596" w:rsidP="0081675B">
      <w:pPr>
        <w:pStyle w:val="PwCNormal"/>
        <w:numPr>
          <w:ilvl w:val="0"/>
          <w:numId w:val="37"/>
        </w:numPr>
        <w:jc w:val="center"/>
      </w:pPr>
      <w:r w:rsidRPr="00EC326F">
        <w:rPr>
          <w:noProof/>
          <w:lang w:eastAsia="en-AU"/>
        </w:rPr>
        <w:drawing>
          <wp:inline distT="0" distB="0" distL="0" distR="0" wp14:anchorId="0DDFBA5B" wp14:editId="5AFCEBD4">
            <wp:extent cx="5384800" cy="465455"/>
            <wp:effectExtent l="0" t="0" r="0" b="0"/>
            <wp:docPr id="193" name="Picture 193" descr="Class key: studying, working age, parents, carers, disability support, pension age, non-income support family, non-income support carer, non-income support other, previous welfare recipient, rest of the Australian population and dead. &#10;" title="Class Key for 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4800" cy="465455"/>
                    </a:xfrm>
                    <a:prstGeom prst="rect">
                      <a:avLst/>
                    </a:prstGeom>
                    <a:noFill/>
                    <a:ln>
                      <a:noFill/>
                    </a:ln>
                  </pic:spPr>
                </pic:pic>
              </a:graphicData>
            </a:graphic>
          </wp:inline>
        </w:drawing>
      </w:r>
    </w:p>
    <w:p w14:paraId="4CA889EE" w14:textId="118867D7" w:rsidR="00F7320D" w:rsidRPr="00EC326F" w:rsidRDefault="00F7320D" w:rsidP="001A4479">
      <w:pPr>
        <w:pStyle w:val="PwCNormal"/>
        <w:numPr>
          <w:ilvl w:val="0"/>
          <w:numId w:val="37"/>
        </w:numPr>
      </w:pPr>
      <w:r w:rsidRPr="00EC326F">
        <w:t xml:space="preserve">We can see that people in this class show a high level of mobility; not only are </w:t>
      </w:r>
      <w:r w:rsidR="00072850" w:rsidRPr="00EC326F">
        <w:t>37</w:t>
      </w:r>
      <w:r w:rsidRPr="00EC326F">
        <w:t xml:space="preserve">% of the people in the class today new to the class in the last </w:t>
      </w:r>
      <w:r w:rsidR="00072850" w:rsidRPr="00EC326F">
        <w:t>year</w:t>
      </w:r>
      <w:r w:rsidRPr="00EC326F">
        <w:t xml:space="preserve">, but a significant proportion of the people in this class transition out of the welfare system each year. Notwithstanding these dynamics, there are material proportions of people who transition to the Working Age payment class </w:t>
      </w:r>
      <w:r w:rsidR="007B287F" w:rsidRPr="00EC326F">
        <w:t xml:space="preserve">on leaving the </w:t>
      </w:r>
      <w:r w:rsidR="00F70462">
        <w:t>S</w:t>
      </w:r>
      <w:r w:rsidR="007B287F" w:rsidRPr="00EC326F">
        <w:t>tudying class</w:t>
      </w:r>
      <w:r w:rsidRPr="00EC326F">
        <w:t>.</w:t>
      </w:r>
    </w:p>
    <w:p w14:paraId="78C048B3" w14:textId="77777777" w:rsidR="00F7320D" w:rsidRPr="00EC326F" w:rsidRDefault="00F7320D" w:rsidP="00F7320D">
      <w:pPr>
        <w:pStyle w:val="Minorheading"/>
      </w:pPr>
      <w:r w:rsidRPr="00EC326F">
        <w:lastRenderedPageBreak/>
        <w:t>Payments received</w:t>
      </w:r>
    </w:p>
    <w:p w14:paraId="03B1E1AF" w14:textId="77777777" w:rsidR="00F7320D" w:rsidRPr="00EC326F" w:rsidRDefault="00F7320D" w:rsidP="00142D83">
      <w:pPr>
        <w:pStyle w:val="PwCNormal-keepwithnext"/>
      </w:pPr>
      <w:r w:rsidRPr="00EC326F">
        <w:t xml:space="preserve">During 2015/16, people in this class received a total of $3.3 billion. This is </w:t>
      </w:r>
      <w:r w:rsidR="000F2138" w:rsidRPr="00EC326F">
        <w:t>3.0</w:t>
      </w:r>
      <w:r w:rsidRPr="00EC326F">
        <w:t>% of the total payments made in 2015/16. The charts below show the average amount paid in a year to each person in this class.</w:t>
      </w:r>
    </w:p>
    <w:p w14:paraId="5A2BA45B" w14:textId="77777777" w:rsidR="00F7320D" w:rsidRPr="00EC326F" w:rsidRDefault="00F7320D" w:rsidP="00F7320D">
      <w:pPr>
        <w:pStyle w:val="Caption"/>
      </w:pPr>
      <w:r w:rsidRPr="00EC326F">
        <w:t xml:space="preserve">Figure </w:t>
      </w:r>
      <w:fldSimple w:instr=" SEQ Figure \* ARABIC ">
        <w:r w:rsidR="007A42DF">
          <w:rPr>
            <w:noProof/>
          </w:rPr>
          <w:t>29</w:t>
        </w:r>
      </w:fldSimple>
      <w:r w:rsidRPr="00EC326F">
        <w:t>: Average payments per person in Class 1 – Studying</w:t>
      </w:r>
      <w:r w:rsidR="00321A6F" w:rsidRPr="00EC326F">
        <w:t xml:space="preserve"> (restated to 2015/16 $ values)</w:t>
      </w:r>
    </w:p>
    <w:p w14:paraId="574D1039" w14:textId="30BD4173" w:rsidR="00F7320D" w:rsidRPr="00EC326F" w:rsidRDefault="00F7320D" w:rsidP="001A4479">
      <w:pPr>
        <w:pStyle w:val="PwCNormal"/>
        <w:numPr>
          <w:ilvl w:val="0"/>
          <w:numId w:val="37"/>
        </w:numPr>
      </w:pPr>
      <w:r w:rsidRPr="00EC326F">
        <w:rPr>
          <w:noProof/>
          <w:lang w:eastAsia="en-AU"/>
        </w:rPr>
        <w:drawing>
          <wp:inline distT="0" distB="0" distL="0" distR="0" wp14:anchorId="7F567232" wp14:editId="429F6CB5">
            <wp:extent cx="5715000" cy="1998345"/>
            <wp:effectExtent l="0" t="0" r="0" b="1905"/>
            <wp:docPr id="1084" name="Picture 1084" descr="This figure is a stacked column chart with ten columns. The vertical axis displays the average payment per person in the Studying Class, ranging from $0 to $10,000.&#10;&#10;The horizontal axis is split into two sections; the first five columns for males and the second five columns for females. Each set of five columns represent the last five financial years; 2012, 2013, 2014, 2015 and 2016. &#10;&#10;In both sections, the columns for each financial year showing total average payment per person are split into the following payment categories; IS studying, IS working age, IS parents, IS carer, IS disability, IS age, IS dependant, Other – FTB, Other –family, Other – new parents, Other – health and disability, Other – carer, Other – study and skills, Other – remote and regional, Other – general allowances, All other and Rent assistance.&#10;&#10;For males the approximate average payment per person in Class 1 was: $7,500 for 2012; $8,200 for 2013; $8,500 for 2014; $8,300 for 2015; and $8,300 for 2016.&#10;&#10;For females the approximate average payment per person in Class 1 was: $7,900 for 2012; $8,700 for 2013; $8,900 for 2014; $8,800 for 2015; and $8,700 for 2016.&#10;&#10;The majority of payments for both males and females were from the IS Studying and Other Study &amp; Skills payment categories.&#10;&#10;The key features of this chart are described in the accompanying text within the report.&#10;" title=" Average payments per person in Class 1 – Studying (restated to 2015/16 $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15000" cy="1998345"/>
                    </a:xfrm>
                    <a:prstGeom prst="rect">
                      <a:avLst/>
                    </a:prstGeom>
                    <a:noFill/>
                    <a:ln>
                      <a:noFill/>
                    </a:ln>
                  </pic:spPr>
                </pic:pic>
              </a:graphicData>
            </a:graphic>
          </wp:inline>
        </w:drawing>
      </w:r>
    </w:p>
    <w:p w14:paraId="42743A64" w14:textId="77777777" w:rsidR="00F7320D" w:rsidRPr="00EC326F" w:rsidRDefault="00F7320D" w:rsidP="00F7320D">
      <w:pPr>
        <w:pStyle w:val="PwCNormal"/>
        <w:numPr>
          <w:ilvl w:val="0"/>
          <w:numId w:val="0"/>
        </w:numPr>
        <w:ind w:firstLine="720"/>
      </w:pPr>
      <w:r w:rsidRPr="00EC326F">
        <w:rPr>
          <w:noProof/>
          <w:lang w:eastAsia="en-AU"/>
        </w:rPr>
        <w:drawing>
          <wp:inline distT="0" distB="0" distL="0" distR="0" wp14:anchorId="58E53D7A" wp14:editId="29DEBA10">
            <wp:extent cx="4868545" cy="465455"/>
            <wp:effectExtent l="0" t="0" r="0" b="0"/>
            <wp:docPr id="1083" name="Picture 1083"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68545" cy="465455"/>
                    </a:xfrm>
                    <a:prstGeom prst="rect">
                      <a:avLst/>
                    </a:prstGeom>
                    <a:noFill/>
                    <a:ln>
                      <a:noFill/>
                    </a:ln>
                  </pic:spPr>
                </pic:pic>
              </a:graphicData>
            </a:graphic>
          </wp:inline>
        </w:drawing>
      </w:r>
    </w:p>
    <w:p w14:paraId="7FF0E671" w14:textId="77777777" w:rsidR="00F7320D" w:rsidRPr="00EC326F" w:rsidRDefault="00F7320D" w:rsidP="001A4479">
      <w:pPr>
        <w:pStyle w:val="PwCNormal"/>
        <w:numPr>
          <w:ilvl w:val="0"/>
          <w:numId w:val="37"/>
        </w:numPr>
      </w:pPr>
      <w:r w:rsidRPr="00EC326F">
        <w:t>During 2015/16, the average payment made was $8,600 with slightly higher average payments being made to women as a result of them being more likely to also be claiming FTB and other family payments</w:t>
      </w:r>
      <w:r w:rsidR="00B47BE6" w:rsidRPr="00EC326F">
        <w:t xml:space="preserve"> alongside the main study payment and study supplements</w:t>
      </w:r>
      <w:r w:rsidRPr="00EC326F">
        <w:t>.</w:t>
      </w:r>
    </w:p>
    <w:p w14:paraId="57C56E44" w14:textId="77777777" w:rsidR="00F7320D" w:rsidRPr="00EC326F" w:rsidRDefault="00F7320D" w:rsidP="00F7320D">
      <w:pPr>
        <w:pStyle w:val="Heading4"/>
      </w:pPr>
      <w:bookmarkStart w:id="360" w:name="_Toc455503968"/>
      <w:bookmarkStart w:id="361" w:name="_Toc455502436"/>
      <w:bookmarkStart w:id="362" w:name="_Toc455499415"/>
      <w:r w:rsidRPr="00EC326F">
        <w:t>What have we taken into account in fitting assumptions?</w:t>
      </w:r>
      <w:bookmarkEnd w:id="360"/>
      <w:bookmarkEnd w:id="361"/>
      <w:bookmarkEnd w:id="362"/>
    </w:p>
    <w:p w14:paraId="4C24123A" w14:textId="77777777" w:rsidR="00F7320D" w:rsidRPr="00EC326F" w:rsidRDefault="00F7320D" w:rsidP="001A4479">
      <w:pPr>
        <w:pStyle w:val="PwCNormal"/>
        <w:numPr>
          <w:ilvl w:val="0"/>
          <w:numId w:val="37"/>
        </w:numPr>
      </w:pPr>
      <w:r w:rsidRPr="00EC326F">
        <w:t xml:space="preserve">We have adopted class movement, utilisation and payment assumptions through consideration of the risk factors that influence the experience. At this valuation, we have also incorporated several new </w:t>
      </w:r>
      <w:r w:rsidR="007C1B83" w:rsidRPr="00EC326F">
        <w:t xml:space="preserve">class characteristic </w:t>
      </w:r>
      <w:r w:rsidRPr="00EC326F">
        <w:t>variables, namely the payment type received and an indicator for whether the person has had any earnings from employment.</w:t>
      </w:r>
    </w:p>
    <w:p w14:paraId="1EDC07A6" w14:textId="77777777" w:rsidR="00F7320D" w:rsidRPr="00EC326F" w:rsidRDefault="00F7320D" w:rsidP="00F7320D">
      <w:pPr>
        <w:pStyle w:val="Minorheading"/>
      </w:pPr>
      <w:r w:rsidRPr="00EC326F">
        <w:t>Class movement assumptions</w:t>
      </w:r>
    </w:p>
    <w:p w14:paraId="7A1E3734" w14:textId="7A6B5667" w:rsidR="00F7320D" w:rsidRPr="00EC326F" w:rsidRDefault="00F7320D" w:rsidP="001A4479">
      <w:pPr>
        <w:pStyle w:val="PwCNormal"/>
        <w:numPr>
          <w:ilvl w:val="0"/>
          <w:numId w:val="37"/>
        </w:numPr>
      </w:pPr>
      <w:r w:rsidRPr="00EC326F">
        <w:t xml:space="preserve">Movements in and out of Studying have been fairly stable in recent years. Upon leaving the </w:t>
      </w:r>
      <w:r w:rsidR="00F70462">
        <w:t>S</w:t>
      </w:r>
      <w:r w:rsidRPr="00EC326F">
        <w:t>tudying class most people tend to move to either working age payments or exit the system.</w:t>
      </w:r>
    </w:p>
    <w:p w14:paraId="7438C62A" w14:textId="77777777" w:rsidR="00F7320D" w:rsidRPr="00EC326F" w:rsidRDefault="00F7320D" w:rsidP="001A4479">
      <w:pPr>
        <w:pStyle w:val="PwCNormal"/>
        <w:numPr>
          <w:ilvl w:val="0"/>
          <w:numId w:val="37"/>
        </w:numPr>
      </w:pPr>
      <w:r w:rsidRPr="00EC326F">
        <w:t>In determining class movement assumptions we have considered a number of characteristics, including information about people’s family composition, educational attainment, duration in the class, and detail of other payment types and supplements received. The education level, age of recipient and additional supplements received over the year contain the most significant information in explaining class movements.</w:t>
      </w:r>
    </w:p>
    <w:p w14:paraId="41173843" w14:textId="77777777" w:rsidR="00F7320D" w:rsidRPr="00EC326F" w:rsidRDefault="00F7320D" w:rsidP="001A4479">
      <w:pPr>
        <w:pStyle w:val="PwCNormal"/>
        <w:numPr>
          <w:ilvl w:val="0"/>
          <w:numId w:val="37"/>
        </w:numPr>
      </w:pPr>
      <w:r w:rsidRPr="00EC326F">
        <w:t xml:space="preserve">Both </w:t>
      </w:r>
      <w:r w:rsidR="00397976" w:rsidRPr="00EC326F">
        <w:t xml:space="preserve">men </w:t>
      </w:r>
      <w:r w:rsidRPr="00EC326F">
        <w:t xml:space="preserve">and </w:t>
      </w:r>
      <w:r w:rsidR="00397976" w:rsidRPr="00EC326F">
        <w:rPr>
          <w:snapToGrid/>
          <w:lang w:eastAsia="en-AU"/>
        </w:rPr>
        <w:t xml:space="preserve">women </w:t>
      </w:r>
      <w:r w:rsidRPr="00EC326F">
        <w:t>appear to have a lower probability of remaining in class at ages 25 and up. Upon leaving the class the relative risk of moving to working age payments increases with age while the likelihood of exiting the system is greatest around age 25.</w:t>
      </w:r>
    </w:p>
    <w:p w14:paraId="32D637AF" w14:textId="35584BAF" w:rsidR="00F7320D" w:rsidRPr="00EC326F" w:rsidRDefault="00F7320D" w:rsidP="001A4479">
      <w:pPr>
        <w:pStyle w:val="PwCNormal"/>
        <w:numPr>
          <w:ilvl w:val="0"/>
          <w:numId w:val="37"/>
        </w:numPr>
      </w:pPr>
      <w:r w:rsidRPr="00EC326F">
        <w:t>People with higher education level are more likely to lea</w:t>
      </w:r>
      <w:r w:rsidR="00F70462">
        <w:t>ve the S</w:t>
      </w:r>
      <w:r w:rsidRPr="00EC326F">
        <w:t>tudying class, although they may not necessarily leave the welfare system immediately. Many people with a higher education level transition to working age payments, although subsequent to that they are more likely to exit the welfare system than those with a lower educ</w:t>
      </w:r>
      <w:r w:rsidR="00881FC5">
        <w:t>ation level (</w:t>
      </w:r>
      <w:r w:rsidRPr="00EC326F">
        <w:t xml:space="preserve">discussed </w:t>
      </w:r>
      <w:r w:rsidR="00881FC5">
        <w:t xml:space="preserve">further </w:t>
      </w:r>
      <w:r w:rsidRPr="00EC326F">
        <w:t xml:space="preserve">in </w:t>
      </w:r>
      <w:r w:rsidR="0011562A">
        <w:t>section</w:t>
      </w:r>
      <w:r w:rsidR="003114C1" w:rsidRPr="00EC326F">
        <w:t xml:space="preserve"> </w:t>
      </w:r>
      <w:r w:rsidR="003114C1" w:rsidRPr="00EC326F">
        <w:fldChar w:fldCharType="begin"/>
      </w:r>
      <w:r w:rsidR="003114C1" w:rsidRPr="00EC326F">
        <w:instrText xml:space="preserve"> REF _Ref466420409 \r \h  \* MERGEFORMAT </w:instrText>
      </w:r>
      <w:r w:rsidR="003114C1" w:rsidRPr="00EC326F">
        <w:fldChar w:fldCharType="separate"/>
      </w:r>
      <w:r w:rsidR="007A42DF">
        <w:t>8.2</w:t>
      </w:r>
      <w:r w:rsidR="003114C1" w:rsidRPr="00EC326F">
        <w:fldChar w:fldCharType="end"/>
      </w:r>
      <w:r w:rsidRPr="00EC326F">
        <w:t>).</w:t>
      </w:r>
    </w:p>
    <w:p w14:paraId="5F230A24" w14:textId="184E27E3" w:rsidR="00F7320D" w:rsidRPr="00EC326F" w:rsidRDefault="00F7320D" w:rsidP="004D6986">
      <w:pPr>
        <w:pStyle w:val="PwCNormal"/>
        <w:numPr>
          <w:ilvl w:val="0"/>
          <w:numId w:val="37"/>
        </w:numPr>
      </w:pPr>
      <w:r w:rsidRPr="00EC326F">
        <w:t xml:space="preserve">People receiving other general allowances in addition to the main studying payments tend to be more likely to continue studying. Those who leave quicker than average are more likely to transition onto working age payments, while those who stay in the </w:t>
      </w:r>
      <w:r w:rsidR="00F70462">
        <w:t>S</w:t>
      </w:r>
      <w:r w:rsidRPr="00EC326F">
        <w:t xml:space="preserve">tudying class longer are more likely to exit the system. </w:t>
      </w:r>
      <w:r w:rsidR="004D6986" w:rsidRPr="004D6986">
        <w:t>People who</w:t>
      </w:r>
      <w:r w:rsidR="00AF3912">
        <w:t xml:space="preserve"> do not</w:t>
      </w:r>
      <w:r w:rsidR="004D6986" w:rsidRPr="004D6986">
        <w:t xml:space="preserve"> have employment earnings are </w:t>
      </w:r>
      <w:r w:rsidR="004D6986">
        <w:t xml:space="preserve">also </w:t>
      </w:r>
      <w:r w:rsidR="004D6986" w:rsidRPr="004D6986">
        <w:t>more likely to remain on income support and transition to working age payments.</w:t>
      </w:r>
      <w:r w:rsidR="004D6986">
        <w:t xml:space="preserve"> </w:t>
      </w:r>
      <w:r w:rsidRPr="00EC326F">
        <w:t xml:space="preserve">Unsurprisingly we can also see that parents are more </w:t>
      </w:r>
      <w:r w:rsidRPr="00EC326F">
        <w:lastRenderedPageBreak/>
        <w:t>likely to move into the parenting or family non IS classes rather than exit and people who partner during the year are more likely to exit or move into one of the non-income support classes.</w:t>
      </w:r>
    </w:p>
    <w:p w14:paraId="5E48F18D" w14:textId="77777777" w:rsidR="00F7320D" w:rsidRPr="00EC326F" w:rsidRDefault="00F7320D" w:rsidP="00F7320D">
      <w:pPr>
        <w:pStyle w:val="Minorheading"/>
      </w:pPr>
      <w:r w:rsidRPr="00EC326F">
        <w:t>Payment utilisation and size assumptions</w:t>
      </w:r>
    </w:p>
    <w:p w14:paraId="2F678C55" w14:textId="2E725713" w:rsidR="009A427B" w:rsidRPr="00EC326F" w:rsidRDefault="009A427B" w:rsidP="001A4479">
      <w:pPr>
        <w:pStyle w:val="PwCNormal"/>
        <w:numPr>
          <w:ilvl w:val="0"/>
          <w:numId w:val="37"/>
        </w:numPr>
      </w:pPr>
      <w:r w:rsidRPr="00EC326F">
        <w:t xml:space="preserve">For the </w:t>
      </w:r>
      <w:r w:rsidR="00F70462">
        <w:t>S</w:t>
      </w:r>
      <w:r w:rsidRPr="00EC326F">
        <w:t xml:space="preserve">tudying class, many people utilise the ‘Other study and skills’ payment category alongside their primary income support payment as well as rent assistance. These payments are the main drivers of the cost. The utilisation model for ‘Other study and skills’ takes into account age, previous utilisation, level of education attained and the number of years in the class.  FTB also contributes to the total cost for this class for the small proportion that utilise it. </w:t>
      </w:r>
    </w:p>
    <w:p w14:paraId="327F781D" w14:textId="77777777" w:rsidR="009A427B" w:rsidRPr="00EC326F" w:rsidRDefault="009A427B" w:rsidP="001A4479">
      <w:pPr>
        <w:pStyle w:val="PwCNormal"/>
        <w:numPr>
          <w:ilvl w:val="0"/>
          <w:numId w:val="37"/>
        </w:numPr>
      </w:pPr>
      <w:r w:rsidRPr="00EC326F">
        <w:t>For the main studying payment the average size increases slightly with age, possibly as a direct result of the higher payment levels for older people (e.g. Austudy rates are higher than Youth Allowance) and for people with children.</w:t>
      </w:r>
    </w:p>
    <w:p w14:paraId="5F2FC534" w14:textId="6784ACEB" w:rsidR="00F7320D" w:rsidRPr="00EC326F" w:rsidRDefault="009A427B" w:rsidP="00F7320D">
      <w:pPr>
        <w:pStyle w:val="PwCNormal"/>
        <w:numPr>
          <w:ilvl w:val="0"/>
          <w:numId w:val="0"/>
        </w:numPr>
      </w:pPr>
      <w:r w:rsidRPr="00EC326F">
        <w:t xml:space="preserve">The studying payments model differentiates the size of payments made to different people in the class by considering factors including their age and gender, earnings indicator, partner status, education level, whether they changed class during the year and the person’s duration in the class and in the whole welfare system. Some of these factors simply reflect the person’s likelihood of receiving payments for the full year rather than part of it, and the most likely underlying payment type applicable. Factors such as partner status and earnings directly impact the payment </w:t>
      </w:r>
      <w:r w:rsidR="007716BE">
        <w:t>rate</w:t>
      </w:r>
      <w:r w:rsidR="007716BE" w:rsidRPr="00EC326F">
        <w:t xml:space="preserve"> </w:t>
      </w:r>
      <w:r w:rsidRPr="00EC326F">
        <w:t>applicable.</w:t>
      </w:r>
    </w:p>
    <w:p w14:paraId="46AD3F78" w14:textId="77777777" w:rsidR="00F7320D" w:rsidRPr="00EC326F" w:rsidRDefault="00F7320D" w:rsidP="00F7320D">
      <w:pPr>
        <w:pStyle w:val="Heading4"/>
      </w:pPr>
      <w:bookmarkStart w:id="363" w:name="_Toc455503969"/>
      <w:bookmarkStart w:id="364" w:name="_Toc455502437"/>
      <w:bookmarkStart w:id="365" w:name="_Toc455499416"/>
      <w:r w:rsidRPr="00EC326F">
        <w:t>What does the model show for people in the Studying class?</w:t>
      </w:r>
      <w:bookmarkEnd w:id="363"/>
      <w:bookmarkEnd w:id="364"/>
      <w:bookmarkEnd w:id="365"/>
    </w:p>
    <w:p w14:paraId="7F68C7CA" w14:textId="77777777" w:rsidR="00F7320D" w:rsidRPr="00EC326F" w:rsidRDefault="00F7320D" w:rsidP="00F7320D">
      <w:pPr>
        <w:pStyle w:val="Minorheading"/>
      </w:pPr>
      <w:r w:rsidRPr="00EC326F">
        <w:t>Lifetime costs</w:t>
      </w:r>
    </w:p>
    <w:p w14:paraId="71C5917B" w14:textId="77777777" w:rsidR="00F7320D" w:rsidRPr="00EC326F" w:rsidRDefault="00F7320D" w:rsidP="001A4479">
      <w:pPr>
        <w:pStyle w:val="PwCNormal"/>
        <w:numPr>
          <w:ilvl w:val="0"/>
          <w:numId w:val="37"/>
        </w:numPr>
      </w:pPr>
      <w:r w:rsidRPr="00EC326F">
        <w:t xml:space="preserve">We estimated the lifetime cost for the people in this class to be </w:t>
      </w:r>
      <w:r w:rsidRPr="00EC326F">
        <w:rPr>
          <w:b/>
        </w:rPr>
        <w:t>$82bn</w:t>
      </w:r>
      <w:r w:rsidRPr="00EC326F">
        <w:t xml:space="preserve"> (or </w:t>
      </w:r>
      <w:r w:rsidRPr="00EC326F">
        <w:rPr>
          <w:b/>
        </w:rPr>
        <w:t>1.8%</w:t>
      </w:r>
      <w:r w:rsidRPr="00EC326F">
        <w:t xml:space="preserve"> of the total lifetime cost). The average lifetime cost for people in this class is </w:t>
      </w:r>
      <w:r w:rsidRPr="00EC326F">
        <w:rPr>
          <w:b/>
        </w:rPr>
        <w:t>$21</w:t>
      </w:r>
      <w:r w:rsidR="00B73377" w:rsidRPr="00EC326F">
        <w:rPr>
          <w:b/>
        </w:rPr>
        <w:t>0</w:t>
      </w:r>
      <w:r w:rsidRPr="00EC326F">
        <w:rPr>
          <w:b/>
        </w:rPr>
        <w:t>,000</w:t>
      </w:r>
      <w:r w:rsidRPr="00EC326F">
        <w:t xml:space="preserve">. The variation by age and gender illustrated in the figure below. </w:t>
      </w:r>
    </w:p>
    <w:p w14:paraId="436B1AB0" w14:textId="77777777" w:rsidR="00F7320D" w:rsidRPr="00EC326F" w:rsidRDefault="00F7320D" w:rsidP="00F7320D">
      <w:pPr>
        <w:pStyle w:val="Caption"/>
      </w:pPr>
      <w:bookmarkStart w:id="366" w:name="_Ref466030874"/>
      <w:r w:rsidRPr="00EC326F">
        <w:t xml:space="preserve">Figure </w:t>
      </w:r>
      <w:fldSimple w:instr=" SEQ Figure \* ARABIC ">
        <w:r w:rsidR="007A42DF">
          <w:rPr>
            <w:noProof/>
          </w:rPr>
          <w:t>30</w:t>
        </w:r>
      </w:fldSimple>
      <w:bookmarkEnd w:id="366"/>
      <w:r w:rsidRPr="00EC326F">
        <w:t>: Average lifetime cost by age and gender (Class 1)</w:t>
      </w:r>
    </w:p>
    <w:tbl>
      <w:tblPr>
        <w:tblStyle w:val="Tables-APBase"/>
        <w:tblW w:w="467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Average lifetime cost by age and gender (Class 1)"/>
        <w:tblDescription w:val="This figure is a horizontal bar chart showing average lifetime cost by age for males and females separately. The vertical axis shows age with the data shown ranging from 16 to 65.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 IS disability, IS age, IS dependent, Other – FTB, Other –family, Other – new parents, Other – health and disability, Other – carer, Other – study and skills, Other – remote and regional, Other – general allowances, All other and Rent assistance.&#10;&#10;The chart is based on the 390,000 individuals who were in the studying class at 30 June 2016 but includes only those age groups containing at least 100 individuals.&#10;&#10;For males, the highest average lifetime costs (of approximately $260,000) are seen for people aged 55 and over. The average lifetime cost then drops down steadily with age to approximately $155,000 for men aged 20 to 24. Average cost then increases sharply for men aged 16. &#10;&#10;The average lifetime cost for females is approximately $70,000 more than males for ages 16 to 40 which is largely due to the FTB component being higher for females. Across these ages, the average lifetime cost for females has smaller working age and disability support components than males however the parenting and carer components are larger. Above age 40, females have a higher average lifetime cost than males, largely due to a higher larger age pension component. The average lifetime cost of females aged 60 is approximately $320,000.&#10;&#10;The features shown in the chart are discussed further in the accompanying text within the report.&#10;"/>
      </w:tblPr>
      <w:tblGrid>
        <w:gridCol w:w="5529"/>
        <w:gridCol w:w="3261"/>
      </w:tblGrid>
      <w:tr w:rsidR="00F7320D" w:rsidRPr="00EC326F" w14:paraId="12230211" w14:textId="77777777" w:rsidTr="009C6553">
        <w:trPr>
          <w:tblHeader/>
        </w:trPr>
        <w:tc>
          <w:tcPr>
            <w:tcW w:w="5528" w:type="dxa"/>
            <w:hideMark/>
          </w:tcPr>
          <w:p w14:paraId="7EEBA747" w14:textId="67EAB2E6" w:rsidR="00F7320D" w:rsidRPr="00EC326F" w:rsidRDefault="00055AC1">
            <w:pPr>
              <w:pStyle w:val="TableTextSmall"/>
              <w:keepNext/>
              <w:rPr>
                <w:lang w:eastAsia="en-AU"/>
              </w:rPr>
            </w:pPr>
            <w:r w:rsidRPr="00055AC1">
              <w:rPr>
                <w:noProof/>
                <w:lang w:eastAsia="en-AU"/>
              </w:rPr>
              <w:drawing>
                <wp:inline distT="0" distB="0" distL="0" distR="0" wp14:anchorId="2797005D" wp14:editId="3F14BFBE">
                  <wp:extent cx="3355639" cy="2160000"/>
                  <wp:effectExtent l="0" t="0" r="0" b="0"/>
                  <wp:docPr id="1044" name="Picture 1" descr="This figure is a horizontal bar chart showing average lifetime cost by age for males and females separately. The vertical axis shows age with the data shown ranging from 16 to 65.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 IS disability, IS age, IS dependent, Other – FTB, Other –family, Other – new parents, Other – health and disability, Other – carer, Other – study and skills, Other – remote and regional, Other – general allowances, All other and Rent assistance.&#10;&#10;The chart is based on the 390,000 individuals who were in the studying class at 30 June 2016 but includes only those age groups containing at least 100 individuals.&#10;&#10;For males, the highest average lifetime costs (of approximately $260,000) are seen for people aged 55 and over. The average lifetime cost then drops down steadily with age to approximately $155,000 for men aged 20 to 24. Average cost then increases sharply for men aged 16. &#10;&#10;The average lifetime cost for females is approximately $70,000 more than males for ages 16 to 40 which is largely due to the FTB component being higher for females. Across these ages, the average lifetime cost for females has smaller working age and disability support components than males however the parenting and carer components are larger. Above age 40, females have a higher average lifetime cost than males, largely due to a higher larger age pension component. The average lifetime cost of females aged 60 is approximately $320,000.&#10;&#10;The features shown in the chart are discussed further in the accompanying text within the report.&#10;" title=" Average lifetime cost by age and gender (Clas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2"/>
                          <a:stretch>
                            <a:fillRect/>
                          </a:stretch>
                        </pic:blipFill>
                        <pic:spPr>
                          <a:xfrm>
                            <a:off x="0" y="0"/>
                            <a:ext cx="3355639" cy="2160000"/>
                          </a:xfrm>
                          <a:prstGeom prst="rect">
                            <a:avLst/>
                          </a:prstGeom>
                        </pic:spPr>
                      </pic:pic>
                    </a:graphicData>
                  </a:graphic>
                </wp:inline>
              </w:drawing>
            </w:r>
          </w:p>
        </w:tc>
        <w:tc>
          <w:tcPr>
            <w:tcW w:w="3261" w:type="dxa"/>
          </w:tcPr>
          <w:p w14:paraId="317D4ABA" w14:textId="77777777" w:rsidR="00F7320D" w:rsidRPr="00EC326F" w:rsidRDefault="00F7320D">
            <w:pPr>
              <w:pStyle w:val="TableTextSmall"/>
              <w:keepNext/>
              <w:rPr>
                <w:lang w:eastAsia="en-AU"/>
              </w:rPr>
            </w:pPr>
          </w:p>
          <w:p w14:paraId="2EA885D5" w14:textId="77777777" w:rsidR="00F7320D" w:rsidRPr="00EC326F" w:rsidRDefault="00F7320D">
            <w:pPr>
              <w:pStyle w:val="TableTextSmall"/>
              <w:keepNext/>
              <w:rPr>
                <w:lang w:eastAsia="en-AU"/>
              </w:rPr>
            </w:pPr>
            <w:r w:rsidRPr="00EC326F">
              <w:rPr>
                <w:noProof/>
                <w:lang w:eastAsia="en-AU"/>
              </w:rPr>
              <w:drawing>
                <wp:inline distT="0" distB="0" distL="0" distR="0" wp14:anchorId="227B0A43" wp14:editId="57839AB2">
                  <wp:extent cx="1075055" cy="1608455"/>
                  <wp:effectExtent l="0" t="0" r="0" b="0"/>
                  <wp:docPr id="1063" name="Picture 1063"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5055" cy="1608455"/>
                          </a:xfrm>
                          <a:prstGeom prst="rect">
                            <a:avLst/>
                          </a:prstGeom>
                          <a:noFill/>
                          <a:ln>
                            <a:noFill/>
                          </a:ln>
                        </pic:spPr>
                      </pic:pic>
                    </a:graphicData>
                  </a:graphic>
                </wp:inline>
              </w:drawing>
            </w:r>
          </w:p>
        </w:tc>
      </w:tr>
    </w:tbl>
    <w:p w14:paraId="6412F6CD" w14:textId="77777777" w:rsidR="00F7320D" w:rsidRPr="00EC326F" w:rsidRDefault="00F7320D" w:rsidP="001A4479">
      <w:pPr>
        <w:pStyle w:val="PwCNormal"/>
        <w:numPr>
          <w:ilvl w:val="0"/>
          <w:numId w:val="37"/>
        </w:numPr>
      </w:pPr>
      <w:r w:rsidRPr="00EC326F">
        <w:t>This is the lowest average lifetime cost of the pre-retirement income support classes, despite the people in this class generally being younger and thus having a longer future lifetime.</w:t>
      </w:r>
    </w:p>
    <w:p w14:paraId="46931241" w14:textId="77777777" w:rsidR="00F7320D" w:rsidRPr="00EC326F" w:rsidRDefault="00F7320D" w:rsidP="00F7320D">
      <w:pPr>
        <w:pStyle w:val="PwCNormal"/>
        <w:numPr>
          <w:ilvl w:val="0"/>
          <w:numId w:val="0"/>
        </w:numPr>
      </w:pPr>
      <w:r w:rsidRPr="00EC326F">
        <w:t>We can see that the most substantial part of this cost is for the age pension. This component of the average lifetime cost is lower for younger people as their time of retirement is further away and because younger people are more likely to exit and may later draw a lower level of age pension.</w:t>
      </w:r>
    </w:p>
    <w:p w14:paraId="13302427" w14:textId="0B0BB496" w:rsidR="00F7320D" w:rsidRPr="00EC326F" w:rsidRDefault="00F7320D" w:rsidP="00F7320D">
      <w:pPr>
        <w:pStyle w:val="PwCNormal"/>
        <w:numPr>
          <w:ilvl w:val="0"/>
          <w:numId w:val="0"/>
        </w:numPr>
      </w:pPr>
      <w:r w:rsidRPr="00EC326F">
        <w:t>The next most apparent feature is the difference between the average lifetime costs for men and women. Women have higher costs through most of the age range as they are more likely to receive FTB or other family payments.</w:t>
      </w:r>
      <w:r w:rsidR="009A427B" w:rsidRPr="00EC326F">
        <w:t xml:space="preserve"> </w:t>
      </w:r>
      <w:r w:rsidRPr="00EC326F">
        <w:t xml:space="preserve">For both men and women there are additional cost components for all the main income support payment types reflecting the probability of people moving from the current </w:t>
      </w:r>
      <w:r w:rsidR="00F70462">
        <w:t>S</w:t>
      </w:r>
      <w:r w:rsidRPr="00EC326F">
        <w:t>tudying class onto these payments. There are some differences between the genders, in particular reflecting the differential chances of moving onto parenting payments versus working age payments.</w:t>
      </w:r>
    </w:p>
    <w:p w14:paraId="38E7AC28" w14:textId="77777777" w:rsidR="00F7320D" w:rsidRPr="002A0A1A" w:rsidRDefault="00F7320D" w:rsidP="001A4479">
      <w:pPr>
        <w:pStyle w:val="PwCNormal"/>
        <w:numPr>
          <w:ilvl w:val="0"/>
          <w:numId w:val="37"/>
        </w:numPr>
      </w:pPr>
      <w:r w:rsidRPr="00EC326F">
        <w:t xml:space="preserve">The chart below compares the average future lifetime cost </w:t>
      </w:r>
      <w:r w:rsidR="009A427B" w:rsidRPr="00EC326F">
        <w:t xml:space="preserve">for the groups of people in the class receiving different </w:t>
      </w:r>
      <w:r w:rsidRPr="00EC326F">
        <w:t>payment type</w:t>
      </w:r>
      <w:r w:rsidR="009A427B" w:rsidRPr="00EC326F">
        <w:t>s</w:t>
      </w:r>
      <w:r w:rsidRPr="00EC326F">
        <w:t xml:space="preserve">. </w:t>
      </w:r>
    </w:p>
    <w:p w14:paraId="2AC45904" w14:textId="1EBA4DB5" w:rsidR="00F7320D" w:rsidRPr="00EC326F" w:rsidRDefault="00F7320D" w:rsidP="00F7320D">
      <w:pPr>
        <w:pStyle w:val="Caption"/>
      </w:pPr>
      <w:r w:rsidRPr="00EC326F">
        <w:lastRenderedPageBreak/>
        <w:t xml:space="preserve">Figure </w:t>
      </w:r>
      <w:fldSimple w:instr=" SEQ Figure \* ARABIC ">
        <w:r w:rsidR="007A42DF">
          <w:rPr>
            <w:noProof/>
          </w:rPr>
          <w:t>31</w:t>
        </w:r>
      </w:fldSimple>
      <w:r w:rsidRPr="00EC326F">
        <w:t>: Average lifetime cost by age, gender and payment type (Class 1)</w:t>
      </w:r>
    </w:p>
    <w:tbl>
      <w:tblPr>
        <w:tblW w:w="4761" w:type="pct"/>
        <w:tblLayout w:type="fixed"/>
        <w:tblLook w:val="04A0" w:firstRow="1" w:lastRow="0" w:firstColumn="1" w:lastColumn="0" w:noHBand="0" w:noVBand="1"/>
        <w:tblCaption w:val=" Average lifetime cost by age, gender and payment type (Class 1)"/>
        <w:tblDescription w:val="This figure is a line chart showing the average lifetime cost by age and payment type for clients in the Studying Class. The vertical axis shows age ranging from 0 to 110. The horizontal axis is split into two sections; the left section displays average lifetime cost for males ranging from 0 to $700,000 and the right section displays average lifetime cost for females ranging from 0 to $700,000. &#10;&#10;Average lifetime cost is shown by distinct lines for the following Studying payment types; ABSTUDY, Austudy, Youth Allowance (Studying). There is an additional line showing the average lifetime cost across all payment types.&#10;&#10;Lines are only shown for ages where there is sufficient data. For Abstudy and Youth Allowance (Studying) there is data for clients aged between 16 and 28. For Austudy, data is available for ages 25-60 only.&#10;&#10;It is evident that those receiving Abstudy payments have noticeably higher average lifetime costs than the other people in this class. Males receiving Abstudy have an average lifetime cost $20,000 to $70,000 greater than other males in the class of the same age.  Females receiving Abstudy have an average lifetime cost $80,000 to $150,000 greater than other females in the class of the same age.&#10;&#10;The other payment types, Austudy and Youth Allowance (Studying) have average lifetime costs on par with the average lifetime costs of the class. For males, the highest average lifetime costs (of approximately $300,000) are seen for people aged 64. The average lifetime cost then drops down steadily with age to approximately $150,000 for men aged 20 to 25. Average cost then increases sharply for men aged 16, where it is $200,000. &#10;&#10;The average lifetime cost for females is approximately $60,000 more than males for ages 16 to 65 After this age, the difference between males and females reduces slightly. The average lifetime cost of females aged 65 is approximately $320,000.&#10;"/>
      </w:tblPr>
      <w:tblGrid>
        <w:gridCol w:w="5651"/>
        <w:gridCol w:w="3301"/>
      </w:tblGrid>
      <w:tr w:rsidR="00F7320D" w:rsidRPr="00EC326F" w14:paraId="373AA3A3" w14:textId="77777777" w:rsidTr="0096019E">
        <w:trPr>
          <w:trHeight w:val="3402"/>
          <w:tblHeader/>
        </w:trPr>
        <w:tc>
          <w:tcPr>
            <w:tcW w:w="5650" w:type="dxa"/>
            <w:hideMark/>
          </w:tcPr>
          <w:p w14:paraId="4997CA2A" w14:textId="41C966FA" w:rsidR="00E915CF" w:rsidRPr="00EC326F" w:rsidRDefault="00E915CF">
            <w:pPr>
              <w:pStyle w:val="TableTextSmall"/>
            </w:pPr>
            <w:r w:rsidRPr="00E915CF">
              <w:rPr>
                <w:noProof/>
                <w:lang w:eastAsia="en-AU"/>
              </w:rPr>
              <w:drawing>
                <wp:inline distT="0" distB="0" distL="0" distR="0" wp14:anchorId="104C4F33" wp14:editId="1E0F95ED">
                  <wp:extent cx="2358000" cy="3531600"/>
                  <wp:effectExtent l="3810" t="0" r="8255" b="8255"/>
                  <wp:docPr id="851" name="Picture 851" descr="This figure is a line chart showing the average lifetime cost by age and payment type for clients in the Studying Class. The vertical axis shows age ranging from 0 to 110. The horizontal axis is split into two sections; the left section displays average lifetime cost for males ranging from 0 to $700,000 and the right section displays average lifetime cost for females ranging from 0 to $700,000. &#10;&#10;Average lifetime cost is shown by distinct lines for the following Studying payment types; ABSTUDY, Austudy, Youth Allowance (Studying). There is an additional line showing the average lifetime cost across all payment types.&#10;&#10;Lines are only shown for ages where there is sufficient data. For Abstudy and Youth Allowance (Studying) there is data for clients aged between 16 and 28. For Austudy, data is available for ages 25-60 only.&#10;&#10;It is evident that those receiving Abstudy payments have noticeably higher average lifetime costs than the other people in this class. Males receiving Abstudy have an average lifetime cost $20,000 to $70,000 greater than other males in the class of the same age.  Females receiving Abstudy have an average lifetime cost $80,000 to $150,000 greater than other females in the class of the same age.&#10;&#10;The other payment types, Austudy and Youth Allowance (Studying) have average lifetime costs on par with the average lifetime costs of the class. For males, the highest average lifetime costs (of approximately $300,000) are seen for people aged 64. The average lifetime cost then drops down steadily with age to approximately $150,000 for men aged 20 to 25. Average cost then increases sharply for men aged 16, where it is $200,000. &#10;&#10;The average lifetime cost for females is approximately $60,000 more than males for ages 16 to 65 After this age, the difference between males and females reduces slightly. The average lifetime cost of females aged 65 is approximately $320,000.&#10;" title=" Average lifetime cost by age, gender and payment type (Class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6200000">
                            <a:off x="0" y="0"/>
                            <a:ext cx="2358000" cy="3531600"/>
                          </a:xfrm>
                          <a:prstGeom prst="rect">
                            <a:avLst/>
                          </a:prstGeom>
                          <a:noFill/>
                          <a:ln>
                            <a:noFill/>
                          </a:ln>
                        </pic:spPr>
                      </pic:pic>
                    </a:graphicData>
                  </a:graphic>
                </wp:inline>
              </w:drawing>
            </w:r>
          </w:p>
        </w:tc>
        <w:tc>
          <w:tcPr>
            <w:tcW w:w="3301" w:type="dxa"/>
          </w:tcPr>
          <w:p w14:paraId="1A72D44A" w14:textId="77777777" w:rsidR="00385C5B" w:rsidRPr="00EC326F" w:rsidRDefault="00385C5B">
            <w:pPr>
              <w:pStyle w:val="TableTextSmall"/>
            </w:pPr>
          </w:p>
          <w:p w14:paraId="58B58607" w14:textId="2791A3D4" w:rsidR="00F7320D" w:rsidRPr="00EC326F" w:rsidRDefault="004461F7">
            <w:pPr>
              <w:pStyle w:val="TableTextSmall"/>
            </w:pPr>
            <w:r w:rsidRPr="004461F7">
              <w:rPr>
                <w:noProof/>
                <w:lang w:eastAsia="en-AU"/>
              </w:rPr>
              <w:drawing>
                <wp:inline distT="0" distB="0" distL="0" distR="0" wp14:anchorId="376F58B4" wp14:editId="29F29BA9">
                  <wp:extent cx="1833880" cy="914400"/>
                  <wp:effectExtent l="0" t="0" r="0" b="0"/>
                  <wp:docPr id="385" name="Picture 385" descr="Legend: ABSTUDY, Austudy, Youth Allowance (Studying), Average in Class 1" title="Legend for 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33880" cy="914400"/>
                          </a:xfrm>
                          <a:prstGeom prst="rect">
                            <a:avLst/>
                          </a:prstGeom>
                          <a:noFill/>
                          <a:ln>
                            <a:noFill/>
                          </a:ln>
                        </pic:spPr>
                      </pic:pic>
                    </a:graphicData>
                  </a:graphic>
                </wp:inline>
              </w:drawing>
            </w:r>
          </w:p>
          <w:p w14:paraId="06604B6F" w14:textId="77777777" w:rsidR="00F7320D" w:rsidRPr="00EC326F" w:rsidRDefault="00F7320D">
            <w:pPr>
              <w:pStyle w:val="TableTextSmall"/>
            </w:pPr>
          </w:p>
        </w:tc>
      </w:tr>
    </w:tbl>
    <w:p w14:paraId="594C4509" w14:textId="2CA4BFA7" w:rsidR="0096019E" w:rsidRPr="00EC326F" w:rsidRDefault="0096019E" w:rsidP="0096019E">
      <w:pPr>
        <w:pStyle w:val="Sources"/>
      </w:pPr>
      <w:r w:rsidRPr="00EC326F">
        <w:t xml:space="preserve">Note: Lines are only shown for ages where there are sufficient numbers of people. The black dotted line is the average across all payment types, and corresponds to the average lifetime cost (total of all payment categories) shown in </w:t>
      </w:r>
      <w:r w:rsidRPr="00EC326F">
        <w:fldChar w:fldCharType="begin"/>
      </w:r>
      <w:r w:rsidRPr="00EC326F">
        <w:instrText xml:space="preserve"> REF _Ref466030874 \h  \* MERGEFORMAT </w:instrText>
      </w:r>
      <w:r w:rsidRPr="00EC326F">
        <w:fldChar w:fldCharType="separate"/>
      </w:r>
      <w:r w:rsidRPr="00EC326F">
        <w:t xml:space="preserve">Figure </w:t>
      </w:r>
      <w:r>
        <w:t>30</w:t>
      </w:r>
      <w:r w:rsidRPr="00EC326F">
        <w:fldChar w:fldCharType="end"/>
      </w:r>
      <w:r w:rsidRPr="00EC326F">
        <w:t xml:space="preserve"> above.</w:t>
      </w:r>
    </w:p>
    <w:p w14:paraId="7C8F53C0" w14:textId="33CCAD5D" w:rsidR="00F7320D" w:rsidRPr="00EC326F" w:rsidRDefault="00F7320D" w:rsidP="001A4479">
      <w:pPr>
        <w:pStyle w:val="PwCNormal"/>
        <w:numPr>
          <w:ilvl w:val="0"/>
          <w:numId w:val="37"/>
        </w:numPr>
      </w:pPr>
      <w:r w:rsidRPr="00EC326F">
        <w:t>From the chart, we can see that those receiving A</w:t>
      </w:r>
      <w:r w:rsidR="009A427B" w:rsidRPr="00EC326F">
        <w:t>bstudy</w:t>
      </w:r>
      <w:r w:rsidRPr="00EC326F">
        <w:t xml:space="preserve"> payments have noticeably higher average lifetime costs than the other people in this class. This reflects that </w:t>
      </w:r>
      <w:r w:rsidR="009A427B" w:rsidRPr="00EC326F">
        <w:t xml:space="preserve">this group of </w:t>
      </w:r>
      <w:r w:rsidR="00B36672">
        <w:t>I</w:t>
      </w:r>
      <w:r w:rsidRPr="00EC326F">
        <w:t>ndigenous people are more likely to stay within the welfare system in the future.</w:t>
      </w:r>
    </w:p>
    <w:p w14:paraId="218CD820" w14:textId="77777777" w:rsidR="00F7320D" w:rsidRPr="00EC326F" w:rsidRDefault="00F7320D" w:rsidP="00F7320D">
      <w:pPr>
        <w:pStyle w:val="Minorheading"/>
      </w:pPr>
      <w:r w:rsidRPr="00EC326F">
        <w:t>Change in lifetime costs since the baseline valuation</w:t>
      </w:r>
    </w:p>
    <w:p w14:paraId="334C0257" w14:textId="77777777" w:rsidR="006752A8" w:rsidRPr="00EC326F" w:rsidRDefault="006752A8" w:rsidP="006752A8">
      <w:pPr>
        <w:pStyle w:val="PwCNormal"/>
        <w:numPr>
          <w:ilvl w:val="0"/>
          <w:numId w:val="0"/>
        </w:numPr>
      </w:pPr>
      <w:r w:rsidRPr="00EC326F">
        <w:t>The lifetime cost for the people in this class of $82bn is a reduction of $15bn compared to the baseline valuation. This was primarily driven by a reduction in the average cost (as opposed to a change in population in this class):</w:t>
      </w:r>
    </w:p>
    <w:p w14:paraId="06029EB9" w14:textId="77777777" w:rsidR="006752A8" w:rsidRPr="00EC326F" w:rsidRDefault="006752A8" w:rsidP="001A4479">
      <w:pPr>
        <w:pStyle w:val="Bullet1"/>
        <w:numPr>
          <w:ilvl w:val="0"/>
          <w:numId w:val="39"/>
        </w:numPr>
      </w:pPr>
      <w:r w:rsidRPr="00EC326F">
        <w:t>The number of people in this class has remained relatively similar to the previous valuation due to expected growth being offset by higher exits than expected.</w:t>
      </w:r>
    </w:p>
    <w:p w14:paraId="2D8FCDE4" w14:textId="4E238F84" w:rsidR="006752A8" w:rsidRPr="00EC326F" w:rsidRDefault="006752A8" w:rsidP="001A4479">
      <w:pPr>
        <w:pStyle w:val="Bullet1"/>
        <w:numPr>
          <w:ilvl w:val="0"/>
          <w:numId w:val="39"/>
        </w:numPr>
      </w:pPr>
      <w:r w:rsidRPr="00EC326F">
        <w:t>The average cost has reduced by $37,000 (</w:t>
      </w:r>
      <w:r w:rsidR="007E531F">
        <w:t>15.1</w:t>
      </w:r>
      <w:r w:rsidRPr="00EC326F">
        <w:t xml:space="preserve">%) since the previous valuation. The following table provides a breakdown of the change in average lifetime cost by </w:t>
      </w:r>
      <w:r w:rsidR="009A427B" w:rsidRPr="00EC326F">
        <w:t xml:space="preserve">grouped </w:t>
      </w:r>
      <w:r w:rsidRPr="00EC326F">
        <w:t>payment category.</w:t>
      </w:r>
    </w:p>
    <w:p w14:paraId="00DA5D87" w14:textId="77777777" w:rsidR="006752A8" w:rsidRPr="00EC326F" w:rsidRDefault="006752A8" w:rsidP="006752A8">
      <w:pPr>
        <w:pStyle w:val="Caption"/>
      </w:pPr>
      <w:r w:rsidRPr="00EC326F">
        <w:t xml:space="preserve">Table </w:t>
      </w:r>
      <w:fldSimple w:instr=" SEQ Table \* ARABIC ">
        <w:r w:rsidR="007A42DF">
          <w:rPr>
            <w:noProof/>
          </w:rPr>
          <w:t>26</w:t>
        </w:r>
      </w:fldSimple>
      <w:r w:rsidRPr="00EC326F">
        <w:t>: Breakdown of change in average lifetime cost for Class 1 by payment category</w:t>
      </w:r>
    </w:p>
    <w:tbl>
      <w:tblPr>
        <w:tblStyle w:val="ListTable3-Accent62"/>
        <w:tblW w:w="9781" w:type="dxa"/>
        <w:tblInd w:w="108" w:type="dxa"/>
        <w:tblLayout w:type="fixed"/>
        <w:tblCellMar>
          <w:left w:w="57" w:type="dxa"/>
          <w:right w:w="57" w:type="dxa"/>
        </w:tblCellMar>
        <w:tblLook w:val="04A0" w:firstRow="1" w:lastRow="0" w:firstColumn="1" w:lastColumn="0" w:noHBand="0" w:noVBand="1"/>
        <w:tblCaption w:val=" Breakdown of change in average lifetime cost for Class 1 by payment category&#10;&#10;&#10;&#10;"/>
        <w:tblDescription w:val="This table shows the breakdown of the total change in average lifetime cost for Class 1 into; change in population, change in inflation, impact of new economic module, policy changes and other changes. These are shown as rows in the table.&#10;&#10;The changes in lifetime cost are considered by relevant payment categories for Class 1; IS Studying, IS Other (excluding the pension), IS Age Pension, Non IS Family Supplements and Non IS Other Supplements. These are shown as columns in the table alongside a total change column.&#10;&#10;For Class 1, the Jun 15 Total Lifetime cost is $97bn and the Jun 16 Total Lifetime cost is $82bn. This gives a change in total lifetime cost of -$15bn, a 15.2% reduction. 0.3% of the reduction is due to population changes and the remaining is driven by changes in average lifetime cost. The average cost has reduced by $37,000 (7%) since the previous valuation. Less than $1,000 of this change is attributable to changes in inflation, approximately $14,000 of this change is due to the impact of the economics module. A further $3,000 reduction is due to policy changes and the remaining $24,000 is from other changes.&#10;&#10;The average lifetime cost of clients in the IS Studying payment category has decreased by approximately $1,000. This change is due to the shared impact of inflation, the economics module, policy changes and other changes relatively equally (all less than $1,000).&#10;&#10;The average lifetime cost of clients in the other IS payment categories (excluding the Age Pension) has decreased by approximately $23,000. Both inflation and policy changes have an impact of less than $1,000. $9,000 of the change is driven by the introduction of the new economics module and the remaining $14,000 is due to other changes.&#10;&#10;The average lifetime cost of clients in the IS Age Pension payment category has decreased by approximately $1,000. The economics module reduced the average lifetime cost by $2,000. This was offset by increases caused by inflation assumptions, policy changes and other changes (less than $1,000 each). &#10;&#10;The average lifetime cost of clients in the Non IS Family Supplements payment categories (H,I,J) has decreased by approximately $5,000. Changes due to inflation and the economics module were less than $1,000 each. Policy changes resulted in a $2,000 decrease while other changes resulted in a $3,000 decrease. &#10;&#10;The average lifetime cost of clients in the Non IS Other Supplements payment categories has decreased by approximately $6,000. This was primarily due to the economics module (-$2,000), policy changes ($,1000) and the impact of other changes (-$4,000). Changes due to inflation were less than $1,000. &#10;"/>
      </w:tblPr>
      <w:tblGrid>
        <w:gridCol w:w="3119"/>
        <w:gridCol w:w="1276"/>
        <w:gridCol w:w="992"/>
        <w:gridCol w:w="992"/>
        <w:gridCol w:w="992"/>
        <w:gridCol w:w="1205"/>
        <w:gridCol w:w="1205"/>
      </w:tblGrid>
      <w:tr w:rsidR="00161330" w:rsidRPr="00EC326F" w14:paraId="05DD0ABA" w14:textId="77777777" w:rsidTr="009F52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5442B246" w14:textId="77777777" w:rsidR="00161330" w:rsidRPr="00EC326F" w:rsidRDefault="00161330" w:rsidP="006752A8">
            <w:pPr>
              <w:pStyle w:val="TableTextSmall"/>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1DBE040B" w14:textId="77777777" w:rsidR="00161330" w:rsidRPr="00EC326F" w:rsidRDefault="00161330" w:rsidP="006752A8">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992" w:type="dxa"/>
            <w:tcBorders>
              <w:left w:val="single" w:sz="4" w:space="0" w:color="FFFFFF" w:themeColor="background1"/>
              <w:bottom w:val="single" w:sz="4" w:space="0" w:color="FFFFFF" w:themeColor="background1"/>
              <w:right w:val="nil"/>
            </w:tcBorders>
          </w:tcPr>
          <w:p w14:paraId="07B1F300" w14:textId="4545A6C6" w:rsidR="00161330" w:rsidRPr="00EC326F" w:rsidRDefault="00161330" w:rsidP="00161330">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p>
        </w:tc>
        <w:tc>
          <w:tcPr>
            <w:tcW w:w="992" w:type="dxa"/>
            <w:tcBorders>
              <w:left w:val="nil"/>
              <w:bottom w:val="single" w:sz="4" w:space="0" w:color="FFFFFF" w:themeColor="background1"/>
              <w:right w:val="nil"/>
            </w:tcBorders>
          </w:tcPr>
          <w:p w14:paraId="50C404D1" w14:textId="66FFC7A8" w:rsidR="00161330" w:rsidRPr="00E27379" w:rsidRDefault="00161330" w:rsidP="00161330">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rPr>
            </w:pPr>
            <w:r w:rsidRPr="00E27379">
              <w:rPr>
                <w:rFonts w:asciiTheme="majorHAnsi" w:hAnsiTheme="majorHAnsi"/>
                <w:bCs w:val="0"/>
                <w:color w:val="FFFFFF" w:themeColor="background1"/>
              </w:rPr>
              <w:t>IS</w:t>
            </w:r>
          </w:p>
        </w:tc>
        <w:tc>
          <w:tcPr>
            <w:tcW w:w="992" w:type="dxa"/>
            <w:tcBorders>
              <w:left w:val="nil"/>
              <w:bottom w:val="single" w:sz="4" w:space="0" w:color="FFFFFF" w:themeColor="background1"/>
              <w:right w:val="single" w:sz="4" w:space="0" w:color="FFFFFF" w:themeColor="background1"/>
            </w:tcBorders>
          </w:tcPr>
          <w:p w14:paraId="1DADEC6B" w14:textId="1A4B4021" w:rsidR="00161330" w:rsidRPr="00EC326F" w:rsidRDefault="00161330" w:rsidP="00161330">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05" w:type="dxa"/>
            <w:tcBorders>
              <w:left w:val="single" w:sz="4" w:space="0" w:color="FFFFFF" w:themeColor="background1"/>
              <w:bottom w:val="single" w:sz="4" w:space="0" w:color="FFFFFF" w:themeColor="background1"/>
            </w:tcBorders>
          </w:tcPr>
          <w:p w14:paraId="233E080A" w14:textId="1C1BE262" w:rsidR="00161330" w:rsidRPr="00EC326F" w:rsidRDefault="00161330" w:rsidP="00161330">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Pr>
                <w:rFonts w:asciiTheme="majorHAnsi" w:hAnsiTheme="majorHAnsi"/>
                <w:color w:val="FFFFFF" w:themeColor="background1"/>
              </w:rPr>
              <w:t>Non</w:t>
            </w:r>
          </w:p>
        </w:tc>
        <w:tc>
          <w:tcPr>
            <w:tcW w:w="1205" w:type="dxa"/>
            <w:tcBorders>
              <w:bottom w:val="single" w:sz="4" w:space="0" w:color="FFFFFF" w:themeColor="background1"/>
            </w:tcBorders>
          </w:tcPr>
          <w:p w14:paraId="34539738" w14:textId="083B11C5" w:rsidR="00161330" w:rsidRPr="00EC326F" w:rsidRDefault="00161330" w:rsidP="00161330">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rPr>
              <w:t>IS</w:t>
            </w:r>
          </w:p>
        </w:tc>
      </w:tr>
      <w:tr w:rsidR="006752A8" w:rsidRPr="00EC326F" w14:paraId="3FA50401" w14:textId="77777777" w:rsidTr="009F52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0BF12AB6" w14:textId="77777777" w:rsidR="006752A8" w:rsidRPr="00EC326F" w:rsidRDefault="006752A8" w:rsidP="006752A8">
            <w:pPr>
              <w:pStyle w:val="TableTextSmall"/>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3E0030E1" w14:textId="77777777" w:rsidR="006752A8" w:rsidRPr="00EC326F" w:rsidRDefault="006752A8" w:rsidP="006752A8">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992" w:type="dxa"/>
            <w:tcBorders>
              <w:top w:val="single" w:sz="4" w:space="0" w:color="FFFFFF" w:themeColor="background1"/>
              <w:left w:val="single" w:sz="4" w:space="0" w:color="FFFFFF" w:themeColor="background1"/>
              <w:bottom w:val="single" w:sz="4" w:space="0" w:color="E0301E" w:themeColor="accent6"/>
            </w:tcBorders>
          </w:tcPr>
          <w:p w14:paraId="285FFA63" w14:textId="77777777" w:rsidR="006752A8" w:rsidRPr="00EC326F" w:rsidRDefault="00F20F88" w:rsidP="006752A8">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Pr>
                <w:rFonts w:asciiTheme="majorHAnsi" w:hAnsiTheme="majorHAnsi"/>
                <w:b w:val="0"/>
                <w:color w:val="FFFFFF" w:themeColor="background1"/>
              </w:rPr>
              <w:t>Studying</w:t>
            </w:r>
          </w:p>
        </w:tc>
        <w:tc>
          <w:tcPr>
            <w:tcW w:w="992" w:type="dxa"/>
            <w:tcBorders>
              <w:top w:val="single" w:sz="4" w:space="0" w:color="FFFFFF" w:themeColor="background1"/>
              <w:bottom w:val="single" w:sz="4" w:space="0" w:color="E0301E" w:themeColor="accent6"/>
            </w:tcBorders>
          </w:tcPr>
          <w:p w14:paraId="051568DB" w14:textId="77777777" w:rsidR="006752A8" w:rsidRPr="00EC326F" w:rsidRDefault="006752A8" w:rsidP="006752A8">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w:t>
            </w:r>
            <w:r w:rsidRPr="00EC326F">
              <w:rPr>
                <w:rFonts w:asciiTheme="majorHAnsi" w:hAnsiTheme="majorHAnsi"/>
                <w:b w:val="0"/>
                <w:color w:val="FFFFFF" w:themeColor="background1"/>
              </w:rPr>
              <w:br/>
              <w:t>(excl. Age Pension)</w:t>
            </w:r>
          </w:p>
        </w:tc>
        <w:tc>
          <w:tcPr>
            <w:tcW w:w="992" w:type="dxa"/>
            <w:tcBorders>
              <w:top w:val="single" w:sz="4" w:space="0" w:color="FFFFFF" w:themeColor="background1"/>
              <w:bottom w:val="single" w:sz="4" w:space="0" w:color="E0301E" w:themeColor="accent6"/>
              <w:right w:val="single" w:sz="4" w:space="0" w:color="FFFFFF" w:themeColor="background1"/>
            </w:tcBorders>
          </w:tcPr>
          <w:p w14:paraId="21645893" w14:textId="77777777" w:rsidR="006752A8" w:rsidRPr="00EC326F" w:rsidRDefault="006752A8" w:rsidP="006752A8">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205" w:type="dxa"/>
            <w:tcBorders>
              <w:top w:val="single" w:sz="4" w:space="0" w:color="FFFFFF" w:themeColor="background1"/>
              <w:left w:val="single" w:sz="4" w:space="0" w:color="FFFFFF" w:themeColor="background1"/>
              <w:bottom w:val="single" w:sz="4" w:space="0" w:color="E0301E" w:themeColor="accent6"/>
            </w:tcBorders>
          </w:tcPr>
          <w:p w14:paraId="21A6D007" w14:textId="77777777" w:rsidR="006752A8" w:rsidRPr="00EC326F" w:rsidRDefault="006752A8" w:rsidP="006752A8">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205" w:type="dxa"/>
            <w:tcBorders>
              <w:top w:val="single" w:sz="4" w:space="0" w:color="FFFFFF" w:themeColor="background1"/>
              <w:bottom w:val="single" w:sz="4" w:space="0" w:color="E0301E" w:themeColor="accent6"/>
            </w:tcBorders>
          </w:tcPr>
          <w:p w14:paraId="1787611B" w14:textId="77777777" w:rsidR="006752A8" w:rsidRPr="00EC326F" w:rsidRDefault="006752A8" w:rsidP="006752A8">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6752A8" w:rsidRPr="00EC326F" w14:paraId="036C7B84" w14:textId="77777777" w:rsidTr="00164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389760DF" w14:textId="77777777" w:rsidR="006752A8" w:rsidRPr="00EC326F" w:rsidRDefault="006752A8" w:rsidP="006752A8">
            <w:pPr>
              <w:pStyle w:val="TableTextSmall"/>
            </w:pPr>
            <w:r w:rsidRPr="00EC326F">
              <w:t>Jun-15 Total Lifetime Cost</w:t>
            </w:r>
          </w:p>
        </w:tc>
        <w:tc>
          <w:tcPr>
            <w:tcW w:w="1276" w:type="dxa"/>
            <w:tcBorders>
              <w:left w:val="single" w:sz="4" w:space="0" w:color="E0301E" w:themeColor="accent6"/>
              <w:bottom w:val="nil"/>
              <w:right w:val="single" w:sz="4" w:space="0" w:color="E0301E" w:themeColor="accent6"/>
            </w:tcBorders>
            <w:vAlign w:val="bottom"/>
          </w:tcPr>
          <w:p w14:paraId="226C21EE"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$97bn</w:t>
            </w:r>
          </w:p>
        </w:tc>
        <w:tc>
          <w:tcPr>
            <w:tcW w:w="992" w:type="dxa"/>
            <w:tcBorders>
              <w:left w:val="single" w:sz="4" w:space="0" w:color="E0301E" w:themeColor="accent6"/>
              <w:bottom w:val="nil"/>
            </w:tcBorders>
            <w:shd w:val="clear" w:color="auto" w:fill="D9D9D9" w:themeFill="background1" w:themeFillShade="D9"/>
            <w:vAlign w:val="bottom"/>
          </w:tcPr>
          <w:p w14:paraId="295E75EA" w14:textId="77777777" w:rsidR="006752A8" w:rsidRPr="00EC326F" w:rsidRDefault="006752A8" w:rsidP="006752A8">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bottom w:val="nil"/>
            </w:tcBorders>
            <w:shd w:val="clear" w:color="auto" w:fill="D9D9D9" w:themeFill="background1" w:themeFillShade="D9"/>
            <w:vAlign w:val="bottom"/>
          </w:tcPr>
          <w:p w14:paraId="27DE4C4E" w14:textId="77777777" w:rsidR="006752A8" w:rsidRPr="00EC326F" w:rsidRDefault="006752A8" w:rsidP="006752A8">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bottom w:val="nil"/>
              <w:right w:val="nil"/>
            </w:tcBorders>
            <w:shd w:val="clear" w:color="auto" w:fill="D9D9D9" w:themeFill="background1" w:themeFillShade="D9"/>
            <w:vAlign w:val="bottom"/>
          </w:tcPr>
          <w:p w14:paraId="16220BF4" w14:textId="77777777" w:rsidR="006752A8" w:rsidRPr="00EC326F" w:rsidRDefault="006752A8" w:rsidP="006752A8">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left w:val="nil"/>
              <w:bottom w:val="nil"/>
            </w:tcBorders>
            <w:shd w:val="clear" w:color="auto" w:fill="D9D9D9" w:themeFill="background1" w:themeFillShade="D9"/>
            <w:vAlign w:val="bottom"/>
          </w:tcPr>
          <w:p w14:paraId="33314B49" w14:textId="77777777" w:rsidR="006752A8" w:rsidRPr="00EC326F" w:rsidRDefault="006752A8" w:rsidP="006752A8">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bottom w:val="nil"/>
            </w:tcBorders>
            <w:shd w:val="clear" w:color="auto" w:fill="D9D9D9" w:themeFill="background1" w:themeFillShade="D9"/>
            <w:vAlign w:val="bottom"/>
          </w:tcPr>
          <w:p w14:paraId="0521F97A" w14:textId="77777777" w:rsidR="006752A8" w:rsidRPr="00EC326F" w:rsidRDefault="006752A8" w:rsidP="006752A8">
            <w:pPr>
              <w:pStyle w:val="TableTextSmall"/>
              <w:cnfStyle w:val="000000100000" w:firstRow="0" w:lastRow="0" w:firstColumn="0" w:lastColumn="0" w:oddVBand="0" w:evenVBand="0" w:oddHBand="1" w:evenHBand="0" w:firstRowFirstColumn="0" w:firstRowLastColumn="0" w:lastRowFirstColumn="0" w:lastRowLastColumn="0"/>
            </w:pPr>
          </w:p>
        </w:tc>
      </w:tr>
      <w:tr w:rsidR="006752A8" w:rsidRPr="00EC326F" w14:paraId="21D2D238" w14:textId="77777777" w:rsidTr="001647B8">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73CB2149" w14:textId="77777777" w:rsidR="006752A8" w:rsidRPr="00EC326F" w:rsidRDefault="006752A8" w:rsidP="006752A8">
            <w:pPr>
              <w:pStyle w:val="TableTextSmall"/>
            </w:pPr>
            <w:r w:rsidRPr="00EC326F">
              <w:t>Jun-16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vAlign w:val="bottom"/>
          </w:tcPr>
          <w:p w14:paraId="52C8DF69" w14:textId="77777777" w:rsidR="006752A8" w:rsidRPr="00EC326F" w:rsidRDefault="006752A8" w:rsidP="006752A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$82bn</w:t>
            </w:r>
          </w:p>
        </w:tc>
        <w:tc>
          <w:tcPr>
            <w:tcW w:w="992" w:type="dxa"/>
            <w:tcBorders>
              <w:top w:val="nil"/>
              <w:left w:val="single" w:sz="4" w:space="0" w:color="E0301E" w:themeColor="accent6"/>
              <w:bottom w:val="nil"/>
            </w:tcBorders>
            <w:shd w:val="clear" w:color="auto" w:fill="D9D9D9" w:themeFill="background1" w:themeFillShade="D9"/>
            <w:vAlign w:val="bottom"/>
          </w:tcPr>
          <w:p w14:paraId="7F2F9C94" w14:textId="77777777" w:rsidR="006752A8" w:rsidRPr="00EC326F" w:rsidRDefault="006752A8" w:rsidP="006752A8">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D9D9D9" w:themeFill="background1" w:themeFillShade="D9"/>
            <w:vAlign w:val="bottom"/>
          </w:tcPr>
          <w:p w14:paraId="6096C702" w14:textId="77777777" w:rsidR="006752A8" w:rsidRPr="00EC326F" w:rsidRDefault="006752A8" w:rsidP="006752A8">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vAlign w:val="bottom"/>
          </w:tcPr>
          <w:p w14:paraId="135D91A3" w14:textId="77777777" w:rsidR="006752A8" w:rsidRPr="00EC326F" w:rsidRDefault="006752A8" w:rsidP="006752A8">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vAlign w:val="bottom"/>
          </w:tcPr>
          <w:p w14:paraId="07A8E200" w14:textId="77777777" w:rsidR="006752A8" w:rsidRPr="00EC326F" w:rsidRDefault="006752A8" w:rsidP="006752A8">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nil"/>
            </w:tcBorders>
            <w:shd w:val="clear" w:color="auto" w:fill="D9D9D9" w:themeFill="background1" w:themeFillShade="D9"/>
            <w:vAlign w:val="bottom"/>
          </w:tcPr>
          <w:p w14:paraId="74F2CDEC" w14:textId="77777777" w:rsidR="006752A8" w:rsidRPr="00EC326F" w:rsidRDefault="006752A8" w:rsidP="006752A8">
            <w:pPr>
              <w:pStyle w:val="TableTextSmall"/>
              <w:cnfStyle w:val="000000000000" w:firstRow="0" w:lastRow="0" w:firstColumn="0" w:lastColumn="0" w:oddVBand="0" w:evenVBand="0" w:oddHBand="0" w:evenHBand="0" w:firstRowFirstColumn="0" w:firstRowLastColumn="0" w:lastRowFirstColumn="0" w:lastRowLastColumn="0"/>
            </w:pPr>
          </w:p>
        </w:tc>
      </w:tr>
      <w:tr w:rsidR="006752A8" w:rsidRPr="00EC326F" w14:paraId="6A32BB77" w14:textId="77777777" w:rsidTr="00164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2FD76F02" w14:textId="77777777" w:rsidR="006752A8" w:rsidRPr="00EC326F" w:rsidRDefault="006752A8" w:rsidP="006752A8">
            <w:pPr>
              <w:pStyle w:val="TableTextSmall"/>
            </w:pPr>
            <w:r w:rsidRPr="00EC326F">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vAlign w:val="bottom"/>
          </w:tcPr>
          <w:p w14:paraId="76CA7032" w14:textId="74C88504" w:rsidR="006752A8" w:rsidRPr="00EC326F" w:rsidRDefault="006752A8" w:rsidP="00BA44EB">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-$15bn (15.</w:t>
            </w:r>
            <w:r w:rsidR="00BA44EB">
              <w:t>4</w:t>
            </w:r>
            <w:r w:rsidRPr="00EC326F">
              <w:t>%)</w:t>
            </w:r>
          </w:p>
        </w:tc>
        <w:tc>
          <w:tcPr>
            <w:tcW w:w="992" w:type="dxa"/>
            <w:tcBorders>
              <w:top w:val="nil"/>
              <w:left w:val="single" w:sz="4" w:space="0" w:color="E0301E" w:themeColor="accent6"/>
              <w:bottom w:val="nil"/>
            </w:tcBorders>
            <w:shd w:val="clear" w:color="auto" w:fill="D9D9D9" w:themeFill="background1" w:themeFillShade="D9"/>
            <w:vAlign w:val="bottom"/>
          </w:tcPr>
          <w:p w14:paraId="4F3F3183" w14:textId="77777777" w:rsidR="006752A8" w:rsidRPr="00EC326F" w:rsidRDefault="006752A8" w:rsidP="006752A8">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tcBorders>
            <w:shd w:val="clear" w:color="auto" w:fill="D9D9D9" w:themeFill="background1" w:themeFillShade="D9"/>
            <w:vAlign w:val="bottom"/>
          </w:tcPr>
          <w:p w14:paraId="465B5877" w14:textId="77777777" w:rsidR="006752A8" w:rsidRPr="00EC326F" w:rsidRDefault="006752A8" w:rsidP="006752A8">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vAlign w:val="bottom"/>
          </w:tcPr>
          <w:p w14:paraId="395D99F5" w14:textId="77777777" w:rsidR="006752A8" w:rsidRPr="00EC326F" w:rsidRDefault="006752A8" w:rsidP="006752A8">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vAlign w:val="bottom"/>
          </w:tcPr>
          <w:p w14:paraId="56E825D8" w14:textId="77777777" w:rsidR="006752A8" w:rsidRPr="00EC326F" w:rsidRDefault="006752A8" w:rsidP="006752A8">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top w:val="nil"/>
              <w:bottom w:val="nil"/>
            </w:tcBorders>
            <w:shd w:val="clear" w:color="auto" w:fill="D9D9D9" w:themeFill="background1" w:themeFillShade="D9"/>
            <w:vAlign w:val="bottom"/>
          </w:tcPr>
          <w:p w14:paraId="2300A125" w14:textId="77777777" w:rsidR="006752A8" w:rsidRPr="00EC326F" w:rsidRDefault="006752A8" w:rsidP="006752A8">
            <w:pPr>
              <w:pStyle w:val="TableTextSmall"/>
              <w:cnfStyle w:val="000000100000" w:firstRow="0" w:lastRow="0" w:firstColumn="0" w:lastColumn="0" w:oddVBand="0" w:evenVBand="0" w:oddHBand="1" w:evenHBand="0" w:firstRowFirstColumn="0" w:firstRowLastColumn="0" w:lastRowFirstColumn="0" w:lastRowLastColumn="0"/>
            </w:pPr>
          </w:p>
        </w:tc>
      </w:tr>
      <w:tr w:rsidR="006752A8" w:rsidRPr="00EC326F" w14:paraId="3E06D86E" w14:textId="77777777" w:rsidTr="001647B8">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374EB8D2" w14:textId="77777777" w:rsidR="006752A8" w:rsidRPr="00EC326F" w:rsidRDefault="006752A8" w:rsidP="006752A8">
            <w:pPr>
              <w:pStyle w:val="TableTextSmall"/>
            </w:pPr>
            <w:r w:rsidRPr="00EC326F">
              <w:t>Change due to Population</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vAlign w:val="bottom"/>
          </w:tcPr>
          <w:p w14:paraId="62151C0A" w14:textId="77777777" w:rsidR="006752A8" w:rsidRPr="00EC326F" w:rsidRDefault="006752A8" w:rsidP="006752A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-0.3%</w:t>
            </w:r>
          </w:p>
        </w:tc>
        <w:tc>
          <w:tcPr>
            <w:tcW w:w="992" w:type="dxa"/>
            <w:tcBorders>
              <w:top w:val="nil"/>
              <w:left w:val="single" w:sz="4" w:space="0" w:color="E0301E" w:themeColor="accent6"/>
              <w:bottom w:val="single" w:sz="4" w:space="0" w:color="E0301E" w:themeColor="accent6"/>
            </w:tcBorders>
            <w:shd w:val="clear" w:color="auto" w:fill="D9D9D9" w:themeFill="background1" w:themeFillShade="D9"/>
            <w:vAlign w:val="bottom"/>
          </w:tcPr>
          <w:p w14:paraId="5EE19DF9" w14:textId="77777777" w:rsidR="006752A8" w:rsidRPr="00EC326F" w:rsidRDefault="006752A8" w:rsidP="006752A8">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tcBorders>
            <w:shd w:val="clear" w:color="auto" w:fill="D9D9D9" w:themeFill="background1" w:themeFillShade="D9"/>
            <w:vAlign w:val="bottom"/>
          </w:tcPr>
          <w:p w14:paraId="10763A58" w14:textId="77777777" w:rsidR="006752A8" w:rsidRPr="00EC326F" w:rsidRDefault="006752A8" w:rsidP="006752A8">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right w:val="nil"/>
            </w:tcBorders>
            <w:shd w:val="clear" w:color="auto" w:fill="D9D9D9" w:themeFill="background1" w:themeFillShade="D9"/>
            <w:vAlign w:val="bottom"/>
          </w:tcPr>
          <w:p w14:paraId="22A8F020" w14:textId="77777777" w:rsidR="006752A8" w:rsidRPr="00EC326F" w:rsidRDefault="006752A8" w:rsidP="006752A8">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single" w:sz="4" w:space="0" w:color="E0301E" w:themeColor="accent6"/>
            </w:tcBorders>
            <w:shd w:val="clear" w:color="auto" w:fill="D9D9D9" w:themeFill="background1" w:themeFillShade="D9"/>
            <w:vAlign w:val="bottom"/>
          </w:tcPr>
          <w:p w14:paraId="4610D145" w14:textId="77777777" w:rsidR="006752A8" w:rsidRPr="00EC326F" w:rsidRDefault="006752A8" w:rsidP="006752A8">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single" w:sz="4" w:space="0" w:color="E0301E" w:themeColor="accent6"/>
            </w:tcBorders>
            <w:shd w:val="clear" w:color="auto" w:fill="D9D9D9" w:themeFill="background1" w:themeFillShade="D9"/>
            <w:vAlign w:val="bottom"/>
          </w:tcPr>
          <w:p w14:paraId="0E390F26" w14:textId="77777777" w:rsidR="006752A8" w:rsidRPr="00EC326F" w:rsidRDefault="006752A8" w:rsidP="006752A8">
            <w:pPr>
              <w:pStyle w:val="TableTextSmall"/>
              <w:cnfStyle w:val="000000000000" w:firstRow="0" w:lastRow="0" w:firstColumn="0" w:lastColumn="0" w:oddVBand="0" w:evenVBand="0" w:oddHBand="0" w:evenHBand="0" w:firstRowFirstColumn="0" w:firstRowLastColumn="0" w:lastRowFirstColumn="0" w:lastRowLastColumn="0"/>
            </w:pPr>
          </w:p>
        </w:tc>
      </w:tr>
      <w:tr w:rsidR="006752A8" w:rsidRPr="00EC326F" w14:paraId="50975573" w14:textId="77777777" w:rsidTr="00164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27A9D392" w14:textId="77777777" w:rsidR="006752A8" w:rsidRPr="00EC326F" w:rsidRDefault="006752A8" w:rsidP="006752A8">
            <w:pPr>
              <w:pStyle w:val="TableTextSmall"/>
            </w:pPr>
            <w:r w:rsidRPr="00EC326F">
              <w:t>Change due to Average Lifetime Cost</w:t>
            </w:r>
          </w:p>
        </w:tc>
        <w:tc>
          <w:tcPr>
            <w:tcW w:w="1276" w:type="dxa"/>
            <w:tcBorders>
              <w:left w:val="single" w:sz="4" w:space="0" w:color="E0301E" w:themeColor="accent6"/>
              <w:bottom w:val="nil"/>
              <w:right w:val="single" w:sz="4" w:space="0" w:color="E0301E" w:themeColor="accent6"/>
            </w:tcBorders>
            <w:vAlign w:val="bottom"/>
          </w:tcPr>
          <w:p w14:paraId="39265930" w14:textId="4BA3EC3B" w:rsidR="006752A8" w:rsidRPr="00EC326F" w:rsidRDefault="006752A8" w:rsidP="00BA44EB">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-$37k (</w:t>
            </w:r>
            <w:r w:rsidR="00BA44EB">
              <w:t>15.1</w:t>
            </w:r>
            <w:r w:rsidRPr="00EC326F">
              <w:t>%)</w:t>
            </w:r>
          </w:p>
        </w:tc>
        <w:tc>
          <w:tcPr>
            <w:tcW w:w="992" w:type="dxa"/>
            <w:tcBorders>
              <w:left w:val="single" w:sz="4" w:space="0" w:color="E0301E" w:themeColor="accent6"/>
              <w:bottom w:val="nil"/>
            </w:tcBorders>
            <w:vAlign w:val="bottom"/>
          </w:tcPr>
          <w:p w14:paraId="0F38556A"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-$1k</w:t>
            </w:r>
          </w:p>
        </w:tc>
        <w:tc>
          <w:tcPr>
            <w:tcW w:w="992" w:type="dxa"/>
            <w:tcBorders>
              <w:bottom w:val="nil"/>
            </w:tcBorders>
            <w:vAlign w:val="bottom"/>
          </w:tcPr>
          <w:p w14:paraId="7F318837"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-$23k</w:t>
            </w:r>
          </w:p>
        </w:tc>
        <w:tc>
          <w:tcPr>
            <w:tcW w:w="992" w:type="dxa"/>
            <w:tcBorders>
              <w:bottom w:val="nil"/>
              <w:right w:val="dashed" w:sz="4" w:space="0" w:color="E0301E" w:themeColor="accent6"/>
            </w:tcBorders>
            <w:vAlign w:val="bottom"/>
          </w:tcPr>
          <w:p w14:paraId="2A43957A"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-$1k</w:t>
            </w:r>
          </w:p>
        </w:tc>
        <w:tc>
          <w:tcPr>
            <w:tcW w:w="1205" w:type="dxa"/>
            <w:tcBorders>
              <w:left w:val="dashed" w:sz="4" w:space="0" w:color="E0301E" w:themeColor="accent6"/>
              <w:bottom w:val="nil"/>
            </w:tcBorders>
            <w:vAlign w:val="bottom"/>
          </w:tcPr>
          <w:p w14:paraId="7DCA2795"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-$5k</w:t>
            </w:r>
          </w:p>
        </w:tc>
        <w:tc>
          <w:tcPr>
            <w:tcW w:w="1205" w:type="dxa"/>
            <w:tcBorders>
              <w:bottom w:val="nil"/>
            </w:tcBorders>
            <w:vAlign w:val="bottom"/>
          </w:tcPr>
          <w:p w14:paraId="4F5D7D28"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-$6k</w:t>
            </w:r>
          </w:p>
        </w:tc>
      </w:tr>
      <w:tr w:rsidR="006752A8" w:rsidRPr="00EC326F" w14:paraId="55276EEB" w14:textId="77777777" w:rsidTr="001647B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58B60886" w14:textId="77777777" w:rsidR="006752A8" w:rsidRPr="00EC326F" w:rsidRDefault="006752A8" w:rsidP="006752A8">
            <w:pPr>
              <w:pStyle w:val="TableTextSmall"/>
              <w:rPr>
                <w:b w:val="0"/>
              </w:rPr>
            </w:pPr>
            <w:r w:rsidRPr="00EC326F">
              <w:rPr>
                <w:b w:val="0"/>
              </w:rPr>
              <w:t>- Impact of change in inflation</w:t>
            </w:r>
          </w:p>
        </w:tc>
        <w:tc>
          <w:tcPr>
            <w:tcW w:w="1276" w:type="dxa"/>
            <w:tcBorders>
              <w:top w:val="nil"/>
              <w:left w:val="single" w:sz="4" w:space="0" w:color="E0301E" w:themeColor="accent6"/>
              <w:bottom w:val="nil"/>
              <w:right w:val="single" w:sz="4" w:space="0" w:color="E0301E" w:themeColor="accent6"/>
            </w:tcBorders>
            <w:vAlign w:val="bottom"/>
          </w:tcPr>
          <w:p w14:paraId="5A71DE29" w14:textId="77777777" w:rsidR="006752A8" w:rsidRPr="00455062" w:rsidRDefault="006752A8" w:rsidP="006752A8">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455062">
              <w:rPr>
                <w:color w:val="808080"/>
              </w:rPr>
              <w:t>&lt; $1k</w:t>
            </w:r>
          </w:p>
        </w:tc>
        <w:tc>
          <w:tcPr>
            <w:tcW w:w="992" w:type="dxa"/>
            <w:tcBorders>
              <w:top w:val="nil"/>
              <w:left w:val="single" w:sz="4" w:space="0" w:color="E0301E" w:themeColor="accent6"/>
              <w:bottom w:val="nil"/>
            </w:tcBorders>
            <w:vAlign w:val="bottom"/>
          </w:tcPr>
          <w:p w14:paraId="5D64B0CC" w14:textId="77777777" w:rsidR="006752A8" w:rsidRPr="00EC326F" w:rsidRDefault="006752A8" w:rsidP="006752A8">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7ADF5D25" w14:textId="77777777" w:rsidR="006752A8" w:rsidRPr="00EC326F" w:rsidRDefault="006752A8" w:rsidP="006752A8">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right w:val="dashed" w:sz="4" w:space="0" w:color="E0301E" w:themeColor="accent6"/>
            </w:tcBorders>
            <w:vAlign w:val="bottom"/>
          </w:tcPr>
          <w:p w14:paraId="660548E1" w14:textId="77777777" w:rsidR="006752A8" w:rsidRPr="00EC326F" w:rsidRDefault="006752A8" w:rsidP="006752A8">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left w:val="dashed" w:sz="4" w:space="0" w:color="E0301E" w:themeColor="accent6"/>
              <w:bottom w:val="nil"/>
            </w:tcBorders>
            <w:vAlign w:val="bottom"/>
          </w:tcPr>
          <w:p w14:paraId="73C9C410" w14:textId="77777777" w:rsidR="006752A8" w:rsidRPr="00EC326F" w:rsidRDefault="006752A8" w:rsidP="006752A8">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bottom w:val="nil"/>
            </w:tcBorders>
            <w:vAlign w:val="bottom"/>
          </w:tcPr>
          <w:p w14:paraId="1E73A256" w14:textId="77777777" w:rsidR="006752A8" w:rsidRPr="00EC326F" w:rsidRDefault="006752A8" w:rsidP="006752A8">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6752A8" w:rsidRPr="00EC326F" w14:paraId="72365CFE" w14:textId="77777777" w:rsidTr="00164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64D7179E" w14:textId="77777777" w:rsidR="006752A8" w:rsidRPr="00EC326F" w:rsidRDefault="006752A8" w:rsidP="006752A8">
            <w:pPr>
              <w:pStyle w:val="TableTextSmall"/>
              <w:rPr>
                <w:b w:val="0"/>
              </w:rPr>
            </w:pPr>
            <w:r w:rsidRPr="00EC326F">
              <w:rPr>
                <w:b w:val="0"/>
              </w:rPr>
              <w:t>- Impact of new economics module</w:t>
            </w:r>
          </w:p>
        </w:tc>
        <w:tc>
          <w:tcPr>
            <w:tcW w:w="1276" w:type="dxa"/>
            <w:tcBorders>
              <w:top w:val="nil"/>
              <w:left w:val="single" w:sz="4" w:space="0" w:color="E0301E" w:themeColor="accent6"/>
              <w:bottom w:val="nil"/>
              <w:right w:val="single" w:sz="4" w:space="0" w:color="E0301E" w:themeColor="accent6"/>
            </w:tcBorders>
            <w:vAlign w:val="bottom"/>
          </w:tcPr>
          <w:p w14:paraId="2AB1F7F8"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-$14k</w:t>
            </w:r>
          </w:p>
        </w:tc>
        <w:tc>
          <w:tcPr>
            <w:tcW w:w="992" w:type="dxa"/>
            <w:tcBorders>
              <w:top w:val="nil"/>
              <w:left w:val="single" w:sz="4" w:space="0" w:color="E0301E" w:themeColor="accent6"/>
              <w:bottom w:val="nil"/>
            </w:tcBorders>
            <w:vAlign w:val="bottom"/>
          </w:tcPr>
          <w:p w14:paraId="0882AA55"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17CD2C10"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-$9k</w:t>
            </w:r>
          </w:p>
        </w:tc>
        <w:tc>
          <w:tcPr>
            <w:tcW w:w="992" w:type="dxa"/>
            <w:tcBorders>
              <w:top w:val="nil"/>
              <w:bottom w:val="nil"/>
              <w:right w:val="dashed" w:sz="4" w:space="0" w:color="E0301E" w:themeColor="accent6"/>
            </w:tcBorders>
            <w:vAlign w:val="bottom"/>
          </w:tcPr>
          <w:p w14:paraId="35202998"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c>
          <w:tcPr>
            <w:tcW w:w="1205" w:type="dxa"/>
            <w:tcBorders>
              <w:top w:val="nil"/>
              <w:left w:val="dashed" w:sz="4" w:space="0" w:color="E0301E" w:themeColor="accent6"/>
              <w:bottom w:val="nil"/>
            </w:tcBorders>
            <w:vAlign w:val="bottom"/>
          </w:tcPr>
          <w:p w14:paraId="2DE88682"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05" w:type="dxa"/>
            <w:tcBorders>
              <w:top w:val="nil"/>
              <w:bottom w:val="nil"/>
            </w:tcBorders>
            <w:vAlign w:val="bottom"/>
          </w:tcPr>
          <w:p w14:paraId="4C7CFE58"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r>
      <w:tr w:rsidR="00BA44EB" w:rsidRPr="00EC326F" w14:paraId="7E850320" w14:textId="77777777" w:rsidTr="001647B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6E1A48B8" w14:textId="7EFAE03A" w:rsidR="00BA44EB" w:rsidRPr="00EC326F" w:rsidRDefault="00BA44EB" w:rsidP="00BA44EB">
            <w:pPr>
              <w:pStyle w:val="TableTextSmall"/>
            </w:pPr>
            <w:r w:rsidRPr="00455062">
              <w:rPr>
                <w:b w:val="0"/>
              </w:rPr>
              <w:t>- Impact of policy changes</w:t>
            </w:r>
          </w:p>
        </w:tc>
        <w:tc>
          <w:tcPr>
            <w:tcW w:w="1276" w:type="dxa"/>
            <w:tcBorders>
              <w:top w:val="nil"/>
              <w:left w:val="single" w:sz="4" w:space="0" w:color="E0301E" w:themeColor="accent6"/>
              <w:bottom w:val="nil"/>
              <w:right w:val="single" w:sz="4" w:space="0" w:color="E0301E" w:themeColor="accent6"/>
            </w:tcBorders>
            <w:vAlign w:val="bottom"/>
          </w:tcPr>
          <w:p w14:paraId="0164B116" w14:textId="7376C299" w:rsidR="00BA44EB" w:rsidRPr="00EC326F" w:rsidRDefault="00BA44EB" w:rsidP="00BA44EB">
            <w:pPr>
              <w:pStyle w:val="TableTextSmall"/>
              <w:jc w:val="center"/>
              <w:cnfStyle w:val="000000000000" w:firstRow="0" w:lastRow="0" w:firstColumn="0" w:lastColumn="0" w:oddVBand="0" w:evenVBand="0" w:oddHBand="0" w:evenHBand="0" w:firstRowFirstColumn="0" w:firstRowLastColumn="0" w:lastRowFirstColumn="0" w:lastRowLastColumn="0"/>
            </w:pPr>
            <w:r>
              <w:t>-$3k</w:t>
            </w:r>
          </w:p>
        </w:tc>
        <w:tc>
          <w:tcPr>
            <w:tcW w:w="992" w:type="dxa"/>
            <w:tcBorders>
              <w:top w:val="nil"/>
              <w:left w:val="single" w:sz="4" w:space="0" w:color="E0301E" w:themeColor="accent6"/>
              <w:bottom w:val="nil"/>
            </w:tcBorders>
            <w:vAlign w:val="bottom"/>
          </w:tcPr>
          <w:p w14:paraId="0EEA5550" w14:textId="6AAA5DFC" w:rsidR="00BA44EB" w:rsidRPr="00EC326F" w:rsidRDefault="00455062" w:rsidP="00BA44EB">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4ED79A01" w14:textId="24E4827C" w:rsidR="00BA44EB" w:rsidRPr="00EC326F" w:rsidRDefault="00455062" w:rsidP="00BA44EB">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992" w:type="dxa"/>
            <w:tcBorders>
              <w:top w:val="nil"/>
              <w:bottom w:val="nil"/>
              <w:right w:val="dashed" w:sz="4" w:space="0" w:color="E0301E" w:themeColor="accent6"/>
            </w:tcBorders>
            <w:vAlign w:val="bottom"/>
          </w:tcPr>
          <w:p w14:paraId="403C09B1" w14:textId="6D6EA523" w:rsidR="00BA44EB" w:rsidRPr="00EC326F" w:rsidRDefault="00455062" w:rsidP="00BA44EB">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05" w:type="dxa"/>
            <w:tcBorders>
              <w:top w:val="nil"/>
              <w:left w:val="dashed" w:sz="4" w:space="0" w:color="E0301E" w:themeColor="accent6"/>
              <w:bottom w:val="nil"/>
            </w:tcBorders>
            <w:vAlign w:val="bottom"/>
          </w:tcPr>
          <w:p w14:paraId="5A4CAE0E" w14:textId="35A9DEE6" w:rsidR="00BA44EB" w:rsidRPr="00EC326F" w:rsidRDefault="00BA44EB" w:rsidP="00BA44EB">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t>-$2k</w:t>
            </w:r>
          </w:p>
        </w:tc>
        <w:tc>
          <w:tcPr>
            <w:tcW w:w="1205" w:type="dxa"/>
            <w:tcBorders>
              <w:top w:val="nil"/>
              <w:bottom w:val="nil"/>
            </w:tcBorders>
            <w:vAlign w:val="bottom"/>
          </w:tcPr>
          <w:p w14:paraId="4ABE385C" w14:textId="48C2249A" w:rsidR="00BA44EB" w:rsidRPr="00EC326F" w:rsidRDefault="00455062" w:rsidP="00BA44EB">
            <w:pPr>
              <w:pStyle w:val="TableTextSmall"/>
              <w:jc w:val="center"/>
              <w:cnfStyle w:val="000000000000" w:firstRow="0" w:lastRow="0" w:firstColumn="0" w:lastColumn="0" w:oddVBand="0" w:evenVBand="0" w:oddHBand="0" w:evenHBand="0" w:firstRowFirstColumn="0" w:firstRowLastColumn="0" w:lastRowFirstColumn="0" w:lastRowLastColumn="0"/>
            </w:pPr>
            <w:r>
              <w:t>-$1k</w:t>
            </w:r>
          </w:p>
        </w:tc>
      </w:tr>
      <w:tr w:rsidR="006752A8" w:rsidRPr="00EC326F" w14:paraId="7E52B279" w14:textId="77777777" w:rsidTr="00164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2A9A731D" w14:textId="77777777" w:rsidR="006752A8" w:rsidRPr="00EC326F" w:rsidRDefault="006752A8" w:rsidP="006752A8">
            <w:pPr>
              <w:pStyle w:val="TableTextSmall"/>
              <w:rPr>
                <w:b w:val="0"/>
              </w:rPr>
            </w:pPr>
            <w:r w:rsidRPr="00EC326F">
              <w:rPr>
                <w:b w:val="0"/>
              </w:rPr>
              <w:t>- Impact of other changes</w:t>
            </w:r>
          </w:p>
        </w:tc>
        <w:tc>
          <w:tcPr>
            <w:tcW w:w="1276" w:type="dxa"/>
            <w:tcBorders>
              <w:top w:val="nil"/>
              <w:left w:val="single" w:sz="4" w:space="0" w:color="E0301E" w:themeColor="accent6"/>
              <w:right w:val="single" w:sz="4" w:space="0" w:color="E0301E" w:themeColor="accent6"/>
            </w:tcBorders>
            <w:vAlign w:val="bottom"/>
          </w:tcPr>
          <w:p w14:paraId="023ED650" w14:textId="5B030F92" w:rsidR="006752A8" w:rsidRPr="00EC326F" w:rsidRDefault="006752A8" w:rsidP="00BA44EB">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BA44EB" w:rsidRPr="00EC326F">
              <w:t>2</w:t>
            </w:r>
            <w:r w:rsidR="00BA44EB">
              <w:t>1</w:t>
            </w:r>
            <w:r w:rsidR="00BA44EB" w:rsidRPr="00EC326F">
              <w:t>k</w:t>
            </w:r>
          </w:p>
        </w:tc>
        <w:tc>
          <w:tcPr>
            <w:tcW w:w="992" w:type="dxa"/>
            <w:tcBorders>
              <w:top w:val="nil"/>
              <w:left w:val="single" w:sz="4" w:space="0" w:color="E0301E" w:themeColor="accent6"/>
            </w:tcBorders>
            <w:vAlign w:val="bottom"/>
          </w:tcPr>
          <w:p w14:paraId="3FB06612"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992" w:type="dxa"/>
            <w:tcBorders>
              <w:top w:val="nil"/>
            </w:tcBorders>
            <w:vAlign w:val="bottom"/>
          </w:tcPr>
          <w:p w14:paraId="6D48A46B"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-$14k</w:t>
            </w:r>
          </w:p>
        </w:tc>
        <w:tc>
          <w:tcPr>
            <w:tcW w:w="992" w:type="dxa"/>
            <w:tcBorders>
              <w:top w:val="nil"/>
              <w:right w:val="dashed" w:sz="4" w:space="0" w:color="E0301E" w:themeColor="accent6"/>
            </w:tcBorders>
            <w:vAlign w:val="bottom"/>
          </w:tcPr>
          <w:p w14:paraId="16D89296"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05" w:type="dxa"/>
            <w:tcBorders>
              <w:top w:val="nil"/>
              <w:left w:val="dashed" w:sz="4" w:space="0" w:color="E0301E" w:themeColor="accent6"/>
            </w:tcBorders>
            <w:vAlign w:val="bottom"/>
          </w:tcPr>
          <w:p w14:paraId="0D7C45C2" w14:textId="1F7935E6"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455062">
              <w:t>3</w:t>
            </w:r>
            <w:r w:rsidRPr="00EC326F">
              <w:t>k</w:t>
            </w:r>
          </w:p>
        </w:tc>
        <w:tc>
          <w:tcPr>
            <w:tcW w:w="1205" w:type="dxa"/>
            <w:tcBorders>
              <w:top w:val="nil"/>
            </w:tcBorders>
            <w:vAlign w:val="bottom"/>
          </w:tcPr>
          <w:p w14:paraId="738CDEF8" w14:textId="08157493" w:rsidR="006752A8" w:rsidRPr="00EC326F" w:rsidRDefault="006752A8" w:rsidP="0045506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455062">
              <w:t>4</w:t>
            </w:r>
            <w:r w:rsidRPr="00EC326F">
              <w:t>k</w:t>
            </w:r>
          </w:p>
        </w:tc>
      </w:tr>
    </w:tbl>
    <w:p w14:paraId="4595B8D4" w14:textId="77777777" w:rsidR="009A427B" w:rsidRPr="00EC326F" w:rsidRDefault="009A427B" w:rsidP="009A427B">
      <w:pPr>
        <w:pStyle w:val="Sources"/>
      </w:pPr>
      <w:r w:rsidRPr="00EC326F">
        <w:t>Note that payment categories H, I and J have been included in family supplements and the remaining non income support payment categories in other supplements.</w:t>
      </w:r>
    </w:p>
    <w:p w14:paraId="1BE07403" w14:textId="77777777" w:rsidR="006752A8" w:rsidRPr="00EC326F" w:rsidRDefault="006752A8" w:rsidP="006752A8">
      <w:pPr>
        <w:pStyle w:val="PwCNormal"/>
        <w:numPr>
          <w:ilvl w:val="0"/>
          <w:numId w:val="0"/>
        </w:numPr>
      </w:pPr>
      <w:r w:rsidRPr="00EC326F">
        <w:t>The reduction in average lifetime cost has been primarily driven by:</w:t>
      </w:r>
    </w:p>
    <w:p w14:paraId="0CCF4626" w14:textId="77777777" w:rsidR="00F20F88" w:rsidRDefault="00F20F88" w:rsidP="00F20F88">
      <w:pPr>
        <w:pStyle w:val="Bullet1"/>
        <w:numPr>
          <w:ilvl w:val="0"/>
          <w:numId w:val="39"/>
        </w:numPr>
      </w:pPr>
      <w:r w:rsidRPr="00EC326F">
        <w:t>Lower transition rates into working age</w:t>
      </w:r>
      <w:r>
        <w:t xml:space="preserve"> as a result of both:</w:t>
      </w:r>
    </w:p>
    <w:p w14:paraId="06C2D5FB" w14:textId="77777777" w:rsidR="00F20F88" w:rsidRPr="00EC326F" w:rsidRDefault="00F20F88" w:rsidP="00F20F88">
      <w:pPr>
        <w:pStyle w:val="Bullet2"/>
        <w:numPr>
          <w:ilvl w:val="1"/>
          <w:numId w:val="39"/>
        </w:numPr>
      </w:pPr>
      <w:r>
        <w:t>Reductions to the adopted re-entry rates into working age</w:t>
      </w:r>
      <w:r w:rsidRPr="00EC326F">
        <w:t>; and</w:t>
      </w:r>
    </w:p>
    <w:p w14:paraId="7B97BE2B" w14:textId="77777777" w:rsidR="00F20F88" w:rsidRPr="00EC326F" w:rsidRDefault="00F20F88" w:rsidP="00F20F88">
      <w:pPr>
        <w:pStyle w:val="Bullet2"/>
        <w:numPr>
          <w:ilvl w:val="1"/>
          <w:numId w:val="39"/>
        </w:numPr>
      </w:pPr>
      <w:r>
        <w:t>The</w:t>
      </w:r>
      <w:r w:rsidRPr="00EC326F">
        <w:t xml:space="preserve"> reduction in the assumed long term unemployment rate;</w:t>
      </w:r>
    </w:p>
    <w:p w14:paraId="07677C79" w14:textId="77777777" w:rsidR="006752A8" w:rsidRPr="00EC326F" w:rsidRDefault="006752A8" w:rsidP="001A4479">
      <w:pPr>
        <w:pStyle w:val="Bullet1"/>
        <w:numPr>
          <w:ilvl w:val="0"/>
          <w:numId w:val="39"/>
        </w:numPr>
      </w:pPr>
      <w:r w:rsidRPr="00EC326F">
        <w:lastRenderedPageBreak/>
        <w:t xml:space="preserve">A reduction in transitions into the disability support pension, which </w:t>
      </w:r>
      <w:r w:rsidR="009A427B" w:rsidRPr="00EC326F">
        <w:t>impact</w:t>
      </w:r>
      <w:r w:rsidRPr="00EC326F">
        <w:t xml:space="preserve"> the Studying class </w:t>
      </w:r>
      <w:r w:rsidR="009A427B" w:rsidRPr="00EC326F">
        <w:t>as they have a reduced likelihood of moving into th</w:t>
      </w:r>
      <w:r w:rsidR="00F20F88">
        <w:t>i</w:t>
      </w:r>
      <w:r w:rsidR="009A427B" w:rsidRPr="00EC326F">
        <w:t>s class later in life</w:t>
      </w:r>
      <w:r w:rsidRPr="00EC326F">
        <w:t>.</w:t>
      </w:r>
    </w:p>
    <w:p w14:paraId="281EE362" w14:textId="3A25F1D6" w:rsidR="009A427B" w:rsidRPr="00EC326F" w:rsidRDefault="009A427B" w:rsidP="001A4479">
      <w:pPr>
        <w:pStyle w:val="Bullet1"/>
        <w:numPr>
          <w:ilvl w:val="0"/>
          <w:numId w:val="39"/>
        </w:numPr>
      </w:pPr>
      <w:r w:rsidRPr="00EC326F">
        <w:t xml:space="preserve">A smaller part of the decrease is from reductions to future supplements, </w:t>
      </w:r>
      <w:r w:rsidR="00F20F88">
        <w:t xml:space="preserve">this is mostly a flow on effect from the reductions in future income support utilisation, however a small </w:t>
      </w:r>
      <w:r w:rsidRPr="00EC326F">
        <w:t xml:space="preserve">part of this </w:t>
      </w:r>
      <w:r w:rsidR="00CE457D">
        <w:t>(approximately $</w:t>
      </w:r>
      <w:r w:rsidR="007E531F">
        <w:t>3</w:t>
      </w:r>
      <w:r w:rsidR="00CE457D">
        <w:t xml:space="preserve">k) </w:t>
      </w:r>
      <w:r w:rsidRPr="00EC326F">
        <w:t>reflects the changes to FTB and student supplements.</w:t>
      </w:r>
    </w:p>
    <w:p w14:paraId="4405EDA2" w14:textId="77777777" w:rsidR="00F7320D" w:rsidRPr="00EC326F" w:rsidRDefault="00F7320D" w:rsidP="00F7320D">
      <w:pPr>
        <w:pStyle w:val="Minorheading"/>
      </w:pPr>
      <w:r w:rsidRPr="00EC326F">
        <w:t>Future outcomes</w:t>
      </w:r>
    </w:p>
    <w:p w14:paraId="327A412F" w14:textId="77777777" w:rsidR="00F7320D" w:rsidRPr="00EC326F" w:rsidRDefault="00F7320D" w:rsidP="00F7320D">
      <w:pPr>
        <w:pStyle w:val="PwCNormal"/>
        <w:keepNext/>
        <w:numPr>
          <w:ilvl w:val="0"/>
          <w:numId w:val="0"/>
        </w:numPr>
      </w:pPr>
      <w:r w:rsidRPr="00EC326F">
        <w:t xml:space="preserve">In developing the valuation results the projection model also produces information on the expected transitions for people out of each class, as shown below. </w:t>
      </w:r>
    </w:p>
    <w:p w14:paraId="1723800B" w14:textId="77777777" w:rsidR="00F7320D" w:rsidRPr="00EC326F" w:rsidRDefault="00F7320D" w:rsidP="00F7320D">
      <w:pPr>
        <w:pStyle w:val="Caption"/>
      </w:pPr>
      <w:r w:rsidRPr="00EC326F">
        <w:t xml:space="preserve">Figure </w:t>
      </w:r>
      <w:fldSimple w:instr=" SEQ Figure \* ARABIC ">
        <w:r w:rsidR="007A42DF">
          <w:rPr>
            <w:noProof/>
          </w:rPr>
          <w:t>32</w:t>
        </w:r>
      </w:fldSimple>
      <w:r w:rsidRPr="00EC326F">
        <w:t>: Expected future trajectory for people in Class 1</w:t>
      </w:r>
    </w:p>
    <w:tbl>
      <w:tblPr>
        <w:tblStyle w:val="Tables-APBase"/>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1&#10;"/>
        <w:tblDescription w:val="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e chart is based on the 390,000 individuals who were in the studying class at 30 June 2016. It shows that around 90% of people are projected to have transitioned out of the studying class in 5 years’ time, with the most common transitions over this time period into the previous welfare recipient, working age, parents and non-income support family classes. By 2021, over half of the group are expected to have transitioned into the previous welfare recipient class. The proportion of the group projected to receive working age benefits in 2026 is around 10% and this remains relatively steady until around 2061, after which many of these people are projected to transition to the pension age class. The proportion of this group who are in the non-income support family class is projected to increase from 0% in 2016 to around 15% in 2026, and then to a peak of nearly 20% in 2032, before decreasing again. Over 50% of the group are expected to have transitioned into the pension age class by 2066.&#10;&#10;The features shown in the chart are discussed further in the accompanying text within the report.&#10;"/>
      </w:tblPr>
      <w:tblGrid>
        <w:gridCol w:w="6436"/>
        <w:gridCol w:w="2965"/>
      </w:tblGrid>
      <w:tr w:rsidR="00F7320D" w:rsidRPr="00EC326F" w14:paraId="01B569DA" w14:textId="77777777" w:rsidTr="009C6553">
        <w:trPr>
          <w:tblHeader/>
        </w:trPr>
        <w:tc>
          <w:tcPr>
            <w:tcW w:w="6521" w:type="dxa"/>
            <w:hideMark/>
          </w:tcPr>
          <w:p w14:paraId="47F3E2EA" w14:textId="77777777" w:rsidR="00F7320D" w:rsidRPr="00EC326F" w:rsidRDefault="00B73377">
            <w:pPr>
              <w:pStyle w:val="TableTextSmall"/>
            </w:pPr>
            <w:r w:rsidRPr="00EC326F">
              <w:rPr>
                <w:noProof/>
                <w:lang w:eastAsia="en-AU"/>
              </w:rPr>
              <w:drawing>
                <wp:inline distT="0" distB="0" distL="0" distR="0" wp14:anchorId="7ECF0E3D" wp14:editId="237DC657">
                  <wp:extent cx="3971616" cy="2160000"/>
                  <wp:effectExtent l="0" t="0" r="0" b="0"/>
                  <wp:docPr id="316" name="Picture 316" descr="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e chart is based on the 390,000 individuals who were in the studying class at 30 June 2016. It shows that around 90% of people are projected to have transitioned out of the studying class in 5 years’ time, with the most common transitions over this time period into the previous welfare recipient, working age, parents and non-income support family classes. By 2021, over half of the group are expected to have transitioned into the previous welfare recipient class. The proportion of the group projected to receive working age benefits in 2026 is around 10% and this remains relatively steady until around 2061, after which many of these people are projected to transition to the pension age class. The proportion of this group who are in the non-income support family class is projected to increase from 0% in 2016 to around 15% in 2026, and then to a peak of nearly 20% in 2032, before decreasing again. Over 50% of the group are expected to have transitioned into the pension age class by 2066.&#10;&#10;The features shown in the chart are discussed further in the accompanying text within the report.&#10;" title=" Expected future trajectory for people in Clas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71616" cy="2160000"/>
                          </a:xfrm>
                          <a:prstGeom prst="rect">
                            <a:avLst/>
                          </a:prstGeom>
                          <a:noFill/>
                          <a:ln>
                            <a:noFill/>
                          </a:ln>
                        </pic:spPr>
                      </pic:pic>
                    </a:graphicData>
                  </a:graphic>
                </wp:inline>
              </w:drawing>
            </w:r>
          </w:p>
        </w:tc>
        <w:tc>
          <w:tcPr>
            <w:tcW w:w="3003" w:type="dxa"/>
          </w:tcPr>
          <w:p w14:paraId="7254F855" w14:textId="77777777" w:rsidR="00F7320D" w:rsidRPr="00EC326F" w:rsidRDefault="00F7320D">
            <w:pPr>
              <w:pStyle w:val="TableTextSmall"/>
            </w:pPr>
          </w:p>
          <w:p w14:paraId="40C7C01A" w14:textId="77777777" w:rsidR="00F7320D" w:rsidRPr="00EC326F" w:rsidRDefault="00F7320D">
            <w:pPr>
              <w:pStyle w:val="TableTextSmall"/>
            </w:pPr>
            <w:r w:rsidRPr="00EC326F">
              <w:rPr>
                <w:noProof/>
                <w:lang w:eastAsia="en-AU"/>
              </w:rPr>
              <w:drawing>
                <wp:inline distT="0" distB="0" distL="0" distR="0" wp14:anchorId="1A3AE0FC" wp14:editId="492B94AC">
                  <wp:extent cx="1439545" cy="1591945"/>
                  <wp:effectExtent l="0" t="0" r="8255" b="0"/>
                  <wp:docPr id="3166" name="Picture 3166" descr="Class keys: studying, working age, parents, carers, disability support, pension age, non-income support family, non-income support carer, non-income support other, previous welfare recipient, rest of the Australian population and dead. " title="Class key for Figure 32"/>
                  <wp:cNvGraphicFramePr/>
                  <a:graphic xmlns:a="http://schemas.openxmlformats.org/drawingml/2006/main">
                    <a:graphicData uri="http://schemas.openxmlformats.org/drawingml/2006/picture">
                      <pic:pic xmlns:pic="http://schemas.openxmlformats.org/drawingml/2006/picture">
                        <pic:nvPicPr>
                          <pic:cNvPr id="298" name="Picture 298" descr="Class keys: studying, working age, parents, carers, disability support, pension age, non-income support family, non-income support carer, non-income support other, previous welfare recipient, rest of the Australian population and dead. " title="Payment class key for Figure 4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4A217C96" w14:textId="77777777" w:rsidR="00F7320D" w:rsidRPr="00EC326F" w:rsidRDefault="00F7320D">
            <w:pPr>
              <w:pStyle w:val="TableTextSmall"/>
            </w:pPr>
          </w:p>
        </w:tc>
      </w:tr>
    </w:tbl>
    <w:p w14:paraId="27AA7E21" w14:textId="77777777" w:rsidR="00F7320D" w:rsidRPr="00EC326F" w:rsidRDefault="00F7320D" w:rsidP="00F7320D">
      <w:pPr>
        <w:pStyle w:val="PwCNormal"/>
        <w:numPr>
          <w:ilvl w:val="0"/>
          <w:numId w:val="0"/>
        </w:numPr>
      </w:pPr>
      <w:r w:rsidRPr="00EC326F">
        <w:t xml:space="preserve">Some observations we can make based on our analysis are that: </w:t>
      </w:r>
    </w:p>
    <w:p w14:paraId="52B578BA" w14:textId="77777777" w:rsidR="00F7320D" w:rsidRPr="00EC326F" w:rsidRDefault="00F7320D" w:rsidP="001A4479">
      <w:pPr>
        <w:pStyle w:val="Bullet1"/>
        <w:numPr>
          <w:ilvl w:val="0"/>
          <w:numId w:val="42"/>
        </w:numPr>
      </w:pPr>
      <w:r w:rsidRPr="00EC326F">
        <w:t xml:space="preserve">Most people (around </w:t>
      </w:r>
      <w:r w:rsidR="009A427B" w:rsidRPr="00EC326F">
        <w:t>90</w:t>
      </w:r>
      <w:r w:rsidRPr="00EC326F">
        <w:t>%) exit the class over the next 5 years however only around half of those present today are expected to leave the payment system completely over this timeframe. Of the rest:</w:t>
      </w:r>
    </w:p>
    <w:p w14:paraId="16E56604" w14:textId="77777777" w:rsidR="00F7320D" w:rsidRPr="00EC326F" w:rsidRDefault="00F7320D" w:rsidP="001A4479">
      <w:pPr>
        <w:pStyle w:val="Bullet2"/>
        <w:numPr>
          <w:ilvl w:val="1"/>
          <w:numId w:val="42"/>
        </w:numPr>
      </w:pPr>
      <w:r w:rsidRPr="00EC326F">
        <w:t>many move onto working age payments and some onto parenting payments</w:t>
      </w:r>
    </w:p>
    <w:p w14:paraId="79877740" w14:textId="77777777" w:rsidR="00F7320D" w:rsidRPr="00EC326F" w:rsidRDefault="00F7320D" w:rsidP="001A4479">
      <w:pPr>
        <w:pStyle w:val="Bullet2"/>
        <w:numPr>
          <w:ilvl w:val="1"/>
          <w:numId w:val="42"/>
        </w:numPr>
      </w:pPr>
      <w:r w:rsidRPr="00EC326F">
        <w:t>small proportions move onto Carer payment and Disability Support Pension</w:t>
      </w:r>
    </w:p>
    <w:p w14:paraId="5CF6BD3F" w14:textId="1F3252A1" w:rsidR="00F7320D" w:rsidRPr="00EC326F" w:rsidRDefault="00F7320D" w:rsidP="001A4479">
      <w:pPr>
        <w:pStyle w:val="Bullet1"/>
        <w:numPr>
          <w:ilvl w:val="0"/>
          <w:numId w:val="42"/>
        </w:numPr>
      </w:pPr>
      <w:r w:rsidRPr="00EC326F">
        <w:t xml:space="preserve">Of the group who exit over the next 5 years, a proportion later return primarily to class </w:t>
      </w:r>
      <w:r w:rsidR="00FF7EC9">
        <w:t>‘</w:t>
      </w:r>
      <w:r w:rsidRPr="00EC326F">
        <w:t xml:space="preserve">7 Non IS Family’ over the following 10 years, presumably as they have their families and </w:t>
      </w:r>
      <w:r w:rsidR="00DA205C" w:rsidRPr="00EC326F">
        <w:t>receive FTB and family payments</w:t>
      </w:r>
    </w:p>
    <w:p w14:paraId="00C7026A" w14:textId="526BD5C4" w:rsidR="00F7320D" w:rsidRPr="00EC326F" w:rsidRDefault="00F7320D" w:rsidP="001A4479">
      <w:pPr>
        <w:pStyle w:val="Bullet1"/>
        <w:numPr>
          <w:ilvl w:val="0"/>
          <w:numId w:val="42"/>
        </w:numPr>
      </w:pPr>
      <w:r w:rsidRPr="00EC326F">
        <w:t xml:space="preserve">A small proportion (around </w:t>
      </w:r>
      <w:r w:rsidR="009A427B" w:rsidRPr="00EC326F">
        <w:t>2</w:t>
      </w:r>
      <w:r w:rsidRPr="00EC326F">
        <w:t>%) of people currently in this class will still be in this class</w:t>
      </w:r>
      <w:r w:rsidR="00FF7EC9">
        <w:t xml:space="preserve"> in</w:t>
      </w:r>
      <w:r w:rsidRPr="00EC326F">
        <w:t xml:space="preserve"> 10 years’ time (either by remaining in this class throughout this time, or by exiting and returning). It may be worth exploring which types of people remain on these</w:t>
      </w:r>
      <w:r w:rsidR="00DA205C" w:rsidRPr="00EC326F">
        <w:t xml:space="preserve"> payments for extended periods</w:t>
      </w:r>
    </w:p>
    <w:p w14:paraId="6DB45EE4" w14:textId="77777777" w:rsidR="00F7320D" w:rsidRPr="00EC326F" w:rsidRDefault="00F7320D" w:rsidP="001A4479">
      <w:pPr>
        <w:pStyle w:val="Bullet1"/>
        <w:numPr>
          <w:ilvl w:val="0"/>
          <w:numId w:val="42"/>
        </w:numPr>
      </w:pPr>
      <w:r w:rsidRPr="00EC326F">
        <w:t>Around 2</w:t>
      </w:r>
      <w:r w:rsidR="009A427B" w:rsidRPr="00EC326F">
        <w:t>0</w:t>
      </w:r>
      <w:r w:rsidRPr="00EC326F">
        <w:t>% or more of the original group receive some form of income support payment in each projected year over the average lifetime of the group</w:t>
      </w:r>
    </w:p>
    <w:p w14:paraId="3BA94E7C" w14:textId="77777777" w:rsidR="00F7320D" w:rsidRPr="00EC326F" w:rsidRDefault="00F7320D" w:rsidP="001A4479">
      <w:pPr>
        <w:pStyle w:val="Bullet1"/>
        <w:numPr>
          <w:ilvl w:val="0"/>
          <w:numId w:val="42"/>
        </w:numPr>
      </w:pPr>
      <w:r w:rsidRPr="00EC326F">
        <w:t>After 3</w:t>
      </w:r>
      <w:r w:rsidR="009A427B" w:rsidRPr="00EC326F">
        <w:t>0</w:t>
      </w:r>
      <w:r w:rsidRPr="00EC326F">
        <w:t xml:space="preserve"> years, just over 20% of the original </w:t>
      </w:r>
      <w:r w:rsidR="009A427B" w:rsidRPr="00EC326F">
        <w:t>class</w:t>
      </w:r>
      <w:r w:rsidRPr="00EC326F">
        <w:t xml:space="preserve"> are projected to be on some form of income support payment.</w:t>
      </w:r>
      <w:r w:rsidR="009A427B" w:rsidRPr="00EC326F">
        <w:t xml:space="preserve"> This proportion increases beyond that point in time as more people progress to the age pension.</w:t>
      </w:r>
    </w:p>
    <w:p w14:paraId="6934C196" w14:textId="77777777" w:rsidR="00F7320D" w:rsidRPr="00EC326F" w:rsidRDefault="00F7320D" w:rsidP="00F7320D">
      <w:pPr>
        <w:pStyle w:val="Minorheading"/>
      </w:pPr>
      <w:r w:rsidRPr="00EC326F">
        <w:t>Duration</w:t>
      </w:r>
    </w:p>
    <w:p w14:paraId="27F38FD4" w14:textId="77777777" w:rsidR="00F7320D" w:rsidRPr="00EC326F" w:rsidRDefault="00F7320D" w:rsidP="001A4479">
      <w:pPr>
        <w:pStyle w:val="PwCNormal"/>
        <w:numPr>
          <w:ilvl w:val="0"/>
          <w:numId w:val="37"/>
        </w:numPr>
      </w:pPr>
      <w:r w:rsidRPr="00EC326F">
        <w:t xml:space="preserve">The average future life expectancy for </w:t>
      </w:r>
      <w:r w:rsidR="009A427B" w:rsidRPr="00EC326F">
        <w:t xml:space="preserve">people in </w:t>
      </w:r>
      <w:r w:rsidRPr="00EC326F">
        <w:t xml:space="preserve">the Studying class is </w:t>
      </w:r>
      <w:r w:rsidRPr="00EC326F">
        <w:rPr>
          <w:b/>
        </w:rPr>
        <w:t>6</w:t>
      </w:r>
      <w:r w:rsidR="00B73377" w:rsidRPr="00EC326F">
        <w:rPr>
          <w:b/>
        </w:rPr>
        <w:t>7</w:t>
      </w:r>
      <w:r w:rsidRPr="00EC326F">
        <w:t xml:space="preserve"> years. This reflects the relatively young age profile of people in this class.</w:t>
      </w:r>
    </w:p>
    <w:p w14:paraId="45E186EA" w14:textId="77777777" w:rsidR="00F7320D" w:rsidRPr="00EC326F" w:rsidRDefault="00F7320D" w:rsidP="00F7320D">
      <w:pPr>
        <w:pStyle w:val="PwCNormal"/>
        <w:numPr>
          <w:ilvl w:val="0"/>
          <w:numId w:val="0"/>
        </w:numPr>
      </w:pPr>
      <w:r w:rsidRPr="00EC326F">
        <w:t>The table below provides a summary of the expected welfare system use of people currently in this class over this time. This has been developed by considering which classes people move into as they move through the welfare system over their lives.</w:t>
      </w:r>
    </w:p>
    <w:p w14:paraId="7801A31C" w14:textId="77777777" w:rsidR="00F7320D" w:rsidRPr="002A0A1A" w:rsidRDefault="00F7320D" w:rsidP="00F7320D">
      <w:pPr>
        <w:pStyle w:val="Caption"/>
      </w:pPr>
      <w:r w:rsidRPr="00EC326F">
        <w:lastRenderedPageBreak/>
        <w:t xml:space="preserve">Table </w:t>
      </w:r>
      <w:fldSimple w:instr=" SEQ Table \* ARABIC ">
        <w:r w:rsidR="007A42DF">
          <w:rPr>
            <w:noProof/>
          </w:rPr>
          <w:t>27</w:t>
        </w:r>
      </w:fldSimple>
      <w:r w:rsidRPr="00EC326F">
        <w:t>: Expected durations in welfare system for people currently in Class 1</w:t>
      </w:r>
    </w:p>
    <w:tbl>
      <w:tblPr>
        <w:tblStyle w:val="ListTable3-Accent61"/>
        <w:tblW w:w="8868" w:type="dxa"/>
        <w:tblInd w:w="108" w:type="dxa"/>
        <w:tblLook w:val="04A0" w:firstRow="1" w:lastRow="0" w:firstColumn="1" w:lastColumn="0" w:noHBand="0" w:noVBand="1"/>
        <w:tblCaption w:val=" Expected durations in welfare system for people currently in Class 1&#10;&#10;"/>
        <w:tblDescription w:val="This table provides data on the expected number of years people currently in Class 1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1 is 67 years. &#10;&#10;People in Class 1 are expected to receive some form of income support payment (excluding the age pension) for 11 years, 16% of their future lifetime. It is expected that they will receive the age pension for 17 years (25% of their future lifetime), non-income support payments only for 7 years (10% of their lifetime) and no welfare payments for 32 years (49% of their lifetime). &#10;"/>
      </w:tblPr>
      <w:tblGrid>
        <w:gridCol w:w="3828"/>
        <w:gridCol w:w="2520"/>
        <w:gridCol w:w="2520"/>
      </w:tblGrid>
      <w:tr w:rsidR="00F7320D" w:rsidRPr="00EC326F" w14:paraId="181DF22D"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4" w:space="0" w:color="E0301E" w:themeColor="accent6"/>
              <w:left w:val="single" w:sz="4" w:space="0" w:color="E0301E" w:themeColor="accent6"/>
            </w:tcBorders>
          </w:tcPr>
          <w:p w14:paraId="71DB5CC9" w14:textId="77777777" w:rsidR="00F7320D" w:rsidRPr="00EC326F" w:rsidRDefault="00F7320D" w:rsidP="00716FF0">
            <w:pPr>
              <w:pStyle w:val="TableTextSmall"/>
              <w:keepNext/>
              <w:jc w:val="center"/>
              <w:rPr>
                <w:rFonts w:asciiTheme="majorHAnsi" w:hAnsiTheme="majorHAnsi"/>
                <w:color w:val="FFFFFF" w:themeColor="background1"/>
              </w:rPr>
            </w:pPr>
          </w:p>
        </w:tc>
        <w:tc>
          <w:tcPr>
            <w:tcW w:w="2520" w:type="dxa"/>
            <w:tcBorders>
              <w:top w:val="single" w:sz="4" w:space="0" w:color="E0301E" w:themeColor="accent6"/>
              <w:left w:val="nil"/>
              <w:bottom w:val="nil"/>
              <w:right w:val="nil"/>
            </w:tcBorders>
            <w:hideMark/>
          </w:tcPr>
          <w:p w14:paraId="07836F5A" w14:textId="77777777" w:rsidR="00F7320D" w:rsidRPr="00EC326F" w:rsidRDefault="00F7320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Expected Years</w:t>
            </w:r>
          </w:p>
        </w:tc>
        <w:tc>
          <w:tcPr>
            <w:tcW w:w="2520" w:type="dxa"/>
            <w:tcBorders>
              <w:top w:val="single" w:sz="4" w:space="0" w:color="E0301E" w:themeColor="accent6"/>
              <w:left w:val="nil"/>
              <w:bottom w:val="nil"/>
              <w:right w:val="single" w:sz="4" w:space="0" w:color="E0301E" w:themeColor="accent6"/>
            </w:tcBorders>
            <w:hideMark/>
          </w:tcPr>
          <w:p w14:paraId="58538B90" w14:textId="77777777" w:rsidR="00F7320D" w:rsidRPr="00EC326F" w:rsidRDefault="00F7320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Proportion of Future Lifetime</w:t>
            </w:r>
          </w:p>
        </w:tc>
      </w:tr>
      <w:tr w:rsidR="00F7320D" w:rsidRPr="00EC326F" w14:paraId="4802A18E" w14:textId="77777777" w:rsidTr="00F73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4FE05A2D" w14:textId="77777777" w:rsidR="00F7320D" w:rsidRPr="00EC326F" w:rsidRDefault="00F7320D">
            <w:pPr>
              <w:pStyle w:val="TableTextSmall"/>
            </w:pPr>
            <w:r w:rsidRPr="00EC326F">
              <w:t>Years with some income support payments:</w:t>
            </w:r>
          </w:p>
          <w:p w14:paraId="6CF0422B" w14:textId="77777777" w:rsidR="00F7320D" w:rsidRPr="00EC326F" w:rsidRDefault="00F7320D" w:rsidP="001A4479">
            <w:pPr>
              <w:pStyle w:val="TableTextSmall"/>
              <w:numPr>
                <w:ilvl w:val="0"/>
                <w:numId w:val="43"/>
              </w:numPr>
            </w:pPr>
            <w:r w:rsidRPr="00EC326F">
              <w:t>Not aged pension (classes 1-5)</w:t>
            </w:r>
          </w:p>
          <w:p w14:paraId="582752F2" w14:textId="77777777" w:rsidR="00F7320D" w:rsidRPr="00EC326F" w:rsidRDefault="00F7320D" w:rsidP="001A4479">
            <w:pPr>
              <w:pStyle w:val="TableTextSmall"/>
              <w:numPr>
                <w:ilvl w:val="0"/>
                <w:numId w:val="43"/>
              </w:numPr>
            </w:pPr>
            <w:r w:rsidRPr="00EC326F">
              <w:t>Aged pension (class 6)</w:t>
            </w:r>
          </w:p>
        </w:tc>
        <w:tc>
          <w:tcPr>
            <w:tcW w:w="2520" w:type="dxa"/>
            <w:tcBorders>
              <w:left w:val="nil"/>
              <w:right w:val="nil"/>
            </w:tcBorders>
            <w:hideMark/>
          </w:tcPr>
          <w:p w14:paraId="77A5FA55" w14:textId="77777777" w:rsidR="00F7320D" w:rsidRPr="00EC326F" w:rsidRDefault="00F7320D">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r>
            <w:r w:rsidR="00B73377" w:rsidRPr="00EC326F">
              <w:t>11</w:t>
            </w:r>
          </w:p>
          <w:p w14:paraId="358188B7" w14:textId="77777777" w:rsidR="00F7320D" w:rsidRPr="00EC326F" w:rsidRDefault="00F7320D">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17</w:t>
            </w:r>
          </w:p>
        </w:tc>
        <w:tc>
          <w:tcPr>
            <w:tcW w:w="2520" w:type="dxa"/>
            <w:tcBorders>
              <w:left w:val="nil"/>
              <w:right w:val="single" w:sz="4" w:space="0" w:color="E0301E" w:themeColor="accent6"/>
            </w:tcBorders>
            <w:hideMark/>
          </w:tcPr>
          <w:p w14:paraId="45669571" w14:textId="77777777" w:rsidR="00F7320D" w:rsidRPr="00EC326F" w:rsidRDefault="00F7320D">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1</w:t>
            </w:r>
            <w:r w:rsidR="00B73377" w:rsidRPr="00EC326F">
              <w:t>6</w:t>
            </w:r>
            <w:r w:rsidRPr="00EC326F">
              <w:t>%</w:t>
            </w:r>
          </w:p>
          <w:p w14:paraId="0B7FFC67" w14:textId="77777777" w:rsidR="00F7320D" w:rsidRPr="00EC326F" w:rsidRDefault="00F7320D">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25%</w:t>
            </w:r>
          </w:p>
        </w:tc>
      </w:tr>
      <w:tr w:rsidR="00F7320D" w:rsidRPr="00EC326F" w14:paraId="2A2D7AFA" w14:textId="77777777" w:rsidTr="00F7320D">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hideMark/>
          </w:tcPr>
          <w:p w14:paraId="27FCAFE3" w14:textId="77777777" w:rsidR="00F7320D" w:rsidRPr="00EC326F" w:rsidRDefault="00F7320D">
            <w:pPr>
              <w:pStyle w:val="TableTextSmall"/>
            </w:pPr>
            <w:r w:rsidRPr="00EC326F">
              <w:t>Years with non-income support payments only</w:t>
            </w:r>
          </w:p>
        </w:tc>
        <w:tc>
          <w:tcPr>
            <w:tcW w:w="2520" w:type="dxa"/>
            <w:tcBorders>
              <w:top w:val="nil"/>
              <w:left w:val="nil"/>
              <w:bottom w:val="nil"/>
              <w:right w:val="nil"/>
            </w:tcBorders>
            <w:hideMark/>
          </w:tcPr>
          <w:p w14:paraId="23F44F23" w14:textId="77777777" w:rsidR="00F7320D" w:rsidRPr="00EC326F" w:rsidRDefault="00F7320D">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7</w:t>
            </w:r>
          </w:p>
        </w:tc>
        <w:tc>
          <w:tcPr>
            <w:tcW w:w="2520" w:type="dxa"/>
            <w:tcBorders>
              <w:top w:val="nil"/>
              <w:left w:val="nil"/>
              <w:bottom w:val="nil"/>
              <w:right w:val="single" w:sz="4" w:space="0" w:color="E0301E" w:themeColor="accent6"/>
            </w:tcBorders>
            <w:hideMark/>
          </w:tcPr>
          <w:p w14:paraId="6E8CC9FA" w14:textId="77777777" w:rsidR="00F7320D" w:rsidRPr="00EC326F" w:rsidRDefault="00F7320D">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w:t>
            </w:r>
          </w:p>
        </w:tc>
      </w:tr>
      <w:tr w:rsidR="00F7320D" w:rsidRPr="00EC326F" w14:paraId="169D82A3" w14:textId="77777777" w:rsidTr="00F73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2DD385BD" w14:textId="77777777" w:rsidR="00F7320D" w:rsidRPr="00EC326F" w:rsidRDefault="00F7320D">
            <w:pPr>
              <w:pStyle w:val="TableTextSmall"/>
            </w:pPr>
            <w:r w:rsidRPr="00EC326F">
              <w:t>Years not receiving any welfare payments</w:t>
            </w:r>
          </w:p>
        </w:tc>
        <w:tc>
          <w:tcPr>
            <w:tcW w:w="2520" w:type="dxa"/>
            <w:tcBorders>
              <w:left w:val="nil"/>
              <w:right w:val="nil"/>
            </w:tcBorders>
            <w:hideMark/>
          </w:tcPr>
          <w:p w14:paraId="26BE70FD" w14:textId="77777777" w:rsidR="00F7320D" w:rsidRPr="00EC326F" w:rsidRDefault="00F7320D">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32</w:t>
            </w:r>
          </w:p>
        </w:tc>
        <w:tc>
          <w:tcPr>
            <w:tcW w:w="2520" w:type="dxa"/>
            <w:tcBorders>
              <w:left w:val="nil"/>
              <w:right w:val="single" w:sz="4" w:space="0" w:color="E0301E" w:themeColor="accent6"/>
            </w:tcBorders>
            <w:hideMark/>
          </w:tcPr>
          <w:p w14:paraId="73015EC4" w14:textId="77777777" w:rsidR="00F7320D" w:rsidRPr="00EC326F" w:rsidRDefault="00F7320D" w:rsidP="00B73377">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w:t>
            </w:r>
            <w:r w:rsidR="00B73377" w:rsidRPr="00EC326F">
              <w:t>9</w:t>
            </w:r>
            <w:r w:rsidRPr="00EC326F">
              <w:t>%</w:t>
            </w:r>
          </w:p>
        </w:tc>
      </w:tr>
      <w:tr w:rsidR="00F7320D" w:rsidRPr="00EC326F" w14:paraId="29F4905C" w14:textId="77777777" w:rsidTr="00F7320D">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hideMark/>
          </w:tcPr>
          <w:p w14:paraId="33A95D64" w14:textId="77777777" w:rsidR="00F7320D" w:rsidRPr="00EC326F" w:rsidRDefault="00F7320D">
            <w:pPr>
              <w:pStyle w:val="TableTextSmall"/>
            </w:pPr>
            <w:r w:rsidRPr="00EC326F">
              <w:t>Total</w:t>
            </w:r>
          </w:p>
        </w:tc>
        <w:tc>
          <w:tcPr>
            <w:tcW w:w="2520" w:type="dxa"/>
            <w:tcBorders>
              <w:top w:val="nil"/>
              <w:left w:val="nil"/>
              <w:bottom w:val="single" w:sz="4" w:space="0" w:color="E0301E" w:themeColor="accent6"/>
              <w:right w:val="nil"/>
            </w:tcBorders>
            <w:hideMark/>
          </w:tcPr>
          <w:p w14:paraId="03708552" w14:textId="77777777" w:rsidR="00F7320D" w:rsidRPr="00EC326F" w:rsidRDefault="00F7320D">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6</w:t>
            </w:r>
            <w:r w:rsidR="00B73377" w:rsidRPr="00EC326F">
              <w:t>7</w:t>
            </w:r>
          </w:p>
        </w:tc>
        <w:tc>
          <w:tcPr>
            <w:tcW w:w="2520" w:type="dxa"/>
            <w:tcBorders>
              <w:top w:val="nil"/>
              <w:left w:val="nil"/>
              <w:bottom w:val="single" w:sz="4" w:space="0" w:color="E0301E" w:themeColor="accent6"/>
              <w:right w:val="single" w:sz="4" w:space="0" w:color="E0301E" w:themeColor="accent6"/>
            </w:tcBorders>
            <w:hideMark/>
          </w:tcPr>
          <w:p w14:paraId="0EB752EA" w14:textId="77777777" w:rsidR="00F7320D" w:rsidRPr="00EC326F" w:rsidRDefault="00F7320D">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100%</w:t>
            </w:r>
          </w:p>
        </w:tc>
      </w:tr>
    </w:tbl>
    <w:p w14:paraId="10F20CDA" w14:textId="6A2CA0EA" w:rsidR="00716FF0" w:rsidRDefault="00716FF0" w:rsidP="00716FF0">
      <w:pPr>
        <w:pStyle w:val="PwCNormal"/>
      </w:pPr>
      <w:bookmarkStart w:id="367" w:name="_Toc455502438"/>
      <w:bookmarkStart w:id="368" w:name="_Toc455499417"/>
      <w:bookmarkStart w:id="369" w:name="_Ref466371631"/>
      <w:bookmarkStart w:id="370" w:name="_Ref466420409"/>
    </w:p>
    <w:p w14:paraId="4D2633FB" w14:textId="77777777" w:rsidR="00716FF0" w:rsidRDefault="00716FF0">
      <w:pPr>
        <w:kinsoku/>
        <w:overflowPunct/>
        <w:autoSpaceDE/>
        <w:autoSpaceDN/>
        <w:adjustRightInd/>
        <w:snapToGrid/>
      </w:pPr>
      <w:r>
        <w:br w:type="page"/>
      </w:r>
    </w:p>
    <w:p w14:paraId="2652D97D" w14:textId="77777777" w:rsidR="00F7320D" w:rsidRPr="00EC326F" w:rsidRDefault="00F7320D" w:rsidP="001A4479">
      <w:pPr>
        <w:pStyle w:val="Heading3"/>
        <w:numPr>
          <w:ilvl w:val="2"/>
          <w:numId w:val="41"/>
        </w:numPr>
      </w:pPr>
      <w:bookmarkStart w:id="371" w:name="_Toc493844258"/>
      <w:r w:rsidRPr="00EC326F">
        <w:lastRenderedPageBreak/>
        <w:t>Working Age Payment recipients</w:t>
      </w:r>
      <w:bookmarkEnd w:id="367"/>
      <w:bookmarkEnd w:id="368"/>
      <w:bookmarkEnd w:id="369"/>
      <w:bookmarkEnd w:id="370"/>
      <w:bookmarkEnd w:id="371"/>
      <w:r w:rsidRPr="002A0A1A">
        <w:t xml:space="preserve"> </w:t>
      </w:r>
    </w:p>
    <w:p w14:paraId="536E4F80" w14:textId="77777777" w:rsidR="00F7320D" w:rsidRPr="00EC326F" w:rsidRDefault="00F7320D" w:rsidP="00F7320D">
      <w:pPr>
        <w:pStyle w:val="Heading4"/>
      </w:pPr>
      <w:bookmarkStart w:id="372" w:name="_Toc455503971"/>
      <w:bookmarkStart w:id="373" w:name="_Toc455502439"/>
      <w:bookmarkStart w:id="374" w:name="_Toc455499418"/>
      <w:r w:rsidRPr="00EC326F">
        <w:t>What does the data tell us about Working Age people?</w:t>
      </w:r>
      <w:bookmarkEnd w:id="372"/>
      <w:bookmarkEnd w:id="373"/>
      <w:bookmarkEnd w:id="374"/>
    </w:p>
    <w:p w14:paraId="49ECB917" w14:textId="77777777" w:rsidR="00F7320D" w:rsidRPr="00EC326F" w:rsidRDefault="00F7320D" w:rsidP="00F7320D">
      <w:pPr>
        <w:pStyle w:val="PwCNormal"/>
        <w:numPr>
          <w:ilvl w:val="0"/>
          <w:numId w:val="0"/>
        </w:numPr>
      </w:pPr>
      <w:r w:rsidRPr="00EC326F">
        <w:t>There were 1,317,538 people (16.4%</w:t>
      </w:r>
      <w:r w:rsidR="00F05CEC" w:rsidRPr="00EC326F">
        <w:t xml:space="preserve"> of current welfare recipients</w:t>
      </w:r>
      <w:r w:rsidRPr="00EC326F">
        <w:t>) in the Working Age class in the 2016 model population.</w:t>
      </w:r>
      <w:r w:rsidR="00142D83" w:rsidRPr="00EC326F">
        <w:t xml:space="preserve"> </w:t>
      </w:r>
      <w:r w:rsidRPr="00EC326F">
        <w:t>The following chart shows a breakdown of the number of people in the Working Age class by age, gender and payment type.</w:t>
      </w:r>
    </w:p>
    <w:p w14:paraId="19858E29" w14:textId="77777777" w:rsidR="00F7320D" w:rsidRPr="00EC326F" w:rsidRDefault="00F7320D" w:rsidP="00F7320D">
      <w:pPr>
        <w:pStyle w:val="Caption"/>
      </w:pPr>
      <w:r w:rsidRPr="00EC326F">
        <w:t xml:space="preserve">Figure </w:t>
      </w:r>
      <w:fldSimple w:instr=" SEQ Figure \* ARABIC ">
        <w:r w:rsidR="007A42DF">
          <w:rPr>
            <w:noProof/>
          </w:rPr>
          <w:t>33</w:t>
        </w:r>
      </w:fldSimple>
      <w:r w:rsidRPr="00EC326F">
        <w:t>: 2016 profile of people in Class 2 – Working Age (age/gender/payment type)</w:t>
      </w:r>
    </w:p>
    <w:tbl>
      <w:tblPr>
        <w:tblStyle w:val="Tables-APBase"/>
        <w:tblW w:w="475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2 – Working Age (age/gender/payment type)&#10;"/>
        <w:tblDescription w:val="This figure is a horizontal bar chart showing the number of people in the Working Age class at Jun16 by age for males and females separately. The vertical axis shows age with the data shown ranging up to age 80. The horizontal axis shows the number of people ranging from 0 to 30,000. The number of males at each age are shown by the horizontal bars to the left of the vertical axis and the number of females at each age are shown by horizontal bars to the right.&#10;&#10;The bars for each given age and gender are split into the number of people associated with the following Working Age payment types: Newstart, Sickness Allowance, Partner Allowance, Widow Allowance , Youth Allowance (Other) and Other.&#10;&#10;The chart is based on the 1,318,000 individuals who were in the working age class at 30 June 2016. &#10;&#10;The highest number of males in the Working Age class (around 24,000 at each age) are seen for those aged 19 - 25. After these ages, the number of men decreases with age. The number of males drops sharply at age 65 with about 100 males at each age in the 70 to 80 age range.&#10;&#10;The number of females peaks at 18,000 at age 19. The number of females then decreases by age until age 31 where there are 8,500 women. After this age, the number of women increases before peaking again at age 45 where there are around 15,500 women. The number of women then decreases sharply before one last peak at age 64 where there are approximately 16,000 females in the working age class.&#10;&#10;For both males and females, the vast majority aged over 23 receive Newstart. Almost all clients under age 23 receive Youth Allowance (Other). Approximately 22,000 women aged over 60 receive the Widow Allowance or Partner Allowance.  Small numbers of males and females across all ages receive the Sickness Allowance or Other payments. &#10;&#10;The features shown in the chart are discussed further in the accompanying text within the report.&#10;"/>
      </w:tblPr>
      <w:tblGrid>
        <w:gridCol w:w="5955"/>
        <w:gridCol w:w="2976"/>
      </w:tblGrid>
      <w:tr w:rsidR="00F7320D" w:rsidRPr="00EC326F" w14:paraId="46D520D9" w14:textId="77777777" w:rsidTr="009C6553">
        <w:trPr>
          <w:tblHeader/>
        </w:trPr>
        <w:tc>
          <w:tcPr>
            <w:tcW w:w="5955" w:type="dxa"/>
            <w:hideMark/>
          </w:tcPr>
          <w:p w14:paraId="33AB7677" w14:textId="77777777" w:rsidR="00F7320D" w:rsidRPr="00EC326F" w:rsidRDefault="004D6986">
            <w:pPr>
              <w:pStyle w:val="TableTextSmall"/>
              <w:keepNext/>
              <w:rPr>
                <w:lang w:eastAsia="en-AU"/>
              </w:rPr>
            </w:pPr>
            <w:r w:rsidRPr="004D6986">
              <w:rPr>
                <w:noProof/>
                <w:lang w:eastAsia="en-AU"/>
              </w:rPr>
              <w:drawing>
                <wp:inline distT="0" distB="0" distL="0" distR="0" wp14:anchorId="2B9DDC39" wp14:editId="130B1E6E">
                  <wp:extent cx="3394286" cy="2160000"/>
                  <wp:effectExtent l="0" t="0" r="0" b="0"/>
                  <wp:docPr id="3097" name="Picture 3097" descr="This figure is a horizontal bar chart showing the number of people in the Working Age class at Jun16 by age for males and females separately. The vertical axis shows age with the data shown ranging up to age 80. The horizontal axis shows the number of people ranging from 0 to 30,000. The number of males at each age are shown by the horizontal bars to the left of the vertical axis and the number of females at each age are shown by horizontal bars to the right.&#10;&#10;The bars for each given age and gender are split into the number of people associated with the following Working Age payment types: Newstart, Sickness Allowance, Partner Allowance, Widow Allowance , Youth Allowance (Other) and Other.&#10;&#10;The chart is based on the 1,318,000 individuals who were in the working age class at 30 June 2016. &#10;&#10;The highest number of males in the Working Age class (around 24,000 at each age) are seen for those aged 19 - 25. After these ages, the number of men decreases with age. The number of males drops sharply at age 65 with about 100 males at each age in the 70 to 80 age range.&#10;&#10;The number of females peaks at 18,000 at age 19. The number of females then decreases by age until age 31 where there are 8,500 women. After this age, the number of women increases before peaking again at age 45 where there are around 15,500 women. The number of women then decreases sharply before one last peak at age 64 where there are approximately 16,000 females in the working age class.&#10;&#10;For both males and females, the vast majority aged over 23 receive Newstart. Almost all clients under age 23 receive Youth Allowance (Other). Approximately 22,000 women aged over 60 receive the Widow Allowance or Partner Allowance.  Small numbers of males and females across all ages receive the Sickness Allowance or Other payments. &#10;&#10;The features shown in the chart are discussed further in the accompanying text within the report.&#10;" title=" 2016 profile of people in Class 2 – Working Age (age/gender/payment ty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94286" cy="2160000"/>
                          </a:xfrm>
                          <a:prstGeom prst="rect">
                            <a:avLst/>
                          </a:prstGeom>
                          <a:noFill/>
                          <a:ln>
                            <a:noFill/>
                          </a:ln>
                        </pic:spPr>
                      </pic:pic>
                    </a:graphicData>
                  </a:graphic>
                </wp:inline>
              </w:drawing>
            </w:r>
          </w:p>
        </w:tc>
        <w:tc>
          <w:tcPr>
            <w:tcW w:w="2976" w:type="dxa"/>
          </w:tcPr>
          <w:p w14:paraId="53EC7637" w14:textId="77777777" w:rsidR="00F7320D" w:rsidRPr="00EC326F" w:rsidRDefault="00F7320D">
            <w:pPr>
              <w:pStyle w:val="TableTextSmall"/>
              <w:keepNext/>
              <w:rPr>
                <w:lang w:eastAsia="en-AU"/>
              </w:rPr>
            </w:pPr>
          </w:p>
          <w:p w14:paraId="318004A8" w14:textId="77777777" w:rsidR="00F7320D" w:rsidRPr="00EC326F" w:rsidRDefault="00F7320D">
            <w:pPr>
              <w:pStyle w:val="TableTextSmall"/>
              <w:keepNext/>
              <w:rPr>
                <w:lang w:eastAsia="en-AU"/>
              </w:rPr>
            </w:pPr>
          </w:p>
          <w:p w14:paraId="173F715B" w14:textId="77777777" w:rsidR="00F7320D" w:rsidRPr="00EC326F" w:rsidRDefault="004D6986">
            <w:pPr>
              <w:pStyle w:val="TableTextSmall"/>
              <w:keepNext/>
              <w:rPr>
                <w:lang w:eastAsia="en-AU"/>
              </w:rPr>
            </w:pPr>
            <w:r w:rsidRPr="004D6986">
              <w:rPr>
                <w:noProof/>
                <w:lang w:eastAsia="en-AU"/>
              </w:rPr>
              <w:drawing>
                <wp:inline distT="0" distB="0" distL="0" distR="0" wp14:anchorId="0873F235" wp14:editId="3E92FCE9">
                  <wp:extent cx="1038225" cy="997624"/>
                  <wp:effectExtent l="0" t="0" r="0" b="0"/>
                  <wp:docPr id="3102" name="Picture 3102" descr="Legend: Newstart, Sickness Allowance, Partner Allowance, Widow Allowance, Other, Youth Allowance (Other)" title="Legend for 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5631" t="9635" r="9748" b="33222"/>
                          <a:stretch/>
                        </pic:blipFill>
                        <pic:spPr bwMode="auto">
                          <a:xfrm>
                            <a:off x="0" y="0"/>
                            <a:ext cx="1048743" cy="1007730"/>
                          </a:xfrm>
                          <a:prstGeom prst="rect">
                            <a:avLst/>
                          </a:prstGeom>
                          <a:noFill/>
                          <a:ln>
                            <a:noFill/>
                          </a:ln>
                          <a:extLst>
                            <a:ext uri="{53640926-AAD7-44D8-BBD7-CCE9431645EC}">
                              <a14:shadowObscured xmlns:a14="http://schemas.microsoft.com/office/drawing/2010/main"/>
                            </a:ext>
                          </a:extLst>
                        </pic:spPr>
                      </pic:pic>
                    </a:graphicData>
                  </a:graphic>
                </wp:inline>
              </w:drawing>
            </w:r>
          </w:p>
          <w:p w14:paraId="77EC7F1B" w14:textId="77777777" w:rsidR="00F7320D" w:rsidRPr="00EC326F" w:rsidRDefault="00F7320D">
            <w:pPr>
              <w:pStyle w:val="TableTextSmall"/>
              <w:keepNext/>
              <w:rPr>
                <w:lang w:eastAsia="en-AU"/>
              </w:rPr>
            </w:pPr>
          </w:p>
        </w:tc>
      </w:tr>
    </w:tbl>
    <w:p w14:paraId="795A105A" w14:textId="77777777" w:rsidR="00F7320D" w:rsidRPr="00EC326F" w:rsidRDefault="00F7320D" w:rsidP="00F7320D">
      <w:pPr>
        <w:pStyle w:val="PwCNormal"/>
        <w:numPr>
          <w:ilvl w:val="0"/>
          <w:numId w:val="0"/>
        </w:numPr>
      </w:pPr>
      <w:r w:rsidRPr="00EC326F">
        <w:t>From the chart, we can see that there are a mix of both men and women, albeit with more men than women at younger ages which may be because more women are receiving Parenting or Studying payments. The numbers in the class peak for people in their twenties and then gradually reduce up to pension age.</w:t>
      </w:r>
      <w:r w:rsidR="00A954D9" w:rsidRPr="00EC326F">
        <w:t xml:space="preserve"> This pattern is particularly evident for men; for women the shape is different as many women transition to receiving parenting payments.</w:t>
      </w:r>
    </w:p>
    <w:p w14:paraId="0F323FA3" w14:textId="77777777" w:rsidR="00F7320D" w:rsidRPr="00EC326F" w:rsidRDefault="00321A6F" w:rsidP="00F7320D">
      <w:pPr>
        <w:pStyle w:val="PwCNormal"/>
        <w:numPr>
          <w:ilvl w:val="0"/>
          <w:numId w:val="0"/>
        </w:numPr>
      </w:pPr>
      <w:r w:rsidRPr="00EC326F">
        <w:t>The vast majority of people</w:t>
      </w:r>
      <w:r w:rsidR="00F7320D" w:rsidRPr="00EC326F">
        <w:t xml:space="preserve"> in the Working Age class are on Youth Allowance (if aged up to 21) or Newstart Allowance (if over 21 years old). The remaining people are mostly on Sickness Allowance; there are also a small number of people (mostly women) at the older ages still accessing Partner Allowance and Widow Allowance although these will decrease over time as these benefits are gradually phased out.</w:t>
      </w:r>
    </w:p>
    <w:p w14:paraId="15C01C45" w14:textId="77777777" w:rsidR="00F7320D" w:rsidRPr="00EC326F" w:rsidRDefault="00F7320D" w:rsidP="00F7320D">
      <w:pPr>
        <w:pStyle w:val="Minorheading"/>
      </w:pPr>
      <w:r w:rsidRPr="00EC326F">
        <w:t>Movements into this class</w:t>
      </w:r>
    </w:p>
    <w:p w14:paraId="0609448F" w14:textId="77777777" w:rsidR="00072850" w:rsidRPr="00EC326F" w:rsidRDefault="00072850" w:rsidP="00072850">
      <w:pPr>
        <w:pStyle w:val="PwCNormal"/>
        <w:numPr>
          <w:ilvl w:val="0"/>
          <w:numId w:val="1"/>
        </w:numPr>
      </w:pPr>
      <w:r w:rsidRPr="00EC326F">
        <w:t xml:space="preserve">Over the last 3 years, an average of 391,200 people (around 30% of the people in this class) per annum enter this class from another welfare class or from outside the welfare system. The following charts show the breakdown of this by age, gender and previous class. </w:t>
      </w:r>
    </w:p>
    <w:p w14:paraId="2C97CBFC" w14:textId="77777777" w:rsidR="00072850" w:rsidRPr="00EC326F" w:rsidRDefault="00072850" w:rsidP="00072850">
      <w:pPr>
        <w:pStyle w:val="Caption"/>
      </w:pPr>
      <w:r w:rsidRPr="00EC326F">
        <w:lastRenderedPageBreak/>
        <w:t xml:space="preserve">Figure </w:t>
      </w:r>
      <w:fldSimple w:instr=" SEQ Figure \* ARABIC ">
        <w:r w:rsidR="007A42DF">
          <w:rPr>
            <w:noProof/>
          </w:rPr>
          <w:t>34</w:t>
        </w:r>
      </w:fldSimple>
      <w:r w:rsidRPr="00EC326F">
        <w:t>: Number of people entering Class 2 – Working Age (annual average over last 3 years)</w:t>
      </w:r>
    </w:p>
    <w:tbl>
      <w:tblPr>
        <w:tblW w:w="4922" w:type="pct"/>
        <w:tblLayout w:type="fixed"/>
        <w:tblLook w:val="04A0" w:firstRow="1" w:lastRow="0" w:firstColumn="1" w:lastColumn="0" w:noHBand="0" w:noVBand="1"/>
        <w:tblCaption w:val=" Number of people entering Class 2 – Working Age (annual average over last 3 years)"/>
        <w:tblDescription w:val="This text box contains two charts and a legend."/>
      </w:tblPr>
      <w:tblGrid>
        <w:gridCol w:w="4627"/>
        <w:gridCol w:w="4627"/>
      </w:tblGrid>
      <w:tr w:rsidR="00072850" w:rsidRPr="00EC326F" w14:paraId="3929152E" w14:textId="77777777" w:rsidTr="00185E2B">
        <w:trPr>
          <w:tblHeader/>
        </w:trPr>
        <w:tc>
          <w:tcPr>
            <w:tcW w:w="4627" w:type="dxa"/>
          </w:tcPr>
          <w:p w14:paraId="56795890" w14:textId="77777777" w:rsidR="00072850" w:rsidRPr="00EC326F" w:rsidRDefault="00072850" w:rsidP="00C1032B">
            <w:pPr>
              <w:pStyle w:val="TableTextSmall"/>
              <w:keepNext/>
              <w:jc w:val="center"/>
              <w:rPr>
                <w:b/>
                <w:i/>
              </w:rPr>
            </w:pPr>
            <w:r w:rsidRPr="00EC326F">
              <w:rPr>
                <w:b/>
                <w:i/>
              </w:rPr>
              <w:t>Males</w:t>
            </w:r>
          </w:p>
        </w:tc>
        <w:tc>
          <w:tcPr>
            <w:tcW w:w="4627" w:type="dxa"/>
          </w:tcPr>
          <w:p w14:paraId="08477A3C" w14:textId="77777777" w:rsidR="00072850" w:rsidRPr="00EC326F" w:rsidRDefault="00072850" w:rsidP="00C1032B">
            <w:pPr>
              <w:pStyle w:val="TableTextSmall"/>
              <w:keepNext/>
              <w:jc w:val="center"/>
              <w:rPr>
                <w:b/>
                <w:i/>
              </w:rPr>
            </w:pPr>
            <w:r w:rsidRPr="00EC326F">
              <w:rPr>
                <w:b/>
                <w:i/>
              </w:rPr>
              <w:t>Females</w:t>
            </w:r>
          </w:p>
        </w:tc>
      </w:tr>
      <w:tr w:rsidR="00072850" w:rsidRPr="00EC326F" w14:paraId="0D79DC6F" w14:textId="77777777" w:rsidTr="00300596">
        <w:tc>
          <w:tcPr>
            <w:tcW w:w="4627" w:type="dxa"/>
          </w:tcPr>
          <w:p w14:paraId="781E6731" w14:textId="45D14099" w:rsidR="00FD7158" w:rsidRPr="00EC326F" w:rsidRDefault="00072850" w:rsidP="00C1032B">
            <w:pPr>
              <w:pStyle w:val="TableTextSmall"/>
              <w:keepNext/>
              <w:rPr>
                <w:lang w:eastAsia="en-AU"/>
              </w:rPr>
            </w:pPr>
            <w:r w:rsidRPr="00EC326F">
              <w:rPr>
                <w:noProof/>
                <w:lang w:eastAsia="en-AU"/>
              </w:rPr>
              <w:drawing>
                <wp:inline distT="0" distB="0" distL="0" distR="0" wp14:anchorId="4A382A30" wp14:editId="72223467">
                  <wp:extent cx="3009900" cy="1876425"/>
                  <wp:effectExtent l="0" t="0" r="0" b="9525"/>
                  <wp:docPr id="3918" name="Picture 3918" descr="This figure contains two area charts. The vertical axis on both charts displays the cumulative number of entrants into the Working Age class, and ranges from 0 to 12,000. For both charts the horizontal axis shows age ranging from 0 to 110. &#10;&#10;The chart on the left shows the average number of male entrants over the period from June 2014 to June 2016, split by class prior to entry. &#10;&#10;Both area charts show the cumulative number of entrants split by class prior to entry to the Working Age class; 1 Studying, 3 Parents, 4 Carers, 5 Disability Support, 6 Pension Age, 7 Non-IS Family, 8 Non-IS Carer, 9 Non-IS Other, 10 Previous Welfare Recipient and 12 Rest of the Australian Population.&#10;&#10;For males, the left chart shows that the majority of entrants come from Class 10 Previous Welfare Recipient, Class 12 Rest of the Australian Population or Class 1 Studying. The number of male entrants has two clear peaks, one at age 18 (12,000 entrants) and one at age 22 (9,000 entrants). &#10;&#10;The profile of female entrants follows a similar pattern, however there is significantly more entrants coming from Class 3 Parents and Class 7 Non IS Family between ages 25 and 50.&#10;&#10;Further discussion of the key features shown in the chart can be found in the accompanying text within the report.&#10;" title=" Number of people entering Class 2 – Working Age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627" w:type="dxa"/>
          </w:tcPr>
          <w:p w14:paraId="4169A8B4" w14:textId="77777777" w:rsidR="00072850" w:rsidRPr="00EC326F" w:rsidRDefault="00072850" w:rsidP="00C1032B">
            <w:pPr>
              <w:pStyle w:val="TableTextSmall"/>
              <w:keepNext/>
              <w:rPr>
                <w:lang w:eastAsia="en-AU"/>
              </w:rPr>
            </w:pPr>
            <w:r w:rsidRPr="00EC326F">
              <w:rPr>
                <w:noProof/>
                <w:lang w:eastAsia="en-AU"/>
              </w:rPr>
              <w:drawing>
                <wp:inline distT="0" distB="0" distL="0" distR="0" wp14:anchorId="7C8CE070" wp14:editId="302E483E">
                  <wp:extent cx="3009900" cy="1876425"/>
                  <wp:effectExtent l="0" t="0" r="0" b="9525"/>
                  <wp:docPr id="3921" name="Picture 3921" descr="The chart on the right shows the average number of female entrants over the period from June 2014 to June 2016, split by class prior to entry. &#10;&#10;This figure contains two area charts. The vertical axis on both charts displays the cumulative number of entrants into the Working Age class, and ranges from 0 to 12,000. For both charts the horizontal axis shows age ranging from 0 to 110. &#10;&#10;The chart on the left shows the average number of male entrants over the period from June 2014 to June 2016, split by class prior to entry.  The chart on the right shows the average number of female entrants over the period from June 2014 to June 2016, split by class prior to entry. &#10;&#10;Both area charts show the cumulative number of entrants split by class prior to entry to the Working Age class; 1 Studying, 3 Parents, 4 Carers, 5 Disability Support, 6 Pension Age, 7 Non-IS Family, 8 Non-IS Carer, 9 Non-IS Other, 10 Previous Welfare Recipient and 12 Rest of the Australian Population.&#10;&#10;For males, the left chart shows that the majority of entrants come from Class 10 Previous Welfare Recipient, Class 12 Rest of the Australian Population or Class 1 Studying. The number of male entrants has two clear peaks, one at age 18 (12,000 entrants) and one at age 22 (9,000 entrants). &#10;&#10;The profile of female entrants follows a similar pattern, however there is significantly more entrants coming from Class 3 Parents and Class 7 Non IS Family between ages 25 and 50.&#10;&#10;Further discussion of the key features shown in the chart can be found in the accompanying text within the report.&#10;" title=" Number of people entering Class 2 – Working Age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0591257C" w14:textId="51878F72" w:rsidR="00300596" w:rsidRDefault="00300596" w:rsidP="0081675B">
      <w:pPr>
        <w:pStyle w:val="PwCNormal"/>
        <w:keepNext/>
        <w:keepLines/>
        <w:numPr>
          <w:ilvl w:val="0"/>
          <w:numId w:val="1"/>
        </w:numPr>
        <w:jc w:val="center"/>
      </w:pPr>
      <w:r w:rsidRPr="00EC326F">
        <w:rPr>
          <w:noProof/>
          <w:lang w:eastAsia="en-AU"/>
        </w:rPr>
        <w:drawing>
          <wp:inline distT="0" distB="0" distL="0" distR="0" wp14:anchorId="5896F9DB" wp14:editId="32FC208C">
            <wp:extent cx="5385600" cy="468000"/>
            <wp:effectExtent l="0" t="0" r="0" b="8255"/>
            <wp:docPr id="198" name="Picture 198" descr="Class key: studying, working age, parents, carers, disability support, pension age, non-income support family, non-income support carer, non-income support other, previous welfare recipient, rest of the Australian population and dead. &#10;" title="Class Key for 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773A9EFE" w14:textId="77777777" w:rsidR="00072850" w:rsidRPr="002A0A1A" w:rsidRDefault="00072850" w:rsidP="00072850">
      <w:pPr>
        <w:pStyle w:val="PwCNormal"/>
        <w:numPr>
          <w:ilvl w:val="0"/>
          <w:numId w:val="1"/>
        </w:numPr>
      </w:pPr>
      <w:r w:rsidRPr="00EC326F">
        <w:t xml:space="preserve">We can see that people in this class primarily came from outside the welfare system, many of </w:t>
      </w:r>
      <w:r w:rsidR="00321A6F" w:rsidRPr="00EC326F">
        <w:t>whom</w:t>
      </w:r>
      <w:r w:rsidRPr="00EC326F">
        <w:t xml:space="preserve"> had previously accessed welfare payments. Of the people who entered this class from within the welfare system, most people at the younger ages came from Studying, while women aged 25 or above generally come from Parents or Non IS Family.</w:t>
      </w:r>
    </w:p>
    <w:p w14:paraId="1EF27CC6" w14:textId="77777777" w:rsidR="00F7320D" w:rsidRPr="00EC326F" w:rsidRDefault="00F7320D" w:rsidP="00F7320D">
      <w:pPr>
        <w:pStyle w:val="Minorheading"/>
      </w:pPr>
      <w:r w:rsidRPr="00EC326F">
        <w:t>Movements out of this class</w:t>
      </w:r>
    </w:p>
    <w:p w14:paraId="57A96D34" w14:textId="77777777" w:rsidR="00F7320D" w:rsidRPr="00EC326F" w:rsidRDefault="00F7320D" w:rsidP="001A4479">
      <w:pPr>
        <w:pStyle w:val="PwCNormal"/>
        <w:numPr>
          <w:ilvl w:val="0"/>
          <w:numId w:val="37"/>
        </w:numPr>
      </w:pPr>
      <w:r w:rsidRPr="00EC326F">
        <w:t xml:space="preserve">Over the last 3 years, an average of 364,000 people (28%) per annum have transitioned out of the Working Age class. The following charts show the breakdown of this by age, gender and destination class. </w:t>
      </w:r>
    </w:p>
    <w:p w14:paraId="19CF435A" w14:textId="77777777" w:rsidR="00F7320D" w:rsidRPr="00EC326F" w:rsidRDefault="00F7320D" w:rsidP="00F7320D">
      <w:pPr>
        <w:pStyle w:val="Caption"/>
      </w:pPr>
      <w:r w:rsidRPr="00EC326F">
        <w:t xml:space="preserve">Figure </w:t>
      </w:r>
      <w:fldSimple w:instr=" SEQ Figure \* ARABIC ">
        <w:r w:rsidR="007A42DF">
          <w:rPr>
            <w:noProof/>
          </w:rPr>
          <w:t>35</w:t>
        </w:r>
      </w:fldSimple>
      <w:r w:rsidRPr="00EC326F">
        <w:t>: Number of people leaving Class 2 – Working Age (annual average over last 3 years)</w:t>
      </w:r>
    </w:p>
    <w:tbl>
      <w:tblPr>
        <w:tblW w:w="4900" w:type="pct"/>
        <w:tblLayout w:type="fixed"/>
        <w:tblLook w:val="04A0" w:firstRow="1" w:lastRow="0" w:firstColumn="1" w:lastColumn="0" w:noHBand="0" w:noVBand="1"/>
        <w:tblCaption w:val=" Number of people leaving Class 2 – Working Age (annual average over last 3 years)"/>
        <w:tblDescription w:val="This text box contains two charts and a legend."/>
      </w:tblPr>
      <w:tblGrid>
        <w:gridCol w:w="4607"/>
        <w:gridCol w:w="4606"/>
      </w:tblGrid>
      <w:tr w:rsidR="00F7320D" w:rsidRPr="00EC326F" w14:paraId="5BF00775" w14:textId="77777777" w:rsidTr="001B43B4">
        <w:trPr>
          <w:tblHeader/>
        </w:trPr>
        <w:tc>
          <w:tcPr>
            <w:tcW w:w="4607" w:type="dxa"/>
            <w:hideMark/>
          </w:tcPr>
          <w:p w14:paraId="3F5796E8" w14:textId="77777777" w:rsidR="00F7320D" w:rsidRPr="00EC326F" w:rsidRDefault="00F7320D">
            <w:pPr>
              <w:pStyle w:val="TableTextSmall"/>
              <w:keepNext/>
              <w:jc w:val="center"/>
              <w:rPr>
                <w:i/>
              </w:rPr>
            </w:pPr>
            <w:r w:rsidRPr="00EC326F">
              <w:rPr>
                <w:b/>
                <w:i/>
              </w:rPr>
              <w:t>Males</w:t>
            </w:r>
          </w:p>
        </w:tc>
        <w:tc>
          <w:tcPr>
            <w:tcW w:w="4606" w:type="dxa"/>
            <w:hideMark/>
          </w:tcPr>
          <w:p w14:paraId="1E451980" w14:textId="77777777" w:rsidR="00F7320D" w:rsidRPr="00EC326F" w:rsidRDefault="00F7320D">
            <w:pPr>
              <w:pStyle w:val="TableTextSmall"/>
              <w:keepNext/>
              <w:jc w:val="center"/>
              <w:rPr>
                <w:b/>
                <w:i/>
              </w:rPr>
            </w:pPr>
            <w:r w:rsidRPr="00EC326F">
              <w:rPr>
                <w:b/>
                <w:i/>
              </w:rPr>
              <w:t>Females</w:t>
            </w:r>
          </w:p>
        </w:tc>
      </w:tr>
      <w:tr w:rsidR="00F7320D" w:rsidRPr="00EC326F" w14:paraId="38734B18" w14:textId="77777777" w:rsidTr="00300596">
        <w:tc>
          <w:tcPr>
            <w:tcW w:w="4607" w:type="dxa"/>
            <w:hideMark/>
          </w:tcPr>
          <w:p w14:paraId="225B0A0B" w14:textId="77777777" w:rsidR="00F7320D" w:rsidRPr="00EC326F" w:rsidRDefault="00F7320D">
            <w:pPr>
              <w:pStyle w:val="TableTextSmall"/>
              <w:keepNext/>
              <w:rPr>
                <w:b/>
                <w:lang w:eastAsia="en-AU"/>
              </w:rPr>
            </w:pPr>
            <w:r w:rsidRPr="00EC326F">
              <w:rPr>
                <w:noProof/>
                <w:lang w:eastAsia="en-AU"/>
              </w:rPr>
              <w:drawing>
                <wp:inline distT="0" distB="0" distL="0" distR="0" wp14:anchorId="3B5E8D35" wp14:editId="6A493CDF">
                  <wp:extent cx="3014345" cy="1879600"/>
                  <wp:effectExtent l="0" t="0" r="0" b="6350"/>
                  <wp:docPr id="3163" name="Picture 3163" descr="This figure contains two area charts showing the cumulative number of exits from the Working Age Class by age. The age profile of male and female exits is shown separately. For both charts the horizontal axis shows age at the start of the year ranging from 0 to 110 and the vertical exits shows the cumulative number of people exiting ranging from 0 to 14,000.&#10;&#10;The left hand chart shows the average number of males exiting the class over the period from June 2014 to June 2016, by age.&#10;&#10;Both area charts show the cumulative number of people who exited the Working Age class split by class they subsequently transition to. These classes include; 1 Studying, 3 Parents, 4 Carers, 5 Disability Support, 6 Pension Age, 7 Non-IS Family, 8 Non-IS Carer, 9 Non-IS Other, 10 Previous Welfare Recipient, 11 Dead and 12 Rest of the Australian Population.&#10;&#10;The left chart shows that the majority of males who exit move to Class 10 Previous Welfare Recipient, until age 65 onwards where males who exit move almost exclusively into Class 6 Pension Age. The number of males who exit peaks firstly at age 24 with 8,400 exiting, before declining steadily until age 64 when there is 1,300 exits.  At age 65 there is a sharp increase to 9,000 exits. &#10;&#10;Further discussion of the key features shown in the chart can be found in the accompanying text within the report. &#10;" title=" Number of people leaving Class 2 – Working Age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14345" cy="1879600"/>
                          </a:xfrm>
                          <a:prstGeom prst="rect">
                            <a:avLst/>
                          </a:prstGeom>
                          <a:noFill/>
                          <a:ln>
                            <a:noFill/>
                          </a:ln>
                        </pic:spPr>
                      </pic:pic>
                    </a:graphicData>
                  </a:graphic>
                </wp:inline>
              </w:drawing>
            </w:r>
          </w:p>
        </w:tc>
        <w:tc>
          <w:tcPr>
            <w:tcW w:w="4606" w:type="dxa"/>
            <w:hideMark/>
          </w:tcPr>
          <w:p w14:paraId="199D091D" w14:textId="77777777" w:rsidR="00F7320D" w:rsidRPr="00EC326F" w:rsidRDefault="00F7320D">
            <w:pPr>
              <w:pStyle w:val="TableTextSmall"/>
              <w:keepNext/>
              <w:rPr>
                <w:lang w:eastAsia="en-AU"/>
              </w:rPr>
            </w:pPr>
            <w:r w:rsidRPr="00EC326F">
              <w:rPr>
                <w:noProof/>
                <w:lang w:eastAsia="en-AU"/>
              </w:rPr>
              <w:drawing>
                <wp:inline distT="0" distB="0" distL="0" distR="0" wp14:anchorId="24751125" wp14:editId="6B69CEE5">
                  <wp:extent cx="3014345" cy="1879600"/>
                  <wp:effectExtent l="0" t="0" r="0" b="6350"/>
                  <wp:docPr id="3162" name="Picture 3162" descr="The right hand chart shows the average number of females exiting the class over the period from June 2014 to June 2016, by age.&#10;&#10;The right chart for females shows similar trends to the male chart. The number of female exits peaks firstly at age 20 (7,800 exits), then at age 24 (7,300 exits) and later peaks again  at age 65 (12,500 exits). The main difference between the male and female charts is the variety of classes that clients subsequently transition to. The majority of females who exit move to Class 10 Previous Welfare Recipient, class 3 Parents or Class 1 Studying from ages 15 to 30. From ages 35 to 64 the majority of exiting females move into Class 10 Previous Welfare Recipient or Class 7 Non IS Family, while from age 65 onwards the majority of females exiting is almost entirely into Class 6 Pension Age." title=" Number of people entering Class 2 – Working Age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14345" cy="1879600"/>
                          </a:xfrm>
                          <a:prstGeom prst="rect">
                            <a:avLst/>
                          </a:prstGeom>
                          <a:noFill/>
                          <a:ln>
                            <a:noFill/>
                          </a:ln>
                        </pic:spPr>
                      </pic:pic>
                    </a:graphicData>
                  </a:graphic>
                </wp:inline>
              </w:drawing>
            </w:r>
          </w:p>
        </w:tc>
      </w:tr>
    </w:tbl>
    <w:p w14:paraId="31079C29" w14:textId="0BFE9981" w:rsidR="00300596" w:rsidRDefault="00300596" w:rsidP="0081675B">
      <w:pPr>
        <w:pStyle w:val="PwCNormal"/>
        <w:numPr>
          <w:ilvl w:val="0"/>
          <w:numId w:val="37"/>
        </w:numPr>
        <w:jc w:val="center"/>
      </w:pPr>
      <w:r w:rsidRPr="00EC326F">
        <w:rPr>
          <w:noProof/>
          <w:lang w:eastAsia="en-AU"/>
        </w:rPr>
        <w:drawing>
          <wp:inline distT="0" distB="0" distL="0" distR="0" wp14:anchorId="41539DB7" wp14:editId="3FD643A2">
            <wp:extent cx="5384800" cy="465455"/>
            <wp:effectExtent l="0" t="0" r="0" b="0"/>
            <wp:docPr id="291" name="Picture 291" descr="Class key: studying, working age, parents, carers, disability support, pension age, non-income support family, non-income support carer, non-income support other, previous welfare recipient, rest of the Australian population and dead. &#10;" title="Class Key for 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4800" cy="465455"/>
                    </a:xfrm>
                    <a:prstGeom prst="rect">
                      <a:avLst/>
                    </a:prstGeom>
                    <a:noFill/>
                    <a:ln>
                      <a:noFill/>
                    </a:ln>
                  </pic:spPr>
                </pic:pic>
              </a:graphicData>
            </a:graphic>
          </wp:inline>
        </w:drawing>
      </w:r>
    </w:p>
    <w:p w14:paraId="6CA468A3" w14:textId="02732AC0" w:rsidR="00F7320D" w:rsidRPr="00EC326F" w:rsidRDefault="00F7320D" w:rsidP="001A4479">
      <w:pPr>
        <w:pStyle w:val="PwCNormal"/>
        <w:numPr>
          <w:ilvl w:val="0"/>
          <w:numId w:val="37"/>
        </w:numPr>
      </w:pPr>
      <w:r w:rsidRPr="00EC326F">
        <w:t xml:space="preserve">We can see that people in this class show some mobility, with a mixture of exits from the system and movements to a range of other classes. Most people who leave this class but remain in the system tend to transition to class </w:t>
      </w:r>
      <w:r w:rsidR="00FF7EC9">
        <w:t>‘</w:t>
      </w:r>
      <w:r w:rsidRPr="00EC326F">
        <w:t xml:space="preserve">1 Studying’ (at the younger ages), class </w:t>
      </w:r>
      <w:r w:rsidR="00FF7EC9">
        <w:t>‘</w:t>
      </w:r>
      <w:r w:rsidRPr="00EC326F">
        <w:t xml:space="preserve">6 Pension Age’ (at retirement) and, for women, classes </w:t>
      </w:r>
      <w:r w:rsidR="00FF7EC9">
        <w:t>‘</w:t>
      </w:r>
      <w:r w:rsidRPr="00EC326F">
        <w:t xml:space="preserve">3 </w:t>
      </w:r>
      <w:r w:rsidR="00FF7EC9">
        <w:t>Parenting</w:t>
      </w:r>
      <w:r w:rsidRPr="00EC326F">
        <w:t xml:space="preserve">’ and </w:t>
      </w:r>
      <w:r w:rsidR="00FF7EC9">
        <w:t>‘</w:t>
      </w:r>
      <w:r w:rsidRPr="00EC326F">
        <w:t>7 Non IS Family’.</w:t>
      </w:r>
    </w:p>
    <w:p w14:paraId="7A4F30FE" w14:textId="77777777" w:rsidR="00F7320D" w:rsidRPr="00EC326F" w:rsidRDefault="00F7320D" w:rsidP="00F7320D">
      <w:pPr>
        <w:pStyle w:val="Minorheading"/>
      </w:pPr>
      <w:r w:rsidRPr="00EC326F">
        <w:t>Payments received</w:t>
      </w:r>
    </w:p>
    <w:p w14:paraId="4B17832C" w14:textId="77777777" w:rsidR="00F7320D" w:rsidRPr="00EC326F" w:rsidRDefault="00F7320D" w:rsidP="001A4479">
      <w:pPr>
        <w:pStyle w:val="PwCNormal"/>
        <w:numPr>
          <w:ilvl w:val="0"/>
          <w:numId w:val="37"/>
        </w:numPr>
      </w:pPr>
      <w:r w:rsidRPr="00EC326F">
        <w:t>During 2015/16, people in this class received a total of $14.8 billion. This is 1</w:t>
      </w:r>
      <w:r w:rsidR="00321A6F" w:rsidRPr="00EC326F">
        <w:t>3.2</w:t>
      </w:r>
      <w:r w:rsidRPr="00EC326F">
        <w:t>% of the total payments made in 2015/16. The charts below show the average amount paid in a year to each person in this class.</w:t>
      </w:r>
    </w:p>
    <w:p w14:paraId="60101569" w14:textId="77777777" w:rsidR="00F7320D" w:rsidRPr="00EC326F" w:rsidRDefault="00F7320D" w:rsidP="00F7320D">
      <w:pPr>
        <w:pStyle w:val="Caption"/>
      </w:pPr>
      <w:r w:rsidRPr="00EC326F">
        <w:lastRenderedPageBreak/>
        <w:t xml:space="preserve">Figure </w:t>
      </w:r>
      <w:fldSimple w:instr=" SEQ Figure \* ARABIC ">
        <w:r w:rsidR="007A42DF">
          <w:rPr>
            <w:noProof/>
          </w:rPr>
          <w:t>36</w:t>
        </w:r>
      </w:fldSimple>
      <w:r w:rsidRPr="00EC326F">
        <w:t xml:space="preserve">: Average payments per person in Class 2 – Working Age </w:t>
      </w:r>
      <w:r w:rsidR="00321A6F" w:rsidRPr="00EC326F">
        <w:t>(restated to 2015/16 $ values)</w:t>
      </w:r>
    </w:p>
    <w:p w14:paraId="64124298" w14:textId="5CBB6EB0" w:rsidR="00F7320D" w:rsidRPr="00EC326F" w:rsidRDefault="00F7320D" w:rsidP="001A4479">
      <w:pPr>
        <w:pStyle w:val="PwCNormal"/>
        <w:numPr>
          <w:ilvl w:val="0"/>
          <w:numId w:val="37"/>
        </w:numPr>
      </w:pPr>
      <w:r w:rsidRPr="00EC326F">
        <w:rPr>
          <w:noProof/>
          <w:lang w:eastAsia="en-AU"/>
        </w:rPr>
        <w:drawing>
          <wp:inline distT="0" distB="0" distL="0" distR="0" wp14:anchorId="6CAAB81B" wp14:editId="5723EF86">
            <wp:extent cx="5715000" cy="1998345"/>
            <wp:effectExtent l="0" t="0" r="0" b="1905"/>
            <wp:docPr id="3160" name="Picture 3160" descr="This figure is a stacked column chart. The vertical axis displays the average payment per person in the Working Age Class, ranging from $0 to $16,000.&#10;&#10;The horizontal axis is split into two sections; the first for males and the second for females. Each section is further split to show the last five financial years; 2012, 2013, 2014, 2015 and 2016.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2 was: $8,000 for 2012; $8,400 for 2013; $8,900 for 2014; $9,200 for 2015; and $9,400 for 2016.&#10;&#10;For females the approximate average payment per person in Class 2 was: $10,800 for 2012; $13,100 for 2013; $13,400 for 2014; $13,800 for 2015; and $13,300 for 2016.&#10;&#10;The majority of payments for males were from the IS Working Age category, while the majority of payments for females were from the IS Working Age and Other – FTB categories.&#10;&#10;The key features of this chart are described in the accompanying text within the report.&#10;" title=" Average payments per person in Class 2 – Working Age (restated to 2015/16 $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15000" cy="1998345"/>
                    </a:xfrm>
                    <a:prstGeom prst="rect">
                      <a:avLst/>
                    </a:prstGeom>
                    <a:noFill/>
                    <a:ln>
                      <a:noFill/>
                    </a:ln>
                  </pic:spPr>
                </pic:pic>
              </a:graphicData>
            </a:graphic>
          </wp:inline>
        </w:drawing>
      </w:r>
    </w:p>
    <w:p w14:paraId="2B91BF2D" w14:textId="77777777" w:rsidR="00F7320D" w:rsidRPr="00EC326F" w:rsidRDefault="00F7320D" w:rsidP="00F7320D">
      <w:pPr>
        <w:pStyle w:val="PwCNormal"/>
        <w:numPr>
          <w:ilvl w:val="0"/>
          <w:numId w:val="0"/>
        </w:numPr>
        <w:ind w:firstLine="720"/>
      </w:pPr>
      <w:r w:rsidRPr="00EC326F">
        <w:rPr>
          <w:noProof/>
          <w:lang w:eastAsia="en-AU"/>
        </w:rPr>
        <w:drawing>
          <wp:inline distT="0" distB="0" distL="0" distR="0" wp14:anchorId="1984D476" wp14:editId="4DFC1DAD">
            <wp:extent cx="4868545" cy="465455"/>
            <wp:effectExtent l="0" t="0" r="0" b="0"/>
            <wp:docPr id="3159" name="Picture 3159"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68545" cy="465455"/>
                    </a:xfrm>
                    <a:prstGeom prst="rect">
                      <a:avLst/>
                    </a:prstGeom>
                    <a:noFill/>
                    <a:ln>
                      <a:noFill/>
                    </a:ln>
                  </pic:spPr>
                </pic:pic>
              </a:graphicData>
            </a:graphic>
          </wp:inline>
        </w:drawing>
      </w:r>
    </w:p>
    <w:p w14:paraId="115FE1CA" w14:textId="77777777" w:rsidR="00F7320D" w:rsidRPr="00EC326F" w:rsidRDefault="00F7320D" w:rsidP="001A4479">
      <w:pPr>
        <w:pStyle w:val="PwCNormal"/>
        <w:numPr>
          <w:ilvl w:val="0"/>
          <w:numId w:val="37"/>
        </w:numPr>
      </w:pPr>
      <w:r w:rsidRPr="00EC326F">
        <w:t xml:space="preserve">During 2015/16, the average payment made was $11,200 with considerably higher average payments being made to women ($13,300) than men ($9,400). As can be seen from the chart above, this is because of their greater propensity to receive FTB and family payments alongside the main working age payment. </w:t>
      </w:r>
    </w:p>
    <w:p w14:paraId="2665BDF4" w14:textId="77777777" w:rsidR="00F7320D" w:rsidRPr="00EC326F" w:rsidRDefault="00F7320D" w:rsidP="001A4479">
      <w:pPr>
        <w:pStyle w:val="PwCNormal"/>
        <w:numPr>
          <w:ilvl w:val="0"/>
          <w:numId w:val="37"/>
        </w:numPr>
      </w:pPr>
      <w:r w:rsidRPr="00EC326F">
        <w:t>The Working Age class also contains a small group of dependants, being people receiving either Partner Allowance or Widow Allowance. The eligibility criteria for these payments are such that this group are all age 60 or above at the valuation date and almost all women. The contribution of the payments made to</w:t>
      </w:r>
      <w:r w:rsidR="00321A6F" w:rsidRPr="00EC326F">
        <w:t xml:space="preserve"> this group can be seen in the f</w:t>
      </w:r>
      <w:r w:rsidRPr="00EC326F">
        <w:t>emale section of the chart above.</w:t>
      </w:r>
    </w:p>
    <w:p w14:paraId="2834FCA1" w14:textId="77777777" w:rsidR="00F7320D" w:rsidRPr="00EC326F" w:rsidRDefault="00F7320D" w:rsidP="00F7320D">
      <w:pPr>
        <w:pStyle w:val="Heading4"/>
      </w:pPr>
      <w:bookmarkStart w:id="375" w:name="_Toc455503972"/>
      <w:bookmarkStart w:id="376" w:name="_Toc455502440"/>
      <w:bookmarkStart w:id="377" w:name="_Toc455499419"/>
      <w:r w:rsidRPr="00EC326F">
        <w:t>What have we taken into account in fitting assumptions?</w:t>
      </w:r>
      <w:bookmarkEnd w:id="375"/>
      <w:bookmarkEnd w:id="376"/>
      <w:bookmarkEnd w:id="377"/>
    </w:p>
    <w:p w14:paraId="13CC6ECE" w14:textId="77777777" w:rsidR="00F7320D" w:rsidRPr="00EC326F" w:rsidRDefault="00F7320D" w:rsidP="001A4479">
      <w:pPr>
        <w:pStyle w:val="PwCNormal"/>
        <w:numPr>
          <w:ilvl w:val="0"/>
          <w:numId w:val="37"/>
        </w:numPr>
      </w:pPr>
      <w:r w:rsidRPr="00EC326F">
        <w:t xml:space="preserve">We have adopted class movement, utilisation and payment assumptions through consideration of the risk factors that influence the experience. At this valuation, we have also incorporated several new </w:t>
      </w:r>
      <w:r w:rsidR="007C1B83" w:rsidRPr="00EC326F">
        <w:t xml:space="preserve">class characteristic </w:t>
      </w:r>
      <w:r w:rsidRPr="00EC326F">
        <w:t>variables, namely the payment type received and an indicator for whether the person has had any earnings from employment.</w:t>
      </w:r>
    </w:p>
    <w:p w14:paraId="24C37ECC" w14:textId="77777777" w:rsidR="00F7320D" w:rsidRPr="00EC326F" w:rsidRDefault="00F7320D" w:rsidP="00F7320D">
      <w:pPr>
        <w:pStyle w:val="Minorheading"/>
      </w:pPr>
      <w:r w:rsidRPr="00EC326F">
        <w:t>Class movement assumptions</w:t>
      </w:r>
    </w:p>
    <w:p w14:paraId="7AE42728" w14:textId="1D924EE0" w:rsidR="00F7320D" w:rsidRPr="00EC326F" w:rsidRDefault="00F7320D" w:rsidP="001A4479">
      <w:pPr>
        <w:pStyle w:val="PwCNormal"/>
        <w:numPr>
          <w:ilvl w:val="0"/>
          <w:numId w:val="37"/>
        </w:numPr>
      </w:pPr>
      <w:r w:rsidRPr="00EC326F">
        <w:t>In setting the class movement assumptions we have observed a slight but steady increase in the proportion of individuals remaining in this class year on year from 2012 onwards. This may partially be a flow-on effect of policy changes that reduce the ease of transitioning to other classes, such as to the Parent</w:t>
      </w:r>
      <w:r w:rsidR="00A53A6E">
        <w:t>ing</w:t>
      </w:r>
      <w:r w:rsidRPr="00EC326F">
        <w:t xml:space="preserve"> class, or to the D</w:t>
      </w:r>
      <w:r w:rsidR="00916C7F">
        <w:t xml:space="preserve">isability </w:t>
      </w:r>
      <w:r w:rsidRPr="00EC326F">
        <w:t>S</w:t>
      </w:r>
      <w:r w:rsidR="00916C7F">
        <w:t xml:space="preserve">upport </w:t>
      </w:r>
      <w:r w:rsidRPr="00EC326F">
        <w:t>P</w:t>
      </w:r>
      <w:r w:rsidR="00916C7F">
        <w:t>ension</w:t>
      </w:r>
      <w:r w:rsidRPr="00EC326F">
        <w:t xml:space="preserve"> class.</w:t>
      </w:r>
    </w:p>
    <w:p w14:paraId="1DBF1B93" w14:textId="77777777" w:rsidR="00F7320D" w:rsidRPr="00EC326F" w:rsidRDefault="00F7320D" w:rsidP="001A4479">
      <w:pPr>
        <w:pStyle w:val="PwCNormal"/>
        <w:numPr>
          <w:ilvl w:val="0"/>
          <w:numId w:val="37"/>
        </w:numPr>
      </w:pPr>
      <w:r w:rsidRPr="00EC326F">
        <w:t>For the assumptions for movements out of this class, we have considered combination of factors, both those relating to the recipient (</w:t>
      </w:r>
      <w:r w:rsidR="008536E9" w:rsidRPr="00EC326F">
        <w:t>e.g.</w:t>
      </w:r>
      <w:r w:rsidRPr="00EC326F">
        <w:t xml:space="preserve"> age, gender, education level, partnering status, employment earnings indicator, number of dependent children, and age of youngest child) and those relating to how the recipient interacts with the system (</w:t>
      </w:r>
      <w:r w:rsidR="008536E9" w:rsidRPr="00EC326F">
        <w:t>e</w:t>
      </w:r>
      <w:r w:rsidR="008536E9">
        <w:t>.</w:t>
      </w:r>
      <w:r w:rsidR="008536E9" w:rsidRPr="00EC326F">
        <w:t>g</w:t>
      </w:r>
      <w:r w:rsidRPr="00EC326F">
        <w:t>. payment type, how long they’ve been in the class, previous payment class, and detail of other payment types and supplements previously received).</w:t>
      </w:r>
    </w:p>
    <w:p w14:paraId="47919B90" w14:textId="77777777" w:rsidR="00F7320D" w:rsidRPr="00EC326F" w:rsidRDefault="00F7320D" w:rsidP="001A4479">
      <w:pPr>
        <w:pStyle w:val="PwCNormal"/>
        <w:numPr>
          <w:ilvl w:val="0"/>
          <w:numId w:val="37"/>
        </w:numPr>
      </w:pPr>
      <w:r w:rsidRPr="00EC326F">
        <w:t xml:space="preserve">Whether a person has employment earnings or not is the most significant predictor of remaining in class and therefore of a higher average lifetime cost. Recipients who are receiving </w:t>
      </w:r>
      <w:r w:rsidR="00321A6F" w:rsidRPr="00EC326F">
        <w:t>some employment</w:t>
      </w:r>
      <w:r w:rsidRPr="00EC326F">
        <w:t xml:space="preserve"> income are more likely to either transition out of the system or to a non-income support class rather than remain on income support.</w:t>
      </w:r>
      <w:r w:rsidR="00DC5951" w:rsidRPr="00EC326F">
        <w:t xml:space="preserve"> The payment type variable was also predictive, with people receiving Sickness Allowance having a higher likelihood of exiting working age payments; these people appeared to fall into one of two categories – those whose illness is temporary and are more likely to move off income support, and those with a longer term illness or disability who move into disability support.</w:t>
      </w:r>
    </w:p>
    <w:p w14:paraId="3809AFE4" w14:textId="040E606D" w:rsidR="00F7320D" w:rsidRPr="00EC326F" w:rsidRDefault="00F7320D" w:rsidP="001A4479">
      <w:pPr>
        <w:pStyle w:val="PwCNormal"/>
        <w:numPr>
          <w:ilvl w:val="0"/>
          <w:numId w:val="37"/>
        </w:numPr>
      </w:pPr>
      <w:r w:rsidRPr="00EC326F">
        <w:t xml:space="preserve">Other factors which have a significant impact on a person’s trajectory are: the highest level of education attained, their previous payment class, the length of time spent receiving working age payments, and the number of dependent children. Those who have attained a higher level of education in either a bachelor's degree or higher are relatively more likely to exit the system than those with a lower level of education attained, whereas recipients who transitioned to the </w:t>
      </w:r>
      <w:r w:rsidR="00916C7F">
        <w:t>W</w:t>
      </w:r>
      <w:r w:rsidRPr="00EC326F">
        <w:t xml:space="preserve">orking </w:t>
      </w:r>
      <w:r w:rsidR="00916C7F">
        <w:t>A</w:t>
      </w:r>
      <w:r w:rsidRPr="00EC326F">
        <w:t xml:space="preserve">ge class from within the </w:t>
      </w:r>
      <w:r w:rsidRPr="00EC326F">
        <w:lastRenderedPageBreak/>
        <w:t xml:space="preserve">welfare system are less likely to exit the system. This may be an indication that some recipients are at risk of </w:t>
      </w:r>
      <w:r w:rsidR="00795805">
        <w:t>becoming entrenched</w:t>
      </w:r>
      <w:r w:rsidRPr="00EC326F">
        <w:t xml:space="preserve"> and remaining dependent on welfare payments in the longer term.</w:t>
      </w:r>
    </w:p>
    <w:p w14:paraId="66AD89BA" w14:textId="77777777" w:rsidR="00F7320D" w:rsidRPr="00EC326F" w:rsidRDefault="00F7320D" w:rsidP="00F7320D">
      <w:pPr>
        <w:pStyle w:val="Minorheading"/>
      </w:pPr>
      <w:r w:rsidRPr="00EC326F">
        <w:t>Payment utilisation and size assumptions</w:t>
      </w:r>
    </w:p>
    <w:p w14:paraId="2A89A4D9" w14:textId="77777777" w:rsidR="00321A6F" w:rsidRPr="00EC326F" w:rsidRDefault="00321A6F" w:rsidP="001A4479">
      <w:pPr>
        <w:pStyle w:val="PwCNormal"/>
        <w:numPr>
          <w:ilvl w:val="0"/>
          <w:numId w:val="37"/>
        </w:numPr>
      </w:pPr>
      <w:r w:rsidRPr="00EC326F">
        <w:t>In terms of the payment utilisation assumptions, many people receive FTB and family payments and some receive other study and skills payments, all alongside their main income support and other living and pension supplements. The working age payment, FTB and rent assistance make up most of the overall cost. We have therefore focused on developing risk based models for these payment categories, and have adopted foundation assumptions based on age and gender only for some of the smaller payment categories. We have also developed risk based models for the utilisation of Other Family and Other New Parents.</w:t>
      </w:r>
    </w:p>
    <w:p w14:paraId="7D85F178" w14:textId="10E8A14C" w:rsidR="00321A6F" w:rsidRPr="00EC326F" w:rsidRDefault="00321A6F" w:rsidP="00321A6F">
      <w:pPr>
        <w:pStyle w:val="PwCNormal"/>
        <w:numPr>
          <w:ilvl w:val="0"/>
          <w:numId w:val="0"/>
        </w:numPr>
      </w:pPr>
      <w:r w:rsidRPr="00EC326F">
        <w:t xml:space="preserve">In addition to age and gender of recipient, the FTB and family payment models take into account partner status, number of children, age of youngest child, earnings indicator, previous welfare class and utilisation. The utilisation model for rent assistance includes factors such as number and age of children, </w:t>
      </w:r>
      <w:r w:rsidR="00B36672">
        <w:t>I</w:t>
      </w:r>
      <w:r w:rsidRPr="00EC326F">
        <w:t>ndigenous status, partner status, education level and earnings indicator. Some of these factors are a reflection of financial hardship and therefore the likelihood of requiring rent assistance.</w:t>
      </w:r>
    </w:p>
    <w:p w14:paraId="168D843A" w14:textId="77777777" w:rsidR="00321A6F" w:rsidRPr="00EC326F" w:rsidRDefault="00321A6F" w:rsidP="00321A6F">
      <w:pPr>
        <w:pStyle w:val="PwCNormal"/>
        <w:numPr>
          <w:ilvl w:val="0"/>
          <w:numId w:val="0"/>
        </w:numPr>
      </w:pPr>
      <w:r w:rsidRPr="00EC326F">
        <w:t xml:space="preserve">For the payment models we have fit risk models for the main working age income support and FTB payment categories. The working age income support model recognises information which impacts people’s payment levels and the number of weeks on payment during the year, including partner status and the duration in class. For the main working age payment, the average annual payment increases slightly with age, which may simply be a reflection of older people being more likely to be in the class for the full year. We have observed a continued increase in the main working age payment average size over time. This is likely caused by longer durations on benefit, and may also be related to having </w:t>
      </w:r>
      <w:r w:rsidR="008536E9">
        <w:t>a higher number of</w:t>
      </w:r>
      <w:r w:rsidRPr="00EC326F">
        <w:t xml:space="preserve"> older people in the class owing to the increase in female retirement age and tightening of the DSP eligibility criteria. Our average payment assumptions have been based on the average of the experience over the last 2 years, giving credibility to the more recent higher experience. </w:t>
      </w:r>
    </w:p>
    <w:p w14:paraId="4E1673D2" w14:textId="77777777" w:rsidR="00F7320D" w:rsidRPr="00EC326F" w:rsidRDefault="00321A6F" w:rsidP="00321A6F">
      <w:pPr>
        <w:pStyle w:val="PwCNormal"/>
        <w:numPr>
          <w:ilvl w:val="0"/>
          <w:numId w:val="0"/>
        </w:numPr>
      </w:pPr>
      <w:r w:rsidRPr="00EC326F">
        <w:t>The FTB payment model takes into account factors such as previous welfare utilisation, years in class, age of youngest child, number of children and partner status. The average size for FTB payments increases with age, peaking in the late thirties and reducing thereafter. This is likely a reflection of the change in the age of their dependent children as welfare recipients get older.</w:t>
      </w:r>
    </w:p>
    <w:p w14:paraId="4E661575" w14:textId="77777777" w:rsidR="00F7320D" w:rsidRPr="00EC326F" w:rsidRDefault="00F7320D" w:rsidP="00F7320D">
      <w:pPr>
        <w:pStyle w:val="Heading4"/>
      </w:pPr>
      <w:bookmarkStart w:id="378" w:name="_Toc455503973"/>
      <w:bookmarkStart w:id="379" w:name="_Toc455502441"/>
      <w:bookmarkStart w:id="380" w:name="_Toc455499420"/>
      <w:r w:rsidRPr="00EC326F">
        <w:t>What does the model show for the current Working Age group?</w:t>
      </w:r>
      <w:bookmarkEnd w:id="378"/>
      <w:bookmarkEnd w:id="379"/>
      <w:bookmarkEnd w:id="380"/>
    </w:p>
    <w:p w14:paraId="3D51FEFF" w14:textId="77777777" w:rsidR="00F7320D" w:rsidRPr="00EC326F" w:rsidRDefault="00F7320D" w:rsidP="00F7320D">
      <w:pPr>
        <w:pStyle w:val="Minorheading"/>
      </w:pPr>
      <w:r w:rsidRPr="00EC326F">
        <w:t>Lifetime costs</w:t>
      </w:r>
    </w:p>
    <w:p w14:paraId="0DB06025" w14:textId="77777777" w:rsidR="00F7320D" w:rsidRPr="00EC326F" w:rsidRDefault="00F7320D" w:rsidP="001A4479">
      <w:pPr>
        <w:pStyle w:val="PwCNormal"/>
        <w:numPr>
          <w:ilvl w:val="0"/>
          <w:numId w:val="37"/>
        </w:numPr>
      </w:pPr>
      <w:r w:rsidRPr="00EC326F">
        <w:t xml:space="preserve">We estimated the lifetime cost for the people in this class to be </w:t>
      </w:r>
      <w:r w:rsidRPr="00EC326F">
        <w:rPr>
          <w:b/>
        </w:rPr>
        <w:t>$401bn</w:t>
      </w:r>
      <w:r w:rsidRPr="00EC326F">
        <w:t xml:space="preserve"> (or </w:t>
      </w:r>
      <w:r w:rsidRPr="00EC326F">
        <w:rPr>
          <w:b/>
        </w:rPr>
        <w:t>8.9%</w:t>
      </w:r>
      <w:r w:rsidRPr="00EC326F">
        <w:t xml:space="preserve"> of the total lifetime cost). The average lifetime cost for people in this class is </w:t>
      </w:r>
      <w:r w:rsidRPr="00EC326F">
        <w:rPr>
          <w:b/>
        </w:rPr>
        <w:t>$30</w:t>
      </w:r>
      <w:r w:rsidR="00BF3343" w:rsidRPr="00EC326F">
        <w:rPr>
          <w:b/>
        </w:rPr>
        <w:t>4</w:t>
      </w:r>
      <w:r w:rsidRPr="00EC326F">
        <w:rPr>
          <w:b/>
        </w:rPr>
        <w:t>,000</w:t>
      </w:r>
      <w:r w:rsidRPr="00EC326F">
        <w:t>. The variation in average lifetime cost by age and gender is illustrated in the figure below.</w:t>
      </w:r>
    </w:p>
    <w:p w14:paraId="4265274F" w14:textId="77777777" w:rsidR="00F7320D" w:rsidRPr="00EC326F" w:rsidRDefault="00F7320D" w:rsidP="00F7320D">
      <w:pPr>
        <w:pStyle w:val="Caption"/>
      </w:pPr>
      <w:bookmarkStart w:id="381" w:name="_Ref465934421"/>
      <w:r w:rsidRPr="00EC326F">
        <w:t xml:space="preserve">Figure </w:t>
      </w:r>
      <w:fldSimple w:instr=" SEQ Figure \* ARABIC ">
        <w:r w:rsidR="007A42DF">
          <w:rPr>
            <w:noProof/>
          </w:rPr>
          <w:t>37</w:t>
        </w:r>
      </w:fldSimple>
      <w:bookmarkEnd w:id="381"/>
      <w:r w:rsidRPr="00EC326F">
        <w:t>: Average lifetime cost by age and gender (Class 2)</w:t>
      </w:r>
    </w:p>
    <w:tbl>
      <w:tblPr>
        <w:tblStyle w:val="Tables-APBase"/>
        <w:tblW w:w="493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Average lifetime cost by age and gender (Class 2)&#10;"/>
        <w:tblDescription w:val="This figure is a horizontal bar chart showing average lifetime cost by age for males and females separately. The vertical axis shows age with the data shown ranging up to age 82.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1,318,000 individuals who were in the working age class at 30 June. &#10;&#10;The average lifetime cost of males aged 15 to 25 is approximately $230,000. After this age, the average lifetime cost increases with age to approximately $290,000 for 40 year olds. From age 40 to 65, average lifetime cost has a slightly decreasing trend before peaking at $300,000 for men aged 64. As age increases, the age pension component makes up an increasing proportion of the average lifetime cost, while FTB and disability components make up a decreasing proportion. After age 65 the average lifetime cost for males decreases quickly with age.&#10;&#10;For females, the income support components of average lifetime cost are similar to males. While the working age component is slightly lower, the parenting component is higher. Females also have a much higher FTB component than males (approximately $50,000 more than males over the ages 15 to 35). After age 35, female average lifetime costs decrease gradually as the FTB component reduces. By age 65, females have an average lifetime cost of $20,000 to $30,000 more than males. After age 65, the income support components of females’ average lifetime cost is $10,000 to $20,000 more than males. Female average lifetime cost after age 65 also includes a $20,000 component in the IS dependent payment category.&#10;&#10;The features shown in the chart are discussed further in the accompanying text within the report.&#10;"/>
      </w:tblPr>
      <w:tblGrid>
        <w:gridCol w:w="5669"/>
        <w:gridCol w:w="3617"/>
      </w:tblGrid>
      <w:tr w:rsidR="00F7320D" w:rsidRPr="00EC326F" w14:paraId="459152E1" w14:textId="77777777" w:rsidTr="009C6553">
        <w:trPr>
          <w:tblHeader/>
        </w:trPr>
        <w:tc>
          <w:tcPr>
            <w:tcW w:w="5670" w:type="dxa"/>
            <w:hideMark/>
          </w:tcPr>
          <w:p w14:paraId="3DA1E08F" w14:textId="4780A3BF" w:rsidR="00F7320D" w:rsidRPr="00EC326F" w:rsidRDefault="00055AC1">
            <w:pPr>
              <w:pStyle w:val="TableTextSmall"/>
              <w:keepNext/>
              <w:rPr>
                <w:lang w:eastAsia="en-AU"/>
              </w:rPr>
            </w:pPr>
            <w:r w:rsidRPr="00055AC1">
              <w:rPr>
                <w:noProof/>
                <w:lang w:eastAsia="en-AU"/>
              </w:rPr>
              <w:drawing>
                <wp:inline distT="0" distB="0" distL="0" distR="0" wp14:anchorId="5B2825D9" wp14:editId="578AB771">
                  <wp:extent cx="3355639" cy="2160000"/>
                  <wp:effectExtent l="0" t="0" r="0" b="0"/>
                  <wp:docPr id="1045" name="Picture 5" descr="This figure is a horizontal bar chart showing average lifetime cost by age for males and females separately. The vertical axis shows age with the data shown ranging up to age 82.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1,318,000 individuals who were in the working age class at 30 June. &#10;&#10;The average lifetime cost of males aged 15 to 25 is approximately $230,000. After this age, the average lifetime cost increases with age to approximately $290,000 for 40 year olds. From age 40 to 65, average lifetime cost has a slightly decreasing trend before peaking at $300,000 for men aged 64. As age increases, the age pension component makes up an increasing proportion of the average lifetime cost, while FTB and disability components make up a decreasing proportion. After age 65 the average lifetime cost for males decreases quickly with age.&#10;&#10;For females, the income support components of average lifetime cost are similar to males. While the working age component is slightly lower, the parenting component is higher. Females also have a much higher FTB component than males (approximately $50,000 more than males over the ages 15 to 35). After age 35, female average lifetime costs decrease gradually as the FTB component reduces. By age 65, females have an average lifetime cost of $20,000 to $30,000 more than males. After age 65, the income support components of females’ average lifetime cost is $10,000 to $20,000 more than males. Female average lifetime cost after age 65 also includes a $20,000 component in the IS dependent payment category.&#10;&#10;The features shown in the chart are discussed further in the accompanying text within the report.&#10;" title=" Average lifetime cost by age and gender (Clas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4"/>
                          <a:stretch>
                            <a:fillRect/>
                          </a:stretch>
                        </pic:blipFill>
                        <pic:spPr>
                          <a:xfrm>
                            <a:off x="0" y="0"/>
                            <a:ext cx="3355639" cy="2160000"/>
                          </a:xfrm>
                          <a:prstGeom prst="rect">
                            <a:avLst/>
                          </a:prstGeom>
                        </pic:spPr>
                      </pic:pic>
                    </a:graphicData>
                  </a:graphic>
                </wp:inline>
              </w:drawing>
            </w:r>
          </w:p>
        </w:tc>
        <w:tc>
          <w:tcPr>
            <w:tcW w:w="3617" w:type="dxa"/>
          </w:tcPr>
          <w:p w14:paraId="0630A625" w14:textId="77777777" w:rsidR="00F7320D" w:rsidRPr="00EC326F" w:rsidRDefault="00F7320D">
            <w:pPr>
              <w:pStyle w:val="TableTextSmall"/>
              <w:keepNext/>
              <w:rPr>
                <w:lang w:eastAsia="en-AU"/>
              </w:rPr>
            </w:pPr>
          </w:p>
          <w:p w14:paraId="136284E7" w14:textId="77777777" w:rsidR="00F7320D" w:rsidRPr="00EC326F" w:rsidRDefault="00F7320D">
            <w:pPr>
              <w:pStyle w:val="TableTextSmall"/>
              <w:keepNext/>
              <w:rPr>
                <w:lang w:eastAsia="en-AU"/>
              </w:rPr>
            </w:pPr>
            <w:r w:rsidRPr="00EC326F">
              <w:rPr>
                <w:noProof/>
                <w:lang w:eastAsia="en-AU"/>
              </w:rPr>
              <w:drawing>
                <wp:inline distT="0" distB="0" distL="0" distR="0" wp14:anchorId="1BA493A7" wp14:editId="480D4C66">
                  <wp:extent cx="1075055" cy="1608455"/>
                  <wp:effectExtent l="0" t="0" r="0" b="0"/>
                  <wp:docPr id="3157" name="Picture 3157"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5055" cy="1608455"/>
                          </a:xfrm>
                          <a:prstGeom prst="rect">
                            <a:avLst/>
                          </a:prstGeom>
                          <a:noFill/>
                          <a:ln>
                            <a:noFill/>
                          </a:ln>
                        </pic:spPr>
                      </pic:pic>
                    </a:graphicData>
                  </a:graphic>
                </wp:inline>
              </w:drawing>
            </w:r>
          </w:p>
        </w:tc>
      </w:tr>
    </w:tbl>
    <w:p w14:paraId="73256E15" w14:textId="77777777" w:rsidR="00F7320D" w:rsidRPr="00EC326F" w:rsidRDefault="00F7320D" w:rsidP="00F7320D">
      <w:pPr>
        <w:pStyle w:val="PwCNormal"/>
        <w:numPr>
          <w:ilvl w:val="0"/>
          <w:numId w:val="0"/>
        </w:numPr>
      </w:pPr>
      <w:r w:rsidRPr="00EC326F">
        <w:t>The vast majority of people in this class are in the age range 15 to 65. The other people in this class are generally receiving some of the smaller payment types such as special benefit and sickness allowance.</w:t>
      </w:r>
    </w:p>
    <w:p w14:paraId="7DFD0E7E" w14:textId="77777777" w:rsidR="00F7320D" w:rsidRPr="00EC326F" w:rsidRDefault="00F7320D" w:rsidP="00F7320D">
      <w:pPr>
        <w:pStyle w:val="PwCNormal"/>
        <w:numPr>
          <w:ilvl w:val="0"/>
          <w:numId w:val="0"/>
        </w:numPr>
      </w:pPr>
      <w:r w:rsidRPr="00EC326F">
        <w:lastRenderedPageBreak/>
        <w:t xml:space="preserve">The largest part of the lifetime cost is from the age pension (note that we expect to see this across most of the classes). As a proportion of the total lifetime cost, the age pension component increases with age up to age 65, as most people under retirement age are expected to enter the age pension on retirement. </w:t>
      </w:r>
    </w:p>
    <w:p w14:paraId="7021E325" w14:textId="77777777" w:rsidR="00F7320D" w:rsidRPr="00EC326F" w:rsidRDefault="00F7320D" w:rsidP="00F7320D">
      <w:pPr>
        <w:pStyle w:val="PwCNormal"/>
        <w:numPr>
          <w:ilvl w:val="0"/>
          <w:numId w:val="0"/>
        </w:numPr>
      </w:pPr>
      <w:r w:rsidRPr="00EC326F">
        <w:t>The other main components of the lifetime cost are for working age payments, disability support pension, and carer payments. Parenting, FTB and family payments are also significant for women up to around age 50.</w:t>
      </w:r>
    </w:p>
    <w:p w14:paraId="5F13E785" w14:textId="77777777" w:rsidR="009A427B" w:rsidRPr="002A0A1A" w:rsidRDefault="009A427B" w:rsidP="001A4479">
      <w:pPr>
        <w:pStyle w:val="PwCNormal"/>
        <w:numPr>
          <w:ilvl w:val="0"/>
          <w:numId w:val="37"/>
        </w:numPr>
      </w:pPr>
      <w:r w:rsidRPr="00EC326F">
        <w:t xml:space="preserve">The chart below compares the average future lifetime cost for the groups of people in the class receiving different payment types. </w:t>
      </w:r>
    </w:p>
    <w:p w14:paraId="19A5B482" w14:textId="77777777" w:rsidR="00F7320D" w:rsidRPr="00EC326F" w:rsidRDefault="00F7320D" w:rsidP="00F7320D">
      <w:pPr>
        <w:pStyle w:val="Caption"/>
      </w:pPr>
      <w:r w:rsidRPr="00EC326F">
        <w:t xml:space="preserve">Figure </w:t>
      </w:r>
      <w:fldSimple w:instr=" SEQ Figure \* ARABIC ">
        <w:r w:rsidR="007A42DF">
          <w:rPr>
            <w:noProof/>
          </w:rPr>
          <w:t>38</w:t>
        </w:r>
      </w:fldSimple>
      <w:r w:rsidRPr="00EC326F">
        <w:t>: Average lifetime cost by age, gender and payment type (Class 2)</w:t>
      </w:r>
    </w:p>
    <w:tbl>
      <w:tblPr>
        <w:tblW w:w="5000" w:type="pct"/>
        <w:tblLayout w:type="fixed"/>
        <w:tblLook w:val="04A0" w:firstRow="1" w:lastRow="0" w:firstColumn="1" w:lastColumn="0" w:noHBand="0" w:noVBand="1"/>
        <w:tblCaption w:val=" Average lifetime cost by age, gender and payment type (Class 2)"/>
        <w:tblDescription w:val="This figure is a line chart showing the average lifetime cost by age and payment type for clients in the Working Age Class. The vertical axis shows age ranging from 0 to 110. The horizontal axis is split into two sections; the left section displays average lifetime cost for males ranging from 0 to $700,000 and the right section displays average lifetime cost for females ranging from 0 to $700,000. &#10;&#10;Average lifetime cost is shown by distinct lines for the following Working Age payment types; Newstart, Sickness Allowance, Partner Allowance, Widow Allowance, Youth Allowance (Other) and Other. There is an additional line showing the average lifetime cost across all payment types.&#10;&#10;Lines are only shown for ages where there is sufficient data. For Newstart and Sickness Allowance there is data for clients aged between 22 and 65. For Widow Allowance, data is available for selected ages over 60. There is sufficient Youth Allowance (Other) data between ages 16 and 26. There is limited lifetime cost data for the remaining payment types.&#10;&#10;The average lifetime cost of males (across all payment types) aged 15 to 25 is approximately $230,000. After this age, the average lifetime cost increases with age to approximately $290,000 for 40 year olds. From age 40 to 65, average lifetime cost is roughly level with a single peak at $300,000 for men aged 64.After age 65 the average lifetime cost for males decreases quickly with age.&#10;&#10;Between ages 15 to 65 the profile of average lifetime cost (across all payment types) is similar to that of males, however, it is approximately $80,000 higher and reduces with age up to age 65. By age 65, females have an average lifetime cost that is approximately $30,000 greater than males. After age 65, the male and female profile is similar.&#10;&#10;In contrast to the class average, the average lifetime costs of those receiving Sickness Allowance and Youth Allowance (Other) are notably lower. Males receiving Sickness Allowance have average lifetime costs that are approximately $40,000 less than other males in the class. Females receiving Sickness Allowance have average lifetime costs that are approximately $50,000 less than other females in the class.&#10;&#10;Males receiving Youth Allowance (Other) have average lifetime costs up to $70,000 less than other males in the class, whilst females receiving Youth Allowance (Other) have average lifetime costs up to $100,000 less than other females in the class&#10;&#10;Women aged 61 – 64 receiving Widow allowance have average lifetime costs up to $60,000 greater than other women in the working age class. However, women aged 65+ receiving the Widow Allowance tend to have average lifetime costs of similar magnitude to other women in the class.&#10;&#10;The features shown in the chart are discussed further in the accompanying text within the report.&#10;"/>
      </w:tblPr>
      <w:tblGrid>
        <w:gridCol w:w="5930"/>
        <w:gridCol w:w="3471"/>
      </w:tblGrid>
      <w:tr w:rsidR="00F7320D" w:rsidRPr="00EC326F" w14:paraId="185F3C9C" w14:textId="77777777" w:rsidTr="001B43B4">
        <w:trPr>
          <w:trHeight w:val="3402"/>
          <w:tblHeader/>
        </w:trPr>
        <w:tc>
          <w:tcPr>
            <w:tcW w:w="5930" w:type="dxa"/>
            <w:hideMark/>
          </w:tcPr>
          <w:p w14:paraId="050A94E1" w14:textId="76D0CA68" w:rsidR="00F7320D" w:rsidRPr="00EC326F" w:rsidRDefault="00E915CF" w:rsidP="00AC0715">
            <w:pPr>
              <w:pStyle w:val="TableTextSmall"/>
            </w:pPr>
            <w:r w:rsidRPr="00E915CF">
              <w:rPr>
                <w:noProof/>
                <w:lang w:eastAsia="en-AU"/>
              </w:rPr>
              <w:drawing>
                <wp:inline distT="0" distB="0" distL="0" distR="0" wp14:anchorId="5DDCF623" wp14:editId="4975AB6E">
                  <wp:extent cx="2358000" cy="3531600"/>
                  <wp:effectExtent l="3810" t="0" r="8255" b="8255"/>
                  <wp:docPr id="853" name="Picture 853" descr="This figure is a line chart showing the average lifetime cost by age and payment type for clients in the Working Age Class. The vertical axis shows age ranging from 0 to 110. The horizontal axis is split into two sections; the left section displays average lifetime cost for males ranging from 0 to $700,000 and the right section displays average lifetime cost for females ranging from 0 to $700,000. &#10;&#10;Average lifetime cost is shown by distinct lines for the following Working Age payment types; Newstart, Sickness Allowance, Partner Allowance, Widow Allowance, Youth Allowance (Other) and Other. There is an additional line showing the average lifetime cost across all payment types.&#10;&#10;Lines are only shown for ages where there is sufficient data. For Newstart and Sickness Allowance there is data for clients aged between 22 and 65. For Widow Allowance, data is available for selected ages over 60. There is sufficient Youth Allowance (Other) data between ages 16 and 26. There is limited lifetime cost data for the remaining payment types.&#10;&#10;The average lifetime cost of males (across all payment types) aged 15 to 25 is approximately $230,000. After this age, the average lifetime cost increases with age to approximately $290,000 for 40 year olds. From age 40 to 65, average lifetime cost is roughly level with a single peak at $300,000 for men aged 64.After age 65 the average lifetime cost for males decreases quickly with age.&#10;&#10;Between ages 15 to 65 the profile of average lifetime cost (across all payment types) is similar to that of males, however, it is approximately $80,000 higher and reduces with age up to age 65. By age 65, females have an average lifetime cost that is approximately $30,000 greater than males. After age 65, the male and female profile is similar.&#10;&#10;In contrast to the class average, the average lifetime costs of those receiving Sickness Allowance and Youth Allowance (Other) are notably lower. Males receiving Sickness Allowance have average lifetime costs that are approximately $40,000 less than other males in the class. Females receiving Sickness Allowance have average lifetime costs that are approximately $50,000 less than other females in the class.&#10;&#10;Males receiving Youth Allowance (Other) have average lifetime costs up to $70,000 less than other males in the class, whilst females receiving Youth Allowance (Other) have average lifetime costs up to $100,000 less than other females in the class&#10;&#10;Women aged 61 – 64 receiving Widow allowance have average lifetime costs up to $60,000 greater than other women in the working age class. However, women aged 65+ receiving the Widow Allowance tend to have average lifetime costs of similar magnitude to other women in the class.&#10;&#10;The features shown in the chart are discussed further in the accompanying text within the report.&#10;" title=" Average lifetime cost by age, gender and payment type (Class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6200000">
                            <a:off x="0" y="0"/>
                            <a:ext cx="2358000" cy="3531600"/>
                          </a:xfrm>
                          <a:prstGeom prst="rect">
                            <a:avLst/>
                          </a:prstGeom>
                          <a:noFill/>
                          <a:ln>
                            <a:noFill/>
                          </a:ln>
                        </pic:spPr>
                      </pic:pic>
                    </a:graphicData>
                  </a:graphic>
                </wp:inline>
              </w:drawing>
            </w:r>
          </w:p>
        </w:tc>
        <w:tc>
          <w:tcPr>
            <w:tcW w:w="3471" w:type="dxa"/>
          </w:tcPr>
          <w:p w14:paraId="01FE3151" w14:textId="77777777" w:rsidR="00F7320D" w:rsidRPr="00EC326F" w:rsidRDefault="00F7320D">
            <w:pPr>
              <w:pStyle w:val="TableTextSmall"/>
            </w:pPr>
          </w:p>
          <w:p w14:paraId="6BFFCEFF" w14:textId="42F1E2C7" w:rsidR="00F7320D" w:rsidRPr="00EC326F" w:rsidRDefault="00AC0715">
            <w:pPr>
              <w:pStyle w:val="TableTextSmall"/>
            </w:pPr>
            <w:r w:rsidRPr="00AC0715">
              <w:rPr>
                <w:noProof/>
                <w:lang w:eastAsia="en-AU"/>
              </w:rPr>
              <w:drawing>
                <wp:inline distT="0" distB="0" distL="0" distR="0" wp14:anchorId="0CEFE4B9" wp14:editId="73B31DDB">
                  <wp:extent cx="1467979" cy="1137684"/>
                  <wp:effectExtent l="0" t="0" r="0" b="5715"/>
                  <wp:docPr id="317" name="Picture 317" descr="Legend: Newstart, Sickness Allowance, Widow Allowance, Youth Allowance (Other), Average in Class 2" title="Legend for 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72866" cy="1141471"/>
                          </a:xfrm>
                          <a:prstGeom prst="rect">
                            <a:avLst/>
                          </a:prstGeom>
                          <a:noFill/>
                          <a:ln>
                            <a:noFill/>
                          </a:ln>
                        </pic:spPr>
                      </pic:pic>
                    </a:graphicData>
                  </a:graphic>
                </wp:inline>
              </w:drawing>
            </w:r>
          </w:p>
          <w:p w14:paraId="6D42024D" w14:textId="77777777" w:rsidR="00F7320D" w:rsidRPr="00EC326F" w:rsidRDefault="00F7320D">
            <w:pPr>
              <w:pStyle w:val="TableTextSmall"/>
            </w:pPr>
          </w:p>
        </w:tc>
      </w:tr>
    </w:tbl>
    <w:p w14:paraId="57CC7948" w14:textId="77777777" w:rsidR="00300596" w:rsidRDefault="00300596" w:rsidP="00300596">
      <w:pPr>
        <w:pStyle w:val="Sources"/>
      </w:pPr>
      <w:r w:rsidRPr="00EC326F">
        <w:t>Note</w:t>
      </w:r>
      <w:r>
        <w:t>s</w:t>
      </w:r>
      <w:r w:rsidRPr="00EC326F">
        <w:t xml:space="preserve">: </w:t>
      </w:r>
    </w:p>
    <w:p w14:paraId="5A55B0E5" w14:textId="77777777" w:rsidR="00300596" w:rsidRDefault="00300596" w:rsidP="00300596">
      <w:pPr>
        <w:pStyle w:val="Sources"/>
      </w:pPr>
      <w:r w:rsidRPr="00EC326F">
        <w:t xml:space="preserve">Lines are only shown for ages </w:t>
      </w:r>
      <w:r>
        <w:t xml:space="preserve">and payment types </w:t>
      </w:r>
      <w:r w:rsidRPr="00EC326F">
        <w:t xml:space="preserve">where there are sufficient numbers of people. The black dotted line is the average across all payment types, and corresponds to the average lifetime cost (total of all payment categories) shown in </w:t>
      </w:r>
      <w:r w:rsidRPr="00EC326F">
        <w:fldChar w:fldCharType="begin"/>
      </w:r>
      <w:r w:rsidRPr="00EC326F">
        <w:instrText xml:space="preserve"> REF _Ref465934421 \h  \* MERGEFORMAT </w:instrText>
      </w:r>
      <w:r w:rsidRPr="00EC326F">
        <w:fldChar w:fldCharType="separate"/>
      </w:r>
      <w:r w:rsidRPr="00EC326F">
        <w:t xml:space="preserve">Figure </w:t>
      </w:r>
      <w:r>
        <w:t>37</w:t>
      </w:r>
      <w:r w:rsidRPr="00EC326F">
        <w:fldChar w:fldCharType="end"/>
      </w:r>
      <w:r w:rsidRPr="00EC326F">
        <w:t xml:space="preserve"> above.</w:t>
      </w:r>
    </w:p>
    <w:p w14:paraId="1F77F3B0" w14:textId="2470370E" w:rsidR="00300596" w:rsidRDefault="00300596" w:rsidP="00300596">
      <w:pPr>
        <w:pStyle w:val="PwCNormal"/>
        <w:numPr>
          <w:ilvl w:val="0"/>
          <w:numId w:val="37"/>
        </w:numPr>
      </w:pPr>
      <w:r>
        <w:t>As most people in this class are receiving Newstart payments, the Newstart line is very close to the Class 2 average.</w:t>
      </w:r>
    </w:p>
    <w:p w14:paraId="19D4E7C9" w14:textId="77777777" w:rsidR="00F7320D" w:rsidRPr="00EC326F" w:rsidRDefault="00F7320D" w:rsidP="001A4479">
      <w:pPr>
        <w:pStyle w:val="PwCNormal"/>
        <w:numPr>
          <w:ilvl w:val="0"/>
          <w:numId w:val="37"/>
        </w:numPr>
      </w:pPr>
      <w:r w:rsidRPr="00EC326F">
        <w:t>From the chart, we can see that people on Sickness Allowance have a significantly lower cost than the overall average in this class (which is predominantly people on Newstart), possibly reflecting the temporary nature of this payment type. People remaining on Youth Allowance above age 21 also tend to have a lower average cost compared to those who have transitioned onto Newstart.</w:t>
      </w:r>
    </w:p>
    <w:p w14:paraId="17CCBA93" w14:textId="77777777" w:rsidR="00F7320D" w:rsidRPr="00EC326F" w:rsidRDefault="00F7320D" w:rsidP="00F7320D">
      <w:pPr>
        <w:pStyle w:val="Minorheading"/>
      </w:pPr>
      <w:r w:rsidRPr="00EC326F">
        <w:t>Change in lifetime costs since the baseline valuation</w:t>
      </w:r>
    </w:p>
    <w:p w14:paraId="241E67DB" w14:textId="77777777" w:rsidR="006752A8" w:rsidRPr="00EC326F" w:rsidRDefault="006752A8" w:rsidP="006752A8">
      <w:pPr>
        <w:pStyle w:val="PwCNormal"/>
        <w:numPr>
          <w:ilvl w:val="0"/>
          <w:numId w:val="0"/>
        </w:numPr>
      </w:pPr>
      <w:r w:rsidRPr="00EC326F">
        <w:t>The lifetime cost for the people in this class of $401bn is a reduction of $10bn compared to the baseline valuation. This was primarily driven by a reduction in the average cost (as opposed to a change in population in this class):</w:t>
      </w:r>
    </w:p>
    <w:p w14:paraId="3D82F6DA" w14:textId="77777777" w:rsidR="006752A8" w:rsidRPr="00EC326F" w:rsidRDefault="006752A8" w:rsidP="001A4479">
      <w:pPr>
        <w:pStyle w:val="Bullet1"/>
        <w:numPr>
          <w:ilvl w:val="0"/>
          <w:numId w:val="39"/>
        </w:numPr>
      </w:pPr>
      <w:r w:rsidRPr="00EC326F">
        <w:t>The number of people in this class has increased slightly since the previous valuation, with expected growth being offset by lower entries than expected (particularly from previous welfare recipients).</w:t>
      </w:r>
    </w:p>
    <w:p w14:paraId="6444EF2C" w14:textId="77777777" w:rsidR="006752A8" w:rsidRPr="00EC326F" w:rsidRDefault="006752A8" w:rsidP="001A4479">
      <w:pPr>
        <w:pStyle w:val="Bullet1"/>
        <w:numPr>
          <w:ilvl w:val="0"/>
          <w:numId w:val="39"/>
        </w:numPr>
      </w:pPr>
      <w:r w:rsidRPr="00EC326F">
        <w:t xml:space="preserve">The average cost has reduced by $11,000 (3.5%) since the previous valuation. The following table provides a breakdown of the change in average lifetime cost by </w:t>
      </w:r>
      <w:r w:rsidR="00321A6F" w:rsidRPr="00EC326F">
        <w:t xml:space="preserve">grouped </w:t>
      </w:r>
      <w:r w:rsidRPr="00EC326F">
        <w:t>payment category.</w:t>
      </w:r>
    </w:p>
    <w:p w14:paraId="43984CFE" w14:textId="77777777" w:rsidR="006752A8" w:rsidRPr="00EC326F" w:rsidRDefault="006752A8" w:rsidP="006752A8">
      <w:pPr>
        <w:pStyle w:val="Caption"/>
      </w:pPr>
      <w:r w:rsidRPr="00EC326F">
        <w:lastRenderedPageBreak/>
        <w:t xml:space="preserve">Table </w:t>
      </w:r>
      <w:fldSimple w:instr=" SEQ Table \* ARABIC ">
        <w:r w:rsidR="007A42DF">
          <w:rPr>
            <w:noProof/>
          </w:rPr>
          <w:t>28</w:t>
        </w:r>
      </w:fldSimple>
      <w:r w:rsidRPr="00EC326F">
        <w:t>: Breakdown of change in average lifetime cost for Class 2 by payment category</w:t>
      </w:r>
    </w:p>
    <w:tbl>
      <w:tblPr>
        <w:tblStyle w:val="ListTable3-Accent62"/>
        <w:tblW w:w="9781" w:type="dxa"/>
        <w:tblInd w:w="108" w:type="dxa"/>
        <w:tblLayout w:type="fixed"/>
        <w:tblCellMar>
          <w:left w:w="57" w:type="dxa"/>
          <w:right w:w="57" w:type="dxa"/>
        </w:tblCellMar>
        <w:tblLook w:val="04A0" w:firstRow="1" w:lastRow="0" w:firstColumn="1" w:lastColumn="0" w:noHBand="0" w:noVBand="1"/>
        <w:tblCaption w:val=" Breakdown of change in average lifetime cost for Class 2 by payment category&#10;&#10;&#10;&#10;"/>
        <w:tblDescription w:val="This table shows the breakdown of the total change in average lifetime cost for Class 2 into; change in population, change in inflation, impact of new economic module, policy changes and other changes. These are shown as rows in the table.&#10;&#10;The changes in lifetime cost are considered by relevant payment categories for Class 2; IS Working Age, IS Other (excluding the pension), IS Age Pension, Non IS Family Supplements and Non IS Other Supplements. These are shown as columns in the table alongside a total change column.&#10;&#10;For Class 2, the Jun 15 Total Lifetime cost is $410bn and the Jun 16 Total Lifetime cost is $401bn. This gives a change in the total lifetime cost of -$10bn, a 2.4% reduction. This 2.4% reduction is comprised of a 1.2% increase due to population changes and a 3.5% ($11,000) decrease driven by changes in average lifetime cost. Less than $1,000 of this change is attributable to changes in inflation, approximately -$13,000 of this change is due to the impact of the economics module, while policy and other changes each contribute $1,000 to the change.&#10;&#10;The average lifetime cost of clients in the IS Working Age payment category has decreased by approximately $5,000. This change is predominantly due to the impact of new economics module.&#10;&#10;The average lifetime cost of clients in the other IS payment categories (excluding the Age Pension) has decreased by approximately $3,000. Inflation, policy changes and other changes each contributed less than $1000 each to this change. Approximately $3,000 of the change is driven by the introduction of the new economics module.&#10;&#10;The average lifetime cost of clients in the IS Age Pension payment category has increased by approximately $2,000. The economics module reduced the average lifetime cost by $3,000, however this was offset by a $4,000 increase due to other changes. Inflation and policy changes contributed less than $1,000 each to the total change.&#10;&#10;The average lifetime cost of clients in the Non IS Family Supplements payment categories (H,I,J) has decreased by approximately $3,000. This was primarily caused by policy changes (-$1,000). Changes due to inflation, the economics module and other changes were less than $1,000 each.&#10;&#10;The average lifetime cost of clients in the Non IS Other Supplements payment categories has decreased by approximately $2,000. The changes due to the economics module were approximately $1,000 whilst other changes, inflation and policy changes were less than $1,000 each.&#10;"/>
      </w:tblPr>
      <w:tblGrid>
        <w:gridCol w:w="3119"/>
        <w:gridCol w:w="1276"/>
        <w:gridCol w:w="992"/>
        <w:gridCol w:w="992"/>
        <w:gridCol w:w="992"/>
        <w:gridCol w:w="1205"/>
        <w:gridCol w:w="1205"/>
      </w:tblGrid>
      <w:tr w:rsidR="00161330" w:rsidRPr="00EC326F" w14:paraId="71D31D25" w14:textId="77777777" w:rsidTr="009F52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44CE763A" w14:textId="77777777" w:rsidR="00161330" w:rsidRPr="00EC326F" w:rsidRDefault="00161330" w:rsidP="00716FF0">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3F9A73A0" w14:textId="77777777" w:rsidR="00161330" w:rsidRPr="00EC326F" w:rsidRDefault="00161330"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992" w:type="dxa"/>
            <w:tcBorders>
              <w:left w:val="single" w:sz="4" w:space="0" w:color="FFFFFF" w:themeColor="background1"/>
              <w:bottom w:val="single" w:sz="4" w:space="0" w:color="FFFFFF" w:themeColor="background1"/>
              <w:right w:val="nil"/>
            </w:tcBorders>
          </w:tcPr>
          <w:p w14:paraId="560D6ED8" w14:textId="770A3CE4" w:rsidR="00161330" w:rsidRPr="00EC326F" w:rsidRDefault="00161330"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p>
        </w:tc>
        <w:tc>
          <w:tcPr>
            <w:tcW w:w="992" w:type="dxa"/>
            <w:tcBorders>
              <w:left w:val="nil"/>
              <w:bottom w:val="single" w:sz="4" w:space="0" w:color="FFFFFF" w:themeColor="background1"/>
              <w:right w:val="nil"/>
            </w:tcBorders>
          </w:tcPr>
          <w:p w14:paraId="5C62295C" w14:textId="3CD9A6E8" w:rsidR="00161330" w:rsidRPr="00E27379" w:rsidRDefault="00161330"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rPr>
            </w:pPr>
            <w:r w:rsidRPr="00E27379">
              <w:rPr>
                <w:rFonts w:asciiTheme="majorHAnsi" w:hAnsiTheme="majorHAnsi"/>
                <w:bCs w:val="0"/>
                <w:color w:val="FFFFFF" w:themeColor="background1"/>
              </w:rPr>
              <w:t>IS</w:t>
            </w:r>
          </w:p>
        </w:tc>
        <w:tc>
          <w:tcPr>
            <w:tcW w:w="992" w:type="dxa"/>
            <w:tcBorders>
              <w:left w:val="nil"/>
              <w:bottom w:val="single" w:sz="4" w:space="0" w:color="FFFFFF" w:themeColor="background1"/>
              <w:right w:val="single" w:sz="4" w:space="0" w:color="FFFFFF" w:themeColor="background1"/>
            </w:tcBorders>
          </w:tcPr>
          <w:p w14:paraId="235291D3" w14:textId="291CEF1A" w:rsidR="00161330" w:rsidRPr="00EC326F" w:rsidRDefault="00161330"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05" w:type="dxa"/>
            <w:tcBorders>
              <w:left w:val="single" w:sz="4" w:space="0" w:color="FFFFFF" w:themeColor="background1"/>
              <w:bottom w:val="single" w:sz="4" w:space="0" w:color="FFFFFF" w:themeColor="background1"/>
            </w:tcBorders>
          </w:tcPr>
          <w:p w14:paraId="41604D74" w14:textId="5ECEDE9A" w:rsidR="00161330" w:rsidRPr="00EC326F" w:rsidRDefault="00161330" w:rsidP="00716FF0">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Pr>
                <w:rFonts w:asciiTheme="majorHAnsi" w:hAnsiTheme="majorHAnsi"/>
                <w:color w:val="FFFFFF" w:themeColor="background1"/>
              </w:rPr>
              <w:t>Non</w:t>
            </w:r>
          </w:p>
        </w:tc>
        <w:tc>
          <w:tcPr>
            <w:tcW w:w="1205" w:type="dxa"/>
            <w:tcBorders>
              <w:bottom w:val="single" w:sz="4" w:space="0" w:color="FFFFFF" w:themeColor="background1"/>
            </w:tcBorders>
          </w:tcPr>
          <w:p w14:paraId="31B1172E" w14:textId="4F8853D5" w:rsidR="00161330" w:rsidRPr="00EC326F" w:rsidRDefault="00161330" w:rsidP="00716FF0">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rPr>
              <w:t>IS</w:t>
            </w:r>
          </w:p>
        </w:tc>
      </w:tr>
      <w:tr w:rsidR="006752A8" w:rsidRPr="00EC326F" w14:paraId="1DF664B5" w14:textId="77777777" w:rsidTr="009F52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4B1201B0" w14:textId="77777777" w:rsidR="006752A8" w:rsidRPr="00EC326F" w:rsidRDefault="006752A8" w:rsidP="00716FF0">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0CD7907C" w14:textId="77777777" w:rsidR="006752A8" w:rsidRPr="00EC326F" w:rsidRDefault="006752A8"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992" w:type="dxa"/>
            <w:tcBorders>
              <w:top w:val="single" w:sz="4" w:space="0" w:color="FFFFFF" w:themeColor="background1"/>
              <w:left w:val="single" w:sz="4" w:space="0" w:color="FFFFFF" w:themeColor="background1"/>
              <w:bottom w:val="single" w:sz="4" w:space="0" w:color="E0301E" w:themeColor="accent6"/>
            </w:tcBorders>
          </w:tcPr>
          <w:p w14:paraId="44CEACD4" w14:textId="77777777" w:rsidR="006752A8" w:rsidRPr="00EC326F" w:rsidRDefault="006752A8"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Working Age</w:t>
            </w:r>
          </w:p>
        </w:tc>
        <w:tc>
          <w:tcPr>
            <w:tcW w:w="992" w:type="dxa"/>
            <w:tcBorders>
              <w:top w:val="single" w:sz="4" w:space="0" w:color="FFFFFF" w:themeColor="background1"/>
              <w:bottom w:val="single" w:sz="4" w:space="0" w:color="E0301E" w:themeColor="accent6"/>
            </w:tcBorders>
          </w:tcPr>
          <w:p w14:paraId="47C91B4E" w14:textId="77777777" w:rsidR="006752A8" w:rsidRPr="00EC326F" w:rsidRDefault="006752A8"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w:t>
            </w:r>
            <w:r w:rsidRPr="00EC326F">
              <w:rPr>
                <w:rFonts w:asciiTheme="majorHAnsi" w:hAnsiTheme="majorHAnsi"/>
                <w:b w:val="0"/>
                <w:color w:val="FFFFFF" w:themeColor="background1"/>
              </w:rPr>
              <w:br/>
              <w:t>(excl. Age Pension)</w:t>
            </w:r>
          </w:p>
        </w:tc>
        <w:tc>
          <w:tcPr>
            <w:tcW w:w="992" w:type="dxa"/>
            <w:tcBorders>
              <w:top w:val="single" w:sz="4" w:space="0" w:color="FFFFFF" w:themeColor="background1"/>
              <w:bottom w:val="single" w:sz="4" w:space="0" w:color="E0301E" w:themeColor="accent6"/>
              <w:right w:val="single" w:sz="4" w:space="0" w:color="FFFFFF" w:themeColor="background1"/>
            </w:tcBorders>
          </w:tcPr>
          <w:p w14:paraId="09295475" w14:textId="77777777" w:rsidR="006752A8" w:rsidRPr="00EC326F" w:rsidRDefault="006752A8"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205" w:type="dxa"/>
            <w:tcBorders>
              <w:top w:val="single" w:sz="4" w:space="0" w:color="FFFFFF" w:themeColor="background1"/>
              <w:left w:val="single" w:sz="4" w:space="0" w:color="FFFFFF" w:themeColor="background1"/>
              <w:bottom w:val="single" w:sz="4" w:space="0" w:color="E0301E" w:themeColor="accent6"/>
            </w:tcBorders>
          </w:tcPr>
          <w:p w14:paraId="1199CD2C" w14:textId="77777777" w:rsidR="006752A8" w:rsidRPr="00EC326F" w:rsidRDefault="006752A8"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205" w:type="dxa"/>
            <w:tcBorders>
              <w:top w:val="single" w:sz="4" w:space="0" w:color="FFFFFF" w:themeColor="background1"/>
              <w:bottom w:val="single" w:sz="4" w:space="0" w:color="E0301E" w:themeColor="accent6"/>
            </w:tcBorders>
          </w:tcPr>
          <w:p w14:paraId="5460BB18" w14:textId="77777777" w:rsidR="006752A8" w:rsidRPr="00EC326F" w:rsidRDefault="006752A8"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6752A8" w:rsidRPr="00EC326F" w14:paraId="7085299A" w14:textId="77777777" w:rsidTr="00E2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10823731" w14:textId="77777777" w:rsidR="006752A8" w:rsidRPr="00EC326F" w:rsidRDefault="006752A8" w:rsidP="00716FF0">
            <w:pPr>
              <w:pStyle w:val="TableTextSmall"/>
              <w:keepNext/>
            </w:pPr>
            <w:r w:rsidRPr="00EC326F">
              <w:t>Jun-15 Total Lifetime Cost</w:t>
            </w:r>
          </w:p>
        </w:tc>
        <w:tc>
          <w:tcPr>
            <w:tcW w:w="1276" w:type="dxa"/>
            <w:tcBorders>
              <w:left w:val="single" w:sz="4" w:space="0" w:color="E0301E" w:themeColor="accent6"/>
              <w:bottom w:val="nil"/>
              <w:right w:val="single" w:sz="4" w:space="0" w:color="E0301E" w:themeColor="accent6"/>
            </w:tcBorders>
            <w:vAlign w:val="bottom"/>
          </w:tcPr>
          <w:p w14:paraId="6E8C188E"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$410bn</w:t>
            </w:r>
          </w:p>
        </w:tc>
        <w:tc>
          <w:tcPr>
            <w:tcW w:w="992" w:type="dxa"/>
            <w:tcBorders>
              <w:left w:val="single" w:sz="4" w:space="0" w:color="E0301E" w:themeColor="accent6"/>
              <w:bottom w:val="nil"/>
            </w:tcBorders>
            <w:shd w:val="clear" w:color="auto" w:fill="D9D9D9" w:themeFill="background1" w:themeFillShade="D9"/>
            <w:vAlign w:val="bottom"/>
          </w:tcPr>
          <w:p w14:paraId="0F9703EA" w14:textId="77777777" w:rsidR="006752A8" w:rsidRPr="00EC326F" w:rsidRDefault="006752A8"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tcBorders>
            <w:shd w:val="clear" w:color="auto" w:fill="D9D9D9" w:themeFill="background1" w:themeFillShade="D9"/>
            <w:vAlign w:val="bottom"/>
          </w:tcPr>
          <w:p w14:paraId="2F7DD318" w14:textId="77777777" w:rsidR="006752A8" w:rsidRPr="00EC326F" w:rsidRDefault="006752A8"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right w:val="nil"/>
            </w:tcBorders>
            <w:shd w:val="clear" w:color="auto" w:fill="D9D9D9" w:themeFill="background1" w:themeFillShade="D9"/>
            <w:vAlign w:val="bottom"/>
          </w:tcPr>
          <w:p w14:paraId="09180435" w14:textId="77777777" w:rsidR="006752A8" w:rsidRPr="00EC326F" w:rsidRDefault="006752A8"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left w:val="nil"/>
              <w:bottom w:val="nil"/>
            </w:tcBorders>
            <w:shd w:val="clear" w:color="auto" w:fill="D9D9D9" w:themeFill="background1" w:themeFillShade="D9"/>
            <w:vAlign w:val="bottom"/>
          </w:tcPr>
          <w:p w14:paraId="7966197A" w14:textId="77777777" w:rsidR="006752A8" w:rsidRPr="00EC326F" w:rsidRDefault="006752A8"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bottom w:val="nil"/>
            </w:tcBorders>
            <w:shd w:val="clear" w:color="auto" w:fill="D9D9D9" w:themeFill="background1" w:themeFillShade="D9"/>
            <w:vAlign w:val="bottom"/>
          </w:tcPr>
          <w:p w14:paraId="5CEC4E50" w14:textId="77777777" w:rsidR="006752A8" w:rsidRPr="00EC326F" w:rsidRDefault="006752A8" w:rsidP="00716FF0">
            <w:pPr>
              <w:pStyle w:val="TableTextSmall"/>
              <w:keepNext/>
              <w:cnfStyle w:val="000000100000" w:firstRow="0" w:lastRow="0" w:firstColumn="0" w:lastColumn="0" w:oddVBand="0" w:evenVBand="0" w:oddHBand="1" w:evenHBand="0" w:firstRowFirstColumn="0" w:firstRowLastColumn="0" w:lastRowFirstColumn="0" w:lastRowLastColumn="0"/>
            </w:pPr>
          </w:p>
        </w:tc>
      </w:tr>
      <w:tr w:rsidR="006752A8" w:rsidRPr="00EC326F" w14:paraId="6B2FEAE7" w14:textId="77777777" w:rsidTr="00E27379">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3F99F148" w14:textId="77777777" w:rsidR="006752A8" w:rsidRPr="00EC326F" w:rsidRDefault="006752A8" w:rsidP="00716FF0">
            <w:pPr>
              <w:pStyle w:val="TableTextSmall"/>
              <w:keepNext/>
            </w:pPr>
            <w:r w:rsidRPr="00EC326F">
              <w:t>Jun-16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vAlign w:val="bottom"/>
          </w:tcPr>
          <w:p w14:paraId="0FCA2635" w14:textId="77777777" w:rsidR="006752A8" w:rsidRPr="00EC326F" w:rsidRDefault="006752A8"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$401bn</w:t>
            </w:r>
          </w:p>
        </w:tc>
        <w:tc>
          <w:tcPr>
            <w:tcW w:w="992" w:type="dxa"/>
            <w:tcBorders>
              <w:top w:val="nil"/>
              <w:left w:val="single" w:sz="4" w:space="0" w:color="E0301E" w:themeColor="accent6"/>
              <w:bottom w:val="nil"/>
            </w:tcBorders>
            <w:shd w:val="clear" w:color="auto" w:fill="D9D9D9" w:themeFill="background1" w:themeFillShade="D9"/>
            <w:vAlign w:val="bottom"/>
          </w:tcPr>
          <w:p w14:paraId="59288AEE" w14:textId="77777777" w:rsidR="006752A8" w:rsidRPr="00EC326F" w:rsidRDefault="006752A8"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D9D9D9" w:themeFill="background1" w:themeFillShade="D9"/>
            <w:vAlign w:val="bottom"/>
          </w:tcPr>
          <w:p w14:paraId="0366B7D6" w14:textId="77777777" w:rsidR="006752A8" w:rsidRPr="00EC326F" w:rsidRDefault="006752A8"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vAlign w:val="bottom"/>
          </w:tcPr>
          <w:p w14:paraId="16A74B63" w14:textId="77777777" w:rsidR="006752A8" w:rsidRPr="00EC326F" w:rsidRDefault="006752A8"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vAlign w:val="bottom"/>
          </w:tcPr>
          <w:p w14:paraId="2B03C2BF" w14:textId="77777777" w:rsidR="006752A8" w:rsidRPr="00EC326F" w:rsidRDefault="006752A8"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nil"/>
            </w:tcBorders>
            <w:shd w:val="clear" w:color="auto" w:fill="D9D9D9" w:themeFill="background1" w:themeFillShade="D9"/>
            <w:vAlign w:val="bottom"/>
          </w:tcPr>
          <w:p w14:paraId="4A52F28D" w14:textId="77777777" w:rsidR="006752A8" w:rsidRPr="00EC326F" w:rsidRDefault="006752A8" w:rsidP="00716FF0">
            <w:pPr>
              <w:pStyle w:val="TableTextSmall"/>
              <w:keepNext/>
              <w:cnfStyle w:val="000000000000" w:firstRow="0" w:lastRow="0" w:firstColumn="0" w:lastColumn="0" w:oddVBand="0" w:evenVBand="0" w:oddHBand="0" w:evenHBand="0" w:firstRowFirstColumn="0" w:firstRowLastColumn="0" w:lastRowFirstColumn="0" w:lastRowLastColumn="0"/>
            </w:pPr>
          </w:p>
        </w:tc>
      </w:tr>
      <w:tr w:rsidR="006752A8" w:rsidRPr="00EC326F" w14:paraId="3F4D57B8" w14:textId="77777777" w:rsidTr="00E2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28539E66" w14:textId="77777777" w:rsidR="006752A8" w:rsidRPr="00EC326F" w:rsidRDefault="006752A8" w:rsidP="00716FF0">
            <w:pPr>
              <w:pStyle w:val="TableTextSmall"/>
              <w:keepNext/>
            </w:pPr>
            <w:r w:rsidRPr="00EC326F">
              <w:t>Change in Total Lifetime Cost</w:t>
            </w:r>
          </w:p>
        </w:tc>
        <w:tc>
          <w:tcPr>
            <w:tcW w:w="1276" w:type="dxa"/>
            <w:tcBorders>
              <w:left w:val="single" w:sz="4" w:space="0" w:color="E0301E" w:themeColor="accent6"/>
              <w:bottom w:val="nil"/>
              <w:right w:val="single" w:sz="4" w:space="0" w:color="E0301E" w:themeColor="accent6"/>
            </w:tcBorders>
            <w:vAlign w:val="bottom"/>
          </w:tcPr>
          <w:p w14:paraId="2AF079E9"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-$10bn (2.4%)</w:t>
            </w:r>
          </w:p>
        </w:tc>
        <w:tc>
          <w:tcPr>
            <w:tcW w:w="992" w:type="dxa"/>
            <w:tcBorders>
              <w:top w:val="nil"/>
              <w:left w:val="single" w:sz="4" w:space="0" w:color="E0301E" w:themeColor="accent6"/>
              <w:bottom w:val="nil"/>
            </w:tcBorders>
            <w:shd w:val="clear" w:color="auto" w:fill="D9D9D9" w:themeFill="background1" w:themeFillShade="D9"/>
            <w:vAlign w:val="bottom"/>
          </w:tcPr>
          <w:p w14:paraId="6681A4BA" w14:textId="77777777" w:rsidR="006752A8" w:rsidRPr="00EC326F" w:rsidRDefault="006752A8"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tcBorders>
            <w:shd w:val="clear" w:color="auto" w:fill="D9D9D9" w:themeFill="background1" w:themeFillShade="D9"/>
            <w:vAlign w:val="bottom"/>
          </w:tcPr>
          <w:p w14:paraId="16995F8B" w14:textId="77777777" w:rsidR="006752A8" w:rsidRPr="00EC326F" w:rsidRDefault="006752A8"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vAlign w:val="bottom"/>
          </w:tcPr>
          <w:p w14:paraId="14F32786" w14:textId="77777777" w:rsidR="006752A8" w:rsidRPr="00EC326F" w:rsidRDefault="006752A8"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vAlign w:val="bottom"/>
          </w:tcPr>
          <w:p w14:paraId="4F3FF2DB" w14:textId="77777777" w:rsidR="006752A8" w:rsidRPr="00EC326F" w:rsidRDefault="006752A8"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bottom w:val="nil"/>
            </w:tcBorders>
            <w:shd w:val="clear" w:color="auto" w:fill="D9D9D9" w:themeFill="background1" w:themeFillShade="D9"/>
            <w:vAlign w:val="bottom"/>
          </w:tcPr>
          <w:p w14:paraId="635497B8" w14:textId="77777777" w:rsidR="006752A8" w:rsidRPr="00EC326F" w:rsidRDefault="006752A8" w:rsidP="00716FF0">
            <w:pPr>
              <w:pStyle w:val="TableTextSmall"/>
              <w:keepNext/>
              <w:cnfStyle w:val="000000100000" w:firstRow="0" w:lastRow="0" w:firstColumn="0" w:lastColumn="0" w:oddVBand="0" w:evenVBand="0" w:oddHBand="1" w:evenHBand="0" w:firstRowFirstColumn="0" w:firstRowLastColumn="0" w:lastRowFirstColumn="0" w:lastRowLastColumn="0"/>
            </w:pPr>
          </w:p>
        </w:tc>
      </w:tr>
      <w:tr w:rsidR="006752A8" w:rsidRPr="00EC326F" w14:paraId="6FEBEA6B" w14:textId="77777777" w:rsidTr="00E27379">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152AFA93" w14:textId="77777777" w:rsidR="006752A8" w:rsidRPr="00EC326F" w:rsidRDefault="006752A8" w:rsidP="00716FF0">
            <w:pPr>
              <w:pStyle w:val="TableTextSmall"/>
              <w:keepNext/>
            </w:pPr>
            <w:r w:rsidRPr="00EC326F">
              <w:t>Change due to Population</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vAlign w:val="bottom"/>
          </w:tcPr>
          <w:p w14:paraId="2CDB8CE1" w14:textId="77777777" w:rsidR="006752A8" w:rsidRPr="00EC326F" w:rsidRDefault="006752A8"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+1.2%</w:t>
            </w:r>
          </w:p>
        </w:tc>
        <w:tc>
          <w:tcPr>
            <w:tcW w:w="992" w:type="dxa"/>
            <w:tcBorders>
              <w:top w:val="nil"/>
              <w:left w:val="single" w:sz="4" w:space="0" w:color="E0301E" w:themeColor="accent6"/>
              <w:bottom w:val="single" w:sz="4" w:space="0" w:color="E0301E" w:themeColor="accent6"/>
            </w:tcBorders>
            <w:shd w:val="clear" w:color="auto" w:fill="D9D9D9" w:themeFill="background1" w:themeFillShade="D9"/>
            <w:vAlign w:val="bottom"/>
          </w:tcPr>
          <w:p w14:paraId="7DB86568" w14:textId="77777777" w:rsidR="006752A8" w:rsidRPr="00EC326F" w:rsidRDefault="006752A8"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tcBorders>
            <w:shd w:val="clear" w:color="auto" w:fill="D9D9D9" w:themeFill="background1" w:themeFillShade="D9"/>
            <w:vAlign w:val="bottom"/>
          </w:tcPr>
          <w:p w14:paraId="26174689" w14:textId="77777777" w:rsidR="006752A8" w:rsidRPr="00EC326F" w:rsidRDefault="006752A8"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right w:val="nil"/>
            </w:tcBorders>
            <w:shd w:val="clear" w:color="auto" w:fill="D9D9D9" w:themeFill="background1" w:themeFillShade="D9"/>
            <w:vAlign w:val="bottom"/>
          </w:tcPr>
          <w:p w14:paraId="65F9C411" w14:textId="77777777" w:rsidR="006752A8" w:rsidRPr="00EC326F" w:rsidRDefault="006752A8"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single" w:sz="4" w:space="0" w:color="E0301E" w:themeColor="accent6"/>
            </w:tcBorders>
            <w:shd w:val="clear" w:color="auto" w:fill="D9D9D9" w:themeFill="background1" w:themeFillShade="D9"/>
            <w:vAlign w:val="bottom"/>
          </w:tcPr>
          <w:p w14:paraId="39E3B943" w14:textId="77777777" w:rsidR="006752A8" w:rsidRPr="00EC326F" w:rsidRDefault="006752A8"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single" w:sz="4" w:space="0" w:color="E0301E" w:themeColor="accent6"/>
            </w:tcBorders>
            <w:shd w:val="clear" w:color="auto" w:fill="D9D9D9" w:themeFill="background1" w:themeFillShade="D9"/>
            <w:vAlign w:val="bottom"/>
          </w:tcPr>
          <w:p w14:paraId="70470732" w14:textId="77777777" w:rsidR="006752A8" w:rsidRPr="00EC326F" w:rsidRDefault="006752A8" w:rsidP="00716FF0">
            <w:pPr>
              <w:pStyle w:val="TableTextSmall"/>
              <w:keepNext/>
              <w:cnfStyle w:val="000000000000" w:firstRow="0" w:lastRow="0" w:firstColumn="0" w:lastColumn="0" w:oddVBand="0" w:evenVBand="0" w:oddHBand="0" w:evenHBand="0" w:firstRowFirstColumn="0" w:firstRowLastColumn="0" w:lastRowFirstColumn="0" w:lastRowLastColumn="0"/>
            </w:pPr>
          </w:p>
        </w:tc>
      </w:tr>
      <w:tr w:rsidR="006752A8" w:rsidRPr="00EC326F" w14:paraId="6067580A" w14:textId="77777777" w:rsidTr="00E2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488D0262" w14:textId="77777777" w:rsidR="006752A8" w:rsidRPr="00EC326F" w:rsidRDefault="006752A8" w:rsidP="00716FF0">
            <w:pPr>
              <w:pStyle w:val="TableTextSmall"/>
              <w:keepNext/>
            </w:pPr>
            <w:r w:rsidRPr="00EC326F">
              <w:t>Change due to Average Lifetime Cost</w:t>
            </w:r>
          </w:p>
        </w:tc>
        <w:tc>
          <w:tcPr>
            <w:tcW w:w="1276" w:type="dxa"/>
            <w:tcBorders>
              <w:left w:val="single" w:sz="4" w:space="0" w:color="E0301E" w:themeColor="accent6"/>
              <w:bottom w:val="nil"/>
              <w:right w:val="single" w:sz="4" w:space="0" w:color="E0301E" w:themeColor="accent6"/>
            </w:tcBorders>
            <w:vAlign w:val="bottom"/>
          </w:tcPr>
          <w:p w14:paraId="64A138A6"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-$11k (3.5%)</w:t>
            </w:r>
          </w:p>
        </w:tc>
        <w:tc>
          <w:tcPr>
            <w:tcW w:w="992" w:type="dxa"/>
            <w:tcBorders>
              <w:left w:val="single" w:sz="4" w:space="0" w:color="E0301E" w:themeColor="accent6"/>
              <w:bottom w:val="nil"/>
            </w:tcBorders>
            <w:vAlign w:val="bottom"/>
          </w:tcPr>
          <w:p w14:paraId="18072A59"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-$5k</w:t>
            </w:r>
          </w:p>
        </w:tc>
        <w:tc>
          <w:tcPr>
            <w:tcW w:w="992" w:type="dxa"/>
            <w:tcBorders>
              <w:bottom w:val="nil"/>
            </w:tcBorders>
            <w:vAlign w:val="bottom"/>
          </w:tcPr>
          <w:p w14:paraId="65F05D57"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-$3k</w:t>
            </w:r>
          </w:p>
        </w:tc>
        <w:tc>
          <w:tcPr>
            <w:tcW w:w="992" w:type="dxa"/>
            <w:tcBorders>
              <w:bottom w:val="nil"/>
              <w:right w:val="dashed" w:sz="4" w:space="0" w:color="E0301E" w:themeColor="accent6"/>
            </w:tcBorders>
            <w:vAlign w:val="bottom"/>
          </w:tcPr>
          <w:p w14:paraId="5139B79C"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+$2k</w:t>
            </w:r>
          </w:p>
        </w:tc>
        <w:tc>
          <w:tcPr>
            <w:tcW w:w="1205" w:type="dxa"/>
            <w:tcBorders>
              <w:left w:val="dashed" w:sz="4" w:space="0" w:color="E0301E" w:themeColor="accent6"/>
              <w:bottom w:val="nil"/>
            </w:tcBorders>
            <w:vAlign w:val="bottom"/>
          </w:tcPr>
          <w:p w14:paraId="2E45AFD1"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-$3k</w:t>
            </w:r>
          </w:p>
        </w:tc>
        <w:tc>
          <w:tcPr>
            <w:tcW w:w="1205" w:type="dxa"/>
            <w:tcBorders>
              <w:bottom w:val="nil"/>
            </w:tcBorders>
            <w:vAlign w:val="bottom"/>
          </w:tcPr>
          <w:p w14:paraId="4276BE17"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-$2k</w:t>
            </w:r>
          </w:p>
        </w:tc>
      </w:tr>
      <w:tr w:rsidR="006752A8" w:rsidRPr="00EC326F" w14:paraId="00BC56E7" w14:textId="77777777" w:rsidTr="00E2737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77A94FBF" w14:textId="77777777" w:rsidR="006752A8" w:rsidRPr="00EC326F" w:rsidRDefault="006752A8" w:rsidP="00716FF0">
            <w:pPr>
              <w:pStyle w:val="TableTextSmall"/>
              <w:keepNext/>
              <w:rPr>
                <w:b w:val="0"/>
              </w:rPr>
            </w:pPr>
            <w:r w:rsidRPr="00EC326F">
              <w:rPr>
                <w:b w:val="0"/>
              </w:rPr>
              <w:t>- Impact of change in inflation</w:t>
            </w:r>
          </w:p>
        </w:tc>
        <w:tc>
          <w:tcPr>
            <w:tcW w:w="1276" w:type="dxa"/>
            <w:tcBorders>
              <w:top w:val="nil"/>
              <w:left w:val="single" w:sz="4" w:space="0" w:color="E0301E" w:themeColor="accent6"/>
              <w:bottom w:val="nil"/>
              <w:right w:val="single" w:sz="4" w:space="0" w:color="E0301E" w:themeColor="accent6"/>
            </w:tcBorders>
            <w:vAlign w:val="bottom"/>
          </w:tcPr>
          <w:p w14:paraId="3565439B" w14:textId="77777777" w:rsidR="006752A8" w:rsidRPr="00EC326F" w:rsidRDefault="006752A8"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left w:val="single" w:sz="4" w:space="0" w:color="E0301E" w:themeColor="accent6"/>
              <w:bottom w:val="nil"/>
            </w:tcBorders>
            <w:vAlign w:val="bottom"/>
          </w:tcPr>
          <w:p w14:paraId="08DF5679" w14:textId="77777777" w:rsidR="006752A8" w:rsidRPr="00EC326F" w:rsidRDefault="006752A8"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7B05062B" w14:textId="77777777" w:rsidR="006752A8" w:rsidRPr="00EC326F" w:rsidRDefault="006752A8"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right w:val="dashed" w:sz="4" w:space="0" w:color="E0301E" w:themeColor="accent6"/>
            </w:tcBorders>
            <w:vAlign w:val="bottom"/>
          </w:tcPr>
          <w:p w14:paraId="0ACA91E4" w14:textId="77777777" w:rsidR="006752A8" w:rsidRPr="00EC326F" w:rsidRDefault="006752A8"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left w:val="dashed" w:sz="4" w:space="0" w:color="E0301E" w:themeColor="accent6"/>
              <w:bottom w:val="nil"/>
            </w:tcBorders>
            <w:vAlign w:val="bottom"/>
          </w:tcPr>
          <w:p w14:paraId="184B8B75" w14:textId="77777777" w:rsidR="006752A8" w:rsidRPr="00EC326F" w:rsidRDefault="006752A8"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bottom w:val="nil"/>
            </w:tcBorders>
            <w:vAlign w:val="bottom"/>
          </w:tcPr>
          <w:p w14:paraId="2531C0C0" w14:textId="77777777" w:rsidR="006752A8" w:rsidRPr="00EC326F" w:rsidRDefault="006752A8"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6752A8" w:rsidRPr="00EC326F" w14:paraId="02F59092" w14:textId="77777777" w:rsidTr="00E2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545E8487" w14:textId="77777777" w:rsidR="006752A8" w:rsidRPr="00EC326F" w:rsidRDefault="006752A8" w:rsidP="00716FF0">
            <w:pPr>
              <w:pStyle w:val="TableTextSmall"/>
              <w:keepNext/>
              <w:rPr>
                <w:b w:val="0"/>
              </w:rPr>
            </w:pPr>
            <w:r w:rsidRPr="00EC326F">
              <w:rPr>
                <w:b w:val="0"/>
              </w:rPr>
              <w:t>- Impact of new economics module</w:t>
            </w:r>
          </w:p>
        </w:tc>
        <w:tc>
          <w:tcPr>
            <w:tcW w:w="1276" w:type="dxa"/>
            <w:tcBorders>
              <w:top w:val="nil"/>
              <w:left w:val="single" w:sz="4" w:space="0" w:color="E0301E" w:themeColor="accent6"/>
              <w:bottom w:val="nil"/>
              <w:right w:val="single" w:sz="4" w:space="0" w:color="E0301E" w:themeColor="accent6"/>
            </w:tcBorders>
            <w:vAlign w:val="bottom"/>
          </w:tcPr>
          <w:p w14:paraId="490F1A1E"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-$13k</w:t>
            </w:r>
          </w:p>
        </w:tc>
        <w:tc>
          <w:tcPr>
            <w:tcW w:w="992" w:type="dxa"/>
            <w:tcBorders>
              <w:top w:val="nil"/>
              <w:left w:val="single" w:sz="4" w:space="0" w:color="E0301E" w:themeColor="accent6"/>
              <w:bottom w:val="nil"/>
            </w:tcBorders>
            <w:vAlign w:val="bottom"/>
          </w:tcPr>
          <w:p w14:paraId="6369C57E"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-$5k</w:t>
            </w:r>
          </w:p>
        </w:tc>
        <w:tc>
          <w:tcPr>
            <w:tcW w:w="992" w:type="dxa"/>
            <w:tcBorders>
              <w:top w:val="nil"/>
              <w:bottom w:val="nil"/>
            </w:tcBorders>
            <w:vAlign w:val="bottom"/>
          </w:tcPr>
          <w:p w14:paraId="6BCA4F62"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-$3k</w:t>
            </w:r>
          </w:p>
        </w:tc>
        <w:tc>
          <w:tcPr>
            <w:tcW w:w="992" w:type="dxa"/>
            <w:tcBorders>
              <w:top w:val="nil"/>
              <w:bottom w:val="nil"/>
              <w:right w:val="dashed" w:sz="4" w:space="0" w:color="E0301E" w:themeColor="accent6"/>
            </w:tcBorders>
            <w:vAlign w:val="bottom"/>
          </w:tcPr>
          <w:p w14:paraId="4B544FEC"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-$3k</w:t>
            </w:r>
          </w:p>
        </w:tc>
        <w:tc>
          <w:tcPr>
            <w:tcW w:w="1205" w:type="dxa"/>
            <w:tcBorders>
              <w:top w:val="nil"/>
              <w:left w:val="dashed" w:sz="4" w:space="0" w:color="E0301E" w:themeColor="accent6"/>
              <w:bottom w:val="nil"/>
            </w:tcBorders>
            <w:vAlign w:val="bottom"/>
          </w:tcPr>
          <w:p w14:paraId="7C8AEB2B"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05" w:type="dxa"/>
            <w:tcBorders>
              <w:top w:val="nil"/>
              <w:bottom w:val="nil"/>
            </w:tcBorders>
            <w:vAlign w:val="bottom"/>
          </w:tcPr>
          <w:p w14:paraId="786CDA09" w14:textId="77777777" w:rsidR="006752A8" w:rsidRPr="00EC326F" w:rsidRDefault="006752A8"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-$1k</w:t>
            </w:r>
          </w:p>
        </w:tc>
      </w:tr>
      <w:tr w:rsidR="00794A63" w:rsidRPr="00EC326F" w14:paraId="58ABD1C1" w14:textId="77777777" w:rsidTr="00E2737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337304C5" w14:textId="4968FDBE" w:rsidR="00794A63" w:rsidRPr="00EC326F" w:rsidRDefault="00794A63" w:rsidP="00716FF0">
            <w:pPr>
              <w:pStyle w:val="TableTextSmall"/>
              <w:keepNext/>
              <w:rPr>
                <w:b w:val="0"/>
              </w:rPr>
            </w:pPr>
            <w:r w:rsidRPr="00455062">
              <w:rPr>
                <w:b w:val="0"/>
              </w:rPr>
              <w:t>- Impact of policy changes</w:t>
            </w:r>
          </w:p>
        </w:tc>
        <w:tc>
          <w:tcPr>
            <w:tcW w:w="1276" w:type="dxa"/>
            <w:tcBorders>
              <w:top w:val="nil"/>
              <w:left w:val="single" w:sz="4" w:space="0" w:color="E0301E" w:themeColor="accent6"/>
              <w:bottom w:val="nil"/>
              <w:right w:val="single" w:sz="4" w:space="0" w:color="E0301E" w:themeColor="accent6"/>
            </w:tcBorders>
            <w:vAlign w:val="bottom"/>
          </w:tcPr>
          <w:p w14:paraId="5E8AC5FE" w14:textId="67D6CD51" w:rsidR="00794A63" w:rsidRPr="00EC326F" w:rsidRDefault="00794A63"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t>-$1k</w:t>
            </w:r>
          </w:p>
        </w:tc>
        <w:tc>
          <w:tcPr>
            <w:tcW w:w="992" w:type="dxa"/>
            <w:tcBorders>
              <w:top w:val="nil"/>
              <w:left w:val="single" w:sz="4" w:space="0" w:color="E0301E" w:themeColor="accent6"/>
              <w:bottom w:val="nil"/>
            </w:tcBorders>
            <w:vAlign w:val="bottom"/>
          </w:tcPr>
          <w:p w14:paraId="0CDA859B" w14:textId="413EA9D0" w:rsidR="00794A63" w:rsidRPr="00EC326F" w:rsidRDefault="00455062"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992" w:type="dxa"/>
            <w:tcBorders>
              <w:top w:val="nil"/>
              <w:bottom w:val="nil"/>
            </w:tcBorders>
            <w:vAlign w:val="bottom"/>
          </w:tcPr>
          <w:p w14:paraId="3644471A" w14:textId="1C0571AC" w:rsidR="00794A63" w:rsidRPr="00EC326F" w:rsidRDefault="00455062"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992" w:type="dxa"/>
            <w:tcBorders>
              <w:top w:val="nil"/>
              <w:bottom w:val="nil"/>
              <w:right w:val="dashed" w:sz="4" w:space="0" w:color="E0301E" w:themeColor="accent6"/>
            </w:tcBorders>
            <w:vAlign w:val="bottom"/>
          </w:tcPr>
          <w:p w14:paraId="74688855" w14:textId="17E6968C" w:rsidR="00794A63" w:rsidRPr="00EC326F" w:rsidRDefault="00455062"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05" w:type="dxa"/>
            <w:tcBorders>
              <w:top w:val="nil"/>
              <w:left w:val="dashed" w:sz="4" w:space="0" w:color="E0301E" w:themeColor="accent6"/>
              <w:bottom w:val="nil"/>
            </w:tcBorders>
            <w:vAlign w:val="bottom"/>
          </w:tcPr>
          <w:p w14:paraId="6943278D" w14:textId="34456466" w:rsidR="00794A63" w:rsidRPr="00EC326F" w:rsidRDefault="00794A63"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t>-$1k</w:t>
            </w:r>
          </w:p>
        </w:tc>
        <w:tc>
          <w:tcPr>
            <w:tcW w:w="1205" w:type="dxa"/>
            <w:tcBorders>
              <w:top w:val="nil"/>
              <w:bottom w:val="nil"/>
            </w:tcBorders>
            <w:vAlign w:val="bottom"/>
          </w:tcPr>
          <w:p w14:paraId="50514408" w14:textId="042A4225" w:rsidR="00794A63" w:rsidRPr="00EC326F" w:rsidRDefault="00455062"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r>
      <w:tr w:rsidR="006752A8" w:rsidRPr="00EC326F" w14:paraId="329866D9" w14:textId="77777777" w:rsidTr="00E2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21B7E9E9" w14:textId="77777777" w:rsidR="006752A8" w:rsidRPr="00EC326F" w:rsidRDefault="006752A8" w:rsidP="006752A8">
            <w:pPr>
              <w:pStyle w:val="TableTextSmall"/>
              <w:rPr>
                <w:b w:val="0"/>
              </w:rPr>
            </w:pPr>
            <w:r w:rsidRPr="00EC326F">
              <w:rPr>
                <w:b w:val="0"/>
              </w:rPr>
              <w:t>- Impact of other changes</w:t>
            </w:r>
          </w:p>
        </w:tc>
        <w:tc>
          <w:tcPr>
            <w:tcW w:w="1276" w:type="dxa"/>
            <w:tcBorders>
              <w:top w:val="nil"/>
              <w:left w:val="single" w:sz="4" w:space="0" w:color="E0301E" w:themeColor="accent6"/>
              <w:right w:val="single" w:sz="4" w:space="0" w:color="E0301E" w:themeColor="accent6"/>
            </w:tcBorders>
            <w:vAlign w:val="bottom"/>
          </w:tcPr>
          <w:p w14:paraId="27956451" w14:textId="64382B47" w:rsidR="006752A8" w:rsidRPr="00EC326F" w:rsidRDefault="006752A8" w:rsidP="00794A63">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794A63">
              <w:t>3</w:t>
            </w:r>
            <w:r w:rsidR="00794A63" w:rsidRPr="00EC326F">
              <w:t>k</w:t>
            </w:r>
          </w:p>
        </w:tc>
        <w:tc>
          <w:tcPr>
            <w:tcW w:w="992" w:type="dxa"/>
            <w:tcBorders>
              <w:top w:val="nil"/>
              <w:left w:val="single" w:sz="4" w:space="0" w:color="E0301E" w:themeColor="accent6"/>
            </w:tcBorders>
            <w:vAlign w:val="bottom"/>
          </w:tcPr>
          <w:p w14:paraId="29364BA6"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992" w:type="dxa"/>
            <w:tcBorders>
              <w:top w:val="nil"/>
            </w:tcBorders>
            <w:vAlign w:val="bottom"/>
          </w:tcPr>
          <w:p w14:paraId="2300D914"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992" w:type="dxa"/>
            <w:tcBorders>
              <w:top w:val="nil"/>
              <w:right w:val="dashed" w:sz="4" w:space="0" w:color="E0301E" w:themeColor="accent6"/>
            </w:tcBorders>
            <w:vAlign w:val="bottom"/>
          </w:tcPr>
          <w:p w14:paraId="72948976"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+$4k</w:t>
            </w:r>
          </w:p>
        </w:tc>
        <w:tc>
          <w:tcPr>
            <w:tcW w:w="1205" w:type="dxa"/>
            <w:tcBorders>
              <w:top w:val="nil"/>
              <w:left w:val="dashed" w:sz="4" w:space="0" w:color="E0301E" w:themeColor="accent6"/>
            </w:tcBorders>
            <w:vAlign w:val="bottom"/>
          </w:tcPr>
          <w:p w14:paraId="476A72B8" w14:textId="59E13894" w:rsidR="006752A8" w:rsidRPr="00EC326F" w:rsidRDefault="00794A63" w:rsidP="006752A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rPr>
                <w:color w:val="808080"/>
              </w:rPr>
              <w:t>&lt; $1k</w:t>
            </w:r>
          </w:p>
        </w:tc>
        <w:tc>
          <w:tcPr>
            <w:tcW w:w="1205" w:type="dxa"/>
            <w:tcBorders>
              <w:top w:val="nil"/>
            </w:tcBorders>
            <w:vAlign w:val="bottom"/>
          </w:tcPr>
          <w:p w14:paraId="59BFEA9D" w14:textId="77777777" w:rsidR="006752A8" w:rsidRPr="00EC326F" w:rsidRDefault="006752A8" w:rsidP="006752A8">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bl>
    <w:p w14:paraId="1BAE5632" w14:textId="77777777" w:rsidR="006752A8" w:rsidRPr="00EC326F" w:rsidRDefault="006752A8" w:rsidP="00CE457D">
      <w:pPr>
        <w:pStyle w:val="PwCNormal-keepwithnext"/>
      </w:pPr>
      <w:r w:rsidRPr="00EC326F">
        <w:t>The reduction in average cost has been primarily driven by</w:t>
      </w:r>
      <w:r w:rsidR="003114C1" w:rsidRPr="00EC326F">
        <w:t xml:space="preserve"> the reduction in the assumed long term unemployment rate which has resulted in</w:t>
      </w:r>
      <w:r w:rsidRPr="00EC326F">
        <w:t>:</w:t>
      </w:r>
    </w:p>
    <w:p w14:paraId="0A2D7AF5" w14:textId="77777777" w:rsidR="003114C1" w:rsidRPr="00EC326F" w:rsidRDefault="003114C1" w:rsidP="001A4479">
      <w:pPr>
        <w:pStyle w:val="Bullet1"/>
        <w:numPr>
          <w:ilvl w:val="0"/>
          <w:numId w:val="39"/>
        </w:numPr>
      </w:pPr>
      <w:r w:rsidRPr="00EC326F">
        <w:t xml:space="preserve">An increase in exits from Working Age as more people are assumed to find employment and hence cease requiring income support; </w:t>
      </w:r>
    </w:p>
    <w:p w14:paraId="0DD2C4BA" w14:textId="77777777" w:rsidR="003114C1" w:rsidRPr="00EC326F" w:rsidRDefault="003114C1" w:rsidP="001A4479">
      <w:pPr>
        <w:pStyle w:val="Bullet1"/>
        <w:numPr>
          <w:ilvl w:val="0"/>
          <w:numId w:val="39"/>
        </w:numPr>
      </w:pPr>
      <w:r w:rsidRPr="00EC326F">
        <w:t>A decrease in future re-entries back into the welfare system, in particular re-entries back onto working age payments; and</w:t>
      </w:r>
    </w:p>
    <w:p w14:paraId="69D1BE21" w14:textId="77777777" w:rsidR="003114C1" w:rsidRPr="00EC326F" w:rsidRDefault="003114C1" w:rsidP="001A4479">
      <w:pPr>
        <w:pStyle w:val="Bullet1"/>
        <w:numPr>
          <w:ilvl w:val="0"/>
          <w:numId w:val="39"/>
        </w:numPr>
      </w:pPr>
      <w:r w:rsidRPr="00EC326F">
        <w:t>A flow on impact onto other income support categories.</w:t>
      </w:r>
    </w:p>
    <w:p w14:paraId="2E77D86C" w14:textId="77777777" w:rsidR="00F7320D" w:rsidRPr="00EC326F" w:rsidRDefault="00F7320D" w:rsidP="00F7320D">
      <w:pPr>
        <w:pStyle w:val="Minorheading"/>
      </w:pPr>
      <w:r w:rsidRPr="00EC326F">
        <w:t>Future outcomes</w:t>
      </w:r>
    </w:p>
    <w:p w14:paraId="46B6784F" w14:textId="77777777" w:rsidR="00F7320D" w:rsidRPr="00EC326F" w:rsidRDefault="00F7320D" w:rsidP="00321A6F">
      <w:pPr>
        <w:pStyle w:val="PwCNormal-keepwithnext"/>
      </w:pPr>
      <w:r w:rsidRPr="00EC326F">
        <w:t xml:space="preserve">In developing the valuation results the projection model also produces information on the expected transitions for people out of each class, as shown below. </w:t>
      </w:r>
    </w:p>
    <w:p w14:paraId="613236B4" w14:textId="77777777" w:rsidR="00F7320D" w:rsidRPr="00EC326F" w:rsidRDefault="00F7320D" w:rsidP="00F7320D">
      <w:pPr>
        <w:pStyle w:val="Caption"/>
      </w:pPr>
      <w:r w:rsidRPr="00EC326F">
        <w:t xml:space="preserve">Figure </w:t>
      </w:r>
      <w:fldSimple w:instr=" SEQ Figure \* ARABIC ">
        <w:r w:rsidR="007A42DF">
          <w:rPr>
            <w:noProof/>
          </w:rPr>
          <w:t>39</w:t>
        </w:r>
      </w:fldSimple>
      <w:r w:rsidRPr="00EC326F">
        <w:t>: Expected future trajectory for people in Class 2</w:t>
      </w:r>
    </w:p>
    <w:tbl>
      <w:tblPr>
        <w:tblStyle w:val="Tables-APBase"/>
        <w:tblW w:w="497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2&#10;"/>
        <w:tblDescription w:val="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is chart includes the 1,318,000 individuals who were in the working age class at 30 June 2016.&#10;&#10;By 2026, around 25% of this group are still expected to be in the working age class. The most common classes for those who transition from the working age class by 2026 are disability support, pension age, non-income support family and previous welfare recipient. This group is expected to gradually transition to the pension age class and by 2065, around 35% of this group are projected to be in the pension age class. The majority of the rest are projected to be in the dead class by this point.&#10;&#10;The features shown in the chart are discussed further in the accompanying text within the report.&#10;"/>
      </w:tblPr>
      <w:tblGrid>
        <w:gridCol w:w="6662"/>
        <w:gridCol w:w="2694"/>
      </w:tblGrid>
      <w:tr w:rsidR="00F7320D" w:rsidRPr="00EC326F" w14:paraId="4EE84107" w14:textId="77777777" w:rsidTr="009C6553">
        <w:trPr>
          <w:trHeight w:val="3381"/>
          <w:tblHeader/>
        </w:trPr>
        <w:tc>
          <w:tcPr>
            <w:tcW w:w="6662" w:type="dxa"/>
            <w:hideMark/>
          </w:tcPr>
          <w:p w14:paraId="5E698695" w14:textId="77777777" w:rsidR="00F7320D" w:rsidRPr="00EC326F" w:rsidRDefault="00B73377">
            <w:pPr>
              <w:pStyle w:val="TableTextSmall"/>
            </w:pPr>
            <w:r w:rsidRPr="00EC326F">
              <w:rPr>
                <w:noProof/>
                <w:lang w:eastAsia="en-AU"/>
              </w:rPr>
              <w:drawing>
                <wp:inline distT="0" distB="0" distL="0" distR="0" wp14:anchorId="3425DC0D" wp14:editId="2AA5BC28">
                  <wp:extent cx="3917455" cy="2160000"/>
                  <wp:effectExtent l="0" t="0" r="0" b="0"/>
                  <wp:docPr id="3084" name="Picture 3084" descr="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is chart includes the 1,318,000 individuals who were in the working age class at 30 June 2016.&#10;&#10;By 2026, around 25% of this group are still expected to be in the working age class. The most common classes for those who transition from the working age class by 2026 are disability support, pension age, non-income support family and previous welfare recipient. This group is expected to gradually transition to the pension age class and by 2065, around 35% of this group are projected to be in the pension age class. The majority of the rest are projected to be in the dead class by this point.&#10;&#10;The features shown in the chart are discussed further in the accompanying text within the report.&#10;" title=" Expected future trajectory for people in Clas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17455" cy="2160000"/>
                          </a:xfrm>
                          <a:prstGeom prst="rect">
                            <a:avLst/>
                          </a:prstGeom>
                          <a:noFill/>
                          <a:ln>
                            <a:noFill/>
                          </a:ln>
                        </pic:spPr>
                      </pic:pic>
                    </a:graphicData>
                  </a:graphic>
                </wp:inline>
              </w:drawing>
            </w:r>
          </w:p>
        </w:tc>
        <w:tc>
          <w:tcPr>
            <w:tcW w:w="2694" w:type="dxa"/>
          </w:tcPr>
          <w:p w14:paraId="115CF140" w14:textId="77777777" w:rsidR="00F7320D" w:rsidRPr="00EC326F" w:rsidRDefault="00F7320D">
            <w:pPr>
              <w:pStyle w:val="TableTextSmall"/>
            </w:pPr>
          </w:p>
          <w:p w14:paraId="359FE60A" w14:textId="77777777" w:rsidR="00F7320D" w:rsidRPr="00EC326F" w:rsidRDefault="00F7320D">
            <w:pPr>
              <w:pStyle w:val="TableTextSmall"/>
            </w:pPr>
            <w:r w:rsidRPr="00EC326F">
              <w:rPr>
                <w:noProof/>
                <w:lang w:eastAsia="en-AU"/>
              </w:rPr>
              <w:drawing>
                <wp:inline distT="0" distB="0" distL="0" distR="0" wp14:anchorId="2791E4C9" wp14:editId="0759F0B1">
                  <wp:extent cx="1439545" cy="1591945"/>
                  <wp:effectExtent l="0" t="0" r="8255" b="0"/>
                  <wp:docPr id="3153" name="Picture 3153" descr="Class key: studying, working age, parents, carers, disability support, pension age, non-income support family, non-income support carer, non-income support other, previous welfare recipient, rest of the Australian population and dead. " title="Payment class key for Figure 39"/>
                  <wp:cNvGraphicFramePr/>
                  <a:graphic xmlns:a="http://schemas.openxmlformats.org/drawingml/2006/main">
                    <a:graphicData uri="http://schemas.openxmlformats.org/drawingml/2006/picture">
                      <pic:pic xmlns:pic="http://schemas.openxmlformats.org/drawingml/2006/picture">
                        <pic:nvPicPr>
                          <pic:cNvPr id="195" name="Picture 195" descr="Class keys: studying, working age, parents, carers, disability support, pension age, non-income support family, non-income support carer, non-income support other, previous welfare recipient, rest of the Australian population and dead. " title="Payment class key for Figure 4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5248D38A" w14:textId="77777777" w:rsidR="00F7320D" w:rsidRPr="00EC326F" w:rsidRDefault="00F7320D">
            <w:pPr>
              <w:pStyle w:val="TableTextSmall"/>
            </w:pPr>
          </w:p>
        </w:tc>
      </w:tr>
    </w:tbl>
    <w:p w14:paraId="3F1398F6" w14:textId="77777777" w:rsidR="00F7320D" w:rsidRPr="00EC326F" w:rsidRDefault="00F7320D" w:rsidP="00F7320D">
      <w:pPr>
        <w:pStyle w:val="PwCNormal"/>
        <w:numPr>
          <w:ilvl w:val="0"/>
          <w:numId w:val="0"/>
        </w:numPr>
      </w:pPr>
      <w:r w:rsidRPr="00EC326F">
        <w:t xml:space="preserve">Some observations we can make based on our analysis are that: </w:t>
      </w:r>
    </w:p>
    <w:p w14:paraId="6DDFF306" w14:textId="38746B8E" w:rsidR="00F7320D" w:rsidRPr="00EC326F" w:rsidRDefault="00F7320D" w:rsidP="001A4479">
      <w:pPr>
        <w:pStyle w:val="Bullet1"/>
        <w:numPr>
          <w:ilvl w:val="0"/>
          <w:numId w:val="42"/>
        </w:numPr>
      </w:pPr>
      <w:r w:rsidRPr="00EC326F">
        <w:t xml:space="preserve">About </w:t>
      </w:r>
      <w:r w:rsidR="00321A6F" w:rsidRPr="00EC326F">
        <w:t>40</w:t>
      </w:r>
      <w:r w:rsidRPr="00EC326F">
        <w:t xml:space="preserve">% of the people currently in the </w:t>
      </w:r>
      <w:r w:rsidR="00916C7F">
        <w:t>W</w:t>
      </w:r>
      <w:r w:rsidRPr="00EC326F">
        <w:t xml:space="preserve">orking </w:t>
      </w:r>
      <w:r w:rsidR="00916C7F">
        <w:t>A</w:t>
      </w:r>
      <w:r w:rsidRPr="00EC326F">
        <w:t>ge class will stop receiving any income support over the next 5 years. Most of these people will stop receiving any payments; the rest will keep receiving one or more of the family payment categories.</w:t>
      </w:r>
    </w:p>
    <w:p w14:paraId="437B2F55" w14:textId="77777777" w:rsidR="00F7320D" w:rsidRPr="00EC326F" w:rsidRDefault="00F7320D" w:rsidP="001A4479">
      <w:pPr>
        <w:pStyle w:val="Bullet1"/>
        <w:numPr>
          <w:ilvl w:val="0"/>
          <w:numId w:val="42"/>
        </w:numPr>
      </w:pPr>
      <w:r w:rsidRPr="00EC326F">
        <w:t>Over the same timeframe, of the people who stay on income support payments, around 60% remain on the working age payment. The remainder either retire (and move onto the age pension) or move onto parenting, carer or disability payments.</w:t>
      </w:r>
    </w:p>
    <w:p w14:paraId="67D396FC" w14:textId="77777777" w:rsidR="00F7320D" w:rsidRPr="00EC326F" w:rsidRDefault="00F7320D" w:rsidP="001A4479">
      <w:pPr>
        <w:pStyle w:val="Bullet1"/>
        <w:numPr>
          <w:ilvl w:val="0"/>
          <w:numId w:val="42"/>
        </w:numPr>
      </w:pPr>
      <w:r w:rsidRPr="00EC326F">
        <w:t>3</w:t>
      </w:r>
      <w:r w:rsidR="00321A6F" w:rsidRPr="00EC326F">
        <w:t>7</w:t>
      </w:r>
      <w:r w:rsidRPr="00EC326F">
        <w:t xml:space="preserve">% of the people currently in this class will still be in this class in 5 years’ time (either by remaining in this class throughout this time, or by exiting and returning). This figure reduces to </w:t>
      </w:r>
      <w:r w:rsidR="00321A6F" w:rsidRPr="00EC326F">
        <w:t>24</w:t>
      </w:r>
      <w:r w:rsidRPr="00EC326F">
        <w:t>% by 10 years’ time.</w:t>
      </w:r>
    </w:p>
    <w:p w14:paraId="3B5429D9" w14:textId="77777777" w:rsidR="00F7320D" w:rsidRPr="00EC326F" w:rsidRDefault="00F7320D" w:rsidP="001A4479">
      <w:pPr>
        <w:pStyle w:val="Bullet1"/>
        <w:numPr>
          <w:ilvl w:val="0"/>
          <w:numId w:val="42"/>
        </w:numPr>
      </w:pPr>
      <w:r w:rsidRPr="00EC326F">
        <w:lastRenderedPageBreak/>
        <w:t xml:space="preserve">After 35 years, around </w:t>
      </w:r>
      <w:r w:rsidR="00321A6F" w:rsidRPr="00EC326F">
        <w:t>45</w:t>
      </w:r>
      <w:r w:rsidRPr="00EC326F">
        <w:t>% of the original group are projected to be on some form of income support payment.</w:t>
      </w:r>
    </w:p>
    <w:p w14:paraId="26D63DAE" w14:textId="77777777" w:rsidR="00F7320D" w:rsidRPr="00EC326F" w:rsidRDefault="00F7320D" w:rsidP="00F7320D">
      <w:pPr>
        <w:pStyle w:val="Minorheading"/>
      </w:pPr>
      <w:r w:rsidRPr="00EC326F">
        <w:t>Duration</w:t>
      </w:r>
    </w:p>
    <w:p w14:paraId="0408F982" w14:textId="77777777" w:rsidR="00F7320D" w:rsidRPr="00EC326F" w:rsidRDefault="00F7320D" w:rsidP="00EC326F">
      <w:pPr>
        <w:pStyle w:val="PwCNormal"/>
        <w:numPr>
          <w:ilvl w:val="0"/>
          <w:numId w:val="0"/>
        </w:numPr>
      </w:pPr>
      <w:r w:rsidRPr="00EC326F">
        <w:t xml:space="preserve">The average future life expectancy for the Working Age class is </w:t>
      </w:r>
      <w:r w:rsidR="00BF3343" w:rsidRPr="00EC326F">
        <w:rPr>
          <w:b/>
        </w:rPr>
        <w:t>49</w:t>
      </w:r>
      <w:r w:rsidRPr="00EC326F">
        <w:t xml:space="preserve"> years. This reflects that the age profile of this class is well distributed across the working ages.</w:t>
      </w:r>
      <w:r w:rsidR="00321A6F" w:rsidRPr="00EC326F">
        <w:t xml:space="preserve"> </w:t>
      </w:r>
      <w:r w:rsidRPr="00EC326F">
        <w:t>The table below provides a summary of the expected welfare system use of people currently in this class over this time. This has been developed by considering which classes people move into as they move through the welfare system over their lives.</w:t>
      </w:r>
    </w:p>
    <w:p w14:paraId="675893AA" w14:textId="77777777" w:rsidR="00F7320D" w:rsidRPr="002A0A1A" w:rsidRDefault="00F7320D" w:rsidP="00F7320D">
      <w:pPr>
        <w:pStyle w:val="Caption"/>
      </w:pPr>
      <w:r w:rsidRPr="00EC326F">
        <w:t xml:space="preserve">Table </w:t>
      </w:r>
      <w:fldSimple w:instr=" SEQ Table \* ARABIC ">
        <w:r w:rsidR="007A42DF">
          <w:rPr>
            <w:noProof/>
          </w:rPr>
          <w:t>29</w:t>
        </w:r>
      </w:fldSimple>
      <w:r w:rsidRPr="00EC326F">
        <w:t>: Expected durations in welfare system for people currently in Class 2</w:t>
      </w:r>
    </w:p>
    <w:tbl>
      <w:tblPr>
        <w:tblStyle w:val="ListTable3-Accent61"/>
        <w:tblW w:w="8868" w:type="dxa"/>
        <w:tblInd w:w="108" w:type="dxa"/>
        <w:tblLook w:val="04A0" w:firstRow="1" w:lastRow="0" w:firstColumn="1" w:lastColumn="0" w:noHBand="0" w:noVBand="1"/>
        <w:tblCaption w:val=" Expected durations in welfare system for people currently in Class 2&#10;&#10;"/>
        <w:tblDescription w:val="This table provides data on the expected number of years that people currently in Class 2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2 is 49 years. &#10;&#10;People in Class 2 are expected to receive some form of income support payment (excluding the age pension) for 13 years, 27% of their future lifetime. It is expected that they will receive the age pension for 17 years (35% of their future lifetime), non-income support payments only for 3  years (6% of their lifetime) and no welfare payments for 16 years (32% of their lifetime).&#10;"/>
      </w:tblPr>
      <w:tblGrid>
        <w:gridCol w:w="3828"/>
        <w:gridCol w:w="2520"/>
        <w:gridCol w:w="2520"/>
      </w:tblGrid>
      <w:tr w:rsidR="00F7320D" w:rsidRPr="00EC326F" w14:paraId="4F9B57AF"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4" w:space="0" w:color="E0301E" w:themeColor="accent6"/>
              <w:left w:val="single" w:sz="4" w:space="0" w:color="E0301E" w:themeColor="accent6"/>
            </w:tcBorders>
          </w:tcPr>
          <w:p w14:paraId="4C25DDBD" w14:textId="77777777" w:rsidR="00F7320D" w:rsidRPr="00EC326F" w:rsidRDefault="00F7320D" w:rsidP="0012447C">
            <w:pPr>
              <w:pStyle w:val="TableTextSmall"/>
              <w:keepNext/>
              <w:jc w:val="center"/>
              <w:rPr>
                <w:rFonts w:asciiTheme="majorHAnsi" w:hAnsiTheme="majorHAnsi"/>
                <w:color w:val="FFFFFF" w:themeColor="background1"/>
              </w:rPr>
            </w:pPr>
          </w:p>
        </w:tc>
        <w:tc>
          <w:tcPr>
            <w:tcW w:w="2520" w:type="dxa"/>
            <w:tcBorders>
              <w:top w:val="single" w:sz="4" w:space="0" w:color="E0301E" w:themeColor="accent6"/>
              <w:left w:val="nil"/>
              <w:bottom w:val="nil"/>
              <w:right w:val="nil"/>
            </w:tcBorders>
            <w:hideMark/>
          </w:tcPr>
          <w:p w14:paraId="63B87499" w14:textId="77777777" w:rsidR="00F7320D" w:rsidRPr="00EC326F" w:rsidRDefault="00F7320D" w:rsidP="0012447C">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Expected Years</w:t>
            </w:r>
          </w:p>
        </w:tc>
        <w:tc>
          <w:tcPr>
            <w:tcW w:w="2520" w:type="dxa"/>
            <w:tcBorders>
              <w:top w:val="single" w:sz="4" w:space="0" w:color="E0301E" w:themeColor="accent6"/>
              <w:left w:val="nil"/>
              <w:bottom w:val="nil"/>
              <w:right w:val="single" w:sz="4" w:space="0" w:color="E0301E" w:themeColor="accent6"/>
            </w:tcBorders>
            <w:hideMark/>
          </w:tcPr>
          <w:p w14:paraId="365E02BA" w14:textId="77777777" w:rsidR="00F7320D" w:rsidRPr="00EC326F" w:rsidRDefault="00F7320D" w:rsidP="0012447C">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Proportion of Future Lifetime</w:t>
            </w:r>
          </w:p>
        </w:tc>
      </w:tr>
      <w:tr w:rsidR="00F7320D" w:rsidRPr="00EC326F" w14:paraId="486BD06A" w14:textId="77777777" w:rsidTr="00F73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157FC4AB" w14:textId="77777777" w:rsidR="00F7320D" w:rsidRPr="00EC326F" w:rsidRDefault="00F7320D" w:rsidP="0012447C">
            <w:pPr>
              <w:pStyle w:val="TableTextSmall"/>
              <w:keepNext/>
            </w:pPr>
            <w:r w:rsidRPr="00EC326F">
              <w:t>Years with some income support payments:</w:t>
            </w:r>
          </w:p>
          <w:p w14:paraId="61A8A3C5" w14:textId="77777777" w:rsidR="00F7320D" w:rsidRPr="00EC326F" w:rsidRDefault="00F7320D" w:rsidP="0012447C">
            <w:pPr>
              <w:pStyle w:val="TableTextSmall"/>
              <w:keepNext/>
              <w:numPr>
                <w:ilvl w:val="0"/>
                <w:numId w:val="43"/>
              </w:numPr>
            </w:pPr>
            <w:r w:rsidRPr="00EC326F">
              <w:t>Not aged pension (classes 1-5)</w:t>
            </w:r>
          </w:p>
          <w:p w14:paraId="1D9F99A1" w14:textId="77777777" w:rsidR="00F7320D" w:rsidRPr="00EC326F" w:rsidRDefault="00F7320D" w:rsidP="0012447C">
            <w:pPr>
              <w:pStyle w:val="TableTextSmall"/>
              <w:keepNext/>
              <w:numPr>
                <w:ilvl w:val="0"/>
                <w:numId w:val="43"/>
              </w:numPr>
            </w:pPr>
            <w:r w:rsidRPr="00EC326F">
              <w:t>Aged pension (class 6)</w:t>
            </w:r>
          </w:p>
        </w:tc>
        <w:tc>
          <w:tcPr>
            <w:tcW w:w="2520" w:type="dxa"/>
            <w:tcBorders>
              <w:left w:val="nil"/>
              <w:right w:val="nil"/>
            </w:tcBorders>
            <w:hideMark/>
          </w:tcPr>
          <w:p w14:paraId="0ED57FE5" w14:textId="77777777" w:rsidR="00F7320D" w:rsidRPr="00EC326F" w:rsidRDefault="00BF3343" w:rsidP="0012447C">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br/>
              <w:t>13</w:t>
            </w:r>
          </w:p>
          <w:p w14:paraId="2F9835D4" w14:textId="77777777" w:rsidR="00F7320D" w:rsidRPr="00EC326F" w:rsidRDefault="00F7320D" w:rsidP="0012447C">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17</w:t>
            </w:r>
          </w:p>
        </w:tc>
        <w:tc>
          <w:tcPr>
            <w:tcW w:w="2520" w:type="dxa"/>
            <w:tcBorders>
              <w:left w:val="nil"/>
              <w:right w:val="single" w:sz="4" w:space="0" w:color="E0301E" w:themeColor="accent6"/>
            </w:tcBorders>
            <w:hideMark/>
          </w:tcPr>
          <w:p w14:paraId="7D55E459" w14:textId="77777777" w:rsidR="00F7320D" w:rsidRPr="00EC326F" w:rsidRDefault="00BF3343" w:rsidP="0012447C">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br/>
              <w:t>27</w:t>
            </w:r>
            <w:r w:rsidR="00F7320D" w:rsidRPr="00EC326F">
              <w:t>%</w:t>
            </w:r>
          </w:p>
          <w:p w14:paraId="63261E78" w14:textId="77777777" w:rsidR="00F7320D" w:rsidRPr="00EC326F" w:rsidRDefault="00BF3343" w:rsidP="0012447C">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35</w:t>
            </w:r>
            <w:r w:rsidR="00F7320D" w:rsidRPr="00EC326F">
              <w:t>%</w:t>
            </w:r>
          </w:p>
        </w:tc>
      </w:tr>
      <w:tr w:rsidR="00F7320D" w:rsidRPr="00EC326F" w14:paraId="66006C82" w14:textId="77777777" w:rsidTr="00F7320D">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hideMark/>
          </w:tcPr>
          <w:p w14:paraId="6B273EC8" w14:textId="77777777" w:rsidR="00F7320D" w:rsidRPr="00EC326F" w:rsidRDefault="00F7320D" w:rsidP="0012447C">
            <w:pPr>
              <w:pStyle w:val="TableTextSmall"/>
              <w:keepNext/>
            </w:pPr>
            <w:r w:rsidRPr="00EC326F">
              <w:t>Years with non-income support payments only</w:t>
            </w:r>
          </w:p>
        </w:tc>
        <w:tc>
          <w:tcPr>
            <w:tcW w:w="2520" w:type="dxa"/>
            <w:tcBorders>
              <w:top w:val="nil"/>
              <w:left w:val="nil"/>
              <w:bottom w:val="nil"/>
              <w:right w:val="nil"/>
            </w:tcBorders>
            <w:hideMark/>
          </w:tcPr>
          <w:p w14:paraId="5BA07B69" w14:textId="77777777" w:rsidR="00F7320D" w:rsidRPr="00EC326F" w:rsidRDefault="00F7320D" w:rsidP="0012447C">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3</w:t>
            </w:r>
          </w:p>
        </w:tc>
        <w:tc>
          <w:tcPr>
            <w:tcW w:w="2520" w:type="dxa"/>
            <w:tcBorders>
              <w:top w:val="nil"/>
              <w:left w:val="nil"/>
              <w:bottom w:val="nil"/>
              <w:right w:val="single" w:sz="4" w:space="0" w:color="E0301E" w:themeColor="accent6"/>
            </w:tcBorders>
            <w:hideMark/>
          </w:tcPr>
          <w:p w14:paraId="36AB559E" w14:textId="77777777" w:rsidR="00F7320D" w:rsidRPr="00EC326F" w:rsidRDefault="00F7320D" w:rsidP="0012447C">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6%</w:t>
            </w:r>
          </w:p>
        </w:tc>
      </w:tr>
      <w:tr w:rsidR="00F7320D" w:rsidRPr="00EC326F" w14:paraId="6889E787" w14:textId="77777777" w:rsidTr="00F73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394F9676" w14:textId="77777777" w:rsidR="00F7320D" w:rsidRPr="00EC326F" w:rsidRDefault="00F7320D" w:rsidP="0012447C">
            <w:pPr>
              <w:pStyle w:val="TableTextSmall"/>
              <w:keepNext/>
            </w:pPr>
            <w:r w:rsidRPr="00EC326F">
              <w:t>Years not receiving any welfare payments</w:t>
            </w:r>
          </w:p>
        </w:tc>
        <w:tc>
          <w:tcPr>
            <w:tcW w:w="2520" w:type="dxa"/>
            <w:tcBorders>
              <w:left w:val="nil"/>
              <w:right w:val="nil"/>
            </w:tcBorders>
            <w:hideMark/>
          </w:tcPr>
          <w:p w14:paraId="3D4C0189" w14:textId="77777777" w:rsidR="00F7320D" w:rsidRPr="00EC326F" w:rsidRDefault="00F7320D" w:rsidP="0012447C">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16</w:t>
            </w:r>
          </w:p>
        </w:tc>
        <w:tc>
          <w:tcPr>
            <w:tcW w:w="2520" w:type="dxa"/>
            <w:tcBorders>
              <w:left w:val="nil"/>
              <w:right w:val="single" w:sz="4" w:space="0" w:color="E0301E" w:themeColor="accent6"/>
            </w:tcBorders>
            <w:hideMark/>
          </w:tcPr>
          <w:p w14:paraId="27E3C85A" w14:textId="77777777" w:rsidR="00F7320D" w:rsidRPr="00EC326F" w:rsidRDefault="00F7320D" w:rsidP="0012447C">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32%</w:t>
            </w:r>
          </w:p>
        </w:tc>
      </w:tr>
      <w:tr w:rsidR="00F7320D" w:rsidRPr="00EC326F" w14:paraId="7923F543" w14:textId="77777777" w:rsidTr="00F7320D">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hideMark/>
          </w:tcPr>
          <w:p w14:paraId="0D842726" w14:textId="77777777" w:rsidR="00F7320D" w:rsidRPr="00EC326F" w:rsidRDefault="00F7320D">
            <w:pPr>
              <w:pStyle w:val="TableTextSmall"/>
            </w:pPr>
            <w:r w:rsidRPr="00EC326F">
              <w:t>Total</w:t>
            </w:r>
          </w:p>
        </w:tc>
        <w:tc>
          <w:tcPr>
            <w:tcW w:w="2520" w:type="dxa"/>
            <w:tcBorders>
              <w:top w:val="nil"/>
              <w:left w:val="nil"/>
              <w:bottom w:val="single" w:sz="4" w:space="0" w:color="E0301E" w:themeColor="accent6"/>
              <w:right w:val="nil"/>
            </w:tcBorders>
            <w:hideMark/>
          </w:tcPr>
          <w:p w14:paraId="21DE8F02" w14:textId="77777777" w:rsidR="00F7320D" w:rsidRPr="00EC326F" w:rsidRDefault="00BF3343">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49</w:t>
            </w:r>
          </w:p>
        </w:tc>
        <w:tc>
          <w:tcPr>
            <w:tcW w:w="2520" w:type="dxa"/>
            <w:tcBorders>
              <w:top w:val="nil"/>
              <w:left w:val="nil"/>
              <w:bottom w:val="single" w:sz="4" w:space="0" w:color="E0301E" w:themeColor="accent6"/>
              <w:right w:val="single" w:sz="4" w:space="0" w:color="E0301E" w:themeColor="accent6"/>
            </w:tcBorders>
            <w:hideMark/>
          </w:tcPr>
          <w:p w14:paraId="72210E06" w14:textId="77777777" w:rsidR="00F7320D" w:rsidRPr="00EC326F" w:rsidRDefault="00F7320D">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100%</w:t>
            </w:r>
          </w:p>
        </w:tc>
      </w:tr>
    </w:tbl>
    <w:p w14:paraId="05A299A9" w14:textId="77777777" w:rsidR="00716FF0" w:rsidRDefault="00716FF0" w:rsidP="00716FF0">
      <w:pPr>
        <w:pStyle w:val="PwCNormal"/>
        <w:numPr>
          <w:ilvl w:val="0"/>
          <w:numId w:val="0"/>
        </w:numPr>
      </w:pPr>
      <w:bookmarkStart w:id="382" w:name="_Toc455502442"/>
      <w:bookmarkStart w:id="383" w:name="_Toc455499421"/>
    </w:p>
    <w:p w14:paraId="7384F98E" w14:textId="77777777" w:rsidR="00142D83" w:rsidRPr="00EC326F" w:rsidRDefault="00142D83" w:rsidP="00716FF0">
      <w:pPr>
        <w:pStyle w:val="PwCNormal"/>
        <w:numPr>
          <w:ilvl w:val="0"/>
          <w:numId w:val="0"/>
        </w:numPr>
      </w:pPr>
      <w:r w:rsidRPr="00EC326F">
        <w:br w:type="page"/>
      </w:r>
    </w:p>
    <w:p w14:paraId="4F66C448" w14:textId="77777777" w:rsidR="00F7320D" w:rsidRPr="00EC326F" w:rsidRDefault="00F7320D" w:rsidP="001A4479">
      <w:pPr>
        <w:pStyle w:val="Heading3"/>
        <w:numPr>
          <w:ilvl w:val="2"/>
          <w:numId w:val="41"/>
        </w:numPr>
      </w:pPr>
      <w:bookmarkStart w:id="384" w:name="_Toc493844259"/>
      <w:r w:rsidRPr="00EC326F">
        <w:lastRenderedPageBreak/>
        <w:t>Parenting Payment recipients</w:t>
      </w:r>
      <w:bookmarkEnd w:id="382"/>
      <w:bookmarkEnd w:id="383"/>
      <w:bookmarkEnd w:id="384"/>
    </w:p>
    <w:p w14:paraId="3484D633" w14:textId="77777777" w:rsidR="00F7320D" w:rsidRPr="00EC326F" w:rsidRDefault="00F7320D" w:rsidP="00F7320D">
      <w:pPr>
        <w:pStyle w:val="Heading4"/>
      </w:pPr>
      <w:bookmarkStart w:id="385" w:name="_Toc455503975"/>
      <w:bookmarkStart w:id="386" w:name="_Toc455502443"/>
      <w:bookmarkStart w:id="387" w:name="_Toc455499422"/>
      <w:r w:rsidRPr="00EC326F">
        <w:t>What does the data tell us about Parenting payment recipients?</w:t>
      </w:r>
      <w:bookmarkEnd w:id="385"/>
      <w:bookmarkEnd w:id="386"/>
      <w:bookmarkEnd w:id="387"/>
    </w:p>
    <w:p w14:paraId="671A2669" w14:textId="30447449" w:rsidR="00F7320D" w:rsidRPr="00EC326F" w:rsidRDefault="00F7320D" w:rsidP="00F7320D">
      <w:pPr>
        <w:pStyle w:val="PwCNormal"/>
        <w:numPr>
          <w:ilvl w:val="0"/>
          <w:numId w:val="0"/>
        </w:numPr>
      </w:pPr>
      <w:r w:rsidRPr="00EC326F">
        <w:t>There were 436,585 people (5.4%</w:t>
      </w:r>
      <w:r w:rsidR="00F05CEC" w:rsidRPr="00EC326F">
        <w:t xml:space="preserve"> of current welfare recipients</w:t>
      </w:r>
      <w:r w:rsidRPr="00EC326F">
        <w:t xml:space="preserve">) in the </w:t>
      </w:r>
      <w:r w:rsidR="00916C7F">
        <w:t>P</w:t>
      </w:r>
      <w:r w:rsidRPr="00EC326F">
        <w:t>arent</w:t>
      </w:r>
      <w:r w:rsidR="00A53A6E">
        <w:t>ing</w:t>
      </w:r>
      <w:r w:rsidRPr="00EC326F">
        <w:t xml:space="preserve"> class in the 2016 model population.</w:t>
      </w:r>
      <w:r w:rsidR="00142D83" w:rsidRPr="00EC326F">
        <w:t xml:space="preserve"> </w:t>
      </w:r>
      <w:r w:rsidRPr="00EC326F">
        <w:t>The following chart shows a breakdown of the number of people in the Working Age class by age, gender and payment type.</w:t>
      </w:r>
    </w:p>
    <w:p w14:paraId="714079B6" w14:textId="77777777" w:rsidR="00F7320D" w:rsidRPr="00EC326F" w:rsidRDefault="00F7320D" w:rsidP="00F7320D">
      <w:pPr>
        <w:pStyle w:val="Caption"/>
      </w:pPr>
      <w:r w:rsidRPr="00EC326F">
        <w:t xml:space="preserve">Figure </w:t>
      </w:r>
      <w:fldSimple w:instr=" SEQ Figure \* ARABIC ">
        <w:r w:rsidR="007A42DF">
          <w:rPr>
            <w:noProof/>
          </w:rPr>
          <w:t>40</w:t>
        </w:r>
      </w:fldSimple>
      <w:r w:rsidRPr="00EC326F">
        <w:t>: 2016 profile of people in Class 3 – Parents (age/gender/payment type)</w:t>
      </w:r>
    </w:p>
    <w:tbl>
      <w:tblPr>
        <w:tblStyle w:val="Tables-APBase"/>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3 – Parents (age/gender/payment type)&#10;"/>
        <w:tblDescription w:val="This figure is a horizontal bar chart showing the number of people in the Parents class at Jun16 by age for males and females separately. The vertical axis shows age with the data shown ranging from 13 to 70. The horizontal axis shows the number of people ranging from 0 to 20,000. The number of males at each age are shown by the horizontal bars to the left of the vertical axis and the number of females at each age are shown by horizontal bars to the right.&#10;&#10;The bars for each given age and gender are split into the number of people associated with the following Studying payment types: Parenting Payment – Partnered and Parenting Payment – Single.&#10;&#10;The chart is based on the 437,000 individuals who were in the parenting class at 30 June 2016. &#10;&#10;The chart shows that the people in this class are predominately female and aged between 16 and 50. The number of females peaks at approximately 19,000 at age 31. The number of males peaks at around 1,700 at age 34&#10;&#10;Approximately 70% of all females and 45% of all males in the parenting class are recipients of Parenting Payment – Single. The remaining clients receive the Parenting Payment – Partnered.&#10;&#10;"/>
      </w:tblPr>
      <w:tblGrid>
        <w:gridCol w:w="6051"/>
        <w:gridCol w:w="3350"/>
      </w:tblGrid>
      <w:tr w:rsidR="00F7320D" w:rsidRPr="00EC326F" w14:paraId="64D508DA" w14:textId="77777777" w:rsidTr="009C6553">
        <w:trPr>
          <w:tblHeader/>
        </w:trPr>
        <w:tc>
          <w:tcPr>
            <w:tcW w:w="6096" w:type="dxa"/>
            <w:hideMark/>
          </w:tcPr>
          <w:p w14:paraId="518A26B7" w14:textId="77777777" w:rsidR="00F7320D" w:rsidRPr="00EC326F" w:rsidRDefault="00F7320D">
            <w:pPr>
              <w:pStyle w:val="TableTextSmall"/>
              <w:keepNext/>
              <w:rPr>
                <w:lang w:eastAsia="en-AU"/>
              </w:rPr>
            </w:pPr>
            <w:r w:rsidRPr="00EC326F">
              <w:rPr>
                <w:noProof/>
                <w:lang w:eastAsia="en-AU"/>
              </w:rPr>
              <w:drawing>
                <wp:inline distT="0" distB="0" distL="0" distR="0" wp14:anchorId="38F65995" wp14:editId="024BA5A5">
                  <wp:extent cx="3398494" cy="2160000"/>
                  <wp:effectExtent l="0" t="0" r="0" b="0"/>
                  <wp:docPr id="3152" name="Picture 3152" descr="This figure is a horizontal bar chart showing the number of people in the Parents class at Jun16 by age for males and females separately. The vertical axis shows age with the data shown ranging from 13 to 70. The horizontal axis shows the number of people ranging from 0 to 20,000. The number of males at each age are shown by the horizontal bars to the left of the vertical axis and the number of females at each age are shown by horizontal bars to the right.&#10;&#10;The bars for each given age and gender are split into the number of people associated with the following Studying payment types: Parenting Payment – Partnered and Parenting Payment – Single.&#10;&#10;The chart is based on the 437,000 individuals who were in the parenting class at 30 June 2016. &#10;&#10;The chart shows that the people in this class are predominately female and aged between 16 and 50. The number of females peaks at approximately 19,000 at age 31. The number of males peaks at around 1,700 at age 34&#10;&#10;Approximately 70% of all females and 45% of all males in the parenting class are recipients of Parenting Payment – Single. The remaining clients receive the Parenting Payment – Partnered.&#10;&#10;" title=" 2016 profile of people in Class 3 – Parents (age/gender/payment ty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98494" cy="2160000"/>
                          </a:xfrm>
                          <a:prstGeom prst="rect">
                            <a:avLst/>
                          </a:prstGeom>
                          <a:noFill/>
                          <a:ln>
                            <a:noFill/>
                          </a:ln>
                        </pic:spPr>
                      </pic:pic>
                    </a:graphicData>
                  </a:graphic>
                </wp:inline>
              </w:drawing>
            </w:r>
          </w:p>
        </w:tc>
        <w:tc>
          <w:tcPr>
            <w:tcW w:w="3374" w:type="dxa"/>
          </w:tcPr>
          <w:p w14:paraId="3BFC0E07" w14:textId="77777777" w:rsidR="00F7320D" w:rsidRPr="00EC326F" w:rsidRDefault="00F7320D">
            <w:pPr>
              <w:pStyle w:val="TableTextSmall"/>
              <w:keepNext/>
              <w:rPr>
                <w:lang w:eastAsia="en-AU"/>
              </w:rPr>
            </w:pPr>
          </w:p>
          <w:p w14:paraId="4FB2EA53" w14:textId="77777777" w:rsidR="00F7320D" w:rsidRPr="00EC326F" w:rsidRDefault="00F7320D">
            <w:pPr>
              <w:pStyle w:val="TableTextSmall"/>
              <w:keepNext/>
              <w:rPr>
                <w:lang w:eastAsia="en-AU"/>
              </w:rPr>
            </w:pPr>
          </w:p>
          <w:p w14:paraId="1DD44C71" w14:textId="77777777" w:rsidR="00F7320D" w:rsidRPr="00EC326F" w:rsidRDefault="00F7320D">
            <w:pPr>
              <w:pStyle w:val="TableTextSmall"/>
              <w:keepNext/>
              <w:rPr>
                <w:lang w:eastAsia="en-AU"/>
              </w:rPr>
            </w:pPr>
          </w:p>
          <w:p w14:paraId="3BC738A6" w14:textId="4D2DEB49" w:rsidR="00F7320D" w:rsidRPr="00EC326F" w:rsidRDefault="00F7320D" w:rsidP="0040480E">
            <w:pPr>
              <w:pStyle w:val="TableTextSmall"/>
              <w:keepNext/>
              <w:rPr>
                <w:lang w:eastAsia="en-AU"/>
              </w:rPr>
            </w:pPr>
            <w:r w:rsidRPr="00EC326F">
              <w:rPr>
                <w:noProof/>
                <w:lang w:eastAsia="en-AU"/>
              </w:rPr>
              <w:drawing>
                <wp:inline distT="0" distB="0" distL="0" distR="0" wp14:anchorId="30C52A63" wp14:editId="5BE1025A">
                  <wp:extent cx="1490345" cy="499745"/>
                  <wp:effectExtent l="0" t="0" r="0" b="0"/>
                  <wp:docPr id="3151" name="Picture 3151" descr="Legend: Parenting Payment - Partnered, Parenting Payment - Single" title="Legend for 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90345" cy="499745"/>
                          </a:xfrm>
                          <a:prstGeom prst="rect">
                            <a:avLst/>
                          </a:prstGeom>
                          <a:noFill/>
                          <a:ln>
                            <a:noFill/>
                          </a:ln>
                        </pic:spPr>
                      </pic:pic>
                    </a:graphicData>
                  </a:graphic>
                </wp:inline>
              </w:drawing>
            </w:r>
          </w:p>
        </w:tc>
      </w:tr>
    </w:tbl>
    <w:p w14:paraId="5BC17726" w14:textId="77777777" w:rsidR="00F7320D" w:rsidRPr="00EC326F" w:rsidRDefault="00F7320D" w:rsidP="001A4479">
      <w:pPr>
        <w:pStyle w:val="PwCNormal"/>
        <w:numPr>
          <w:ilvl w:val="0"/>
          <w:numId w:val="37"/>
        </w:numPr>
      </w:pPr>
      <w:r w:rsidRPr="00EC326F">
        <w:t>The people in this class are predominantly women and in the age range 15 to 50. The majority (67%) of the people in this class are single.</w:t>
      </w:r>
    </w:p>
    <w:p w14:paraId="2804D27C" w14:textId="77777777" w:rsidR="00F7320D" w:rsidRPr="00EC326F" w:rsidRDefault="00F7320D" w:rsidP="00F7320D">
      <w:pPr>
        <w:pStyle w:val="Minorheading"/>
      </w:pPr>
      <w:r w:rsidRPr="00EC326F">
        <w:t>Movements into this class</w:t>
      </w:r>
    </w:p>
    <w:p w14:paraId="5C0BA52E" w14:textId="77777777" w:rsidR="00072850" w:rsidRPr="00EC326F" w:rsidRDefault="00072850" w:rsidP="00072850">
      <w:pPr>
        <w:pStyle w:val="PwCNormal"/>
        <w:numPr>
          <w:ilvl w:val="0"/>
          <w:numId w:val="1"/>
        </w:numPr>
      </w:pPr>
      <w:r w:rsidRPr="00EC326F">
        <w:t xml:space="preserve">Over the last 3 years, an average of 80,900 people (around 19% of the people in this class) per annum enter this class from another welfare class or from outside the welfare system. The following charts show the breakdown of this by age, gender and previous class. </w:t>
      </w:r>
    </w:p>
    <w:p w14:paraId="45CCB026" w14:textId="77777777" w:rsidR="00072850" w:rsidRPr="00EC326F" w:rsidRDefault="00072850" w:rsidP="00072850">
      <w:pPr>
        <w:pStyle w:val="Caption"/>
      </w:pPr>
      <w:r w:rsidRPr="00EC326F">
        <w:t xml:space="preserve">Figure </w:t>
      </w:r>
      <w:fldSimple w:instr=" SEQ Figure \* ARABIC ">
        <w:r w:rsidR="007A42DF">
          <w:rPr>
            <w:noProof/>
          </w:rPr>
          <w:t>41</w:t>
        </w:r>
      </w:fldSimple>
      <w:r w:rsidRPr="00EC326F">
        <w:t>: Number of people entering Class 3 – Parents (annual average over last 3 years)</w:t>
      </w:r>
    </w:p>
    <w:tbl>
      <w:tblPr>
        <w:tblW w:w="4922" w:type="pct"/>
        <w:tblLayout w:type="fixed"/>
        <w:tblLook w:val="04A0" w:firstRow="1" w:lastRow="0" w:firstColumn="1" w:lastColumn="0" w:noHBand="0" w:noVBand="1"/>
        <w:tblCaption w:val=" Number of people entering Class 3 – Parents (annual average over last 3 years)"/>
        <w:tblDescription w:val="This text box contains two charts and a legend."/>
      </w:tblPr>
      <w:tblGrid>
        <w:gridCol w:w="4627"/>
        <w:gridCol w:w="4627"/>
      </w:tblGrid>
      <w:tr w:rsidR="00072850" w:rsidRPr="00EC326F" w14:paraId="03EC52FB" w14:textId="77777777" w:rsidTr="001B43B4">
        <w:trPr>
          <w:tblHeader/>
        </w:trPr>
        <w:tc>
          <w:tcPr>
            <w:tcW w:w="4627" w:type="dxa"/>
          </w:tcPr>
          <w:p w14:paraId="588E84DC" w14:textId="77777777" w:rsidR="00072850" w:rsidRPr="00EC326F" w:rsidRDefault="00072850" w:rsidP="00C1032B">
            <w:pPr>
              <w:pStyle w:val="TableTextSmall"/>
              <w:keepNext/>
              <w:jc w:val="center"/>
              <w:rPr>
                <w:b/>
                <w:i/>
              </w:rPr>
            </w:pPr>
            <w:r w:rsidRPr="00EC326F">
              <w:rPr>
                <w:b/>
                <w:i/>
              </w:rPr>
              <w:t>Males</w:t>
            </w:r>
          </w:p>
        </w:tc>
        <w:tc>
          <w:tcPr>
            <w:tcW w:w="4627" w:type="dxa"/>
          </w:tcPr>
          <w:p w14:paraId="6E8BCAB4" w14:textId="77777777" w:rsidR="00072850" w:rsidRPr="00EC326F" w:rsidRDefault="00072850" w:rsidP="00C1032B">
            <w:pPr>
              <w:pStyle w:val="TableTextSmall"/>
              <w:keepNext/>
              <w:jc w:val="center"/>
              <w:rPr>
                <w:b/>
                <w:i/>
              </w:rPr>
            </w:pPr>
            <w:r w:rsidRPr="00EC326F">
              <w:rPr>
                <w:b/>
                <w:i/>
              </w:rPr>
              <w:t>Females</w:t>
            </w:r>
          </w:p>
        </w:tc>
      </w:tr>
      <w:tr w:rsidR="00072850" w:rsidRPr="00EC326F" w14:paraId="03F92868" w14:textId="77777777" w:rsidTr="00303F34">
        <w:tc>
          <w:tcPr>
            <w:tcW w:w="4627" w:type="dxa"/>
          </w:tcPr>
          <w:p w14:paraId="71E47E5B" w14:textId="77777777" w:rsidR="00072850" w:rsidRPr="00EC326F" w:rsidRDefault="00072850" w:rsidP="00C1032B">
            <w:pPr>
              <w:pStyle w:val="TableTextSmall"/>
              <w:keepNext/>
              <w:rPr>
                <w:lang w:eastAsia="en-AU"/>
              </w:rPr>
            </w:pPr>
            <w:r w:rsidRPr="00EC326F">
              <w:rPr>
                <w:noProof/>
                <w:lang w:eastAsia="en-AU"/>
              </w:rPr>
              <w:drawing>
                <wp:inline distT="0" distB="0" distL="0" distR="0" wp14:anchorId="3E581C4A" wp14:editId="13731E0D">
                  <wp:extent cx="3009900" cy="1876425"/>
                  <wp:effectExtent l="0" t="0" r="0" b="9525"/>
                  <wp:docPr id="3932" name="Picture 3932" descr="This figure contains two area charts. The vertical axis on both charts displays the cumulative number of entrants into the Parents class, and ranges from 0 to 3,500. For both charts the horizontal axis shows age ranging from 0 to 110. &#10;&#10;The chart on the left shows the average number of male entrants over the period from June 2014 to June 2016, split by class prior to entry. &#10;&#10;Both area charts show the cumulative number of entrants split by class prior to entry to the Parents class; 1 Studying, 2 Working Age, 4 Carers, 5 Disability Support, 6 Pension Age, 7 Non-IS Family, 8 Non-IS Carer, 9 Non-IS Other, 10 Previous Welfare Recipient and 12 Rest of the Australian Population.&#10;&#10;The left chart shows that the majority of male entrants come from Class 2 Working Age, Class 7 Non-IS Family, Class 10 Previous Welfare Recipient or Class 12 Rest of the Australian Population. The male entrants profile peaks at age 32 where there around 500 entrants. &#10;&#10;Further discussion of the key features shown in the chart can be found in the accompanying text within the report.&#10;" title=" Number of people entering Class 3 – Parents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627" w:type="dxa"/>
          </w:tcPr>
          <w:p w14:paraId="65D0527B" w14:textId="77777777" w:rsidR="00072850" w:rsidRPr="00EC326F" w:rsidRDefault="00072850" w:rsidP="00C1032B">
            <w:pPr>
              <w:pStyle w:val="TableTextSmall"/>
              <w:keepNext/>
              <w:rPr>
                <w:lang w:eastAsia="en-AU"/>
              </w:rPr>
            </w:pPr>
            <w:r w:rsidRPr="00EC326F">
              <w:rPr>
                <w:noProof/>
                <w:lang w:eastAsia="en-AU"/>
              </w:rPr>
              <w:drawing>
                <wp:inline distT="0" distB="0" distL="0" distR="0" wp14:anchorId="61C5545D" wp14:editId="35CABD76">
                  <wp:extent cx="3009900" cy="1876425"/>
                  <wp:effectExtent l="0" t="0" r="0" b="9525"/>
                  <wp:docPr id="3936" name="Picture 3936" descr="The chart on the right shows the average number of female entrants over the period from June 2014 to June 2016, split by class prior to entry. &#10;&#10;The chart on the right shows that there are significantly more females entrants across all ages compared to males. The female entrants profile peaks at age 31 where there around 3,500 entrants. The majority of female entrants come from Class 2 Working Age, Class 7 Non-IS Family, Class 9 Non-IS Other or the Non Client Classes 10 &amp; 12.&#10;" title="The right chart for females shows similar trends to the male chart. The number of female exits peaks firstly at age 20 (7,800 exits), then at age 24 (7,300 exits) and later peaks again  at age 65 (12,500 exits). The main difference between the male and female charts is the variety of classes that clients subsequently transition to. The majority of females who exit move to Class 10 Previous Welfare Recipient, class 3 Parents or Class 1 Studying from ages 15 to 30. From ages 35 to 64 the majority of exiting females move into Class 10 Previous Welfare Recipient or Class 7 Non IS Family, while from age 65 onwards the majority of females exiting is almost entirely into Class 6 Pensio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6323A6DD" w14:textId="5D04E3AE" w:rsidR="00300596" w:rsidRDefault="00303F34" w:rsidP="0081675B">
      <w:pPr>
        <w:pStyle w:val="PwCNormal"/>
        <w:numPr>
          <w:ilvl w:val="0"/>
          <w:numId w:val="1"/>
        </w:numPr>
        <w:jc w:val="center"/>
      </w:pPr>
      <w:r w:rsidRPr="00EC326F">
        <w:rPr>
          <w:noProof/>
          <w:lang w:eastAsia="en-AU"/>
        </w:rPr>
        <w:drawing>
          <wp:inline distT="0" distB="0" distL="0" distR="0" wp14:anchorId="1F9F730A" wp14:editId="430CFE88">
            <wp:extent cx="5385600" cy="468000"/>
            <wp:effectExtent l="0" t="0" r="0" b="8255"/>
            <wp:docPr id="303" name="Picture 303" descr="Class key: studying, working age, parents, carers, disability support, pension age, non-income support family, non-income support carer, non-income support other, previous welfare recipient, rest of the Australian population and dead. &#10;" title="Class Key for 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5000C36D" w14:textId="77777777" w:rsidR="00072850" w:rsidRPr="002A0A1A" w:rsidRDefault="00072850" w:rsidP="00072850">
      <w:pPr>
        <w:pStyle w:val="PwCNormal"/>
        <w:numPr>
          <w:ilvl w:val="0"/>
          <w:numId w:val="1"/>
        </w:numPr>
      </w:pPr>
      <w:r w:rsidRPr="00EC326F">
        <w:t xml:space="preserve">We can see that people in this class primarily came from the Working Age class or, for women, also the Non IS Family class. There are also material numbers coming directly from outside the welfare system and, for women, from Non IS Other (these are presumably people who have just started to receive FTB or other family payments and are similar to those in Non IS Family). </w:t>
      </w:r>
    </w:p>
    <w:p w14:paraId="4855FFD8" w14:textId="77777777" w:rsidR="00F7320D" w:rsidRPr="00EC326F" w:rsidRDefault="00F7320D" w:rsidP="00F7320D">
      <w:pPr>
        <w:pStyle w:val="Minorheading"/>
      </w:pPr>
      <w:r w:rsidRPr="00EC326F">
        <w:lastRenderedPageBreak/>
        <w:t>Movements out of this class</w:t>
      </w:r>
    </w:p>
    <w:p w14:paraId="2644D3BE" w14:textId="77777777" w:rsidR="00F7320D" w:rsidRPr="00EC326F" w:rsidRDefault="00F7320D" w:rsidP="001A4479">
      <w:pPr>
        <w:pStyle w:val="PwCNormal"/>
        <w:numPr>
          <w:ilvl w:val="0"/>
          <w:numId w:val="37"/>
        </w:numPr>
      </w:pPr>
      <w:r w:rsidRPr="00EC326F">
        <w:t xml:space="preserve">Over the last 3 years, an average of 78,800 people (18%) per annum have transitioned out of the class. The following charts show the breakdown of this by age, gender and destination class. </w:t>
      </w:r>
    </w:p>
    <w:p w14:paraId="397BE46F" w14:textId="77777777" w:rsidR="00F7320D" w:rsidRPr="00EC326F" w:rsidRDefault="00F7320D" w:rsidP="00F7320D">
      <w:pPr>
        <w:pStyle w:val="Caption"/>
      </w:pPr>
      <w:r w:rsidRPr="00EC326F">
        <w:t xml:space="preserve">Figure </w:t>
      </w:r>
      <w:fldSimple w:instr=" SEQ Figure \* ARABIC ">
        <w:r w:rsidR="007A42DF">
          <w:rPr>
            <w:noProof/>
          </w:rPr>
          <w:t>42</w:t>
        </w:r>
      </w:fldSimple>
      <w:r w:rsidRPr="00EC326F">
        <w:t xml:space="preserve">: Number of people leaving Class </w:t>
      </w:r>
      <w:r w:rsidR="0010742A" w:rsidRPr="00EC326F">
        <w:t>3</w:t>
      </w:r>
      <w:r w:rsidRPr="00EC326F">
        <w:t xml:space="preserve"> – </w:t>
      </w:r>
      <w:r w:rsidR="0010742A" w:rsidRPr="00EC326F">
        <w:t>Parents</w:t>
      </w:r>
      <w:r w:rsidRPr="00EC326F">
        <w:t xml:space="preserve"> (annual average over last 3 years)</w:t>
      </w:r>
    </w:p>
    <w:tbl>
      <w:tblPr>
        <w:tblW w:w="4900" w:type="pct"/>
        <w:tblLayout w:type="fixed"/>
        <w:tblLook w:val="04A0" w:firstRow="1" w:lastRow="0" w:firstColumn="1" w:lastColumn="0" w:noHBand="0" w:noVBand="1"/>
        <w:tblCaption w:val=" Number of people leaving Class 3 – Parents (annual average over last 3 years)"/>
        <w:tblDescription w:val="This text box contains two charts and a legend."/>
      </w:tblPr>
      <w:tblGrid>
        <w:gridCol w:w="4607"/>
        <w:gridCol w:w="4606"/>
      </w:tblGrid>
      <w:tr w:rsidR="00F7320D" w:rsidRPr="00EC326F" w14:paraId="6EB32AEC" w14:textId="77777777" w:rsidTr="001B43B4">
        <w:trPr>
          <w:tblHeader/>
        </w:trPr>
        <w:tc>
          <w:tcPr>
            <w:tcW w:w="4607" w:type="dxa"/>
            <w:hideMark/>
          </w:tcPr>
          <w:p w14:paraId="60F749F1" w14:textId="77777777" w:rsidR="00F7320D" w:rsidRPr="00EC326F" w:rsidRDefault="00F7320D">
            <w:pPr>
              <w:pStyle w:val="TableTextSmall"/>
              <w:keepNext/>
              <w:jc w:val="center"/>
              <w:rPr>
                <w:i/>
              </w:rPr>
            </w:pPr>
            <w:r w:rsidRPr="00EC326F">
              <w:rPr>
                <w:b/>
                <w:i/>
              </w:rPr>
              <w:t>Males</w:t>
            </w:r>
          </w:p>
        </w:tc>
        <w:tc>
          <w:tcPr>
            <w:tcW w:w="4606" w:type="dxa"/>
            <w:hideMark/>
          </w:tcPr>
          <w:p w14:paraId="09DC97AB" w14:textId="77777777" w:rsidR="00F7320D" w:rsidRPr="00EC326F" w:rsidRDefault="00F7320D">
            <w:pPr>
              <w:pStyle w:val="TableTextSmall"/>
              <w:keepNext/>
              <w:jc w:val="center"/>
              <w:rPr>
                <w:b/>
                <w:i/>
              </w:rPr>
            </w:pPr>
            <w:r w:rsidRPr="00EC326F">
              <w:rPr>
                <w:b/>
                <w:i/>
              </w:rPr>
              <w:t>Females</w:t>
            </w:r>
          </w:p>
        </w:tc>
      </w:tr>
      <w:tr w:rsidR="00F7320D" w:rsidRPr="00EC326F" w14:paraId="6E973285" w14:textId="77777777" w:rsidTr="00303F34">
        <w:tc>
          <w:tcPr>
            <w:tcW w:w="4607" w:type="dxa"/>
            <w:hideMark/>
          </w:tcPr>
          <w:p w14:paraId="6A829B97" w14:textId="77777777" w:rsidR="00F7320D" w:rsidRPr="00EC326F" w:rsidRDefault="00F7320D">
            <w:pPr>
              <w:pStyle w:val="TableTextSmall"/>
              <w:keepNext/>
              <w:rPr>
                <w:b/>
                <w:lang w:eastAsia="en-AU"/>
              </w:rPr>
            </w:pPr>
            <w:r w:rsidRPr="00EC326F">
              <w:rPr>
                <w:noProof/>
                <w:lang w:eastAsia="en-AU"/>
              </w:rPr>
              <w:drawing>
                <wp:inline distT="0" distB="0" distL="0" distR="0" wp14:anchorId="34F179CA" wp14:editId="5819BEB3">
                  <wp:extent cx="3014345" cy="1887855"/>
                  <wp:effectExtent l="0" t="0" r="0" b="0"/>
                  <wp:docPr id="3150" name="Picture 3150" descr="This figure contains two area charts showing the cumulative number of exits from the Parents class by age. The age profile of male and female exits is shown separately. For both charts the horizontal axis shows age at the start of the year ranging from 0 to 110 and the vertical exits shows the cumulative number of people exiting ranging from 0 to 4,000.&#10;&#10;The left hand chart shows the average number of males exiting the class over the period from June 2014 to June 2016, by age.&#10;&#10;Both area charts show the cumulative number of people who exited the Parents class split by class they subsequently transition to. These classes include; 1 Studying, 2 Working Age, 4 Carers, 5 Disability Support, 6 Pension Age, 7 Non-IS Family, 8 Non-IS Carer, 9 Non-IS Other, 10 Previous Welfare Recipient, 11 Dead and 12 Rest of the Australian Population.&#10;&#10;The left chart shows the majority of males who exit move to Class 2 Working Age, Class 7 Non IS Family, or Class 10 Previous Welfare Recipient. The males exiting profile peaks at age 34 with around 450 males exiting.&#10;&#10;Further discussion of the key features shown in the chart can be found in the accompanying text within the report.&#10;" title=" Number of people leaving Class 3 – Parents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14345" cy="1887855"/>
                          </a:xfrm>
                          <a:prstGeom prst="rect">
                            <a:avLst/>
                          </a:prstGeom>
                          <a:noFill/>
                          <a:ln>
                            <a:noFill/>
                          </a:ln>
                        </pic:spPr>
                      </pic:pic>
                    </a:graphicData>
                  </a:graphic>
                </wp:inline>
              </w:drawing>
            </w:r>
          </w:p>
        </w:tc>
        <w:tc>
          <w:tcPr>
            <w:tcW w:w="4606" w:type="dxa"/>
            <w:hideMark/>
          </w:tcPr>
          <w:p w14:paraId="2F97D370" w14:textId="77777777" w:rsidR="00F7320D" w:rsidRPr="00EC326F" w:rsidRDefault="00F7320D">
            <w:pPr>
              <w:pStyle w:val="TableTextSmall"/>
              <w:keepNext/>
              <w:rPr>
                <w:lang w:eastAsia="en-AU"/>
              </w:rPr>
            </w:pPr>
            <w:r w:rsidRPr="00EC326F">
              <w:rPr>
                <w:noProof/>
                <w:lang w:eastAsia="en-AU"/>
              </w:rPr>
              <w:drawing>
                <wp:inline distT="0" distB="0" distL="0" distR="0" wp14:anchorId="7FDEF985" wp14:editId="71B0B383">
                  <wp:extent cx="3014345" cy="1896745"/>
                  <wp:effectExtent l="0" t="0" r="0" b="8255"/>
                  <wp:docPr id="3149" name="Picture 3149" descr="The right hand chart shows the average number of females exiting the class over the period from June 2014 to June 2016, by age.&#10;&#10;The right chart shows a similar trend between the female and male exits, however the female chart has significantly more exits than the male chart for individuals aged between 20 and 55. The majority of females who exit move to Class 7 Non IS Family or Class 2 Working Age, with a smaller amount moving into Class 4 Carer, Class 8 Non IS Carer or Class 10 Previous Welfare Recipient between the ages of 25 and 45. The females exiting profile also peaks at age 34 except with around 3,400 females exiting." title=" Number of people leaving Class 3 – Parents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14345" cy="1896745"/>
                          </a:xfrm>
                          <a:prstGeom prst="rect">
                            <a:avLst/>
                          </a:prstGeom>
                          <a:noFill/>
                          <a:ln>
                            <a:noFill/>
                          </a:ln>
                        </pic:spPr>
                      </pic:pic>
                    </a:graphicData>
                  </a:graphic>
                </wp:inline>
              </w:drawing>
            </w:r>
          </w:p>
        </w:tc>
      </w:tr>
    </w:tbl>
    <w:p w14:paraId="5A81FB3E" w14:textId="47904CFE" w:rsidR="00303F34" w:rsidRDefault="00303F34" w:rsidP="0081675B">
      <w:pPr>
        <w:pStyle w:val="PwCNormal"/>
        <w:numPr>
          <w:ilvl w:val="0"/>
          <w:numId w:val="37"/>
        </w:numPr>
        <w:jc w:val="center"/>
      </w:pPr>
      <w:r w:rsidRPr="00EC326F">
        <w:rPr>
          <w:noProof/>
          <w:lang w:eastAsia="en-AU"/>
        </w:rPr>
        <w:drawing>
          <wp:inline distT="0" distB="0" distL="0" distR="0" wp14:anchorId="05E69374" wp14:editId="79B3812F">
            <wp:extent cx="5384800" cy="465455"/>
            <wp:effectExtent l="0" t="0" r="0" b="0"/>
            <wp:docPr id="305" name="Picture 305" descr="Class key: studying, working age, parents, carers, disability support, pension age, non-income support family, non-income support carer, non-income support other, previous welfare recipient, rest of the Australian population and dead. &#10;" title="Class Key for 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4800" cy="465455"/>
                    </a:xfrm>
                    <a:prstGeom prst="rect">
                      <a:avLst/>
                    </a:prstGeom>
                    <a:noFill/>
                    <a:ln>
                      <a:noFill/>
                    </a:ln>
                  </pic:spPr>
                </pic:pic>
              </a:graphicData>
            </a:graphic>
          </wp:inline>
        </w:drawing>
      </w:r>
    </w:p>
    <w:p w14:paraId="2A56D4DC" w14:textId="77777777" w:rsidR="00F7320D" w:rsidRPr="002A0A1A" w:rsidRDefault="00F7320D" w:rsidP="001A4479">
      <w:pPr>
        <w:pStyle w:val="PwCNormal"/>
        <w:numPr>
          <w:ilvl w:val="0"/>
          <w:numId w:val="37"/>
        </w:numPr>
      </w:pPr>
      <w:r w:rsidRPr="00EC326F">
        <w:t>We can see that people in this class show considerable mobility. However note that many people exit to other active classes upon ceasing to meet the eligibility criteria for parenting payment, which is linked to the age of the person’s youngest qualifying child. The most common destinations are the Working Age and Non-IS family classes. Only a small proportion of people exit the system directly from this class.</w:t>
      </w:r>
      <w:r w:rsidRPr="002A0A1A">
        <w:t xml:space="preserve"> </w:t>
      </w:r>
    </w:p>
    <w:p w14:paraId="6030CA85" w14:textId="77777777" w:rsidR="00F7320D" w:rsidRPr="00EC326F" w:rsidRDefault="00F7320D" w:rsidP="00F7320D">
      <w:pPr>
        <w:pStyle w:val="Minorheading"/>
      </w:pPr>
      <w:r w:rsidRPr="00EC326F">
        <w:t>Payments received</w:t>
      </w:r>
    </w:p>
    <w:p w14:paraId="4AD63EE9" w14:textId="77777777" w:rsidR="00F7320D" w:rsidRPr="00EC326F" w:rsidRDefault="00F7320D" w:rsidP="001A4479">
      <w:pPr>
        <w:pStyle w:val="PwCNormal"/>
        <w:numPr>
          <w:ilvl w:val="0"/>
          <w:numId w:val="37"/>
        </w:numPr>
      </w:pPr>
      <w:r w:rsidRPr="00EC326F">
        <w:t>During 2015/16, people in this class received a total of $12.8 billion. This is 1</w:t>
      </w:r>
      <w:r w:rsidR="00321A6F" w:rsidRPr="00EC326F">
        <w:t>1.5</w:t>
      </w:r>
      <w:r w:rsidRPr="00EC326F">
        <w:t>% of the total payments made in 2015/16. The charts below show the average amount paid in a year to each person in this class.</w:t>
      </w:r>
    </w:p>
    <w:p w14:paraId="18384E62" w14:textId="77777777" w:rsidR="00F7320D" w:rsidRPr="00EC326F" w:rsidRDefault="00F7320D" w:rsidP="00F7320D">
      <w:pPr>
        <w:pStyle w:val="Caption"/>
      </w:pPr>
      <w:r w:rsidRPr="00EC326F">
        <w:t xml:space="preserve">Figure </w:t>
      </w:r>
      <w:fldSimple w:instr=" SEQ Figure \* ARABIC ">
        <w:r w:rsidR="007A42DF">
          <w:rPr>
            <w:noProof/>
          </w:rPr>
          <w:t>43</w:t>
        </w:r>
      </w:fldSimple>
      <w:r w:rsidRPr="00EC326F">
        <w:t>: Average payments per person in Class 3 – Parents</w:t>
      </w:r>
      <w:r w:rsidR="00321A6F" w:rsidRPr="00EC326F">
        <w:t xml:space="preserve"> (restated to 2015/16 $ values)</w:t>
      </w:r>
    </w:p>
    <w:p w14:paraId="4323C1FE" w14:textId="75A83665" w:rsidR="00F7320D" w:rsidRPr="00EC326F" w:rsidRDefault="00F7320D" w:rsidP="001A4479">
      <w:pPr>
        <w:pStyle w:val="PwCNormal"/>
        <w:numPr>
          <w:ilvl w:val="0"/>
          <w:numId w:val="37"/>
        </w:numPr>
      </w:pPr>
      <w:r w:rsidRPr="00EC326F">
        <w:rPr>
          <w:noProof/>
          <w:lang w:eastAsia="en-AU"/>
        </w:rPr>
        <w:drawing>
          <wp:inline distT="0" distB="0" distL="0" distR="0" wp14:anchorId="11ABB8C1" wp14:editId="1F85242E">
            <wp:extent cx="5715000" cy="1998345"/>
            <wp:effectExtent l="0" t="0" r="0" b="1905"/>
            <wp:docPr id="3147" name="Picture 3147" descr="This figure is a stacked column chart. The vertical axis displays the average payment per person in the Parents Class, ranging from $0 to $40,000.&#10;&#10;The horizontal axis is split into two sections; the first for males and the second for females. Each section is further split to show the last five financial years; 2012, 2013, 2014, 2015 and 2016.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3 was: $21,000 for 2012; $20,300 for 2013; $21,000 for 2014; $20,500 for 2015; and $19,000 for 2016.&#10;&#10;For females the approximate average payment per person in Class 3 was: $31,700 for 2012; $32,400 for 2013; $33,400 for 2014; $33,200 for 2015; and $30,300 for 2016.&#10;&#10;The majority of payments for both males and females were from the IS Parents and Other – FTB categories. Additionally, a notable amount of total average payments for females were from the Other – Family category.&#10;&#10;The key features of this chart are described in the accompanying text within the report.&#10;" title=" Average payments per person in Class 3 – Parents (restated to 2015/16 $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15000" cy="1998345"/>
                    </a:xfrm>
                    <a:prstGeom prst="rect">
                      <a:avLst/>
                    </a:prstGeom>
                    <a:noFill/>
                    <a:ln>
                      <a:noFill/>
                    </a:ln>
                  </pic:spPr>
                </pic:pic>
              </a:graphicData>
            </a:graphic>
          </wp:inline>
        </w:drawing>
      </w:r>
    </w:p>
    <w:p w14:paraId="4DD6168C" w14:textId="77777777" w:rsidR="00F7320D" w:rsidRPr="002A0A1A" w:rsidRDefault="00F7320D" w:rsidP="00F7320D">
      <w:pPr>
        <w:pStyle w:val="PwCNormal"/>
        <w:numPr>
          <w:ilvl w:val="0"/>
          <w:numId w:val="0"/>
        </w:numPr>
        <w:ind w:firstLine="720"/>
      </w:pPr>
      <w:r w:rsidRPr="00EC326F">
        <w:rPr>
          <w:noProof/>
          <w:lang w:eastAsia="en-AU"/>
        </w:rPr>
        <w:drawing>
          <wp:inline distT="0" distB="0" distL="0" distR="0" wp14:anchorId="18228F87" wp14:editId="0503AD37">
            <wp:extent cx="4868545" cy="465455"/>
            <wp:effectExtent l="0" t="0" r="0" b="0"/>
            <wp:docPr id="3143" name="Picture 3143"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68545" cy="465455"/>
                    </a:xfrm>
                    <a:prstGeom prst="rect">
                      <a:avLst/>
                    </a:prstGeom>
                    <a:noFill/>
                    <a:ln>
                      <a:noFill/>
                    </a:ln>
                  </pic:spPr>
                </pic:pic>
              </a:graphicData>
            </a:graphic>
          </wp:inline>
        </w:drawing>
      </w:r>
    </w:p>
    <w:p w14:paraId="292BDA91" w14:textId="77777777" w:rsidR="00F7320D" w:rsidRPr="00EC326F" w:rsidRDefault="00F7320D" w:rsidP="001A4479">
      <w:pPr>
        <w:pStyle w:val="PwCNormal"/>
        <w:numPr>
          <w:ilvl w:val="0"/>
          <w:numId w:val="37"/>
        </w:numPr>
      </w:pPr>
      <w:r w:rsidRPr="00EC326F">
        <w:t>As shown in the chart above, the average amount per person for 2015/16 is around 9% lower than prior years. This is likely due to the payments in the 2015/16 year being understated, as it will not fully reflect all FTB and family payments which can be received as part of an income tax assessment post 30 June.</w:t>
      </w:r>
    </w:p>
    <w:p w14:paraId="126CC120" w14:textId="77777777" w:rsidR="00F7320D" w:rsidRPr="00EC326F" w:rsidRDefault="00F7320D" w:rsidP="001A4479">
      <w:pPr>
        <w:pStyle w:val="PwCNormal"/>
        <w:numPr>
          <w:ilvl w:val="0"/>
          <w:numId w:val="37"/>
        </w:numPr>
      </w:pPr>
      <w:r w:rsidRPr="00EC326F">
        <w:t xml:space="preserve">People in this class receive some of the highest average annual payments. The average payment made in 2014/15 (noting the potential understating of 2015/16) was $32,200 with considerably higher average </w:t>
      </w:r>
      <w:r w:rsidRPr="00EC326F">
        <w:lastRenderedPageBreak/>
        <w:t>payments being made to women ($33,200) than men ($20,600). The average payment is significantly higher for women than men as a result of them being more likely to receive FTB and family (child care) payments in addition to the main payment. The rate of the parenting payment itself is also higher on average for women as a higher proportion of women are receiving the single rather than the partnered rate.</w:t>
      </w:r>
    </w:p>
    <w:p w14:paraId="713990EF" w14:textId="77777777" w:rsidR="00F7320D" w:rsidRPr="00EC326F" w:rsidRDefault="00F7320D" w:rsidP="00F7320D">
      <w:pPr>
        <w:pStyle w:val="Heading4"/>
      </w:pPr>
      <w:bookmarkStart w:id="388" w:name="_Toc455503976"/>
      <w:bookmarkStart w:id="389" w:name="_Toc455502444"/>
      <w:bookmarkStart w:id="390" w:name="_Toc455499423"/>
      <w:r w:rsidRPr="00EC326F">
        <w:t>What have we taken into account in fitting assumptions?</w:t>
      </w:r>
      <w:bookmarkEnd w:id="388"/>
      <w:bookmarkEnd w:id="389"/>
      <w:bookmarkEnd w:id="390"/>
    </w:p>
    <w:p w14:paraId="487A1663" w14:textId="77777777" w:rsidR="00F7320D" w:rsidRPr="00EC326F" w:rsidRDefault="00F7320D" w:rsidP="001A4479">
      <w:pPr>
        <w:pStyle w:val="PwCNormal"/>
        <w:numPr>
          <w:ilvl w:val="0"/>
          <w:numId w:val="37"/>
        </w:numPr>
      </w:pPr>
      <w:r w:rsidRPr="00EC326F">
        <w:t xml:space="preserve">We have adopted class movement, utilisation and payment assumptions through consideration of the risk factors that influence the experience. At this valuation, we have also incorporated several new </w:t>
      </w:r>
      <w:r w:rsidR="007C1B83" w:rsidRPr="00EC326F">
        <w:t xml:space="preserve">class characteristic </w:t>
      </w:r>
      <w:r w:rsidRPr="00EC326F">
        <w:t>variables, namely the payment type received and an indicator for whether the person has had any earnings from employment.</w:t>
      </w:r>
    </w:p>
    <w:p w14:paraId="0EB9ADA8" w14:textId="77777777" w:rsidR="00F7320D" w:rsidRPr="00EC326F" w:rsidRDefault="00F7320D" w:rsidP="00F7320D">
      <w:pPr>
        <w:pStyle w:val="Minorheading"/>
      </w:pPr>
      <w:r w:rsidRPr="00EC326F">
        <w:t>Class movement assumptions</w:t>
      </w:r>
    </w:p>
    <w:p w14:paraId="0447C9C5" w14:textId="513BA997" w:rsidR="00F7320D" w:rsidRPr="00EC326F" w:rsidRDefault="00F7320D" w:rsidP="001A4479">
      <w:pPr>
        <w:pStyle w:val="PwCNormal"/>
        <w:numPr>
          <w:ilvl w:val="0"/>
          <w:numId w:val="37"/>
        </w:numPr>
      </w:pPr>
      <w:r w:rsidRPr="00EC326F">
        <w:t>Parenting payments eligibility has been significantly influenced in the last five years by the removal of grandfathering provisions regarding the age of youngest child. As a result, the rates o</w:t>
      </w:r>
      <w:r w:rsidR="00916C7F">
        <w:t>f men and women staying in the P</w:t>
      </w:r>
      <w:r w:rsidRPr="00EC326F">
        <w:t>arent</w:t>
      </w:r>
      <w:r w:rsidR="00A53A6E">
        <w:t>ing</w:t>
      </w:r>
      <w:r w:rsidRPr="00EC326F">
        <w:t xml:space="preserve"> class was significantly lower around 2012 to 2013. Since then, the transition rates have been relatively stable. As such, we have generally relied on the most recent (and more stable) 3 years of experience when setting assumptions.</w:t>
      </w:r>
    </w:p>
    <w:p w14:paraId="511445D5" w14:textId="77777777" w:rsidR="00F7320D" w:rsidRPr="002A0A1A" w:rsidRDefault="00F7320D" w:rsidP="001A4479">
      <w:pPr>
        <w:pStyle w:val="PwCNormal"/>
        <w:numPr>
          <w:ilvl w:val="0"/>
          <w:numId w:val="37"/>
        </w:numPr>
      </w:pPr>
      <w:r w:rsidRPr="00EC326F">
        <w:t xml:space="preserve">The model uses a combination of terms including the age, gender, partnership status, age of youngest child, and detail of other payment types and supplements previously received. The most significant terms are those covering the age of youngest child (specifically for ages between five and eight inclusive), and whether they are receiving </w:t>
      </w:r>
      <w:r w:rsidR="00321A6F" w:rsidRPr="00EC326F">
        <w:t>parenting payment single or partnered</w:t>
      </w:r>
      <w:r w:rsidRPr="00EC326F">
        <w:t xml:space="preserve"> (which is highly correlated with their partnership status).</w:t>
      </w:r>
    </w:p>
    <w:p w14:paraId="11C7F039" w14:textId="77777777" w:rsidR="00F7320D" w:rsidRPr="000747FE" w:rsidRDefault="00F7320D" w:rsidP="001A4479">
      <w:pPr>
        <w:pStyle w:val="PwCNormal"/>
        <w:numPr>
          <w:ilvl w:val="0"/>
          <w:numId w:val="37"/>
        </w:numPr>
      </w:pPr>
      <w:r w:rsidRPr="00EC326F">
        <w:t xml:space="preserve">For the assumptions for movements out of this class, we observed that most people stay in the class from year to year and then leave when their youngest child is between five and eight. This reflects the parenting payment eligibility conditions and also changes in behaviour once the children reach school age. </w:t>
      </w:r>
    </w:p>
    <w:p w14:paraId="3E576724" w14:textId="77777777" w:rsidR="00F7320D" w:rsidRPr="002A0A1A" w:rsidRDefault="00F7320D" w:rsidP="001A4479">
      <w:pPr>
        <w:pStyle w:val="PwCNormal"/>
        <w:numPr>
          <w:ilvl w:val="0"/>
          <w:numId w:val="37"/>
        </w:numPr>
      </w:pPr>
      <w:r w:rsidRPr="00EC326F">
        <w:t xml:space="preserve">In terms of other factors, we observed that people are more likely to move to the Working Age class as age increases, while people </w:t>
      </w:r>
      <w:r w:rsidR="00321A6F" w:rsidRPr="00EC326F">
        <w:t xml:space="preserve">receiving parenting payment partnered </w:t>
      </w:r>
      <w:r w:rsidRPr="00EC326F">
        <w:t xml:space="preserve">are generally more likely to exit the system than those on the single </w:t>
      </w:r>
      <w:r w:rsidR="00321A6F" w:rsidRPr="00EC326F">
        <w:t>payment</w:t>
      </w:r>
      <w:r w:rsidRPr="00EC326F">
        <w:t>.</w:t>
      </w:r>
    </w:p>
    <w:p w14:paraId="3A1C9EE7" w14:textId="77777777" w:rsidR="00F7320D" w:rsidRPr="00EC326F" w:rsidRDefault="00F7320D" w:rsidP="00F7320D">
      <w:pPr>
        <w:pStyle w:val="Minorheading"/>
      </w:pPr>
      <w:r w:rsidRPr="00EC326F">
        <w:t>Payment utilisation and size assumptions</w:t>
      </w:r>
    </w:p>
    <w:p w14:paraId="7708E10D" w14:textId="77777777" w:rsidR="000576C1" w:rsidRPr="00EC326F" w:rsidRDefault="000576C1" w:rsidP="001A4479">
      <w:pPr>
        <w:pStyle w:val="PwCNormal"/>
        <w:numPr>
          <w:ilvl w:val="0"/>
          <w:numId w:val="37"/>
        </w:numPr>
      </w:pPr>
      <w:r w:rsidRPr="00EC326F">
        <w:t xml:space="preserve">For the payment utilisation assumptions, the majority of people receive both FTB and family payments and some others receive the new parents’ payments, all alongside their main income support, pension supplements and rent assistance. We have developed risk based models for the utilisation of FTB, family, new parents and rent assistance. </w:t>
      </w:r>
    </w:p>
    <w:p w14:paraId="2AAEA776" w14:textId="78E5EB15" w:rsidR="000576C1" w:rsidRPr="00EC326F" w:rsidRDefault="000576C1" w:rsidP="000576C1">
      <w:pPr>
        <w:pStyle w:val="PwCNormal"/>
        <w:numPr>
          <w:ilvl w:val="0"/>
          <w:numId w:val="0"/>
        </w:numPr>
      </w:pPr>
      <w:r w:rsidRPr="00EC326F">
        <w:t xml:space="preserve">In addition to age and gender, the FTB, family and new parents utilisation models include factors such as number and age of children, partner status and previous welfare utilisation. The utilisation model for rent assistance considers number and age of children, </w:t>
      </w:r>
      <w:r w:rsidR="00B36672">
        <w:t>I</w:t>
      </w:r>
      <w:r w:rsidRPr="00EC326F">
        <w:t xml:space="preserve">ndigenous status, partner status, education level and earnings indicator. </w:t>
      </w:r>
    </w:p>
    <w:p w14:paraId="095B1789" w14:textId="77777777" w:rsidR="000576C1" w:rsidRPr="00EC326F" w:rsidRDefault="000576C1" w:rsidP="001A4479">
      <w:pPr>
        <w:pStyle w:val="PwCNormal"/>
        <w:numPr>
          <w:ilvl w:val="0"/>
          <w:numId w:val="37"/>
        </w:numPr>
      </w:pPr>
      <w:r w:rsidRPr="00EC326F">
        <w:t>The FTB and family payments make up around half of the overall cost, with the main parenting payment representing around 35% to 40% of the overall cost. For the main parenting payment the average size reduces slightly with age. This may simply be a reflection of older people being more likely to be partnered.</w:t>
      </w:r>
    </w:p>
    <w:p w14:paraId="06A2A90E" w14:textId="52147929" w:rsidR="000576C1" w:rsidRPr="00EC326F" w:rsidRDefault="000576C1" w:rsidP="000576C1">
      <w:pPr>
        <w:pStyle w:val="PwCNormal"/>
        <w:numPr>
          <w:ilvl w:val="0"/>
          <w:numId w:val="0"/>
        </w:numPr>
      </w:pPr>
      <w:r w:rsidRPr="00EC326F">
        <w:t xml:space="preserve">For the payment models we focussed on modelling the payment levels for the main income support </w:t>
      </w:r>
      <w:r w:rsidR="00AF3912" w:rsidRPr="00EC326F">
        <w:t>pa</w:t>
      </w:r>
      <w:r w:rsidR="00AF3912">
        <w:t>yments</w:t>
      </w:r>
      <w:r w:rsidRPr="00EC326F">
        <w:t>, FTB and family payments categories. The size model for the main income support payment includes information on number and age of children, payment type, earnings indicator, previous welfare utilisation and duration in current class.</w:t>
      </w:r>
    </w:p>
    <w:p w14:paraId="293C4019" w14:textId="77777777" w:rsidR="000576C1" w:rsidRPr="00EC326F" w:rsidRDefault="000576C1" w:rsidP="000576C1">
      <w:pPr>
        <w:pStyle w:val="PwCNormal"/>
        <w:numPr>
          <w:ilvl w:val="0"/>
          <w:numId w:val="0"/>
        </w:numPr>
      </w:pPr>
      <w:r w:rsidRPr="00EC326F">
        <w:t>The FTB and family payments size models take into account factors such as age and number of children, education level and earnings. Most of these factors reflect the criteria that determine the most likely underlying payment rate applicable.</w:t>
      </w:r>
    </w:p>
    <w:p w14:paraId="0773D9E6" w14:textId="77777777" w:rsidR="00F7320D" w:rsidRPr="00EC326F" w:rsidRDefault="00F7320D" w:rsidP="00F7320D">
      <w:pPr>
        <w:pStyle w:val="Heading4"/>
      </w:pPr>
      <w:bookmarkStart w:id="391" w:name="_Toc455503977"/>
      <w:bookmarkStart w:id="392" w:name="_Toc455502445"/>
      <w:bookmarkStart w:id="393" w:name="_Toc455499424"/>
      <w:r w:rsidRPr="00EC326F">
        <w:lastRenderedPageBreak/>
        <w:t>What does the model show for current Parenting payment recipients?</w:t>
      </w:r>
      <w:bookmarkEnd w:id="391"/>
      <w:bookmarkEnd w:id="392"/>
      <w:bookmarkEnd w:id="393"/>
    </w:p>
    <w:p w14:paraId="027B05BB" w14:textId="77777777" w:rsidR="00F7320D" w:rsidRPr="00EC326F" w:rsidRDefault="00F7320D" w:rsidP="00F7320D">
      <w:pPr>
        <w:pStyle w:val="Minorheading"/>
      </w:pPr>
      <w:r w:rsidRPr="00EC326F">
        <w:t>Lifetime costs</w:t>
      </w:r>
    </w:p>
    <w:p w14:paraId="44977AC0" w14:textId="4F18E688" w:rsidR="00F7320D" w:rsidRPr="002A0A1A" w:rsidRDefault="00F7320D" w:rsidP="001A4479">
      <w:pPr>
        <w:pStyle w:val="PwCNormal"/>
        <w:numPr>
          <w:ilvl w:val="0"/>
          <w:numId w:val="37"/>
        </w:numPr>
      </w:pPr>
      <w:r w:rsidRPr="00EC326F">
        <w:t xml:space="preserve">We estimated the lifetime cost for the people in this class to be </w:t>
      </w:r>
      <w:r w:rsidRPr="00EC326F">
        <w:rPr>
          <w:b/>
        </w:rPr>
        <w:t>$207bn</w:t>
      </w:r>
      <w:r w:rsidRPr="00EC326F">
        <w:t xml:space="preserve"> (or </w:t>
      </w:r>
      <w:r w:rsidRPr="00EC326F">
        <w:rPr>
          <w:b/>
        </w:rPr>
        <w:t>4.6%</w:t>
      </w:r>
      <w:r w:rsidRPr="00EC326F">
        <w:t xml:space="preserve"> of the total lifetime cost). The average lifetime cost for people in this class is </w:t>
      </w:r>
      <w:r w:rsidRPr="00EC326F">
        <w:rPr>
          <w:b/>
        </w:rPr>
        <w:t>$475,000</w:t>
      </w:r>
      <w:r w:rsidRPr="00EC326F">
        <w:t xml:space="preserve">, a significantly higher amount than for the </w:t>
      </w:r>
      <w:r w:rsidR="00916C7F">
        <w:t>S</w:t>
      </w:r>
      <w:r w:rsidRPr="00EC326F">
        <w:t xml:space="preserve">tudying or </w:t>
      </w:r>
      <w:r w:rsidR="00916C7F">
        <w:t>W</w:t>
      </w:r>
      <w:r w:rsidRPr="00EC326F">
        <w:t xml:space="preserve">orking </w:t>
      </w:r>
      <w:r w:rsidR="00916C7F">
        <w:t>A</w:t>
      </w:r>
      <w:r w:rsidRPr="00EC326F">
        <w:t xml:space="preserve">ge class. The variation by age and gender illustrated in the figure below. </w:t>
      </w:r>
    </w:p>
    <w:p w14:paraId="024CEADA" w14:textId="77777777" w:rsidR="00F7320D" w:rsidRPr="00EC326F" w:rsidRDefault="00F7320D" w:rsidP="00F7320D">
      <w:pPr>
        <w:pStyle w:val="Caption"/>
      </w:pPr>
      <w:bookmarkStart w:id="394" w:name="_Ref466031145"/>
      <w:r w:rsidRPr="00EC326F">
        <w:t xml:space="preserve">Figure </w:t>
      </w:r>
      <w:fldSimple w:instr=" SEQ Figure \* ARABIC ">
        <w:r w:rsidR="007A42DF">
          <w:rPr>
            <w:noProof/>
          </w:rPr>
          <w:t>44</w:t>
        </w:r>
      </w:fldSimple>
      <w:bookmarkEnd w:id="394"/>
      <w:r w:rsidRPr="00EC326F">
        <w:t>: Average lifetime cost by age and gender (Class 3)</w:t>
      </w:r>
    </w:p>
    <w:tbl>
      <w:tblPr>
        <w:tblStyle w:val="Tables-APBase"/>
        <w:tblW w:w="478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Average lifetime cost by age and gender (Class 3)&#10;"/>
        <w:tblDescription w:val="This figure is a horizontal bar chart showing average lifetime cost by age for males and females separately. The vertical axis shows age with the data shown ranging from 15 to 62.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437,000 individuals who were in the parenting class at 30 June 2016. &#10;&#10;The average lifetime costs of males steadily decreases with age from approximately $380,000 at age 20 to $300,000 at age 59.&#10;&#10;For females, average lifetime cost decreases with age up to about age 40. Females aged 16 have an average lifetime cost of about $660,000 and this falls to $420,000 at age 40. The average lifetime cost for females aged above 40 is about $410,000.&#10;&#10;The features shown in the chart are discussed further in the accompanying text within the report.&#10;"/>
      </w:tblPr>
      <w:tblGrid>
        <w:gridCol w:w="5954"/>
        <w:gridCol w:w="3050"/>
      </w:tblGrid>
      <w:tr w:rsidR="00F7320D" w:rsidRPr="00EC326F" w14:paraId="40243B50" w14:textId="77777777" w:rsidTr="009C6553">
        <w:trPr>
          <w:tblHeader/>
        </w:trPr>
        <w:tc>
          <w:tcPr>
            <w:tcW w:w="5954" w:type="dxa"/>
            <w:hideMark/>
          </w:tcPr>
          <w:p w14:paraId="5BDA622B" w14:textId="767908A3" w:rsidR="00F7320D" w:rsidRPr="00EC326F" w:rsidRDefault="00055AC1">
            <w:pPr>
              <w:pStyle w:val="TableTextSmall"/>
              <w:keepNext/>
              <w:rPr>
                <w:lang w:eastAsia="en-AU"/>
              </w:rPr>
            </w:pPr>
            <w:r w:rsidRPr="00055AC1">
              <w:rPr>
                <w:noProof/>
                <w:lang w:eastAsia="en-AU"/>
              </w:rPr>
              <w:drawing>
                <wp:inline distT="0" distB="0" distL="0" distR="0" wp14:anchorId="0020BD8B" wp14:editId="642E3067">
                  <wp:extent cx="3355639" cy="2160000"/>
                  <wp:effectExtent l="0" t="0" r="0" b="0"/>
                  <wp:docPr id="1059" name="Picture 9" descr="This figure is a horizontal bar chart showing average lifetime cost by age for males and females separately. The vertical axis shows age with the data shown ranging from 15 to 62.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437,000 individuals who were in the parenting class at 30 June 2016. &#10;&#10;The average lifetime costs of males steadily decreases with age from approximately $380,000 at age 20 to $300,000 at age 59.&#10;&#10;For females, average lifetime cost decreases with age up to about age 40. Females aged 16 have an average lifetime cost of about $660,000 and this falls to $420,000 at age 40. The average lifetime cost for females aged above 40 is about $410,000.&#10;&#10;The features shown in the chart are discussed further in the accompanying text within the report.&#10;" title=" Average lifetime cost by age and gender (Clas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5"/>
                          <a:stretch>
                            <a:fillRect/>
                          </a:stretch>
                        </pic:blipFill>
                        <pic:spPr>
                          <a:xfrm>
                            <a:off x="0" y="0"/>
                            <a:ext cx="3355639" cy="2160000"/>
                          </a:xfrm>
                          <a:prstGeom prst="rect">
                            <a:avLst/>
                          </a:prstGeom>
                        </pic:spPr>
                      </pic:pic>
                    </a:graphicData>
                  </a:graphic>
                </wp:inline>
              </w:drawing>
            </w:r>
          </w:p>
        </w:tc>
        <w:tc>
          <w:tcPr>
            <w:tcW w:w="3050" w:type="dxa"/>
          </w:tcPr>
          <w:p w14:paraId="63F4F592" w14:textId="77777777" w:rsidR="00F7320D" w:rsidRPr="00EC326F" w:rsidRDefault="00F7320D">
            <w:pPr>
              <w:pStyle w:val="TableTextSmall"/>
              <w:keepNext/>
              <w:rPr>
                <w:lang w:eastAsia="en-AU"/>
              </w:rPr>
            </w:pPr>
          </w:p>
          <w:p w14:paraId="477DCCBD" w14:textId="77777777" w:rsidR="00F7320D" w:rsidRPr="00EC326F" w:rsidRDefault="00F7320D">
            <w:pPr>
              <w:pStyle w:val="TableTextSmall"/>
              <w:keepNext/>
              <w:rPr>
                <w:lang w:eastAsia="en-AU"/>
              </w:rPr>
            </w:pPr>
            <w:r w:rsidRPr="00EC326F">
              <w:rPr>
                <w:noProof/>
                <w:lang w:eastAsia="en-AU"/>
              </w:rPr>
              <w:drawing>
                <wp:inline distT="0" distB="0" distL="0" distR="0" wp14:anchorId="57AB3D97" wp14:editId="14792953">
                  <wp:extent cx="1075055" cy="1608455"/>
                  <wp:effectExtent l="0" t="0" r="0" b="0"/>
                  <wp:docPr id="3140" name="Picture 3140"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5055" cy="1608455"/>
                          </a:xfrm>
                          <a:prstGeom prst="rect">
                            <a:avLst/>
                          </a:prstGeom>
                          <a:noFill/>
                          <a:ln>
                            <a:noFill/>
                          </a:ln>
                        </pic:spPr>
                      </pic:pic>
                    </a:graphicData>
                  </a:graphic>
                </wp:inline>
              </w:drawing>
            </w:r>
          </w:p>
        </w:tc>
      </w:tr>
    </w:tbl>
    <w:p w14:paraId="49043EEF" w14:textId="77777777" w:rsidR="00F7320D" w:rsidRPr="00EC326F" w:rsidRDefault="00F7320D" w:rsidP="001A4479">
      <w:pPr>
        <w:pStyle w:val="PwCNormal"/>
        <w:numPr>
          <w:ilvl w:val="0"/>
          <w:numId w:val="37"/>
        </w:numPr>
      </w:pPr>
      <w:r w:rsidRPr="00EC326F">
        <w:t>There is significant variation by age and gender illustrated in the figure above.</w:t>
      </w:r>
    </w:p>
    <w:p w14:paraId="42EF2C9E" w14:textId="5ABF1F0D" w:rsidR="00F7320D" w:rsidRPr="00EC326F" w:rsidRDefault="00F7320D" w:rsidP="00F7320D">
      <w:pPr>
        <w:pStyle w:val="PwCNormal"/>
        <w:numPr>
          <w:ilvl w:val="0"/>
          <w:numId w:val="0"/>
        </w:numPr>
      </w:pPr>
      <w:r w:rsidRPr="00EC326F">
        <w:t xml:space="preserve">For men the average lifetime cost is much lower than for women </w:t>
      </w:r>
      <w:r w:rsidRPr="00EC326F">
        <w:rPr>
          <w:b/>
        </w:rPr>
        <w:t>($3</w:t>
      </w:r>
      <w:r w:rsidR="00BF3343" w:rsidRPr="00EC326F">
        <w:rPr>
          <w:b/>
        </w:rPr>
        <w:t>3</w:t>
      </w:r>
      <w:r w:rsidR="00065B5B">
        <w:rPr>
          <w:b/>
        </w:rPr>
        <w:t>2</w:t>
      </w:r>
      <w:r w:rsidRPr="00EC326F">
        <w:rPr>
          <w:b/>
        </w:rPr>
        <w:t>,000 vs. $4</w:t>
      </w:r>
      <w:r w:rsidR="00BF3343" w:rsidRPr="00EC326F">
        <w:rPr>
          <w:b/>
        </w:rPr>
        <w:t>8</w:t>
      </w:r>
      <w:r w:rsidR="00065B5B">
        <w:rPr>
          <w:b/>
        </w:rPr>
        <w:t>5</w:t>
      </w:r>
      <w:r w:rsidRPr="00EC326F">
        <w:rPr>
          <w:b/>
        </w:rPr>
        <w:t>,000</w:t>
      </w:r>
      <w:r w:rsidRPr="00EC326F">
        <w:t>). This reflects the previous observation, that women typically receive higher annual payments as a result of receiving more FTB and family payments.</w:t>
      </w:r>
    </w:p>
    <w:p w14:paraId="6C8F8269" w14:textId="77777777" w:rsidR="00F7320D" w:rsidRPr="00EC326F" w:rsidRDefault="00F7320D" w:rsidP="00F7320D">
      <w:pPr>
        <w:pStyle w:val="PwCNormal"/>
        <w:numPr>
          <w:ilvl w:val="0"/>
          <w:numId w:val="0"/>
        </w:numPr>
      </w:pPr>
      <w:r w:rsidRPr="00EC326F">
        <w:t>The average lifetime costs are higher for the younger people in the class, especially the younger women. This is because they are more likely to stay on the parenting and FTB payments for longer and also may be more likely to transition to other types of income support.</w:t>
      </w:r>
    </w:p>
    <w:p w14:paraId="588AEE41" w14:textId="711726B6" w:rsidR="00F7320D" w:rsidRPr="00EC326F" w:rsidRDefault="00F7320D" w:rsidP="00F7320D">
      <w:pPr>
        <w:pStyle w:val="PwCNormal"/>
        <w:numPr>
          <w:ilvl w:val="0"/>
          <w:numId w:val="0"/>
        </w:numPr>
      </w:pPr>
      <w:r w:rsidRPr="00EC326F">
        <w:t xml:space="preserve">The average lifetime costs also have small but clear contributions from both disability support and carer payments. These reflect the likelihood of people in the </w:t>
      </w:r>
      <w:r w:rsidR="00916C7F">
        <w:t>P</w:t>
      </w:r>
      <w:r w:rsidRPr="00EC326F">
        <w:t>arent</w:t>
      </w:r>
      <w:r w:rsidR="00A53A6E">
        <w:t>ing</w:t>
      </w:r>
      <w:r w:rsidRPr="00EC326F">
        <w:t xml:space="preserve"> class to move into these classes in future years.</w:t>
      </w:r>
    </w:p>
    <w:p w14:paraId="64E3140B" w14:textId="77777777" w:rsidR="009A427B" w:rsidRPr="002A0A1A" w:rsidRDefault="009A427B" w:rsidP="001A4479">
      <w:pPr>
        <w:pStyle w:val="PwCNormal"/>
        <w:numPr>
          <w:ilvl w:val="0"/>
          <w:numId w:val="37"/>
        </w:numPr>
      </w:pPr>
      <w:r w:rsidRPr="00EC326F">
        <w:t xml:space="preserve">The chart below compares the average future lifetime cost for the groups of people in the class receiving different payment types. </w:t>
      </w:r>
    </w:p>
    <w:p w14:paraId="7684E16E" w14:textId="77777777" w:rsidR="00F7320D" w:rsidRPr="00EC326F" w:rsidRDefault="00F7320D" w:rsidP="00F7320D">
      <w:pPr>
        <w:pStyle w:val="Caption"/>
      </w:pPr>
      <w:r w:rsidRPr="00EC326F">
        <w:t xml:space="preserve">Figure </w:t>
      </w:r>
      <w:fldSimple w:instr=" SEQ Figure \* ARABIC ">
        <w:r w:rsidR="007A42DF">
          <w:rPr>
            <w:noProof/>
          </w:rPr>
          <w:t>45</w:t>
        </w:r>
      </w:fldSimple>
      <w:r w:rsidRPr="00EC326F">
        <w:t xml:space="preserve">: Average lifetime cost by age, gender and payment type (Class </w:t>
      </w:r>
      <w:r w:rsidR="0010742A" w:rsidRPr="00EC326F">
        <w:t>3</w:t>
      </w:r>
      <w:r w:rsidRPr="00EC326F">
        <w:t>)</w:t>
      </w:r>
    </w:p>
    <w:tbl>
      <w:tblPr>
        <w:tblW w:w="4747" w:type="pct"/>
        <w:tblLayout w:type="fixed"/>
        <w:tblLook w:val="04A0" w:firstRow="1" w:lastRow="0" w:firstColumn="1" w:lastColumn="0" w:noHBand="0" w:noVBand="1"/>
        <w:tblCaption w:val=" Average lifetime cost by age, gender and payment type (Class 3)"/>
        <w:tblDescription w:val="This figure is a line chart showing the average lifetime cost by age and payment type for clients in the Parenting Class. The vertical axis shows age ranging from 0 to 110. The horizontal axis is split into two sections; the left section displays average lifetime cost for males ranging from 0 to $700,000 and the right section displays average lifetime cost for females ranging from 0 to $700,000. &#10;&#10;Average lifetime cost is shown by distinct lines for the following Parenting payment types; Parenting Payment – Single and Parenting Payment - Partnered. There is an additional line showing the average lifetime cost across both payment types.&#10;&#10;Lines are only shown for ages where there is sufficient data. Male data is available for ages 20- 59 and female data for ages 16 to 63.&#10;&#10;The average lifetime costs of males (across both payment types) steadily decreases with age from approximately $380,000 at age 20 to $330,000 at age 60.&#10;&#10;For females aged 15 to 25, average lifetime cost (across both payment types) decreases with age. Females aged 16 have average lifetime costs of $660,000 and this falls to $550,000 at age 25. Female average lifetime cost then reduces further with age to approximately $410,000 at age 50. Average lifetime costs is slightly higher for females aged 51 to 56 at approximately $420,000, however this drops back down to an average lifetime cost of approximately $400,000 between ages 57 to 63.&#10;&#10;Compared to this class average, the average lifetime cost for those receiving Parenting Payment – Partnered is up $75,000 to lower for both males and females. &#10;&#10;Males receiving Parenting Payment – Single have lifetime costs $100,000 to $160,000 higher than males receiving the partnered payment at the same age.  Females aged between 16 and 30 receiving the single parenting payment have lifetime costs up to $20,000 to $110,000 higher than females receiving the partnered payment at the same age. After age 30, single female parents have average lifetime costs between $70,000 and $110,000 more than partnered women in the class.&#10;&#10;The features shown in the chart are discussed further in the accompanying text within the report.&#10;"/>
      </w:tblPr>
      <w:tblGrid>
        <w:gridCol w:w="6029"/>
        <w:gridCol w:w="2896"/>
      </w:tblGrid>
      <w:tr w:rsidR="00F7320D" w:rsidRPr="00EC326F" w14:paraId="6B24A416" w14:textId="77777777" w:rsidTr="001B43B4">
        <w:trPr>
          <w:trHeight w:val="3402"/>
          <w:tblHeader/>
        </w:trPr>
        <w:tc>
          <w:tcPr>
            <w:tcW w:w="6029" w:type="dxa"/>
            <w:hideMark/>
          </w:tcPr>
          <w:p w14:paraId="62C92754" w14:textId="63D5522B" w:rsidR="00F7320D" w:rsidRPr="00EC326F" w:rsidRDefault="00E915CF" w:rsidP="00716FF0">
            <w:pPr>
              <w:pStyle w:val="TableTextSmall"/>
            </w:pPr>
            <w:r w:rsidRPr="00E915CF">
              <w:rPr>
                <w:noProof/>
                <w:lang w:eastAsia="en-AU"/>
              </w:rPr>
              <w:drawing>
                <wp:inline distT="0" distB="0" distL="0" distR="0" wp14:anchorId="494079A2" wp14:editId="624B7817">
                  <wp:extent cx="2358000" cy="3531600"/>
                  <wp:effectExtent l="3810" t="0" r="8255" b="8255"/>
                  <wp:docPr id="858" name="Picture 858" descr="This figure is a line chart showing the average lifetime cost by age and payment type for clients in the Parenting Class. The vertical axis shows age ranging from 0 to 110. The horizontal axis is split into two sections; the left section displays average lifetime cost for males ranging from 0 to $700,000 and the right section displays average lifetime cost for females ranging from 0 to $700,000. &#10;&#10;Average lifetime cost is shown by distinct lines for the following Parenting payment types; Parenting Payment – Single and Parenting Payment - Partnered. There is an additional line showing the average lifetime cost across both payment types.&#10;&#10;Lines are only shown for ages where there is sufficient data. Male data is available for ages 20- 59 and female data for ages 16 to 63.&#10;&#10;The average lifetime costs of males (across both payment types) steadily decreases with age from approximately $380,000 at age 20 to $330,000 at age 60.&#10;&#10;For females aged 15 to 25, average lifetime cost (across both payment types) decreases with age. Females aged 16 have average lifetime costs of $660,000 and this falls to $550,000 at age 25. Female average lifetime cost then reduces further with age to approximately $410,000 at age 50. Average lifetime costs is slightly higher for females aged 51 to 56 at approximately $420,000, however this drops back down to an average lifetime cost of approximately $400,000 between ages 57 to 63.&#10;&#10;Compared to this class average, the average lifetime cost for those receiving Parenting Payment – Partnered is up $75,000 to lower for both males and females. &#10;&#10;Males receiving Parenting Payment – Single have lifetime costs $100,000 to $160,000 higher than males receiving the partnered payment at the same age.  Females aged between 16 and 30 receiving the single parenting payment have lifetime costs up to $20,000 to $110,000 higher than females receiving the partnered payment at the same age. After age 30, single female parents have average lifetime costs between $70,000 and $110,000 more than partnered women in the class.&#10;&#10;The features shown in the chart are discussed further in the accompanying text within the report.&#10;" title=" Average lifetime cost by age, gender and payment type (Class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16200000">
                            <a:off x="0" y="0"/>
                            <a:ext cx="2358000" cy="3531600"/>
                          </a:xfrm>
                          <a:prstGeom prst="rect">
                            <a:avLst/>
                          </a:prstGeom>
                          <a:noFill/>
                          <a:ln>
                            <a:noFill/>
                          </a:ln>
                        </pic:spPr>
                      </pic:pic>
                    </a:graphicData>
                  </a:graphic>
                </wp:inline>
              </w:drawing>
            </w:r>
          </w:p>
        </w:tc>
        <w:tc>
          <w:tcPr>
            <w:tcW w:w="2896" w:type="dxa"/>
          </w:tcPr>
          <w:p w14:paraId="59F6B0C8" w14:textId="77777777" w:rsidR="00F7320D" w:rsidRPr="00EC326F" w:rsidRDefault="00F7320D">
            <w:pPr>
              <w:pStyle w:val="TableTextSmall"/>
            </w:pPr>
          </w:p>
          <w:p w14:paraId="67E8DEBE" w14:textId="63D7931D" w:rsidR="00F7320D" w:rsidRPr="00EC326F" w:rsidRDefault="004461F7">
            <w:pPr>
              <w:pStyle w:val="TableTextSmall"/>
            </w:pPr>
            <w:r w:rsidRPr="004461F7">
              <w:rPr>
                <w:noProof/>
                <w:lang w:eastAsia="en-AU"/>
              </w:rPr>
              <w:drawing>
                <wp:inline distT="0" distB="0" distL="0" distR="0" wp14:anchorId="59DE4A4D" wp14:editId="2B179639">
                  <wp:extent cx="1483360" cy="695463"/>
                  <wp:effectExtent l="0" t="0" r="2540" b="9525"/>
                  <wp:docPr id="839" name="Picture 839" descr="Legend: Parenting Payment - Partnered, Parenting Payment - Single, Average in Class 3&#10;" title="Legend for 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86025" cy="696712"/>
                          </a:xfrm>
                          <a:prstGeom prst="rect">
                            <a:avLst/>
                          </a:prstGeom>
                          <a:noFill/>
                          <a:ln>
                            <a:noFill/>
                          </a:ln>
                        </pic:spPr>
                      </pic:pic>
                    </a:graphicData>
                  </a:graphic>
                </wp:inline>
              </w:drawing>
            </w:r>
          </w:p>
          <w:p w14:paraId="55DF1B3C" w14:textId="77777777" w:rsidR="00F7320D" w:rsidRPr="00EC326F" w:rsidRDefault="00F7320D">
            <w:pPr>
              <w:pStyle w:val="TableTextSmall"/>
            </w:pPr>
          </w:p>
        </w:tc>
      </w:tr>
    </w:tbl>
    <w:p w14:paraId="6F4AEDE5" w14:textId="5E424125" w:rsidR="00A56DB5" w:rsidRDefault="00303F34" w:rsidP="00303F34">
      <w:pPr>
        <w:pStyle w:val="Sources"/>
      </w:pPr>
      <w:r w:rsidRPr="00EC326F">
        <w:t>Note: Lines are only shown for ages where there are sufficient numbers of people. The black dotted line is the average across all payment types, and corresponds to the average lifetime cost (total of all payment categories) shown in</w:t>
      </w:r>
      <w:r w:rsidR="00A56DB5">
        <w:t xml:space="preserve"> </w:t>
      </w:r>
      <w:r w:rsidR="00A56DB5">
        <w:fldChar w:fldCharType="begin"/>
      </w:r>
      <w:r w:rsidR="00A56DB5">
        <w:instrText xml:space="preserve"> REF _Ref466031145 \h </w:instrText>
      </w:r>
      <w:r w:rsidR="00A56DB5">
        <w:fldChar w:fldCharType="separate"/>
      </w:r>
      <w:r w:rsidR="00A56DB5" w:rsidRPr="00EC326F">
        <w:t xml:space="preserve">Figure </w:t>
      </w:r>
      <w:r w:rsidR="00A56DB5">
        <w:rPr>
          <w:noProof/>
        </w:rPr>
        <w:t>44</w:t>
      </w:r>
      <w:r w:rsidR="00A56DB5">
        <w:fldChar w:fldCharType="end"/>
      </w:r>
      <w:r w:rsidR="00A56DB5">
        <w:t xml:space="preserve"> above.</w:t>
      </w:r>
    </w:p>
    <w:p w14:paraId="1C4A2DF8" w14:textId="77777777" w:rsidR="00F7320D" w:rsidRDefault="00F7320D" w:rsidP="001A4479">
      <w:pPr>
        <w:pStyle w:val="PwCNormal"/>
        <w:numPr>
          <w:ilvl w:val="0"/>
          <w:numId w:val="37"/>
        </w:numPr>
      </w:pPr>
      <w:r w:rsidRPr="00EC326F">
        <w:lastRenderedPageBreak/>
        <w:t xml:space="preserve">From the chart, we can see that single people have a higher average lifetime cost than partnered people. This primarily reflects that single people are more likely to use other types of income support (in particular working age and disability support) compared to partnered people. This is further explored in </w:t>
      </w:r>
      <w:r w:rsidR="0011562A">
        <w:t>section</w:t>
      </w:r>
      <w:r w:rsidRPr="00EC326F">
        <w:t xml:space="preserve"> </w:t>
      </w:r>
      <w:r w:rsidR="00BF3343" w:rsidRPr="00EC326F">
        <w:fldChar w:fldCharType="begin"/>
      </w:r>
      <w:r w:rsidR="00BF3343" w:rsidRPr="00EC326F">
        <w:instrText xml:space="preserve"> REF _Ref466371109 \r \h </w:instrText>
      </w:r>
      <w:r w:rsidR="00BF3343" w:rsidRPr="00EC326F">
        <w:fldChar w:fldCharType="separate"/>
      </w:r>
      <w:r w:rsidR="007A42DF">
        <w:t>14.1</w:t>
      </w:r>
      <w:r w:rsidR="00BF3343" w:rsidRPr="00EC326F">
        <w:fldChar w:fldCharType="end"/>
      </w:r>
      <w:r w:rsidRPr="00EC326F">
        <w:t>.</w:t>
      </w:r>
    </w:p>
    <w:p w14:paraId="64D23418" w14:textId="77777777" w:rsidR="00F7320D" w:rsidRPr="00EC326F" w:rsidRDefault="00F7320D" w:rsidP="00F7320D">
      <w:pPr>
        <w:pStyle w:val="Minorheading"/>
      </w:pPr>
      <w:r w:rsidRPr="00EC326F">
        <w:t>Change in lifetime costs since the baseline valuation</w:t>
      </w:r>
    </w:p>
    <w:p w14:paraId="6F2574FA" w14:textId="77777777" w:rsidR="00D3305D" w:rsidRPr="00EC326F" w:rsidRDefault="00D3305D" w:rsidP="00D3305D">
      <w:pPr>
        <w:pStyle w:val="PwCNormal"/>
        <w:numPr>
          <w:ilvl w:val="0"/>
          <w:numId w:val="0"/>
        </w:numPr>
      </w:pPr>
      <w:r w:rsidRPr="00EC326F">
        <w:t>The lifetime cost for the people in this class of $207bn is an increase of $16bn compared to the baseline valuation. This was primarily driven by an increase in the average cost, although an increase in the number of people in this class also contributed:</w:t>
      </w:r>
    </w:p>
    <w:p w14:paraId="0B05891E" w14:textId="77777777" w:rsidR="00D3305D" w:rsidRPr="00EC326F" w:rsidRDefault="00D3305D" w:rsidP="001A4479">
      <w:pPr>
        <w:pStyle w:val="Bullet1"/>
        <w:numPr>
          <w:ilvl w:val="0"/>
          <w:numId w:val="39"/>
        </w:numPr>
      </w:pPr>
      <w:r w:rsidRPr="00EC326F">
        <w:t>The number of people in this class has increased slightly since the previous valuation as a result of slightly lower than expected movements out of the class over the year.</w:t>
      </w:r>
    </w:p>
    <w:p w14:paraId="6E6A05C2" w14:textId="2F577879" w:rsidR="00D3305D" w:rsidRPr="00EC326F" w:rsidRDefault="00D3305D" w:rsidP="001A4479">
      <w:pPr>
        <w:pStyle w:val="Bullet1"/>
        <w:numPr>
          <w:ilvl w:val="0"/>
          <w:numId w:val="39"/>
        </w:numPr>
      </w:pPr>
      <w:r w:rsidRPr="00EC326F">
        <w:t>The average cost has increased by $33,000 (7</w:t>
      </w:r>
      <w:r w:rsidR="007E531F">
        <w:t>.5</w:t>
      </w:r>
      <w:r w:rsidRPr="00EC326F">
        <w:t>%) since the previous valuation. The following table provides a breakdown of the change in average lifetime cost by payment category.</w:t>
      </w:r>
    </w:p>
    <w:p w14:paraId="746BD6B7" w14:textId="77777777" w:rsidR="00D3305D" w:rsidRPr="00EC326F" w:rsidRDefault="00D3305D" w:rsidP="00D3305D">
      <w:pPr>
        <w:pStyle w:val="Caption"/>
      </w:pPr>
      <w:r w:rsidRPr="00EC326F">
        <w:t xml:space="preserve">Table </w:t>
      </w:r>
      <w:fldSimple w:instr=" SEQ Table \* ARABIC ">
        <w:r w:rsidR="007A42DF">
          <w:rPr>
            <w:noProof/>
          </w:rPr>
          <w:t>30</w:t>
        </w:r>
      </w:fldSimple>
      <w:r w:rsidRPr="00EC326F">
        <w:t>: Breakdown of change in average lifetime cost for Class 3 by payment category</w:t>
      </w:r>
    </w:p>
    <w:tbl>
      <w:tblPr>
        <w:tblStyle w:val="ListTable3-Accent62"/>
        <w:tblW w:w="9781" w:type="dxa"/>
        <w:tblInd w:w="108" w:type="dxa"/>
        <w:tblLayout w:type="fixed"/>
        <w:tblCellMar>
          <w:left w:w="57" w:type="dxa"/>
          <w:right w:w="57" w:type="dxa"/>
        </w:tblCellMar>
        <w:tblLook w:val="04A0" w:firstRow="1" w:lastRow="0" w:firstColumn="1" w:lastColumn="0" w:noHBand="0" w:noVBand="1"/>
        <w:tblCaption w:val=" Breakdown of change in average lifetime cost for Class 3 by payment category&#10;&#10;&#10;&#10;"/>
        <w:tblDescription w:val="This table shows the breakdown of the total change in average lifetime cost for Class 3 into; change in population, change in inflation, impact of new economic module, policy changes and other changes. These are shown as rows in the table.&#10;&#10;The changes in lifetime cost are considered by relevant payment categories for Class 3; IS Parenting, IS Other (excluding the pension), IS Age Pension, Non IS Family Supplements and Non IS Other Supplements. These are shown as columns in the table alongside a total change column.&#10;&#10;For Class 3, the Jun 15 Total Lifetime cost is $191bn and the Jun 16 Total Lifetime cost is $207bn. This gives a change in total lifetime cost of $16bn, an 8.5% increase. 1% of the increase is due to population changes and the remainder is driven by changes in the average lifetime cost. The average cost has increased by $33,000 (7.5%) since the previous valuation. Less than $1,000 of this change is attributable to changes in inflation. The economics module and policy changes reduced the average lifetime cost by $9,000 and $6000 respectively. This was offset by a $48,000 increase due to other changes.&#10;&#10;The average lifetime cost of clients in the IS Parenting payment category has increased by approximately $10,000. Both inflation and the economics module had less than $1,000 impact. The total change is primarily due to other changes of $10,000.&#10;&#10;The average lifetime cost of clients in the other IS payment categories (excluding the Age Pension) has increased by approximately $6,000. Policy changes and inflation contributed less than $1000 each. A $4,000 reduction is driven by the introduction of the new economics module which is offset by a $10,000 increase due to other changes.&#10;&#10;The average lifetime cost of clients in the IS Age Pension payment category has increased by approximately $3,000. The economics module reduced the average lifetime cost by $2,000, however this was offset by a $5,000 increase due to other changes. Inflation and policy changes were each less than $1000.&#10;&#10;The average lifetime cost of clients in the Non IS Family Supplements payment categories (H,I,J) has increased by approximately $13,000. This was primarily caused by other changes ($20,000 increase). This was offset by the economics module and policy changes which caused decreases of $1,000 and $6,000 respectively. Changes due to inflation were less than $1,000.&#10;&#10;The average lifetime cost of clients in the Non IS Other Supplements payment categories has increased by approximately $2,000. The changes due to the economics module, inflation and policy changes were less than $1,000 each whilst other changes contributed $2,000.&#10;"/>
      </w:tblPr>
      <w:tblGrid>
        <w:gridCol w:w="3119"/>
        <w:gridCol w:w="1276"/>
        <w:gridCol w:w="992"/>
        <w:gridCol w:w="992"/>
        <w:gridCol w:w="992"/>
        <w:gridCol w:w="1205"/>
        <w:gridCol w:w="1205"/>
      </w:tblGrid>
      <w:tr w:rsidR="00E27379" w:rsidRPr="00EC326F" w14:paraId="72284D37" w14:textId="77777777" w:rsidTr="009F52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68191267" w14:textId="77777777" w:rsidR="00E27379" w:rsidRPr="00EC326F" w:rsidRDefault="00E27379" w:rsidP="003114C1">
            <w:pPr>
              <w:pStyle w:val="TableTextSmall"/>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24E3F739" w14:textId="77777777" w:rsidR="00E27379" w:rsidRPr="00EC326F" w:rsidRDefault="00E27379"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992" w:type="dxa"/>
            <w:tcBorders>
              <w:left w:val="single" w:sz="4" w:space="0" w:color="FFFFFF" w:themeColor="background1"/>
              <w:bottom w:val="single" w:sz="4" w:space="0" w:color="FFFFFF" w:themeColor="background1"/>
              <w:right w:val="nil"/>
            </w:tcBorders>
          </w:tcPr>
          <w:p w14:paraId="71B03554" w14:textId="7DFD7833" w:rsidR="00E27379" w:rsidRPr="00EC326F" w:rsidRDefault="00E27379"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p>
        </w:tc>
        <w:tc>
          <w:tcPr>
            <w:tcW w:w="992" w:type="dxa"/>
            <w:tcBorders>
              <w:left w:val="nil"/>
              <w:bottom w:val="single" w:sz="4" w:space="0" w:color="FFFFFF" w:themeColor="background1"/>
              <w:right w:val="nil"/>
            </w:tcBorders>
          </w:tcPr>
          <w:p w14:paraId="0FFAC2BE" w14:textId="220DA3CE" w:rsidR="00E27379" w:rsidRPr="00E27379" w:rsidRDefault="00E27379"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rPr>
            </w:pPr>
            <w:r w:rsidRPr="00E27379">
              <w:rPr>
                <w:rFonts w:asciiTheme="majorHAnsi" w:hAnsiTheme="majorHAnsi"/>
                <w:bCs w:val="0"/>
                <w:color w:val="FFFFFF" w:themeColor="background1"/>
              </w:rPr>
              <w:t>IS</w:t>
            </w:r>
          </w:p>
        </w:tc>
        <w:tc>
          <w:tcPr>
            <w:tcW w:w="992" w:type="dxa"/>
            <w:tcBorders>
              <w:left w:val="nil"/>
              <w:bottom w:val="single" w:sz="4" w:space="0" w:color="FFFFFF" w:themeColor="background1"/>
              <w:right w:val="single" w:sz="4" w:space="0" w:color="FFFFFF" w:themeColor="background1"/>
            </w:tcBorders>
          </w:tcPr>
          <w:p w14:paraId="58901E92" w14:textId="370C65F5" w:rsidR="00E27379" w:rsidRPr="00EC326F" w:rsidRDefault="00E27379"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05" w:type="dxa"/>
            <w:tcBorders>
              <w:left w:val="single" w:sz="4" w:space="0" w:color="FFFFFF" w:themeColor="background1"/>
              <w:bottom w:val="single" w:sz="4" w:space="0" w:color="FFFFFF" w:themeColor="background1"/>
            </w:tcBorders>
          </w:tcPr>
          <w:p w14:paraId="74BE957E" w14:textId="7FF931C9" w:rsidR="00E27379" w:rsidRPr="00EC326F" w:rsidRDefault="00E27379" w:rsidP="00E27379">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Pr>
                <w:rFonts w:asciiTheme="majorHAnsi" w:hAnsiTheme="majorHAnsi"/>
                <w:color w:val="FFFFFF" w:themeColor="background1"/>
              </w:rPr>
              <w:t>Non</w:t>
            </w:r>
          </w:p>
        </w:tc>
        <w:tc>
          <w:tcPr>
            <w:tcW w:w="1205" w:type="dxa"/>
            <w:tcBorders>
              <w:bottom w:val="single" w:sz="4" w:space="0" w:color="FFFFFF" w:themeColor="background1"/>
            </w:tcBorders>
          </w:tcPr>
          <w:p w14:paraId="2BF1B137" w14:textId="3991C56A" w:rsidR="00E27379" w:rsidRPr="00EC326F" w:rsidRDefault="00E27379" w:rsidP="00E27379">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rPr>
              <w:t>IS</w:t>
            </w:r>
          </w:p>
        </w:tc>
      </w:tr>
      <w:tr w:rsidR="00D3305D" w:rsidRPr="00EC326F" w14:paraId="15FE0582" w14:textId="77777777" w:rsidTr="009F52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0F2726B4" w14:textId="77777777" w:rsidR="00D3305D" w:rsidRPr="00EC326F" w:rsidRDefault="00D3305D" w:rsidP="003114C1">
            <w:pPr>
              <w:pStyle w:val="TableTextSmall"/>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6C047445"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992" w:type="dxa"/>
            <w:tcBorders>
              <w:top w:val="single" w:sz="4" w:space="0" w:color="FFFFFF" w:themeColor="background1"/>
              <w:left w:val="single" w:sz="4" w:space="0" w:color="FFFFFF" w:themeColor="background1"/>
              <w:bottom w:val="single" w:sz="4" w:space="0" w:color="E0301E" w:themeColor="accent6"/>
            </w:tcBorders>
          </w:tcPr>
          <w:p w14:paraId="01ED73B5"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Parenting</w:t>
            </w:r>
          </w:p>
        </w:tc>
        <w:tc>
          <w:tcPr>
            <w:tcW w:w="992" w:type="dxa"/>
            <w:tcBorders>
              <w:top w:val="single" w:sz="4" w:space="0" w:color="FFFFFF" w:themeColor="background1"/>
              <w:bottom w:val="single" w:sz="4" w:space="0" w:color="E0301E" w:themeColor="accent6"/>
            </w:tcBorders>
          </w:tcPr>
          <w:p w14:paraId="0D7C84F4"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w:t>
            </w:r>
            <w:r w:rsidRPr="00EC326F">
              <w:rPr>
                <w:rFonts w:asciiTheme="majorHAnsi" w:hAnsiTheme="majorHAnsi"/>
                <w:b w:val="0"/>
                <w:color w:val="FFFFFF" w:themeColor="background1"/>
              </w:rPr>
              <w:br/>
              <w:t>(excl. Age Pension)</w:t>
            </w:r>
          </w:p>
        </w:tc>
        <w:tc>
          <w:tcPr>
            <w:tcW w:w="992" w:type="dxa"/>
            <w:tcBorders>
              <w:top w:val="single" w:sz="4" w:space="0" w:color="FFFFFF" w:themeColor="background1"/>
              <w:bottom w:val="single" w:sz="4" w:space="0" w:color="E0301E" w:themeColor="accent6"/>
              <w:right w:val="single" w:sz="4" w:space="0" w:color="FFFFFF" w:themeColor="background1"/>
            </w:tcBorders>
          </w:tcPr>
          <w:p w14:paraId="7D053FD5"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205" w:type="dxa"/>
            <w:tcBorders>
              <w:top w:val="single" w:sz="4" w:space="0" w:color="FFFFFF" w:themeColor="background1"/>
              <w:left w:val="single" w:sz="4" w:space="0" w:color="FFFFFF" w:themeColor="background1"/>
              <w:bottom w:val="single" w:sz="4" w:space="0" w:color="E0301E" w:themeColor="accent6"/>
            </w:tcBorders>
          </w:tcPr>
          <w:p w14:paraId="4D6ED241"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205" w:type="dxa"/>
            <w:tcBorders>
              <w:top w:val="single" w:sz="4" w:space="0" w:color="FFFFFF" w:themeColor="background1"/>
              <w:bottom w:val="single" w:sz="4" w:space="0" w:color="E0301E" w:themeColor="accent6"/>
            </w:tcBorders>
          </w:tcPr>
          <w:p w14:paraId="2F84D577"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D3305D" w:rsidRPr="00EC326F" w14:paraId="79797E3F" w14:textId="77777777" w:rsidTr="00E2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4D260672" w14:textId="77777777" w:rsidR="00D3305D" w:rsidRPr="00EC326F" w:rsidRDefault="00D3305D" w:rsidP="003114C1">
            <w:pPr>
              <w:pStyle w:val="TableTextSmall"/>
            </w:pPr>
            <w:r w:rsidRPr="00EC326F">
              <w:t>Jun-15 Total Lifetime Cost</w:t>
            </w:r>
          </w:p>
        </w:tc>
        <w:tc>
          <w:tcPr>
            <w:tcW w:w="1276" w:type="dxa"/>
            <w:tcBorders>
              <w:left w:val="single" w:sz="4" w:space="0" w:color="E0301E" w:themeColor="accent6"/>
              <w:bottom w:val="nil"/>
              <w:right w:val="single" w:sz="4" w:space="0" w:color="E0301E" w:themeColor="accent6"/>
            </w:tcBorders>
            <w:vAlign w:val="bottom"/>
          </w:tcPr>
          <w:p w14:paraId="46D2226C"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$191bn</w:t>
            </w:r>
          </w:p>
        </w:tc>
        <w:tc>
          <w:tcPr>
            <w:tcW w:w="992" w:type="dxa"/>
            <w:tcBorders>
              <w:left w:val="single" w:sz="4" w:space="0" w:color="E0301E" w:themeColor="accent6"/>
              <w:bottom w:val="nil"/>
            </w:tcBorders>
            <w:shd w:val="clear" w:color="auto" w:fill="D9D9D9" w:themeFill="background1" w:themeFillShade="D9"/>
            <w:vAlign w:val="bottom"/>
          </w:tcPr>
          <w:p w14:paraId="067F6F5E"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bottom w:val="nil"/>
            </w:tcBorders>
            <w:shd w:val="clear" w:color="auto" w:fill="D9D9D9" w:themeFill="background1" w:themeFillShade="D9"/>
            <w:vAlign w:val="bottom"/>
          </w:tcPr>
          <w:p w14:paraId="61E00C5D"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bottom w:val="nil"/>
              <w:right w:val="nil"/>
            </w:tcBorders>
            <w:shd w:val="clear" w:color="auto" w:fill="D9D9D9" w:themeFill="background1" w:themeFillShade="D9"/>
            <w:vAlign w:val="bottom"/>
          </w:tcPr>
          <w:p w14:paraId="6B4733DC"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left w:val="nil"/>
              <w:bottom w:val="nil"/>
            </w:tcBorders>
            <w:shd w:val="clear" w:color="auto" w:fill="D9D9D9" w:themeFill="background1" w:themeFillShade="D9"/>
            <w:vAlign w:val="bottom"/>
          </w:tcPr>
          <w:p w14:paraId="259D643A"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bottom w:val="nil"/>
            </w:tcBorders>
            <w:shd w:val="clear" w:color="auto" w:fill="D9D9D9" w:themeFill="background1" w:themeFillShade="D9"/>
            <w:vAlign w:val="bottom"/>
          </w:tcPr>
          <w:p w14:paraId="221ACEBA"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r>
      <w:tr w:rsidR="00D3305D" w:rsidRPr="00EC326F" w14:paraId="26FD9DC9" w14:textId="77777777" w:rsidTr="00E27379">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44ED3E6F" w14:textId="77777777" w:rsidR="00D3305D" w:rsidRPr="00EC326F" w:rsidRDefault="00D3305D" w:rsidP="003114C1">
            <w:pPr>
              <w:pStyle w:val="TableTextSmall"/>
            </w:pPr>
            <w:r w:rsidRPr="00EC326F">
              <w:t>Jun-16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vAlign w:val="bottom"/>
          </w:tcPr>
          <w:p w14:paraId="5C80F26D"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$207bn</w:t>
            </w:r>
          </w:p>
        </w:tc>
        <w:tc>
          <w:tcPr>
            <w:tcW w:w="992" w:type="dxa"/>
            <w:tcBorders>
              <w:top w:val="nil"/>
              <w:left w:val="single" w:sz="4" w:space="0" w:color="E0301E" w:themeColor="accent6"/>
              <w:bottom w:val="nil"/>
            </w:tcBorders>
            <w:shd w:val="clear" w:color="auto" w:fill="D9D9D9" w:themeFill="background1" w:themeFillShade="D9"/>
            <w:vAlign w:val="bottom"/>
          </w:tcPr>
          <w:p w14:paraId="59E13216"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D9D9D9" w:themeFill="background1" w:themeFillShade="D9"/>
            <w:vAlign w:val="bottom"/>
          </w:tcPr>
          <w:p w14:paraId="2F4B64D0"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vAlign w:val="bottom"/>
          </w:tcPr>
          <w:p w14:paraId="7A674BD6"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vAlign w:val="bottom"/>
          </w:tcPr>
          <w:p w14:paraId="67D54D7F"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nil"/>
            </w:tcBorders>
            <w:shd w:val="clear" w:color="auto" w:fill="D9D9D9" w:themeFill="background1" w:themeFillShade="D9"/>
            <w:vAlign w:val="bottom"/>
          </w:tcPr>
          <w:p w14:paraId="7D0AEB9B"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r>
      <w:tr w:rsidR="00D3305D" w:rsidRPr="00EC326F" w14:paraId="154EC208" w14:textId="77777777" w:rsidTr="00E2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6A9AE0E3" w14:textId="77777777" w:rsidR="00D3305D" w:rsidRPr="00EC326F" w:rsidRDefault="00D3305D" w:rsidP="003114C1">
            <w:pPr>
              <w:pStyle w:val="TableTextSmall"/>
            </w:pPr>
            <w:r w:rsidRPr="00EC326F">
              <w:t>Change in Total Lifetime Cost</w:t>
            </w:r>
          </w:p>
        </w:tc>
        <w:tc>
          <w:tcPr>
            <w:tcW w:w="1276" w:type="dxa"/>
            <w:tcBorders>
              <w:left w:val="single" w:sz="4" w:space="0" w:color="E0301E" w:themeColor="accent6"/>
              <w:bottom w:val="nil"/>
              <w:right w:val="single" w:sz="4" w:space="0" w:color="E0301E" w:themeColor="accent6"/>
            </w:tcBorders>
            <w:vAlign w:val="bottom"/>
          </w:tcPr>
          <w:p w14:paraId="52B25F7F" w14:textId="15F7F691" w:rsidR="00D3305D" w:rsidRPr="00EC326F" w:rsidRDefault="00D3305D" w:rsidP="002433E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+$16bn (8.</w:t>
            </w:r>
            <w:r w:rsidR="002433E0">
              <w:t>6</w:t>
            </w:r>
            <w:r w:rsidRPr="00EC326F">
              <w:t>%)</w:t>
            </w:r>
          </w:p>
        </w:tc>
        <w:tc>
          <w:tcPr>
            <w:tcW w:w="992" w:type="dxa"/>
            <w:tcBorders>
              <w:top w:val="nil"/>
              <w:left w:val="single" w:sz="4" w:space="0" w:color="E0301E" w:themeColor="accent6"/>
              <w:bottom w:val="nil"/>
            </w:tcBorders>
            <w:shd w:val="clear" w:color="auto" w:fill="D9D9D9" w:themeFill="background1" w:themeFillShade="D9"/>
            <w:vAlign w:val="bottom"/>
          </w:tcPr>
          <w:p w14:paraId="20066EB8"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tcBorders>
            <w:shd w:val="clear" w:color="auto" w:fill="D9D9D9" w:themeFill="background1" w:themeFillShade="D9"/>
            <w:vAlign w:val="bottom"/>
          </w:tcPr>
          <w:p w14:paraId="31D24BAE"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vAlign w:val="bottom"/>
          </w:tcPr>
          <w:p w14:paraId="6BAE2CF2"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vAlign w:val="bottom"/>
          </w:tcPr>
          <w:p w14:paraId="13FF3ED8"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top w:val="nil"/>
              <w:bottom w:val="nil"/>
            </w:tcBorders>
            <w:shd w:val="clear" w:color="auto" w:fill="D9D9D9" w:themeFill="background1" w:themeFillShade="D9"/>
            <w:vAlign w:val="bottom"/>
          </w:tcPr>
          <w:p w14:paraId="421AB2EB"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r>
      <w:tr w:rsidR="00D3305D" w:rsidRPr="00EC326F" w14:paraId="0B4FC0FE" w14:textId="77777777" w:rsidTr="00E27379">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09766C86" w14:textId="77777777" w:rsidR="00D3305D" w:rsidRPr="00EC326F" w:rsidRDefault="00D3305D" w:rsidP="003114C1">
            <w:pPr>
              <w:pStyle w:val="TableTextSmall"/>
            </w:pPr>
            <w:r w:rsidRPr="00EC326F">
              <w:t>Change due to Population</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vAlign w:val="bottom"/>
          </w:tcPr>
          <w:p w14:paraId="1F2E0C53"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w:t>
            </w:r>
          </w:p>
        </w:tc>
        <w:tc>
          <w:tcPr>
            <w:tcW w:w="992" w:type="dxa"/>
            <w:tcBorders>
              <w:top w:val="nil"/>
              <w:left w:val="single" w:sz="4" w:space="0" w:color="E0301E" w:themeColor="accent6"/>
              <w:bottom w:val="single" w:sz="4" w:space="0" w:color="E0301E" w:themeColor="accent6"/>
            </w:tcBorders>
            <w:shd w:val="clear" w:color="auto" w:fill="D9D9D9" w:themeFill="background1" w:themeFillShade="D9"/>
            <w:vAlign w:val="bottom"/>
          </w:tcPr>
          <w:p w14:paraId="449B961B"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tcBorders>
            <w:shd w:val="clear" w:color="auto" w:fill="D9D9D9" w:themeFill="background1" w:themeFillShade="D9"/>
            <w:vAlign w:val="bottom"/>
          </w:tcPr>
          <w:p w14:paraId="1FDA6E5D"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right w:val="nil"/>
            </w:tcBorders>
            <w:shd w:val="clear" w:color="auto" w:fill="D9D9D9" w:themeFill="background1" w:themeFillShade="D9"/>
            <w:vAlign w:val="bottom"/>
          </w:tcPr>
          <w:p w14:paraId="19C8B67C"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single" w:sz="4" w:space="0" w:color="E0301E" w:themeColor="accent6"/>
            </w:tcBorders>
            <w:shd w:val="clear" w:color="auto" w:fill="D9D9D9" w:themeFill="background1" w:themeFillShade="D9"/>
            <w:vAlign w:val="bottom"/>
          </w:tcPr>
          <w:p w14:paraId="440D7E93"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single" w:sz="4" w:space="0" w:color="E0301E" w:themeColor="accent6"/>
            </w:tcBorders>
            <w:shd w:val="clear" w:color="auto" w:fill="D9D9D9" w:themeFill="background1" w:themeFillShade="D9"/>
            <w:vAlign w:val="bottom"/>
          </w:tcPr>
          <w:p w14:paraId="54BDAAD6"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r>
      <w:tr w:rsidR="00D3305D" w:rsidRPr="00EC326F" w14:paraId="4F6624D8" w14:textId="77777777" w:rsidTr="00E2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0DAB7D4F" w14:textId="77777777" w:rsidR="00D3305D" w:rsidRPr="00EC326F" w:rsidRDefault="00D3305D" w:rsidP="003114C1">
            <w:pPr>
              <w:pStyle w:val="TableTextSmall"/>
            </w:pPr>
            <w:r w:rsidRPr="00EC326F">
              <w:t>Change due to Average Lifetime Cost</w:t>
            </w:r>
          </w:p>
        </w:tc>
        <w:tc>
          <w:tcPr>
            <w:tcW w:w="1276" w:type="dxa"/>
            <w:tcBorders>
              <w:left w:val="single" w:sz="4" w:space="0" w:color="E0301E" w:themeColor="accent6"/>
              <w:bottom w:val="nil"/>
              <w:right w:val="single" w:sz="4" w:space="0" w:color="E0301E" w:themeColor="accent6"/>
            </w:tcBorders>
            <w:vAlign w:val="bottom"/>
          </w:tcPr>
          <w:p w14:paraId="06F2F98C"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+$33k (7.5%)</w:t>
            </w:r>
          </w:p>
        </w:tc>
        <w:tc>
          <w:tcPr>
            <w:tcW w:w="992" w:type="dxa"/>
            <w:tcBorders>
              <w:left w:val="single" w:sz="4" w:space="0" w:color="E0301E" w:themeColor="accent6"/>
              <w:bottom w:val="nil"/>
            </w:tcBorders>
            <w:vAlign w:val="bottom"/>
          </w:tcPr>
          <w:p w14:paraId="325C2C07"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+$10k</w:t>
            </w:r>
          </w:p>
        </w:tc>
        <w:tc>
          <w:tcPr>
            <w:tcW w:w="992" w:type="dxa"/>
            <w:tcBorders>
              <w:bottom w:val="nil"/>
            </w:tcBorders>
            <w:vAlign w:val="bottom"/>
          </w:tcPr>
          <w:p w14:paraId="1511DCEA"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+$6k</w:t>
            </w:r>
          </w:p>
        </w:tc>
        <w:tc>
          <w:tcPr>
            <w:tcW w:w="992" w:type="dxa"/>
            <w:tcBorders>
              <w:bottom w:val="nil"/>
              <w:right w:val="dashed" w:sz="4" w:space="0" w:color="E0301E" w:themeColor="accent6"/>
            </w:tcBorders>
            <w:vAlign w:val="bottom"/>
          </w:tcPr>
          <w:p w14:paraId="6954C4B6"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+$3k</w:t>
            </w:r>
          </w:p>
        </w:tc>
        <w:tc>
          <w:tcPr>
            <w:tcW w:w="1205" w:type="dxa"/>
            <w:tcBorders>
              <w:left w:val="dashed" w:sz="4" w:space="0" w:color="E0301E" w:themeColor="accent6"/>
              <w:bottom w:val="nil"/>
            </w:tcBorders>
            <w:vAlign w:val="bottom"/>
          </w:tcPr>
          <w:p w14:paraId="740B73CC"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+$13k</w:t>
            </w:r>
          </w:p>
        </w:tc>
        <w:tc>
          <w:tcPr>
            <w:tcW w:w="1205" w:type="dxa"/>
            <w:tcBorders>
              <w:bottom w:val="nil"/>
            </w:tcBorders>
            <w:vAlign w:val="bottom"/>
          </w:tcPr>
          <w:p w14:paraId="766658B6"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r>
      <w:tr w:rsidR="00D3305D" w:rsidRPr="00EC326F" w14:paraId="1864150D" w14:textId="77777777" w:rsidTr="00E2737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1CA04D82" w14:textId="77777777" w:rsidR="00D3305D" w:rsidRPr="00EC326F" w:rsidRDefault="00D3305D" w:rsidP="003114C1">
            <w:pPr>
              <w:pStyle w:val="TableTextSmall"/>
              <w:rPr>
                <w:b w:val="0"/>
              </w:rPr>
            </w:pPr>
            <w:r w:rsidRPr="00EC326F">
              <w:rPr>
                <w:b w:val="0"/>
              </w:rPr>
              <w:t>- Impact of change in inflation</w:t>
            </w:r>
          </w:p>
        </w:tc>
        <w:tc>
          <w:tcPr>
            <w:tcW w:w="1276" w:type="dxa"/>
            <w:tcBorders>
              <w:top w:val="nil"/>
              <w:left w:val="single" w:sz="4" w:space="0" w:color="E0301E" w:themeColor="accent6"/>
              <w:bottom w:val="nil"/>
              <w:right w:val="single" w:sz="4" w:space="0" w:color="E0301E" w:themeColor="accent6"/>
            </w:tcBorders>
            <w:vAlign w:val="bottom"/>
          </w:tcPr>
          <w:p w14:paraId="4CCA424D"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left w:val="single" w:sz="4" w:space="0" w:color="E0301E" w:themeColor="accent6"/>
              <w:bottom w:val="nil"/>
            </w:tcBorders>
            <w:vAlign w:val="bottom"/>
          </w:tcPr>
          <w:p w14:paraId="065E6828"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6ECE7463"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right w:val="dashed" w:sz="4" w:space="0" w:color="E0301E" w:themeColor="accent6"/>
            </w:tcBorders>
            <w:vAlign w:val="bottom"/>
          </w:tcPr>
          <w:p w14:paraId="0153DA1A"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left w:val="dashed" w:sz="4" w:space="0" w:color="E0301E" w:themeColor="accent6"/>
              <w:bottom w:val="nil"/>
            </w:tcBorders>
            <w:vAlign w:val="bottom"/>
          </w:tcPr>
          <w:p w14:paraId="08E2CCB9"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bottom w:val="nil"/>
            </w:tcBorders>
            <w:vAlign w:val="bottom"/>
          </w:tcPr>
          <w:p w14:paraId="7FD48E4D"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71822F22" w14:textId="77777777" w:rsidTr="00E2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52885356" w14:textId="77777777" w:rsidR="00D3305D" w:rsidRPr="00EC326F" w:rsidRDefault="00D3305D" w:rsidP="003114C1">
            <w:pPr>
              <w:pStyle w:val="TableTextSmall"/>
              <w:rPr>
                <w:b w:val="0"/>
              </w:rPr>
            </w:pPr>
            <w:r w:rsidRPr="00EC326F">
              <w:rPr>
                <w:b w:val="0"/>
              </w:rPr>
              <w:t>- Impact of new economics module</w:t>
            </w:r>
          </w:p>
        </w:tc>
        <w:tc>
          <w:tcPr>
            <w:tcW w:w="1276" w:type="dxa"/>
            <w:tcBorders>
              <w:top w:val="nil"/>
              <w:left w:val="single" w:sz="4" w:space="0" w:color="E0301E" w:themeColor="accent6"/>
              <w:bottom w:val="nil"/>
              <w:right w:val="single" w:sz="4" w:space="0" w:color="E0301E" w:themeColor="accent6"/>
            </w:tcBorders>
            <w:vAlign w:val="bottom"/>
          </w:tcPr>
          <w:p w14:paraId="52F1EC3F"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-$9k</w:t>
            </w:r>
          </w:p>
        </w:tc>
        <w:tc>
          <w:tcPr>
            <w:tcW w:w="992" w:type="dxa"/>
            <w:tcBorders>
              <w:top w:val="nil"/>
              <w:left w:val="single" w:sz="4" w:space="0" w:color="E0301E" w:themeColor="accent6"/>
              <w:bottom w:val="nil"/>
            </w:tcBorders>
            <w:vAlign w:val="bottom"/>
          </w:tcPr>
          <w:p w14:paraId="26011D35"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13CA3873"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-$4k</w:t>
            </w:r>
          </w:p>
        </w:tc>
        <w:tc>
          <w:tcPr>
            <w:tcW w:w="992" w:type="dxa"/>
            <w:tcBorders>
              <w:top w:val="nil"/>
              <w:bottom w:val="nil"/>
              <w:right w:val="dashed" w:sz="4" w:space="0" w:color="E0301E" w:themeColor="accent6"/>
            </w:tcBorders>
            <w:vAlign w:val="bottom"/>
          </w:tcPr>
          <w:p w14:paraId="4FE43E1C"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c>
          <w:tcPr>
            <w:tcW w:w="1205" w:type="dxa"/>
            <w:tcBorders>
              <w:top w:val="nil"/>
              <w:left w:val="dashed" w:sz="4" w:space="0" w:color="E0301E" w:themeColor="accent6"/>
              <w:bottom w:val="nil"/>
            </w:tcBorders>
            <w:vAlign w:val="bottom"/>
          </w:tcPr>
          <w:p w14:paraId="022FAA11"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-$1k</w:t>
            </w:r>
          </w:p>
        </w:tc>
        <w:tc>
          <w:tcPr>
            <w:tcW w:w="1205" w:type="dxa"/>
            <w:tcBorders>
              <w:top w:val="nil"/>
              <w:bottom w:val="nil"/>
            </w:tcBorders>
            <w:vAlign w:val="bottom"/>
          </w:tcPr>
          <w:p w14:paraId="799C053F"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2433E0" w:rsidRPr="00EC326F" w14:paraId="36F9AB9A" w14:textId="77777777" w:rsidTr="00E2737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5DFEE296" w14:textId="01EA7B1E" w:rsidR="002433E0" w:rsidRPr="00EC326F" w:rsidRDefault="002433E0" w:rsidP="002433E0">
            <w:pPr>
              <w:pStyle w:val="TableTextSmall"/>
              <w:rPr>
                <w:b w:val="0"/>
              </w:rPr>
            </w:pPr>
            <w:r w:rsidRPr="00455062">
              <w:rPr>
                <w:b w:val="0"/>
              </w:rPr>
              <w:t>- Impact of policy changes</w:t>
            </w:r>
          </w:p>
        </w:tc>
        <w:tc>
          <w:tcPr>
            <w:tcW w:w="1276" w:type="dxa"/>
            <w:tcBorders>
              <w:top w:val="nil"/>
              <w:left w:val="single" w:sz="4" w:space="0" w:color="E0301E" w:themeColor="accent6"/>
              <w:bottom w:val="nil"/>
              <w:right w:val="single" w:sz="4" w:space="0" w:color="E0301E" w:themeColor="accent6"/>
            </w:tcBorders>
            <w:vAlign w:val="bottom"/>
          </w:tcPr>
          <w:p w14:paraId="1647888F" w14:textId="6680CEDE" w:rsidR="002433E0" w:rsidRPr="00EC326F" w:rsidRDefault="002433E0" w:rsidP="002433E0">
            <w:pPr>
              <w:pStyle w:val="TableTextSmall"/>
              <w:jc w:val="center"/>
              <w:cnfStyle w:val="000000000000" w:firstRow="0" w:lastRow="0" w:firstColumn="0" w:lastColumn="0" w:oddVBand="0" w:evenVBand="0" w:oddHBand="0" w:evenHBand="0" w:firstRowFirstColumn="0" w:firstRowLastColumn="0" w:lastRowFirstColumn="0" w:lastRowLastColumn="0"/>
            </w:pPr>
            <w:r>
              <w:t>-$6k</w:t>
            </w:r>
          </w:p>
        </w:tc>
        <w:tc>
          <w:tcPr>
            <w:tcW w:w="992" w:type="dxa"/>
            <w:tcBorders>
              <w:top w:val="nil"/>
              <w:left w:val="single" w:sz="4" w:space="0" w:color="E0301E" w:themeColor="accent6"/>
              <w:bottom w:val="nil"/>
            </w:tcBorders>
            <w:vAlign w:val="bottom"/>
          </w:tcPr>
          <w:p w14:paraId="514E9749" w14:textId="64BAC69B" w:rsidR="002433E0" w:rsidRPr="00EC326F" w:rsidRDefault="00455062" w:rsidP="002433E0">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4F0EB458" w14:textId="6C620F68" w:rsidR="002433E0" w:rsidRPr="00EC326F" w:rsidRDefault="00455062" w:rsidP="002433E0">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992" w:type="dxa"/>
            <w:tcBorders>
              <w:top w:val="nil"/>
              <w:bottom w:val="nil"/>
              <w:right w:val="dashed" w:sz="4" w:space="0" w:color="E0301E" w:themeColor="accent6"/>
            </w:tcBorders>
            <w:vAlign w:val="bottom"/>
          </w:tcPr>
          <w:p w14:paraId="0229723C" w14:textId="08F60697" w:rsidR="002433E0" w:rsidRPr="00EC326F" w:rsidRDefault="00455062" w:rsidP="002433E0">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05" w:type="dxa"/>
            <w:tcBorders>
              <w:top w:val="nil"/>
              <w:left w:val="dashed" w:sz="4" w:space="0" w:color="E0301E" w:themeColor="accent6"/>
              <w:bottom w:val="nil"/>
            </w:tcBorders>
            <w:vAlign w:val="bottom"/>
          </w:tcPr>
          <w:p w14:paraId="0B10083F" w14:textId="1F751053" w:rsidR="002433E0" w:rsidRPr="00EC326F" w:rsidRDefault="002433E0" w:rsidP="002433E0">
            <w:pPr>
              <w:pStyle w:val="TableTextSmall"/>
              <w:jc w:val="center"/>
              <w:cnfStyle w:val="000000000000" w:firstRow="0" w:lastRow="0" w:firstColumn="0" w:lastColumn="0" w:oddVBand="0" w:evenVBand="0" w:oddHBand="0" w:evenHBand="0" w:firstRowFirstColumn="0" w:firstRowLastColumn="0" w:lastRowFirstColumn="0" w:lastRowLastColumn="0"/>
            </w:pPr>
            <w:r>
              <w:t>-$6k</w:t>
            </w:r>
          </w:p>
        </w:tc>
        <w:tc>
          <w:tcPr>
            <w:tcW w:w="1205" w:type="dxa"/>
            <w:tcBorders>
              <w:top w:val="nil"/>
              <w:bottom w:val="nil"/>
            </w:tcBorders>
            <w:vAlign w:val="bottom"/>
          </w:tcPr>
          <w:p w14:paraId="0118FEF5" w14:textId="6167816E" w:rsidR="002433E0" w:rsidRPr="00EC326F" w:rsidRDefault="00455062" w:rsidP="002433E0">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31DA6E83" w14:textId="77777777" w:rsidTr="00E27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2A5715D4" w14:textId="77777777" w:rsidR="00D3305D" w:rsidRPr="00EC326F" w:rsidRDefault="00D3305D" w:rsidP="003114C1">
            <w:pPr>
              <w:pStyle w:val="TableTextSmall"/>
              <w:rPr>
                <w:b w:val="0"/>
              </w:rPr>
            </w:pPr>
            <w:r w:rsidRPr="00EC326F">
              <w:rPr>
                <w:b w:val="0"/>
              </w:rPr>
              <w:t>- Impact of other changes</w:t>
            </w:r>
          </w:p>
        </w:tc>
        <w:tc>
          <w:tcPr>
            <w:tcW w:w="1276" w:type="dxa"/>
            <w:tcBorders>
              <w:top w:val="nil"/>
              <w:left w:val="single" w:sz="4" w:space="0" w:color="E0301E" w:themeColor="accent6"/>
              <w:right w:val="single" w:sz="4" w:space="0" w:color="E0301E" w:themeColor="accent6"/>
            </w:tcBorders>
            <w:vAlign w:val="bottom"/>
          </w:tcPr>
          <w:p w14:paraId="69ED1DD6" w14:textId="5ADD4A1A" w:rsidR="00D3305D" w:rsidRPr="00EC326F" w:rsidRDefault="00D3305D" w:rsidP="002433E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2433E0" w:rsidRPr="00EC326F">
              <w:t>4</w:t>
            </w:r>
            <w:r w:rsidR="002433E0">
              <w:t>8</w:t>
            </w:r>
            <w:r w:rsidR="002433E0" w:rsidRPr="00EC326F">
              <w:t>k</w:t>
            </w:r>
          </w:p>
        </w:tc>
        <w:tc>
          <w:tcPr>
            <w:tcW w:w="992" w:type="dxa"/>
            <w:tcBorders>
              <w:top w:val="nil"/>
              <w:left w:val="single" w:sz="4" w:space="0" w:color="E0301E" w:themeColor="accent6"/>
            </w:tcBorders>
            <w:vAlign w:val="bottom"/>
          </w:tcPr>
          <w:p w14:paraId="489E80F2"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+$10k</w:t>
            </w:r>
          </w:p>
        </w:tc>
        <w:tc>
          <w:tcPr>
            <w:tcW w:w="992" w:type="dxa"/>
            <w:tcBorders>
              <w:top w:val="nil"/>
            </w:tcBorders>
            <w:vAlign w:val="bottom"/>
          </w:tcPr>
          <w:p w14:paraId="03C59477"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+$10k</w:t>
            </w:r>
          </w:p>
        </w:tc>
        <w:tc>
          <w:tcPr>
            <w:tcW w:w="992" w:type="dxa"/>
            <w:tcBorders>
              <w:top w:val="nil"/>
              <w:right w:val="dashed" w:sz="4" w:space="0" w:color="E0301E" w:themeColor="accent6"/>
            </w:tcBorders>
            <w:vAlign w:val="bottom"/>
          </w:tcPr>
          <w:p w14:paraId="4DDD56D2"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+$5k</w:t>
            </w:r>
          </w:p>
        </w:tc>
        <w:tc>
          <w:tcPr>
            <w:tcW w:w="1205" w:type="dxa"/>
            <w:tcBorders>
              <w:top w:val="nil"/>
              <w:left w:val="dashed" w:sz="4" w:space="0" w:color="E0301E" w:themeColor="accent6"/>
            </w:tcBorders>
            <w:vAlign w:val="bottom"/>
          </w:tcPr>
          <w:p w14:paraId="3F589BF8" w14:textId="7670ABEC" w:rsidR="00D3305D" w:rsidRPr="00EC326F" w:rsidRDefault="00D3305D" w:rsidP="002433E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2433E0">
              <w:t>20</w:t>
            </w:r>
            <w:r w:rsidR="002433E0" w:rsidRPr="00EC326F">
              <w:t>k</w:t>
            </w:r>
          </w:p>
        </w:tc>
        <w:tc>
          <w:tcPr>
            <w:tcW w:w="1205" w:type="dxa"/>
            <w:tcBorders>
              <w:top w:val="nil"/>
            </w:tcBorders>
            <w:vAlign w:val="bottom"/>
          </w:tcPr>
          <w:p w14:paraId="45643F3A" w14:textId="5B806CD3" w:rsidR="00D3305D" w:rsidRPr="00EC326F" w:rsidRDefault="00D3305D" w:rsidP="002433E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2433E0">
              <w:t>3</w:t>
            </w:r>
            <w:r w:rsidR="002433E0" w:rsidRPr="00EC326F">
              <w:t>k</w:t>
            </w:r>
          </w:p>
        </w:tc>
      </w:tr>
    </w:tbl>
    <w:p w14:paraId="23CE5449" w14:textId="77777777" w:rsidR="00D3305D" w:rsidRPr="00EC326F" w:rsidRDefault="00D3305D" w:rsidP="001A4479">
      <w:pPr>
        <w:pStyle w:val="PwCNormal"/>
        <w:numPr>
          <w:ilvl w:val="0"/>
          <w:numId w:val="37"/>
        </w:numPr>
      </w:pPr>
      <w:r w:rsidRPr="00EC326F">
        <w:t xml:space="preserve">The </w:t>
      </w:r>
      <w:r w:rsidR="00707822" w:rsidRPr="00EC326F">
        <w:t>increase</w:t>
      </w:r>
      <w:r w:rsidRPr="00EC326F">
        <w:t xml:space="preserve"> in average cost has been primarily driven by:</w:t>
      </w:r>
    </w:p>
    <w:p w14:paraId="3D842CF1" w14:textId="68DBD0AA" w:rsidR="00D3305D" w:rsidRPr="00EC326F" w:rsidRDefault="00D3305D" w:rsidP="001A4479">
      <w:pPr>
        <w:pStyle w:val="Bullet1"/>
        <w:numPr>
          <w:ilvl w:val="0"/>
          <w:numId w:val="39"/>
        </w:numPr>
      </w:pPr>
      <w:r w:rsidRPr="00EC326F">
        <w:t xml:space="preserve">An increase in the assumed probability of people remaining in the </w:t>
      </w:r>
      <w:r w:rsidR="00916C7F">
        <w:t>P</w:t>
      </w:r>
      <w:r w:rsidRPr="00EC326F">
        <w:t>arent</w:t>
      </w:r>
      <w:r w:rsidR="00A53A6E">
        <w:t>ing</w:t>
      </w:r>
      <w:r w:rsidRPr="00EC326F">
        <w:t xml:space="preserve"> class in response to recent experience, which leads to a longer duration receiving income support and family supplements;</w:t>
      </w:r>
    </w:p>
    <w:p w14:paraId="12BCEAC7" w14:textId="7603D0B1" w:rsidR="00CE457D" w:rsidRDefault="00D3305D" w:rsidP="001A4479">
      <w:pPr>
        <w:pStyle w:val="Bullet1"/>
        <w:numPr>
          <w:ilvl w:val="0"/>
          <w:numId w:val="39"/>
        </w:numPr>
      </w:pPr>
      <w:r w:rsidRPr="00EC326F">
        <w:t xml:space="preserve">The impact of enhancing the projection model to include employment earnings – this leads to </w:t>
      </w:r>
      <w:r w:rsidR="00CE457D">
        <w:t>increased differentiation between population subgroups which are expected to have high persistency and subgroups which are expected to have low persistency. The high persistency subgroup</w:t>
      </w:r>
      <w:r w:rsidR="00454C7F">
        <w:t>s within this class are contributing to this increased averaged lifetime cost</w:t>
      </w:r>
      <w:r w:rsidR="00D55490">
        <w:t>, t</w:t>
      </w:r>
      <w:r w:rsidR="00BA292D">
        <w:t xml:space="preserve">heir identification results in a higher expected level of future income support payments </w:t>
      </w:r>
      <w:r w:rsidR="00D01DBC">
        <w:t xml:space="preserve">both in the </w:t>
      </w:r>
      <w:r w:rsidR="00916C7F">
        <w:t>P</w:t>
      </w:r>
      <w:r w:rsidR="00D01DBC">
        <w:t>arent</w:t>
      </w:r>
      <w:r w:rsidR="00A53A6E">
        <w:t>ing</w:t>
      </w:r>
      <w:r w:rsidR="00D01DBC">
        <w:t xml:space="preserve"> class and </w:t>
      </w:r>
      <w:r w:rsidR="00BA292D">
        <w:t xml:space="preserve">once they have transitioned out of the </w:t>
      </w:r>
      <w:r w:rsidR="00916C7F">
        <w:t>Parent</w:t>
      </w:r>
      <w:r w:rsidR="00A53A6E">
        <w:t>ing</w:t>
      </w:r>
      <w:r w:rsidR="00BA292D">
        <w:t xml:space="preserve"> class.</w:t>
      </w:r>
    </w:p>
    <w:p w14:paraId="748783DF" w14:textId="77777777" w:rsidR="00D3305D" w:rsidRDefault="00D3305D" w:rsidP="001A4479">
      <w:pPr>
        <w:pStyle w:val="Bullet1"/>
        <w:numPr>
          <w:ilvl w:val="0"/>
          <w:numId w:val="39"/>
        </w:numPr>
      </w:pPr>
      <w:r w:rsidRPr="00EC326F">
        <w:t>A lower long term unemployment rate assumption, which reduces the projected future duration on income support (particularly working age benefits).</w:t>
      </w:r>
    </w:p>
    <w:p w14:paraId="0DDAE8F7" w14:textId="19279378" w:rsidR="00395D37" w:rsidRPr="00EC326F" w:rsidRDefault="007C07DB" w:rsidP="001A4479">
      <w:pPr>
        <w:pStyle w:val="Bullet1"/>
        <w:numPr>
          <w:ilvl w:val="0"/>
          <w:numId w:val="39"/>
        </w:numPr>
      </w:pPr>
      <w:r>
        <w:t>Policy changes to FTB and child care have had a decreasing impact on the average size for family supplements.</w:t>
      </w:r>
      <w:r w:rsidR="005E5F09">
        <w:t xml:space="preserve"> </w:t>
      </w:r>
      <w:r w:rsidR="00395D37">
        <w:t xml:space="preserve">The more refined modelling of the utilisation of FTB, family and new parents payments has contributed to the increased contribution of family supplements to the lifetime cost. The new models are better able to reflect </w:t>
      </w:r>
      <w:r w:rsidR="004E3B38">
        <w:t>people</w:t>
      </w:r>
      <w:r w:rsidR="003D3972">
        <w:t>’</w:t>
      </w:r>
      <w:r w:rsidR="004E3B38">
        <w:t xml:space="preserve">s </w:t>
      </w:r>
      <w:r w:rsidR="00395D37">
        <w:t>specific family composition</w:t>
      </w:r>
      <w:r w:rsidR="004E3B38">
        <w:t>.</w:t>
      </w:r>
      <w:r w:rsidR="00395D37">
        <w:t xml:space="preserve"> </w:t>
      </w:r>
    </w:p>
    <w:p w14:paraId="22281563" w14:textId="77777777" w:rsidR="00F7320D" w:rsidRPr="00EC326F" w:rsidRDefault="00F7320D" w:rsidP="00F7320D">
      <w:pPr>
        <w:pStyle w:val="Minorheading"/>
      </w:pPr>
      <w:r w:rsidRPr="00EC326F">
        <w:lastRenderedPageBreak/>
        <w:t>Future outcomes</w:t>
      </w:r>
    </w:p>
    <w:p w14:paraId="76C93FA4" w14:textId="77777777" w:rsidR="00F7320D" w:rsidRPr="00EC326F" w:rsidRDefault="00F7320D" w:rsidP="00716FF0">
      <w:pPr>
        <w:pStyle w:val="PwCNormal-keepwithnext"/>
      </w:pPr>
      <w:r w:rsidRPr="00EC326F">
        <w:t xml:space="preserve">In developing the valuation results the projection model also produces information on the expected transitions for people out of each class, as shown below. </w:t>
      </w:r>
    </w:p>
    <w:p w14:paraId="219B7E20" w14:textId="77777777" w:rsidR="00F7320D" w:rsidRPr="00EC326F" w:rsidRDefault="00F7320D" w:rsidP="00F7320D">
      <w:pPr>
        <w:pStyle w:val="Caption"/>
      </w:pPr>
      <w:r w:rsidRPr="00EC326F">
        <w:t xml:space="preserve">Figure </w:t>
      </w:r>
      <w:fldSimple w:instr=" SEQ Figure \* ARABIC ">
        <w:r w:rsidR="007A42DF">
          <w:rPr>
            <w:noProof/>
          </w:rPr>
          <w:t>46</w:t>
        </w:r>
      </w:fldSimple>
      <w:r w:rsidRPr="00EC326F">
        <w:t>: Expected future trajectory for people in Class 3</w:t>
      </w:r>
    </w:p>
    <w:tbl>
      <w:tblPr>
        <w:tblStyle w:val="Tables-APBase"/>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3&#10;"/>
        <w:tblDescription w:val="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is chart includes the 437,000 individuals who were in the parenting class at 30 June 2016.&#10;&#10;By 2026, approximately 20% of this group are still expected to be in the parenting class. Most of those who transition away from the parenting class by 2026 are expected to move to the non-income support family, working age or previous welfare recipient class at this point. Transitions of this group into the pension age class start to become significant from around 2036 and by 2058, more than 50% of this group are expected to be in the pension age class. &#10;&#10;The features shown in the chart are discussed further in the accompanying text within the report.&#10;"/>
      </w:tblPr>
      <w:tblGrid>
        <w:gridCol w:w="6478"/>
        <w:gridCol w:w="2923"/>
      </w:tblGrid>
      <w:tr w:rsidR="00F7320D" w:rsidRPr="00EC326F" w14:paraId="673A4082" w14:textId="77777777" w:rsidTr="009C6553">
        <w:trPr>
          <w:tblHeader/>
        </w:trPr>
        <w:tc>
          <w:tcPr>
            <w:tcW w:w="6663" w:type="dxa"/>
            <w:hideMark/>
          </w:tcPr>
          <w:p w14:paraId="65425BBA" w14:textId="77777777" w:rsidR="00F7320D" w:rsidRPr="00EC326F" w:rsidRDefault="00BF3343">
            <w:pPr>
              <w:pStyle w:val="TableTextSmall"/>
            </w:pPr>
            <w:r w:rsidRPr="00EC326F">
              <w:rPr>
                <w:noProof/>
                <w:lang w:eastAsia="en-AU"/>
              </w:rPr>
              <w:drawing>
                <wp:inline distT="0" distB="0" distL="0" distR="0" wp14:anchorId="03052EBA" wp14:editId="39A1D670">
                  <wp:extent cx="3971614" cy="2160000"/>
                  <wp:effectExtent l="0" t="0" r="0" b="0"/>
                  <wp:docPr id="411" name="Picture 411" descr="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is chart includes the 437,000 individuals who were in the parenting class at 30 June 2016.&#10;&#10;By 2026, approximately 20% of this group are still expected to be in the parenting class. Most of those who transition away from the parenting class by 2026 are expected to move to the non-income support family, working age or previous welfare recipient class at this point. Transitions of this group into the pension age class start to become significant from around 2036 and by 2058, more than 50% of this group are expected to be in the pension age class. &#10;&#10;The features shown in the chart are discussed further in the accompanying text within the report.&#10;" title=" Expected future trajectory for people in Clas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71614" cy="2160000"/>
                          </a:xfrm>
                          <a:prstGeom prst="rect">
                            <a:avLst/>
                          </a:prstGeom>
                          <a:noFill/>
                          <a:ln>
                            <a:noFill/>
                          </a:ln>
                        </pic:spPr>
                      </pic:pic>
                    </a:graphicData>
                  </a:graphic>
                </wp:inline>
              </w:drawing>
            </w:r>
          </w:p>
        </w:tc>
        <w:tc>
          <w:tcPr>
            <w:tcW w:w="3003" w:type="dxa"/>
          </w:tcPr>
          <w:p w14:paraId="3DC5E110" w14:textId="77777777" w:rsidR="00F7320D" w:rsidRPr="00EC326F" w:rsidRDefault="00F7320D">
            <w:pPr>
              <w:pStyle w:val="TableTextSmall"/>
            </w:pPr>
          </w:p>
          <w:p w14:paraId="6B57EB44" w14:textId="77777777" w:rsidR="00F7320D" w:rsidRPr="00EC326F" w:rsidRDefault="00F7320D">
            <w:pPr>
              <w:pStyle w:val="TableTextSmall"/>
            </w:pPr>
            <w:r w:rsidRPr="00EC326F">
              <w:rPr>
                <w:noProof/>
                <w:lang w:eastAsia="en-AU"/>
              </w:rPr>
              <w:drawing>
                <wp:inline distT="0" distB="0" distL="0" distR="0" wp14:anchorId="006EDC84" wp14:editId="0EBF38E8">
                  <wp:extent cx="1439545" cy="1591945"/>
                  <wp:effectExtent l="0" t="0" r="8255" b="0"/>
                  <wp:docPr id="3136" name="Picture 3136" descr="Class key: studying, working age, parents, carers, disability support, pension age, non-income support family, non-income support carer, non-income support other, previous welfare recipient, rest of the Australian population and dead. " title="Class key for Figure 46"/>
                  <wp:cNvGraphicFramePr/>
                  <a:graphic xmlns:a="http://schemas.openxmlformats.org/drawingml/2006/main">
                    <a:graphicData uri="http://schemas.openxmlformats.org/drawingml/2006/picture">
                      <pic:pic xmlns:pic="http://schemas.openxmlformats.org/drawingml/2006/picture">
                        <pic:nvPicPr>
                          <pic:cNvPr id="3144" name="Picture 3144" descr="Class keys: studying, working age, parents, carers, disability support, pension age, non-income support family, non-income support carer, non-income support other, previous welfare recipient, rest of the Australian population and dead. " title="Payment class key for Figure 4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26E98258" w14:textId="77777777" w:rsidR="00F7320D" w:rsidRPr="00EC326F" w:rsidRDefault="00F7320D">
            <w:pPr>
              <w:pStyle w:val="TableTextSmall"/>
            </w:pPr>
          </w:p>
        </w:tc>
      </w:tr>
    </w:tbl>
    <w:p w14:paraId="40C9B390" w14:textId="77777777" w:rsidR="00F7320D" w:rsidRPr="00EC326F" w:rsidRDefault="00F7320D" w:rsidP="00F7320D">
      <w:pPr>
        <w:pStyle w:val="PwCNormal"/>
        <w:numPr>
          <w:ilvl w:val="0"/>
          <w:numId w:val="0"/>
        </w:numPr>
      </w:pPr>
      <w:r w:rsidRPr="00EC326F">
        <w:t xml:space="preserve">We can see the expectations are that: </w:t>
      </w:r>
    </w:p>
    <w:p w14:paraId="14FA6A37" w14:textId="77777777" w:rsidR="00F7320D" w:rsidRPr="00EC326F" w:rsidRDefault="00F7320D" w:rsidP="001A4479">
      <w:pPr>
        <w:pStyle w:val="Bullet1"/>
        <w:numPr>
          <w:ilvl w:val="0"/>
          <w:numId w:val="42"/>
        </w:numPr>
      </w:pPr>
      <w:r w:rsidRPr="00EC326F">
        <w:t>There is a steady reduction in numbers of current parenting payment recipients remaining on those payments.</w:t>
      </w:r>
    </w:p>
    <w:p w14:paraId="65C97DB8" w14:textId="77777777" w:rsidR="00F7320D" w:rsidRPr="00EC326F" w:rsidRDefault="00F7320D" w:rsidP="001A4479">
      <w:pPr>
        <w:pStyle w:val="Bullet2"/>
        <w:numPr>
          <w:ilvl w:val="1"/>
          <w:numId w:val="42"/>
        </w:numPr>
      </w:pPr>
      <w:r w:rsidRPr="00EC326F">
        <w:t>Most of the reduction takes place over the next 10 years</w:t>
      </w:r>
    </w:p>
    <w:p w14:paraId="7DE8EF74" w14:textId="77777777" w:rsidR="00F7320D" w:rsidRPr="00EC326F" w:rsidRDefault="00F7320D" w:rsidP="001A4479">
      <w:pPr>
        <w:pStyle w:val="Bullet2"/>
        <w:numPr>
          <w:ilvl w:val="1"/>
          <w:numId w:val="42"/>
        </w:numPr>
      </w:pPr>
      <w:r w:rsidRPr="00EC326F">
        <w:t>This is related to the current and future family composition of the people in this class and specifically the link between parenting payment eligibility and the age of a person’s youngest child.</w:t>
      </w:r>
    </w:p>
    <w:p w14:paraId="6C373FC1" w14:textId="77777777" w:rsidR="00F7320D" w:rsidRPr="00EC326F" w:rsidRDefault="00F7320D" w:rsidP="001A4479">
      <w:pPr>
        <w:pStyle w:val="Bullet1"/>
        <w:numPr>
          <w:ilvl w:val="0"/>
          <w:numId w:val="42"/>
        </w:numPr>
      </w:pPr>
      <w:r w:rsidRPr="00EC326F">
        <w:t>As people exit this class a significant proportion move first to the Non IS Family class (i.e. they receive only FTB or child care payments).</w:t>
      </w:r>
    </w:p>
    <w:p w14:paraId="1E95D0D1" w14:textId="77777777" w:rsidR="00F7320D" w:rsidRPr="00EC326F" w:rsidRDefault="00F7320D" w:rsidP="001A4479">
      <w:pPr>
        <w:pStyle w:val="Bullet1"/>
        <w:numPr>
          <w:ilvl w:val="0"/>
          <w:numId w:val="42"/>
        </w:numPr>
      </w:pPr>
      <w:r w:rsidRPr="00EC326F">
        <w:t>30</w:t>
      </w:r>
      <w:r w:rsidR="00707822" w:rsidRPr="00EC326F">
        <w:t>-40</w:t>
      </w:r>
      <w:r w:rsidRPr="00EC326F">
        <w:t>% of people currently in the class will move into another income support class when they exit parenting payment. The most common next income support destination is working age, followed by carer or DSP.</w:t>
      </w:r>
    </w:p>
    <w:p w14:paraId="7478A595" w14:textId="77777777" w:rsidR="00F7320D" w:rsidRPr="00EC326F" w:rsidRDefault="00F7320D" w:rsidP="001A4479">
      <w:pPr>
        <w:pStyle w:val="Bullet1"/>
        <w:numPr>
          <w:ilvl w:val="0"/>
          <w:numId w:val="42"/>
        </w:numPr>
      </w:pPr>
      <w:r w:rsidRPr="00EC326F">
        <w:t>After 35 years, around 55% of the original group are projected to be on some form of income support payment</w:t>
      </w:r>
    </w:p>
    <w:p w14:paraId="53754628" w14:textId="77777777" w:rsidR="00F7320D" w:rsidRPr="00EC326F" w:rsidRDefault="00F7320D" w:rsidP="00F7320D">
      <w:pPr>
        <w:pStyle w:val="Minorheading"/>
      </w:pPr>
      <w:r w:rsidRPr="00EC326F">
        <w:t>Duration</w:t>
      </w:r>
    </w:p>
    <w:p w14:paraId="55113E47" w14:textId="77777777" w:rsidR="00F7320D" w:rsidRPr="00EC326F" w:rsidRDefault="00F7320D" w:rsidP="001A4479">
      <w:pPr>
        <w:pStyle w:val="PwCNormal"/>
        <w:numPr>
          <w:ilvl w:val="0"/>
          <w:numId w:val="37"/>
        </w:numPr>
      </w:pPr>
      <w:r w:rsidRPr="00EC326F">
        <w:t xml:space="preserve">The average future life expectancy for the Parents class is </w:t>
      </w:r>
      <w:r w:rsidR="00BF3343" w:rsidRPr="00EC326F">
        <w:rPr>
          <w:b/>
        </w:rPr>
        <w:t>57</w:t>
      </w:r>
      <w:r w:rsidRPr="00EC326F">
        <w:t xml:space="preserve"> years. This reflects that the age profile of this class is well distributed across the ages 20 to 50.</w:t>
      </w:r>
    </w:p>
    <w:p w14:paraId="118F0A27" w14:textId="77777777" w:rsidR="00F7320D" w:rsidRPr="00EC326F" w:rsidRDefault="00F7320D" w:rsidP="00F7320D">
      <w:pPr>
        <w:pStyle w:val="PwCNormal"/>
        <w:numPr>
          <w:ilvl w:val="0"/>
          <w:numId w:val="0"/>
        </w:numPr>
      </w:pPr>
      <w:r w:rsidRPr="00EC326F">
        <w:t>The table below provides a summary of the expected welfare system use of people currently in this class over this time. This has been developed by considering which classes people move into as they move through the welfare system over their lives.</w:t>
      </w:r>
    </w:p>
    <w:p w14:paraId="37854446" w14:textId="77777777" w:rsidR="00F7320D" w:rsidRPr="002A0A1A" w:rsidRDefault="00F7320D" w:rsidP="00F7320D">
      <w:pPr>
        <w:pStyle w:val="Caption"/>
      </w:pPr>
      <w:r w:rsidRPr="00EC326F">
        <w:t xml:space="preserve">Table </w:t>
      </w:r>
      <w:fldSimple w:instr=" SEQ Table \* ARABIC ">
        <w:r w:rsidR="007A42DF">
          <w:rPr>
            <w:noProof/>
          </w:rPr>
          <w:t>31</w:t>
        </w:r>
      </w:fldSimple>
      <w:r w:rsidRPr="00EC326F">
        <w:t>: Expected durations in welfare system for people currently in Class 3</w:t>
      </w:r>
    </w:p>
    <w:tbl>
      <w:tblPr>
        <w:tblStyle w:val="ListTable3-Accent61"/>
        <w:tblW w:w="8868" w:type="dxa"/>
        <w:tblInd w:w="108" w:type="dxa"/>
        <w:tblLook w:val="04A0" w:firstRow="1" w:lastRow="0" w:firstColumn="1" w:lastColumn="0" w:noHBand="0" w:noVBand="1"/>
        <w:tblCaption w:val=" Expected durations in welfare system for people currently in Class 3&#10;&#10;"/>
        <w:tblDescription w:val="This table provides data on the expected number of years that people currently in Class 3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3 is 57 years. &#10;&#10;People in Class 3 are expected to receive some form of income support payment (excluding the age pension) for 19 years, 33% of their future lifetime. It is expected that they will receive the age pension for 17 years (31% of their future lifetime), non-income support payments only for 6 years (11% of their lifetime) and no welfare payments for 14 years (25% of their lifetime).&#10;"/>
      </w:tblPr>
      <w:tblGrid>
        <w:gridCol w:w="3828"/>
        <w:gridCol w:w="2520"/>
        <w:gridCol w:w="2520"/>
      </w:tblGrid>
      <w:tr w:rsidR="00F7320D" w:rsidRPr="00EC326F" w14:paraId="5A4A06D7"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4" w:space="0" w:color="E0301E" w:themeColor="accent6"/>
              <w:left w:val="single" w:sz="4" w:space="0" w:color="E0301E" w:themeColor="accent6"/>
            </w:tcBorders>
          </w:tcPr>
          <w:p w14:paraId="0E98FD8F" w14:textId="77777777" w:rsidR="00F7320D" w:rsidRPr="00EC326F" w:rsidRDefault="00F7320D">
            <w:pPr>
              <w:pStyle w:val="TableTextSmall"/>
              <w:jc w:val="center"/>
              <w:rPr>
                <w:rFonts w:asciiTheme="majorHAnsi" w:hAnsiTheme="majorHAnsi"/>
                <w:color w:val="FFFFFF" w:themeColor="background1"/>
              </w:rPr>
            </w:pPr>
          </w:p>
        </w:tc>
        <w:tc>
          <w:tcPr>
            <w:tcW w:w="2520" w:type="dxa"/>
            <w:tcBorders>
              <w:top w:val="single" w:sz="4" w:space="0" w:color="E0301E" w:themeColor="accent6"/>
              <w:left w:val="nil"/>
              <w:bottom w:val="nil"/>
              <w:right w:val="nil"/>
            </w:tcBorders>
            <w:hideMark/>
          </w:tcPr>
          <w:p w14:paraId="1E441F68" w14:textId="77777777" w:rsidR="00F7320D" w:rsidRPr="00EC326F" w:rsidRDefault="00F7320D">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Expected Years</w:t>
            </w:r>
          </w:p>
        </w:tc>
        <w:tc>
          <w:tcPr>
            <w:tcW w:w="2520" w:type="dxa"/>
            <w:tcBorders>
              <w:top w:val="single" w:sz="4" w:space="0" w:color="E0301E" w:themeColor="accent6"/>
              <w:left w:val="nil"/>
              <w:bottom w:val="nil"/>
              <w:right w:val="single" w:sz="4" w:space="0" w:color="E0301E" w:themeColor="accent6"/>
            </w:tcBorders>
            <w:hideMark/>
          </w:tcPr>
          <w:p w14:paraId="3675A50F" w14:textId="77777777" w:rsidR="00F7320D" w:rsidRPr="00EC326F" w:rsidRDefault="00F7320D">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Proportion of Future Lifetime</w:t>
            </w:r>
          </w:p>
        </w:tc>
      </w:tr>
      <w:tr w:rsidR="00F7320D" w:rsidRPr="00EC326F" w14:paraId="58526243" w14:textId="77777777" w:rsidTr="00F73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64F55080" w14:textId="77777777" w:rsidR="00F7320D" w:rsidRPr="00EC326F" w:rsidRDefault="00F7320D">
            <w:pPr>
              <w:pStyle w:val="TableTextSmall"/>
            </w:pPr>
            <w:r w:rsidRPr="00EC326F">
              <w:t>Years with some income support payments:</w:t>
            </w:r>
          </w:p>
          <w:p w14:paraId="321E3C02" w14:textId="77777777" w:rsidR="00F7320D" w:rsidRPr="00EC326F" w:rsidRDefault="00F7320D" w:rsidP="001A4479">
            <w:pPr>
              <w:pStyle w:val="TableTextSmall"/>
              <w:numPr>
                <w:ilvl w:val="0"/>
                <w:numId w:val="43"/>
              </w:numPr>
            </w:pPr>
            <w:r w:rsidRPr="00EC326F">
              <w:t>Not aged pension (classes 1-5)</w:t>
            </w:r>
          </w:p>
          <w:p w14:paraId="4CF0D5B8" w14:textId="77777777" w:rsidR="00F7320D" w:rsidRPr="00EC326F" w:rsidRDefault="00F7320D" w:rsidP="001A4479">
            <w:pPr>
              <w:pStyle w:val="TableTextSmall"/>
              <w:numPr>
                <w:ilvl w:val="0"/>
                <w:numId w:val="43"/>
              </w:numPr>
            </w:pPr>
            <w:r w:rsidRPr="00EC326F">
              <w:t>Aged pension (class 6)</w:t>
            </w:r>
          </w:p>
        </w:tc>
        <w:tc>
          <w:tcPr>
            <w:tcW w:w="2520" w:type="dxa"/>
            <w:tcBorders>
              <w:left w:val="nil"/>
              <w:right w:val="nil"/>
            </w:tcBorders>
            <w:hideMark/>
          </w:tcPr>
          <w:p w14:paraId="4E43C823" w14:textId="77777777" w:rsidR="00F7320D" w:rsidRPr="00EC326F" w:rsidRDefault="00BF3343">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19</w:t>
            </w:r>
          </w:p>
          <w:p w14:paraId="1961CDD2" w14:textId="77777777" w:rsidR="00F7320D" w:rsidRPr="00EC326F" w:rsidRDefault="00F7320D">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17</w:t>
            </w:r>
          </w:p>
        </w:tc>
        <w:tc>
          <w:tcPr>
            <w:tcW w:w="2520" w:type="dxa"/>
            <w:tcBorders>
              <w:left w:val="nil"/>
              <w:right w:val="single" w:sz="4" w:space="0" w:color="E0301E" w:themeColor="accent6"/>
            </w:tcBorders>
            <w:hideMark/>
          </w:tcPr>
          <w:p w14:paraId="5821A25E" w14:textId="77777777" w:rsidR="00F7320D" w:rsidRPr="00EC326F" w:rsidRDefault="00F7320D">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3</w:t>
            </w:r>
            <w:r w:rsidR="00BF3343" w:rsidRPr="00EC326F">
              <w:t>3</w:t>
            </w:r>
            <w:r w:rsidRPr="00EC326F">
              <w:t>%</w:t>
            </w:r>
          </w:p>
          <w:p w14:paraId="1D5EC904" w14:textId="77777777" w:rsidR="00F7320D" w:rsidRPr="00EC326F" w:rsidRDefault="00BF3343">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31</w:t>
            </w:r>
            <w:r w:rsidR="00F7320D" w:rsidRPr="00EC326F">
              <w:t>%</w:t>
            </w:r>
          </w:p>
        </w:tc>
      </w:tr>
      <w:tr w:rsidR="00F7320D" w:rsidRPr="00EC326F" w14:paraId="043A3A51" w14:textId="77777777" w:rsidTr="00F7320D">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hideMark/>
          </w:tcPr>
          <w:p w14:paraId="6B908CF0" w14:textId="77777777" w:rsidR="00F7320D" w:rsidRPr="00EC326F" w:rsidRDefault="00F7320D">
            <w:pPr>
              <w:pStyle w:val="TableTextSmall"/>
            </w:pPr>
            <w:r w:rsidRPr="00EC326F">
              <w:t>Years with non-income support payments only</w:t>
            </w:r>
          </w:p>
        </w:tc>
        <w:tc>
          <w:tcPr>
            <w:tcW w:w="2520" w:type="dxa"/>
            <w:tcBorders>
              <w:top w:val="nil"/>
              <w:left w:val="nil"/>
              <w:bottom w:val="nil"/>
              <w:right w:val="nil"/>
            </w:tcBorders>
            <w:hideMark/>
          </w:tcPr>
          <w:p w14:paraId="237BC2E8" w14:textId="77777777" w:rsidR="00F7320D" w:rsidRPr="00EC326F" w:rsidRDefault="00F7320D">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6</w:t>
            </w:r>
          </w:p>
        </w:tc>
        <w:tc>
          <w:tcPr>
            <w:tcW w:w="2520" w:type="dxa"/>
            <w:tcBorders>
              <w:top w:val="nil"/>
              <w:left w:val="nil"/>
              <w:bottom w:val="nil"/>
              <w:right w:val="single" w:sz="4" w:space="0" w:color="E0301E" w:themeColor="accent6"/>
            </w:tcBorders>
            <w:hideMark/>
          </w:tcPr>
          <w:p w14:paraId="5DF11186" w14:textId="77777777" w:rsidR="00F7320D" w:rsidRPr="00EC326F" w:rsidRDefault="00F7320D">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11%</w:t>
            </w:r>
          </w:p>
        </w:tc>
      </w:tr>
      <w:tr w:rsidR="00F7320D" w:rsidRPr="00EC326F" w14:paraId="44310DF0" w14:textId="77777777" w:rsidTr="00F73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48DBF9D6" w14:textId="77777777" w:rsidR="00F7320D" w:rsidRPr="00EC326F" w:rsidRDefault="00F7320D">
            <w:pPr>
              <w:pStyle w:val="TableTextSmall"/>
            </w:pPr>
            <w:r w:rsidRPr="00EC326F">
              <w:t>Years not receiving any welfare payments</w:t>
            </w:r>
          </w:p>
        </w:tc>
        <w:tc>
          <w:tcPr>
            <w:tcW w:w="2520" w:type="dxa"/>
            <w:tcBorders>
              <w:left w:val="nil"/>
              <w:right w:val="nil"/>
            </w:tcBorders>
            <w:hideMark/>
          </w:tcPr>
          <w:p w14:paraId="3A0C5A5D" w14:textId="77777777" w:rsidR="00F7320D" w:rsidRPr="00EC326F" w:rsidRDefault="00F7320D">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14</w:t>
            </w:r>
          </w:p>
        </w:tc>
        <w:tc>
          <w:tcPr>
            <w:tcW w:w="2520" w:type="dxa"/>
            <w:tcBorders>
              <w:left w:val="nil"/>
              <w:right w:val="single" w:sz="4" w:space="0" w:color="E0301E" w:themeColor="accent6"/>
            </w:tcBorders>
            <w:hideMark/>
          </w:tcPr>
          <w:p w14:paraId="06F3708A" w14:textId="77777777" w:rsidR="00F7320D" w:rsidRPr="00EC326F" w:rsidRDefault="00F7320D">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25%</w:t>
            </w:r>
          </w:p>
        </w:tc>
      </w:tr>
      <w:tr w:rsidR="00F7320D" w:rsidRPr="00EC326F" w14:paraId="673039F9" w14:textId="77777777" w:rsidTr="00F7320D">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hideMark/>
          </w:tcPr>
          <w:p w14:paraId="28F085AF" w14:textId="77777777" w:rsidR="00F7320D" w:rsidRPr="00EC326F" w:rsidRDefault="00F7320D">
            <w:pPr>
              <w:pStyle w:val="TableTextSmall"/>
            </w:pPr>
            <w:r w:rsidRPr="00EC326F">
              <w:t>Total</w:t>
            </w:r>
          </w:p>
        </w:tc>
        <w:tc>
          <w:tcPr>
            <w:tcW w:w="2520" w:type="dxa"/>
            <w:tcBorders>
              <w:top w:val="nil"/>
              <w:left w:val="nil"/>
              <w:bottom w:val="single" w:sz="4" w:space="0" w:color="E0301E" w:themeColor="accent6"/>
              <w:right w:val="nil"/>
            </w:tcBorders>
            <w:hideMark/>
          </w:tcPr>
          <w:p w14:paraId="2E4547B8" w14:textId="77777777" w:rsidR="00F7320D" w:rsidRPr="00EC326F" w:rsidRDefault="00BF3343">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57</w:t>
            </w:r>
          </w:p>
        </w:tc>
        <w:tc>
          <w:tcPr>
            <w:tcW w:w="2520" w:type="dxa"/>
            <w:tcBorders>
              <w:top w:val="nil"/>
              <w:left w:val="nil"/>
              <w:bottom w:val="single" w:sz="4" w:space="0" w:color="E0301E" w:themeColor="accent6"/>
              <w:right w:val="single" w:sz="4" w:space="0" w:color="E0301E" w:themeColor="accent6"/>
            </w:tcBorders>
            <w:hideMark/>
          </w:tcPr>
          <w:p w14:paraId="32DD19B6" w14:textId="77777777" w:rsidR="00F7320D" w:rsidRPr="00EC326F" w:rsidRDefault="00F7320D">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100%</w:t>
            </w:r>
          </w:p>
        </w:tc>
      </w:tr>
    </w:tbl>
    <w:p w14:paraId="402D0403" w14:textId="77777777" w:rsidR="00F7320D" w:rsidRPr="002A0A1A" w:rsidRDefault="00F7320D" w:rsidP="00716FF0">
      <w:pPr>
        <w:pStyle w:val="PwCNormal"/>
      </w:pPr>
    </w:p>
    <w:p w14:paraId="19FFB8EA" w14:textId="77777777" w:rsidR="000564EC" w:rsidRPr="002A0A1A" w:rsidRDefault="000564EC" w:rsidP="009C3B0C">
      <w:pPr>
        <w:kinsoku/>
        <w:overflowPunct/>
        <w:autoSpaceDE/>
        <w:autoSpaceDN/>
        <w:adjustRightInd/>
        <w:snapToGrid/>
      </w:pPr>
      <w:r w:rsidRPr="002A0A1A">
        <w:br w:type="page"/>
      </w:r>
    </w:p>
    <w:p w14:paraId="0265A9FA" w14:textId="77777777" w:rsidR="005846DC" w:rsidRPr="00EC326F" w:rsidRDefault="005846DC" w:rsidP="005846DC">
      <w:pPr>
        <w:pStyle w:val="Heading3"/>
      </w:pPr>
      <w:bookmarkStart w:id="395" w:name="_Toc493844260"/>
      <w:bookmarkStart w:id="396" w:name="_Ref437438733"/>
      <w:bookmarkStart w:id="397" w:name="_Toc455499425"/>
      <w:bookmarkStart w:id="398" w:name="_Toc455502446"/>
      <w:r w:rsidRPr="00EC326F">
        <w:lastRenderedPageBreak/>
        <w:t>Carers (Income Support)</w:t>
      </w:r>
      <w:bookmarkEnd w:id="395"/>
    </w:p>
    <w:p w14:paraId="11367B71" w14:textId="7911DCFA" w:rsidR="005846DC" w:rsidRPr="00EC326F" w:rsidRDefault="005846DC" w:rsidP="00C31B7E">
      <w:pPr>
        <w:pStyle w:val="PwCNormal"/>
      </w:pPr>
      <w:r w:rsidRPr="00EC326F">
        <w:t>This class includes people receiving the Carer Payment in 2015/16</w:t>
      </w:r>
      <w:r w:rsidR="00C31B7E" w:rsidRPr="00C31B7E">
        <w:t xml:space="preserve"> as their last income support payment. People receiving Carer Allowance only, an income supplement, are in the non-income</w:t>
      </w:r>
      <w:r w:rsidR="00AF3912">
        <w:t xml:space="preserve"> support carers class, Class 8.</w:t>
      </w:r>
    </w:p>
    <w:p w14:paraId="722A6A8D" w14:textId="77777777" w:rsidR="005846DC" w:rsidRPr="00EC326F" w:rsidRDefault="005846DC" w:rsidP="005846DC">
      <w:pPr>
        <w:pStyle w:val="Heading4"/>
      </w:pPr>
      <w:r w:rsidRPr="00EC326F">
        <w:t>What does the data tell us about Carers?</w:t>
      </w:r>
    </w:p>
    <w:p w14:paraId="6046A585" w14:textId="77777777" w:rsidR="005846DC" w:rsidRPr="00EC326F" w:rsidRDefault="005846DC" w:rsidP="005846DC">
      <w:pPr>
        <w:pStyle w:val="PwCNormal"/>
        <w:numPr>
          <w:ilvl w:val="0"/>
          <w:numId w:val="0"/>
        </w:numPr>
      </w:pPr>
      <w:r w:rsidRPr="00EC326F">
        <w:t>There were 271,541 people (3.4% of current welfare recipients) in the Carers class in the 2016 model population.</w:t>
      </w:r>
    </w:p>
    <w:p w14:paraId="1148DABA" w14:textId="77777777" w:rsidR="005846DC" w:rsidRPr="00EC326F" w:rsidRDefault="005846DC" w:rsidP="005846DC">
      <w:pPr>
        <w:pStyle w:val="PwCNormal"/>
        <w:numPr>
          <w:ilvl w:val="0"/>
          <w:numId w:val="0"/>
        </w:numPr>
      </w:pPr>
      <w:r w:rsidRPr="00EC326F">
        <w:t>The following chart shows a breakdown of the number of people in the Carers class by age and gender.</w:t>
      </w:r>
    </w:p>
    <w:p w14:paraId="32FBCB44" w14:textId="77777777" w:rsidR="005846DC" w:rsidRPr="00EC326F" w:rsidRDefault="005846DC" w:rsidP="005846DC">
      <w:pPr>
        <w:pStyle w:val="Caption"/>
      </w:pPr>
      <w:r w:rsidRPr="00EC326F">
        <w:t xml:space="preserve">Figure </w:t>
      </w:r>
      <w:fldSimple w:instr=" SEQ Figure \* ARABIC ">
        <w:r w:rsidR="007A42DF">
          <w:rPr>
            <w:noProof/>
          </w:rPr>
          <w:t>47</w:t>
        </w:r>
      </w:fldSimple>
      <w:r w:rsidRPr="00EC326F">
        <w:t>: 2016 profile of people in Class 4 – Carers (age/gender)</w:t>
      </w:r>
    </w:p>
    <w:tbl>
      <w:tblPr>
        <w:tblStyle w:val="Tables-APBase"/>
        <w:tblW w:w="490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4 – Carers (age/gender)&#10;"/>
        <w:tblDescription w:val="This figure is a horizontal bar chart showing the number of people in the Carers class at Jun16 by age for males and females separately. The vertical axis shows age with the data shown ranging from 0 to 110. The horizontal axis shows the number of people ranging from 0 to 8,000. The number of males at each age are shown by the horizontal bars to the left of the vertical axis and the number of females at each age are shown by horizontal bars to the right.&#10;&#10;The chart is based on the 272,000 individuals who were in the carers (income support) class at 30 June 2016. &#10;&#10;The chart shows that the people in this class are predominately females aged between 20 and 70. The number of females peaks at approximately 5,800 at age 63. The number of males peaks at approximately 2,500 at age 63.&#10;"/>
      </w:tblPr>
      <w:tblGrid>
        <w:gridCol w:w="5954"/>
        <w:gridCol w:w="3261"/>
      </w:tblGrid>
      <w:tr w:rsidR="005846DC" w:rsidRPr="00EC326F" w14:paraId="7B1CCAC5" w14:textId="77777777" w:rsidTr="009C6553">
        <w:trPr>
          <w:tblHeader/>
        </w:trPr>
        <w:tc>
          <w:tcPr>
            <w:tcW w:w="5953" w:type="dxa"/>
          </w:tcPr>
          <w:p w14:paraId="00B1C44D"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1A32C931" wp14:editId="12D588F7">
                  <wp:extent cx="3371850" cy="2114550"/>
                  <wp:effectExtent l="0" t="0" r="0" b="0"/>
                  <wp:docPr id="318" name="Picture 318" descr="This figure is a horizontal bar chart showing the number of people in the Carers class at Jun16 by age for males and females separately. The vertical axis shows age with the data shown ranging from 0 to 110. The horizontal axis shows the number of people ranging from 0 to 8,000. The number of males at each age are shown by the horizontal bars to the left of the vertical axis and the number of females at each age are shown by horizontal bars to the right.&#10;&#10;The chart is based on the 272,000 individuals who were in the carers (income support) class at 30 June 2016. &#10;&#10;The chart shows that the people in this class are predominately females aged between 20 and 70. The number of females peaks at approximately 5,800 at age 63. The number of males peaks at approximately 2,500 at age 63.&#10;" title=" 2016 profile of people in Class 4 – Carers (age/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71850" cy="2114550"/>
                          </a:xfrm>
                          <a:prstGeom prst="rect">
                            <a:avLst/>
                          </a:prstGeom>
                          <a:noFill/>
                          <a:ln>
                            <a:noFill/>
                          </a:ln>
                        </pic:spPr>
                      </pic:pic>
                    </a:graphicData>
                  </a:graphic>
                </wp:inline>
              </w:drawing>
            </w:r>
          </w:p>
        </w:tc>
        <w:tc>
          <w:tcPr>
            <w:tcW w:w="3261" w:type="dxa"/>
          </w:tcPr>
          <w:p w14:paraId="758E9CA8" w14:textId="77777777" w:rsidR="005846DC" w:rsidRPr="00EC326F" w:rsidRDefault="005846DC" w:rsidP="005D6CEC">
            <w:pPr>
              <w:pStyle w:val="TableTextSmall"/>
              <w:keepNext/>
              <w:rPr>
                <w:lang w:eastAsia="en-AU"/>
              </w:rPr>
            </w:pPr>
          </w:p>
        </w:tc>
      </w:tr>
    </w:tbl>
    <w:p w14:paraId="1A9BDD95" w14:textId="77777777" w:rsidR="005846DC" w:rsidRPr="00EC326F" w:rsidRDefault="005846DC" w:rsidP="005846DC">
      <w:pPr>
        <w:pStyle w:val="PwCNormal"/>
        <w:numPr>
          <w:ilvl w:val="0"/>
          <w:numId w:val="0"/>
        </w:numPr>
      </w:pPr>
      <w:r w:rsidRPr="00EC326F">
        <w:t>This class included significantly more women than men. The numbers in the class increase by age up to pension age and then reduce as most retire; however there are material numbers of people in the Carers class who are above retirement age.</w:t>
      </w:r>
    </w:p>
    <w:p w14:paraId="689053E6" w14:textId="77777777" w:rsidR="005846DC" w:rsidRPr="00EC326F" w:rsidRDefault="005846DC" w:rsidP="005846DC">
      <w:pPr>
        <w:pStyle w:val="Minorheading"/>
      </w:pPr>
      <w:r w:rsidRPr="00EC326F">
        <w:t>Movements into this class</w:t>
      </w:r>
    </w:p>
    <w:p w14:paraId="03EF964B" w14:textId="77777777" w:rsidR="005846DC" w:rsidRPr="00EC326F" w:rsidRDefault="005846DC" w:rsidP="00EC326F">
      <w:pPr>
        <w:pStyle w:val="PwCNormal"/>
        <w:numPr>
          <w:ilvl w:val="0"/>
          <w:numId w:val="1"/>
        </w:numPr>
      </w:pPr>
      <w:r w:rsidRPr="00EC326F">
        <w:t xml:space="preserve">Over the last 3 years, an average of 40,600 people (around 15% of the people in this class) per annum enter this class from another welfare class or from outside the welfare system. The following charts show the breakdown of this by age, gender and previous class. </w:t>
      </w:r>
    </w:p>
    <w:p w14:paraId="196578C4" w14:textId="77777777" w:rsidR="005846DC" w:rsidRPr="00EC326F" w:rsidRDefault="005846DC" w:rsidP="005846DC">
      <w:pPr>
        <w:pStyle w:val="Caption"/>
      </w:pPr>
      <w:r w:rsidRPr="00EC326F">
        <w:t xml:space="preserve">Figure </w:t>
      </w:r>
      <w:fldSimple w:instr=" SEQ Figure \* ARABIC ">
        <w:r w:rsidR="007A42DF">
          <w:rPr>
            <w:noProof/>
          </w:rPr>
          <w:t>48</w:t>
        </w:r>
      </w:fldSimple>
      <w:r w:rsidRPr="00EC326F">
        <w:t>: Number of people entering Class 4 – Carers (annual average over last 3 years)</w:t>
      </w:r>
    </w:p>
    <w:tbl>
      <w:tblPr>
        <w:tblW w:w="4922" w:type="pct"/>
        <w:tblLayout w:type="fixed"/>
        <w:tblLook w:val="04A0" w:firstRow="1" w:lastRow="0" w:firstColumn="1" w:lastColumn="0" w:noHBand="0" w:noVBand="1"/>
        <w:tblCaption w:val=" Number of people entering Class 4 – Carers (annual average over last 3 years)"/>
        <w:tblDescription w:val="This text box contains two charts and a legend."/>
      </w:tblPr>
      <w:tblGrid>
        <w:gridCol w:w="4627"/>
        <w:gridCol w:w="4627"/>
      </w:tblGrid>
      <w:tr w:rsidR="005846DC" w:rsidRPr="00EC326F" w14:paraId="3C15E862" w14:textId="77777777" w:rsidTr="001B43B4">
        <w:trPr>
          <w:tblHeader/>
        </w:trPr>
        <w:tc>
          <w:tcPr>
            <w:tcW w:w="4627" w:type="dxa"/>
          </w:tcPr>
          <w:p w14:paraId="64D6AF8C" w14:textId="77777777" w:rsidR="005846DC" w:rsidRPr="00EC326F" w:rsidRDefault="005846DC" w:rsidP="000D6C29">
            <w:pPr>
              <w:pStyle w:val="TableTextSmall"/>
              <w:keepNext/>
              <w:jc w:val="center"/>
              <w:rPr>
                <w:b/>
                <w:i/>
              </w:rPr>
            </w:pPr>
            <w:r w:rsidRPr="00EC326F">
              <w:rPr>
                <w:b/>
                <w:i/>
              </w:rPr>
              <w:t>Males</w:t>
            </w:r>
          </w:p>
        </w:tc>
        <w:tc>
          <w:tcPr>
            <w:tcW w:w="4627" w:type="dxa"/>
          </w:tcPr>
          <w:p w14:paraId="1B197E7B" w14:textId="77777777" w:rsidR="005846DC" w:rsidRPr="00EC326F" w:rsidRDefault="005846DC" w:rsidP="000D6C29">
            <w:pPr>
              <w:pStyle w:val="TableTextSmall"/>
              <w:keepNext/>
              <w:jc w:val="center"/>
              <w:rPr>
                <w:b/>
                <w:i/>
              </w:rPr>
            </w:pPr>
            <w:r w:rsidRPr="00EC326F">
              <w:rPr>
                <w:b/>
                <w:i/>
              </w:rPr>
              <w:t>Females</w:t>
            </w:r>
          </w:p>
        </w:tc>
      </w:tr>
      <w:tr w:rsidR="005846DC" w:rsidRPr="00EC326F" w14:paraId="6FAABD02" w14:textId="77777777" w:rsidTr="00303F34">
        <w:tc>
          <w:tcPr>
            <w:tcW w:w="4627" w:type="dxa"/>
          </w:tcPr>
          <w:p w14:paraId="2F80DE2E"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75913798" wp14:editId="09D20084">
                  <wp:extent cx="3009900" cy="1876425"/>
                  <wp:effectExtent l="0" t="0" r="0" b="9525"/>
                  <wp:docPr id="319" name="Picture 319" descr="This figure contains two area charts. The vertical axis on both charts displays the cumulative number of entrants into the Carers class, and ranges from 0 to 1,000. For both charts the horizontal axis shows age ranging from 0 to 110. &#10;&#10;The chart on the left shows the average number of male entrants over the period from June 2014 to June 2016, split by class prior to entry.&#10;&#10;Both area charts show the cumulative number of entrants split by class prior to entry to the Carers class; 1 Studying, 2 Working Age, 3 Parents, 5 Disability Support, 6 Pension Age, 7 Non-IS Family, 8 Non-IS Carer, 9 Non-IS Other, 10 Previous Welfare Recipient and 12 Rest of the Australian Population.&#10;&#10;The left chart shows that the majority of male entrants come from Class 2 Working Age, Class 10 Previous Welfare Recipient or Class 12 Rest of the Australian Population. The number of male entrants is around 200 for each age group between 18 and 36. It then increases with age before peaking at age 64 where there around 370 entrants. &#10;&#10;After age 64 there are a small number of male and female entrants from Class 6 Pension Age. &#10;&#10;Further discussion of the key features shown in the chart can be found in the accompanying text within the report.&#10;" title=" Number of people entering Class 4 – Carers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627" w:type="dxa"/>
          </w:tcPr>
          <w:p w14:paraId="7DD857BC"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5314C8B0" wp14:editId="4348D664">
                  <wp:extent cx="3009900" cy="1876425"/>
                  <wp:effectExtent l="0" t="0" r="0" b="9525"/>
                  <wp:docPr id="3072" name="Picture 3072" descr="The chart on the right shows the average number of female entrants over the period from June 2014 to June 2016, split by class prior to entry. &#10;&#10;The chart on the right shows that there are relatively more females entrants across all ages compared to males. The number of female entrants at age 20 is around 290 and increases steadily with age before peaking at age 60 where there around 750 entrants. The majority of female entrants come from Class 2 Working Age, Class 3 Parents, Class 8 Non IS Carers and the Non Client Classes 10 &amp; 12.&#10;&#10;After age 64 there are a small number of male and female entrants from Class 6 Pension Age. &#10;" title=" Number of people entering Class 4 – Carers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6C41DC37" w14:textId="35AA2550" w:rsidR="00303F34" w:rsidRDefault="00303F34" w:rsidP="0081675B">
      <w:pPr>
        <w:pStyle w:val="PwCNormal"/>
        <w:numPr>
          <w:ilvl w:val="0"/>
          <w:numId w:val="1"/>
        </w:numPr>
        <w:jc w:val="center"/>
      </w:pPr>
      <w:r w:rsidRPr="00EC326F">
        <w:rPr>
          <w:noProof/>
          <w:lang w:eastAsia="en-AU"/>
        </w:rPr>
        <w:drawing>
          <wp:inline distT="0" distB="0" distL="0" distR="0" wp14:anchorId="5B66474D" wp14:editId="7DCA3B9F">
            <wp:extent cx="5385600" cy="468000"/>
            <wp:effectExtent l="0" t="0" r="0" b="8255"/>
            <wp:docPr id="306" name="Picture 306" descr="Class key: studying, working age, parents, carers, disability support, pension age, non-income support family, non-income support carer, non-income support other, previous welfare recipient, rest of the Australian population and dead. &#10;" title="Class Key for 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7F6C8E78" w14:textId="6AA06EED" w:rsidR="005846DC" w:rsidRPr="002A0A1A" w:rsidRDefault="005846DC" w:rsidP="005846DC">
      <w:pPr>
        <w:pStyle w:val="PwCNormal"/>
        <w:numPr>
          <w:ilvl w:val="0"/>
          <w:numId w:val="1"/>
        </w:numPr>
      </w:pPr>
      <w:r w:rsidRPr="00EC326F">
        <w:t xml:space="preserve">We can see that people in this class primarily came from another income support class, in particular from Working Age or, for women, Parents. A material proportion also enter this class having previously </w:t>
      </w:r>
      <w:r w:rsidRPr="00EC326F">
        <w:lastRenderedPageBreak/>
        <w:t xml:space="preserve">been in the </w:t>
      </w:r>
      <w:r w:rsidR="00916C7F">
        <w:t>N</w:t>
      </w:r>
      <w:r w:rsidRPr="00EC326F">
        <w:t>on-</w:t>
      </w:r>
      <w:r w:rsidR="00916C7F">
        <w:t>I</w:t>
      </w:r>
      <w:r w:rsidRPr="00EC326F">
        <w:t xml:space="preserve">ncome </w:t>
      </w:r>
      <w:r w:rsidR="00916C7F">
        <w:t>S</w:t>
      </w:r>
      <w:r w:rsidRPr="00EC326F">
        <w:t xml:space="preserve">upport </w:t>
      </w:r>
      <w:r w:rsidR="00916C7F">
        <w:t>C</w:t>
      </w:r>
      <w:r w:rsidRPr="00EC326F">
        <w:t>arers class. As age increases, a larger proportion of people (re-)enter the welfare system directly into this class.</w:t>
      </w:r>
    </w:p>
    <w:p w14:paraId="02A2A0A3" w14:textId="77777777" w:rsidR="005846DC" w:rsidRPr="00EC326F" w:rsidRDefault="005846DC" w:rsidP="005846DC">
      <w:pPr>
        <w:pStyle w:val="Minorheading"/>
      </w:pPr>
      <w:r w:rsidRPr="00EC326F">
        <w:t>Movements out of this class</w:t>
      </w:r>
    </w:p>
    <w:p w14:paraId="33F93740" w14:textId="77777777" w:rsidR="005846DC" w:rsidRPr="00EC326F" w:rsidRDefault="005846DC" w:rsidP="005846DC">
      <w:pPr>
        <w:pStyle w:val="PwCNormal"/>
        <w:numPr>
          <w:ilvl w:val="0"/>
          <w:numId w:val="1"/>
        </w:numPr>
      </w:pPr>
      <w:r w:rsidRPr="00EC326F">
        <w:t xml:space="preserve">Over the last 3 years, an average of 30,100 people (12%) per annum have transitioned out of the income support Carers class. </w:t>
      </w:r>
      <w:r w:rsidR="008E7789" w:rsidRPr="00EC326F">
        <w:t xml:space="preserve">As this is consistently less than the number of entrants it is not surprising that the class is growing. </w:t>
      </w:r>
      <w:r w:rsidRPr="00EC326F">
        <w:t xml:space="preserve">The following charts show the breakdown of this by age, gender and destination class. </w:t>
      </w:r>
    </w:p>
    <w:p w14:paraId="7AC96844" w14:textId="77777777" w:rsidR="005846DC" w:rsidRPr="00EC326F" w:rsidRDefault="005846DC" w:rsidP="005846DC">
      <w:pPr>
        <w:pStyle w:val="Caption"/>
      </w:pPr>
      <w:r w:rsidRPr="00EC326F">
        <w:t xml:space="preserve">Figure </w:t>
      </w:r>
      <w:fldSimple w:instr=" SEQ Figure \* ARABIC ">
        <w:r w:rsidR="007A42DF">
          <w:rPr>
            <w:noProof/>
          </w:rPr>
          <w:t>49</w:t>
        </w:r>
      </w:fldSimple>
      <w:r w:rsidRPr="00EC326F">
        <w:t>: Number of people leaving Class 4 – Carers (annual average over last 3 years)</w:t>
      </w:r>
    </w:p>
    <w:tbl>
      <w:tblPr>
        <w:tblW w:w="4922" w:type="pct"/>
        <w:tblLayout w:type="fixed"/>
        <w:tblLook w:val="04A0" w:firstRow="1" w:lastRow="0" w:firstColumn="1" w:lastColumn="0" w:noHBand="0" w:noVBand="1"/>
        <w:tblCaption w:val=" Number of people leaving Class 4 – Carers (annual average over last 3 years)"/>
        <w:tblDescription w:val="This text box contains two charts and a legend."/>
      </w:tblPr>
      <w:tblGrid>
        <w:gridCol w:w="4627"/>
        <w:gridCol w:w="4627"/>
      </w:tblGrid>
      <w:tr w:rsidR="005846DC" w:rsidRPr="00EC326F" w14:paraId="59C611E2" w14:textId="77777777" w:rsidTr="008238CE">
        <w:trPr>
          <w:tblHeader/>
        </w:trPr>
        <w:tc>
          <w:tcPr>
            <w:tcW w:w="4627" w:type="dxa"/>
          </w:tcPr>
          <w:p w14:paraId="1BB1FDA1" w14:textId="77777777" w:rsidR="005846DC" w:rsidRPr="00EC326F" w:rsidRDefault="005846DC" w:rsidP="000D6C29">
            <w:pPr>
              <w:pStyle w:val="TableTextSmall"/>
              <w:keepNext/>
              <w:jc w:val="center"/>
              <w:rPr>
                <w:b/>
                <w:i/>
              </w:rPr>
            </w:pPr>
            <w:r w:rsidRPr="00EC326F">
              <w:rPr>
                <w:b/>
                <w:i/>
              </w:rPr>
              <w:t>Males</w:t>
            </w:r>
          </w:p>
        </w:tc>
        <w:tc>
          <w:tcPr>
            <w:tcW w:w="4627" w:type="dxa"/>
          </w:tcPr>
          <w:p w14:paraId="165BC5F5" w14:textId="77777777" w:rsidR="005846DC" w:rsidRPr="00EC326F" w:rsidRDefault="005846DC" w:rsidP="000D6C29">
            <w:pPr>
              <w:pStyle w:val="TableTextSmall"/>
              <w:keepNext/>
              <w:jc w:val="center"/>
              <w:rPr>
                <w:b/>
                <w:i/>
              </w:rPr>
            </w:pPr>
            <w:r w:rsidRPr="00EC326F">
              <w:rPr>
                <w:b/>
                <w:i/>
              </w:rPr>
              <w:t>Females</w:t>
            </w:r>
          </w:p>
        </w:tc>
      </w:tr>
      <w:tr w:rsidR="005846DC" w:rsidRPr="00EC326F" w14:paraId="2805E9A2" w14:textId="77777777" w:rsidTr="008238CE">
        <w:tc>
          <w:tcPr>
            <w:tcW w:w="4627" w:type="dxa"/>
          </w:tcPr>
          <w:p w14:paraId="1EA8E8B0"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2356D421" wp14:editId="0A885C55">
                  <wp:extent cx="3009900" cy="1885950"/>
                  <wp:effectExtent l="0" t="0" r="0" b="0"/>
                  <wp:docPr id="3076" name="Picture 3076" descr="This figure contains two area charts showing the cumulative number of exits from the Carers class by age. The age profile of male and female exits is shown separately. For both charts the horizontal axis shows age at the start of the year ranging from 0 to 110 and the vertical exits shows the cumulative number of people exiting ranging from 0 to 2,000.&#10;&#10;The left hand chart shows the average number of males exiting the class over the period from June 2014 to June 2016, by age.&#10;&#10;Both area charts show the cumulative number of people who exited the Carers class split by class they subsequently transition to. These classes include; 1 Studying, 2 Working Age, 3 Parents, 5 Disability Support, 6 Pension Age, 7 Non-IS Family, 8 Non-IS Carer, 9 Non-IS Other, 10 Previous Welfare Recipient, 11 Dead and 12 Rest of the Australian Population.&#10;&#10;The left chart shows that the majority of males aged between 15 and 64 who exit move to Class 2 Working Age or Class 10 Previous Welfare Recipient, while almost all males aged 65 and older who exit move to Class 6 Pension Age. The number of males who exit rises slowly to around 210 at age 45, thereafter it stays consistent until age 65 where it spikes to around 800.&#10;&#10;Further discussion of the key features shown in the chart can be found in the accompanying text within the report.&#10;" title=" Number of people leaving Class 4 – Carers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9900" cy="1885950"/>
                          </a:xfrm>
                          <a:prstGeom prst="rect">
                            <a:avLst/>
                          </a:prstGeom>
                          <a:noFill/>
                          <a:ln>
                            <a:noFill/>
                          </a:ln>
                        </pic:spPr>
                      </pic:pic>
                    </a:graphicData>
                  </a:graphic>
                </wp:inline>
              </w:drawing>
            </w:r>
          </w:p>
        </w:tc>
        <w:tc>
          <w:tcPr>
            <w:tcW w:w="4627" w:type="dxa"/>
          </w:tcPr>
          <w:p w14:paraId="50F37CC1"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16AFF525" wp14:editId="2C4AD576">
                  <wp:extent cx="3009900" cy="1905000"/>
                  <wp:effectExtent l="0" t="0" r="0" b="0"/>
                  <wp:docPr id="3099" name="Picture 3099" descr="The right hand chart shows the average number of females exiting the class over the period from June 2014 to June 2016, by age.&#10;&#10;The right chart shows that the profile of females exiting the Carers Class is similar to that for males. However, there are between 50 and 800 (and an average of 200) more females exiting at each age compared to their male counterparts. The majority of females aged between 15 and 64 who exit move to Class 2 Working Age or Class 8 Non IS Carer, with a smaller amount moving to Class 3 Parents between ages 15 and 45, or moving to Class 10 Previous Welfare Recipient between ages 46 and 64. Females aged 65 and older who exit move almost exclusively to Class 6 Pension Age. The number of females who exit rises to around 550 at age 64, before spiking to around 1,600 exits at age 65 and declining quickly afterwards.&#10;" title=" Number of people leaving Class 4 – Carers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09900" cy="1905000"/>
                          </a:xfrm>
                          <a:prstGeom prst="rect">
                            <a:avLst/>
                          </a:prstGeom>
                          <a:noFill/>
                          <a:ln>
                            <a:noFill/>
                          </a:ln>
                        </pic:spPr>
                      </pic:pic>
                    </a:graphicData>
                  </a:graphic>
                </wp:inline>
              </w:drawing>
            </w:r>
          </w:p>
        </w:tc>
      </w:tr>
    </w:tbl>
    <w:p w14:paraId="403A9801" w14:textId="22E63728" w:rsidR="008238CE" w:rsidRDefault="008238CE" w:rsidP="0081675B">
      <w:pPr>
        <w:pStyle w:val="PwCNormal"/>
        <w:numPr>
          <w:ilvl w:val="0"/>
          <w:numId w:val="1"/>
        </w:numPr>
        <w:jc w:val="center"/>
      </w:pPr>
      <w:r w:rsidRPr="00EC326F">
        <w:rPr>
          <w:noProof/>
          <w:lang w:eastAsia="en-AU"/>
        </w:rPr>
        <w:drawing>
          <wp:inline distT="0" distB="0" distL="0" distR="0" wp14:anchorId="74DEB65F" wp14:editId="1F07473C">
            <wp:extent cx="5385600" cy="468000"/>
            <wp:effectExtent l="0" t="0" r="0" b="8255"/>
            <wp:docPr id="196" name="Picture 196" descr="Class key: studying, working age, parents, carers, disability support, pension age, non-income support family, non-income support carer, non-income support other, previous welfare recipient, rest of the Australian population and dead. &#10;" title="Class Key for Fig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389FF571" w14:textId="77E621B8" w:rsidR="005846DC" w:rsidRPr="00EC326F" w:rsidRDefault="005846DC" w:rsidP="005846DC">
      <w:pPr>
        <w:pStyle w:val="PwCNormal"/>
        <w:numPr>
          <w:ilvl w:val="0"/>
          <w:numId w:val="1"/>
        </w:numPr>
      </w:pPr>
      <w:r w:rsidRPr="00EC326F">
        <w:t xml:space="preserve">We can see that people in this class show </w:t>
      </w:r>
      <w:r w:rsidR="008E7789" w:rsidRPr="00EC326F">
        <w:t xml:space="preserve">more </w:t>
      </w:r>
      <w:r w:rsidRPr="00EC326F">
        <w:t xml:space="preserve">limited mobility. The main exits from the class are through retirement or movement to the </w:t>
      </w:r>
      <w:r w:rsidR="00916C7F">
        <w:t>W</w:t>
      </w:r>
      <w:r w:rsidRPr="00EC326F">
        <w:t xml:space="preserve">orking </w:t>
      </w:r>
      <w:r w:rsidR="00916C7F">
        <w:t>A</w:t>
      </w:r>
      <w:r w:rsidRPr="00EC326F">
        <w:t xml:space="preserve">ge class; only a small proportion of people from the class directly exit the welfare system. Some women also exit to the </w:t>
      </w:r>
      <w:r w:rsidR="00916C7F">
        <w:t>P</w:t>
      </w:r>
      <w:r w:rsidRPr="00EC326F">
        <w:t xml:space="preserve">arenting or </w:t>
      </w:r>
      <w:r w:rsidR="00916C7F">
        <w:t>N</w:t>
      </w:r>
      <w:r w:rsidRPr="00EC326F">
        <w:t>on-</w:t>
      </w:r>
      <w:r w:rsidR="00916C7F">
        <w:t>I</w:t>
      </w:r>
      <w:r w:rsidRPr="00EC326F">
        <w:t xml:space="preserve">ncome </w:t>
      </w:r>
      <w:r w:rsidR="00916C7F">
        <w:t>S</w:t>
      </w:r>
      <w:r w:rsidRPr="00EC326F">
        <w:t xml:space="preserve">upport </w:t>
      </w:r>
      <w:r w:rsidR="00916C7F">
        <w:t>C</w:t>
      </w:r>
      <w:r w:rsidRPr="00EC326F">
        <w:t>arers classes.</w:t>
      </w:r>
    </w:p>
    <w:p w14:paraId="6B97BB80" w14:textId="77777777" w:rsidR="005846DC" w:rsidRPr="00EC326F" w:rsidRDefault="005846DC" w:rsidP="005846DC">
      <w:pPr>
        <w:pStyle w:val="Minorheading"/>
      </w:pPr>
      <w:r w:rsidRPr="00EC326F">
        <w:t>Payments received</w:t>
      </w:r>
    </w:p>
    <w:p w14:paraId="37011A55" w14:textId="77777777" w:rsidR="005846DC" w:rsidRPr="00EC326F" w:rsidRDefault="005846DC" w:rsidP="005846DC">
      <w:pPr>
        <w:pStyle w:val="PwCNormal"/>
        <w:numPr>
          <w:ilvl w:val="0"/>
          <w:numId w:val="1"/>
        </w:numPr>
      </w:pPr>
      <w:r w:rsidRPr="00EC326F">
        <w:t>During 2015/16, people in this class received a total of $7.2 billion. This is 6.</w:t>
      </w:r>
      <w:r w:rsidR="008E7789" w:rsidRPr="00EC326F">
        <w:t>5</w:t>
      </w:r>
      <w:r w:rsidRPr="00EC326F">
        <w:t>% of the total payments made in 2015/16. The charts below show the average amount paid in a year to each person in this class.</w:t>
      </w:r>
    </w:p>
    <w:p w14:paraId="405BFA08" w14:textId="77777777" w:rsidR="005846DC" w:rsidRPr="00EC326F" w:rsidRDefault="005846DC" w:rsidP="005846DC">
      <w:pPr>
        <w:pStyle w:val="Caption"/>
      </w:pPr>
      <w:r w:rsidRPr="00EC326F">
        <w:t xml:space="preserve">Figure </w:t>
      </w:r>
      <w:fldSimple w:instr=" SEQ Figure \* ARABIC ">
        <w:r w:rsidR="007A42DF">
          <w:rPr>
            <w:noProof/>
          </w:rPr>
          <w:t>50</w:t>
        </w:r>
      </w:fldSimple>
      <w:r w:rsidRPr="00EC326F">
        <w:t>: Average payments per person in Class 4 – Carers</w:t>
      </w:r>
      <w:r w:rsidR="00321A6F" w:rsidRPr="00EC326F">
        <w:t xml:space="preserve"> (restated to 2015/16 $ values)</w:t>
      </w:r>
    </w:p>
    <w:p w14:paraId="2393E5DE" w14:textId="3D574C05" w:rsidR="005846DC" w:rsidRPr="00EC326F" w:rsidRDefault="005846DC" w:rsidP="005846DC">
      <w:pPr>
        <w:pStyle w:val="PwCNormal"/>
        <w:numPr>
          <w:ilvl w:val="0"/>
          <w:numId w:val="1"/>
        </w:numPr>
      </w:pPr>
      <w:r w:rsidRPr="00EC326F">
        <w:rPr>
          <w:noProof/>
          <w:lang w:eastAsia="en-AU"/>
        </w:rPr>
        <w:drawing>
          <wp:inline distT="0" distB="0" distL="0" distR="0" wp14:anchorId="5DEA93D0" wp14:editId="12686804">
            <wp:extent cx="5716800" cy="2001192"/>
            <wp:effectExtent l="0" t="0" r="0" b="0"/>
            <wp:docPr id="3101" name="Picture 3101" descr="This figure is a stacked column chart. The vertical axis displays the average payment per person in the Carers Class, ranging from $0 to $30,000.&#10;&#10;The horizontal axis is split into two sections; the first for males and the second for females. Each section is further split to show the last five financial years; 2012, 2013, 2014, 2015 and 2016.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4 was: $21,400 for 2012; $21,500 for 2013; $22,200 for 2014; $22,400 for 2015; and $22,900 for 2016.&#10;&#10;For females the approximate average payment per person in Class 4 was: $26,300 for 2012; $26,900 for 2013; $27,900 for 2014; $28,500 for 2015; and $28,000 for 2016.&#10;&#10;The majority of payments for males were from the IS Carer and Other Carer categories; while the majority of payments for females were from the IS Carer, Other Carer and Other – FTB categories.&#10;&#10;The key features of this chart are described in the accompanying text within the report.&#10;" title=" Average payments per person in Class 4 – Carers (restated to 2015/16 $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6800" cy="2001192"/>
                    </a:xfrm>
                    <a:prstGeom prst="rect">
                      <a:avLst/>
                    </a:prstGeom>
                    <a:noFill/>
                    <a:ln>
                      <a:noFill/>
                    </a:ln>
                  </pic:spPr>
                </pic:pic>
              </a:graphicData>
            </a:graphic>
          </wp:inline>
        </w:drawing>
      </w:r>
    </w:p>
    <w:p w14:paraId="7BE62AC5" w14:textId="77777777" w:rsidR="005846DC" w:rsidRPr="000747FE" w:rsidRDefault="005846DC" w:rsidP="005846DC">
      <w:pPr>
        <w:pStyle w:val="PwCNormal"/>
        <w:numPr>
          <w:ilvl w:val="0"/>
          <w:numId w:val="0"/>
        </w:numPr>
        <w:ind w:firstLine="720"/>
      </w:pPr>
      <w:r w:rsidRPr="00EC326F">
        <w:rPr>
          <w:noProof/>
          <w:lang w:eastAsia="en-AU"/>
        </w:rPr>
        <w:drawing>
          <wp:inline distT="0" distB="0" distL="0" distR="0" wp14:anchorId="2004899F" wp14:editId="1F55F46A">
            <wp:extent cx="4860000" cy="467785"/>
            <wp:effectExtent l="0" t="0" r="0" b="8890"/>
            <wp:docPr id="3103" name="Picture 3103"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4803BF74" w14:textId="77777777" w:rsidR="005846DC" w:rsidRPr="00EC326F" w:rsidRDefault="005846DC" w:rsidP="005846DC">
      <w:pPr>
        <w:pStyle w:val="PwCNormal"/>
        <w:numPr>
          <w:ilvl w:val="0"/>
          <w:numId w:val="1"/>
        </w:numPr>
      </w:pPr>
      <w:r w:rsidRPr="00EC326F">
        <w:lastRenderedPageBreak/>
        <w:t>People in this class receive some of the highest average annual payments. The average payment made in 2015/16 was $26,500 with considerably higher average payments being made to women ($28,100) than men ($22,900), as a result of women being more likely to also be claiming FTB and other family payments.</w:t>
      </w:r>
    </w:p>
    <w:p w14:paraId="52D49098" w14:textId="77777777" w:rsidR="005846DC" w:rsidRPr="00EC326F" w:rsidRDefault="005846DC" w:rsidP="005846DC">
      <w:pPr>
        <w:pStyle w:val="Heading4"/>
      </w:pPr>
      <w:r w:rsidRPr="00EC326F">
        <w:t>What have we taken into account in fitting assumptions?</w:t>
      </w:r>
    </w:p>
    <w:p w14:paraId="3FBBEDB0" w14:textId="404F497E" w:rsidR="005846DC" w:rsidRPr="00EC326F" w:rsidRDefault="005846DC" w:rsidP="005846DC">
      <w:pPr>
        <w:pStyle w:val="PwCNormal"/>
        <w:numPr>
          <w:ilvl w:val="0"/>
          <w:numId w:val="1"/>
        </w:numPr>
      </w:pPr>
      <w:r w:rsidRPr="00EC326F">
        <w:t xml:space="preserve">We have adopted class movement, utilisation and payment assumptions through consideration of the risk factors that influence the experience. At this valuation, we have also incorporated several new </w:t>
      </w:r>
      <w:r w:rsidR="007C1B83" w:rsidRPr="00EC326F">
        <w:t xml:space="preserve">class characteristic </w:t>
      </w:r>
      <w:r w:rsidRPr="00EC326F">
        <w:t xml:space="preserve">variables, namely the </w:t>
      </w:r>
      <w:r w:rsidR="00A82D43">
        <w:t>care recipient</w:t>
      </w:r>
      <w:r w:rsidR="00A82D43" w:rsidRPr="00EC326F">
        <w:t xml:space="preserve">’s </w:t>
      </w:r>
      <w:r w:rsidRPr="00EC326F">
        <w:t>age, medical condition and relationship to carer.</w:t>
      </w:r>
    </w:p>
    <w:p w14:paraId="279A43F1" w14:textId="77777777" w:rsidR="005846DC" w:rsidRPr="00EC326F" w:rsidRDefault="005846DC" w:rsidP="005846DC">
      <w:pPr>
        <w:pStyle w:val="Minorheading"/>
      </w:pPr>
      <w:r w:rsidRPr="00EC326F">
        <w:t>Class movement assumptions</w:t>
      </w:r>
    </w:p>
    <w:p w14:paraId="642D4792" w14:textId="77777777" w:rsidR="005846DC" w:rsidRPr="00EC326F" w:rsidRDefault="005846DC" w:rsidP="005846DC">
      <w:pPr>
        <w:pStyle w:val="PwCNormal"/>
        <w:numPr>
          <w:ilvl w:val="0"/>
          <w:numId w:val="1"/>
        </w:numPr>
      </w:pPr>
      <w:r w:rsidRPr="00EC326F">
        <w:t>In developing the class movement assumptions for people in this class we observed that Carer is a very ‘sticky’ class, with more than 80% of recipients remaining in the class in any year. This is more so in recent years, after the introduction of allowances to supplement Carer income.</w:t>
      </w:r>
    </w:p>
    <w:p w14:paraId="381F8FC5" w14:textId="2B7B42B9" w:rsidR="005846DC" w:rsidRPr="00EC326F" w:rsidRDefault="005846DC" w:rsidP="005846DC">
      <w:pPr>
        <w:pStyle w:val="PwCNormal"/>
        <w:numPr>
          <w:ilvl w:val="0"/>
          <w:numId w:val="1"/>
        </w:numPr>
      </w:pPr>
      <w:r w:rsidRPr="00EC326F">
        <w:t xml:space="preserve">The model uses a combination of terms including the age, gender, partnership status, age of youngest child, </w:t>
      </w:r>
      <w:r w:rsidR="00A82D43">
        <w:t>care recipient</w:t>
      </w:r>
      <w:r w:rsidR="00A82D43" w:rsidRPr="00EC326F">
        <w:t xml:space="preserve"> </w:t>
      </w:r>
      <w:r w:rsidRPr="00EC326F">
        <w:t xml:space="preserve">characteristics, employment earnings indicator, and detail of other payment types and supplements previously received. The most significant variables for this model were whether the recipient had received a bereavement or crisis payment recently, their partnership status, the employment earnings indicator, and the </w:t>
      </w:r>
      <w:r w:rsidR="00A82D43">
        <w:t>care recipient</w:t>
      </w:r>
      <w:r w:rsidR="00A82D43" w:rsidRPr="00EC326F">
        <w:t xml:space="preserve">’s </w:t>
      </w:r>
      <w:r w:rsidRPr="00EC326F">
        <w:t>medical condition and relationship to carer.</w:t>
      </w:r>
    </w:p>
    <w:p w14:paraId="2DDB4957" w14:textId="77777777" w:rsidR="005846DC" w:rsidRPr="002A0A1A" w:rsidRDefault="005846DC" w:rsidP="005846DC">
      <w:pPr>
        <w:pStyle w:val="PwCNormal"/>
        <w:numPr>
          <w:ilvl w:val="0"/>
          <w:numId w:val="1"/>
        </w:numPr>
      </w:pPr>
      <w:r w:rsidRPr="00EC326F">
        <w:t>Carers were more likely to leave this class if they had received a bereavement or crisis payment, which may be an indicator for the person being cared for passing away. Younger recipients were also more likely to leave to another income support class if they were single, perhaps reflecting that single carers have less assets and support, increasing their need and likelihood of meeting eligibility criteria for another income support payment.</w:t>
      </w:r>
    </w:p>
    <w:p w14:paraId="5099611A" w14:textId="77777777" w:rsidR="005846DC" w:rsidRPr="002A0A1A" w:rsidRDefault="005846DC" w:rsidP="005846DC">
      <w:pPr>
        <w:pStyle w:val="PwCNormal"/>
        <w:numPr>
          <w:ilvl w:val="0"/>
          <w:numId w:val="1"/>
        </w:numPr>
      </w:pPr>
      <w:r w:rsidRPr="00EC326F">
        <w:t xml:space="preserve">Recipients caring for someone with cancer are more likely to leave the class, presumably because cancer patients either pass away or go into remission in a relatively short time frame compared to those with long-term conditions such as psychological conditions or intellectual disabilities. Of the younger carers, those that are caring for a partner are more likely to be long term recipients of income support. </w:t>
      </w:r>
    </w:p>
    <w:p w14:paraId="272EFBC3" w14:textId="590C368E" w:rsidR="005846DC" w:rsidRPr="00EC326F" w:rsidRDefault="005846DC" w:rsidP="005846DC">
      <w:pPr>
        <w:pStyle w:val="PwCNormal"/>
        <w:numPr>
          <w:ilvl w:val="0"/>
          <w:numId w:val="1"/>
        </w:numPr>
      </w:pPr>
      <w:r w:rsidRPr="00EC326F">
        <w:t xml:space="preserve">People persist in this class up to and frequently beyond retirement age. </w:t>
      </w:r>
      <w:r w:rsidR="004438AC">
        <w:t>R</w:t>
      </w:r>
      <w:r w:rsidRPr="00EC326F">
        <w:t xml:space="preserve">ecipients </w:t>
      </w:r>
      <w:r w:rsidR="004438AC">
        <w:t xml:space="preserve">who are within a year of being eligible for retirement or older </w:t>
      </w:r>
      <w:r w:rsidRPr="00EC326F">
        <w:t>are most likely to remain in this class if they are caring for a parent and most likely to transition to the age pension if they are caring for a child.</w:t>
      </w:r>
    </w:p>
    <w:p w14:paraId="507D2F19" w14:textId="77777777" w:rsidR="005846DC" w:rsidRPr="00EC326F" w:rsidRDefault="005846DC" w:rsidP="005846DC">
      <w:pPr>
        <w:pStyle w:val="Minorheading"/>
      </w:pPr>
      <w:r w:rsidRPr="00EC326F">
        <w:t>Payment utilisation and size assumptions</w:t>
      </w:r>
    </w:p>
    <w:p w14:paraId="6D84A1F4" w14:textId="77777777" w:rsidR="008E7789" w:rsidRPr="00EC326F" w:rsidRDefault="008E7789" w:rsidP="008E7789">
      <w:pPr>
        <w:pStyle w:val="PwCNormal"/>
        <w:numPr>
          <w:ilvl w:val="0"/>
          <w:numId w:val="0"/>
        </w:numPr>
      </w:pPr>
      <w:r w:rsidRPr="00EC326F">
        <w:t>For the payment utilisation assumptions almost everyone in this class receives carers allowance or supplement as well as their carer payment and many of the people of parenting age also receive FTB and family payments, especially the women. Most also receive other general supplements and a portion receive rent assistance.</w:t>
      </w:r>
    </w:p>
    <w:p w14:paraId="1445FF9C" w14:textId="77777777" w:rsidR="008E7789" w:rsidRPr="00EC326F" w:rsidRDefault="008E7789" w:rsidP="008E7789">
      <w:pPr>
        <w:pStyle w:val="PwCNormal"/>
        <w:numPr>
          <w:ilvl w:val="0"/>
          <w:numId w:val="0"/>
        </w:numPr>
      </w:pPr>
      <w:r w:rsidRPr="00EC326F">
        <w:t>Around 55% of the annual cost is from the main carer payment and the amount of this is fairly consistent across people of all different ages, decreasing slightly with age. Conversely the utilisation of the FTB and family payments varies considerably by age with a clear concentration in the typical parenting age range.</w:t>
      </w:r>
    </w:p>
    <w:p w14:paraId="5C6BC1C9" w14:textId="77777777" w:rsidR="008E7789" w:rsidRPr="00EC326F" w:rsidRDefault="008E7789" w:rsidP="008E7789">
      <w:pPr>
        <w:pStyle w:val="PwCNormal"/>
        <w:numPr>
          <w:ilvl w:val="0"/>
          <w:numId w:val="0"/>
        </w:numPr>
      </w:pPr>
      <w:r w:rsidRPr="00EC326F">
        <w:t>We have continued to observe increases in the main carer payment average size over time. This is likely caused by longer durations on benefit, leading to a greater proportion of full year payments. Our average payment assumptions have again been based on the average of the experience over the last 2 years.</w:t>
      </w:r>
    </w:p>
    <w:p w14:paraId="2CF62C1D" w14:textId="77777777" w:rsidR="005846DC" w:rsidRPr="00EC326F" w:rsidRDefault="008E7789" w:rsidP="005846DC">
      <w:pPr>
        <w:pStyle w:val="PwCNormal"/>
        <w:numPr>
          <w:ilvl w:val="0"/>
          <w:numId w:val="0"/>
        </w:numPr>
      </w:pPr>
      <w:r w:rsidRPr="00EC326F">
        <w:t>The model of payment levels for the main carer payment is a relatively simple model which includes details of the person’s partner status and duration in class. These factors are correlated to their payment level and likelihood of receiving a full year rather than part year of payments.</w:t>
      </w:r>
    </w:p>
    <w:p w14:paraId="7B07242E" w14:textId="77777777" w:rsidR="005846DC" w:rsidRPr="00EC326F" w:rsidRDefault="005846DC" w:rsidP="005846DC">
      <w:pPr>
        <w:pStyle w:val="Heading4"/>
      </w:pPr>
      <w:r w:rsidRPr="00EC326F">
        <w:lastRenderedPageBreak/>
        <w:t>What does the model show for Carers?</w:t>
      </w:r>
    </w:p>
    <w:p w14:paraId="5C03FC22" w14:textId="77777777" w:rsidR="005846DC" w:rsidRPr="00EC326F" w:rsidRDefault="005846DC" w:rsidP="005846DC">
      <w:pPr>
        <w:pStyle w:val="Minorheading"/>
      </w:pPr>
      <w:r w:rsidRPr="00EC326F">
        <w:t>Lifetime costs</w:t>
      </w:r>
    </w:p>
    <w:p w14:paraId="1FEC9545" w14:textId="77777777" w:rsidR="005846DC" w:rsidRPr="00EC326F" w:rsidRDefault="005846DC" w:rsidP="005846DC">
      <w:pPr>
        <w:pStyle w:val="PwCNormal"/>
        <w:numPr>
          <w:ilvl w:val="0"/>
          <w:numId w:val="1"/>
        </w:numPr>
      </w:pPr>
      <w:r w:rsidRPr="00EC326F">
        <w:t xml:space="preserve">We estimated the lifetime cost for the people in this class to be </w:t>
      </w:r>
      <w:r w:rsidRPr="00EC326F">
        <w:rPr>
          <w:b/>
        </w:rPr>
        <w:t>$119bn</w:t>
      </w:r>
      <w:r w:rsidRPr="00EC326F">
        <w:t xml:space="preserve"> (or </w:t>
      </w:r>
      <w:r w:rsidRPr="00EC326F">
        <w:rPr>
          <w:b/>
        </w:rPr>
        <w:t>2.6%</w:t>
      </w:r>
      <w:r w:rsidRPr="00EC326F">
        <w:t xml:space="preserve"> of the total lifetime cost). The average lifetime cost for people in this class is </w:t>
      </w:r>
      <w:r w:rsidRPr="00EC326F">
        <w:rPr>
          <w:b/>
        </w:rPr>
        <w:t>$438,000</w:t>
      </w:r>
      <w:r w:rsidRPr="00EC326F">
        <w:t>. The variation in average lifetime cost by age and gender is illustrated in the figure below.</w:t>
      </w:r>
    </w:p>
    <w:p w14:paraId="522747A4" w14:textId="77777777" w:rsidR="005846DC" w:rsidRPr="00EC326F" w:rsidRDefault="005846DC" w:rsidP="005846DC">
      <w:pPr>
        <w:pStyle w:val="Caption"/>
      </w:pPr>
      <w:r w:rsidRPr="00EC326F">
        <w:t xml:space="preserve">Figure </w:t>
      </w:r>
      <w:fldSimple w:instr=" SEQ Figure \* ARABIC ">
        <w:r w:rsidR="007A42DF">
          <w:rPr>
            <w:noProof/>
          </w:rPr>
          <w:t>51</w:t>
        </w:r>
      </w:fldSimple>
      <w:r w:rsidRPr="00EC326F">
        <w:t>: Average lifetime cost by age and gender (Class 4)</w:t>
      </w:r>
    </w:p>
    <w:tbl>
      <w:tblPr>
        <w:tblStyle w:val="Tables-APBase"/>
        <w:tblW w:w="4783"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Average lifetime cost by age and gender (Class 4)&#10;"/>
        <w:tblDescription w:val="This figure is a horizontal bar chart showing average lifetime cost by age for males and females separately. The vertical axis shows age with the data shown ranging from 18 to 85.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272,000 individuals who were in the carers (income support) class at 30 June 2016. &#10;&#10;The average lifetime cost of males increases with age from approximately $320,000 at age 18 to $450,000 at age 30. After this age, average lifetime cost gradually decreases with age to approximately $300,000 at age 65. After age 65, there is a much quicker reduction in average lifetime cost to approximately $100,000 at age 85.&#10;&#10;The average lifetime cost of females increases with age from approximately $520,000 at age 18 to $670,000 at age 30. The substantially higher average lifetime cost relative to males is due to higher FTB, other family, and non-income support carer components. After age 30, there is a steady reduction in average lifetime cost by age to approximately $140,000 around age 85.&#10;&#10;The features shown in the chart are discussed further in the accompanying text within the report.&#10;"/>
      </w:tblPr>
      <w:tblGrid>
        <w:gridCol w:w="5954"/>
        <w:gridCol w:w="3039"/>
      </w:tblGrid>
      <w:tr w:rsidR="005846DC" w:rsidRPr="00EC326F" w14:paraId="694F43A0" w14:textId="77777777" w:rsidTr="009C6553">
        <w:trPr>
          <w:tblHeader/>
        </w:trPr>
        <w:tc>
          <w:tcPr>
            <w:tcW w:w="5954" w:type="dxa"/>
          </w:tcPr>
          <w:p w14:paraId="47F434AC" w14:textId="4495BE27" w:rsidR="005846DC" w:rsidRPr="00EC326F" w:rsidRDefault="00626D21" w:rsidP="000D6C29">
            <w:pPr>
              <w:pStyle w:val="TableTextSmall"/>
              <w:keepNext/>
              <w:rPr>
                <w:lang w:eastAsia="en-AU"/>
              </w:rPr>
            </w:pPr>
            <w:r w:rsidRPr="00626D21">
              <w:rPr>
                <w:noProof/>
                <w:lang w:eastAsia="en-AU"/>
              </w:rPr>
              <w:drawing>
                <wp:inline distT="0" distB="0" distL="0" distR="0" wp14:anchorId="0979B3B3" wp14:editId="094F9DCA">
                  <wp:extent cx="3356412" cy="2160000"/>
                  <wp:effectExtent l="0" t="0" r="0" b="0"/>
                  <wp:docPr id="1061" name="Picture 13" descr="This figure is a horizontal bar chart showing average lifetime cost by age for males and females separately. The vertical axis shows age with the data shown ranging from 18 to 85.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272,000 individuals who were in the carers (income support) class at 30 June 2016. &#10;&#10;The average lifetime cost of males increases with age from approximately $320,000 at age 18 to $450,000 at age 30. After this age, average lifetime cost gradually decreases with age to approximately $300,000 at age 65. After age 65, there is a much quicker reduction in average lifetime cost to approximately $100,000 at age 85.&#10;&#10;The average lifetime cost of females increases with age from approximately $520,000 at age 18 to $670,000 at age 30. The substantially higher average lifetime cost relative to males is due to higher FTB, other family, and non-income support carer components. After age 30, there is a steady reduction in average lifetime cost by age to approximately $140,000 around age 85.&#10;&#10;The features shown in the chart are discussed further in the accompanying text within the report.&#10;" title=" Average lifetime cost by age and gender (Class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15"/>
                          <a:stretch>
                            <a:fillRect/>
                          </a:stretch>
                        </pic:blipFill>
                        <pic:spPr>
                          <a:xfrm>
                            <a:off x="0" y="0"/>
                            <a:ext cx="3356412" cy="2160000"/>
                          </a:xfrm>
                          <a:prstGeom prst="rect">
                            <a:avLst/>
                          </a:prstGeom>
                        </pic:spPr>
                      </pic:pic>
                    </a:graphicData>
                  </a:graphic>
                </wp:inline>
              </w:drawing>
            </w:r>
          </w:p>
        </w:tc>
        <w:tc>
          <w:tcPr>
            <w:tcW w:w="3039" w:type="dxa"/>
          </w:tcPr>
          <w:p w14:paraId="7E957901" w14:textId="77777777" w:rsidR="005846DC" w:rsidRPr="00EC326F" w:rsidRDefault="005846DC" w:rsidP="000D6C29">
            <w:pPr>
              <w:pStyle w:val="TableTextSmall"/>
              <w:keepNext/>
              <w:rPr>
                <w:lang w:eastAsia="en-AU"/>
              </w:rPr>
            </w:pPr>
          </w:p>
          <w:p w14:paraId="4750295A"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5D6AF91F" wp14:editId="586827E8">
                  <wp:extent cx="1080000" cy="1608980"/>
                  <wp:effectExtent l="0" t="0" r="0" b="0"/>
                  <wp:docPr id="3104" name="Picture 3104"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0000" cy="1608980"/>
                          </a:xfrm>
                          <a:prstGeom prst="rect">
                            <a:avLst/>
                          </a:prstGeom>
                          <a:noFill/>
                          <a:ln>
                            <a:noFill/>
                          </a:ln>
                        </pic:spPr>
                      </pic:pic>
                    </a:graphicData>
                  </a:graphic>
                </wp:inline>
              </w:drawing>
            </w:r>
          </w:p>
        </w:tc>
      </w:tr>
    </w:tbl>
    <w:p w14:paraId="20E23A7A" w14:textId="77777777" w:rsidR="005846DC" w:rsidRPr="00EC326F" w:rsidRDefault="005846DC" w:rsidP="005846DC">
      <w:pPr>
        <w:pStyle w:val="PwCNormal"/>
        <w:numPr>
          <w:ilvl w:val="0"/>
          <w:numId w:val="0"/>
        </w:numPr>
      </w:pPr>
      <w:r w:rsidRPr="00EC326F">
        <w:t>For both genders these average lifetime costs include significant amounts of the carer payment and age pension and contributions from a range of supplementary payment categories. The costs are noticeably higher for women than men and especially so for those at young to mid ages. This arises from higher additional costs of FTB and family payments and from more women transitioning to parenting payments.</w:t>
      </w:r>
    </w:p>
    <w:p w14:paraId="21EA1CA2" w14:textId="4721C2B3" w:rsidR="005846DC" w:rsidRPr="00EC326F" w:rsidRDefault="005846DC" w:rsidP="005846DC">
      <w:pPr>
        <w:pStyle w:val="PwCNormal"/>
        <w:numPr>
          <w:ilvl w:val="0"/>
          <w:numId w:val="0"/>
        </w:numPr>
      </w:pPr>
      <w:r w:rsidRPr="00EC326F">
        <w:t xml:space="preserve">The average lifetime cost pyramid shows a small discontinuity at age 65 but then continues through the full age range reflecting the composition of people in the class. The discontinuity arises as many people move to the </w:t>
      </w:r>
      <w:r w:rsidR="005E2656">
        <w:t>Age P</w:t>
      </w:r>
      <w:r w:rsidRPr="00EC326F">
        <w:t xml:space="preserve">ension class once they are over this age. For the small proportion of people who continue in this class once they are above their pension age, the average lifetime cost is mainly comprised of a mix of carer payments and the age pension. </w:t>
      </w:r>
    </w:p>
    <w:p w14:paraId="2D59432D" w14:textId="77777777" w:rsidR="005846DC" w:rsidRPr="00EC326F" w:rsidRDefault="005846DC" w:rsidP="005846DC">
      <w:pPr>
        <w:pStyle w:val="Minorheading"/>
      </w:pPr>
      <w:r w:rsidRPr="00EC326F">
        <w:t>Change in lifetime costs since the baseline valuation</w:t>
      </w:r>
    </w:p>
    <w:p w14:paraId="5472E465" w14:textId="77777777" w:rsidR="00D3305D" w:rsidRPr="00EC326F" w:rsidRDefault="00D3305D" w:rsidP="00D3305D">
      <w:pPr>
        <w:pStyle w:val="PwCNormal"/>
        <w:numPr>
          <w:ilvl w:val="0"/>
          <w:numId w:val="0"/>
        </w:numPr>
      </w:pPr>
      <w:r w:rsidRPr="00EC326F">
        <w:t>The lifetime cost for the people in this class of $119bn is an increase of $10bn compared to the baseline valuation. This was primarily driven by an increase in the average cost, although an increase in the number of people in this class also contributed:</w:t>
      </w:r>
    </w:p>
    <w:p w14:paraId="56B0E8BB" w14:textId="77777777" w:rsidR="00D3305D" w:rsidRPr="00EC326F" w:rsidRDefault="00D3305D" w:rsidP="001A4479">
      <w:pPr>
        <w:pStyle w:val="Bullet1"/>
        <w:numPr>
          <w:ilvl w:val="0"/>
          <w:numId w:val="39"/>
        </w:numPr>
      </w:pPr>
      <w:r w:rsidRPr="00EC326F">
        <w:t>The number of people in this class has increased in line with our previous expectation for this class where numbers were expected to grow if the recent class entry experience continued.</w:t>
      </w:r>
    </w:p>
    <w:p w14:paraId="5BDD394E" w14:textId="3FACAC78" w:rsidR="00D3305D" w:rsidRPr="00EC326F" w:rsidRDefault="00D3305D" w:rsidP="001A4479">
      <w:pPr>
        <w:pStyle w:val="Bullet1"/>
        <w:numPr>
          <w:ilvl w:val="0"/>
          <w:numId w:val="39"/>
        </w:numPr>
      </w:pPr>
      <w:r w:rsidRPr="00EC326F">
        <w:t>The average cost has increased by $27,000 (6.</w:t>
      </w:r>
      <w:r w:rsidR="007C07DB">
        <w:t>5</w:t>
      </w:r>
      <w:r w:rsidRPr="00EC326F">
        <w:t>%) since the previous valuation. The following table provides a breakdown of the change in average lifetime cost by payment category.</w:t>
      </w:r>
    </w:p>
    <w:p w14:paraId="50EC4A57" w14:textId="77777777" w:rsidR="00D3305D" w:rsidRPr="00EC326F" w:rsidRDefault="00D3305D" w:rsidP="00D3305D">
      <w:pPr>
        <w:pStyle w:val="Caption"/>
      </w:pPr>
      <w:r w:rsidRPr="00EC326F">
        <w:lastRenderedPageBreak/>
        <w:t xml:space="preserve">Table </w:t>
      </w:r>
      <w:fldSimple w:instr=" SEQ Table \* ARABIC ">
        <w:r w:rsidR="007A42DF">
          <w:rPr>
            <w:noProof/>
          </w:rPr>
          <w:t>32</w:t>
        </w:r>
      </w:fldSimple>
      <w:r w:rsidRPr="00EC326F">
        <w:t>: Breakdown of change in average lifetime cost for Class 4 by payment category</w:t>
      </w:r>
    </w:p>
    <w:tbl>
      <w:tblPr>
        <w:tblStyle w:val="ListTable3-Accent62"/>
        <w:tblW w:w="9781" w:type="dxa"/>
        <w:tblInd w:w="108" w:type="dxa"/>
        <w:tblLayout w:type="fixed"/>
        <w:tblLook w:val="04A0" w:firstRow="1" w:lastRow="0" w:firstColumn="1" w:lastColumn="0" w:noHBand="0" w:noVBand="1"/>
        <w:tblCaption w:val=" Breakdown of change in average lifetime cost for Class 4 by payment category&#10;&#10;&#10;&#10;"/>
        <w:tblDescription w:val="This table shows the breakdown of the total change in average lifetime cost for Class 4 into; change in population, change in inflation, impact of new economic module, policy changes and other changes. These are shown as rows in the table.&#10;&#10;The changes in lifetime cost are considered by relevant payment categories for Class 4; IS Carer, IS Other (excluding the pension), IS Age Pension, Non IS Family Supplements and Non IS Other Supplements. These are shown as columns in the table alongside a total change column.&#10;&#10;For Class 4, the Jun 15 Total Lifetime cost is $109bn and the Jun 16 Total Lifetime cost is $119bn. This gives a change in total lifetime cost of $10bn, a 9% increase. 2.3% of the increase is due to population changes and the remainder is driven by changes in average lifetime cost. The average cost has increased by $27,000 (6.5%) since the previous valuation. Less than $1,000 of this change is attributable to changes in inflation, approximately -$4,000 of this change is due to the impact of the economics module. $1000 of the chance is driven by policy changes and the remaining $30,000 comes from other changes.&#10;&#10;The average lifetime cost of clients in the IS Carer payment category has increased by approximately $13,000. The inflation, economics module and policy changes have each had an impact of less than $1,000., The change is primarily due to other changes of $14,000.&#10;&#10;The average lifetime cost of clients in the other IS payment categories (excluding the Age Pension) has increased by approximately $7,000. Inflation and policy changes contributed less than $1,000 to this change. A $1,000 decrease is driven by the introduction of the new economics module which is offset by an approximately $8,000 increase due to other changes.&#10;&#10;The average lifetime cost of clients in the IS Age Pension payment category has increased by less than $1,000. The economics module reduced the average lifetime cost by $1,000. Inflation, policy changes and other changes had an impact of less than $1,000.&#10;&#10;The average lifetime cost of clients in the Non IS Family Supplements payment categories (H,I,J) has increased by approximately $4,000. This was primarily driven by other changes of $5,000, partially offset by a $1,000 decrease due to policy changes. Changes due to inflation and the economics module were both less than $1,000.&#10;&#10;The average lifetime cost of clients in the Non IS Other Supplements payment categories has increased by approximately $3,000. The changes due to the economics module, inflation and policy changes were less than $1,000 each whilst other changes contributed $3,000.&#10;"/>
      </w:tblPr>
      <w:tblGrid>
        <w:gridCol w:w="3119"/>
        <w:gridCol w:w="1276"/>
        <w:gridCol w:w="992"/>
        <w:gridCol w:w="992"/>
        <w:gridCol w:w="992"/>
        <w:gridCol w:w="1205"/>
        <w:gridCol w:w="1205"/>
      </w:tblGrid>
      <w:tr w:rsidR="00C03EAA" w:rsidRPr="00EC326F" w14:paraId="47954E98" w14:textId="77777777" w:rsidTr="009F52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13ECBFC1" w14:textId="77777777" w:rsidR="00C03EAA" w:rsidRPr="00EC326F" w:rsidRDefault="00C03EAA" w:rsidP="00716FF0">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7C8501E9" w14:textId="77777777" w:rsidR="00C03EAA" w:rsidRPr="00EC326F" w:rsidRDefault="00C03EAA"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992" w:type="dxa"/>
            <w:tcBorders>
              <w:left w:val="single" w:sz="4" w:space="0" w:color="FFFFFF" w:themeColor="background1"/>
              <w:bottom w:val="single" w:sz="4" w:space="0" w:color="FFFFFF" w:themeColor="background1"/>
              <w:right w:val="nil"/>
            </w:tcBorders>
          </w:tcPr>
          <w:p w14:paraId="2031D353" w14:textId="5E614A50" w:rsidR="00C03EAA" w:rsidRPr="00EC326F" w:rsidRDefault="00C03EAA"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p>
        </w:tc>
        <w:tc>
          <w:tcPr>
            <w:tcW w:w="992" w:type="dxa"/>
            <w:tcBorders>
              <w:left w:val="nil"/>
              <w:bottom w:val="single" w:sz="4" w:space="0" w:color="FFFFFF" w:themeColor="background1"/>
              <w:right w:val="nil"/>
            </w:tcBorders>
          </w:tcPr>
          <w:p w14:paraId="3284D292" w14:textId="2C8F0674" w:rsidR="00C03EAA" w:rsidRPr="00C03EAA" w:rsidRDefault="00C03EAA"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rPr>
            </w:pPr>
            <w:r w:rsidRPr="00C03EAA">
              <w:rPr>
                <w:rFonts w:asciiTheme="majorHAnsi" w:hAnsiTheme="majorHAnsi"/>
                <w:bCs w:val="0"/>
                <w:color w:val="FFFFFF" w:themeColor="background1"/>
              </w:rPr>
              <w:t>IS</w:t>
            </w:r>
          </w:p>
        </w:tc>
        <w:tc>
          <w:tcPr>
            <w:tcW w:w="992" w:type="dxa"/>
            <w:tcBorders>
              <w:left w:val="nil"/>
              <w:bottom w:val="single" w:sz="4" w:space="0" w:color="FFFFFF" w:themeColor="background1"/>
              <w:right w:val="single" w:sz="4" w:space="0" w:color="FFFFFF" w:themeColor="background1"/>
            </w:tcBorders>
          </w:tcPr>
          <w:p w14:paraId="15A74DB2" w14:textId="06164A6C" w:rsidR="00C03EAA" w:rsidRPr="00EC326F" w:rsidRDefault="00C03EAA"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05" w:type="dxa"/>
            <w:tcBorders>
              <w:left w:val="single" w:sz="4" w:space="0" w:color="FFFFFF" w:themeColor="background1"/>
              <w:bottom w:val="single" w:sz="4" w:space="0" w:color="FFFFFF" w:themeColor="background1"/>
            </w:tcBorders>
          </w:tcPr>
          <w:p w14:paraId="49428273" w14:textId="556CCD48" w:rsidR="00C03EAA" w:rsidRPr="00EC326F" w:rsidRDefault="00C03EAA" w:rsidP="00716FF0">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Pr>
                <w:rFonts w:asciiTheme="majorHAnsi" w:hAnsiTheme="majorHAnsi"/>
                <w:color w:val="FFFFFF" w:themeColor="background1"/>
              </w:rPr>
              <w:t>Non</w:t>
            </w:r>
          </w:p>
        </w:tc>
        <w:tc>
          <w:tcPr>
            <w:tcW w:w="1205" w:type="dxa"/>
            <w:tcBorders>
              <w:bottom w:val="single" w:sz="4" w:space="0" w:color="FFFFFF" w:themeColor="background1"/>
            </w:tcBorders>
          </w:tcPr>
          <w:p w14:paraId="4E5C577E" w14:textId="0BB2576F" w:rsidR="00C03EAA" w:rsidRPr="00EC326F" w:rsidRDefault="00C03EAA" w:rsidP="00716FF0">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rPr>
              <w:t>IS</w:t>
            </w:r>
          </w:p>
        </w:tc>
      </w:tr>
      <w:tr w:rsidR="00D3305D" w:rsidRPr="00EC326F" w14:paraId="64CBA8CB" w14:textId="77777777" w:rsidTr="009F52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45F5048B" w14:textId="77777777" w:rsidR="00D3305D" w:rsidRPr="00EC326F" w:rsidRDefault="00D3305D" w:rsidP="00716FF0">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63BC34D7"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992" w:type="dxa"/>
            <w:tcBorders>
              <w:top w:val="single" w:sz="4" w:space="0" w:color="FFFFFF" w:themeColor="background1"/>
              <w:left w:val="single" w:sz="4" w:space="0" w:color="FFFFFF" w:themeColor="background1"/>
              <w:bottom w:val="single" w:sz="4" w:space="0" w:color="E0301E" w:themeColor="accent6"/>
            </w:tcBorders>
          </w:tcPr>
          <w:p w14:paraId="46440EF8"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Carer</w:t>
            </w:r>
          </w:p>
        </w:tc>
        <w:tc>
          <w:tcPr>
            <w:tcW w:w="992" w:type="dxa"/>
            <w:tcBorders>
              <w:top w:val="single" w:sz="4" w:space="0" w:color="FFFFFF" w:themeColor="background1"/>
              <w:bottom w:val="single" w:sz="4" w:space="0" w:color="E0301E" w:themeColor="accent6"/>
            </w:tcBorders>
          </w:tcPr>
          <w:p w14:paraId="3BFF2B64"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w:t>
            </w:r>
            <w:r w:rsidRPr="00EC326F">
              <w:rPr>
                <w:rFonts w:asciiTheme="majorHAnsi" w:hAnsiTheme="majorHAnsi"/>
                <w:b w:val="0"/>
                <w:color w:val="FFFFFF" w:themeColor="background1"/>
              </w:rPr>
              <w:br/>
              <w:t>(excl. Age Pension)</w:t>
            </w:r>
          </w:p>
        </w:tc>
        <w:tc>
          <w:tcPr>
            <w:tcW w:w="992" w:type="dxa"/>
            <w:tcBorders>
              <w:top w:val="single" w:sz="4" w:space="0" w:color="FFFFFF" w:themeColor="background1"/>
              <w:bottom w:val="single" w:sz="4" w:space="0" w:color="E0301E" w:themeColor="accent6"/>
              <w:right w:val="single" w:sz="4" w:space="0" w:color="FFFFFF" w:themeColor="background1"/>
            </w:tcBorders>
          </w:tcPr>
          <w:p w14:paraId="4730795D"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205" w:type="dxa"/>
            <w:tcBorders>
              <w:top w:val="single" w:sz="4" w:space="0" w:color="FFFFFF" w:themeColor="background1"/>
              <w:left w:val="single" w:sz="4" w:space="0" w:color="FFFFFF" w:themeColor="background1"/>
              <w:bottom w:val="single" w:sz="4" w:space="0" w:color="E0301E" w:themeColor="accent6"/>
            </w:tcBorders>
          </w:tcPr>
          <w:p w14:paraId="29ACBD0D"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205" w:type="dxa"/>
            <w:tcBorders>
              <w:top w:val="single" w:sz="4" w:space="0" w:color="FFFFFF" w:themeColor="background1"/>
              <w:bottom w:val="single" w:sz="4" w:space="0" w:color="E0301E" w:themeColor="accent6"/>
            </w:tcBorders>
          </w:tcPr>
          <w:p w14:paraId="62DD7483"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D3305D" w:rsidRPr="00EC326F" w14:paraId="56059325" w14:textId="77777777" w:rsidTr="00311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74176077" w14:textId="77777777" w:rsidR="00D3305D" w:rsidRPr="00EC326F" w:rsidRDefault="00D3305D" w:rsidP="00716FF0">
            <w:pPr>
              <w:pStyle w:val="TableTextSmall"/>
              <w:keepNext/>
            </w:pPr>
            <w:r w:rsidRPr="00EC326F">
              <w:t>Jun-15 Total Lifetime Cost</w:t>
            </w:r>
          </w:p>
        </w:tc>
        <w:tc>
          <w:tcPr>
            <w:tcW w:w="1276" w:type="dxa"/>
            <w:tcBorders>
              <w:left w:val="single" w:sz="4" w:space="0" w:color="E0301E" w:themeColor="accent6"/>
              <w:bottom w:val="nil"/>
              <w:right w:val="single" w:sz="4" w:space="0" w:color="E0301E" w:themeColor="accent6"/>
            </w:tcBorders>
            <w:vAlign w:val="bottom"/>
          </w:tcPr>
          <w:p w14:paraId="3FDCA493"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$109bn</w:t>
            </w:r>
          </w:p>
        </w:tc>
        <w:tc>
          <w:tcPr>
            <w:tcW w:w="992" w:type="dxa"/>
            <w:tcBorders>
              <w:left w:val="single" w:sz="4" w:space="0" w:color="E0301E" w:themeColor="accent6"/>
              <w:bottom w:val="nil"/>
            </w:tcBorders>
            <w:shd w:val="clear" w:color="auto" w:fill="D9D9D9" w:themeFill="background1" w:themeFillShade="D9"/>
            <w:vAlign w:val="bottom"/>
          </w:tcPr>
          <w:p w14:paraId="0EA2723F"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right w:val="nil"/>
            </w:tcBorders>
            <w:shd w:val="clear" w:color="auto" w:fill="D9D9D9" w:themeFill="background1" w:themeFillShade="D9"/>
            <w:vAlign w:val="bottom"/>
          </w:tcPr>
          <w:p w14:paraId="0905A25F"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left w:val="nil"/>
              <w:bottom w:val="nil"/>
              <w:right w:val="nil"/>
            </w:tcBorders>
            <w:shd w:val="clear" w:color="auto" w:fill="D9D9D9" w:themeFill="background1" w:themeFillShade="D9"/>
            <w:vAlign w:val="bottom"/>
          </w:tcPr>
          <w:p w14:paraId="3832D4EE"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left w:val="nil"/>
              <w:bottom w:val="nil"/>
            </w:tcBorders>
            <w:shd w:val="clear" w:color="auto" w:fill="D9D9D9" w:themeFill="background1" w:themeFillShade="D9"/>
            <w:vAlign w:val="bottom"/>
          </w:tcPr>
          <w:p w14:paraId="111F6DB4"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bottom w:val="nil"/>
            </w:tcBorders>
            <w:shd w:val="clear" w:color="auto" w:fill="D9D9D9" w:themeFill="background1" w:themeFillShade="D9"/>
            <w:vAlign w:val="bottom"/>
          </w:tcPr>
          <w:p w14:paraId="7DC0518D"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r>
      <w:tr w:rsidR="00D3305D" w:rsidRPr="00EC326F" w14:paraId="5AE62640" w14:textId="77777777" w:rsidTr="003114C1">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2EEAD546" w14:textId="77777777" w:rsidR="00D3305D" w:rsidRPr="00EC326F" w:rsidRDefault="00D3305D" w:rsidP="00716FF0">
            <w:pPr>
              <w:pStyle w:val="TableTextSmall"/>
              <w:keepNext/>
            </w:pPr>
            <w:r w:rsidRPr="00EC326F">
              <w:t>Jun-16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vAlign w:val="bottom"/>
          </w:tcPr>
          <w:p w14:paraId="0204A850"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$119bn</w:t>
            </w:r>
          </w:p>
        </w:tc>
        <w:tc>
          <w:tcPr>
            <w:tcW w:w="992" w:type="dxa"/>
            <w:tcBorders>
              <w:top w:val="nil"/>
              <w:left w:val="single" w:sz="4" w:space="0" w:color="E0301E" w:themeColor="accent6"/>
              <w:bottom w:val="nil"/>
            </w:tcBorders>
            <w:shd w:val="clear" w:color="auto" w:fill="D9D9D9" w:themeFill="background1" w:themeFillShade="D9"/>
            <w:vAlign w:val="bottom"/>
          </w:tcPr>
          <w:p w14:paraId="07B9BC4A"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vAlign w:val="bottom"/>
          </w:tcPr>
          <w:p w14:paraId="7B791156"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left w:val="nil"/>
              <w:bottom w:val="nil"/>
              <w:right w:val="nil"/>
            </w:tcBorders>
            <w:shd w:val="clear" w:color="auto" w:fill="D9D9D9" w:themeFill="background1" w:themeFillShade="D9"/>
            <w:vAlign w:val="bottom"/>
          </w:tcPr>
          <w:p w14:paraId="6E9B18C0"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vAlign w:val="bottom"/>
          </w:tcPr>
          <w:p w14:paraId="4F116CDE"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nil"/>
            </w:tcBorders>
            <w:shd w:val="clear" w:color="auto" w:fill="D9D9D9" w:themeFill="background1" w:themeFillShade="D9"/>
            <w:vAlign w:val="bottom"/>
          </w:tcPr>
          <w:p w14:paraId="6A8A68DF"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r>
      <w:tr w:rsidR="00D3305D" w:rsidRPr="00EC326F" w14:paraId="5B02CE3A" w14:textId="77777777" w:rsidTr="00311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4A564D06" w14:textId="77777777" w:rsidR="00D3305D" w:rsidRPr="00EC326F" w:rsidRDefault="00D3305D" w:rsidP="00716FF0">
            <w:pPr>
              <w:pStyle w:val="TableTextSmall"/>
              <w:keepNext/>
            </w:pPr>
            <w:r w:rsidRPr="00EC326F">
              <w:t>Change in Total Lifetime Cost</w:t>
            </w:r>
          </w:p>
        </w:tc>
        <w:tc>
          <w:tcPr>
            <w:tcW w:w="1276" w:type="dxa"/>
            <w:tcBorders>
              <w:left w:val="single" w:sz="4" w:space="0" w:color="E0301E" w:themeColor="accent6"/>
              <w:bottom w:val="nil"/>
              <w:right w:val="single" w:sz="4" w:space="0" w:color="E0301E" w:themeColor="accent6"/>
            </w:tcBorders>
            <w:vAlign w:val="bottom"/>
          </w:tcPr>
          <w:p w14:paraId="6BD5CEF8"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+$10bn (9.0%)</w:t>
            </w:r>
          </w:p>
        </w:tc>
        <w:tc>
          <w:tcPr>
            <w:tcW w:w="992" w:type="dxa"/>
            <w:tcBorders>
              <w:top w:val="nil"/>
              <w:left w:val="single" w:sz="4" w:space="0" w:color="E0301E" w:themeColor="accent6"/>
              <w:bottom w:val="nil"/>
            </w:tcBorders>
            <w:shd w:val="clear" w:color="auto" w:fill="D9D9D9" w:themeFill="background1" w:themeFillShade="D9"/>
            <w:vAlign w:val="bottom"/>
          </w:tcPr>
          <w:p w14:paraId="0472009A"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vAlign w:val="bottom"/>
          </w:tcPr>
          <w:p w14:paraId="248DB4D7"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left w:val="nil"/>
              <w:bottom w:val="nil"/>
              <w:right w:val="nil"/>
            </w:tcBorders>
            <w:shd w:val="clear" w:color="auto" w:fill="D9D9D9" w:themeFill="background1" w:themeFillShade="D9"/>
            <w:vAlign w:val="bottom"/>
          </w:tcPr>
          <w:p w14:paraId="6B5F6BFA"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vAlign w:val="bottom"/>
          </w:tcPr>
          <w:p w14:paraId="46BE47C9"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bottom w:val="nil"/>
            </w:tcBorders>
            <w:shd w:val="clear" w:color="auto" w:fill="D9D9D9" w:themeFill="background1" w:themeFillShade="D9"/>
            <w:vAlign w:val="bottom"/>
          </w:tcPr>
          <w:p w14:paraId="0CD4CE80"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r>
      <w:tr w:rsidR="00D3305D" w:rsidRPr="00EC326F" w14:paraId="75AC029A" w14:textId="77777777" w:rsidTr="003114C1">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15AE7D16" w14:textId="77777777" w:rsidR="00D3305D" w:rsidRPr="00EC326F" w:rsidRDefault="00D3305D" w:rsidP="00716FF0">
            <w:pPr>
              <w:pStyle w:val="TableTextSmall"/>
              <w:keepNext/>
            </w:pPr>
            <w:r w:rsidRPr="00EC326F">
              <w:t>Change due to Population</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vAlign w:val="bottom"/>
          </w:tcPr>
          <w:p w14:paraId="62016BB0"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+2.3%</w:t>
            </w:r>
          </w:p>
        </w:tc>
        <w:tc>
          <w:tcPr>
            <w:tcW w:w="992" w:type="dxa"/>
            <w:tcBorders>
              <w:top w:val="nil"/>
              <w:left w:val="single" w:sz="4" w:space="0" w:color="E0301E" w:themeColor="accent6"/>
              <w:bottom w:val="single" w:sz="4" w:space="0" w:color="E0301E" w:themeColor="accent6"/>
            </w:tcBorders>
            <w:shd w:val="clear" w:color="auto" w:fill="D9D9D9" w:themeFill="background1" w:themeFillShade="D9"/>
            <w:vAlign w:val="bottom"/>
          </w:tcPr>
          <w:p w14:paraId="6B8D2FB4"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right w:val="nil"/>
            </w:tcBorders>
            <w:shd w:val="clear" w:color="auto" w:fill="D9D9D9" w:themeFill="background1" w:themeFillShade="D9"/>
            <w:vAlign w:val="bottom"/>
          </w:tcPr>
          <w:p w14:paraId="226BF465"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left w:val="nil"/>
              <w:bottom w:val="single" w:sz="4" w:space="0" w:color="E0301E" w:themeColor="accent6"/>
              <w:right w:val="nil"/>
            </w:tcBorders>
            <w:shd w:val="clear" w:color="auto" w:fill="D9D9D9" w:themeFill="background1" w:themeFillShade="D9"/>
            <w:vAlign w:val="bottom"/>
          </w:tcPr>
          <w:p w14:paraId="228B7EAA"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single" w:sz="4" w:space="0" w:color="E0301E" w:themeColor="accent6"/>
            </w:tcBorders>
            <w:shd w:val="clear" w:color="auto" w:fill="D9D9D9" w:themeFill="background1" w:themeFillShade="D9"/>
            <w:vAlign w:val="bottom"/>
          </w:tcPr>
          <w:p w14:paraId="5C870D88"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single" w:sz="4" w:space="0" w:color="E0301E" w:themeColor="accent6"/>
            </w:tcBorders>
            <w:shd w:val="clear" w:color="auto" w:fill="D9D9D9" w:themeFill="background1" w:themeFillShade="D9"/>
            <w:vAlign w:val="bottom"/>
          </w:tcPr>
          <w:p w14:paraId="441F0913"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r>
      <w:tr w:rsidR="00D3305D" w:rsidRPr="00EC326F" w14:paraId="76471BF5" w14:textId="77777777" w:rsidTr="00311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62ECD2F1" w14:textId="77777777" w:rsidR="00D3305D" w:rsidRPr="00EC326F" w:rsidRDefault="00D3305D" w:rsidP="00716FF0">
            <w:pPr>
              <w:pStyle w:val="TableTextSmall"/>
              <w:keepNext/>
            </w:pPr>
            <w:r w:rsidRPr="00EC326F">
              <w:t>Change due to Average Lifetime Cost</w:t>
            </w:r>
          </w:p>
        </w:tc>
        <w:tc>
          <w:tcPr>
            <w:tcW w:w="1276" w:type="dxa"/>
            <w:tcBorders>
              <w:left w:val="single" w:sz="4" w:space="0" w:color="E0301E" w:themeColor="accent6"/>
              <w:bottom w:val="nil"/>
              <w:right w:val="single" w:sz="4" w:space="0" w:color="E0301E" w:themeColor="accent6"/>
            </w:tcBorders>
            <w:vAlign w:val="bottom"/>
          </w:tcPr>
          <w:p w14:paraId="32655147" w14:textId="4A0C246A"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+$27k (6.</w:t>
            </w:r>
            <w:r w:rsidR="003A6032">
              <w:t>5</w:t>
            </w:r>
            <w:r w:rsidRPr="00EC326F">
              <w:t>%)</w:t>
            </w:r>
          </w:p>
        </w:tc>
        <w:tc>
          <w:tcPr>
            <w:tcW w:w="992" w:type="dxa"/>
            <w:tcBorders>
              <w:left w:val="single" w:sz="4" w:space="0" w:color="E0301E" w:themeColor="accent6"/>
              <w:bottom w:val="nil"/>
            </w:tcBorders>
            <w:vAlign w:val="bottom"/>
          </w:tcPr>
          <w:p w14:paraId="73EBCF94" w14:textId="4EDDC781"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w:t>
            </w:r>
            <w:r w:rsidR="003A6032">
              <w:t>3</w:t>
            </w:r>
            <w:r w:rsidRPr="00EC326F">
              <w:t>k</w:t>
            </w:r>
          </w:p>
        </w:tc>
        <w:tc>
          <w:tcPr>
            <w:tcW w:w="992" w:type="dxa"/>
            <w:tcBorders>
              <w:bottom w:val="nil"/>
            </w:tcBorders>
            <w:vAlign w:val="bottom"/>
          </w:tcPr>
          <w:p w14:paraId="38876936" w14:textId="2D3B8744"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w:t>
            </w:r>
            <w:r w:rsidR="003A6032">
              <w:t>7</w:t>
            </w:r>
            <w:r w:rsidRPr="00EC326F">
              <w:t>k</w:t>
            </w:r>
          </w:p>
        </w:tc>
        <w:tc>
          <w:tcPr>
            <w:tcW w:w="992" w:type="dxa"/>
            <w:tcBorders>
              <w:bottom w:val="nil"/>
              <w:right w:val="dashed" w:sz="4" w:space="0" w:color="E0301E" w:themeColor="accent6"/>
            </w:tcBorders>
            <w:vAlign w:val="bottom"/>
          </w:tcPr>
          <w:p w14:paraId="3DDC0D9D"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05" w:type="dxa"/>
            <w:tcBorders>
              <w:left w:val="dashed" w:sz="4" w:space="0" w:color="E0301E" w:themeColor="accent6"/>
              <w:bottom w:val="nil"/>
            </w:tcBorders>
            <w:vAlign w:val="bottom"/>
          </w:tcPr>
          <w:p w14:paraId="3E032770"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+$4k</w:t>
            </w:r>
          </w:p>
        </w:tc>
        <w:tc>
          <w:tcPr>
            <w:tcW w:w="1205" w:type="dxa"/>
            <w:tcBorders>
              <w:bottom w:val="nil"/>
            </w:tcBorders>
            <w:vAlign w:val="bottom"/>
          </w:tcPr>
          <w:p w14:paraId="1A0CC0A4"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+$3k</w:t>
            </w:r>
          </w:p>
        </w:tc>
      </w:tr>
      <w:tr w:rsidR="00D3305D" w:rsidRPr="00EC326F" w14:paraId="6CDB35FA" w14:textId="77777777" w:rsidTr="003114C1">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210871AE" w14:textId="77777777" w:rsidR="00D3305D" w:rsidRPr="00EC326F" w:rsidRDefault="00D3305D" w:rsidP="00716FF0">
            <w:pPr>
              <w:pStyle w:val="TableTextSmall"/>
              <w:keepNext/>
              <w:rPr>
                <w:b w:val="0"/>
              </w:rPr>
            </w:pPr>
            <w:r w:rsidRPr="00EC326F">
              <w:rPr>
                <w:b w:val="0"/>
              </w:rPr>
              <w:t>- Impact of change in inflation</w:t>
            </w:r>
          </w:p>
        </w:tc>
        <w:tc>
          <w:tcPr>
            <w:tcW w:w="1276" w:type="dxa"/>
            <w:tcBorders>
              <w:top w:val="nil"/>
              <w:left w:val="single" w:sz="4" w:space="0" w:color="E0301E" w:themeColor="accent6"/>
              <w:bottom w:val="nil"/>
              <w:right w:val="single" w:sz="4" w:space="0" w:color="E0301E" w:themeColor="accent6"/>
            </w:tcBorders>
            <w:vAlign w:val="bottom"/>
          </w:tcPr>
          <w:p w14:paraId="5BFDD46F"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left w:val="single" w:sz="4" w:space="0" w:color="E0301E" w:themeColor="accent6"/>
              <w:bottom w:val="nil"/>
            </w:tcBorders>
            <w:vAlign w:val="bottom"/>
          </w:tcPr>
          <w:p w14:paraId="33CB9751"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2478D4F8"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right w:val="dashed" w:sz="4" w:space="0" w:color="E0301E" w:themeColor="accent6"/>
            </w:tcBorders>
            <w:vAlign w:val="bottom"/>
          </w:tcPr>
          <w:p w14:paraId="4A8F0011"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left w:val="dashed" w:sz="4" w:space="0" w:color="E0301E" w:themeColor="accent6"/>
              <w:bottom w:val="nil"/>
            </w:tcBorders>
            <w:vAlign w:val="bottom"/>
          </w:tcPr>
          <w:p w14:paraId="6B025B13"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bottom w:val="nil"/>
            </w:tcBorders>
            <w:vAlign w:val="bottom"/>
          </w:tcPr>
          <w:p w14:paraId="546CCC01"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10B5ABE5" w14:textId="77777777" w:rsidTr="00311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30B29C13" w14:textId="77777777" w:rsidR="00D3305D" w:rsidRPr="00EC326F" w:rsidRDefault="00D3305D" w:rsidP="00716FF0">
            <w:pPr>
              <w:pStyle w:val="TableTextSmall"/>
              <w:keepNext/>
              <w:rPr>
                <w:b w:val="0"/>
              </w:rPr>
            </w:pPr>
            <w:r w:rsidRPr="00EC326F">
              <w:rPr>
                <w:b w:val="0"/>
              </w:rPr>
              <w:t>- Impact of new economics module</w:t>
            </w:r>
          </w:p>
        </w:tc>
        <w:tc>
          <w:tcPr>
            <w:tcW w:w="1276" w:type="dxa"/>
            <w:tcBorders>
              <w:top w:val="nil"/>
              <w:left w:val="single" w:sz="4" w:space="0" w:color="E0301E" w:themeColor="accent6"/>
              <w:bottom w:val="nil"/>
              <w:right w:val="single" w:sz="4" w:space="0" w:color="E0301E" w:themeColor="accent6"/>
            </w:tcBorders>
            <w:vAlign w:val="bottom"/>
          </w:tcPr>
          <w:p w14:paraId="4F1A603D"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-$4k</w:t>
            </w:r>
          </w:p>
        </w:tc>
        <w:tc>
          <w:tcPr>
            <w:tcW w:w="992" w:type="dxa"/>
            <w:tcBorders>
              <w:top w:val="nil"/>
              <w:left w:val="single" w:sz="4" w:space="0" w:color="E0301E" w:themeColor="accent6"/>
              <w:bottom w:val="nil"/>
            </w:tcBorders>
            <w:vAlign w:val="bottom"/>
          </w:tcPr>
          <w:p w14:paraId="41EAEE1C"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6CBD7BDD"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-$1k</w:t>
            </w:r>
          </w:p>
        </w:tc>
        <w:tc>
          <w:tcPr>
            <w:tcW w:w="992" w:type="dxa"/>
            <w:tcBorders>
              <w:top w:val="nil"/>
              <w:bottom w:val="nil"/>
              <w:right w:val="dashed" w:sz="4" w:space="0" w:color="E0301E" w:themeColor="accent6"/>
            </w:tcBorders>
            <w:vAlign w:val="bottom"/>
          </w:tcPr>
          <w:p w14:paraId="3C45C95E"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-$1k</w:t>
            </w:r>
          </w:p>
        </w:tc>
        <w:tc>
          <w:tcPr>
            <w:tcW w:w="1205" w:type="dxa"/>
            <w:tcBorders>
              <w:top w:val="nil"/>
              <w:left w:val="dashed" w:sz="4" w:space="0" w:color="E0301E" w:themeColor="accent6"/>
              <w:bottom w:val="nil"/>
            </w:tcBorders>
            <w:vAlign w:val="bottom"/>
          </w:tcPr>
          <w:p w14:paraId="5C4AED32"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05" w:type="dxa"/>
            <w:tcBorders>
              <w:top w:val="nil"/>
              <w:bottom w:val="nil"/>
            </w:tcBorders>
            <w:vAlign w:val="bottom"/>
          </w:tcPr>
          <w:p w14:paraId="417A6D08"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3A6032" w:rsidRPr="00EC326F" w14:paraId="338A50BE" w14:textId="77777777" w:rsidTr="003114C1">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1D09989D" w14:textId="3E982CF2" w:rsidR="003A6032" w:rsidRPr="00EC326F" w:rsidRDefault="003A6032" w:rsidP="00716FF0">
            <w:pPr>
              <w:pStyle w:val="TableTextSmall"/>
              <w:keepNext/>
              <w:rPr>
                <w:b w:val="0"/>
              </w:rPr>
            </w:pPr>
            <w:r w:rsidRPr="00455062">
              <w:rPr>
                <w:b w:val="0"/>
              </w:rPr>
              <w:t>- Impact of policy changes</w:t>
            </w:r>
          </w:p>
        </w:tc>
        <w:tc>
          <w:tcPr>
            <w:tcW w:w="1276" w:type="dxa"/>
            <w:tcBorders>
              <w:top w:val="nil"/>
              <w:left w:val="single" w:sz="4" w:space="0" w:color="E0301E" w:themeColor="accent6"/>
              <w:bottom w:val="nil"/>
              <w:right w:val="single" w:sz="4" w:space="0" w:color="E0301E" w:themeColor="accent6"/>
            </w:tcBorders>
            <w:vAlign w:val="bottom"/>
          </w:tcPr>
          <w:p w14:paraId="143086BF" w14:textId="63CA94B6" w:rsidR="003A6032" w:rsidRPr="00EC326F" w:rsidRDefault="003A6032"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t>-$1k</w:t>
            </w:r>
          </w:p>
        </w:tc>
        <w:tc>
          <w:tcPr>
            <w:tcW w:w="992" w:type="dxa"/>
            <w:tcBorders>
              <w:top w:val="nil"/>
              <w:left w:val="single" w:sz="4" w:space="0" w:color="E0301E" w:themeColor="accent6"/>
              <w:bottom w:val="nil"/>
            </w:tcBorders>
            <w:vAlign w:val="bottom"/>
          </w:tcPr>
          <w:p w14:paraId="24ADFA58" w14:textId="5FC108A7" w:rsidR="003A6032" w:rsidRPr="00EC326F" w:rsidRDefault="00455062"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4169DB35" w14:textId="0B75DD6A" w:rsidR="003A6032" w:rsidRPr="00EC326F" w:rsidRDefault="00455062"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992" w:type="dxa"/>
            <w:tcBorders>
              <w:top w:val="nil"/>
              <w:bottom w:val="nil"/>
              <w:right w:val="dashed" w:sz="4" w:space="0" w:color="E0301E" w:themeColor="accent6"/>
            </w:tcBorders>
            <w:vAlign w:val="bottom"/>
          </w:tcPr>
          <w:p w14:paraId="150B66E9" w14:textId="43BBF0D1" w:rsidR="003A6032" w:rsidRPr="00EC326F" w:rsidRDefault="00455062"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05" w:type="dxa"/>
            <w:tcBorders>
              <w:top w:val="nil"/>
              <w:left w:val="dashed" w:sz="4" w:space="0" w:color="E0301E" w:themeColor="accent6"/>
              <w:bottom w:val="nil"/>
            </w:tcBorders>
            <w:vAlign w:val="bottom"/>
          </w:tcPr>
          <w:p w14:paraId="7177A646" w14:textId="2C362588" w:rsidR="003A6032" w:rsidRPr="00EC326F" w:rsidRDefault="003A6032"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t>-$1k</w:t>
            </w:r>
          </w:p>
        </w:tc>
        <w:tc>
          <w:tcPr>
            <w:tcW w:w="1205" w:type="dxa"/>
            <w:tcBorders>
              <w:top w:val="nil"/>
              <w:bottom w:val="nil"/>
            </w:tcBorders>
            <w:vAlign w:val="bottom"/>
          </w:tcPr>
          <w:p w14:paraId="1632BD06" w14:textId="1C125C71" w:rsidR="003A6032" w:rsidRPr="00EC326F" w:rsidRDefault="00455062"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4249C4F8" w14:textId="77777777" w:rsidTr="00311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24901775" w14:textId="77777777" w:rsidR="00D3305D" w:rsidRPr="00EC326F" w:rsidRDefault="00D3305D" w:rsidP="003114C1">
            <w:pPr>
              <w:pStyle w:val="TableTextSmall"/>
              <w:rPr>
                <w:b w:val="0"/>
              </w:rPr>
            </w:pPr>
            <w:r w:rsidRPr="00EC326F">
              <w:rPr>
                <w:b w:val="0"/>
              </w:rPr>
              <w:t>- Impact of other changes</w:t>
            </w:r>
          </w:p>
        </w:tc>
        <w:tc>
          <w:tcPr>
            <w:tcW w:w="1276" w:type="dxa"/>
            <w:tcBorders>
              <w:top w:val="nil"/>
              <w:left w:val="single" w:sz="4" w:space="0" w:color="E0301E" w:themeColor="accent6"/>
              <w:right w:val="single" w:sz="4" w:space="0" w:color="E0301E" w:themeColor="accent6"/>
            </w:tcBorders>
            <w:vAlign w:val="bottom"/>
          </w:tcPr>
          <w:p w14:paraId="46E09DDF" w14:textId="07711EB7" w:rsidR="00D3305D" w:rsidRPr="00EC326F" w:rsidRDefault="00D3305D" w:rsidP="003A603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w:t>
            </w:r>
            <w:r w:rsidR="003A6032">
              <w:t>1</w:t>
            </w:r>
            <w:r w:rsidRPr="00EC326F">
              <w:t>k</w:t>
            </w:r>
          </w:p>
        </w:tc>
        <w:tc>
          <w:tcPr>
            <w:tcW w:w="992" w:type="dxa"/>
            <w:tcBorders>
              <w:top w:val="nil"/>
              <w:left w:val="single" w:sz="4" w:space="0" w:color="E0301E" w:themeColor="accent6"/>
            </w:tcBorders>
            <w:vAlign w:val="bottom"/>
          </w:tcPr>
          <w:p w14:paraId="321560F5" w14:textId="19B406C8" w:rsidR="00D3305D" w:rsidRPr="00EC326F" w:rsidRDefault="00D3305D" w:rsidP="003A603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w:t>
            </w:r>
            <w:r w:rsidR="003A6032">
              <w:t>3</w:t>
            </w:r>
            <w:r w:rsidRPr="00EC326F">
              <w:t>k</w:t>
            </w:r>
          </w:p>
        </w:tc>
        <w:tc>
          <w:tcPr>
            <w:tcW w:w="992" w:type="dxa"/>
            <w:tcBorders>
              <w:top w:val="nil"/>
            </w:tcBorders>
            <w:vAlign w:val="bottom"/>
          </w:tcPr>
          <w:p w14:paraId="793574E3"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+$8k</w:t>
            </w:r>
          </w:p>
        </w:tc>
        <w:tc>
          <w:tcPr>
            <w:tcW w:w="992" w:type="dxa"/>
            <w:tcBorders>
              <w:top w:val="nil"/>
              <w:right w:val="dashed" w:sz="4" w:space="0" w:color="E0301E" w:themeColor="accent6"/>
            </w:tcBorders>
            <w:vAlign w:val="bottom"/>
          </w:tcPr>
          <w:p w14:paraId="12D21929" w14:textId="2A74F841" w:rsidR="00D3305D" w:rsidRPr="00EC326F" w:rsidRDefault="00CC3286"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rPr>
                <w:color w:val="808080"/>
              </w:rPr>
              <w:t>&lt; $1k</w:t>
            </w:r>
          </w:p>
        </w:tc>
        <w:tc>
          <w:tcPr>
            <w:tcW w:w="1205" w:type="dxa"/>
            <w:tcBorders>
              <w:top w:val="nil"/>
              <w:left w:val="dashed" w:sz="4" w:space="0" w:color="E0301E" w:themeColor="accent6"/>
            </w:tcBorders>
            <w:vAlign w:val="bottom"/>
          </w:tcPr>
          <w:p w14:paraId="211BF491" w14:textId="6464A808" w:rsidR="00D3305D" w:rsidRPr="00EC326F" w:rsidRDefault="00D3305D" w:rsidP="003A603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3A6032">
              <w:t>5</w:t>
            </w:r>
            <w:r w:rsidRPr="00EC326F">
              <w:t>k</w:t>
            </w:r>
          </w:p>
        </w:tc>
        <w:tc>
          <w:tcPr>
            <w:tcW w:w="1205" w:type="dxa"/>
            <w:tcBorders>
              <w:top w:val="nil"/>
            </w:tcBorders>
            <w:vAlign w:val="bottom"/>
          </w:tcPr>
          <w:p w14:paraId="48821AC5"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+$3k</w:t>
            </w:r>
          </w:p>
        </w:tc>
      </w:tr>
    </w:tbl>
    <w:p w14:paraId="231629EC" w14:textId="77777777" w:rsidR="00D3305D" w:rsidRPr="00EC326F" w:rsidRDefault="00D3305D" w:rsidP="001A4479">
      <w:pPr>
        <w:pStyle w:val="PwCNormal"/>
        <w:numPr>
          <w:ilvl w:val="0"/>
          <w:numId w:val="37"/>
        </w:numPr>
      </w:pPr>
      <w:r w:rsidRPr="00EC326F">
        <w:t xml:space="preserve">The </w:t>
      </w:r>
      <w:r w:rsidR="008E7789" w:rsidRPr="00EC326F">
        <w:t>increase</w:t>
      </w:r>
      <w:r w:rsidRPr="00EC326F">
        <w:t xml:space="preserve"> in average cost has been primarily driven by:</w:t>
      </w:r>
    </w:p>
    <w:p w14:paraId="245315AF" w14:textId="77777777" w:rsidR="00D3305D" w:rsidRPr="00EC326F" w:rsidRDefault="00D3305D" w:rsidP="001A4479">
      <w:pPr>
        <w:pStyle w:val="Bullet1"/>
        <w:numPr>
          <w:ilvl w:val="0"/>
          <w:numId w:val="39"/>
        </w:numPr>
      </w:pPr>
      <w:r w:rsidRPr="00EC326F">
        <w:t>A gradual increase in the persistency rate of people in the Carers class over time, resulting in a longer projected duration on Carer payments (as well as income support in general);</w:t>
      </w:r>
    </w:p>
    <w:p w14:paraId="227390F9" w14:textId="77777777" w:rsidR="003D3972" w:rsidRDefault="003D3972" w:rsidP="003D3972">
      <w:pPr>
        <w:pStyle w:val="Bullet1"/>
        <w:numPr>
          <w:ilvl w:val="0"/>
          <w:numId w:val="39"/>
        </w:numPr>
      </w:pPr>
      <w:r w:rsidRPr="00EC326F">
        <w:t xml:space="preserve">The impact of enhancing the projection model to include employment earnings – this leads to </w:t>
      </w:r>
      <w:r>
        <w:t>increased differentiation between population subgroups which are expected to have high persistency and subgroups which are expected to have low persistency. The high persistency subgroups within this class are contributing to this increased averaged lifetime cost, their identification results in a higher expected level of future income support payments.</w:t>
      </w:r>
    </w:p>
    <w:p w14:paraId="468D755A" w14:textId="77777777" w:rsidR="00D3305D" w:rsidRDefault="00D3305D" w:rsidP="001A4479">
      <w:pPr>
        <w:pStyle w:val="Bullet1"/>
        <w:numPr>
          <w:ilvl w:val="0"/>
          <w:numId w:val="39"/>
        </w:numPr>
      </w:pPr>
      <w:r w:rsidRPr="00EC326F">
        <w:t>A lower long term unemployment rate assumption, which slightly reduces the projected future duration on working age benefits.</w:t>
      </w:r>
    </w:p>
    <w:p w14:paraId="3BDBCFD1" w14:textId="77777777" w:rsidR="003D3972" w:rsidRPr="00EC326F" w:rsidRDefault="003D3972" w:rsidP="00DA56E6">
      <w:pPr>
        <w:pStyle w:val="Bullet1"/>
        <w:numPr>
          <w:ilvl w:val="0"/>
          <w:numId w:val="39"/>
        </w:numPr>
      </w:pPr>
      <w:r>
        <w:t xml:space="preserve">The more refined modelling of the utilisation of FTB, family and new parents payments has contributed to the increased contribution of family supplements to the lifetime cost. The new models are better able to reflect people’s specific family composition. </w:t>
      </w:r>
    </w:p>
    <w:p w14:paraId="7AC061C2" w14:textId="77777777" w:rsidR="005846DC" w:rsidRPr="00EC326F" w:rsidRDefault="005846DC" w:rsidP="005846DC">
      <w:pPr>
        <w:pStyle w:val="Minorheading"/>
        <w:keepLines w:val="0"/>
        <w:widowControl w:val="0"/>
      </w:pPr>
      <w:r w:rsidRPr="00EC326F">
        <w:t>Future outcomes</w:t>
      </w:r>
    </w:p>
    <w:p w14:paraId="417351B4" w14:textId="77777777" w:rsidR="005846DC" w:rsidRPr="00EC326F" w:rsidRDefault="005846DC" w:rsidP="005846DC">
      <w:pPr>
        <w:pStyle w:val="PwCNormal"/>
        <w:keepNext/>
        <w:numPr>
          <w:ilvl w:val="0"/>
          <w:numId w:val="0"/>
        </w:numPr>
      </w:pPr>
      <w:r w:rsidRPr="00EC326F">
        <w:t xml:space="preserve">In developing the valuation results the projection model also produces information on the expected transitions for people out of each class, as shown below. </w:t>
      </w:r>
    </w:p>
    <w:p w14:paraId="0012348C" w14:textId="77777777" w:rsidR="005846DC" w:rsidRPr="00EC326F" w:rsidRDefault="005846DC" w:rsidP="005846DC">
      <w:pPr>
        <w:pStyle w:val="Caption"/>
      </w:pPr>
      <w:r w:rsidRPr="00EC326F">
        <w:t xml:space="preserve">Figure </w:t>
      </w:r>
      <w:fldSimple w:instr=" SEQ Figure \* ARABIC ">
        <w:r w:rsidR="007A42DF">
          <w:rPr>
            <w:noProof/>
          </w:rPr>
          <w:t>52</w:t>
        </w:r>
      </w:fldSimple>
      <w:r w:rsidRPr="00EC326F">
        <w:t>: Expected future trajectory for people in Class 4</w:t>
      </w:r>
    </w:p>
    <w:tbl>
      <w:tblPr>
        <w:tblStyle w:val="Tables-APBase"/>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4&#10;"/>
        <w:tblDescription w:val="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is chart includes the 272,000 individuals who were in the carer class at 30 June 2016.&#10;&#10;The chart shows around 45% of this group are expected to be in the carer class in 2026. For those who are projected to transition out of the carer class by 2025 into another active class, the majority are expected to transition to the pension age class, with a smaller proportion expected to transition to the working age class or to the previous welfare recipient class. Around 40% of this group are expected to have transitioned to the pension age class by 2041.&#10;&#10;The features shown in the chart are discussed further in the accompanying text within the report.&#10;"/>
      </w:tblPr>
      <w:tblGrid>
        <w:gridCol w:w="6536"/>
        <w:gridCol w:w="2865"/>
      </w:tblGrid>
      <w:tr w:rsidR="005846DC" w:rsidRPr="00EC326F" w14:paraId="40454252" w14:textId="77777777" w:rsidTr="009C6553">
        <w:trPr>
          <w:tblHeader/>
        </w:trPr>
        <w:tc>
          <w:tcPr>
            <w:tcW w:w="6804" w:type="dxa"/>
          </w:tcPr>
          <w:p w14:paraId="55767D47" w14:textId="77777777" w:rsidR="005846DC" w:rsidRPr="00EC326F" w:rsidRDefault="002701A6" w:rsidP="000D6C29">
            <w:pPr>
              <w:pStyle w:val="TableTextSmall"/>
            </w:pPr>
            <w:r w:rsidRPr="00EC326F">
              <w:rPr>
                <w:noProof/>
                <w:lang w:eastAsia="en-AU"/>
              </w:rPr>
              <w:drawing>
                <wp:inline distT="0" distB="0" distL="0" distR="0" wp14:anchorId="26A4B241" wp14:editId="79CB7D11">
                  <wp:extent cx="3901620" cy="2160000"/>
                  <wp:effectExtent l="0" t="0" r="0" b="0"/>
                  <wp:docPr id="2065" name="Picture 2065" descr="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is chart includes the 272,000 individuals who were in the carer class at 30 June 2016.&#10;&#10;The chart shows around 45% of this group are expected to be in the carer class in 2026. For those who are projected to transition out of the carer class by 2025 into another active class, the majority are expected to transition to the pension age class, with a smaller proportion expected to transition to the working age class or to the previous welfare recipient class. Around 40% of this group are expected to have transitioned to the pension age class by 2041.&#10;&#10;The features shown in the chart are discussed further in the accompanying text within the report.&#10;" title=" Expected future trajectory for people in Class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901620" cy="2160000"/>
                          </a:xfrm>
                          <a:prstGeom prst="rect">
                            <a:avLst/>
                          </a:prstGeom>
                          <a:noFill/>
                          <a:ln>
                            <a:noFill/>
                          </a:ln>
                        </pic:spPr>
                      </pic:pic>
                    </a:graphicData>
                  </a:graphic>
                </wp:inline>
              </w:drawing>
            </w:r>
          </w:p>
        </w:tc>
        <w:tc>
          <w:tcPr>
            <w:tcW w:w="2977" w:type="dxa"/>
          </w:tcPr>
          <w:p w14:paraId="3DB10342" w14:textId="77777777" w:rsidR="005846DC" w:rsidRPr="00EC326F" w:rsidRDefault="005846DC" w:rsidP="000D6C29">
            <w:pPr>
              <w:pStyle w:val="TableTextSmall"/>
            </w:pPr>
          </w:p>
          <w:p w14:paraId="4AD6C2C2" w14:textId="77777777" w:rsidR="005846DC" w:rsidRPr="00EC326F" w:rsidRDefault="005846DC" w:rsidP="000D6C29">
            <w:pPr>
              <w:pStyle w:val="TableTextSmall"/>
            </w:pPr>
            <w:r w:rsidRPr="00EC326F">
              <w:rPr>
                <w:noProof/>
                <w:lang w:eastAsia="en-AU"/>
              </w:rPr>
              <w:drawing>
                <wp:inline distT="0" distB="0" distL="0" distR="0" wp14:anchorId="03FC0FED" wp14:editId="1380C6A4">
                  <wp:extent cx="1439545" cy="1589405"/>
                  <wp:effectExtent l="0" t="0" r="8255" b="0"/>
                  <wp:docPr id="3106" name="Picture 3106" descr="Class key: studying, working age, parents, carers, disability support, pension age, non-income support family, non-income support carer, non-income support other, previous welfare recipient, rest of the Australian population and dead. " title="Class Key for 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2BFA66C4" w14:textId="77777777" w:rsidR="005846DC" w:rsidRPr="00EC326F" w:rsidRDefault="005846DC" w:rsidP="000D6C29">
            <w:pPr>
              <w:pStyle w:val="TableTextSmall"/>
            </w:pPr>
          </w:p>
        </w:tc>
      </w:tr>
    </w:tbl>
    <w:p w14:paraId="3C0E2AD1" w14:textId="77777777" w:rsidR="005846DC" w:rsidRPr="00EC326F" w:rsidRDefault="005846DC" w:rsidP="005846DC">
      <w:pPr>
        <w:pStyle w:val="PwCNormal"/>
        <w:numPr>
          <w:ilvl w:val="0"/>
          <w:numId w:val="0"/>
        </w:numPr>
      </w:pPr>
      <w:r w:rsidRPr="00EC326F">
        <w:t xml:space="preserve">The model projections indicate that: </w:t>
      </w:r>
    </w:p>
    <w:p w14:paraId="068D6467" w14:textId="77777777" w:rsidR="005846DC" w:rsidRPr="00EC326F" w:rsidRDefault="005846DC" w:rsidP="005846DC">
      <w:pPr>
        <w:pStyle w:val="Bullet1"/>
      </w:pPr>
      <w:r w:rsidRPr="00EC326F">
        <w:t xml:space="preserve">More than 60% of the people in this class are expected to remain there for the next 5 years (or exit and subsequently return) and </w:t>
      </w:r>
      <w:r w:rsidR="008E7789" w:rsidRPr="00EC326F">
        <w:t>over</w:t>
      </w:r>
      <w:r w:rsidRPr="00EC326F">
        <w:t xml:space="preserve"> 40% are expected to still be receiving the carers payment pension in 10 years’ time.</w:t>
      </w:r>
    </w:p>
    <w:p w14:paraId="79517A0A" w14:textId="77777777" w:rsidR="005846DC" w:rsidRPr="00EC326F" w:rsidRDefault="005846DC" w:rsidP="005846DC">
      <w:pPr>
        <w:pStyle w:val="Bullet1"/>
      </w:pPr>
      <w:r w:rsidRPr="00EC326F">
        <w:t>For those who exit over the next 10 years:</w:t>
      </w:r>
    </w:p>
    <w:p w14:paraId="45C3BB6E" w14:textId="77777777" w:rsidR="005846DC" w:rsidRPr="00EC326F" w:rsidRDefault="005846DC" w:rsidP="005846DC">
      <w:pPr>
        <w:pStyle w:val="Bullet2"/>
      </w:pPr>
      <w:r w:rsidRPr="00EC326F">
        <w:lastRenderedPageBreak/>
        <w:t xml:space="preserve">Around </w:t>
      </w:r>
      <w:r w:rsidR="008E7789" w:rsidRPr="00EC326F">
        <w:t xml:space="preserve">two </w:t>
      </w:r>
      <w:r w:rsidR="008536E9" w:rsidRPr="00EC326F">
        <w:t>thirds</w:t>
      </w:r>
      <w:r w:rsidRPr="00EC326F">
        <w:t xml:space="preserve"> of these move onto another income support payment. The biggest destination is age pension, although a material proportion of people move onto working age payments.</w:t>
      </w:r>
    </w:p>
    <w:p w14:paraId="00FA5716" w14:textId="77777777" w:rsidR="005846DC" w:rsidRPr="00EC326F" w:rsidRDefault="005846DC" w:rsidP="005846DC">
      <w:pPr>
        <w:pStyle w:val="Bullet2"/>
      </w:pPr>
      <w:r w:rsidRPr="00EC326F">
        <w:t>Most of the remainder either exit the system or die.</w:t>
      </w:r>
    </w:p>
    <w:p w14:paraId="1EEB9E97" w14:textId="77777777" w:rsidR="005846DC" w:rsidRPr="00EC326F" w:rsidRDefault="005846DC" w:rsidP="005846DC">
      <w:pPr>
        <w:pStyle w:val="Bullet1"/>
      </w:pPr>
      <w:r w:rsidRPr="00EC326F">
        <w:t xml:space="preserve">After 35 years, </w:t>
      </w:r>
      <w:r w:rsidR="008E7789" w:rsidRPr="00EC326F">
        <w:t>the majority</w:t>
      </w:r>
      <w:r w:rsidRPr="00EC326F">
        <w:t xml:space="preserve"> of the original group are projected to </w:t>
      </w:r>
      <w:r w:rsidR="008E7789" w:rsidRPr="00EC326F">
        <w:t xml:space="preserve">either </w:t>
      </w:r>
      <w:r w:rsidRPr="00EC326F">
        <w:t>be on some form of income support payment</w:t>
      </w:r>
      <w:r w:rsidR="008E7789" w:rsidRPr="00EC326F">
        <w:t xml:space="preserve"> (46%) or dead (45%)</w:t>
      </w:r>
      <w:r w:rsidRPr="00EC326F">
        <w:t>.</w:t>
      </w:r>
    </w:p>
    <w:p w14:paraId="502FD827" w14:textId="77777777" w:rsidR="005846DC" w:rsidRPr="00EC326F" w:rsidRDefault="005846DC" w:rsidP="005846DC">
      <w:pPr>
        <w:pStyle w:val="Minorheading"/>
      </w:pPr>
      <w:r w:rsidRPr="00EC326F">
        <w:t>Duration</w:t>
      </w:r>
    </w:p>
    <w:p w14:paraId="56843894" w14:textId="77777777" w:rsidR="005846DC" w:rsidRPr="00EC326F" w:rsidRDefault="005846DC" w:rsidP="00DA56E6">
      <w:pPr>
        <w:pStyle w:val="PwCNormal"/>
        <w:numPr>
          <w:ilvl w:val="0"/>
          <w:numId w:val="0"/>
        </w:numPr>
      </w:pPr>
      <w:r w:rsidRPr="00EC326F">
        <w:t xml:space="preserve">The average future life expectancy for the income support Carer class is </w:t>
      </w:r>
      <w:r w:rsidRPr="003D3972">
        <w:rPr>
          <w:b/>
        </w:rPr>
        <w:t>3</w:t>
      </w:r>
      <w:r w:rsidR="002701A6" w:rsidRPr="003D3972">
        <w:rPr>
          <w:b/>
        </w:rPr>
        <w:t>7</w:t>
      </w:r>
      <w:r w:rsidRPr="00EC326F">
        <w:t xml:space="preserve"> years. This reflects that a significant proportion of this class is approaching retirement age.</w:t>
      </w:r>
      <w:r w:rsidR="003D3972">
        <w:t xml:space="preserve"> </w:t>
      </w:r>
      <w:r w:rsidRPr="00EC326F">
        <w:t>The table below provides a summary of the expected welfare system use of people currently in this class over this time. This has been developed by considering which classes people move into as they move through the welfare system over their lives.</w:t>
      </w:r>
    </w:p>
    <w:p w14:paraId="297B7735" w14:textId="77777777" w:rsidR="005846DC" w:rsidRPr="002A0A1A" w:rsidRDefault="005846DC" w:rsidP="005846DC">
      <w:pPr>
        <w:pStyle w:val="Caption"/>
      </w:pPr>
      <w:r w:rsidRPr="00EC326F">
        <w:t xml:space="preserve">Table </w:t>
      </w:r>
      <w:fldSimple w:instr=" SEQ Table \* ARABIC ">
        <w:r w:rsidR="007A42DF">
          <w:rPr>
            <w:noProof/>
          </w:rPr>
          <w:t>33</w:t>
        </w:r>
      </w:fldSimple>
      <w:r w:rsidRPr="00EC326F">
        <w:t>: Expected durations in welfare system for people currently in Class 4</w:t>
      </w:r>
    </w:p>
    <w:tbl>
      <w:tblPr>
        <w:tblStyle w:val="ListTable3-Accent61"/>
        <w:tblW w:w="8868" w:type="dxa"/>
        <w:tblInd w:w="108" w:type="dxa"/>
        <w:tblLook w:val="04A0" w:firstRow="1" w:lastRow="0" w:firstColumn="1" w:lastColumn="0" w:noHBand="0" w:noVBand="1"/>
        <w:tblCaption w:val=" Expected durations in welfare system for people currently in Class 4"/>
        <w:tblDescription w:val="This table provides data on the expected number of years that people currently in Class 4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4 is 37 years. &#10;&#10;People in Class 4 are expected to receive some form of income support payment (excluding the age pension) for 16 years, 42% of their future lifetime. It is also expected that they will receive the age pension for 16 years, non-income support payments only for 1 year (4% of their lifetime) and no welfare payments for 4 years (11% of their lifetime).&#10;"/>
      </w:tblPr>
      <w:tblGrid>
        <w:gridCol w:w="3828"/>
        <w:gridCol w:w="2520"/>
        <w:gridCol w:w="2520"/>
      </w:tblGrid>
      <w:tr w:rsidR="005846DC" w:rsidRPr="00EC326F" w14:paraId="124DC5FB"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0099063F" w14:textId="77777777" w:rsidR="005846DC" w:rsidRPr="00EC326F" w:rsidRDefault="005846DC" w:rsidP="000D6C29">
            <w:pPr>
              <w:pStyle w:val="TableTextSmall"/>
              <w:jc w:val="center"/>
              <w:rPr>
                <w:rFonts w:asciiTheme="majorHAnsi" w:hAnsiTheme="majorHAnsi"/>
                <w:color w:val="FFFFFF" w:themeColor="background1"/>
              </w:rPr>
            </w:pPr>
          </w:p>
        </w:tc>
        <w:tc>
          <w:tcPr>
            <w:tcW w:w="2520" w:type="dxa"/>
          </w:tcPr>
          <w:p w14:paraId="09915823"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Expected Years</w:t>
            </w:r>
          </w:p>
        </w:tc>
        <w:tc>
          <w:tcPr>
            <w:tcW w:w="2520" w:type="dxa"/>
          </w:tcPr>
          <w:p w14:paraId="27EEE180"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Proportion of Future Lifetime</w:t>
            </w:r>
          </w:p>
        </w:tc>
      </w:tr>
      <w:tr w:rsidR="005846DC" w:rsidRPr="00EC326F" w14:paraId="5E96C7F7"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CB0DB2D" w14:textId="77777777" w:rsidR="005846DC" w:rsidRPr="00EC326F" w:rsidRDefault="005846DC" w:rsidP="000D6C29">
            <w:pPr>
              <w:pStyle w:val="TableTextSmall"/>
            </w:pPr>
            <w:r w:rsidRPr="00EC326F">
              <w:t>Years with some income support payments:</w:t>
            </w:r>
          </w:p>
          <w:p w14:paraId="37D53D41" w14:textId="77777777" w:rsidR="005846DC" w:rsidRPr="00EC326F" w:rsidRDefault="005846DC" w:rsidP="001A4479">
            <w:pPr>
              <w:pStyle w:val="TableTextSmall"/>
              <w:numPr>
                <w:ilvl w:val="0"/>
                <w:numId w:val="43"/>
              </w:numPr>
            </w:pPr>
            <w:r w:rsidRPr="00EC326F">
              <w:t>Not aged pension (classes 1-5)</w:t>
            </w:r>
          </w:p>
          <w:p w14:paraId="0A9BB7FD" w14:textId="77777777" w:rsidR="005846DC" w:rsidRPr="00EC326F" w:rsidRDefault="005846DC" w:rsidP="001A4479">
            <w:pPr>
              <w:pStyle w:val="TableTextSmall"/>
              <w:numPr>
                <w:ilvl w:val="0"/>
                <w:numId w:val="43"/>
              </w:numPr>
            </w:pPr>
            <w:r w:rsidRPr="00EC326F">
              <w:t>Aged pension (class 6)</w:t>
            </w:r>
          </w:p>
        </w:tc>
        <w:tc>
          <w:tcPr>
            <w:tcW w:w="2520" w:type="dxa"/>
          </w:tcPr>
          <w:p w14:paraId="12EE226E"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1</w:t>
            </w:r>
            <w:r w:rsidR="002701A6" w:rsidRPr="00EC326F">
              <w:t>6</w:t>
            </w:r>
          </w:p>
          <w:p w14:paraId="54AB8E4E"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16</w:t>
            </w:r>
          </w:p>
        </w:tc>
        <w:tc>
          <w:tcPr>
            <w:tcW w:w="2520" w:type="dxa"/>
          </w:tcPr>
          <w:p w14:paraId="547F36F4"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4</w:t>
            </w:r>
            <w:r w:rsidR="002701A6" w:rsidRPr="00EC326F">
              <w:t>2</w:t>
            </w:r>
            <w:r w:rsidRPr="00EC326F">
              <w:t>%</w:t>
            </w:r>
          </w:p>
          <w:p w14:paraId="2F6C08B5" w14:textId="77777777" w:rsidR="005846DC" w:rsidRPr="00EC326F" w:rsidRDefault="002701A6"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43</w:t>
            </w:r>
            <w:r w:rsidR="005846DC" w:rsidRPr="00EC326F">
              <w:t>%</w:t>
            </w:r>
          </w:p>
        </w:tc>
      </w:tr>
      <w:tr w:rsidR="005846DC" w:rsidRPr="00EC326F" w14:paraId="7266EBBE"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5982421E" w14:textId="77777777" w:rsidR="005846DC" w:rsidRPr="00EC326F" w:rsidRDefault="005846DC" w:rsidP="000D6C29">
            <w:pPr>
              <w:pStyle w:val="TableTextSmall"/>
            </w:pPr>
            <w:r w:rsidRPr="00EC326F">
              <w:t>Years with non-income support payments only</w:t>
            </w:r>
          </w:p>
        </w:tc>
        <w:tc>
          <w:tcPr>
            <w:tcW w:w="2520" w:type="dxa"/>
          </w:tcPr>
          <w:p w14:paraId="752F6E9C" w14:textId="77777777" w:rsidR="005846DC" w:rsidRPr="00EC326F" w:rsidRDefault="005846DC"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w:t>
            </w:r>
          </w:p>
        </w:tc>
        <w:tc>
          <w:tcPr>
            <w:tcW w:w="2520" w:type="dxa"/>
          </w:tcPr>
          <w:p w14:paraId="37B33E39" w14:textId="77777777" w:rsidR="005846DC" w:rsidRPr="00EC326F" w:rsidRDefault="005846DC"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4%</w:t>
            </w:r>
          </w:p>
        </w:tc>
      </w:tr>
      <w:tr w:rsidR="005846DC" w:rsidRPr="00EC326F" w14:paraId="6CD5488C"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16ECC76" w14:textId="77777777" w:rsidR="005846DC" w:rsidRPr="00EC326F" w:rsidRDefault="005846DC" w:rsidP="000D6C29">
            <w:pPr>
              <w:pStyle w:val="TableTextSmall"/>
            </w:pPr>
            <w:r w:rsidRPr="00EC326F">
              <w:t>Years not receiving any welfare payments</w:t>
            </w:r>
          </w:p>
        </w:tc>
        <w:tc>
          <w:tcPr>
            <w:tcW w:w="2520" w:type="dxa"/>
          </w:tcPr>
          <w:p w14:paraId="42A6AF32"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w:t>
            </w:r>
          </w:p>
        </w:tc>
        <w:tc>
          <w:tcPr>
            <w:tcW w:w="2520" w:type="dxa"/>
          </w:tcPr>
          <w:p w14:paraId="0F9BF366"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11%</w:t>
            </w:r>
          </w:p>
        </w:tc>
      </w:tr>
      <w:tr w:rsidR="005846DC" w:rsidRPr="00EC326F" w14:paraId="67FAF057"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4D4D216A" w14:textId="77777777" w:rsidR="005846DC" w:rsidRPr="00EC326F" w:rsidRDefault="005846DC" w:rsidP="000D6C29">
            <w:pPr>
              <w:pStyle w:val="TableTextSmall"/>
            </w:pPr>
            <w:r w:rsidRPr="00EC326F">
              <w:t>Total</w:t>
            </w:r>
          </w:p>
        </w:tc>
        <w:tc>
          <w:tcPr>
            <w:tcW w:w="2520" w:type="dxa"/>
          </w:tcPr>
          <w:p w14:paraId="2307B168" w14:textId="77777777" w:rsidR="005846DC" w:rsidRPr="00EC326F" w:rsidRDefault="005846DC"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3</w:t>
            </w:r>
            <w:r w:rsidR="002701A6" w:rsidRPr="00EC326F">
              <w:t>7</w:t>
            </w:r>
          </w:p>
        </w:tc>
        <w:tc>
          <w:tcPr>
            <w:tcW w:w="2520" w:type="dxa"/>
          </w:tcPr>
          <w:p w14:paraId="792DAAB6" w14:textId="77777777" w:rsidR="005846DC" w:rsidRPr="00EC326F" w:rsidRDefault="005846DC"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100%</w:t>
            </w:r>
          </w:p>
        </w:tc>
      </w:tr>
    </w:tbl>
    <w:p w14:paraId="54AA5438" w14:textId="737EFEE0" w:rsidR="00716FF0" w:rsidRDefault="00716FF0" w:rsidP="00716FF0">
      <w:pPr>
        <w:pStyle w:val="PwCNormal"/>
      </w:pPr>
      <w:bookmarkStart w:id="399" w:name="_Ref466370899"/>
      <w:bookmarkStart w:id="400" w:name="_Ref466371492"/>
    </w:p>
    <w:p w14:paraId="6A04C36C" w14:textId="77777777" w:rsidR="00716FF0" w:rsidRDefault="00716FF0">
      <w:pPr>
        <w:kinsoku/>
        <w:overflowPunct/>
        <w:autoSpaceDE/>
        <w:autoSpaceDN/>
        <w:adjustRightInd/>
        <w:snapToGrid/>
      </w:pPr>
      <w:r>
        <w:br w:type="page"/>
      </w:r>
    </w:p>
    <w:p w14:paraId="20E32CEC" w14:textId="77777777" w:rsidR="005846DC" w:rsidRPr="00EC326F" w:rsidRDefault="005846DC" w:rsidP="005846DC">
      <w:pPr>
        <w:pStyle w:val="Heading3"/>
      </w:pPr>
      <w:bookmarkStart w:id="401" w:name="_Toc493844261"/>
      <w:r w:rsidRPr="00EC326F">
        <w:lastRenderedPageBreak/>
        <w:t>Disability Support Pensioners</w:t>
      </w:r>
      <w:bookmarkEnd w:id="399"/>
      <w:bookmarkEnd w:id="400"/>
      <w:bookmarkEnd w:id="401"/>
    </w:p>
    <w:p w14:paraId="463F221D" w14:textId="77777777" w:rsidR="005846DC" w:rsidRPr="00EC326F" w:rsidRDefault="005846DC" w:rsidP="005846DC">
      <w:pPr>
        <w:pStyle w:val="Heading4"/>
      </w:pPr>
      <w:r w:rsidRPr="00EC326F">
        <w:t>What does the data tell us about Disability Support Pensioners?</w:t>
      </w:r>
    </w:p>
    <w:p w14:paraId="7F0C9E34" w14:textId="77777777" w:rsidR="005846DC" w:rsidRPr="00EC326F" w:rsidRDefault="005846DC" w:rsidP="005846DC">
      <w:pPr>
        <w:pStyle w:val="PwCNormal"/>
        <w:numPr>
          <w:ilvl w:val="0"/>
          <w:numId w:val="0"/>
        </w:numPr>
      </w:pPr>
      <w:r w:rsidRPr="00EC326F">
        <w:t>There were 781,816 people (9.7% of current welfare recipients) in the Disability Support Pensioners (DSP) class in the 2016 model population.</w:t>
      </w:r>
    </w:p>
    <w:p w14:paraId="221E31C5" w14:textId="20E0A67D" w:rsidR="005846DC" w:rsidRPr="00EC326F" w:rsidRDefault="005846DC" w:rsidP="005846DC">
      <w:pPr>
        <w:pStyle w:val="PwCNormal"/>
        <w:numPr>
          <w:ilvl w:val="0"/>
          <w:numId w:val="0"/>
        </w:numPr>
      </w:pPr>
      <w:r w:rsidRPr="00EC326F">
        <w:t>The following chart shows a breakdown of the number of people in the D</w:t>
      </w:r>
      <w:r w:rsidR="00916C7F">
        <w:t xml:space="preserve">isability </w:t>
      </w:r>
      <w:r w:rsidRPr="00EC326F">
        <w:t>S</w:t>
      </w:r>
      <w:r w:rsidR="00916C7F">
        <w:t xml:space="preserve">upport </w:t>
      </w:r>
      <w:r w:rsidRPr="00EC326F">
        <w:t>P</w:t>
      </w:r>
      <w:r w:rsidR="00916C7F">
        <w:t>ension</w:t>
      </w:r>
      <w:r w:rsidRPr="00EC326F">
        <w:t xml:space="preserve"> class by age and gender.</w:t>
      </w:r>
    </w:p>
    <w:p w14:paraId="7B681639" w14:textId="77777777" w:rsidR="005846DC" w:rsidRPr="00EC326F" w:rsidRDefault="005846DC" w:rsidP="005846DC">
      <w:pPr>
        <w:pStyle w:val="Caption"/>
      </w:pPr>
      <w:r w:rsidRPr="00EC326F">
        <w:t xml:space="preserve">Figure </w:t>
      </w:r>
      <w:fldSimple w:instr=" SEQ Figure \* ARABIC ">
        <w:r w:rsidR="007A42DF">
          <w:rPr>
            <w:noProof/>
          </w:rPr>
          <w:t>53</w:t>
        </w:r>
      </w:fldSimple>
      <w:r w:rsidRPr="00EC326F">
        <w:t>: 2016 profile of people in Class 5 – Disability Support (age/gender)</w:t>
      </w:r>
    </w:p>
    <w:tbl>
      <w:tblPr>
        <w:tblStyle w:val="Tables-APBase"/>
        <w:tblW w:w="482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5 – Disability Support (age/gender)&#10;"/>
        <w:tblDescription w:val="This figure is a horizontal bar chart number of people in the Disability Support class at Jun16 by age for males and females separately. The vertical axis shows age with the data shown ranging from 16 to 100. The horizontal axis shows the number of people ranging from 0 to 30,000. The number of males at each age are shown by the horizontal bars to the left of the vertical axis and the number of females at each age are shown by horizontal bars to the right.&#10;&#10;The chart is based on the 782,000 individuals who were in the disability support class at 30 June 2016. &#10;&#10;The chart shows that the profile of people in this class is similar across males and females. The number of clients peaks at approximately 17,000 and 18,000 for males and females respectively at age 64. Between ages 16 and 64, the numbers of males and females increases steadily with age. The number of disability support clients aged over 64 reduces sharply to under 500 by age 75. &#10;"/>
      </w:tblPr>
      <w:tblGrid>
        <w:gridCol w:w="5812"/>
        <w:gridCol w:w="3260"/>
      </w:tblGrid>
      <w:tr w:rsidR="005846DC" w:rsidRPr="00EC326F" w14:paraId="41DC7E83" w14:textId="77777777" w:rsidTr="009C6553">
        <w:trPr>
          <w:tblHeader/>
        </w:trPr>
        <w:tc>
          <w:tcPr>
            <w:tcW w:w="5812" w:type="dxa"/>
          </w:tcPr>
          <w:p w14:paraId="632989BB"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0F273FEB" wp14:editId="2335FEC3">
                  <wp:extent cx="3371850" cy="2105025"/>
                  <wp:effectExtent l="0" t="0" r="0" b="9525"/>
                  <wp:docPr id="3107" name="Picture 3107" descr="This figure is a horizontal bar chart number of people in the Disability Support class at Jun16 by age for males and females separately. The vertical axis shows age with the data shown ranging from 16 to 100. The horizontal axis shows the number of people ranging from 0 to 30,000. The number of males at each age are shown by the horizontal bars to the left of the vertical axis and the number of females at each age are shown by horizontal bars to the right.&#10;&#10;The chart is based on the 782,000 individuals who were in the disability support class at 30 June 2016. &#10;&#10;The chart shows that the profile of people in this class is similar across males and females. The number of clients peaks at approximately 17,000 and 18,000 for males and females respectively at age 64. Between ages 16 and 64, the numbers of males and females increases steadily with age. The number of disability support clients aged over 64 reduces sharply to under 500 by age 75. &#10;" title=" 2016 profile of people in Class 5 – Disability Support (age/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71850" cy="2105025"/>
                          </a:xfrm>
                          <a:prstGeom prst="rect">
                            <a:avLst/>
                          </a:prstGeom>
                          <a:noFill/>
                          <a:ln>
                            <a:noFill/>
                          </a:ln>
                        </pic:spPr>
                      </pic:pic>
                    </a:graphicData>
                  </a:graphic>
                </wp:inline>
              </w:drawing>
            </w:r>
          </w:p>
        </w:tc>
        <w:tc>
          <w:tcPr>
            <w:tcW w:w="3260" w:type="dxa"/>
          </w:tcPr>
          <w:p w14:paraId="0C5F5F6D" w14:textId="77777777" w:rsidR="005846DC" w:rsidRPr="00EC326F" w:rsidRDefault="005846DC" w:rsidP="005D6CEC">
            <w:pPr>
              <w:pStyle w:val="TableTextSmall"/>
              <w:keepNext/>
              <w:rPr>
                <w:lang w:eastAsia="en-AU"/>
              </w:rPr>
            </w:pPr>
          </w:p>
        </w:tc>
      </w:tr>
    </w:tbl>
    <w:p w14:paraId="42EE3DFB" w14:textId="77777777" w:rsidR="005846DC" w:rsidRPr="002A0A1A" w:rsidRDefault="005846DC" w:rsidP="005846DC">
      <w:pPr>
        <w:pStyle w:val="PwCNormal"/>
        <w:numPr>
          <w:ilvl w:val="0"/>
          <w:numId w:val="1"/>
        </w:numPr>
      </w:pPr>
      <w:r w:rsidRPr="00EC326F">
        <w:t>There are slightly more men than women in this class. The numbers in the class increase by age up to pension age and then reduce as most retire.</w:t>
      </w:r>
    </w:p>
    <w:p w14:paraId="48CCB095" w14:textId="77777777" w:rsidR="005846DC" w:rsidRPr="00EC326F" w:rsidRDefault="005846DC" w:rsidP="005846DC">
      <w:pPr>
        <w:pStyle w:val="Minorheading"/>
      </w:pPr>
      <w:r w:rsidRPr="00EC326F">
        <w:t>Movements into this class</w:t>
      </w:r>
    </w:p>
    <w:p w14:paraId="6F9F1B45" w14:textId="77777777" w:rsidR="005846DC" w:rsidRPr="00EC326F" w:rsidRDefault="005846DC" w:rsidP="005846DC">
      <w:pPr>
        <w:pStyle w:val="PwCNormal"/>
        <w:numPr>
          <w:ilvl w:val="0"/>
          <w:numId w:val="1"/>
        </w:numPr>
      </w:pPr>
      <w:r w:rsidRPr="00EC326F">
        <w:t xml:space="preserve">Over the last 3 years, an average of 37,000 people (around 4% of the people in this class) per annum enter this class from another welfare class or from outside the welfare system. The following charts show the breakdown of this by age, gender and previous class. </w:t>
      </w:r>
    </w:p>
    <w:p w14:paraId="45E6096C" w14:textId="77777777" w:rsidR="005846DC" w:rsidRPr="00EC326F" w:rsidRDefault="005846DC" w:rsidP="005846DC">
      <w:pPr>
        <w:pStyle w:val="Caption"/>
      </w:pPr>
      <w:r w:rsidRPr="00EC326F">
        <w:t xml:space="preserve">Figure </w:t>
      </w:r>
      <w:fldSimple w:instr=" SEQ Figure \* ARABIC ">
        <w:r w:rsidR="007A42DF">
          <w:rPr>
            <w:noProof/>
          </w:rPr>
          <w:t>54</w:t>
        </w:r>
      </w:fldSimple>
      <w:r w:rsidRPr="00EC326F">
        <w:t>: Number of people entering Class 5 – Disability Support (annual average over last 3 years)</w:t>
      </w:r>
    </w:p>
    <w:tbl>
      <w:tblPr>
        <w:tblW w:w="4922" w:type="pct"/>
        <w:tblLayout w:type="fixed"/>
        <w:tblLook w:val="04A0" w:firstRow="1" w:lastRow="0" w:firstColumn="1" w:lastColumn="0" w:noHBand="0" w:noVBand="1"/>
        <w:tblCaption w:val=" Number of people entering Class 5 – Disability Support (annual average over last 3 years)"/>
        <w:tblDescription w:val="This text box contains two charts and a legend."/>
      </w:tblPr>
      <w:tblGrid>
        <w:gridCol w:w="4627"/>
        <w:gridCol w:w="4627"/>
      </w:tblGrid>
      <w:tr w:rsidR="005846DC" w:rsidRPr="00EC326F" w14:paraId="2F3918AA" w14:textId="77777777" w:rsidTr="001B43B4">
        <w:trPr>
          <w:tblHeader/>
        </w:trPr>
        <w:tc>
          <w:tcPr>
            <w:tcW w:w="4627" w:type="dxa"/>
          </w:tcPr>
          <w:p w14:paraId="250448AE" w14:textId="77777777" w:rsidR="005846DC" w:rsidRPr="00EC326F" w:rsidRDefault="005846DC" w:rsidP="000D6C29">
            <w:pPr>
              <w:pStyle w:val="TableTextSmall"/>
              <w:keepNext/>
              <w:jc w:val="center"/>
              <w:rPr>
                <w:b/>
                <w:i/>
              </w:rPr>
            </w:pPr>
            <w:r w:rsidRPr="00EC326F">
              <w:rPr>
                <w:b/>
                <w:i/>
              </w:rPr>
              <w:t>Males</w:t>
            </w:r>
          </w:p>
        </w:tc>
        <w:tc>
          <w:tcPr>
            <w:tcW w:w="4627" w:type="dxa"/>
          </w:tcPr>
          <w:p w14:paraId="306509E3" w14:textId="77777777" w:rsidR="005846DC" w:rsidRPr="00EC326F" w:rsidRDefault="005846DC" w:rsidP="000D6C29">
            <w:pPr>
              <w:pStyle w:val="TableTextSmall"/>
              <w:keepNext/>
              <w:jc w:val="center"/>
              <w:rPr>
                <w:b/>
                <w:i/>
              </w:rPr>
            </w:pPr>
            <w:r w:rsidRPr="00EC326F">
              <w:rPr>
                <w:b/>
                <w:i/>
              </w:rPr>
              <w:t>Females</w:t>
            </w:r>
          </w:p>
        </w:tc>
      </w:tr>
      <w:tr w:rsidR="005846DC" w:rsidRPr="00EC326F" w14:paraId="52D55F54" w14:textId="77777777" w:rsidTr="00303F34">
        <w:tc>
          <w:tcPr>
            <w:tcW w:w="4627" w:type="dxa"/>
          </w:tcPr>
          <w:p w14:paraId="3C740B5F"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5E19D68B" wp14:editId="472D6C0B">
                  <wp:extent cx="3009900" cy="1876425"/>
                  <wp:effectExtent l="0" t="0" r="0" b="9525"/>
                  <wp:docPr id="3108" name="Picture 3108" descr="This figure contains two area charts. The vertical axis on both charts displays the cumulative number of entrants into the Disability Support class, and ranges from 0 to 1,400. For both charts the horizontal axis shows age ranging from 0 to 110. &#10;&#10;The chart on the left shows the average number of male entrants over the period from June 2014 to June 2016, split by class prior to entry. &#10;&#10;Both area charts show the cumulative number of entrants split by class prior to entry to the Disability Support class; 1 Studying, 2 Working Age, 3 Parents, 4 Carers, 6 Pension Age, 7 Non-IS Family, 8 Non-IS Carer, 9 Non-IS Other, 10 Previous Welfare Recipient and 12 Rest of the Australian Population.&#10;&#10;For both males and females, the charts show that the majority of entrants come from Class 2 Working Age and the non-client classes 10 &amp; 12. For both males and females there is an initial peak of entrants at age 16 (1,400 males and 700 females) After this peak, the number of entrants falls below 200 at around age 20. Thereafter, up to about age 64, the number of entrants rises steadily with age before peaking again at around 800 for males and 700 for females.&#10;&#10;Further discussion of the key features shown in the chart can be found in the accompanying text within the report.&#10;" title=" Number of people entering Class 5 – Disability Support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627" w:type="dxa"/>
          </w:tcPr>
          <w:p w14:paraId="4AE51EA4"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150C6C72" wp14:editId="5DAD795F">
                  <wp:extent cx="3009900" cy="1876425"/>
                  <wp:effectExtent l="0" t="0" r="0" b="9525"/>
                  <wp:docPr id="3110" name="Picture 3110" descr="The chart on the right shows the average number of female entrants over the period from June 2014 to June 2016, split by class prior to entry.&#10;&#10;For both males and females, the charts show that the majority of entrants come from Class 2 Working Age and the non-client classes 10 &amp; 12. For both males and females there is an initial peak of entrants at age 16 (1,400 males and 700 females) After this peak, the number of entrants falls below 200 at around age 20. Thereafter, up to about age 64, the number of entrants rises steadily with age before peaking again at around 800 for males and 700 for females." title=" Number of people entering Class 5 – Disability Support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5347598B" w14:textId="7342FFE3" w:rsidR="00303F34" w:rsidRDefault="00303F34" w:rsidP="0081675B">
      <w:pPr>
        <w:pStyle w:val="PwCNormal"/>
        <w:numPr>
          <w:ilvl w:val="0"/>
          <w:numId w:val="1"/>
        </w:numPr>
        <w:jc w:val="center"/>
      </w:pPr>
      <w:r w:rsidRPr="00EC326F">
        <w:rPr>
          <w:noProof/>
          <w:lang w:eastAsia="en-AU"/>
        </w:rPr>
        <w:drawing>
          <wp:inline distT="0" distB="0" distL="0" distR="0" wp14:anchorId="6C5F91DC" wp14:editId="296BA26E">
            <wp:extent cx="5385600" cy="468000"/>
            <wp:effectExtent l="0" t="0" r="0" b="8255"/>
            <wp:docPr id="312" name="Picture 312" descr="Class key: studying, working age, parents, carers, disability support, pension age, non-income support family, non-income support carer, non-income support other, previous welfare recipient, rest of the Australian population and dead. &#10;" title="Class Key for Fig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6F1A44ED" w14:textId="17FD20C8" w:rsidR="005846DC" w:rsidRPr="002A0A1A" w:rsidRDefault="005846DC" w:rsidP="005846DC">
      <w:pPr>
        <w:pStyle w:val="PwCNormal"/>
        <w:numPr>
          <w:ilvl w:val="0"/>
          <w:numId w:val="1"/>
        </w:numPr>
      </w:pPr>
      <w:r w:rsidRPr="00EC326F">
        <w:t xml:space="preserve">We can see that people in this class primarily came from the </w:t>
      </w:r>
      <w:r w:rsidR="00916C7F">
        <w:t>W</w:t>
      </w:r>
      <w:r w:rsidRPr="00EC326F">
        <w:t xml:space="preserve">orking </w:t>
      </w:r>
      <w:r w:rsidR="00916C7F">
        <w:t>A</w:t>
      </w:r>
      <w:r w:rsidRPr="00EC326F">
        <w:t>ge class, with the remainder mostly coming from outside the welfare system. The number of entries into DSP increases with age, up until retirement age.</w:t>
      </w:r>
    </w:p>
    <w:p w14:paraId="5DD339B9" w14:textId="77777777" w:rsidR="005846DC" w:rsidRPr="00EC326F" w:rsidRDefault="005846DC" w:rsidP="005846DC">
      <w:pPr>
        <w:pStyle w:val="PwCNormal"/>
        <w:numPr>
          <w:ilvl w:val="0"/>
          <w:numId w:val="1"/>
        </w:numPr>
      </w:pPr>
      <w:r w:rsidRPr="00EC326F">
        <w:lastRenderedPageBreak/>
        <w:t>We have observed a strong decreasing trend in the number of people entering this class over the last five years. The following table shows the number of entrants into this class over the last five years.</w:t>
      </w:r>
    </w:p>
    <w:p w14:paraId="0B5A5157" w14:textId="77777777" w:rsidR="005846DC" w:rsidRPr="00EC326F" w:rsidRDefault="005846DC" w:rsidP="005846DC">
      <w:pPr>
        <w:pStyle w:val="Caption"/>
      </w:pPr>
      <w:r w:rsidRPr="00EC326F">
        <w:t xml:space="preserve">Table </w:t>
      </w:r>
      <w:fldSimple w:instr=" SEQ Table \* ARABIC ">
        <w:r w:rsidR="007A42DF">
          <w:rPr>
            <w:noProof/>
          </w:rPr>
          <w:t>34</w:t>
        </w:r>
      </w:fldSimple>
      <w:r w:rsidRPr="00EC326F">
        <w:t>: Number of people entering Class 5 – Disability Support in the last 5 years</w:t>
      </w:r>
    </w:p>
    <w:tbl>
      <w:tblPr>
        <w:tblStyle w:val="ListTable3-Accent61"/>
        <w:tblW w:w="6663" w:type="dxa"/>
        <w:tblInd w:w="108" w:type="dxa"/>
        <w:tblLook w:val="04A0" w:firstRow="1" w:lastRow="0" w:firstColumn="1" w:lastColumn="0" w:noHBand="0" w:noVBand="1"/>
        <w:tblCaption w:val=" Number of people entering Class 5 – Disability Support in the last 5 years&#10;"/>
        <w:tblDescription w:val="This table shows the number of people entering Class 5 Disability Support over the last five years. There is a column for number of male entrants, a column for number of female entrants, a total entrant column and a % reduction versus the previous year column. &#10;&#10;In 2011/12, there were 32,188 male entrants to class 5 and 28,097 female entrants to class 5. Between 2011/12 and 2014/15 this number dropped at an increasing rate. By 2014/15 there were only 22,757 male entrants and 18,840 entrants. This was a 19% reduction compared to the previous year. In 2015/16 the number of entrants dropped 57% compared to 2014/15.&#10;&#10;The data provided in this table is described in more detail in the accompanying text in the report.&#10;"/>
      </w:tblPr>
      <w:tblGrid>
        <w:gridCol w:w="1332"/>
        <w:gridCol w:w="1333"/>
        <w:gridCol w:w="1332"/>
        <w:gridCol w:w="1333"/>
        <w:gridCol w:w="1333"/>
      </w:tblGrid>
      <w:tr w:rsidR="005846DC" w:rsidRPr="00EC326F" w14:paraId="3E76E492"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32" w:type="dxa"/>
            <w:tcBorders>
              <w:right w:val="single" w:sz="4" w:space="0" w:color="E0301E" w:themeColor="accent6"/>
            </w:tcBorders>
          </w:tcPr>
          <w:p w14:paraId="22EF35FF" w14:textId="77777777" w:rsidR="005846DC" w:rsidRPr="00EC326F" w:rsidRDefault="005846DC" w:rsidP="000D6C29">
            <w:pPr>
              <w:pStyle w:val="TableTextSmall"/>
              <w:rPr>
                <w:rFonts w:asciiTheme="majorHAnsi" w:hAnsiTheme="majorHAnsi"/>
                <w:color w:val="FFFFFF" w:themeColor="background1"/>
              </w:rPr>
            </w:pPr>
            <w:r w:rsidRPr="00EC326F">
              <w:rPr>
                <w:rFonts w:asciiTheme="majorHAnsi" w:hAnsiTheme="majorHAnsi"/>
                <w:color w:val="FFFFFF" w:themeColor="background1"/>
              </w:rPr>
              <w:t>Financial Year</w:t>
            </w:r>
          </w:p>
        </w:tc>
        <w:tc>
          <w:tcPr>
            <w:tcW w:w="1333" w:type="dxa"/>
            <w:tcBorders>
              <w:top w:val="single" w:sz="4" w:space="0" w:color="E0301E" w:themeColor="accent6"/>
              <w:left w:val="single" w:sz="4" w:space="0" w:color="E0301E" w:themeColor="accent6"/>
              <w:bottom w:val="single" w:sz="4" w:space="0" w:color="E0301E" w:themeColor="accent6"/>
            </w:tcBorders>
          </w:tcPr>
          <w:p w14:paraId="4DF744BD"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Male</w:t>
            </w:r>
          </w:p>
        </w:tc>
        <w:tc>
          <w:tcPr>
            <w:tcW w:w="1332" w:type="dxa"/>
            <w:tcBorders>
              <w:top w:val="single" w:sz="4" w:space="0" w:color="E0301E" w:themeColor="accent6"/>
              <w:bottom w:val="single" w:sz="4" w:space="0" w:color="E0301E" w:themeColor="accent6"/>
              <w:right w:val="single" w:sz="4" w:space="0" w:color="E0301E" w:themeColor="accent6"/>
            </w:tcBorders>
          </w:tcPr>
          <w:p w14:paraId="2214DCFB"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Female</w:t>
            </w:r>
          </w:p>
        </w:tc>
        <w:tc>
          <w:tcPr>
            <w:tcW w:w="1333" w:type="dxa"/>
            <w:tcBorders>
              <w:left w:val="single" w:sz="4" w:space="0" w:color="E0301E" w:themeColor="accent6"/>
            </w:tcBorders>
          </w:tcPr>
          <w:p w14:paraId="156E4641"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1333" w:type="dxa"/>
          </w:tcPr>
          <w:p w14:paraId="4289E083"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b w:val="0"/>
                <w:bCs w:val="0"/>
                <w:color w:val="FFFFFF" w:themeColor="background1"/>
              </w:rPr>
              <w:t>% Reduction vs Previous Year</w:t>
            </w:r>
          </w:p>
        </w:tc>
      </w:tr>
      <w:tr w:rsidR="001C6DA4" w:rsidRPr="00EC326F" w14:paraId="2B1378C7" w14:textId="77777777" w:rsidTr="00C10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722B8CDA" w14:textId="77777777" w:rsidR="001C6DA4" w:rsidRPr="00EC326F" w:rsidRDefault="001C6DA4" w:rsidP="001C6DA4">
            <w:pPr>
              <w:pStyle w:val="TableTextSmall"/>
            </w:pPr>
            <w:r w:rsidRPr="00EC326F">
              <w:t>2011/12</w:t>
            </w:r>
          </w:p>
        </w:tc>
        <w:tc>
          <w:tcPr>
            <w:tcW w:w="1333" w:type="dxa"/>
            <w:tcBorders>
              <w:left w:val="single" w:sz="4" w:space="0" w:color="E0301E" w:themeColor="accent6"/>
            </w:tcBorders>
            <w:vAlign w:val="bottom"/>
          </w:tcPr>
          <w:p w14:paraId="0BC782E8"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rPr>
                <w:rFonts w:cs="Times New Roman"/>
                <w:snapToGrid/>
                <w:lang w:eastAsia="en-AU"/>
              </w:rPr>
            </w:pPr>
            <w:r w:rsidRPr="00EC326F">
              <w:t>32,188</w:t>
            </w:r>
          </w:p>
        </w:tc>
        <w:tc>
          <w:tcPr>
            <w:tcW w:w="1332" w:type="dxa"/>
            <w:tcBorders>
              <w:right w:val="single" w:sz="4" w:space="0" w:color="E0301E" w:themeColor="accent6"/>
            </w:tcBorders>
            <w:vAlign w:val="bottom"/>
          </w:tcPr>
          <w:p w14:paraId="7FF5AD8F"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28,097</w:t>
            </w:r>
          </w:p>
        </w:tc>
        <w:tc>
          <w:tcPr>
            <w:tcW w:w="1333" w:type="dxa"/>
            <w:tcBorders>
              <w:left w:val="single" w:sz="4" w:space="0" w:color="E0301E" w:themeColor="accent6"/>
            </w:tcBorders>
            <w:vAlign w:val="bottom"/>
          </w:tcPr>
          <w:p w14:paraId="0F103865"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60,285</w:t>
            </w:r>
          </w:p>
        </w:tc>
        <w:tc>
          <w:tcPr>
            <w:tcW w:w="1333" w:type="dxa"/>
            <w:vAlign w:val="bottom"/>
          </w:tcPr>
          <w:p w14:paraId="7C502E77"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p>
        </w:tc>
      </w:tr>
      <w:tr w:rsidR="001C6DA4" w:rsidRPr="00EC326F" w14:paraId="004E7571" w14:textId="77777777" w:rsidTr="00C1032B">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250D335A" w14:textId="77777777" w:rsidR="001C6DA4" w:rsidRPr="00EC326F" w:rsidRDefault="001C6DA4" w:rsidP="001C6DA4">
            <w:pPr>
              <w:pStyle w:val="TableTextSmall"/>
            </w:pPr>
            <w:r w:rsidRPr="00EC326F">
              <w:t>2012/13</w:t>
            </w:r>
          </w:p>
        </w:tc>
        <w:tc>
          <w:tcPr>
            <w:tcW w:w="1333" w:type="dxa"/>
            <w:tcBorders>
              <w:top w:val="single" w:sz="4" w:space="0" w:color="E0301E" w:themeColor="accent6"/>
              <w:left w:val="single" w:sz="4" w:space="0" w:color="E0301E" w:themeColor="accent6"/>
              <w:bottom w:val="single" w:sz="4" w:space="0" w:color="E0301E" w:themeColor="accent6"/>
            </w:tcBorders>
            <w:vAlign w:val="bottom"/>
          </w:tcPr>
          <w:p w14:paraId="0677BAFF"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29,924</w:t>
            </w:r>
          </w:p>
        </w:tc>
        <w:tc>
          <w:tcPr>
            <w:tcW w:w="1332" w:type="dxa"/>
            <w:tcBorders>
              <w:top w:val="single" w:sz="4" w:space="0" w:color="E0301E" w:themeColor="accent6"/>
              <w:bottom w:val="single" w:sz="4" w:space="0" w:color="E0301E" w:themeColor="accent6"/>
              <w:right w:val="single" w:sz="4" w:space="0" w:color="E0301E" w:themeColor="accent6"/>
            </w:tcBorders>
            <w:vAlign w:val="bottom"/>
          </w:tcPr>
          <w:p w14:paraId="3A4D7E10"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26,797</w:t>
            </w:r>
          </w:p>
        </w:tc>
        <w:tc>
          <w:tcPr>
            <w:tcW w:w="1333" w:type="dxa"/>
            <w:tcBorders>
              <w:left w:val="single" w:sz="4" w:space="0" w:color="E0301E" w:themeColor="accent6"/>
            </w:tcBorders>
            <w:vAlign w:val="bottom"/>
          </w:tcPr>
          <w:p w14:paraId="49E9F2D8"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56,721</w:t>
            </w:r>
          </w:p>
        </w:tc>
        <w:tc>
          <w:tcPr>
            <w:tcW w:w="1333" w:type="dxa"/>
            <w:vAlign w:val="bottom"/>
          </w:tcPr>
          <w:p w14:paraId="2F1629CD"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-6%</w:t>
            </w:r>
          </w:p>
        </w:tc>
      </w:tr>
      <w:tr w:rsidR="001C6DA4" w:rsidRPr="00EC326F" w14:paraId="25331221" w14:textId="77777777" w:rsidTr="00C10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5CFC2CF7" w14:textId="77777777" w:rsidR="001C6DA4" w:rsidRPr="00EC326F" w:rsidRDefault="001C6DA4" w:rsidP="001C6DA4">
            <w:pPr>
              <w:pStyle w:val="TableTextSmall"/>
            </w:pPr>
            <w:r w:rsidRPr="00EC326F">
              <w:t>2013/14</w:t>
            </w:r>
          </w:p>
        </w:tc>
        <w:tc>
          <w:tcPr>
            <w:tcW w:w="1333" w:type="dxa"/>
            <w:tcBorders>
              <w:left w:val="single" w:sz="4" w:space="0" w:color="E0301E" w:themeColor="accent6"/>
            </w:tcBorders>
            <w:vAlign w:val="bottom"/>
          </w:tcPr>
          <w:p w14:paraId="5155F36C"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27,799</w:t>
            </w:r>
          </w:p>
        </w:tc>
        <w:tc>
          <w:tcPr>
            <w:tcW w:w="1332" w:type="dxa"/>
            <w:tcBorders>
              <w:right w:val="single" w:sz="4" w:space="0" w:color="E0301E" w:themeColor="accent6"/>
            </w:tcBorders>
            <w:vAlign w:val="bottom"/>
          </w:tcPr>
          <w:p w14:paraId="6968497A"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23,738</w:t>
            </w:r>
          </w:p>
        </w:tc>
        <w:tc>
          <w:tcPr>
            <w:tcW w:w="1333" w:type="dxa"/>
            <w:tcBorders>
              <w:left w:val="single" w:sz="4" w:space="0" w:color="E0301E" w:themeColor="accent6"/>
            </w:tcBorders>
            <w:vAlign w:val="bottom"/>
          </w:tcPr>
          <w:p w14:paraId="60D7C5F4"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51,537</w:t>
            </w:r>
          </w:p>
        </w:tc>
        <w:tc>
          <w:tcPr>
            <w:tcW w:w="1333" w:type="dxa"/>
            <w:vAlign w:val="bottom"/>
          </w:tcPr>
          <w:p w14:paraId="50D20C6A"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-9%</w:t>
            </w:r>
          </w:p>
        </w:tc>
      </w:tr>
      <w:tr w:rsidR="001C6DA4" w:rsidRPr="00EC326F" w14:paraId="7C1B6C30" w14:textId="77777777" w:rsidTr="00C1032B">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334B4ABD" w14:textId="77777777" w:rsidR="001C6DA4" w:rsidRPr="00EC326F" w:rsidRDefault="001C6DA4" w:rsidP="001C6DA4">
            <w:pPr>
              <w:pStyle w:val="TableTextSmall"/>
            </w:pPr>
            <w:r w:rsidRPr="00EC326F">
              <w:t>2014/15</w:t>
            </w:r>
          </w:p>
        </w:tc>
        <w:tc>
          <w:tcPr>
            <w:tcW w:w="1333" w:type="dxa"/>
            <w:tcBorders>
              <w:top w:val="single" w:sz="4" w:space="0" w:color="E0301E" w:themeColor="accent6"/>
              <w:left w:val="single" w:sz="4" w:space="0" w:color="E0301E" w:themeColor="accent6"/>
              <w:bottom w:val="single" w:sz="4" w:space="0" w:color="E0301E" w:themeColor="accent6"/>
            </w:tcBorders>
            <w:vAlign w:val="bottom"/>
          </w:tcPr>
          <w:p w14:paraId="6A7F0AD3"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22,757</w:t>
            </w:r>
          </w:p>
        </w:tc>
        <w:tc>
          <w:tcPr>
            <w:tcW w:w="1332" w:type="dxa"/>
            <w:tcBorders>
              <w:top w:val="single" w:sz="4" w:space="0" w:color="E0301E" w:themeColor="accent6"/>
              <w:bottom w:val="single" w:sz="4" w:space="0" w:color="E0301E" w:themeColor="accent6"/>
              <w:right w:val="single" w:sz="4" w:space="0" w:color="E0301E" w:themeColor="accent6"/>
            </w:tcBorders>
            <w:vAlign w:val="bottom"/>
          </w:tcPr>
          <w:p w14:paraId="26CF3C83"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18,840</w:t>
            </w:r>
          </w:p>
        </w:tc>
        <w:tc>
          <w:tcPr>
            <w:tcW w:w="1333" w:type="dxa"/>
            <w:tcBorders>
              <w:left w:val="single" w:sz="4" w:space="0" w:color="E0301E" w:themeColor="accent6"/>
            </w:tcBorders>
            <w:vAlign w:val="bottom"/>
          </w:tcPr>
          <w:p w14:paraId="77512ABA"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41,597</w:t>
            </w:r>
          </w:p>
        </w:tc>
        <w:tc>
          <w:tcPr>
            <w:tcW w:w="1333" w:type="dxa"/>
            <w:vAlign w:val="bottom"/>
          </w:tcPr>
          <w:p w14:paraId="7FE12A29"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-19%</w:t>
            </w:r>
          </w:p>
        </w:tc>
      </w:tr>
      <w:tr w:rsidR="001C6DA4" w:rsidRPr="00EC326F" w14:paraId="0ACB8E78" w14:textId="77777777" w:rsidTr="00C10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43127309" w14:textId="77777777" w:rsidR="001C6DA4" w:rsidRPr="00EC326F" w:rsidRDefault="001C6DA4" w:rsidP="001C6DA4">
            <w:pPr>
              <w:pStyle w:val="TableTextSmall"/>
            </w:pPr>
            <w:r w:rsidRPr="00EC326F">
              <w:t>2015/16</w:t>
            </w:r>
          </w:p>
        </w:tc>
        <w:tc>
          <w:tcPr>
            <w:tcW w:w="1333" w:type="dxa"/>
            <w:tcBorders>
              <w:left w:val="single" w:sz="4" w:space="0" w:color="E0301E" w:themeColor="accent6"/>
            </w:tcBorders>
            <w:vAlign w:val="bottom"/>
          </w:tcPr>
          <w:p w14:paraId="35D3F504"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10,179</w:t>
            </w:r>
          </w:p>
        </w:tc>
        <w:tc>
          <w:tcPr>
            <w:tcW w:w="1332" w:type="dxa"/>
            <w:tcBorders>
              <w:right w:val="single" w:sz="4" w:space="0" w:color="E0301E" w:themeColor="accent6"/>
            </w:tcBorders>
            <w:vAlign w:val="bottom"/>
          </w:tcPr>
          <w:p w14:paraId="1F6B5EA4"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7,648</w:t>
            </w:r>
          </w:p>
        </w:tc>
        <w:tc>
          <w:tcPr>
            <w:tcW w:w="1333" w:type="dxa"/>
            <w:tcBorders>
              <w:left w:val="single" w:sz="4" w:space="0" w:color="E0301E" w:themeColor="accent6"/>
            </w:tcBorders>
            <w:vAlign w:val="bottom"/>
          </w:tcPr>
          <w:p w14:paraId="751A784A"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17,827</w:t>
            </w:r>
          </w:p>
        </w:tc>
        <w:tc>
          <w:tcPr>
            <w:tcW w:w="1333" w:type="dxa"/>
            <w:vAlign w:val="bottom"/>
          </w:tcPr>
          <w:p w14:paraId="1385B05D"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-57%</w:t>
            </w:r>
          </w:p>
        </w:tc>
      </w:tr>
    </w:tbl>
    <w:p w14:paraId="3E254B4A" w14:textId="77777777" w:rsidR="00867ACD" w:rsidRPr="00EC326F" w:rsidRDefault="00867ACD" w:rsidP="005846DC">
      <w:pPr>
        <w:pStyle w:val="PwCNormal"/>
        <w:numPr>
          <w:ilvl w:val="0"/>
          <w:numId w:val="1"/>
        </w:numPr>
      </w:pPr>
      <w:r w:rsidRPr="00EC326F">
        <w:t>Note the figure for 2015/16 is likely to be materially impacted by data maturity and hence the reduction for this year will be less when the data is fully mature.</w:t>
      </w:r>
    </w:p>
    <w:p w14:paraId="37C62A7A" w14:textId="77777777" w:rsidR="005846DC" w:rsidRPr="00EC326F" w:rsidRDefault="005846DC" w:rsidP="005846DC">
      <w:pPr>
        <w:pStyle w:val="PwCNormal"/>
        <w:numPr>
          <w:ilvl w:val="0"/>
          <w:numId w:val="1"/>
        </w:numPr>
      </w:pPr>
      <w:r w:rsidRPr="00EC326F">
        <w:t>We have discussed this with the Department and understand this experience is likely to be a reflection of a series of policy changes that have been made over recent years, all tightening the eligibility criteria for the Disability Support Pension.</w:t>
      </w:r>
    </w:p>
    <w:p w14:paraId="485866EE" w14:textId="77777777" w:rsidR="005846DC" w:rsidRPr="00EC326F" w:rsidRDefault="005846DC" w:rsidP="002701A6">
      <w:pPr>
        <w:pStyle w:val="PwCNormal"/>
      </w:pPr>
      <w:r w:rsidRPr="00EC326F">
        <w:t xml:space="preserve">The reductions have varied across the different primary medical conditions, </w:t>
      </w:r>
      <w:r w:rsidR="002701A6" w:rsidRPr="00EC326F">
        <w:t xml:space="preserve">for example there was only </w:t>
      </w:r>
      <w:r w:rsidRPr="00EC326F">
        <w:t xml:space="preserve">a small reduction in entries for cancer-related conditions, but larger reductions for </w:t>
      </w:r>
      <w:r w:rsidR="002701A6" w:rsidRPr="00EC326F">
        <w:t>musculoskeletal and connective tissue disorders and poorly defined cause/chronic pain</w:t>
      </w:r>
      <w:r w:rsidRPr="00EC326F">
        <w:t xml:space="preserve">. Further insights are provided in </w:t>
      </w:r>
      <w:r w:rsidR="0011562A">
        <w:t>section</w:t>
      </w:r>
      <w:r w:rsidRPr="00EC326F">
        <w:t xml:space="preserve"> </w:t>
      </w:r>
      <w:r w:rsidR="002701A6" w:rsidRPr="00EC326F">
        <w:fldChar w:fldCharType="begin"/>
      </w:r>
      <w:r w:rsidR="002701A6" w:rsidRPr="00EC326F">
        <w:instrText xml:space="preserve"> REF _Ref466371474 \r \h </w:instrText>
      </w:r>
      <w:r w:rsidR="002701A6" w:rsidRPr="00EC326F">
        <w:fldChar w:fldCharType="separate"/>
      </w:r>
      <w:r w:rsidR="007A42DF">
        <w:t>14.3</w:t>
      </w:r>
      <w:r w:rsidR="002701A6" w:rsidRPr="00EC326F">
        <w:fldChar w:fldCharType="end"/>
      </w:r>
      <w:r w:rsidRPr="00EC326F">
        <w:t>.</w:t>
      </w:r>
    </w:p>
    <w:p w14:paraId="0271A5C9" w14:textId="77777777" w:rsidR="005846DC" w:rsidRPr="00EC326F" w:rsidRDefault="005846DC" w:rsidP="005846DC">
      <w:pPr>
        <w:pStyle w:val="Minorheading"/>
      </w:pPr>
      <w:r w:rsidRPr="00EC326F">
        <w:t>Movements out of this class</w:t>
      </w:r>
    </w:p>
    <w:p w14:paraId="5CF1C405" w14:textId="7B78A036" w:rsidR="005846DC" w:rsidRPr="00EC326F" w:rsidRDefault="005846DC" w:rsidP="005846DC">
      <w:pPr>
        <w:pStyle w:val="PwCNormal"/>
        <w:numPr>
          <w:ilvl w:val="0"/>
          <w:numId w:val="1"/>
        </w:numPr>
      </w:pPr>
      <w:r w:rsidRPr="00EC326F">
        <w:t xml:space="preserve">Over the last 3 years, an average of 52,900 people (6%) per annum have transitioned out of the </w:t>
      </w:r>
      <w:r w:rsidR="00916C7F">
        <w:t>D</w:t>
      </w:r>
      <w:r w:rsidRPr="00EC326F">
        <w:t xml:space="preserve">isability </w:t>
      </w:r>
      <w:r w:rsidR="00916C7F">
        <w:t>S</w:t>
      </w:r>
      <w:r w:rsidRPr="00EC326F">
        <w:t xml:space="preserve">upport </w:t>
      </w:r>
      <w:r w:rsidR="00916C7F">
        <w:t xml:space="preserve">Pension </w:t>
      </w:r>
      <w:r w:rsidRPr="00EC326F">
        <w:t xml:space="preserve">class. The following charts show the breakdown of this by age, gender and destination class. </w:t>
      </w:r>
    </w:p>
    <w:p w14:paraId="41F9CFE8" w14:textId="77777777" w:rsidR="005846DC" w:rsidRPr="00EC326F" w:rsidRDefault="005846DC" w:rsidP="005846DC">
      <w:pPr>
        <w:pStyle w:val="Caption"/>
      </w:pPr>
      <w:r w:rsidRPr="00EC326F">
        <w:t xml:space="preserve">Figure </w:t>
      </w:r>
      <w:fldSimple w:instr=" SEQ Figure \* ARABIC ">
        <w:r w:rsidR="007A42DF">
          <w:rPr>
            <w:noProof/>
          </w:rPr>
          <w:t>55</w:t>
        </w:r>
      </w:fldSimple>
      <w:r w:rsidRPr="00EC326F">
        <w:t>: Number of people leaving Class 5 – Disability Support (annual average over last 3 years)</w:t>
      </w:r>
    </w:p>
    <w:tbl>
      <w:tblPr>
        <w:tblW w:w="4922" w:type="pct"/>
        <w:tblLayout w:type="fixed"/>
        <w:tblLook w:val="04A0" w:firstRow="1" w:lastRow="0" w:firstColumn="1" w:lastColumn="0" w:noHBand="0" w:noVBand="1"/>
        <w:tblCaption w:val=" Number of people leaving Class 5 – Disability Support (annual average over last 3 years)"/>
        <w:tblDescription w:val="This text box contains two charts and a legend."/>
      </w:tblPr>
      <w:tblGrid>
        <w:gridCol w:w="4627"/>
        <w:gridCol w:w="4627"/>
      </w:tblGrid>
      <w:tr w:rsidR="005846DC" w:rsidRPr="00EC326F" w14:paraId="4B93E266" w14:textId="77777777" w:rsidTr="001B43B4">
        <w:trPr>
          <w:tblHeader/>
        </w:trPr>
        <w:tc>
          <w:tcPr>
            <w:tcW w:w="4627" w:type="dxa"/>
          </w:tcPr>
          <w:p w14:paraId="27A9CAD4" w14:textId="77777777" w:rsidR="005846DC" w:rsidRPr="00EC326F" w:rsidRDefault="005846DC" w:rsidP="000D6C29">
            <w:pPr>
              <w:pStyle w:val="TableTextSmall"/>
              <w:keepNext/>
              <w:jc w:val="center"/>
              <w:rPr>
                <w:b/>
                <w:i/>
              </w:rPr>
            </w:pPr>
            <w:r w:rsidRPr="00EC326F">
              <w:rPr>
                <w:b/>
                <w:i/>
              </w:rPr>
              <w:t>Males</w:t>
            </w:r>
          </w:p>
        </w:tc>
        <w:tc>
          <w:tcPr>
            <w:tcW w:w="4627" w:type="dxa"/>
          </w:tcPr>
          <w:p w14:paraId="37D6EECC" w14:textId="77777777" w:rsidR="005846DC" w:rsidRPr="00EC326F" w:rsidRDefault="005846DC" w:rsidP="000D6C29">
            <w:pPr>
              <w:pStyle w:val="TableTextSmall"/>
              <w:keepNext/>
              <w:jc w:val="center"/>
              <w:rPr>
                <w:b/>
                <w:i/>
              </w:rPr>
            </w:pPr>
            <w:r w:rsidRPr="00EC326F">
              <w:rPr>
                <w:b/>
                <w:i/>
              </w:rPr>
              <w:t>Females</w:t>
            </w:r>
          </w:p>
        </w:tc>
      </w:tr>
      <w:tr w:rsidR="005846DC" w:rsidRPr="00EC326F" w14:paraId="0BA95E91" w14:textId="77777777" w:rsidTr="00833C7E">
        <w:tc>
          <w:tcPr>
            <w:tcW w:w="4627" w:type="dxa"/>
          </w:tcPr>
          <w:p w14:paraId="0361382D" w14:textId="77777777" w:rsidR="005846DC" w:rsidRPr="00EC326F" w:rsidRDefault="005846DC" w:rsidP="00762003">
            <w:pPr>
              <w:pStyle w:val="TableTextSmall"/>
              <w:keepNext/>
              <w:jc w:val="center"/>
              <w:rPr>
                <w:lang w:eastAsia="en-AU"/>
              </w:rPr>
            </w:pPr>
            <w:r w:rsidRPr="00EC326F">
              <w:rPr>
                <w:noProof/>
                <w:lang w:eastAsia="en-AU"/>
              </w:rPr>
              <w:drawing>
                <wp:inline distT="0" distB="0" distL="0" distR="0" wp14:anchorId="7A203BB4" wp14:editId="7460DAF3">
                  <wp:extent cx="2844000" cy="1782000"/>
                  <wp:effectExtent l="0" t="0" r="0" b="8890"/>
                  <wp:docPr id="3113" name="Picture 3113" descr="This figure contains two area charts showing the cumulative number of exits from the Disability Support class by age. The age profile of male and female exits is shown separately. For both charts the horizontal axis shows age at the start of the year ranging from 0 to 110 and the vertical axis shows the cumulative number of people exiting ranging from 0 to 16,000.&#10;&#10;The left hand chart shows the average number of males exiting the class over the period from June 2014 to June 2016, by age. The right hand chart shows the average number of females exiting the class over the period from June 2014 to June 2016, by age.&#10;&#10;Both area charts show the cumulative number of people who exited the Disability Support class split by class they subsequently transition to. These classes include; 1 Studying, 2 Working Age, 3 Parents, 4 Carers, 6 Pension Age, 7 Non-IS Family, 8 Non-IS Carer, 9 Non-IS Other, 10 Previous Welfare Recipient, 11 Dead and 12 Rest of the Australian Population.&#10;&#10;Both the male and female exit charts show a similar profile for class exits. Between ages 0 and 64 the number of exits rises from 0 to 650 at each age. At age 65 there is a sharp increase in exits; 13,500 for females and 15,700 for males. Almost all of these clients exit to the Pension age class at age 65. After age 65, the number of clients exiting quickly decreases to zero. &#10;&#10;Further discussion of the key features shown in the chart can be found in the accompanying text within the report.&#10;" title=" Number of people leaving Class 5 – Disability Support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44000" cy="1782000"/>
                          </a:xfrm>
                          <a:prstGeom prst="rect">
                            <a:avLst/>
                          </a:prstGeom>
                          <a:noFill/>
                          <a:ln>
                            <a:noFill/>
                          </a:ln>
                        </pic:spPr>
                      </pic:pic>
                    </a:graphicData>
                  </a:graphic>
                </wp:inline>
              </w:drawing>
            </w:r>
          </w:p>
        </w:tc>
        <w:tc>
          <w:tcPr>
            <w:tcW w:w="4627" w:type="dxa"/>
          </w:tcPr>
          <w:p w14:paraId="43B4D703" w14:textId="77777777" w:rsidR="005846DC" w:rsidRPr="00EC326F" w:rsidRDefault="005846DC" w:rsidP="00762003">
            <w:pPr>
              <w:pStyle w:val="TableTextSmall"/>
              <w:keepNext/>
              <w:jc w:val="center"/>
              <w:rPr>
                <w:lang w:eastAsia="en-AU"/>
              </w:rPr>
            </w:pPr>
            <w:r w:rsidRPr="00EC326F">
              <w:rPr>
                <w:noProof/>
                <w:lang w:eastAsia="en-AU"/>
              </w:rPr>
              <w:drawing>
                <wp:inline distT="0" distB="0" distL="0" distR="0" wp14:anchorId="1A34AFB6" wp14:editId="60878450">
                  <wp:extent cx="2844000" cy="1799999"/>
                  <wp:effectExtent l="0" t="0" r="0" b="0"/>
                  <wp:docPr id="3114" name="Picture 3114" descr="This figure contains two area charts showing the cumulative number of exits from the Disability Support class by age. The age profile of male and female exits is shown separately. For both charts the horizontal axis shows age at the start of the year ranging from 0 to 110 and the vertical axis shows the cumulative number of people exiting ranging from 0 to 16,000.&#10;&#10;The left hand chart shows the average number of males exiting the class over the period from June 2014 to June 2016, by age. The right hand chart shows the average number of females exiting the class over the period from June 2014 to June 2016, by age.&#10;&#10;Both area charts show the cumulative number of people who exited the Disability Support class split by class they subsequently transition to. These classes include; 1 Studying, 2 Working Age, 3 Parents, 4 Carers, 6 Pension Age, 7 Non-IS Family, 8 Non-IS Carer, 9 Non-IS Other, 10 Previous Welfare Recipient, 11 Dead and 12 Rest of the Australian Population.&#10;&#10;Both the male and female exit charts show a similar profile for class exits. Between ages 0 and 64 the number of exits rises from 0 to 650 at each age. At age 65 there is a sharp increase in exits; 13,500 for females and 15,700 for males. Almost all of these clients exit to the Pension age class at age 65. After age 65, the number of clients exiting quickly decreases to zero. &#10;&#10;Further discussion of the key features shown in the chart can be found in the accompanying text within the report.&#10;" title=" Number of people leaving Class 5 – Disability Support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44000" cy="1799999"/>
                          </a:xfrm>
                          <a:prstGeom prst="rect">
                            <a:avLst/>
                          </a:prstGeom>
                          <a:noFill/>
                          <a:ln>
                            <a:noFill/>
                          </a:ln>
                        </pic:spPr>
                      </pic:pic>
                    </a:graphicData>
                  </a:graphic>
                </wp:inline>
              </w:drawing>
            </w:r>
          </w:p>
        </w:tc>
      </w:tr>
    </w:tbl>
    <w:p w14:paraId="151C3295" w14:textId="75CD3187" w:rsidR="00833C7E" w:rsidRDefault="00833C7E" w:rsidP="0081675B">
      <w:pPr>
        <w:pStyle w:val="PwCNormal"/>
        <w:numPr>
          <w:ilvl w:val="0"/>
          <w:numId w:val="1"/>
        </w:numPr>
        <w:jc w:val="center"/>
      </w:pPr>
      <w:r w:rsidRPr="00EC326F">
        <w:rPr>
          <w:noProof/>
          <w:lang w:eastAsia="en-AU"/>
        </w:rPr>
        <w:drawing>
          <wp:inline distT="0" distB="0" distL="0" distR="0" wp14:anchorId="5BF1F91C" wp14:editId="6CEE84C1">
            <wp:extent cx="5385600" cy="468000"/>
            <wp:effectExtent l="0" t="0" r="0" b="8255"/>
            <wp:docPr id="3087" name="Picture 3087" descr="Class key: studying, working age, parents, carers, disability support, pension age, non-income support family, non-income support carer, non-income support other, previous welfare recipient, rest of the Australian population and dead. &#10;" title="Class Key for Fig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1E9509E8" w14:textId="2FF95376" w:rsidR="005846DC" w:rsidRPr="00EC326F" w:rsidRDefault="005846DC" w:rsidP="005846DC">
      <w:pPr>
        <w:pStyle w:val="PwCNormal"/>
        <w:numPr>
          <w:ilvl w:val="0"/>
          <w:numId w:val="1"/>
        </w:numPr>
      </w:pPr>
      <w:r w:rsidRPr="00EC326F">
        <w:t xml:space="preserve">We can see that people in this class show very limited mobility. The main exits from the class are through retirement or death. Notwithstanding this, in the </w:t>
      </w:r>
      <w:r w:rsidR="00A008C3" w:rsidRPr="00EC326F">
        <w:t>2015/16</w:t>
      </w:r>
      <w:r w:rsidRPr="00EC326F">
        <w:t xml:space="preserve"> year, we have observed a </w:t>
      </w:r>
      <w:r w:rsidR="008E7789" w:rsidRPr="00EC326F">
        <w:t>material</w:t>
      </w:r>
      <w:r w:rsidRPr="00EC326F">
        <w:t xml:space="preserve"> </w:t>
      </w:r>
      <w:r w:rsidR="008E7789" w:rsidRPr="00EC326F">
        <w:t>number</w:t>
      </w:r>
      <w:r w:rsidRPr="00EC326F">
        <w:t xml:space="preserve"> </w:t>
      </w:r>
      <w:r w:rsidR="008E7789" w:rsidRPr="00EC326F">
        <w:t xml:space="preserve">of </w:t>
      </w:r>
      <w:r w:rsidRPr="00EC326F">
        <w:t>people aged under 40 exit the class, mainly into the other income support classes. This is a result of medical reviews conducted by the Department</w:t>
      </w:r>
      <w:r w:rsidR="00AF3912">
        <w:t xml:space="preserve"> of Human Services</w:t>
      </w:r>
      <w:r w:rsidR="000B3A67">
        <w:t xml:space="preserve"> (DHS)</w:t>
      </w:r>
      <w:r w:rsidRPr="00EC326F">
        <w:t xml:space="preserve">, which are likely to result in a higher exit rate (relative to historical levels) in the short term. This experience can be seen in the table below, which shows </w:t>
      </w:r>
      <w:r w:rsidR="00A008C3" w:rsidRPr="00EC326F">
        <w:t xml:space="preserve">the historic number of </w:t>
      </w:r>
      <w:r w:rsidR="00916C7F">
        <w:t>people leaving the D</w:t>
      </w:r>
      <w:r w:rsidRPr="00EC326F">
        <w:t xml:space="preserve">isability </w:t>
      </w:r>
      <w:r w:rsidR="00916C7F">
        <w:t>S</w:t>
      </w:r>
      <w:r w:rsidRPr="00EC326F">
        <w:t xml:space="preserve">upport </w:t>
      </w:r>
      <w:r w:rsidR="00916C7F">
        <w:t xml:space="preserve">Pension </w:t>
      </w:r>
      <w:r w:rsidRPr="00EC326F">
        <w:t xml:space="preserve">class prior to retirement age. </w:t>
      </w:r>
    </w:p>
    <w:p w14:paraId="56A9C0E1" w14:textId="77777777" w:rsidR="005846DC" w:rsidRPr="00EC326F" w:rsidRDefault="005846DC" w:rsidP="005846DC">
      <w:pPr>
        <w:pStyle w:val="Caption"/>
      </w:pPr>
      <w:r w:rsidRPr="00EC326F">
        <w:lastRenderedPageBreak/>
        <w:t xml:space="preserve">Table </w:t>
      </w:r>
      <w:fldSimple w:instr=" SEQ Table \* ARABIC ">
        <w:r w:rsidR="007A42DF">
          <w:rPr>
            <w:noProof/>
          </w:rPr>
          <w:t>35</w:t>
        </w:r>
      </w:fldSimple>
      <w:r w:rsidRPr="00EC326F">
        <w:t>: Number of people leaving Class 5 – Disability Support prior to retirement in the last 5 years</w:t>
      </w:r>
    </w:p>
    <w:tbl>
      <w:tblPr>
        <w:tblStyle w:val="ListTable3-Accent61"/>
        <w:tblW w:w="7797" w:type="dxa"/>
        <w:tblInd w:w="108" w:type="dxa"/>
        <w:tblLook w:val="04A0" w:firstRow="1" w:lastRow="0" w:firstColumn="1" w:lastColumn="0" w:noHBand="0" w:noVBand="1"/>
        <w:tblCaption w:val=" Number of people leaving Class 5 – Disability Support prior to retirement in the last 5 years&#10;"/>
        <w:tblDescription w:val="This table shows the number of people exiting Class 5 Disability Support over the last five years. There is a column for number of people remaining in class 5, a second column showing the number of people leaving class 5 and going to an income support class and a third column that shows the number of people who leave class 5 and no longer receive income support. The final column shows the total exits.&#10;&#10;The table shows that between 2011/12 and 2014/15 the number of people exiting to other income support classes rose slightly (1,181 in 2011/12 to 1,732 in 2014/15), and then steeply in the 2015/16 year to 5,378. The number of people exiting to non income support classes has declined over the last 5 years from 20,029 in 2011/12 to 17,890 in 2015/16.&#10;&#10;In 2015/16 the number leaving class 5 and going to other income support classes jumped to 5,378. The number exiting and going to non income support classes remained relatively stable. &#10;&#10;The data provided in this table is described in more detail in the accompanying text in the report.&#10;"/>
      </w:tblPr>
      <w:tblGrid>
        <w:gridCol w:w="1332"/>
        <w:gridCol w:w="1616"/>
        <w:gridCol w:w="1616"/>
        <w:gridCol w:w="1616"/>
        <w:gridCol w:w="1617"/>
      </w:tblGrid>
      <w:tr w:rsidR="005846DC" w:rsidRPr="00EC326F" w14:paraId="27BC6DDE"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32" w:type="dxa"/>
            <w:tcBorders>
              <w:right w:val="single" w:sz="4" w:space="0" w:color="E0301E" w:themeColor="accent6"/>
            </w:tcBorders>
          </w:tcPr>
          <w:p w14:paraId="49594909" w14:textId="77777777" w:rsidR="005846DC" w:rsidRPr="00EC326F" w:rsidRDefault="005846DC" w:rsidP="000D6C29">
            <w:pPr>
              <w:pStyle w:val="TableTextSmall"/>
              <w:rPr>
                <w:rFonts w:asciiTheme="majorHAnsi" w:hAnsiTheme="majorHAnsi"/>
                <w:color w:val="FFFFFF" w:themeColor="background1"/>
              </w:rPr>
            </w:pPr>
            <w:r w:rsidRPr="00EC326F">
              <w:rPr>
                <w:rFonts w:asciiTheme="majorHAnsi" w:hAnsiTheme="majorHAnsi"/>
                <w:color w:val="FFFFFF" w:themeColor="background1"/>
              </w:rPr>
              <w:t>Financial Year</w:t>
            </w:r>
          </w:p>
        </w:tc>
        <w:tc>
          <w:tcPr>
            <w:tcW w:w="1616" w:type="dxa"/>
            <w:tcBorders>
              <w:top w:val="single" w:sz="4" w:space="0" w:color="E0301E" w:themeColor="accent6"/>
              <w:left w:val="single" w:sz="4" w:space="0" w:color="E0301E" w:themeColor="accent6"/>
              <w:bottom w:val="single" w:sz="4" w:space="0" w:color="E0301E" w:themeColor="accent6"/>
            </w:tcBorders>
          </w:tcPr>
          <w:p w14:paraId="0153BB2F"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Remaining in Class 5</w:t>
            </w:r>
          </w:p>
        </w:tc>
        <w:tc>
          <w:tcPr>
            <w:tcW w:w="1616" w:type="dxa"/>
            <w:tcBorders>
              <w:top w:val="single" w:sz="4" w:space="0" w:color="E0301E" w:themeColor="accent6"/>
              <w:bottom w:val="single" w:sz="4" w:space="0" w:color="E0301E" w:themeColor="accent6"/>
              <w:right w:val="nil"/>
            </w:tcBorders>
          </w:tcPr>
          <w:p w14:paraId="0440B68C"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Leaving Class 5 to an income support class</w:t>
            </w:r>
          </w:p>
        </w:tc>
        <w:tc>
          <w:tcPr>
            <w:tcW w:w="1616" w:type="dxa"/>
            <w:tcBorders>
              <w:top w:val="single" w:sz="4" w:space="0" w:color="E0301E" w:themeColor="accent6"/>
              <w:left w:val="nil"/>
              <w:bottom w:val="single" w:sz="4" w:space="0" w:color="E0301E" w:themeColor="accent6"/>
              <w:right w:val="single" w:sz="4" w:space="0" w:color="E0301E" w:themeColor="accent6"/>
            </w:tcBorders>
          </w:tcPr>
          <w:p w14:paraId="41A7BC60"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 xml:space="preserve">Leaving Class 5 and no longer on income support </w:t>
            </w:r>
          </w:p>
        </w:tc>
        <w:tc>
          <w:tcPr>
            <w:tcW w:w="1617" w:type="dxa"/>
            <w:tcBorders>
              <w:left w:val="single" w:sz="4" w:space="0" w:color="E0301E" w:themeColor="accent6"/>
            </w:tcBorders>
          </w:tcPr>
          <w:p w14:paraId="5AF297F5"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b w:val="0"/>
                <w:bCs w:val="0"/>
                <w:color w:val="FFFFFF" w:themeColor="background1"/>
              </w:rPr>
              <w:t>Total</w:t>
            </w:r>
          </w:p>
        </w:tc>
      </w:tr>
      <w:tr w:rsidR="001C6DA4" w:rsidRPr="00EC326F" w14:paraId="05B250F2" w14:textId="77777777" w:rsidTr="00C10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02CFABA7" w14:textId="77777777" w:rsidR="001C6DA4" w:rsidRPr="00EC326F" w:rsidRDefault="001C6DA4" w:rsidP="001C6DA4">
            <w:pPr>
              <w:pStyle w:val="TableTextSmall"/>
            </w:pPr>
            <w:r w:rsidRPr="00EC326F">
              <w:t>2011/12</w:t>
            </w:r>
          </w:p>
        </w:tc>
        <w:tc>
          <w:tcPr>
            <w:tcW w:w="1616" w:type="dxa"/>
            <w:tcBorders>
              <w:left w:val="single" w:sz="4" w:space="0" w:color="E0301E" w:themeColor="accent6"/>
            </w:tcBorders>
            <w:vAlign w:val="bottom"/>
          </w:tcPr>
          <w:p w14:paraId="73F8DC83"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rPr>
                <w:rFonts w:cs="Times New Roman"/>
                <w:snapToGrid/>
                <w:lang w:eastAsia="en-AU"/>
              </w:rPr>
            </w:pPr>
            <w:r w:rsidRPr="00EC326F">
              <w:t>715,329</w:t>
            </w:r>
          </w:p>
        </w:tc>
        <w:tc>
          <w:tcPr>
            <w:tcW w:w="1616" w:type="dxa"/>
            <w:tcBorders>
              <w:right w:val="nil"/>
            </w:tcBorders>
            <w:vAlign w:val="bottom"/>
          </w:tcPr>
          <w:p w14:paraId="2D308C4C"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1,181</w:t>
            </w:r>
          </w:p>
        </w:tc>
        <w:tc>
          <w:tcPr>
            <w:tcW w:w="1616" w:type="dxa"/>
            <w:tcBorders>
              <w:left w:val="nil"/>
              <w:right w:val="single" w:sz="4" w:space="0" w:color="E0301E" w:themeColor="accent6"/>
            </w:tcBorders>
            <w:vAlign w:val="bottom"/>
          </w:tcPr>
          <w:p w14:paraId="3A831002"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20,029</w:t>
            </w:r>
          </w:p>
        </w:tc>
        <w:tc>
          <w:tcPr>
            <w:tcW w:w="1617" w:type="dxa"/>
            <w:tcBorders>
              <w:left w:val="single" w:sz="4" w:space="0" w:color="E0301E" w:themeColor="accent6"/>
            </w:tcBorders>
            <w:vAlign w:val="bottom"/>
          </w:tcPr>
          <w:p w14:paraId="5109F2BE"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736,539</w:t>
            </w:r>
          </w:p>
        </w:tc>
      </w:tr>
      <w:tr w:rsidR="001C6DA4" w:rsidRPr="00EC326F" w14:paraId="2038B339" w14:textId="77777777" w:rsidTr="00C1032B">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24D8194D" w14:textId="77777777" w:rsidR="001C6DA4" w:rsidRPr="00EC326F" w:rsidRDefault="001C6DA4" w:rsidP="001C6DA4">
            <w:pPr>
              <w:pStyle w:val="TableTextSmall"/>
            </w:pPr>
            <w:r w:rsidRPr="00EC326F">
              <w:t>2012/13</w:t>
            </w:r>
          </w:p>
        </w:tc>
        <w:tc>
          <w:tcPr>
            <w:tcW w:w="1616" w:type="dxa"/>
            <w:tcBorders>
              <w:top w:val="single" w:sz="4" w:space="0" w:color="E0301E" w:themeColor="accent6"/>
              <w:left w:val="single" w:sz="4" w:space="0" w:color="E0301E" w:themeColor="accent6"/>
              <w:bottom w:val="single" w:sz="4" w:space="0" w:color="E0301E" w:themeColor="accent6"/>
            </w:tcBorders>
            <w:vAlign w:val="bottom"/>
          </w:tcPr>
          <w:p w14:paraId="114F5A18"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723,613</w:t>
            </w:r>
          </w:p>
        </w:tc>
        <w:tc>
          <w:tcPr>
            <w:tcW w:w="1616" w:type="dxa"/>
            <w:tcBorders>
              <w:top w:val="single" w:sz="4" w:space="0" w:color="E0301E" w:themeColor="accent6"/>
              <w:bottom w:val="single" w:sz="4" w:space="0" w:color="E0301E" w:themeColor="accent6"/>
              <w:right w:val="nil"/>
            </w:tcBorders>
            <w:vAlign w:val="bottom"/>
          </w:tcPr>
          <w:p w14:paraId="2C400A42"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1,285</w:t>
            </w:r>
          </w:p>
        </w:tc>
        <w:tc>
          <w:tcPr>
            <w:tcW w:w="1616" w:type="dxa"/>
            <w:tcBorders>
              <w:top w:val="single" w:sz="4" w:space="0" w:color="E0301E" w:themeColor="accent6"/>
              <w:left w:val="nil"/>
              <w:bottom w:val="single" w:sz="4" w:space="0" w:color="E0301E" w:themeColor="accent6"/>
              <w:right w:val="single" w:sz="4" w:space="0" w:color="E0301E" w:themeColor="accent6"/>
            </w:tcBorders>
            <w:vAlign w:val="bottom"/>
          </w:tcPr>
          <w:p w14:paraId="2FD66104"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19,190</w:t>
            </w:r>
          </w:p>
        </w:tc>
        <w:tc>
          <w:tcPr>
            <w:tcW w:w="1617" w:type="dxa"/>
            <w:tcBorders>
              <w:left w:val="single" w:sz="4" w:space="0" w:color="E0301E" w:themeColor="accent6"/>
            </w:tcBorders>
            <w:vAlign w:val="bottom"/>
          </w:tcPr>
          <w:p w14:paraId="4E54A487"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744,088</w:t>
            </w:r>
          </w:p>
        </w:tc>
      </w:tr>
      <w:tr w:rsidR="001C6DA4" w:rsidRPr="00EC326F" w14:paraId="092CBBA2" w14:textId="77777777" w:rsidTr="00C10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3A4065ED" w14:textId="77777777" w:rsidR="001C6DA4" w:rsidRPr="00EC326F" w:rsidRDefault="001C6DA4" w:rsidP="001C6DA4">
            <w:pPr>
              <w:pStyle w:val="TableTextSmall"/>
            </w:pPr>
            <w:r w:rsidRPr="00EC326F">
              <w:t>2013/14</w:t>
            </w:r>
          </w:p>
        </w:tc>
        <w:tc>
          <w:tcPr>
            <w:tcW w:w="1616" w:type="dxa"/>
            <w:tcBorders>
              <w:left w:val="single" w:sz="4" w:space="0" w:color="E0301E" w:themeColor="accent6"/>
            </w:tcBorders>
            <w:vAlign w:val="bottom"/>
          </w:tcPr>
          <w:p w14:paraId="5393153B"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720,280</w:t>
            </w:r>
          </w:p>
        </w:tc>
        <w:tc>
          <w:tcPr>
            <w:tcW w:w="1616" w:type="dxa"/>
            <w:tcBorders>
              <w:right w:val="nil"/>
            </w:tcBorders>
            <w:vAlign w:val="bottom"/>
          </w:tcPr>
          <w:p w14:paraId="4CA253FF"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1,186</w:t>
            </w:r>
          </w:p>
        </w:tc>
        <w:tc>
          <w:tcPr>
            <w:tcW w:w="1616" w:type="dxa"/>
            <w:tcBorders>
              <w:left w:val="nil"/>
              <w:right w:val="single" w:sz="4" w:space="0" w:color="E0301E" w:themeColor="accent6"/>
            </w:tcBorders>
            <w:vAlign w:val="bottom"/>
          </w:tcPr>
          <w:p w14:paraId="0A7D3621"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18,044</w:t>
            </w:r>
          </w:p>
        </w:tc>
        <w:tc>
          <w:tcPr>
            <w:tcW w:w="1617" w:type="dxa"/>
            <w:tcBorders>
              <w:left w:val="single" w:sz="4" w:space="0" w:color="E0301E" w:themeColor="accent6"/>
            </w:tcBorders>
            <w:vAlign w:val="bottom"/>
          </w:tcPr>
          <w:p w14:paraId="00925753"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739,510</w:t>
            </w:r>
          </w:p>
        </w:tc>
      </w:tr>
      <w:tr w:rsidR="001C6DA4" w:rsidRPr="00EC326F" w14:paraId="48C95E0F" w14:textId="77777777" w:rsidTr="00C1032B">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1426FD56" w14:textId="77777777" w:rsidR="001C6DA4" w:rsidRPr="00EC326F" w:rsidRDefault="001C6DA4" w:rsidP="001C6DA4">
            <w:pPr>
              <w:pStyle w:val="TableTextSmall"/>
            </w:pPr>
            <w:r w:rsidRPr="00EC326F">
              <w:t>2014/15</w:t>
            </w:r>
          </w:p>
        </w:tc>
        <w:tc>
          <w:tcPr>
            <w:tcW w:w="1616" w:type="dxa"/>
            <w:tcBorders>
              <w:top w:val="single" w:sz="4" w:space="0" w:color="E0301E" w:themeColor="accent6"/>
              <w:left w:val="single" w:sz="4" w:space="0" w:color="E0301E" w:themeColor="accent6"/>
              <w:bottom w:val="single" w:sz="4" w:space="0" w:color="E0301E" w:themeColor="accent6"/>
            </w:tcBorders>
            <w:vAlign w:val="bottom"/>
          </w:tcPr>
          <w:p w14:paraId="36D19629"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712,624</w:t>
            </w:r>
          </w:p>
        </w:tc>
        <w:tc>
          <w:tcPr>
            <w:tcW w:w="1616" w:type="dxa"/>
            <w:tcBorders>
              <w:top w:val="single" w:sz="4" w:space="0" w:color="E0301E" w:themeColor="accent6"/>
              <w:bottom w:val="single" w:sz="4" w:space="0" w:color="E0301E" w:themeColor="accent6"/>
              <w:right w:val="nil"/>
            </w:tcBorders>
            <w:vAlign w:val="bottom"/>
          </w:tcPr>
          <w:p w14:paraId="217A70C9"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1,732</w:t>
            </w:r>
          </w:p>
        </w:tc>
        <w:tc>
          <w:tcPr>
            <w:tcW w:w="1616" w:type="dxa"/>
            <w:tcBorders>
              <w:top w:val="single" w:sz="4" w:space="0" w:color="E0301E" w:themeColor="accent6"/>
              <w:left w:val="nil"/>
              <w:bottom w:val="single" w:sz="4" w:space="0" w:color="E0301E" w:themeColor="accent6"/>
              <w:right w:val="single" w:sz="4" w:space="0" w:color="E0301E" w:themeColor="accent6"/>
            </w:tcBorders>
            <w:vAlign w:val="bottom"/>
          </w:tcPr>
          <w:p w14:paraId="71458E8E"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17,991</w:t>
            </w:r>
          </w:p>
        </w:tc>
        <w:tc>
          <w:tcPr>
            <w:tcW w:w="1617" w:type="dxa"/>
            <w:tcBorders>
              <w:left w:val="single" w:sz="4" w:space="0" w:color="E0301E" w:themeColor="accent6"/>
            </w:tcBorders>
            <w:vAlign w:val="bottom"/>
          </w:tcPr>
          <w:p w14:paraId="147ADEFD" w14:textId="77777777" w:rsidR="001C6DA4" w:rsidRPr="00EC326F" w:rsidRDefault="001C6DA4" w:rsidP="001C6DA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732,347</w:t>
            </w:r>
          </w:p>
        </w:tc>
      </w:tr>
      <w:tr w:rsidR="001C6DA4" w:rsidRPr="00EC326F" w14:paraId="60D1941A" w14:textId="77777777" w:rsidTr="00C10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702A5098" w14:textId="77777777" w:rsidR="001C6DA4" w:rsidRPr="00EC326F" w:rsidRDefault="001C6DA4" w:rsidP="001C6DA4">
            <w:pPr>
              <w:pStyle w:val="TableTextSmall"/>
            </w:pPr>
            <w:r w:rsidRPr="00EC326F">
              <w:t>2015/16</w:t>
            </w:r>
          </w:p>
        </w:tc>
        <w:tc>
          <w:tcPr>
            <w:tcW w:w="1616" w:type="dxa"/>
            <w:tcBorders>
              <w:left w:val="single" w:sz="4" w:space="0" w:color="E0301E" w:themeColor="accent6"/>
            </w:tcBorders>
            <w:vAlign w:val="bottom"/>
          </w:tcPr>
          <w:p w14:paraId="2262CDAF"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694,181</w:t>
            </w:r>
          </w:p>
        </w:tc>
        <w:tc>
          <w:tcPr>
            <w:tcW w:w="1616" w:type="dxa"/>
            <w:tcBorders>
              <w:right w:val="nil"/>
            </w:tcBorders>
            <w:vAlign w:val="bottom"/>
          </w:tcPr>
          <w:p w14:paraId="43796CCB"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5,378</w:t>
            </w:r>
          </w:p>
        </w:tc>
        <w:tc>
          <w:tcPr>
            <w:tcW w:w="1616" w:type="dxa"/>
            <w:tcBorders>
              <w:left w:val="nil"/>
              <w:right w:val="single" w:sz="4" w:space="0" w:color="E0301E" w:themeColor="accent6"/>
            </w:tcBorders>
            <w:vAlign w:val="bottom"/>
          </w:tcPr>
          <w:p w14:paraId="244F86C2"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17,890</w:t>
            </w:r>
          </w:p>
        </w:tc>
        <w:tc>
          <w:tcPr>
            <w:tcW w:w="1617" w:type="dxa"/>
            <w:tcBorders>
              <w:left w:val="single" w:sz="4" w:space="0" w:color="E0301E" w:themeColor="accent6"/>
            </w:tcBorders>
            <w:vAlign w:val="bottom"/>
          </w:tcPr>
          <w:p w14:paraId="19F1803E" w14:textId="77777777" w:rsidR="001C6DA4" w:rsidRPr="00EC326F" w:rsidRDefault="001C6DA4" w:rsidP="001C6DA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717,449</w:t>
            </w:r>
          </w:p>
        </w:tc>
      </w:tr>
    </w:tbl>
    <w:p w14:paraId="632B9185" w14:textId="77777777" w:rsidR="005846DC" w:rsidRPr="00EC326F" w:rsidRDefault="005846DC" w:rsidP="005846DC">
      <w:pPr>
        <w:pStyle w:val="Minorheading"/>
      </w:pPr>
      <w:r w:rsidRPr="00EC326F">
        <w:t>Payments received</w:t>
      </w:r>
    </w:p>
    <w:p w14:paraId="197A809F" w14:textId="77777777" w:rsidR="005846DC" w:rsidRPr="00EC326F" w:rsidRDefault="005846DC" w:rsidP="005846DC">
      <w:pPr>
        <w:pStyle w:val="PwCNormal"/>
        <w:numPr>
          <w:ilvl w:val="0"/>
          <w:numId w:val="1"/>
        </w:numPr>
      </w:pPr>
      <w:r w:rsidRPr="00EC326F">
        <w:t>During 2015/16, people in this class received a total of $17.4 billion. This is 1</w:t>
      </w:r>
      <w:r w:rsidR="008E7789" w:rsidRPr="00EC326F">
        <w:t>5.6</w:t>
      </w:r>
      <w:r w:rsidRPr="00EC326F">
        <w:t>% of the total payments made in 2015/16. The charts below show the average amount paid in a year to each person in this class.</w:t>
      </w:r>
    </w:p>
    <w:p w14:paraId="0BA51D6B" w14:textId="77777777" w:rsidR="005846DC" w:rsidRPr="00EC326F" w:rsidRDefault="005846DC" w:rsidP="005846DC">
      <w:pPr>
        <w:pStyle w:val="Caption"/>
      </w:pPr>
      <w:r w:rsidRPr="00EC326F">
        <w:t xml:space="preserve">Figure </w:t>
      </w:r>
      <w:fldSimple w:instr=" SEQ Figure \* ARABIC ">
        <w:r w:rsidR="007A42DF">
          <w:rPr>
            <w:noProof/>
          </w:rPr>
          <w:t>56</w:t>
        </w:r>
      </w:fldSimple>
      <w:r w:rsidRPr="00EC326F">
        <w:t>: Average payments per person in Class 5 – Disability Support</w:t>
      </w:r>
      <w:r w:rsidR="00321A6F" w:rsidRPr="00EC326F">
        <w:t xml:space="preserve"> (restated to 2015/16 $ values)</w:t>
      </w:r>
    </w:p>
    <w:p w14:paraId="58665A8D" w14:textId="048F339F" w:rsidR="005846DC" w:rsidRPr="00EC326F" w:rsidRDefault="005846DC" w:rsidP="005846DC">
      <w:pPr>
        <w:pStyle w:val="PwCNormal"/>
        <w:numPr>
          <w:ilvl w:val="0"/>
          <w:numId w:val="1"/>
        </w:numPr>
      </w:pPr>
      <w:r w:rsidRPr="00EC326F">
        <w:rPr>
          <w:noProof/>
          <w:lang w:eastAsia="en-AU"/>
        </w:rPr>
        <w:drawing>
          <wp:inline distT="0" distB="0" distL="0" distR="0" wp14:anchorId="7AD10F77" wp14:editId="48297E05">
            <wp:extent cx="5716800" cy="2001192"/>
            <wp:effectExtent l="0" t="0" r="0" b="0"/>
            <wp:docPr id="1036" name="Picture 1036" descr="This figure is a stacked column chart. The vertical axis displays the average payment per person in the Disability Support Class, ranging from $0 to $25,000.&#10;&#10;The horizontal axis is split into two sections; the first for males and the second for females. Each section is further split to show the last five financial years; 2012, 2013, 2014, 2015 and 2016.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5 was: $19,900 for 2012; $19,900 for 2013; $20,500 for 2014; $20,700 for 2015; and $21,000 for 2016.&#10;&#10;For females the approximate average payment per person in Class 5 was: $21,900 for 2012; $22,000 for 2013; $22,600 for 2014; $22,800 for 2015; and $22,800 for 2016.&#10;&#10;The majority of payments for males were from the IS Disability category, with a smaller amount from the Other – General Allowances category. The majority of payments for females were from the IS Disability category, with a smaller amount coming from the Other – General Allowances and Other – FTB categories.&#10;&#10;The key features of this chart are described in the accompanying text within the report.&#10;" title=" Average payments per person in Class 5 – Disability Support (restated to 2015/16 $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6800" cy="2001192"/>
                    </a:xfrm>
                    <a:prstGeom prst="rect">
                      <a:avLst/>
                    </a:prstGeom>
                    <a:noFill/>
                    <a:ln>
                      <a:noFill/>
                    </a:ln>
                  </pic:spPr>
                </pic:pic>
              </a:graphicData>
            </a:graphic>
          </wp:inline>
        </w:drawing>
      </w:r>
    </w:p>
    <w:p w14:paraId="69ACB467" w14:textId="77777777" w:rsidR="005846DC" w:rsidRPr="002A0A1A" w:rsidRDefault="005846DC" w:rsidP="005846DC">
      <w:pPr>
        <w:pStyle w:val="PwCNormal"/>
        <w:numPr>
          <w:ilvl w:val="0"/>
          <w:numId w:val="0"/>
        </w:numPr>
        <w:ind w:firstLine="720"/>
      </w:pPr>
      <w:r w:rsidRPr="00EC326F">
        <w:rPr>
          <w:noProof/>
          <w:lang w:eastAsia="en-AU"/>
        </w:rPr>
        <w:drawing>
          <wp:inline distT="0" distB="0" distL="0" distR="0" wp14:anchorId="01B34A3A" wp14:editId="30D46C7D">
            <wp:extent cx="4860000" cy="467785"/>
            <wp:effectExtent l="0" t="0" r="0" b="8890"/>
            <wp:docPr id="3115" name="Picture 3115"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2191C3D0" w14:textId="77777777" w:rsidR="005846DC" w:rsidRPr="000747FE" w:rsidRDefault="005846DC" w:rsidP="005846DC">
      <w:pPr>
        <w:pStyle w:val="PwCNormal"/>
        <w:numPr>
          <w:ilvl w:val="0"/>
          <w:numId w:val="1"/>
        </w:numPr>
      </w:pPr>
      <w:r w:rsidRPr="00EC326F">
        <w:t xml:space="preserve">The average payment made in 2015/16 was $21,800 with slightly higher average payments being made to women than men, as a result of them being more likely to also be claiming FTB. </w:t>
      </w:r>
    </w:p>
    <w:p w14:paraId="7011C7B8" w14:textId="77777777" w:rsidR="005846DC" w:rsidRPr="00EC326F" w:rsidRDefault="005846DC" w:rsidP="005846DC">
      <w:pPr>
        <w:pStyle w:val="Heading4"/>
      </w:pPr>
      <w:r w:rsidRPr="00EC326F">
        <w:t>What have we taken into account in fitting assumptions?</w:t>
      </w:r>
    </w:p>
    <w:p w14:paraId="7527D0C8" w14:textId="77777777" w:rsidR="005846DC" w:rsidRPr="00EC326F" w:rsidRDefault="005846DC" w:rsidP="005846DC">
      <w:pPr>
        <w:pStyle w:val="PwCNormal"/>
        <w:numPr>
          <w:ilvl w:val="0"/>
          <w:numId w:val="1"/>
        </w:numPr>
      </w:pPr>
      <w:r w:rsidRPr="00EC326F">
        <w:t>We have adopted class movement, utilisation and payment assumptions through consideration of the risk factors that influence the experience. At this valuation, we have also incorporated newly provided information on whether the person received employment earnings and the primary medical condition of the DSP recipient.</w:t>
      </w:r>
    </w:p>
    <w:p w14:paraId="13817B13" w14:textId="77777777" w:rsidR="005846DC" w:rsidRPr="00EC326F" w:rsidRDefault="005846DC" w:rsidP="005846DC">
      <w:pPr>
        <w:pStyle w:val="Minorheading"/>
      </w:pPr>
      <w:r w:rsidRPr="00EC326F">
        <w:t>Class movement assumptions</w:t>
      </w:r>
    </w:p>
    <w:p w14:paraId="695B4976" w14:textId="77777777" w:rsidR="005846DC" w:rsidRPr="00EC326F" w:rsidRDefault="005846DC" w:rsidP="005846DC">
      <w:pPr>
        <w:pStyle w:val="PwCNormal"/>
        <w:numPr>
          <w:ilvl w:val="0"/>
          <w:numId w:val="1"/>
        </w:numPr>
      </w:pPr>
      <w:r w:rsidRPr="00EC326F">
        <w:t xml:space="preserve">As discussed earlier, we noted that the movements into this class have been reducing year by year. This is the case for movements from all other classes, including entries from previous welfare recipients and the rest of the Australian population. This was observed at the baseline </w:t>
      </w:r>
      <w:r w:rsidRPr="002A0A1A">
        <w:t>valuation</w:t>
      </w:r>
      <w:r w:rsidRPr="00EC326F">
        <w:t>, and the trend has continued in the 2015/16 with a large reduction in entries.</w:t>
      </w:r>
    </w:p>
    <w:p w14:paraId="6E1E3198" w14:textId="4FA63261" w:rsidR="005846DC" w:rsidRPr="00EC326F" w:rsidRDefault="005846DC" w:rsidP="005846DC">
      <w:pPr>
        <w:pStyle w:val="PwCNormal"/>
        <w:numPr>
          <w:ilvl w:val="0"/>
          <w:numId w:val="1"/>
        </w:numPr>
      </w:pPr>
      <w:r w:rsidRPr="00EC326F">
        <w:t>The results are highly sensitive to class transition assumptions given the long term nature of the projection model. As such, we have referenced the second latest year (2014/15) when determining assumptions for transitions into the D</w:t>
      </w:r>
      <w:r w:rsidR="00916C7F">
        <w:t xml:space="preserve">isability </w:t>
      </w:r>
      <w:r w:rsidRPr="00EC326F">
        <w:t>S</w:t>
      </w:r>
      <w:r w:rsidR="00916C7F">
        <w:t xml:space="preserve">upport </w:t>
      </w:r>
      <w:r w:rsidRPr="00EC326F">
        <w:t>P</w:t>
      </w:r>
      <w:r w:rsidR="00916C7F">
        <w:t>ension</w:t>
      </w:r>
      <w:r w:rsidRPr="00EC326F">
        <w:t xml:space="preserve"> class, which allows for the observed reducing trend but not to the extent observed in the latest year.</w:t>
      </w:r>
    </w:p>
    <w:p w14:paraId="17618C7B" w14:textId="04BBFFC8" w:rsidR="005846DC" w:rsidRPr="002A0A1A" w:rsidRDefault="005846DC" w:rsidP="005846DC">
      <w:pPr>
        <w:pStyle w:val="PwCNormal"/>
        <w:numPr>
          <w:ilvl w:val="0"/>
          <w:numId w:val="1"/>
        </w:numPr>
      </w:pPr>
      <w:r w:rsidRPr="00EC326F">
        <w:lastRenderedPageBreak/>
        <w:t xml:space="preserve">For existing DSP recipients, up until 2014/15, experience had been relatively stable with a very high proportion of people remaining on benefits for long periods of time; the persistency in class had grown slightly in the few years leading up to the baseline valuation. As discussed earlier, there have been a </w:t>
      </w:r>
      <w:r w:rsidR="008E7789" w:rsidRPr="00EC326F">
        <w:t>material</w:t>
      </w:r>
      <w:r w:rsidRPr="00EC326F">
        <w:t xml:space="preserve"> number of people leaving the class in the latest year as a result of medical reviews being conducted by </w:t>
      </w:r>
      <w:r w:rsidR="000B3A67">
        <w:t>DHS</w:t>
      </w:r>
      <w:r w:rsidRPr="00EC326F">
        <w:t xml:space="preserve">. Given the long term nature of the projection model, we have therefore excluded the latest year of experience in determining long term transition assumptions. </w:t>
      </w:r>
      <w:r w:rsidR="008E7789" w:rsidRPr="00EC326F">
        <w:t>However, t</w:t>
      </w:r>
      <w:r w:rsidRPr="00EC326F">
        <w:t>he lower number of people receiving DSP at the valuation date is reflected in the model population.</w:t>
      </w:r>
    </w:p>
    <w:p w14:paraId="145712B1" w14:textId="77777777" w:rsidR="005846DC" w:rsidRPr="00EC326F" w:rsidRDefault="005846DC" w:rsidP="00EC326F">
      <w:pPr>
        <w:pStyle w:val="PwCNormal"/>
        <w:numPr>
          <w:ilvl w:val="0"/>
          <w:numId w:val="1"/>
        </w:numPr>
      </w:pPr>
      <w:r w:rsidRPr="00EC326F">
        <w:t>At this valuation, we have developed risk based class transition assumptions to allow for factors other than age and gender (such as the primary medical condition of the DSP recipient), although we note that the main movement out of this class is at retirement which is already allowed for in the foundation assumptions.</w:t>
      </w:r>
      <w:r w:rsidR="008E7789" w:rsidRPr="00EC326F">
        <w:t xml:space="preserve"> </w:t>
      </w:r>
      <w:r w:rsidRPr="00EC326F">
        <w:t xml:space="preserve">Those few recipients who do leave the class (other than to move to class 6) tend to exit the system or return to the class they had been in previously, perhaps indicating a small subset of recipients with a temporary disability. </w:t>
      </w:r>
    </w:p>
    <w:p w14:paraId="6B74D921" w14:textId="77777777" w:rsidR="005846DC" w:rsidRPr="002A0A1A" w:rsidRDefault="005846DC" w:rsidP="00EC326F">
      <w:pPr>
        <w:pStyle w:val="PwCNormal"/>
        <w:numPr>
          <w:ilvl w:val="0"/>
          <w:numId w:val="1"/>
        </w:numPr>
      </w:pPr>
      <w:r w:rsidRPr="00EC326F">
        <w:t>Those most likely to leave the class were those who had employment earnings, although such recipients are more likely to move to a non-income support class than to completely exit the system. This is an indication that people with a disability who find employment are likely to require some additional support, at least in the short term.</w:t>
      </w:r>
      <w:r w:rsidR="008E7789" w:rsidRPr="00EC326F">
        <w:t xml:space="preserve"> </w:t>
      </w:r>
      <w:r w:rsidRPr="00EC326F">
        <w:t>Recipients with musculo-skeletal conditions or cancer were more likely to leave the class, whereas recipients with intellectual disabilities were more likely to remain on DSP.</w:t>
      </w:r>
    </w:p>
    <w:p w14:paraId="7CBAB61B" w14:textId="77777777" w:rsidR="005846DC" w:rsidRPr="00EC326F" w:rsidRDefault="005846DC" w:rsidP="005846DC">
      <w:pPr>
        <w:pStyle w:val="Minorheading"/>
      </w:pPr>
      <w:r w:rsidRPr="00EC326F">
        <w:t>Payment utilisation and size assumptions</w:t>
      </w:r>
    </w:p>
    <w:p w14:paraId="21E91209" w14:textId="77777777" w:rsidR="008E7789" w:rsidRPr="00EC326F" w:rsidRDefault="008E7789" w:rsidP="008E7789">
      <w:pPr>
        <w:pStyle w:val="PwCNormal"/>
        <w:numPr>
          <w:ilvl w:val="0"/>
          <w:numId w:val="1"/>
        </w:numPr>
      </w:pPr>
      <w:r w:rsidRPr="00EC326F">
        <w:t>For the payment utilisation assumptions around 5% to 10% of people receive FTB and Family payments, and around 10% receive Other Health &amp; Disability payments. Almost everyone receives other general supplements.</w:t>
      </w:r>
    </w:p>
    <w:p w14:paraId="0565B03A" w14:textId="77777777" w:rsidR="008E7789" w:rsidRPr="00EC326F" w:rsidRDefault="008E7789" w:rsidP="008E7789">
      <w:pPr>
        <w:pStyle w:val="PwCNormal"/>
        <w:numPr>
          <w:ilvl w:val="0"/>
          <w:numId w:val="1"/>
        </w:numPr>
      </w:pPr>
      <w:r w:rsidRPr="00EC326F">
        <w:t>The majority of the annual cost (around 80%) is from the main disability support payment. The remainder of the cost is mainly in the FTB, rent assistance and general supplement payment categories.</w:t>
      </w:r>
    </w:p>
    <w:p w14:paraId="29264317" w14:textId="77777777" w:rsidR="008E7789" w:rsidRPr="00EC326F" w:rsidRDefault="008E7789" w:rsidP="008E7789">
      <w:pPr>
        <w:pStyle w:val="PwCNormal"/>
        <w:numPr>
          <w:ilvl w:val="0"/>
          <w:numId w:val="1"/>
        </w:numPr>
      </w:pPr>
      <w:r w:rsidRPr="00EC326F">
        <w:t>The main Disability Support Pension payment sizes have a slight downward shape by age; this may be a reflection of older people being more likely to be partnered which has a lower rate. Also lower rates are paid to people under 21. We have also observed an overall increase in the main disability support payment average size over the last 3 years. This is likely caused by longer durations on benefit. In recognition of the variations in past experience, the selected average payment assumptions have been based on the average of the experience over the last 2 years.</w:t>
      </w:r>
    </w:p>
    <w:p w14:paraId="3BE88EAA" w14:textId="77777777" w:rsidR="005846DC" w:rsidRPr="00EC326F" w:rsidRDefault="008E7789" w:rsidP="008E7789">
      <w:pPr>
        <w:pStyle w:val="PwCNormal"/>
        <w:numPr>
          <w:ilvl w:val="0"/>
          <w:numId w:val="1"/>
        </w:numPr>
      </w:pPr>
      <w:r w:rsidRPr="00EC326F">
        <w:t>The model of payment levels for the main disability support pension is a relatively simple model which includes partner status, duration in class and earnings indicator.  These factors are correlated to the persons’ payment level and likelihood of receiving a full year rather than part year of payments.</w:t>
      </w:r>
    </w:p>
    <w:p w14:paraId="63B5EA45" w14:textId="77777777" w:rsidR="005846DC" w:rsidRPr="00EC326F" w:rsidRDefault="005846DC" w:rsidP="005846DC">
      <w:pPr>
        <w:pStyle w:val="Heading4"/>
      </w:pPr>
      <w:r w:rsidRPr="00EC326F">
        <w:t>What does the model show for current Disability Support Pensioners?</w:t>
      </w:r>
    </w:p>
    <w:p w14:paraId="54E94317" w14:textId="77777777" w:rsidR="005846DC" w:rsidRPr="00EC326F" w:rsidRDefault="005846DC" w:rsidP="005846DC">
      <w:pPr>
        <w:pStyle w:val="Minorheading"/>
      </w:pPr>
      <w:r w:rsidRPr="00EC326F">
        <w:t>Lifetime costs</w:t>
      </w:r>
    </w:p>
    <w:p w14:paraId="13BFA406" w14:textId="77777777" w:rsidR="005846DC" w:rsidRPr="00EC326F" w:rsidRDefault="005846DC" w:rsidP="005846DC">
      <w:pPr>
        <w:pStyle w:val="PwCNormal"/>
        <w:numPr>
          <w:ilvl w:val="0"/>
          <w:numId w:val="1"/>
        </w:numPr>
      </w:pPr>
      <w:r w:rsidRPr="00EC326F">
        <w:t xml:space="preserve">We estimated the lifetime cost for the people in this class to be </w:t>
      </w:r>
      <w:r w:rsidRPr="00EC326F">
        <w:rPr>
          <w:b/>
        </w:rPr>
        <w:t>$352bn</w:t>
      </w:r>
      <w:r w:rsidRPr="00EC326F">
        <w:t xml:space="preserve"> (or </w:t>
      </w:r>
      <w:r w:rsidRPr="00EC326F">
        <w:rPr>
          <w:b/>
        </w:rPr>
        <w:t>7.8%</w:t>
      </w:r>
      <w:r w:rsidRPr="00EC326F">
        <w:t xml:space="preserve"> of the total lifetime cost). The average lifetime cost for people in this class is </w:t>
      </w:r>
      <w:r w:rsidRPr="00EC326F">
        <w:rPr>
          <w:b/>
        </w:rPr>
        <w:t>$450,000</w:t>
      </w:r>
      <w:r w:rsidRPr="00EC326F">
        <w:t>. It is interesting to note that this class represents around 10% of current welfare recipients but represents a greater proportion, 17%, of total lifetime costs for current welfare recipients. This is because these welfare recipients are less likely than average to exit the system. The variation in average lifetime cost by age and gender is illustrated in the figure below.</w:t>
      </w:r>
    </w:p>
    <w:p w14:paraId="3A04256A" w14:textId="77777777" w:rsidR="005846DC" w:rsidRPr="00EC326F" w:rsidRDefault="005846DC" w:rsidP="005846DC">
      <w:pPr>
        <w:pStyle w:val="Caption"/>
      </w:pPr>
      <w:r w:rsidRPr="00EC326F">
        <w:lastRenderedPageBreak/>
        <w:t xml:space="preserve">Figure </w:t>
      </w:r>
      <w:fldSimple w:instr=" SEQ Figure \* ARABIC ">
        <w:r w:rsidR="007A42DF">
          <w:rPr>
            <w:noProof/>
          </w:rPr>
          <w:t>57</w:t>
        </w:r>
      </w:fldSimple>
      <w:r w:rsidRPr="00EC326F">
        <w:t>: Average lifetime cost by age and gender (Class 5)</w:t>
      </w:r>
    </w:p>
    <w:tbl>
      <w:tblPr>
        <w:tblStyle w:val="Tables-APBase"/>
        <w:tblW w:w="455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Average lifetime cost by age and gender (Class 5)&#10;"/>
        <w:tblDescription w:val="This figure is a horizontal bar chart showing average lifetime cost by age for males and females separately. The vertical axis shows age with the data shown ranging from 16 to 80. The horizontal axis shows the average lifetime cost with the data shown ranging from $0 to $8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782,000 individuals who were in the disability support pensioner class at 30 June 2016. &#10;&#10;The average lifetime cost by age is very similar across males and females, although females have an average lifetime cost that is consistently higher than males of the same age, by approximately $50,000 to $80,000. This difference mostly arises from slightly higher age pension and FTB components.&#10;&#10;Young males (aged 16 to 25) have an average lifetime cost of approximately $600,000 as compared to young females who have an average lifetime cost of approximately $700,000. These average lifetime costs reduce steadily by age to about $200,000 for males and $245,000 for females by age 75.&#10;&#10;The features shown in the chart are discussed further in the accompanying text within the report.&#10;"/>
      </w:tblPr>
      <w:tblGrid>
        <w:gridCol w:w="5953"/>
        <w:gridCol w:w="2613"/>
      </w:tblGrid>
      <w:tr w:rsidR="005846DC" w:rsidRPr="00EC326F" w14:paraId="1BFFA26B" w14:textId="77777777" w:rsidTr="009C6553">
        <w:trPr>
          <w:tblHeader/>
        </w:trPr>
        <w:tc>
          <w:tcPr>
            <w:tcW w:w="5954" w:type="dxa"/>
          </w:tcPr>
          <w:p w14:paraId="4C1C25EE" w14:textId="3B5044CB" w:rsidR="005846DC" w:rsidRPr="00EC326F" w:rsidRDefault="00273EF9" w:rsidP="000D6C29">
            <w:pPr>
              <w:pStyle w:val="TableTextSmall"/>
              <w:keepNext/>
              <w:rPr>
                <w:lang w:eastAsia="en-AU"/>
              </w:rPr>
            </w:pPr>
            <w:r w:rsidRPr="00273EF9">
              <w:rPr>
                <w:noProof/>
                <w:lang w:eastAsia="en-AU"/>
              </w:rPr>
              <w:drawing>
                <wp:inline distT="0" distB="0" distL="0" distR="0" wp14:anchorId="676A7CE8" wp14:editId="16159E03">
                  <wp:extent cx="3356412" cy="2160000"/>
                  <wp:effectExtent l="0" t="0" r="0" b="0"/>
                  <wp:docPr id="1062" name="Picture 15" descr="This figure is a horizontal bar chart showing average lifetime cost by age for males and females separately. The vertical axis shows age with the data shown ranging from 16 to 80. The horizontal axis shows the average lifetime cost with the data shown ranging from $0 to $8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782,000 individuals who were in the disability support pensioner class at 30 June 2016. &#10;&#10;The average lifetime cost by age is very similar across males and females, although females have an average lifetime cost that is consistently higher than males of the same age, by approximately $50,000 to $80,000. This difference mostly arises from slightly higher age pension and FTB components.&#10;&#10;Young males (aged 16 to 25) have an average lifetime cost of approximately $600,000 as compared to young females who have an average lifetime cost of approximately $700,000. These average lifetime costs reduce steadily by age to about $200,000 for males and $245,000 for females by age 75.&#10;&#10;The features shown in the chart are discussed further in the accompanying text within the report.&#10;" title=" Average lifetime cost by age and gender (Clas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23"/>
                          <a:stretch>
                            <a:fillRect/>
                          </a:stretch>
                        </pic:blipFill>
                        <pic:spPr>
                          <a:xfrm>
                            <a:off x="0" y="0"/>
                            <a:ext cx="3356412" cy="2160000"/>
                          </a:xfrm>
                          <a:prstGeom prst="rect">
                            <a:avLst/>
                          </a:prstGeom>
                        </pic:spPr>
                      </pic:pic>
                    </a:graphicData>
                  </a:graphic>
                </wp:inline>
              </w:drawing>
            </w:r>
          </w:p>
        </w:tc>
        <w:tc>
          <w:tcPr>
            <w:tcW w:w="2613" w:type="dxa"/>
          </w:tcPr>
          <w:p w14:paraId="6EE7EDCE" w14:textId="77777777" w:rsidR="005846DC" w:rsidRPr="00EC326F" w:rsidRDefault="005846DC" w:rsidP="000D6C29">
            <w:pPr>
              <w:pStyle w:val="TableTextSmall"/>
              <w:keepNext/>
              <w:rPr>
                <w:lang w:eastAsia="en-AU"/>
              </w:rPr>
            </w:pPr>
          </w:p>
          <w:p w14:paraId="529AE994"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14E4E886" wp14:editId="69BCD224">
                  <wp:extent cx="1080000" cy="1608980"/>
                  <wp:effectExtent l="0" t="0" r="0" b="0"/>
                  <wp:docPr id="3116" name="Picture 3116"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0000" cy="1608980"/>
                          </a:xfrm>
                          <a:prstGeom prst="rect">
                            <a:avLst/>
                          </a:prstGeom>
                          <a:noFill/>
                          <a:ln>
                            <a:noFill/>
                          </a:ln>
                        </pic:spPr>
                      </pic:pic>
                    </a:graphicData>
                  </a:graphic>
                </wp:inline>
              </w:drawing>
            </w:r>
          </w:p>
        </w:tc>
      </w:tr>
    </w:tbl>
    <w:p w14:paraId="39069992" w14:textId="77777777" w:rsidR="005846DC" w:rsidRPr="00EC326F" w:rsidRDefault="005846DC" w:rsidP="005846DC">
      <w:pPr>
        <w:pStyle w:val="PwCNormal"/>
        <w:numPr>
          <w:ilvl w:val="0"/>
          <w:numId w:val="0"/>
        </w:numPr>
      </w:pPr>
      <w:r w:rsidRPr="00EC326F">
        <w:t>We can see that the most substantial part of this average lifetime cost is for the disability support pension itself, with the age pension also being a key component of the average lifetime cost for people below pension age. At all ages a number of supplements that are paid alongside the pension also contribute to the cost.</w:t>
      </w:r>
    </w:p>
    <w:p w14:paraId="4D3E4071" w14:textId="77777777" w:rsidR="005846DC" w:rsidRPr="00EC326F" w:rsidRDefault="005846DC" w:rsidP="005846DC">
      <w:pPr>
        <w:pStyle w:val="PwCNormal"/>
        <w:numPr>
          <w:ilvl w:val="0"/>
          <w:numId w:val="0"/>
        </w:numPr>
      </w:pPr>
      <w:r w:rsidRPr="00EC326F">
        <w:t>The average lifetime cost is higher for younger people with a steady reduction as people age. This is a reflection of the extremely high persistency in the payment system for people in this class – as people are not expected to exit the system, the main determinant of the lifetime cost is then the expected duration of the person’s future lifetime.</w:t>
      </w:r>
    </w:p>
    <w:p w14:paraId="683B170D" w14:textId="55BE7D7F" w:rsidR="005846DC" w:rsidRPr="00EC326F" w:rsidRDefault="005846DC" w:rsidP="005846DC">
      <w:pPr>
        <w:pStyle w:val="PwCNormal"/>
        <w:numPr>
          <w:ilvl w:val="0"/>
          <w:numId w:val="0"/>
        </w:numPr>
      </w:pPr>
      <w:r w:rsidRPr="00EC326F">
        <w:t xml:space="preserve">The average lifetime cost pyramid shows a change at age 65 as most people would leave this class and instead be in the </w:t>
      </w:r>
      <w:r w:rsidR="005E2656">
        <w:t>Age P</w:t>
      </w:r>
      <w:r w:rsidRPr="00EC326F">
        <w:t>ension class once they are over this age. For the small proportion of people who continue in this class once they are above their pension age, the lifetime cost is comprised primarily of the disability support pension. This simply reflects the reduced likelihood of them transitioning to the age pension at some later stage.</w:t>
      </w:r>
    </w:p>
    <w:p w14:paraId="3DF02C0F" w14:textId="77777777" w:rsidR="005846DC" w:rsidRPr="00EC326F" w:rsidRDefault="005846DC" w:rsidP="005846DC">
      <w:pPr>
        <w:pStyle w:val="Minorheading"/>
      </w:pPr>
      <w:r w:rsidRPr="00EC326F">
        <w:t>Change in lifetime costs since the baseline valuation</w:t>
      </w:r>
    </w:p>
    <w:p w14:paraId="41D7093A" w14:textId="77777777" w:rsidR="00D3305D" w:rsidRPr="00EC326F" w:rsidRDefault="00D3305D" w:rsidP="00D3305D">
      <w:pPr>
        <w:pStyle w:val="PwCNormal"/>
        <w:numPr>
          <w:ilvl w:val="0"/>
          <w:numId w:val="0"/>
        </w:numPr>
      </w:pPr>
      <w:r w:rsidRPr="00EC326F">
        <w:t>The lifetime cost for the people in this class of $352bn is an increase of $14bn compared to the baseline valuation. This was driven by an increase in the average cost, partially offset by a decrease in the number of people in this class:</w:t>
      </w:r>
    </w:p>
    <w:p w14:paraId="7189BE60" w14:textId="0A907247" w:rsidR="00D3305D" w:rsidRPr="00EC326F" w:rsidRDefault="00D3305D" w:rsidP="001A4479">
      <w:pPr>
        <w:pStyle w:val="Bullet1"/>
        <w:numPr>
          <w:ilvl w:val="0"/>
          <w:numId w:val="39"/>
        </w:numPr>
      </w:pPr>
      <w:r w:rsidRPr="00EC326F">
        <w:t xml:space="preserve">Both higher exits (most likely a result of the medical reviews) and lower new entrant numbers into DSP (likely a result of the tightened eligibility assessment process) have contributed to a lower </w:t>
      </w:r>
      <w:r w:rsidR="00E243ED">
        <w:t>number of people (</w:t>
      </w:r>
      <w:r w:rsidRPr="00EC326F">
        <w:t>population</w:t>
      </w:r>
      <w:r w:rsidR="00E243ED">
        <w:t>)</w:t>
      </w:r>
      <w:r w:rsidRPr="00EC326F">
        <w:t xml:space="preserve"> in this class.</w:t>
      </w:r>
      <w:r w:rsidR="00E243ED">
        <w:t xml:space="preserve"> These changes do not directly impact the average lifetime cost for those people remaining in the class.</w:t>
      </w:r>
    </w:p>
    <w:p w14:paraId="4C594D94" w14:textId="77777777" w:rsidR="00D3305D" w:rsidRPr="00EC326F" w:rsidRDefault="00D3305D" w:rsidP="001A4479">
      <w:pPr>
        <w:pStyle w:val="Bullet1"/>
        <w:numPr>
          <w:ilvl w:val="0"/>
          <w:numId w:val="39"/>
        </w:numPr>
      </w:pPr>
      <w:r w:rsidRPr="00EC326F">
        <w:t>The average cost has increased by $34,000 (8.1%) since the previous valuation. The following table provides a breakdown of the change in average lifetime cost by payment category.</w:t>
      </w:r>
    </w:p>
    <w:p w14:paraId="19020567" w14:textId="77777777" w:rsidR="00D3305D" w:rsidRPr="002A0A1A" w:rsidRDefault="00D3305D" w:rsidP="00D3305D">
      <w:pPr>
        <w:pStyle w:val="Caption"/>
      </w:pPr>
      <w:r w:rsidRPr="00EC326F">
        <w:lastRenderedPageBreak/>
        <w:t xml:space="preserve">Table </w:t>
      </w:r>
      <w:fldSimple w:instr=" SEQ Table \* ARABIC ">
        <w:r w:rsidR="007A42DF">
          <w:rPr>
            <w:noProof/>
          </w:rPr>
          <w:t>36</w:t>
        </w:r>
      </w:fldSimple>
      <w:r w:rsidRPr="00EC326F">
        <w:t>: Breakdown of change in average lifetime cost for Class 5 by payment category</w:t>
      </w:r>
    </w:p>
    <w:tbl>
      <w:tblPr>
        <w:tblStyle w:val="ListTable3-Accent62"/>
        <w:tblW w:w="9781" w:type="dxa"/>
        <w:tblInd w:w="108" w:type="dxa"/>
        <w:tblLayout w:type="fixed"/>
        <w:tblCellMar>
          <w:left w:w="57" w:type="dxa"/>
          <w:right w:w="57" w:type="dxa"/>
        </w:tblCellMar>
        <w:tblLook w:val="04A0" w:firstRow="1" w:lastRow="0" w:firstColumn="1" w:lastColumn="0" w:noHBand="0" w:noVBand="1"/>
        <w:tblCaption w:val=" Breakdown of change in average lifetime cost for Class 5 by payment category&#10;&#10;&#10;&#10;"/>
        <w:tblDescription w:val="This table shows the breakdown of the total change in average lifetime cost for Class 5 into; change in population, change in inflation, impact of new economic module, policy changes and other changes. These are shown as rows in the table.&#10;&#10;The changes in lifetime cost are considered by relevant payment categories for Class 5; IS Disability Support, IS Other (excluding the pension), IS Age Pension, Non IS Family Supplements and Non IS Other Supplements. These are shown as columns in the table alongside a total change column.&#10;&#10;For Class 5, the Jun 15 Total Lifetime cost is $338bn and the Jun 16 Total Lifetime cost is $352bn. This gives a change in total lifetime cost of $14bn, a 4% increase. There was a 3.8% decrease due to population changes, but this was offset by a 8.1% increase in average lifetime cost. The average cost has increased by $34,000 since the previous valuation. Inflation, the economics module and policy changes contributed less than $1,000 each. As such the total change was driven by $33,000 due to other changes.&#10;&#10;The average lifetime cost of clients in the IS Disability Support payment category has increased by approximately $23,000. The increase is primarily due to other changes ($23,000). Inflation, policy changes and the economics module had less than a $1,000 impact each. &#10;&#10;The average lifetime cost of clients in the other IS payment categories (excluding the Age Pension) has increased by less than $1,000. Inflation, the new economics module and policy changes contributed less than $1,000 each whilst other changes had a -$1,000 impact.&#10;&#10;The average lifetime cost of clients in the IS Age Pension payment category has increased by approximately $8,000. Inflation, the new economics module and policy changes had an impact of less than $1,000 each. Other changes had an impact of $7,000. &#10;&#10;The average lifetime cost of clients in the Non IS Family Supplements payment categories (H,I,J) has increased by less than $1,000. This change is due to the shared impact of inflation, the economics module, policy changes and other changes relatively equally (all less than $1,000)&#10;&#10;The average lifetime cost of clients in the Non IS Other Supplements payment categories has increased by approximately $3,000. The changes due to the economics module, policy changes and inflation were less than $1,000 each whilst other changes contributed $3,000.&#10;"/>
      </w:tblPr>
      <w:tblGrid>
        <w:gridCol w:w="3119"/>
        <w:gridCol w:w="1276"/>
        <w:gridCol w:w="992"/>
        <w:gridCol w:w="992"/>
        <w:gridCol w:w="992"/>
        <w:gridCol w:w="1205"/>
        <w:gridCol w:w="1205"/>
      </w:tblGrid>
      <w:tr w:rsidR="00C03EAA" w:rsidRPr="00EC326F" w14:paraId="48DC5C59" w14:textId="77777777" w:rsidTr="009F52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7D9603B3" w14:textId="77777777" w:rsidR="00C03EAA" w:rsidRPr="00EC326F" w:rsidRDefault="00C03EAA" w:rsidP="00716FF0">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7F18EE92" w14:textId="77777777" w:rsidR="00C03EAA" w:rsidRPr="00EC326F" w:rsidRDefault="00C03EAA"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992" w:type="dxa"/>
            <w:tcBorders>
              <w:left w:val="single" w:sz="4" w:space="0" w:color="FFFFFF" w:themeColor="background1"/>
              <w:bottom w:val="single" w:sz="4" w:space="0" w:color="FFFFFF" w:themeColor="background1"/>
              <w:right w:val="nil"/>
            </w:tcBorders>
          </w:tcPr>
          <w:p w14:paraId="7363FC09" w14:textId="74B7B3A8" w:rsidR="00C03EAA" w:rsidRPr="00EC326F" w:rsidRDefault="00C03EAA"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p>
        </w:tc>
        <w:tc>
          <w:tcPr>
            <w:tcW w:w="992" w:type="dxa"/>
            <w:tcBorders>
              <w:left w:val="nil"/>
              <w:bottom w:val="single" w:sz="4" w:space="0" w:color="FFFFFF" w:themeColor="background1"/>
              <w:right w:val="nil"/>
            </w:tcBorders>
          </w:tcPr>
          <w:p w14:paraId="5DC8C9D2" w14:textId="7AF3747F" w:rsidR="00C03EAA" w:rsidRPr="00C03EAA" w:rsidRDefault="00C03EAA"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rPr>
            </w:pPr>
            <w:r w:rsidRPr="00C03EAA">
              <w:rPr>
                <w:rFonts w:asciiTheme="majorHAnsi" w:hAnsiTheme="majorHAnsi"/>
                <w:bCs w:val="0"/>
                <w:color w:val="FFFFFF" w:themeColor="background1"/>
              </w:rPr>
              <w:t>IS</w:t>
            </w:r>
          </w:p>
        </w:tc>
        <w:tc>
          <w:tcPr>
            <w:tcW w:w="992" w:type="dxa"/>
            <w:tcBorders>
              <w:left w:val="nil"/>
              <w:bottom w:val="single" w:sz="4" w:space="0" w:color="FFFFFF" w:themeColor="background1"/>
              <w:right w:val="single" w:sz="4" w:space="0" w:color="FFFFFF" w:themeColor="background1"/>
            </w:tcBorders>
          </w:tcPr>
          <w:p w14:paraId="7A8563AD" w14:textId="25240F19" w:rsidR="00C03EAA" w:rsidRPr="00EC326F" w:rsidRDefault="00C03EAA"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05" w:type="dxa"/>
            <w:tcBorders>
              <w:left w:val="single" w:sz="4" w:space="0" w:color="FFFFFF" w:themeColor="background1"/>
              <w:bottom w:val="single" w:sz="4" w:space="0" w:color="FFFFFF" w:themeColor="background1"/>
            </w:tcBorders>
          </w:tcPr>
          <w:p w14:paraId="6216D1C8" w14:textId="46741B48" w:rsidR="00C03EAA" w:rsidRPr="00EC326F" w:rsidRDefault="00C03EAA" w:rsidP="00716FF0">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Pr>
                <w:rFonts w:asciiTheme="majorHAnsi" w:hAnsiTheme="majorHAnsi"/>
                <w:color w:val="FFFFFF" w:themeColor="background1"/>
              </w:rPr>
              <w:t>Non</w:t>
            </w:r>
          </w:p>
        </w:tc>
        <w:tc>
          <w:tcPr>
            <w:tcW w:w="1205" w:type="dxa"/>
            <w:tcBorders>
              <w:bottom w:val="single" w:sz="4" w:space="0" w:color="FFFFFF" w:themeColor="background1"/>
            </w:tcBorders>
          </w:tcPr>
          <w:p w14:paraId="6A4DE1CD" w14:textId="218CABBD" w:rsidR="00C03EAA" w:rsidRPr="00EC326F" w:rsidRDefault="00C03EAA" w:rsidP="00716FF0">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rPr>
              <w:t>IS</w:t>
            </w:r>
          </w:p>
        </w:tc>
      </w:tr>
      <w:tr w:rsidR="00D3305D" w:rsidRPr="00EC326F" w14:paraId="7578568E" w14:textId="77777777" w:rsidTr="009F52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48CFAB3B" w14:textId="77777777" w:rsidR="00D3305D" w:rsidRPr="00EC326F" w:rsidRDefault="00D3305D" w:rsidP="00716FF0">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61E8DBA9"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992" w:type="dxa"/>
            <w:tcBorders>
              <w:top w:val="single" w:sz="4" w:space="0" w:color="FFFFFF" w:themeColor="background1"/>
              <w:left w:val="single" w:sz="4" w:space="0" w:color="FFFFFF" w:themeColor="background1"/>
              <w:bottom w:val="single" w:sz="4" w:space="0" w:color="E0301E" w:themeColor="accent6"/>
            </w:tcBorders>
          </w:tcPr>
          <w:p w14:paraId="3D3FCB72"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Disability Support</w:t>
            </w:r>
          </w:p>
        </w:tc>
        <w:tc>
          <w:tcPr>
            <w:tcW w:w="992" w:type="dxa"/>
            <w:tcBorders>
              <w:top w:val="single" w:sz="4" w:space="0" w:color="FFFFFF" w:themeColor="background1"/>
              <w:bottom w:val="single" w:sz="4" w:space="0" w:color="E0301E" w:themeColor="accent6"/>
            </w:tcBorders>
          </w:tcPr>
          <w:p w14:paraId="536CA137"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w:t>
            </w:r>
            <w:r w:rsidRPr="00EC326F">
              <w:rPr>
                <w:rFonts w:asciiTheme="majorHAnsi" w:hAnsiTheme="majorHAnsi"/>
                <w:b w:val="0"/>
                <w:color w:val="FFFFFF" w:themeColor="background1"/>
              </w:rPr>
              <w:br/>
              <w:t>(excl. Age Pension)</w:t>
            </w:r>
          </w:p>
        </w:tc>
        <w:tc>
          <w:tcPr>
            <w:tcW w:w="992" w:type="dxa"/>
            <w:tcBorders>
              <w:top w:val="single" w:sz="4" w:space="0" w:color="FFFFFF" w:themeColor="background1"/>
              <w:bottom w:val="single" w:sz="4" w:space="0" w:color="E0301E" w:themeColor="accent6"/>
              <w:right w:val="single" w:sz="4" w:space="0" w:color="FFFFFF" w:themeColor="background1"/>
            </w:tcBorders>
          </w:tcPr>
          <w:p w14:paraId="09719BCB"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205" w:type="dxa"/>
            <w:tcBorders>
              <w:top w:val="single" w:sz="4" w:space="0" w:color="FFFFFF" w:themeColor="background1"/>
              <w:left w:val="single" w:sz="4" w:space="0" w:color="FFFFFF" w:themeColor="background1"/>
              <w:bottom w:val="single" w:sz="4" w:space="0" w:color="E0301E" w:themeColor="accent6"/>
            </w:tcBorders>
          </w:tcPr>
          <w:p w14:paraId="667261EE"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205" w:type="dxa"/>
            <w:tcBorders>
              <w:top w:val="single" w:sz="4" w:space="0" w:color="FFFFFF" w:themeColor="background1"/>
              <w:bottom w:val="single" w:sz="4" w:space="0" w:color="E0301E" w:themeColor="accent6"/>
            </w:tcBorders>
          </w:tcPr>
          <w:p w14:paraId="4D23E796" w14:textId="77777777" w:rsidR="00D3305D" w:rsidRPr="00EC326F" w:rsidRDefault="00D3305D" w:rsidP="00716FF0">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D3305D" w:rsidRPr="00EC326F" w14:paraId="14259636" w14:textId="77777777" w:rsidTr="00C0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249D8976" w14:textId="77777777" w:rsidR="00D3305D" w:rsidRPr="00EC326F" w:rsidRDefault="00D3305D" w:rsidP="00716FF0">
            <w:pPr>
              <w:pStyle w:val="TableTextSmall"/>
              <w:keepNext/>
            </w:pPr>
            <w:r w:rsidRPr="00EC326F">
              <w:t>Jun-15 Total Lifetime Cost</w:t>
            </w:r>
          </w:p>
        </w:tc>
        <w:tc>
          <w:tcPr>
            <w:tcW w:w="1276" w:type="dxa"/>
            <w:tcBorders>
              <w:left w:val="single" w:sz="4" w:space="0" w:color="E0301E" w:themeColor="accent6"/>
              <w:bottom w:val="nil"/>
              <w:right w:val="single" w:sz="4" w:space="0" w:color="E0301E" w:themeColor="accent6"/>
            </w:tcBorders>
            <w:vAlign w:val="bottom"/>
          </w:tcPr>
          <w:p w14:paraId="4AAF41B8"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snapToGrid/>
                <w:color w:val="auto"/>
                <w:lang w:eastAsia="en-AU"/>
              </w:rPr>
            </w:pPr>
            <w:r w:rsidRPr="00EC326F">
              <w:t>$338bn</w:t>
            </w:r>
          </w:p>
        </w:tc>
        <w:tc>
          <w:tcPr>
            <w:tcW w:w="992" w:type="dxa"/>
            <w:tcBorders>
              <w:left w:val="single" w:sz="4" w:space="0" w:color="E0301E" w:themeColor="accent6"/>
              <w:bottom w:val="nil"/>
            </w:tcBorders>
            <w:shd w:val="clear" w:color="auto" w:fill="D9D9D9" w:themeFill="background1" w:themeFillShade="D9"/>
            <w:vAlign w:val="bottom"/>
          </w:tcPr>
          <w:p w14:paraId="4078FF1E"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tcBorders>
            <w:shd w:val="clear" w:color="auto" w:fill="D9D9D9" w:themeFill="background1" w:themeFillShade="D9"/>
            <w:vAlign w:val="bottom"/>
          </w:tcPr>
          <w:p w14:paraId="7CE0027A"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right w:val="nil"/>
            </w:tcBorders>
            <w:shd w:val="clear" w:color="auto" w:fill="D9D9D9" w:themeFill="background1" w:themeFillShade="D9"/>
            <w:vAlign w:val="bottom"/>
          </w:tcPr>
          <w:p w14:paraId="38CC07B2"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left w:val="nil"/>
              <w:bottom w:val="nil"/>
            </w:tcBorders>
            <w:shd w:val="clear" w:color="auto" w:fill="D9D9D9" w:themeFill="background1" w:themeFillShade="D9"/>
            <w:vAlign w:val="bottom"/>
          </w:tcPr>
          <w:p w14:paraId="064FF76F"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bottom w:val="nil"/>
            </w:tcBorders>
            <w:shd w:val="clear" w:color="auto" w:fill="D9D9D9" w:themeFill="background1" w:themeFillShade="D9"/>
            <w:vAlign w:val="bottom"/>
          </w:tcPr>
          <w:p w14:paraId="44D4008A"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r>
      <w:tr w:rsidR="00D3305D" w:rsidRPr="00EC326F" w14:paraId="74819001" w14:textId="77777777" w:rsidTr="00C03EAA">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01005490" w14:textId="77777777" w:rsidR="00D3305D" w:rsidRPr="00EC326F" w:rsidRDefault="00D3305D" w:rsidP="00716FF0">
            <w:pPr>
              <w:pStyle w:val="TableTextSmall"/>
              <w:keepNext/>
            </w:pPr>
            <w:r w:rsidRPr="00EC326F">
              <w:t>Jun-16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vAlign w:val="bottom"/>
          </w:tcPr>
          <w:p w14:paraId="04B8BB9C"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$352bn</w:t>
            </w:r>
          </w:p>
        </w:tc>
        <w:tc>
          <w:tcPr>
            <w:tcW w:w="992" w:type="dxa"/>
            <w:tcBorders>
              <w:top w:val="nil"/>
              <w:left w:val="single" w:sz="4" w:space="0" w:color="E0301E" w:themeColor="accent6"/>
              <w:bottom w:val="nil"/>
            </w:tcBorders>
            <w:shd w:val="clear" w:color="auto" w:fill="D9D9D9" w:themeFill="background1" w:themeFillShade="D9"/>
            <w:vAlign w:val="bottom"/>
          </w:tcPr>
          <w:p w14:paraId="3E01F1FE"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D9D9D9" w:themeFill="background1" w:themeFillShade="D9"/>
            <w:vAlign w:val="bottom"/>
          </w:tcPr>
          <w:p w14:paraId="6BAD6396"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vAlign w:val="bottom"/>
          </w:tcPr>
          <w:p w14:paraId="75D268ED"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vAlign w:val="bottom"/>
          </w:tcPr>
          <w:p w14:paraId="24103A9E"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nil"/>
            </w:tcBorders>
            <w:shd w:val="clear" w:color="auto" w:fill="D9D9D9" w:themeFill="background1" w:themeFillShade="D9"/>
            <w:vAlign w:val="bottom"/>
          </w:tcPr>
          <w:p w14:paraId="1DA5963E"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r>
      <w:tr w:rsidR="00D3305D" w:rsidRPr="00EC326F" w14:paraId="74122C99" w14:textId="77777777" w:rsidTr="00C0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297E5B25" w14:textId="77777777" w:rsidR="00D3305D" w:rsidRPr="00EC326F" w:rsidRDefault="00D3305D" w:rsidP="00716FF0">
            <w:pPr>
              <w:pStyle w:val="TableTextSmall"/>
              <w:keepNext/>
            </w:pPr>
            <w:r w:rsidRPr="00EC326F">
              <w:t>Change in Total Lifetime Cost</w:t>
            </w:r>
          </w:p>
        </w:tc>
        <w:tc>
          <w:tcPr>
            <w:tcW w:w="1276" w:type="dxa"/>
            <w:tcBorders>
              <w:left w:val="single" w:sz="4" w:space="0" w:color="E0301E" w:themeColor="accent6"/>
              <w:bottom w:val="nil"/>
              <w:right w:val="single" w:sz="4" w:space="0" w:color="E0301E" w:themeColor="accent6"/>
            </w:tcBorders>
            <w:vAlign w:val="bottom"/>
          </w:tcPr>
          <w:p w14:paraId="6F7B59C1"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+$14bn (4.0%)</w:t>
            </w:r>
          </w:p>
        </w:tc>
        <w:tc>
          <w:tcPr>
            <w:tcW w:w="992" w:type="dxa"/>
            <w:tcBorders>
              <w:top w:val="nil"/>
              <w:left w:val="single" w:sz="4" w:space="0" w:color="E0301E" w:themeColor="accent6"/>
              <w:bottom w:val="nil"/>
            </w:tcBorders>
            <w:shd w:val="clear" w:color="auto" w:fill="D9D9D9" w:themeFill="background1" w:themeFillShade="D9"/>
            <w:vAlign w:val="bottom"/>
          </w:tcPr>
          <w:p w14:paraId="6A2F2D9B"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tcBorders>
            <w:shd w:val="clear" w:color="auto" w:fill="D9D9D9" w:themeFill="background1" w:themeFillShade="D9"/>
            <w:vAlign w:val="bottom"/>
          </w:tcPr>
          <w:p w14:paraId="2EF5941D"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vAlign w:val="bottom"/>
          </w:tcPr>
          <w:p w14:paraId="1E3FD93B"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vAlign w:val="bottom"/>
          </w:tcPr>
          <w:p w14:paraId="127D64DC"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bottom w:val="nil"/>
            </w:tcBorders>
            <w:shd w:val="clear" w:color="auto" w:fill="D9D9D9" w:themeFill="background1" w:themeFillShade="D9"/>
            <w:vAlign w:val="bottom"/>
          </w:tcPr>
          <w:p w14:paraId="6F92F6C7" w14:textId="77777777" w:rsidR="00D3305D" w:rsidRPr="00EC326F" w:rsidRDefault="00D3305D" w:rsidP="00716FF0">
            <w:pPr>
              <w:pStyle w:val="TableTextSmall"/>
              <w:keepNext/>
              <w:cnfStyle w:val="000000100000" w:firstRow="0" w:lastRow="0" w:firstColumn="0" w:lastColumn="0" w:oddVBand="0" w:evenVBand="0" w:oddHBand="1" w:evenHBand="0" w:firstRowFirstColumn="0" w:firstRowLastColumn="0" w:lastRowFirstColumn="0" w:lastRowLastColumn="0"/>
            </w:pPr>
          </w:p>
        </w:tc>
      </w:tr>
      <w:tr w:rsidR="00D3305D" w:rsidRPr="00EC326F" w14:paraId="25D20F33" w14:textId="77777777" w:rsidTr="00C03EAA">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7845D09B" w14:textId="77777777" w:rsidR="00D3305D" w:rsidRPr="00EC326F" w:rsidRDefault="00D3305D" w:rsidP="00716FF0">
            <w:pPr>
              <w:pStyle w:val="TableTextSmall"/>
              <w:keepNext/>
            </w:pPr>
            <w:r w:rsidRPr="00EC326F">
              <w:t>Change due to Population</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vAlign w:val="bottom"/>
          </w:tcPr>
          <w:p w14:paraId="2960C139"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-3.8%</w:t>
            </w:r>
          </w:p>
        </w:tc>
        <w:tc>
          <w:tcPr>
            <w:tcW w:w="992" w:type="dxa"/>
            <w:tcBorders>
              <w:top w:val="nil"/>
              <w:left w:val="single" w:sz="4" w:space="0" w:color="E0301E" w:themeColor="accent6"/>
              <w:bottom w:val="single" w:sz="4" w:space="0" w:color="E0301E" w:themeColor="accent6"/>
            </w:tcBorders>
            <w:shd w:val="clear" w:color="auto" w:fill="D9D9D9" w:themeFill="background1" w:themeFillShade="D9"/>
            <w:vAlign w:val="bottom"/>
          </w:tcPr>
          <w:p w14:paraId="7FE1655F"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tcBorders>
            <w:shd w:val="clear" w:color="auto" w:fill="D9D9D9" w:themeFill="background1" w:themeFillShade="D9"/>
            <w:vAlign w:val="bottom"/>
          </w:tcPr>
          <w:p w14:paraId="04FADA29"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right w:val="nil"/>
            </w:tcBorders>
            <w:shd w:val="clear" w:color="auto" w:fill="D9D9D9" w:themeFill="background1" w:themeFillShade="D9"/>
            <w:vAlign w:val="bottom"/>
          </w:tcPr>
          <w:p w14:paraId="2690190F"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single" w:sz="4" w:space="0" w:color="E0301E" w:themeColor="accent6"/>
            </w:tcBorders>
            <w:shd w:val="clear" w:color="auto" w:fill="D9D9D9" w:themeFill="background1" w:themeFillShade="D9"/>
            <w:vAlign w:val="bottom"/>
          </w:tcPr>
          <w:p w14:paraId="011E16D7"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single" w:sz="4" w:space="0" w:color="E0301E" w:themeColor="accent6"/>
            </w:tcBorders>
            <w:shd w:val="clear" w:color="auto" w:fill="D9D9D9" w:themeFill="background1" w:themeFillShade="D9"/>
            <w:vAlign w:val="bottom"/>
          </w:tcPr>
          <w:p w14:paraId="7A5EE708" w14:textId="77777777" w:rsidR="00D3305D" w:rsidRPr="00EC326F" w:rsidRDefault="00D3305D" w:rsidP="00716FF0">
            <w:pPr>
              <w:pStyle w:val="TableTextSmall"/>
              <w:keepNext/>
              <w:cnfStyle w:val="000000000000" w:firstRow="0" w:lastRow="0" w:firstColumn="0" w:lastColumn="0" w:oddVBand="0" w:evenVBand="0" w:oddHBand="0" w:evenHBand="0" w:firstRowFirstColumn="0" w:firstRowLastColumn="0" w:lastRowFirstColumn="0" w:lastRowLastColumn="0"/>
            </w:pPr>
          </w:p>
        </w:tc>
      </w:tr>
      <w:tr w:rsidR="00D3305D" w:rsidRPr="00EC326F" w14:paraId="1A2E6FAA" w14:textId="77777777" w:rsidTr="00C0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069DEF1F" w14:textId="77777777" w:rsidR="00D3305D" w:rsidRPr="00EC326F" w:rsidRDefault="00D3305D" w:rsidP="00716FF0">
            <w:pPr>
              <w:pStyle w:val="TableTextSmall"/>
              <w:keepNext/>
            </w:pPr>
            <w:r w:rsidRPr="00EC326F">
              <w:t>Change due to Average Lifetime Cost</w:t>
            </w:r>
          </w:p>
        </w:tc>
        <w:tc>
          <w:tcPr>
            <w:tcW w:w="1276" w:type="dxa"/>
            <w:tcBorders>
              <w:left w:val="single" w:sz="4" w:space="0" w:color="E0301E" w:themeColor="accent6"/>
              <w:bottom w:val="nil"/>
              <w:right w:val="single" w:sz="4" w:space="0" w:color="E0301E" w:themeColor="accent6"/>
            </w:tcBorders>
            <w:vAlign w:val="bottom"/>
          </w:tcPr>
          <w:p w14:paraId="73EB38B2"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+$34k (8.1%)</w:t>
            </w:r>
          </w:p>
        </w:tc>
        <w:tc>
          <w:tcPr>
            <w:tcW w:w="992" w:type="dxa"/>
            <w:tcBorders>
              <w:left w:val="single" w:sz="4" w:space="0" w:color="E0301E" w:themeColor="accent6"/>
              <w:bottom w:val="nil"/>
            </w:tcBorders>
            <w:vAlign w:val="bottom"/>
          </w:tcPr>
          <w:p w14:paraId="21EB0CF6" w14:textId="6F477EAE"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w:t>
            </w:r>
            <w:r w:rsidR="003A6032" w:rsidRPr="00EC326F">
              <w:t>2</w:t>
            </w:r>
            <w:r w:rsidR="003A6032">
              <w:t>3</w:t>
            </w:r>
            <w:r w:rsidR="003A6032" w:rsidRPr="00EC326F">
              <w:t>k</w:t>
            </w:r>
          </w:p>
        </w:tc>
        <w:tc>
          <w:tcPr>
            <w:tcW w:w="992" w:type="dxa"/>
            <w:tcBorders>
              <w:bottom w:val="nil"/>
            </w:tcBorders>
            <w:vAlign w:val="bottom"/>
          </w:tcPr>
          <w:p w14:paraId="515CFC6D"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992" w:type="dxa"/>
            <w:tcBorders>
              <w:bottom w:val="nil"/>
              <w:right w:val="dashed" w:sz="4" w:space="0" w:color="E0301E" w:themeColor="accent6"/>
            </w:tcBorders>
            <w:vAlign w:val="bottom"/>
          </w:tcPr>
          <w:p w14:paraId="774CD13D"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auto"/>
              </w:rPr>
            </w:pPr>
            <w:r w:rsidRPr="00EC326F">
              <w:t>+$8k</w:t>
            </w:r>
          </w:p>
        </w:tc>
        <w:tc>
          <w:tcPr>
            <w:tcW w:w="1205" w:type="dxa"/>
            <w:tcBorders>
              <w:left w:val="dashed" w:sz="4" w:space="0" w:color="E0301E" w:themeColor="accent6"/>
              <w:bottom w:val="nil"/>
            </w:tcBorders>
            <w:vAlign w:val="bottom"/>
          </w:tcPr>
          <w:p w14:paraId="590403B9"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05" w:type="dxa"/>
            <w:tcBorders>
              <w:bottom w:val="nil"/>
            </w:tcBorders>
            <w:vAlign w:val="bottom"/>
          </w:tcPr>
          <w:p w14:paraId="0A0FC613"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auto"/>
              </w:rPr>
            </w:pPr>
            <w:r w:rsidRPr="00EC326F">
              <w:t>+$3k</w:t>
            </w:r>
          </w:p>
        </w:tc>
      </w:tr>
      <w:tr w:rsidR="00D3305D" w:rsidRPr="00EC326F" w14:paraId="3E3E7C9F" w14:textId="77777777" w:rsidTr="00C03EAA">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027E9F68" w14:textId="77777777" w:rsidR="00D3305D" w:rsidRPr="00EC326F" w:rsidRDefault="00D3305D" w:rsidP="00716FF0">
            <w:pPr>
              <w:pStyle w:val="TableTextSmall"/>
              <w:keepNext/>
              <w:rPr>
                <w:b w:val="0"/>
              </w:rPr>
            </w:pPr>
            <w:r w:rsidRPr="00EC326F">
              <w:rPr>
                <w:b w:val="0"/>
              </w:rPr>
              <w:t>- Impact of change in inflation</w:t>
            </w:r>
          </w:p>
        </w:tc>
        <w:tc>
          <w:tcPr>
            <w:tcW w:w="1276" w:type="dxa"/>
            <w:tcBorders>
              <w:top w:val="nil"/>
              <w:left w:val="single" w:sz="4" w:space="0" w:color="E0301E" w:themeColor="accent6"/>
              <w:bottom w:val="nil"/>
              <w:right w:val="single" w:sz="4" w:space="0" w:color="E0301E" w:themeColor="accent6"/>
            </w:tcBorders>
            <w:vAlign w:val="bottom"/>
          </w:tcPr>
          <w:p w14:paraId="4EB619AB"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left w:val="single" w:sz="4" w:space="0" w:color="E0301E" w:themeColor="accent6"/>
              <w:bottom w:val="nil"/>
            </w:tcBorders>
            <w:vAlign w:val="bottom"/>
          </w:tcPr>
          <w:p w14:paraId="3B039A81"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144B0821"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right w:val="dashed" w:sz="4" w:space="0" w:color="E0301E" w:themeColor="accent6"/>
            </w:tcBorders>
            <w:vAlign w:val="bottom"/>
          </w:tcPr>
          <w:p w14:paraId="1D83957C"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left w:val="dashed" w:sz="4" w:space="0" w:color="E0301E" w:themeColor="accent6"/>
              <w:bottom w:val="nil"/>
            </w:tcBorders>
            <w:vAlign w:val="bottom"/>
          </w:tcPr>
          <w:p w14:paraId="5C0A7210"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bottom w:val="nil"/>
            </w:tcBorders>
            <w:vAlign w:val="bottom"/>
          </w:tcPr>
          <w:p w14:paraId="17C6BC9C" w14:textId="77777777" w:rsidR="00D3305D" w:rsidRPr="00EC326F" w:rsidRDefault="00D3305D"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348781C6" w14:textId="77777777" w:rsidTr="00C0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7E3FB254" w14:textId="77777777" w:rsidR="00D3305D" w:rsidRPr="00EC326F" w:rsidRDefault="00D3305D" w:rsidP="00716FF0">
            <w:pPr>
              <w:pStyle w:val="TableTextSmall"/>
              <w:keepNext/>
              <w:rPr>
                <w:b w:val="0"/>
              </w:rPr>
            </w:pPr>
            <w:r w:rsidRPr="00EC326F">
              <w:rPr>
                <w:b w:val="0"/>
              </w:rPr>
              <w:t>- Impact of new economics module</w:t>
            </w:r>
          </w:p>
        </w:tc>
        <w:tc>
          <w:tcPr>
            <w:tcW w:w="1276" w:type="dxa"/>
            <w:tcBorders>
              <w:top w:val="nil"/>
              <w:left w:val="single" w:sz="4" w:space="0" w:color="E0301E" w:themeColor="accent6"/>
              <w:bottom w:val="nil"/>
              <w:right w:val="single" w:sz="4" w:space="0" w:color="E0301E" w:themeColor="accent6"/>
            </w:tcBorders>
            <w:vAlign w:val="bottom"/>
          </w:tcPr>
          <w:p w14:paraId="6CA94729"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992" w:type="dxa"/>
            <w:tcBorders>
              <w:top w:val="nil"/>
              <w:left w:val="single" w:sz="4" w:space="0" w:color="E0301E" w:themeColor="accent6"/>
              <w:bottom w:val="nil"/>
            </w:tcBorders>
            <w:vAlign w:val="bottom"/>
          </w:tcPr>
          <w:p w14:paraId="351BD978"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0872A7E4"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992" w:type="dxa"/>
            <w:tcBorders>
              <w:top w:val="nil"/>
              <w:bottom w:val="nil"/>
              <w:right w:val="dashed" w:sz="4" w:space="0" w:color="E0301E" w:themeColor="accent6"/>
            </w:tcBorders>
            <w:vAlign w:val="bottom"/>
          </w:tcPr>
          <w:p w14:paraId="319F7A65"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05" w:type="dxa"/>
            <w:tcBorders>
              <w:top w:val="nil"/>
              <w:left w:val="dashed" w:sz="4" w:space="0" w:color="E0301E" w:themeColor="accent6"/>
              <w:bottom w:val="nil"/>
            </w:tcBorders>
            <w:vAlign w:val="bottom"/>
          </w:tcPr>
          <w:p w14:paraId="4E2740BE"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05" w:type="dxa"/>
            <w:tcBorders>
              <w:top w:val="nil"/>
              <w:bottom w:val="nil"/>
            </w:tcBorders>
            <w:vAlign w:val="bottom"/>
          </w:tcPr>
          <w:p w14:paraId="52EBA0E0" w14:textId="77777777" w:rsidR="00D3305D" w:rsidRPr="00EC326F" w:rsidRDefault="00D3305D" w:rsidP="00716FF0">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3A6032" w:rsidRPr="00EC326F" w14:paraId="5EBAA394" w14:textId="77777777" w:rsidTr="00C03EAA">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0D9B04E2" w14:textId="429E56DA" w:rsidR="003A6032" w:rsidRPr="00EC326F" w:rsidRDefault="003A6032" w:rsidP="00716FF0">
            <w:pPr>
              <w:pStyle w:val="TableTextSmall"/>
              <w:keepNext/>
              <w:rPr>
                <w:b w:val="0"/>
              </w:rPr>
            </w:pPr>
            <w:r w:rsidRPr="00CC3286">
              <w:rPr>
                <w:b w:val="0"/>
              </w:rPr>
              <w:t>- Impact of policy changes</w:t>
            </w:r>
          </w:p>
        </w:tc>
        <w:tc>
          <w:tcPr>
            <w:tcW w:w="1276" w:type="dxa"/>
            <w:tcBorders>
              <w:top w:val="nil"/>
              <w:left w:val="single" w:sz="4" w:space="0" w:color="E0301E" w:themeColor="accent6"/>
              <w:bottom w:val="nil"/>
              <w:right w:val="single" w:sz="4" w:space="0" w:color="E0301E" w:themeColor="accent6"/>
            </w:tcBorders>
            <w:vAlign w:val="bottom"/>
          </w:tcPr>
          <w:p w14:paraId="0F1710D2" w14:textId="24D3DE23" w:rsidR="003A6032" w:rsidRPr="00EC326F" w:rsidRDefault="00CC3286"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left w:val="single" w:sz="4" w:space="0" w:color="E0301E" w:themeColor="accent6"/>
              <w:bottom w:val="nil"/>
            </w:tcBorders>
            <w:vAlign w:val="bottom"/>
          </w:tcPr>
          <w:p w14:paraId="02ED140C" w14:textId="6EFDA12E" w:rsidR="003A6032" w:rsidRPr="00EC326F" w:rsidRDefault="00CC3286"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tcBorders>
            <w:vAlign w:val="bottom"/>
          </w:tcPr>
          <w:p w14:paraId="5C26B5F9" w14:textId="131D51F5" w:rsidR="003A6032" w:rsidRPr="00EC326F" w:rsidRDefault="00CC3286"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992" w:type="dxa"/>
            <w:tcBorders>
              <w:top w:val="nil"/>
              <w:bottom w:val="nil"/>
              <w:right w:val="dashed" w:sz="4" w:space="0" w:color="E0301E" w:themeColor="accent6"/>
            </w:tcBorders>
            <w:vAlign w:val="bottom"/>
          </w:tcPr>
          <w:p w14:paraId="541FF257" w14:textId="66DDDB60" w:rsidR="003A6032" w:rsidRPr="00EC326F" w:rsidRDefault="00CC3286"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left w:val="dashed" w:sz="4" w:space="0" w:color="E0301E" w:themeColor="accent6"/>
              <w:bottom w:val="nil"/>
            </w:tcBorders>
            <w:vAlign w:val="bottom"/>
          </w:tcPr>
          <w:p w14:paraId="68A0DF20" w14:textId="6835D4A1" w:rsidR="003A6032" w:rsidRPr="00EC326F" w:rsidRDefault="00CC3286"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05" w:type="dxa"/>
            <w:tcBorders>
              <w:top w:val="nil"/>
              <w:bottom w:val="nil"/>
            </w:tcBorders>
            <w:vAlign w:val="bottom"/>
          </w:tcPr>
          <w:p w14:paraId="7E9CC190" w14:textId="742B0DC2" w:rsidR="003A6032" w:rsidRPr="00EC326F" w:rsidRDefault="00CC3286" w:rsidP="00716FF0">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57BB3974" w14:textId="77777777" w:rsidTr="00C03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4D8A5EF2" w14:textId="77777777" w:rsidR="00D3305D" w:rsidRPr="00EC326F" w:rsidRDefault="00D3305D" w:rsidP="003114C1">
            <w:pPr>
              <w:pStyle w:val="TableTextSmall"/>
              <w:rPr>
                <w:b w:val="0"/>
              </w:rPr>
            </w:pPr>
            <w:r w:rsidRPr="00EC326F">
              <w:rPr>
                <w:b w:val="0"/>
              </w:rPr>
              <w:t>- Impact of other changes</w:t>
            </w:r>
          </w:p>
        </w:tc>
        <w:tc>
          <w:tcPr>
            <w:tcW w:w="1276" w:type="dxa"/>
            <w:tcBorders>
              <w:top w:val="nil"/>
              <w:left w:val="single" w:sz="4" w:space="0" w:color="E0301E" w:themeColor="accent6"/>
              <w:right w:val="single" w:sz="4" w:space="0" w:color="E0301E" w:themeColor="accent6"/>
            </w:tcBorders>
            <w:vAlign w:val="bottom"/>
          </w:tcPr>
          <w:p w14:paraId="506957D5"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auto"/>
              </w:rPr>
            </w:pPr>
            <w:r w:rsidRPr="00EC326F">
              <w:t>+$33k</w:t>
            </w:r>
          </w:p>
        </w:tc>
        <w:tc>
          <w:tcPr>
            <w:tcW w:w="992" w:type="dxa"/>
            <w:tcBorders>
              <w:top w:val="nil"/>
              <w:left w:val="single" w:sz="4" w:space="0" w:color="E0301E" w:themeColor="accent6"/>
            </w:tcBorders>
            <w:vAlign w:val="bottom"/>
          </w:tcPr>
          <w:p w14:paraId="745B721F"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+$23k</w:t>
            </w:r>
          </w:p>
        </w:tc>
        <w:tc>
          <w:tcPr>
            <w:tcW w:w="992" w:type="dxa"/>
            <w:tcBorders>
              <w:top w:val="nil"/>
            </w:tcBorders>
            <w:vAlign w:val="bottom"/>
          </w:tcPr>
          <w:p w14:paraId="7336171B"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-$1k</w:t>
            </w:r>
          </w:p>
        </w:tc>
        <w:tc>
          <w:tcPr>
            <w:tcW w:w="992" w:type="dxa"/>
            <w:tcBorders>
              <w:top w:val="nil"/>
              <w:right w:val="dashed" w:sz="4" w:space="0" w:color="E0301E" w:themeColor="accent6"/>
            </w:tcBorders>
            <w:vAlign w:val="bottom"/>
          </w:tcPr>
          <w:p w14:paraId="7D214CC8" w14:textId="32BBD38C" w:rsidR="00D3305D" w:rsidRPr="00EC326F" w:rsidRDefault="00D3305D" w:rsidP="003A6032">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3A6032">
              <w:t>8</w:t>
            </w:r>
            <w:r w:rsidR="003A6032" w:rsidRPr="00EC326F">
              <w:t>k</w:t>
            </w:r>
          </w:p>
        </w:tc>
        <w:tc>
          <w:tcPr>
            <w:tcW w:w="1205" w:type="dxa"/>
            <w:tcBorders>
              <w:top w:val="nil"/>
              <w:left w:val="dashed" w:sz="4" w:space="0" w:color="E0301E" w:themeColor="accent6"/>
            </w:tcBorders>
            <w:vAlign w:val="bottom"/>
          </w:tcPr>
          <w:p w14:paraId="018B9D1B"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05" w:type="dxa"/>
            <w:tcBorders>
              <w:top w:val="nil"/>
            </w:tcBorders>
            <w:vAlign w:val="bottom"/>
          </w:tcPr>
          <w:p w14:paraId="6416BF71"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auto"/>
              </w:rPr>
            </w:pPr>
            <w:r w:rsidRPr="00EC326F">
              <w:t>+$3k</w:t>
            </w:r>
          </w:p>
        </w:tc>
      </w:tr>
    </w:tbl>
    <w:p w14:paraId="4497EF8E" w14:textId="77777777" w:rsidR="00D3305D" w:rsidRPr="00EC326F" w:rsidRDefault="00D3305D" w:rsidP="001A4479">
      <w:pPr>
        <w:pStyle w:val="PwCNormal"/>
        <w:numPr>
          <w:ilvl w:val="0"/>
          <w:numId w:val="37"/>
        </w:numPr>
      </w:pPr>
      <w:r w:rsidRPr="00EC326F">
        <w:t xml:space="preserve">The </w:t>
      </w:r>
      <w:r w:rsidR="00D26958" w:rsidRPr="00EC326F">
        <w:t>increase</w:t>
      </w:r>
      <w:r w:rsidRPr="00EC326F">
        <w:t xml:space="preserve"> in average cost has been primarily driven by:</w:t>
      </w:r>
    </w:p>
    <w:p w14:paraId="13CE0151" w14:textId="77777777" w:rsidR="00D26958" w:rsidRPr="00EC326F" w:rsidRDefault="00D26958" w:rsidP="001A4479">
      <w:pPr>
        <w:pStyle w:val="Bullet1"/>
        <w:numPr>
          <w:ilvl w:val="0"/>
          <w:numId w:val="39"/>
        </w:numPr>
      </w:pPr>
      <w:r w:rsidRPr="00EC326F">
        <w:t>The impact of using the revised mortality assumptions for this class, which increases the length of people</w:t>
      </w:r>
      <w:r w:rsidR="00881FC5">
        <w:t>’</w:t>
      </w:r>
      <w:r w:rsidRPr="00EC326F">
        <w:t xml:space="preserve">s future lifetime for those people who do not have cancer (typically </w:t>
      </w:r>
      <w:r w:rsidR="003A0C75">
        <w:t xml:space="preserve">those </w:t>
      </w:r>
      <w:r w:rsidRPr="00EC326F">
        <w:t>people</w:t>
      </w:r>
      <w:r w:rsidR="003A0C75">
        <w:t xml:space="preserve"> entering this class at younger ages</w:t>
      </w:r>
      <w:r w:rsidRPr="00EC326F">
        <w:t>).</w:t>
      </w:r>
    </w:p>
    <w:p w14:paraId="61153506" w14:textId="77777777" w:rsidR="003A0C75" w:rsidRDefault="0081608F" w:rsidP="00DA56E6">
      <w:pPr>
        <w:pStyle w:val="Bullet1"/>
        <w:numPr>
          <w:ilvl w:val="0"/>
          <w:numId w:val="39"/>
        </w:numPr>
      </w:pPr>
      <w:r w:rsidRPr="00EC326F">
        <w:t xml:space="preserve">The impact of enhancing the projection model to include </w:t>
      </w:r>
      <w:r>
        <w:t>the medical condition</w:t>
      </w:r>
      <w:r w:rsidR="003A0C75">
        <w:t>. T</w:t>
      </w:r>
      <w:r w:rsidRPr="00EC326F">
        <w:t xml:space="preserve">his leads to </w:t>
      </w:r>
      <w:r>
        <w:t>increased differentiation between population subgroups which are expected to have high persistency and subgroups which are expected to have low persistency. The high persistency subgroups within this class are contributing to this increased averaged lifetime cost, their identification results in a higher expected level of future income support payments.</w:t>
      </w:r>
    </w:p>
    <w:p w14:paraId="05A014A7" w14:textId="77777777" w:rsidR="00D3305D" w:rsidRPr="00EC326F" w:rsidRDefault="00D3305D" w:rsidP="001A4479">
      <w:pPr>
        <w:pStyle w:val="Bullet1"/>
        <w:numPr>
          <w:ilvl w:val="0"/>
          <w:numId w:val="39"/>
        </w:numPr>
      </w:pPr>
      <w:r w:rsidRPr="00EC326F">
        <w:t>A flow on impact onto other payment categories, in particular a higher proportion of people remaining on DSP resulting in a higher proportion also receiving the age pension after retirement.</w:t>
      </w:r>
    </w:p>
    <w:p w14:paraId="69450C9A" w14:textId="77777777" w:rsidR="005846DC" w:rsidRPr="00EC326F" w:rsidRDefault="005846DC" w:rsidP="005846DC">
      <w:pPr>
        <w:pStyle w:val="Minorheading"/>
      </w:pPr>
      <w:r w:rsidRPr="00EC326F">
        <w:t>Future outcomes</w:t>
      </w:r>
    </w:p>
    <w:p w14:paraId="19016A28" w14:textId="77777777" w:rsidR="005846DC" w:rsidRPr="00EC326F" w:rsidRDefault="005846DC" w:rsidP="00D26958">
      <w:pPr>
        <w:pStyle w:val="PwCNormal-keepwithnext"/>
      </w:pPr>
      <w:r w:rsidRPr="00EC326F">
        <w:t xml:space="preserve">In developing the valuation results, the projection model also produces information on the expected transitions for people out of each class, as shown below. </w:t>
      </w:r>
    </w:p>
    <w:p w14:paraId="66523DD2" w14:textId="77777777" w:rsidR="005846DC" w:rsidRPr="00EC326F" w:rsidRDefault="005846DC" w:rsidP="005846DC">
      <w:pPr>
        <w:pStyle w:val="Caption"/>
      </w:pPr>
      <w:r w:rsidRPr="00EC326F">
        <w:t xml:space="preserve">Figure </w:t>
      </w:r>
      <w:fldSimple w:instr=" SEQ Figure \* ARABIC ">
        <w:r w:rsidR="007A42DF">
          <w:rPr>
            <w:noProof/>
          </w:rPr>
          <w:t>58</w:t>
        </w:r>
      </w:fldSimple>
      <w:r w:rsidRPr="00EC326F">
        <w:t>: Expected future trajectory for people in Class 5</w:t>
      </w:r>
    </w:p>
    <w:tbl>
      <w:tblPr>
        <w:tblStyle w:val="Tables-APBase"/>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5"/>
        <w:tblDescription w:val="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782,000 individuals who were in the disability support class at 30 June 2016.&#10;&#10;The chart shows that around 60% of this group are projected to be in the disability support class in 2026, with a large majority of the remaining 40% projected to be in either the pension age class or the dead class. The chart shows that most people are projected to only exit the class through either retirement or death, with less than 10% of this group projected to move to any of the other welfare classes at any future year. &#10;&#10;The features shown in the chart are discussed further in the accompanying text within the report.&#10;"/>
      </w:tblPr>
      <w:tblGrid>
        <w:gridCol w:w="6453"/>
        <w:gridCol w:w="2948"/>
      </w:tblGrid>
      <w:tr w:rsidR="005846DC" w:rsidRPr="00EC326F" w14:paraId="5D57CF99" w14:textId="77777777" w:rsidTr="009C6553">
        <w:trPr>
          <w:tblHeader/>
        </w:trPr>
        <w:tc>
          <w:tcPr>
            <w:tcW w:w="6521" w:type="dxa"/>
          </w:tcPr>
          <w:p w14:paraId="7C1A9174" w14:textId="77777777" w:rsidR="005846DC" w:rsidRPr="00EC326F" w:rsidRDefault="00762003" w:rsidP="000D6C29">
            <w:pPr>
              <w:pStyle w:val="TableTextSmall"/>
            </w:pPr>
            <w:r w:rsidRPr="00EC326F">
              <w:rPr>
                <w:noProof/>
                <w:lang w:eastAsia="en-AU"/>
              </w:rPr>
              <w:drawing>
                <wp:inline distT="0" distB="0" distL="0" distR="0" wp14:anchorId="5503854D" wp14:editId="01EBFED5">
                  <wp:extent cx="3919276" cy="2160000"/>
                  <wp:effectExtent l="0" t="0" r="0" b="0"/>
                  <wp:docPr id="2069" name="Picture 2069" descr="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782,000 individuals who were in the disability support class at 30 June 2016.&#10;&#10;The chart shows that around 60% of this group are projected to be in the disability support class in 2026, with a large majority of the remaining 40% projected to be in either the pension age class or the dead class. The chart shows that most people are projected to only exit the class through either retirement or death, with less than 10% of this group projected to move to any of the other welfare classes at any future year. &#10;&#10;The features shown in the chart are discussed further in the accompanying text within the report.&#10;" title=" Expected future trajectory for people in Clas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919276" cy="2160000"/>
                          </a:xfrm>
                          <a:prstGeom prst="rect">
                            <a:avLst/>
                          </a:prstGeom>
                          <a:noFill/>
                          <a:ln>
                            <a:noFill/>
                          </a:ln>
                        </pic:spPr>
                      </pic:pic>
                    </a:graphicData>
                  </a:graphic>
                </wp:inline>
              </w:drawing>
            </w:r>
          </w:p>
        </w:tc>
        <w:tc>
          <w:tcPr>
            <w:tcW w:w="2977" w:type="dxa"/>
          </w:tcPr>
          <w:p w14:paraId="224B0C20" w14:textId="77777777" w:rsidR="005846DC" w:rsidRPr="00EC326F" w:rsidRDefault="005846DC" w:rsidP="000D6C29">
            <w:pPr>
              <w:pStyle w:val="TableTextSmall"/>
            </w:pPr>
          </w:p>
          <w:p w14:paraId="341CDA34" w14:textId="77777777" w:rsidR="005846DC" w:rsidRPr="00EC326F" w:rsidRDefault="005846DC" w:rsidP="000D6C29">
            <w:pPr>
              <w:pStyle w:val="TableTextSmall"/>
            </w:pPr>
            <w:r w:rsidRPr="00EC326F">
              <w:rPr>
                <w:noProof/>
                <w:lang w:eastAsia="en-AU"/>
              </w:rPr>
              <w:drawing>
                <wp:inline distT="0" distB="0" distL="0" distR="0" wp14:anchorId="2962F68F" wp14:editId="574445A2">
                  <wp:extent cx="1439545" cy="1589405"/>
                  <wp:effectExtent l="0" t="0" r="8255" b="0"/>
                  <wp:docPr id="3119" name="Picture 3119" descr="Class key: studying, working age, parents, carers, disability support, pension age, non-income support family, non-income support carer, non-income support other, previous welfare recipient, rest of the Australian population and dead. " title="Class Key for Fig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51EBC7AB" w14:textId="77777777" w:rsidR="005846DC" w:rsidRPr="00EC326F" w:rsidRDefault="005846DC" w:rsidP="000D6C29">
            <w:pPr>
              <w:pStyle w:val="TableTextSmall"/>
            </w:pPr>
          </w:p>
        </w:tc>
      </w:tr>
    </w:tbl>
    <w:p w14:paraId="0CC410AE" w14:textId="77777777" w:rsidR="005846DC" w:rsidRPr="00EC326F" w:rsidRDefault="005846DC" w:rsidP="005846DC">
      <w:pPr>
        <w:pStyle w:val="PwCNormal"/>
        <w:numPr>
          <w:ilvl w:val="0"/>
          <w:numId w:val="0"/>
        </w:numPr>
      </w:pPr>
      <w:r w:rsidRPr="00EC326F">
        <w:t xml:space="preserve">This reinforces the observation that most people only exit this class through death or retirement. </w:t>
      </w:r>
    </w:p>
    <w:p w14:paraId="58C08C7F" w14:textId="77777777" w:rsidR="005846DC" w:rsidRPr="00EC326F" w:rsidRDefault="005846DC" w:rsidP="005846DC">
      <w:pPr>
        <w:pStyle w:val="Bullet1"/>
      </w:pPr>
      <w:r w:rsidRPr="00EC326F">
        <w:t xml:space="preserve">More than 60% of the people in this class are expected to remain there for the next 10 years (or exit and subsequently return) and </w:t>
      </w:r>
      <w:r w:rsidR="00D26958" w:rsidRPr="00EC326F">
        <w:t>36%</w:t>
      </w:r>
      <w:r w:rsidRPr="00EC326F">
        <w:t xml:space="preserve"> are expected still to be receiving disability support pension in 20 years’ time.</w:t>
      </w:r>
    </w:p>
    <w:p w14:paraId="6DDAC132" w14:textId="77777777" w:rsidR="005846DC" w:rsidRPr="00EC326F" w:rsidRDefault="00D26958" w:rsidP="005846DC">
      <w:pPr>
        <w:pStyle w:val="Bullet1"/>
      </w:pPr>
      <w:r w:rsidRPr="00EC326F">
        <w:t>55% of the</w:t>
      </w:r>
      <w:r w:rsidR="005846DC" w:rsidRPr="00EC326F">
        <w:t xml:space="preserve"> people currently in the class are expected to be receiving either DSP or age pension in 30 years’ time (and are most likely to also do so for all the intervening years).</w:t>
      </w:r>
    </w:p>
    <w:p w14:paraId="7C328BEE" w14:textId="77777777" w:rsidR="005846DC" w:rsidRPr="00EC326F" w:rsidRDefault="005846DC" w:rsidP="005846DC">
      <w:pPr>
        <w:pStyle w:val="Minorheading"/>
      </w:pPr>
      <w:r w:rsidRPr="00EC326F">
        <w:lastRenderedPageBreak/>
        <w:t>Duration</w:t>
      </w:r>
    </w:p>
    <w:p w14:paraId="3A2F1189" w14:textId="77777777" w:rsidR="005846DC" w:rsidRPr="00EC326F" w:rsidRDefault="005846DC" w:rsidP="005846DC">
      <w:pPr>
        <w:pStyle w:val="PwCNormal"/>
        <w:numPr>
          <w:ilvl w:val="0"/>
          <w:numId w:val="1"/>
        </w:numPr>
      </w:pPr>
      <w:r w:rsidRPr="00EC326F">
        <w:t xml:space="preserve">The average future life expectancy for the Disability Support class is </w:t>
      </w:r>
      <w:r w:rsidR="00762003" w:rsidRPr="00EC326F">
        <w:rPr>
          <w:b/>
        </w:rPr>
        <w:t>34</w:t>
      </w:r>
      <w:r w:rsidRPr="00EC326F">
        <w:t xml:space="preserve"> years. This reflects that a significant proportion of this class is approaching retirement age.</w:t>
      </w:r>
    </w:p>
    <w:p w14:paraId="3AC09A26" w14:textId="77777777" w:rsidR="005846DC" w:rsidRPr="00EC326F" w:rsidRDefault="005846DC" w:rsidP="005846DC">
      <w:pPr>
        <w:pStyle w:val="PwCNormal"/>
        <w:numPr>
          <w:ilvl w:val="0"/>
          <w:numId w:val="0"/>
        </w:numPr>
      </w:pPr>
      <w:r w:rsidRPr="00EC326F">
        <w:t>The table below provides a summary of the expected welfare system use of people currently in this class over this time. This has been developed by considering which classes people move into as they move through the welfare system over their lives.</w:t>
      </w:r>
    </w:p>
    <w:p w14:paraId="09E6746E" w14:textId="77777777" w:rsidR="005846DC" w:rsidRPr="002A0A1A" w:rsidRDefault="005846DC" w:rsidP="005846DC">
      <w:pPr>
        <w:pStyle w:val="Caption"/>
      </w:pPr>
      <w:r w:rsidRPr="00EC326F">
        <w:t xml:space="preserve">Table </w:t>
      </w:r>
      <w:fldSimple w:instr=" SEQ Table \* ARABIC ">
        <w:r w:rsidR="007A42DF">
          <w:rPr>
            <w:noProof/>
          </w:rPr>
          <w:t>37</w:t>
        </w:r>
      </w:fldSimple>
      <w:r w:rsidRPr="00EC326F">
        <w:t>: Expected durations in welfare system for people currently in Class 5</w:t>
      </w:r>
    </w:p>
    <w:tbl>
      <w:tblPr>
        <w:tblStyle w:val="ListTable3-Accent61"/>
        <w:tblW w:w="8868" w:type="dxa"/>
        <w:tblInd w:w="108" w:type="dxa"/>
        <w:tblLook w:val="04A0" w:firstRow="1" w:lastRow="0" w:firstColumn="1" w:lastColumn="0" w:noHBand="0" w:noVBand="1"/>
        <w:tblCaption w:val=" Expected durations in welfare system for people currently in Class 5&#10;&#10;"/>
        <w:tblDescription w:val="This table provides data on the expected number of years that people currently in Class 5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5 is 34 years. &#10;&#10;People in Class 5 are expected to receive some form of income support payment (excluding the age pension) for 18 years, 52% of their future lifetime. It is expected that they will receive the age pension for 15 years (43% of their future lifetime), non-income support payments only for less than 1 year (1% of their lifetime) and no welfare payments for 1 year (3% of their lifetime).&#10;"/>
      </w:tblPr>
      <w:tblGrid>
        <w:gridCol w:w="3828"/>
        <w:gridCol w:w="2520"/>
        <w:gridCol w:w="2520"/>
      </w:tblGrid>
      <w:tr w:rsidR="005846DC" w:rsidRPr="00EC326F" w14:paraId="41E6CB05"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690D6485" w14:textId="77777777" w:rsidR="005846DC" w:rsidRPr="00EC326F" w:rsidRDefault="005846DC" w:rsidP="000D6C29">
            <w:pPr>
              <w:pStyle w:val="TableTextSmall"/>
              <w:jc w:val="center"/>
              <w:rPr>
                <w:rFonts w:asciiTheme="majorHAnsi" w:hAnsiTheme="majorHAnsi"/>
                <w:color w:val="FFFFFF" w:themeColor="background1"/>
              </w:rPr>
            </w:pPr>
          </w:p>
        </w:tc>
        <w:tc>
          <w:tcPr>
            <w:tcW w:w="2520" w:type="dxa"/>
          </w:tcPr>
          <w:p w14:paraId="41D623E0"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Expected Years</w:t>
            </w:r>
          </w:p>
        </w:tc>
        <w:tc>
          <w:tcPr>
            <w:tcW w:w="2520" w:type="dxa"/>
          </w:tcPr>
          <w:p w14:paraId="4F2B0EE2"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Proportion of Future Lifetime</w:t>
            </w:r>
          </w:p>
        </w:tc>
      </w:tr>
      <w:tr w:rsidR="005846DC" w:rsidRPr="00EC326F" w14:paraId="2F97B5E1"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E074D44" w14:textId="77777777" w:rsidR="005846DC" w:rsidRPr="00EC326F" w:rsidRDefault="005846DC" w:rsidP="000D6C29">
            <w:pPr>
              <w:pStyle w:val="TableTextSmall"/>
            </w:pPr>
            <w:r w:rsidRPr="00EC326F">
              <w:t>Years with some income support payments:</w:t>
            </w:r>
          </w:p>
          <w:p w14:paraId="092C0A5D" w14:textId="77777777" w:rsidR="005846DC" w:rsidRPr="00EC326F" w:rsidRDefault="005846DC" w:rsidP="001A4479">
            <w:pPr>
              <w:pStyle w:val="TableTextSmall"/>
              <w:numPr>
                <w:ilvl w:val="0"/>
                <w:numId w:val="43"/>
              </w:numPr>
            </w:pPr>
            <w:r w:rsidRPr="00EC326F">
              <w:t>Not aged pension (classes 1-5)</w:t>
            </w:r>
          </w:p>
          <w:p w14:paraId="79965165" w14:textId="77777777" w:rsidR="005846DC" w:rsidRPr="00EC326F" w:rsidRDefault="005846DC" w:rsidP="001A4479">
            <w:pPr>
              <w:pStyle w:val="TableTextSmall"/>
              <w:numPr>
                <w:ilvl w:val="0"/>
                <w:numId w:val="43"/>
              </w:numPr>
            </w:pPr>
            <w:r w:rsidRPr="00EC326F">
              <w:t>Aged pension (class 6)</w:t>
            </w:r>
          </w:p>
        </w:tc>
        <w:tc>
          <w:tcPr>
            <w:tcW w:w="2520" w:type="dxa"/>
          </w:tcPr>
          <w:p w14:paraId="16BD9810"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1</w:t>
            </w:r>
            <w:r w:rsidR="00762003" w:rsidRPr="00EC326F">
              <w:t>8</w:t>
            </w:r>
          </w:p>
          <w:p w14:paraId="027F67C5"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15</w:t>
            </w:r>
          </w:p>
        </w:tc>
        <w:tc>
          <w:tcPr>
            <w:tcW w:w="2520" w:type="dxa"/>
          </w:tcPr>
          <w:p w14:paraId="6CBCAEC1"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5</w:t>
            </w:r>
            <w:r w:rsidR="00762003" w:rsidRPr="00EC326F">
              <w:t>2</w:t>
            </w:r>
            <w:r w:rsidRPr="00EC326F">
              <w:t>%</w:t>
            </w:r>
          </w:p>
          <w:p w14:paraId="1D89192E" w14:textId="77777777" w:rsidR="005846DC" w:rsidRPr="00EC326F" w:rsidRDefault="005846DC" w:rsidP="00762003">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w:t>
            </w:r>
            <w:r w:rsidR="00762003" w:rsidRPr="00EC326F">
              <w:t>3</w:t>
            </w:r>
            <w:r w:rsidRPr="00EC326F">
              <w:t>%</w:t>
            </w:r>
          </w:p>
        </w:tc>
      </w:tr>
      <w:tr w:rsidR="005846DC" w:rsidRPr="00EC326F" w14:paraId="40B899B0"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6A294D1B" w14:textId="77777777" w:rsidR="005846DC" w:rsidRPr="00EC326F" w:rsidRDefault="005846DC" w:rsidP="000D6C29">
            <w:pPr>
              <w:pStyle w:val="TableTextSmall"/>
            </w:pPr>
            <w:r w:rsidRPr="00EC326F">
              <w:t>Years with non-income support payments only</w:t>
            </w:r>
          </w:p>
        </w:tc>
        <w:tc>
          <w:tcPr>
            <w:tcW w:w="2520" w:type="dxa"/>
          </w:tcPr>
          <w:p w14:paraId="4D7FF2E1" w14:textId="77777777" w:rsidR="005846DC" w:rsidRPr="00EC326F" w:rsidRDefault="005846DC"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0</w:t>
            </w:r>
          </w:p>
        </w:tc>
        <w:tc>
          <w:tcPr>
            <w:tcW w:w="2520" w:type="dxa"/>
          </w:tcPr>
          <w:p w14:paraId="4095750F" w14:textId="77777777" w:rsidR="005846DC" w:rsidRPr="00EC326F" w:rsidRDefault="005846DC"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w:t>
            </w:r>
          </w:p>
        </w:tc>
      </w:tr>
      <w:tr w:rsidR="005846DC" w:rsidRPr="00EC326F" w14:paraId="66575028"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4ECDB98" w14:textId="77777777" w:rsidR="005846DC" w:rsidRPr="00EC326F" w:rsidRDefault="005846DC" w:rsidP="000D6C29">
            <w:pPr>
              <w:pStyle w:val="TableTextSmall"/>
            </w:pPr>
            <w:r w:rsidRPr="00EC326F">
              <w:t>Years not receiving any welfare payments</w:t>
            </w:r>
          </w:p>
        </w:tc>
        <w:tc>
          <w:tcPr>
            <w:tcW w:w="2520" w:type="dxa"/>
          </w:tcPr>
          <w:p w14:paraId="0DB103DA"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w:t>
            </w:r>
          </w:p>
        </w:tc>
        <w:tc>
          <w:tcPr>
            <w:tcW w:w="2520" w:type="dxa"/>
          </w:tcPr>
          <w:p w14:paraId="5AED8D6C"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w:t>
            </w:r>
          </w:p>
        </w:tc>
      </w:tr>
      <w:tr w:rsidR="005846DC" w:rsidRPr="00EC326F" w14:paraId="3B250E95"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3EAB0C43" w14:textId="77777777" w:rsidR="005846DC" w:rsidRPr="00EC326F" w:rsidRDefault="005846DC" w:rsidP="000D6C29">
            <w:pPr>
              <w:pStyle w:val="TableTextSmall"/>
            </w:pPr>
            <w:r w:rsidRPr="00EC326F">
              <w:t>Total</w:t>
            </w:r>
          </w:p>
        </w:tc>
        <w:tc>
          <w:tcPr>
            <w:tcW w:w="2520" w:type="dxa"/>
          </w:tcPr>
          <w:p w14:paraId="4302383D" w14:textId="77777777" w:rsidR="005846DC" w:rsidRPr="00EC326F" w:rsidRDefault="005846DC" w:rsidP="00762003">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3</w:t>
            </w:r>
            <w:r w:rsidR="00762003" w:rsidRPr="00EC326F">
              <w:t>4</w:t>
            </w:r>
          </w:p>
        </w:tc>
        <w:tc>
          <w:tcPr>
            <w:tcW w:w="2520" w:type="dxa"/>
          </w:tcPr>
          <w:p w14:paraId="47344417" w14:textId="77777777" w:rsidR="005846DC" w:rsidRPr="00EC326F" w:rsidRDefault="005846DC"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100%</w:t>
            </w:r>
          </w:p>
        </w:tc>
      </w:tr>
    </w:tbl>
    <w:p w14:paraId="17AD3702" w14:textId="77777777" w:rsidR="005846DC" w:rsidRPr="002A0A1A" w:rsidRDefault="005846DC" w:rsidP="00142D83">
      <w:pPr>
        <w:pStyle w:val="PwCNormal"/>
      </w:pPr>
    </w:p>
    <w:p w14:paraId="6B240923" w14:textId="77777777" w:rsidR="00142D83" w:rsidRPr="002A0A1A" w:rsidRDefault="00142D83">
      <w:pPr>
        <w:kinsoku/>
        <w:overflowPunct/>
        <w:autoSpaceDE/>
        <w:autoSpaceDN/>
        <w:adjustRightInd/>
        <w:snapToGrid/>
      </w:pPr>
      <w:r w:rsidRPr="002A0A1A">
        <w:br w:type="page"/>
      </w:r>
    </w:p>
    <w:p w14:paraId="607F7382" w14:textId="77777777" w:rsidR="005846DC" w:rsidRPr="00EC326F" w:rsidRDefault="005846DC" w:rsidP="005846DC">
      <w:pPr>
        <w:pStyle w:val="Heading3"/>
      </w:pPr>
      <w:bookmarkStart w:id="402" w:name="_Toc493844262"/>
      <w:r w:rsidRPr="00EC326F">
        <w:lastRenderedPageBreak/>
        <w:t>Age Pensioners</w:t>
      </w:r>
      <w:bookmarkEnd w:id="402"/>
      <w:r w:rsidRPr="00EC326F">
        <w:t xml:space="preserve"> </w:t>
      </w:r>
    </w:p>
    <w:p w14:paraId="147F1C5E" w14:textId="77777777" w:rsidR="005846DC" w:rsidRPr="00EC326F" w:rsidRDefault="005846DC" w:rsidP="005846DC">
      <w:pPr>
        <w:pStyle w:val="Heading4"/>
      </w:pPr>
      <w:r w:rsidRPr="00EC326F">
        <w:t>What does the data tell us about Age Pensioners?</w:t>
      </w:r>
    </w:p>
    <w:p w14:paraId="6B700954" w14:textId="6511A0EE" w:rsidR="005846DC" w:rsidRPr="00EC326F" w:rsidRDefault="005846DC" w:rsidP="005846DC">
      <w:pPr>
        <w:pStyle w:val="PwCNormal"/>
        <w:numPr>
          <w:ilvl w:val="0"/>
          <w:numId w:val="0"/>
        </w:numPr>
      </w:pPr>
      <w:r w:rsidRPr="00EC326F">
        <w:t xml:space="preserve">There were 2,550,939 people (31.7% of current welfare recipients) in the </w:t>
      </w:r>
      <w:r w:rsidR="005E2656">
        <w:t>Age P</w:t>
      </w:r>
      <w:r w:rsidRPr="00EC326F">
        <w:t>ension class in the 2016 model population; it is the biggest income support class by a considerable margin.</w:t>
      </w:r>
    </w:p>
    <w:p w14:paraId="4422CAC9" w14:textId="06BEE45E" w:rsidR="005846DC" w:rsidRPr="00EC326F" w:rsidRDefault="005846DC" w:rsidP="005846DC">
      <w:pPr>
        <w:pStyle w:val="PwCNormal"/>
        <w:numPr>
          <w:ilvl w:val="0"/>
          <w:numId w:val="0"/>
        </w:numPr>
      </w:pPr>
      <w:r w:rsidRPr="00EC326F">
        <w:t xml:space="preserve">The following chart shows a breakdown of the number of people in the </w:t>
      </w:r>
      <w:r w:rsidR="005E2656">
        <w:t>A</w:t>
      </w:r>
      <w:r w:rsidRPr="00EC326F">
        <w:t xml:space="preserve">ge </w:t>
      </w:r>
      <w:r w:rsidR="005E2656">
        <w:t>P</w:t>
      </w:r>
      <w:r w:rsidRPr="00EC326F">
        <w:t>ension class by age and gender.</w:t>
      </w:r>
    </w:p>
    <w:p w14:paraId="05CA50D2" w14:textId="77777777" w:rsidR="005846DC" w:rsidRPr="00EC326F" w:rsidRDefault="005846DC" w:rsidP="005846DC">
      <w:pPr>
        <w:pStyle w:val="Caption"/>
      </w:pPr>
      <w:r w:rsidRPr="00EC326F">
        <w:t xml:space="preserve">Figure </w:t>
      </w:r>
      <w:fldSimple w:instr=" SEQ Figure \* ARABIC ">
        <w:r w:rsidR="007A42DF">
          <w:rPr>
            <w:noProof/>
          </w:rPr>
          <w:t>59</w:t>
        </w:r>
      </w:fldSimple>
      <w:r w:rsidRPr="00EC326F">
        <w:t>: 2016 profile of people in Class 6 – Pension Age (age/gender)</w:t>
      </w:r>
    </w:p>
    <w:tbl>
      <w:tblPr>
        <w:tblStyle w:val="Tables-APBase"/>
        <w:tblW w:w="434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6 – Pension Age (age/gender)&#10;"/>
        <w:tblDescription w:val="This figure is a horizontal bar chart showing the number of people in the Pension Age Class at Jun16 by age for males and females separately. The vertical axis shows age with the data shown ranging from 38 to 110. The horizontal axis shows the number of people ranging from 0 to 85,000. The number of males at each age are shown by the horizontal bars to the left of the vertical axis and the number of females at each age are shown by horizontal bars to the right.&#10;&#10;The chart is based on the 2,551,000 individuals who were in the Pension Age class at 30 June 2016. &#10;&#10;The chart shows that the number of males and females in the pension age class prior to age 64 is similar by age; however, there are more females for all ages. Prior to age 64, there is a small number of females only. The number of pension age clients peaks at 73,000 and 84,000 for males and females respectively, at age 68.&#10;"/>
      </w:tblPr>
      <w:tblGrid>
        <w:gridCol w:w="5812"/>
        <w:gridCol w:w="2359"/>
      </w:tblGrid>
      <w:tr w:rsidR="005846DC" w:rsidRPr="00EC326F" w14:paraId="3DD81308" w14:textId="77777777" w:rsidTr="009C6553">
        <w:trPr>
          <w:tblHeader/>
        </w:trPr>
        <w:tc>
          <w:tcPr>
            <w:tcW w:w="5812" w:type="dxa"/>
          </w:tcPr>
          <w:p w14:paraId="3D8B4CED"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22D3BD95" wp14:editId="13B723C6">
                  <wp:extent cx="3371850" cy="2105025"/>
                  <wp:effectExtent l="0" t="0" r="0" b="9525"/>
                  <wp:docPr id="3869" name="Picture 3869" descr="This figure is a horizontal bar chart showing the number of people in the Pension Age Class at Jun16 by age for males and females separately. The vertical axis shows age with the data shown ranging from 38 to 110. The horizontal axis shows the number of people ranging from 0 to 85,000. The number of males at each age are shown by the horizontal bars to the left of the vertical axis and the number of females at each age are shown by horizontal bars to the right.&#10;&#10;The chart is based on the 2,551,000 individuals who were in the Pension Age class at 30 June 2016. &#10;&#10;The chart shows that the number of males and females in the pension age class prior to age 64 is similar by age; however, there are more females for all ages. Prior to age 64, there is a small number of females only. The number of pension age clients peaks at 73,000 and 84,000 for males and females respectively, at age 68.&#10;" title=" 2016 profile of people in Class 6 – Pension Age (age/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71850" cy="2105025"/>
                          </a:xfrm>
                          <a:prstGeom prst="rect">
                            <a:avLst/>
                          </a:prstGeom>
                          <a:noFill/>
                          <a:ln>
                            <a:noFill/>
                          </a:ln>
                        </pic:spPr>
                      </pic:pic>
                    </a:graphicData>
                  </a:graphic>
                </wp:inline>
              </w:drawing>
            </w:r>
          </w:p>
        </w:tc>
        <w:tc>
          <w:tcPr>
            <w:tcW w:w="2359" w:type="dxa"/>
          </w:tcPr>
          <w:p w14:paraId="2412E243" w14:textId="77777777" w:rsidR="005846DC" w:rsidRPr="00EC326F" w:rsidRDefault="005846DC" w:rsidP="000D6C29">
            <w:pPr>
              <w:pStyle w:val="TableTextSmall"/>
              <w:keepNext/>
              <w:rPr>
                <w:lang w:eastAsia="en-AU"/>
              </w:rPr>
            </w:pPr>
          </w:p>
          <w:p w14:paraId="037EE6BB" w14:textId="77777777" w:rsidR="005846DC" w:rsidRPr="00EC326F" w:rsidRDefault="005846DC" w:rsidP="000D6C29">
            <w:pPr>
              <w:pStyle w:val="TableTextSmall"/>
              <w:keepNext/>
              <w:rPr>
                <w:lang w:eastAsia="en-AU"/>
              </w:rPr>
            </w:pPr>
          </w:p>
          <w:p w14:paraId="366644DD" w14:textId="77777777" w:rsidR="005846DC" w:rsidRPr="00EC326F" w:rsidRDefault="005846DC" w:rsidP="000D6C29">
            <w:pPr>
              <w:pStyle w:val="TableTextSmall"/>
              <w:keepNext/>
              <w:rPr>
                <w:lang w:eastAsia="en-AU"/>
              </w:rPr>
            </w:pPr>
          </w:p>
          <w:p w14:paraId="0C6C9D38" w14:textId="77777777" w:rsidR="005846DC" w:rsidRPr="00EC326F" w:rsidRDefault="005846DC" w:rsidP="000D6C29">
            <w:pPr>
              <w:pStyle w:val="TableTextSmall"/>
              <w:keepNext/>
              <w:rPr>
                <w:lang w:eastAsia="en-AU"/>
              </w:rPr>
            </w:pPr>
          </w:p>
        </w:tc>
      </w:tr>
    </w:tbl>
    <w:p w14:paraId="255F01C2" w14:textId="685A5D02" w:rsidR="005846DC" w:rsidRPr="00EC326F" w:rsidRDefault="005846DC" w:rsidP="005846DC">
      <w:pPr>
        <w:pStyle w:val="PwCNormal"/>
        <w:numPr>
          <w:ilvl w:val="0"/>
          <w:numId w:val="0"/>
        </w:numPr>
      </w:pPr>
      <w:r w:rsidRPr="00EC326F">
        <w:t xml:space="preserve">The class includes a mix of both men and women albeit with slightly more women. This is most likely a result of greater female longevity. The vast majority of people in the class are past pension age, however a small number of younger people have been included through their receipt </w:t>
      </w:r>
      <w:r w:rsidR="00A66978">
        <w:t>of the</w:t>
      </w:r>
      <w:r w:rsidRPr="00EC326F">
        <w:t xml:space="preserve"> wife pension</w:t>
      </w:r>
      <w:r w:rsidR="00A66978">
        <w:t>.</w:t>
      </w:r>
    </w:p>
    <w:p w14:paraId="48D33FE0" w14:textId="77777777" w:rsidR="005846DC" w:rsidRPr="00EC326F" w:rsidRDefault="005846DC" w:rsidP="005846DC">
      <w:pPr>
        <w:pStyle w:val="Minorheading"/>
      </w:pPr>
      <w:r w:rsidRPr="00EC326F">
        <w:t>Movements into this class</w:t>
      </w:r>
    </w:p>
    <w:p w14:paraId="6B464A64" w14:textId="77777777" w:rsidR="005846DC" w:rsidRPr="00EC326F" w:rsidRDefault="005846DC" w:rsidP="005846DC">
      <w:pPr>
        <w:pStyle w:val="PwCNormal"/>
        <w:numPr>
          <w:ilvl w:val="0"/>
          <w:numId w:val="1"/>
        </w:numPr>
      </w:pPr>
      <w:r w:rsidRPr="00EC326F">
        <w:t xml:space="preserve">Over the last 3 years, an average of 164,700 people (around 6% of the people in this class) per annum enter this class from another welfare class or from outside the welfare system. The following charts show the breakdown of this by age, gender and previous class. </w:t>
      </w:r>
    </w:p>
    <w:p w14:paraId="02A0CC41" w14:textId="77777777" w:rsidR="005846DC" w:rsidRPr="00EC326F" w:rsidRDefault="005846DC" w:rsidP="005846DC">
      <w:pPr>
        <w:pStyle w:val="Caption"/>
      </w:pPr>
      <w:r w:rsidRPr="00EC326F">
        <w:t xml:space="preserve">Figure </w:t>
      </w:r>
      <w:fldSimple w:instr=" SEQ Figure \* ARABIC ">
        <w:r w:rsidR="007A42DF">
          <w:rPr>
            <w:noProof/>
          </w:rPr>
          <w:t>60</w:t>
        </w:r>
      </w:fldSimple>
      <w:r w:rsidRPr="00EC326F">
        <w:t>: Number of people entering Class 6 – Pension Age (annual average over last 3 years)</w:t>
      </w:r>
    </w:p>
    <w:tbl>
      <w:tblPr>
        <w:tblW w:w="4922" w:type="pct"/>
        <w:tblLayout w:type="fixed"/>
        <w:tblLook w:val="04A0" w:firstRow="1" w:lastRow="0" w:firstColumn="1" w:lastColumn="0" w:noHBand="0" w:noVBand="1"/>
        <w:tblCaption w:val=" Number of people entering Class 6 – Pension Age (annual average over last 3 years)"/>
        <w:tblDescription w:val="This text box contains two charts and a legend."/>
      </w:tblPr>
      <w:tblGrid>
        <w:gridCol w:w="4627"/>
        <w:gridCol w:w="4627"/>
      </w:tblGrid>
      <w:tr w:rsidR="005846DC" w:rsidRPr="00EC326F" w14:paraId="24CDE3C0" w14:textId="77777777" w:rsidTr="001B43B4">
        <w:trPr>
          <w:tblHeader/>
        </w:trPr>
        <w:tc>
          <w:tcPr>
            <w:tcW w:w="4627" w:type="dxa"/>
          </w:tcPr>
          <w:p w14:paraId="6DC878B5" w14:textId="77777777" w:rsidR="005846DC" w:rsidRPr="00EC326F" w:rsidRDefault="005846DC" w:rsidP="000D6C29">
            <w:pPr>
              <w:pStyle w:val="TableTextSmall"/>
              <w:keepNext/>
              <w:jc w:val="center"/>
              <w:rPr>
                <w:b/>
                <w:i/>
              </w:rPr>
            </w:pPr>
            <w:r w:rsidRPr="00EC326F">
              <w:rPr>
                <w:b/>
                <w:i/>
              </w:rPr>
              <w:t>Males</w:t>
            </w:r>
          </w:p>
        </w:tc>
        <w:tc>
          <w:tcPr>
            <w:tcW w:w="4627" w:type="dxa"/>
          </w:tcPr>
          <w:p w14:paraId="3ECBA035" w14:textId="77777777" w:rsidR="005846DC" w:rsidRPr="00EC326F" w:rsidRDefault="005846DC" w:rsidP="000D6C29">
            <w:pPr>
              <w:pStyle w:val="TableTextSmall"/>
              <w:keepNext/>
              <w:jc w:val="center"/>
              <w:rPr>
                <w:b/>
                <w:i/>
              </w:rPr>
            </w:pPr>
            <w:r w:rsidRPr="00EC326F">
              <w:rPr>
                <w:b/>
                <w:i/>
              </w:rPr>
              <w:t>Females</w:t>
            </w:r>
          </w:p>
        </w:tc>
      </w:tr>
      <w:tr w:rsidR="005846DC" w:rsidRPr="00EC326F" w14:paraId="0F6EDF33" w14:textId="77777777" w:rsidTr="00833C7E">
        <w:tc>
          <w:tcPr>
            <w:tcW w:w="4627" w:type="dxa"/>
          </w:tcPr>
          <w:p w14:paraId="09A71611"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77A13DF0" wp14:editId="240F4377">
                  <wp:extent cx="3009900" cy="1876425"/>
                  <wp:effectExtent l="0" t="0" r="0" b="9525"/>
                  <wp:docPr id="3120" name="Picture 3120" descr="This figure contains two area charts. The vertical axis on both charts displays the cumulative number of entrants into the Pension Age Class, and ranges from 0 to 50,000. For both charts the horizontal axis shows age ranging from 0 to 110. &#10;&#10;The chart on the left shows the average number of male entrants over the period from June 2014 to June 2016, split by class prior to entry.  The chart on the right shows the average number of female entrants over the period from June 2014 to June 2016, split by class prior to entry. &#10;&#10;Both area charts show the cumulative number of entrants split by class prior to entry to the Pension Age class; 1 Studying, 2 Working Age, 3 Parents, 4 Carers, 5 Disability Support, 7 Non-IS Family, 8 Non-IS Carer, 9 Non-IS Other, 10 Previous Welfare Recipient and 12 Rest of the Australian Population.&#10;&#10;For both males and females, the charts show that the majority of entrants come from Class 12 Rest of the Australian Population, Class 5 Disability Support and Class 2 Working Age. For both genders, the profile of new entrants has a distinct peak at age 65 (approximately 49,000 male entrants and 51,000 female entrants). At age 66 there are less than 10,000 entrants for each gender and this number continues to reduce with age.&#10;&#10;Further discussion of the key features shown in the chart can be found in the accompanying text within the report.&#10;" title=" Number of people entering Class 6 – Pension Age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627" w:type="dxa"/>
          </w:tcPr>
          <w:p w14:paraId="6A06516E"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3AC71E53" wp14:editId="7885B28C">
                  <wp:extent cx="3009900" cy="1876425"/>
                  <wp:effectExtent l="0" t="0" r="0" b="9525"/>
                  <wp:docPr id="3121" name="Picture 3121" descr="This figure contains two area charts. The vertical axis on both charts displays the cumulative number of entrants into the Pension Age Class, and ranges from 0 to 50,000. For both charts the horizontal axis shows age ranging from 0 to 110. &#10;&#10;The chart on the left shows the average number of male entrants over the period from June 2014 to June 2016, split by class prior to entry.  The chart on the right shows the average number of female entrants over the period from June 2014 to June 2016, split by class prior to entry. &#10;&#10;Both area charts show the cumulative number of entrants split by class prior to entry to the Pension Age class; 1 Studying, 2 Working Age, 3 Parents, 4 Carers, 5 Disability Support, 7 Non-IS Family, 8 Non-IS Carer, 9 Non-IS Other, 10 Previous Welfare Recipient and 12 Rest of the Australian Population.&#10;&#10;For both males and females, the charts show that the majority of entrants come from Class 12 Rest of the Australian Population, Class 5 Disability Support and Class 2 Working Age. For both genders, the profile of new entrants has a distinct peak at age 65 (approximately 49,000 male entrants and 51,000 female entrants). At age 66 there are less than 10,000 entrants for each gender and this number continues to reduce with age.&#10;&#10;Further discussion of the key features shown in the chart can be found in the accompanying text within the report.&#10;" title=" Number of people entering Class 6 – Pension Age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1B667A24" w14:textId="4568689B" w:rsidR="00833C7E" w:rsidRDefault="00833C7E" w:rsidP="0081675B">
      <w:pPr>
        <w:pStyle w:val="PwCNormal"/>
        <w:numPr>
          <w:ilvl w:val="0"/>
          <w:numId w:val="1"/>
        </w:numPr>
        <w:jc w:val="center"/>
      </w:pPr>
      <w:r w:rsidRPr="00EC326F">
        <w:rPr>
          <w:noProof/>
          <w:lang w:eastAsia="en-AU"/>
        </w:rPr>
        <w:drawing>
          <wp:inline distT="0" distB="0" distL="0" distR="0" wp14:anchorId="5181DE9F" wp14:editId="7E464B35">
            <wp:extent cx="5385600" cy="468000"/>
            <wp:effectExtent l="0" t="0" r="0" b="8255"/>
            <wp:docPr id="3095" name="Picture 3095" descr="Class key: studying, working age, parents, carers, disability support, pension age, non-income support family, non-income support carer, non-income support other, previous welfare recipient, rest of the Australian population and dead. &#10;" title="Class Key for Fig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3878EE74" w14:textId="7E0B08AE" w:rsidR="005846DC" w:rsidRPr="002A0A1A" w:rsidRDefault="005846DC" w:rsidP="005846DC">
      <w:pPr>
        <w:pStyle w:val="PwCNormal"/>
        <w:numPr>
          <w:ilvl w:val="0"/>
          <w:numId w:val="1"/>
        </w:numPr>
      </w:pPr>
      <w:r w:rsidRPr="00EC326F">
        <w:t xml:space="preserve">From the charts, we can see that the majority of people enter the class on reaching their age pension qualifying age (pension age). Prior to entering the </w:t>
      </w:r>
      <w:r w:rsidR="005E2656">
        <w:t>A</w:t>
      </w:r>
      <w:r w:rsidRPr="00EC326F">
        <w:t xml:space="preserve">ge </w:t>
      </w:r>
      <w:r w:rsidR="005E2656">
        <w:t>P</w:t>
      </w:r>
      <w:r w:rsidRPr="00EC326F">
        <w:t xml:space="preserve">ension class these people were in a mix of classes, both inside and outside the welfare system. Those arriving from elsewhere in the welfare </w:t>
      </w:r>
      <w:r w:rsidRPr="00EC326F">
        <w:lastRenderedPageBreak/>
        <w:t xml:space="preserve">system were mostly from the </w:t>
      </w:r>
      <w:r w:rsidR="00916C7F">
        <w:t>W</w:t>
      </w:r>
      <w:r w:rsidRPr="00EC326F">
        <w:t xml:space="preserve">orking </w:t>
      </w:r>
      <w:r w:rsidR="00916C7F">
        <w:t>A</w:t>
      </w:r>
      <w:r w:rsidRPr="00EC326F">
        <w:t>ge or D</w:t>
      </w:r>
      <w:r w:rsidR="00916C7F">
        <w:t xml:space="preserve">isability </w:t>
      </w:r>
      <w:r w:rsidRPr="00EC326F">
        <w:t>S</w:t>
      </w:r>
      <w:r w:rsidR="00916C7F">
        <w:t xml:space="preserve">upport </w:t>
      </w:r>
      <w:r w:rsidRPr="00EC326F">
        <w:t>P</w:t>
      </w:r>
      <w:r w:rsidR="00916C7F">
        <w:t>ension</w:t>
      </w:r>
      <w:r w:rsidRPr="00EC326F">
        <w:t xml:space="preserve"> classes (these being the main pre-retirement classes available to older working age people).</w:t>
      </w:r>
    </w:p>
    <w:p w14:paraId="1260ABEA" w14:textId="77777777" w:rsidR="005846DC" w:rsidRPr="00EC326F" w:rsidRDefault="005846DC" w:rsidP="005846DC">
      <w:pPr>
        <w:pStyle w:val="Minorheading"/>
      </w:pPr>
      <w:r w:rsidRPr="00EC326F">
        <w:t>Movements out of this class</w:t>
      </w:r>
    </w:p>
    <w:p w14:paraId="21AFE655" w14:textId="77777777" w:rsidR="005846DC" w:rsidRPr="00EC326F" w:rsidRDefault="005846DC" w:rsidP="005846DC">
      <w:pPr>
        <w:pStyle w:val="PwCNormal"/>
        <w:numPr>
          <w:ilvl w:val="0"/>
          <w:numId w:val="1"/>
        </w:numPr>
      </w:pPr>
      <w:r w:rsidRPr="00EC326F">
        <w:t xml:space="preserve">Over the last 3 years, an average of 104,900 people (4%) per annum have transitioned out of the Pension Age class. The following charts show the breakdown of this by age, gender and destination class. </w:t>
      </w:r>
    </w:p>
    <w:p w14:paraId="742418CD" w14:textId="77777777" w:rsidR="005846DC" w:rsidRPr="00EC326F" w:rsidRDefault="005846DC" w:rsidP="005846DC">
      <w:pPr>
        <w:pStyle w:val="Caption"/>
      </w:pPr>
      <w:r w:rsidRPr="00EC326F">
        <w:t xml:space="preserve">Figure </w:t>
      </w:r>
      <w:fldSimple w:instr=" SEQ Figure \* ARABIC ">
        <w:r w:rsidR="007A42DF">
          <w:rPr>
            <w:noProof/>
          </w:rPr>
          <w:t>61</w:t>
        </w:r>
      </w:fldSimple>
      <w:r w:rsidRPr="00EC326F">
        <w:t>: Number of people leaving Class 6 – Pension Age (annual average over last 3 years)</w:t>
      </w:r>
    </w:p>
    <w:tbl>
      <w:tblPr>
        <w:tblW w:w="4922" w:type="pct"/>
        <w:tblLayout w:type="fixed"/>
        <w:tblLook w:val="04A0" w:firstRow="1" w:lastRow="0" w:firstColumn="1" w:lastColumn="0" w:noHBand="0" w:noVBand="1"/>
        <w:tblCaption w:val=" Number of people leaving Class 6 – Pension Age (annual average over last 3 years)"/>
        <w:tblDescription w:val="This text box contains two charts and a legend."/>
      </w:tblPr>
      <w:tblGrid>
        <w:gridCol w:w="4627"/>
        <w:gridCol w:w="4627"/>
      </w:tblGrid>
      <w:tr w:rsidR="005846DC" w:rsidRPr="00EC326F" w14:paraId="2ED6C2D3" w14:textId="77777777" w:rsidTr="001B43B4">
        <w:trPr>
          <w:tblHeader/>
        </w:trPr>
        <w:tc>
          <w:tcPr>
            <w:tcW w:w="4627" w:type="dxa"/>
          </w:tcPr>
          <w:p w14:paraId="27D86D15" w14:textId="77777777" w:rsidR="005846DC" w:rsidRPr="00EC326F" w:rsidRDefault="005846DC" w:rsidP="000D6C29">
            <w:pPr>
              <w:pStyle w:val="TableTextSmall"/>
              <w:keepNext/>
              <w:jc w:val="center"/>
              <w:rPr>
                <w:b/>
                <w:i/>
              </w:rPr>
            </w:pPr>
            <w:r w:rsidRPr="00EC326F">
              <w:rPr>
                <w:b/>
                <w:i/>
              </w:rPr>
              <w:t>Males</w:t>
            </w:r>
          </w:p>
        </w:tc>
        <w:tc>
          <w:tcPr>
            <w:tcW w:w="4627" w:type="dxa"/>
          </w:tcPr>
          <w:p w14:paraId="34DD74CE" w14:textId="77777777" w:rsidR="005846DC" w:rsidRPr="00EC326F" w:rsidRDefault="005846DC" w:rsidP="000D6C29">
            <w:pPr>
              <w:pStyle w:val="TableTextSmall"/>
              <w:keepNext/>
              <w:jc w:val="center"/>
              <w:rPr>
                <w:b/>
                <w:i/>
              </w:rPr>
            </w:pPr>
            <w:r w:rsidRPr="00EC326F">
              <w:rPr>
                <w:b/>
                <w:i/>
              </w:rPr>
              <w:t>Females</w:t>
            </w:r>
          </w:p>
        </w:tc>
      </w:tr>
      <w:tr w:rsidR="005846DC" w:rsidRPr="00EC326F" w14:paraId="29859D07" w14:textId="77777777" w:rsidTr="00833C7E">
        <w:tc>
          <w:tcPr>
            <w:tcW w:w="4627" w:type="dxa"/>
          </w:tcPr>
          <w:p w14:paraId="7FFCF722"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7552892D" wp14:editId="254DE6FC">
                  <wp:extent cx="3009900" cy="1876425"/>
                  <wp:effectExtent l="0" t="0" r="0" b="9525"/>
                  <wp:docPr id="3131" name="Picture 3131" descr="This figure contains two area charts showing the cumulative number of exits from the Pension Age class by age. The age profile of male and female exits is shown separately. For both charts the horizontal axis shows age at the start of the year ranging from 0 to 110 and the vertical axis shows the cumulative number of people exiting ranging from 0 to 3,000.&#10;&#10;The left hand chart shows the average number of males exiting the class over the period from June 2014 to June 2016, by age.&#10;&#10;Both area charts show the cumulative number of people who exited the Pension Age class split by class they subsequently transition to. These classes include; 1 Studying, 2 Working Age, 3 Parents, 4 Carers, 5 Disability Support, 7 Non-IS Family, 8 Non-IS Carer, 9 Non-IS Other, 10 Previous Welfare Recipient, 11 Dead and 12 Rest of the Australian Population.&#10;&#10;The left chart shows that there are no male exits between the ages of 0 and 65. At age 66, the number of male exits is 650. The number of exits then rises steadily until hitting a peak of 2,500 exits at age 86. The majority of males who exit move into Class 11 Dead, while a smaller amount move into Class 9 Non IS Other or Class 10 Previous Welfare Recipient. &#10;&#10;Further discussion of the key features shown in the chart can be found in the accompanying text within the report.&#10;" title=" Number of people leaving Class 6 – Pension Age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627" w:type="dxa"/>
          </w:tcPr>
          <w:p w14:paraId="26A1D56E"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21132564" wp14:editId="3CDB312B">
                  <wp:extent cx="3009900" cy="1876425"/>
                  <wp:effectExtent l="0" t="0" r="0" b="9525"/>
                  <wp:docPr id="3133" name="Picture 3133" descr="The right hand chart shows the average number of females exiting the class over the period from June 2014 to June 2016, by age.&#10;&#10;The right chart shows a similar pattern to the left chart, with very few female exits occurring before the age of 66. At age 66, the number of female exits is 700 before rising steadily to a peak of 2,200 at age 86. The majority of females who exit move into Class 11 Dead, while a smaller amount move into Class 10 Previous Welfare Recipient or Class 9 Non IS Other." title=" Number of people leaving Class 6 – Pension Age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327619DA" w14:textId="77CA9529" w:rsidR="00833C7E" w:rsidRDefault="00833C7E" w:rsidP="0081675B">
      <w:pPr>
        <w:pStyle w:val="PwCNormal"/>
        <w:numPr>
          <w:ilvl w:val="0"/>
          <w:numId w:val="1"/>
        </w:numPr>
        <w:jc w:val="center"/>
      </w:pPr>
      <w:r w:rsidRPr="00EC326F">
        <w:rPr>
          <w:noProof/>
          <w:lang w:eastAsia="en-AU"/>
        </w:rPr>
        <w:drawing>
          <wp:inline distT="0" distB="0" distL="0" distR="0" wp14:anchorId="31C94559" wp14:editId="11764020">
            <wp:extent cx="5385600" cy="468000"/>
            <wp:effectExtent l="0" t="0" r="0" b="8255"/>
            <wp:docPr id="3096" name="Picture 3096" descr="Class key: studying, working age, parents, carers, disability support, pension age, non-income support family, non-income support carer, non-income support other, previous welfare recipient, rest of the Australian population and dead. &#10;" title="Class Key for Fig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75052FD9" w14:textId="77777777" w:rsidR="005846DC" w:rsidRPr="00EC326F" w:rsidRDefault="005846DC" w:rsidP="005846DC">
      <w:pPr>
        <w:pStyle w:val="PwCNormal"/>
        <w:numPr>
          <w:ilvl w:val="0"/>
          <w:numId w:val="1"/>
        </w:numPr>
      </w:pPr>
      <w:r w:rsidRPr="00EC326F">
        <w:t>A small number of people leave the class (presumably as a result of changes in their personal circumstances), otherwise people exit at the end of their lives.</w:t>
      </w:r>
    </w:p>
    <w:p w14:paraId="6309A020" w14:textId="77777777" w:rsidR="005846DC" w:rsidRPr="00EC326F" w:rsidRDefault="005846DC" w:rsidP="005846DC">
      <w:pPr>
        <w:pStyle w:val="Minorheading"/>
      </w:pPr>
      <w:r w:rsidRPr="00EC326F">
        <w:t>Payments received</w:t>
      </w:r>
    </w:p>
    <w:p w14:paraId="0350D50E" w14:textId="77777777" w:rsidR="005846DC" w:rsidRPr="00EC326F" w:rsidRDefault="005846DC" w:rsidP="005846DC">
      <w:pPr>
        <w:pStyle w:val="PwCNormal"/>
        <w:numPr>
          <w:ilvl w:val="0"/>
          <w:numId w:val="1"/>
        </w:numPr>
      </w:pPr>
      <w:r w:rsidRPr="00EC326F">
        <w:t xml:space="preserve">During 2015/16, people in this class received a total of $44.6 billion. This is </w:t>
      </w:r>
      <w:r w:rsidR="00D26958" w:rsidRPr="00EC326F">
        <w:t>40.0</w:t>
      </w:r>
      <w:r w:rsidRPr="00EC326F">
        <w:t>% of the total payments made in 2015/16. The charts below show the average amount paid in a year to each person in this class.</w:t>
      </w:r>
    </w:p>
    <w:p w14:paraId="4F0A1D00" w14:textId="77777777" w:rsidR="005846DC" w:rsidRPr="00EC326F" w:rsidRDefault="005846DC" w:rsidP="005846DC">
      <w:pPr>
        <w:pStyle w:val="Caption"/>
      </w:pPr>
      <w:r w:rsidRPr="00EC326F">
        <w:t xml:space="preserve">Figure </w:t>
      </w:r>
      <w:fldSimple w:instr=" SEQ Figure \* ARABIC ">
        <w:r w:rsidR="007A42DF">
          <w:rPr>
            <w:noProof/>
          </w:rPr>
          <w:t>62</w:t>
        </w:r>
      </w:fldSimple>
      <w:r w:rsidRPr="00EC326F">
        <w:t>: Average payments per person in Class 6 – Pension Age</w:t>
      </w:r>
      <w:r w:rsidR="00321A6F" w:rsidRPr="00EC326F">
        <w:t xml:space="preserve"> (restated to 2015/16 $ values)</w:t>
      </w:r>
    </w:p>
    <w:p w14:paraId="52077B91" w14:textId="6DAF0B49" w:rsidR="005846DC" w:rsidRPr="00EC326F" w:rsidRDefault="005846DC" w:rsidP="005846DC">
      <w:pPr>
        <w:pStyle w:val="PwCNormal"/>
        <w:numPr>
          <w:ilvl w:val="0"/>
          <w:numId w:val="1"/>
        </w:numPr>
      </w:pPr>
      <w:r w:rsidRPr="00EC326F">
        <w:rPr>
          <w:noProof/>
          <w:lang w:eastAsia="en-AU"/>
        </w:rPr>
        <w:drawing>
          <wp:inline distT="0" distB="0" distL="0" distR="0" wp14:anchorId="2B84A15E" wp14:editId="76469CC7">
            <wp:extent cx="5716800" cy="2001192"/>
            <wp:effectExtent l="0" t="0" r="0" b="0"/>
            <wp:docPr id="3135" name="Picture 3135" descr="This figure is a stacked column chart. The vertical axis displays the average payment per person in the Pension Age Class, ranging from $0 to $20,000.&#10;&#10;The horizontal axis is split into two sections; the first for males and the second for females. Each section is further split to show the last five financial years; 2012, 2013, 2014, 2015 and 2016.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6 was: $15,900 for 2012; $15,700 for 2013; $15,900 for 2014; $15,800 for 2015; and $15,900 for 2016.&#10;&#10;For females the approximate average payment per person in Class 6 was: $17,800 for 2012; $17,400 for 2013; $17,800 for 2014; $17,600 for 2015; and $17,600 for 2016.&#10;&#10;The vast majority of payments for both males and females were from the IS Age payment category. A small portion of total average payments also comes from the Other – General Allowances category. &#10;&#10;The key features of this chart are described in the accompanying text within the report.&#10;" title=" Average payments per person in Class 6 – Pension Age (restated to 2015/16 $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6800" cy="2001192"/>
                    </a:xfrm>
                    <a:prstGeom prst="rect">
                      <a:avLst/>
                    </a:prstGeom>
                    <a:noFill/>
                    <a:ln>
                      <a:noFill/>
                    </a:ln>
                  </pic:spPr>
                </pic:pic>
              </a:graphicData>
            </a:graphic>
          </wp:inline>
        </w:drawing>
      </w:r>
    </w:p>
    <w:p w14:paraId="041C501B" w14:textId="77777777" w:rsidR="005846DC" w:rsidRPr="002A0A1A" w:rsidRDefault="005846DC" w:rsidP="005846DC">
      <w:pPr>
        <w:pStyle w:val="PwCNormal"/>
        <w:numPr>
          <w:ilvl w:val="0"/>
          <w:numId w:val="0"/>
        </w:numPr>
        <w:ind w:firstLine="720"/>
      </w:pPr>
      <w:r w:rsidRPr="00EC326F">
        <w:rPr>
          <w:noProof/>
          <w:lang w:eastAsia="en-AU"/>
        </w:rPr>
        <w:drawing>
          <wp:inline distT="0" distB="0" distL="0" distR="0" wp14:anchorId="238FAFF8" wp14:editId="716486F8">
            <wp:extent cx="4860000" cy="467785"/>
            <wp:effectExtent l="0" t="0" r="0" b="8890"/>
            <wp:docPr id="384" name="Picture 384"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4D39DAE6" w14:textId="77777777" w:rsidR="005846DC" w:rsidRPr="00EC326F" w:rsidRDefault="005846DC" w:rsidP="005846DC">
      <w:pPr>
        <w:pStyle w:val="PwCNormal"/>
        <w:numPr>
          <w:ilvl w:val="0"/>
          <w:numId w:val="1"/>
        </w:numPr>
      </w:pPr>
      <w:r w:rsidRPr="00EC326F">
        <w:t>The average payment made in 2015/16 was $16,800. The average payments are slightly higher for women than men, possibly as a result of more of them receiving the single rate.</w:t>
      </w:r>
    </w:p>
    <w:p w14:paraId="3F8F8125" w14:textId="77777777" w:rsidR="005846DC" w:rsidRPr="00EC326F" w:rsidRDefault="005846DC" w:rsidP="005846DC">
      <w:pPr>
        <w:pStyle w:val="Heading4"/>
      </w:pPr>
      <w:r w:rsidRPr="00EC326F">
        <w:lastRenderedPageBreak/>
        <w:t>What have we taken into account in fitting assumptions?</w:t>
      </w:r>
    </w:p>
    <w:p w14:paraId="7F5A4F3D" w14:textId="77777777" w:rsidR="005846DC" w:rsidRPr="00EC326F" w:rsidRDefault="005846DC" w:rsidP="005846DC">
      <w:pPr>
        <w:pStyle w:val="PwCNormal"/>
        <w:numPr>
          <w:ilvl w:val="0"/>
          <w:numId w:val="1"/>
        </w:numPr>
      </w:pPr>
      <w:r w:rsidRPr="00EC326F">
        <w:t xml:space="preserve">The main movement out of this class is through mortality, and the majority of the </w:t>
      </w:r>
      <w:r w:rsidR="00D26958" w:rsidRPr="00EC326F">
        <w:t xml:space="preserve">annual </w:t>
      </w:r>
      <w:r w:rsidRPr="00EC326F">
        <w:t xml:space="preserve">cost (over 85%) is from the main age pension payment. Thus, our focus for this class was in developing risk based assumptions for the main age pension payment and in understanding the trends in the mix of pensions that will occur in future years. </w:t>
      </w:r>
    </w:p>
    <w:p w14:paraId="469EDF74" w14:textId="77777777" w:rsidR="005846DC" w:rsidRPr="00EC326F" w:rsidRDefault="005846DC" w:rsidP="005846DC">
      <w:pPr>
        <w:pStyle w:val="Minorheading"/>
      </w:pPr>
      <w:r w:rsidRPr="00EC326F">
        <w:t>Class movement assumptions</w:t>
      </w:r>
    </w:p>
    <w:p w14:paraId="57EF4E90" w14:textId="0DEAA2D0" w:rsidR="005846DC" w:rsidRPr="00EC326F" w:rsidRDefault="005846DC" w:rsidP="005846DC">
      <w:pPr>
        <w:pStyle w:val="PwCNormal"/>
        <w:numPr>
          <w:ilvl w:val="0"/>
          <w:numId w:val="1"/>
        </w:numPr>
      </w:pPr>
      <w:r w:rsidRPr="00EC326F">
        <w:t xml:space="preserve">People from all welfare classes generally move into the </w:t>
      </w:r>
      <w:r w:rsidR="005E2656">
        <w:t>A</w:t>
      </w:r>
      <w:r w:rsidRPr="00EC326F">
        <w:t xml:space="preserve">ge </w:t>
      </w:r>
      <w:r w:rsidR="005E2656">
        <w:t>P</w:t>
      </w:r>
      <w:r w:rsidRPr="00EC326F">
        <w:t>ension class on reaching age pension qualifying age (‘pension age’). Once in the Age Pension, people generally stay there until death, with only a small number of movements to the Carer class and a small number of exits. Hence, class movements</w:t>
      </w:r>
      <w:r w:rsidR="00D26958" w:rsidRPr="00EC326F">
        <w:t>, other than mortality,</w:t>
      </w:r>
      <w:r w:rsidRPr="00EC326F">
        <w:t xml:space="preserve"> were modelled using foundation assumptions that take into account age and gender only.</w:t>
      </w:r>
    </w:p>
    <w:p w14:paraId="12A5D9F5" w14:textId="77777777" w:rsidR="005846DC" w:rsidRPr="00EC326F" w:rsidRDefault="005846DC" w:rsidP="005846DC">
      <w:pPr>
        <w:pStyle w:val="Minorheading"/>
      </w:pPr>
      <w:r w:rsidRPr="00EC326F">
        <w:t>Payment utilisation and size assumptions</w:t>
      </w:r>
    </w:p>
    <w:p w14:paraId="7FA75834" w14:textId="2CB81A45" w:rsidR="005846DC" w:rsidRPr="00EC326F" w:rsidRDefault="00D26958" w:rsidP="00EC326F">
      <w:pPr>
        <w:pStyle w:val="PwCNormal"/>
        <w:numPr>
          <w:ilvl w:val="0"/>
          <w:numId w:val="1"/>
        </w:numPr>
      </w:pPr>
      <w:r w:rsidRPr="00EC326F">
        <w:t xml:space="preserve">Our approach for modelling the main age pension payment is described in detail in </w:t>
      </w:r>
      <w:r w:rsidR="0011562A">
        <w:t>section</w:t>
      </w:r>
      <w:r w:rsidRPr="00EC326F">
        <w:t xml:space="preserve"> </w:t>
      </w:r>
      <w:r w:rsidRPr="00EC326F">
        <w:fldChar w:fldCharType="begin"/>
      </w:r>
      <w:r w:rsidRPr="00EC326F">
        <w:instrText xml:space="preserve"> REF _Ref466184635 \r \h </w:instrText>
      </w:r>
      <w:r w:rsidRPr="00EC326F">
        <w:fldChar w:fldCharType="separate"/>
      </w:r>
      <w:r w:rsidR="007A42DF">
        <w:t>5.8</w:t>
      </w:r>
      <w:r w:rsidRPr="00EC326F">
        <w:fldChar w:fldCharType="end"/>
      </w:r>
      <w:r w:rsidRPr="00EC326F">
        <w:t xml:space="preserve">. This reflects a number of risk characteristics including the persons' partner status, the age at which they entered the </w:t>
      </w:r>
      <w:r w:rsidR="005E2656">
        <w:t>Age P</w:t>
      </w:r>
      <w:r w:rsidRPr="00EC326F">
        <w:t>ension class and whether they entered from another income support class.</w:t>
      </w:r>
      <w:r w:rsidR="00AD433E" w:rsidRPr="00EC326F">
        <w:t xml:space="preserve"> </w:t>
      </w:r>
      <w:r w:rsidRPr="00EC326F">
        <w:t xml:space="preserve">After the main income support age pension payments, the other general allowance category is the largest component of the cost and has been modelled as a loading to the main pension. </w:t>
      </w:r>
      <w:r w:rsidR="005846DC" w:rsidRPr="00EC326F">
        <w:t xml:space="preserve"> </w:t>
      </w:r>
    </w:p>
    <w:p w14:paraId="51EFB8AD" w14:textId="77777777" w:rsidR="005846DC" w:rsidRPr="00EC326F" w:rsidRDefault="005846DC" w:rsidP="005846DC">
      <w:pPr>
        <w:pStyle w:val="Heading4"/>
      </w:pPr>
      <w:r w:rsidRPr="00EC326F">
        <w:t>What does the model show for current Age Pensioners?</w:t>
      </w:r>
    </w:p>
    <w:p w14:paraId="748CB35D" w14:textId="77777777" w:rsidR="005846DC" w:rsidRPr="00EC326F" w:rsidRDefault="005846DC" w:rsidP="005846DC">
      <w:pPr>
        <w:pStyle w:val="Minorheading"/>
      </w:pPr>
      <w:r w:rsidRPr="00EC326F">
        <w:t>Lifetime costs</w:t>
      </w:r>
    </w:p>
    <w:p w14:paraId="54C9F3EA" w14:textId="77777777" w:rsidR="005846DC" w:rsidRPr="00EC326F" w:rsidRDefault="005846DC" w:rsidP="005846DC">
      <w:pPr>
        <w:pStyle w:val="PwCNormal"/>
        <w:numPr>
          <w:ilvl w:val="0"/>
          <w:numId w:val="1"/>
        </w:numPr>
      </w:pPr>
      <w:r w:rsidRPr="00EC326F">
        <w:t xml:space="preserve">We estimated the lifetime cost for the people in this class to be </w:t>
      </w:r>
      <w:r w:rsidRPr="00EC326F">
        <w:rPr>
          <w:b/>
        </w:rPr>
        <w:t>$518bn</w:t>
      </w:r>
      <w:r w:rsidRPr="00EC326F">
        <w:t xml:space="preserve"> (or </w:t>
      </w:r>
      <w:r w:rsidRPr="00EC326F">
        <w:rPr>
          <w:b/>
        </w:rPr>
        <w:t>11.5%</w:t>
      </w:r>
      <w:r w:rsidRPr="00EC326F">
        <w:t xml:space="preserve"> of the total lifetime cost). The average lifetime cost for people in this class is </w:t>
      </w:r>
      <w:r w:rsidRPr="00EC326F">
        <w:rPr>
          <w:b/>
        </w:rPr>
        <w:t>$203,000</w:t>
      </w:r>
      <w:r w:rsidRPr="00EC326F">
        <w:t>. The variation in average lifetime cost by age and gender is illustrated in the figure below.</w:t>
      </w:r>
    </w:p>
    <w:p w14:paraId="629F3F08" w14:textId="77777777" w:rsidR="005846DC" w:rsidRPr="00EC326F" w:rsidRDefault="005846DC" w:rsidP="005846DC">
      <w:pPr>
        <w:pStyle w:val="Caption"/>
      </w:pPr>
      <w:r w:rsidRPr="00EC326F">
        <w:t xml:space="preserve">Figure </w:t>
      </w:r>
      <w:fldSimple w:instr=" SEQ Figure \* ARABIC ">
        <w:r w:rsidR="007A42DF">
          <w:rPr>
            <w:noProof/>
          </w:rPr>
          <w:t>63</w:t>
        </w:r>
      </w:fldSimple>
      <w:r w:rsidRPr="00EC326F">
        <w:t>: Average lifetime cost by age and gender (Class 6)</w:t>
      </w:r>
    </w:p>
    <w:tbl>
      <w:tblPr>
        <w:tblStyle w:val="Tables-APBase"/>
        <w:tblW w:w="448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Average lifetime cost by age and gender (Class 6)&#10;"/>
        <w:tblDescription w:val="This figure is a horizontal bar chart showing average lifetime cost by age for males and females separately. The vertical axis shows age with the data shown ranging from 48 to 104.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2,551,000 individuals who were in the age pensioner class at 30 June 2016. &#10;&#10;Females aged 48 to 65 (recipients of the wife pension or the widow B pension) have an average lifetime cost starting at close to $450,000 at age 50 decreasing with age to approximately $300,000 at age 65. Average lifetime costs below age 65 are only shown for females.&#10;&#10;For people aged 65 and over, the average lifetime cost by age is very similar across males and females, although females have an average lifetime cost that is consistently higher than males of the same age, by approximately $30,000 to $40,000. Males aged 65 have an average lifetime cost of approximately $275,000 compared to females aged 65 who have an average lifetime cost of approximately $310,000. These average lifetime costs reduce steadily by age to $55,000 at age 100.&#10;&#10;The features shown in the chart are discussed further in the accompanying text within the report.&#10;"/>
      </w:tblPr>
      <w:tblGrid>
        <w:gridCol w:w="5670"/>
        <w:gridCol w:w="2755"/>
      </w:tblGrid>
      <w:tr w:rsidR="005846DC" w:rsidRPr="00EC326F" w14:paraId="3F8E60CD" w14:textId="77777777" w:rsidTr="009C6553">
        <w:trPr>
          <w:tblHeader/>
        </w:trPr>
        <w:tc>
          <w:tcPr>
            <w:tcW w:w="5670" w:type="dxa"/>
          </w:tcPr>
          <w:p w14:paraId="12420CBF" w14:textId="6F50EF7F" w:rsidR="005846DC" w:rsidRPr="00EC326F" w:rsidRDefault="00BB1D8F" w:rsidP="000D6C29">
            <w:pPr>
              <w:pStyle w:val="TableTextSmall"/>
              <w:keepNext/>
              <w:rPr>
                <w:lang w:eastAsia="en-AU"/>
              </w:rPr>
            </w:pPr>
            <w:r w:rsidRPr="00BB1D8F">
              <w:rPr>
                <w:noProof/>
                <w:lang w:eastAsia="en-AU"/>
              </w:rPr>
              <w:drawing>
                <wp:inline distT="0" distB="0" distL="0" distR="0" wp14:anchorId="468152E9" wp14:editId="4E13069D">
                  <wp:extent cx="3356412" cy="2160000"/>
                  <wp:effectExtent l="0" t="0" r="0" b="0"/>
                  <wp:docPr id="18" name="Picture 17" descr="This figure is a horizontal bar chart showing average lifetime cost by age for males and females separately. The vertical axis shows age with the data shown ranging from 48 to 104.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2,551,000 individuals who were in the age pensioner class at 30 June 2016. &#10;&#10;Females aged 48 to 65 (recipients of the wife pension or the widow B pension) have an average lifetime cost starting at close to $450,000 at age 50 decreasing with age to approximately $300,000 at age 65. Average lifetime costs below age 65 are only shown for females.&#10;&#10;For people aged 65 and over, the average lifetime cost by age is very similar across males and females, although females have an average lifetime cost that is consistently higher than males of the same age, by approximately $30,000 to $40,000. Males aged 65 have an average lifetime cost of approximately $275,000 compared to females aged 65 who have an average lifetime cost of approximately $310,000. These average lifetime costs reduce steadily by age to $55,000 at age 100.&#10;&#10;The features shown in the chart are discussed further in the accompanying text within the report.&#10;" title=" Average lifetime cost by age and gender (Class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1"/>
                          <a:stretch>
                            <a:fillRect/>
                          </a:stretch>
                        </pic:blipFill>
                        <pic:spPr>
                          <a:xfrm>
                            <a:off x="0" y="0"/>
                            <a:ext cx="3356412" cy="2160000"/>
                          </a:xfrm>
                          <a:prstGeom prst="rect">
                            <a:avLst/>
                          </a:prstGeom>
                        </pic:spPr>
                      </pic:pic>
                    </a:graphicData>
                  </a:graphic>
                </wp:inline>
              </w:drawing>
            </w:r>
          </w:p>
        </w:tc>
        <w:tc>
          <w:tcPr>
            <w:tcW w:w="2755" w:type="dxa"/>
          </w:tcPr>
          <w:p w14:paraId="0AEFB203" w14:textId="77777777" w:rsidR="005846DC" w:rsidRPr="00EC326F" w:rsidRDefault="005846DC" w:rsidP="000D6C29">
            <w:pPr>
              <w:pStyle w:val="TableTextSmall"/>
              <w:keepNext/>
              <w:rPr>
                <w:lang w:eastAsia="en-AU"/>
              </w:rPr>
            </w:pPr>
          </w:p>
          <w:p w14:paraId="288CE087" w14:textId="77777777" w:rsidR="005846DC" w:rsidRPr="00EC326F" w:rsidRDefault="005846DC" w:rsidP="000D6C29">
            <w:pPr>
              <w:pStyle w:val="TableTextSmall"/>
              <w:keepNext/>
              <w:rPr>
                <w:lang w:eastAsia="en-AU"/>
              </w:rPr>
            </w:pPr>
            <w:r w:rsidRPr="00EC326F">
              <w:rPr>
                <w:noProof/>
                <w:lang w:eastAsia="en-AU"/>
              </w:rPr>
              <w:drawing>
                <wp:inline distT="0" distB="0" distL="0" distR="0" wp14:anchorId="7219B417" wp14:editId="03EE050C">
                  <wp:extent cx="1080000" cy="1608980"/>
                  <wp:effectExtent l="0" t="0" r="0" b="0"/>
                  <wp:docPr id="3847" name="Picture 3847"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0000" cy="1608980"/>
                          </a:xfrm>
                          <a:prstGeom prst="rect">
                            <a:avLst/>
                          </a:prstGeom>
                          <a:noFill/>
                          <a:ln>
                            <a:noFill/>
                          </a:ln>
                        </pic:spPr>
                      </pic:pic>
                    </a:graphicData>
                  </a:graphic>
                </wp:inline>
              </w:drawing>
            </w:r>
          </w:p>
        </w:tc>
      </w:tr>
    </w:tbl>
    <w:p w14:paraId="5424766F" w14:textId="77777777" w:rsidR="005846DC" w:rsidRPr="00EC326F" w:rsidRDefault="005846DC" w:rsidP="005846DC">
      <w:pPr>
        <w:pStyle w:val="PwCNormal"/>
        <w:numPr>
          <w:ilvl w:val="0"/>
          <w:numId w:val="0"/>
        </w:numPr>
      </w:pPr>
      <w:r w:rsidRPr="00EC326F">
        <w:t xml:space="preserve">The pyramid or ‘inverse funnel’ shape illustrates the reductions in average lifetime cost as age increases. This is simply a function of the expected future lifetimes for people who have currently reached the ages shown. The average lifetime costs range from around </w:t>
      </w:r>
      <w:r w:rsidRPr="00EC326F">
        <w:rPr>
          <w:b/>
        </w:rPr>
        <w:t>$290,000</w:t>
      </w:r>
      <w:r w:rsidRPr="00EC326F">
        <w:t xml:space="preserve"> for people at age 65 to around </w:t>
      </w:r>
      <w:r w:rsidRPr="00EC326F">
        <w:rPr>
          <w:b/>
        </w:rPr>
        <w:t>$90,000</w:t>
      </w:r>
      <w:r w:rsidRPr="00EC326F">
        <w:t xml:space="preserve"> when people reach age 90.</w:t>
      </w:r>
      <w:r w:rsidR="00AD433E" w:rsidRPr="00EC326F">
        <w:t xml:space="preserve"> </w:t>
      </w:r>
      <w:r w:rsidRPr="00EC326F">
        <w:t>As can be seen, almost all of the cost is from the age pension; the remainder is the cost of the pension supplements and living allowance payment types (e.g. energy supplement) that are paid alongside the pension.</w:t>
      </w:r>
    </w:p>
    <w:p w14:paraId="15E051A0" w14:textId="75A36179" w:rsidR="005846DC" w:rsidRPr="00EC326F" w:rsidRDefault="005846DC" w:rsidP="005846DC">
      <w:pPr>
        <w:pStyle w:val="PwCNormal"/>
        <w:numPr>
          <w:ilvl w:val="0"/>
          <w:numId w:val="0"/>
        </w:numPr>
      </w:pPr>
      <w:r w:rsidRPr="00EC326F">
        <w:t xml:space="preserve">There are very small numbers of people in this class below retirement age (approx. 10,000 people or around 0.4% of the class). Typically these are people receiving </w:t>
      </w:r>
      <w:r w:rsidR="00A66978">
        <w:t>the</w:t>
      </w:r>
      <w:r w:rsidR="00A66978" w:rsidRPr="00EC326F">
        <w:t xml:space="preserve"> </w:t>
      </w:r>
      <w:r w:rsidRPr="00EC326F">
        <w:t>wife pension. The existence of this group extends the pyramid to younger ages and the average lifetime costs are larger again as a result of the combined effect of the longer future lifetime and the expectation of this group being highly likely to remain in the class for the remainder of their lifetimes.</w:t>
      </w:r>
    </w:p>
    <w:p w14:paraId="59A81DAC" w14:textId="77777777" w:rsidR="005846DC" w:rsidRPr="00EC326F" w:rsidRDefault="005846DC" w:rsidP="005846DC">
      <w:pPr>
        <w:pStyle w:val="Minorheading"/>
      </w:pPr>
      <w:r w:rsidRPr="00EC326F">
        <w:lastRenderedPageBreak/>
        <w:t>Change in lifetime costs since the baseline valuation</w:t>
      </w:r>
    </w:p>
    <w:p w14:paraId="21873251" w14:textId="77777777" w:rsidR="00D3305D" w:rsidRPr="00EC326F" w:rsidRDefault="00D3305D" w:rsidP="00D3305D">
      <w:pPr>
        <w:pStyle w:val="PwCNormal"/>
        <w:numPr>
          <w:ilvl w:val="0"/>
          <w:numId w:val="0"/>
        </w:numPr>
      </w:pPr>
      <w:r w:rsidRPr="00EC326F">
        <w:t>The lifetime cost for the people in this class of $518bn is a slight increase of $11bn compared to the baseline valuation. This has been primarily driven by an increase in the number of people in this class compared to the previous valuation:</w:t>
      </w:r>
    </w:p>
    <w:p w14:paraId="5AA2174E" w14:textId="77777777" w:rsidR="00D3305D" w:rsidRPr="00EC326F" w:rsidRDefault="00D3305D" w:rsidP="001A4479">
      <w:pPr>
        <w:pStyle w:val="Bullet1"/>
        <w:numPr>
          <w:ilvl w:val="0"/>
          <w:numId w:val="39"/>
        </w:numPr>
      </w:pPr>
      <w:r w:rsidRPr="00EC326F">
        <w:t>The number of aged pensioners has increased by 2.2%; this is in line with expectations and is a result of changes in underlying demographics.</w:t>
      </w:r>
    </w:p>
    <w:p w14:paraId="1764E8ED" w14:textId="77777777" w:rsidR="00D3305D" w:rsidRPr="00EC326F" w:rsidRDefault="00D3305D" w:rsidP="001A4479">
      <w:pPr>
        <w:pStyle w:val="Bullet1"/>
        <w:numPr>
          <w:ilvl w:val="0"/>
          <w:numId w:val="39"/>
        </w:numPr>
      </w:pPr>
      <w:r w:rsidRPr="00EC326F">
        <w:t>The average cost has not changed significantly since the previous valuation. The following table provides a breakdown of the change in average lifetime cost by payment category.</w:t>
      </w:r>
    </w:p>
    <w:p w14:paraId="15487A8E" w14:textId="77777777" w:rsidR="00D3305D" w:rsidRPr="002A0A1A" w:rsidRDefault="00D3305D" w:rsidP="00D3305D">
      <w:pPr>
        <w:pStyle w:val="Caption"/>
      </w:pPr>
      <w:r w:rsidRPr="00EC326F">
        <w:t xml:space="preserve">Table </w:t>
      </w:r>
      <w:fldSimple w:instr=" SEQ Table \* ARABIC ">
        <w:r w:rsidR="007A42DF">
          <w:rPr>
            <w:noProof/>
          </w:rPr>
          <w:t>38</w:t>
        </w:r>
      </w:fldSimple>
      <w:r w:rsidRPr="00EC326F">
        <w:t>: Breakdown of change in average lifetime cost for Class 6 by payment category</w:t>
      </w:r>
    </w:p>
    <w:tbl>
      <w:tblPr>
        <w:tblStyle w:val="ListTable3-Accent62"/>
        <w:tblW w:w="9498" w:type="dxa"/>
        <w:tblInd w:w="108" w:type="dxa"/>
        <w:tblLayout w:type="fixed"/>
        <w:tblCellMar>
          <w:left w:w="57" w:type="dxa"/>
          <w:right w:w="57" w:type="dxa"/>
        </w:tblCellMar>
        <w:tblLook w:val="04A0" w:firstRow="1" w:lastRow="0" w:firstColumn="1" w:lastColumn="0" w:noHBand="0" w:noVBand="1"/>
        <w:tblCaption w:val=" Breakdown of change in average lifetime cost for Class 6 by payment category&#10;&#10;&#10;"/>
        <w:tblDescription w:val="This table shows the breakdown of the total change in average lifetime cost for Class 6 into; change in population, change in inflation, impact of new economic module, policy changes and other changes. These are shown as rows in the table.&#10;&#10;The changes in lifetime cost are considered by relevant payment categories for Class 6; IS Non Age Pension, IS Age Pension, Non IS Family Supplements and Non IS Other Supplements. These are shown as columns in the table alongside a total change column.&#10;&#10;For Class 6, the Jun 15 Total Lifetime cost is $507bn and the Jun 16 Total Lifetime cost is $518bn. This gives a change in total lifetime cost of $11bn, a 2.1% increase. This change is driven by a 2.2% increase due to population changes which was offset slightly by changes due to average lifetime costs. . The average cost has increased by less than $1,000 since the previous valuation. Inflation, the new economics module, policy changes and other changes all contributed less than $1,000 each. &#10;&#10;The average lifetime cost of clients in the IS Non Age Pension, IS Age Pension, Non IS Family Supplements, Non IS Other Supplements payment categories have all increased by less than $1,000 each. The impact of inflation, the new economics module, policy changes and other changes all contributed less than $1,000 each for all the payment categories listed.&#10;"/>
      </w:tblPr>
      <w:tblGrid>
        <w:gridCol w:w="3119"/>
        <w:gridCol w:w="1276"/>
        <w:gridCol w:w="1240"/>
        <w:gridCol w:w="1240"/>
        <w:gridCol w:w="1347"/>
        <w:gridCol w:w="1276"/>
      </w:tblGrid>
      <w:tr w:rsidR="007A6FF5" w:rsidRPr="00EC326F" w14:paraId="6550815C" w14:textId="77777777" w:rsidTr="00B44F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189264BE" w14:textId="77777777" w:rsidR="007A6FF5" w:rsidRPr="00EC326F" w:rsidRDefault="007A6FF5" w:rsidP="003114C1">
            <w:pPr>
              <w:pStyle w:val="TableTextSmall"/>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432F879E" w14:textId="77777777" w:rsidR="007A6FF5" w:rsidRPr="00EC326F" w:rsidRDefault="007A6FF5"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bottom w:val="single" w:sz="4" w:space="0" w:color="FFFFFF" w:themeColor="background1"/>
              <w:right w:val="nil"/>
            </w:tcBorders>
          </w:tcPr>
          <w:p w14:paraId="0708A9FA" w14:textId="17DF5785" w:rsidR="007A6FF5" w:rsidRPr="00EC326F" w:rsidRDefault="007A6FF5" w:rsidP="007A6FF5">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bCs w:val="0"/>
                <w:color w:val="FFFFFF" w:themeColor="background1"/>
              </w:rPr>
              <w:t xml:space="preserve">Income </w:t>
            </w:r>
          </w:p>
        </w:tc>
        <w:tc>
          <w:tcPr>
            <w:tcW w:w="1240" w:type="dxa"/>
            <w:tcBorders>
              <w:left w:val="nil"/>
              <w:bottom w:val="single" w:sz="4" w:space="0" w:color="FFFFFF" w:themeColor="background1"/>
              <w:right w:val="single" w:sz="4" w:space="0" w:color="FFFFFF" w:themeColor="background1"/>
            </w:tcBorders>
          </w:tcPr>
          <w:p w14:paraId="117293E4" w14:textId="0C1ED3A1" w:rsidR="007A6FF5" w:rsidRPr="00EC326F" w:rsidRDefault="007A6FF5" w:rsidP="007A6FF5">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bCs w:val="0"/>
                <w:color w:val="FFFFFF" w:themeColor="background1"/>
              </w:rPr>
              <w:t>Support</w:t>
            </w:r>
          </w:p>
        </w:tc>
        <w:tc>
          <w:tcPr>
            <w:tcW w:w="1347" w:type="dxa"/>
            <w:tcBorders>
              <w:left w:val="single" w:sz="4" w:space="0" w:color="FFFFFF" w:themeColor="background1"/>
              <w:bottom w:val="single" w:sz="4" w:space="0" w:color="FFFFFF" w:themeColor="background1"/>
            </w:tcBorders>
          </w:tcPr>
          <w:p w14:paraId="753F129B" w14:textId="6E2D46D4" w:rsidR="007A6FF5" w:rsidRPr="00EC326F" w:rsidRDefault="007A6FF5" w:rsidP="007A6FF5">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color w:val="FFFFFF" w:themeColor="background1"/>
              </w:rPr>
              <w:t>Non-Income</w:t>
            </w:r>
          </w:p>
        </w:tc>
        <w:tc>
          <w:tcPr>
            <w:tcW w:w="1276" w:type="dxa"/>
            <w:tcBorders>
              <w:bottom w:val="single" w:sz="4" w:space="0" w:color="FFFFFF" w:themeColor="background1"/>
            </w:tcBorders>
          </w:tcPr>
          <w:p w14:paraId="73A03CFC" w14:textId="0FB9C590" w:rsidR="007A6FF5" w:rsidRPr="00EC326F" w:rsidRDefault="007A6FF5" w:rsidP="007A6FF5">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Support</w:t>
            </w:r>
          </w:p>
        </w:tc>
      </w:tr>
      <w:tr w:rsidR="00D3305D" w:rsidRPr="00EC326F" w14:paraId="553B4713" w14:textId="77777777" w:rsidTr="00B44F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5C7FA353" w14:textId="77777777" w:rsidR="00D3305D" w:rsidRPr="00EC326F" w:rsidRDefault="00D3305D" w:rsidP="003114C1">
            <w:pPr>
              <w:pStyle w:val="TableTextSmall"/>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27A99F7D"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31584D50"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239AB3CE"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347" w:type="dxa"/>
            <w:tcBorders>
              <w:top w:val="single" w:sz="4" w:space="0" w:color="FFFFFF" w:themeColor="background1"/>
              <w:left w:val="single" w:sz="4" w:space="0" w:color="FFFFFF" w:themeColor="background1"/>
              <w:bottom w:val="single" w:sz="4" w:space="0" w:color="E0301E" w:themeColor="accent6"/>
            </w:tcBorders>
          </w:tcPr>
          <w:p w14:paraId="00F0B317"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276" w:type="dxa"/>
            <w:tcBorders>
              <w:top w:val="single" w:sz="4" w:space="0" w:color="FFFFFF" w:themeColor="background1"/>
              <w:bottom w:val="single" w:sz="4" w:space="0" w:color="E0301E" w:themeColor="accent6"/>
            </w:tcBorders>
          </w:tcPr>
          <w:p w14:paraId="2D13373F"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D3305D" w:rsidRPr="00EC326F" w14:paraId="3C75DABD" w14:textId="77777777" w:rsidTr="007A6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5E228B6A" w14:textId="77777777" w:rsidR="00D3305D" w:rsidRPr="00EC326F" w:rsidRDefault="00D3305D" w:rsidP="003114C1">
            <w:pPr>
              <w:pStyle w:val="TableTextSmall"/>
            </w:pPr>
            <w:r w:rsidRPr="00EC326F">
              <w:t>Jun-15 Total Lifetime Cost</w:t>
            </w:r>
          </w:p>
        </w:tc>
        <w:tc>
          <w:tcPr>
            <w:tcW w:w="1276" w:type="dxa"/>
            <w:tcBorders>
              <w:left w:val="single" w:sz="4" w:space="0" w:color="E0301E" w:themeColor="accent6"/>
              <w:bottom w:val="nil"/>
              <w:right w:val="single" w:sz="4" w:space="0" w:color="E0301E" w:themeColor="accent6"/>
            </w:tcBorders>
            <w:vAlign w:val="bottom"/>
          </w:tcPr>
          <w:p w14:paraId="6E4B4C0E"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$507bn</w:t>
            </w:r>
          </w:p>
        </w:tc>
        <w:tc>
          <w:tcPr>
            <w:tcW w:w="1240" w:type="dxa"/>
            <w:tcBorders>
              <w:left w:val="single" w:sz="4" w:space="0" w:color="E0301E" w:themeColor="accent6"/>
              <w:bottom w:val="nil"/>
            </w:tcBorders>
            <w:shd w:val="clear" w:color="auto" w:fill="D9D9D9" w:themeFill="background1" w:themeFillShade="D9"/>
            <w:vAlign w:val="bottom"/>
          </w:tcPr>
          <w:p w14:paraId="59B19A2A"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40" w:type="dxa"/>
            <w:tcBorders>
              <w:bottom w:val="nil"/>
              <w:right w:val="nil"/>
            </w:tcBorders>
            <w:shd w:val="clear" w:color="auto" w:fill="D9D9D9" w:themeFill="background1" w:themeFillShade="D9"/>
            <w:vAlign w:val="bottom"/>
          </w:tcPr>
          <w:p w14:paraId="0D741873"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47" w:type="dxa"/>
            <w:tcBorders>
              <w:left w:val="nil"/>
              <w:bottom w:val="nil"/>
            </w:tcBorders>
            <w:shd w:val="clear" w:color="auto" w:fill="D9D9D9" w:themeFill="background1" w:themeFillShade="D9"/>
            <w:vAlign w:val="bottom"/>
          </w:tcPr>
          <w:p w14:paraId="39DAA96D"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76" w:type="dxa"/>
            <w:tcBorders>
              <w:bottom w:val="nil"/>
            </w:tcBorders>
            <w:shd w:val="clear" w:color="auto" w:fill="D9D9D9" w:themeFill="background1" w:themeFillShade="D9"/>
            <w:vAlign w:val="bottom"/>
          </w:tcPr>
          <w:p w14:paraId="14A2968A"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r>
      <w:tr w:rsidR="00D3305D" w:rsidRPr="00EC326F" w14:paraId="6AA1C133" w14:textId="77777777" w:rsidTr="007A6FF5">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10555DC1" w14:textId="77777777" w:rsidR="00D3305D" w:rsidRPr="00EC326F" w:rsidRDefault="00D3305D" w:rsidP="003114C1">
            <w:pPr>
              <w:pStyle w:val="TableTextSmall"/>
            </w:pPr>
            <w:r w:rsidRPr="00EC326F">
              <w:t>Jun-16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vAlign w:val="bottom"/>
          </w:tcPr>
          <w:p w14:paraId="35FA6777"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$518bn</w:t>
            </w:r>
          </w:p>
        </w:tc>
        <w:tc>
          <w:tcPr>
            <w:tcW w:w="1240" w:type="dxa"/>
            <w:tcBorders>
              <w:top w:val="nil"/>
              <w:left w:val="single" w:sz="4" w:space="0" w:color="E0301E" w:themeColor="accent6"/>
              <w:bottom w:val="nil"/>
            </w:tcBorders>
            <w:shd w:val="clear" w:color="auto" w:fill="D9D9D9" w:themeFill="background1" w:themeFillShade="D9"/>
            <w:vAlign w:val="bottom"/>
          </w:tcPr>
          <w:p w14:paraId="62601C77"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1C30F213"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47" w:type="dxa"/>
            <w:tcBorders>
              <w:top w:val="nil"/>
              <w:left w:val="nil"/>
              <w:bottom w:val="nil"/>
            </w:tcBorders>
            <w:shd w:val="clear" w:color="auto" w:fill="D9D9D9" w:themeFill="background1" w:themeFillShade="D9"/>
            <w:vAlign w:val="bottom"/>
          </w:tcPr>
          <w:p w14:paraId="1CC38B83"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76" w:type="dxa"/>
            <w:tcBorders>
              <w:top w:val="nil"/>
              <w:bottom w:val="nil"/>
            </w:tcBorders>
            <w:shd w:val="clear" w:color="auto" w:fill="D9D9D9" w:themeFill="background1" w:themeFillShade="D9"/>
            <w:vAlign w:val="bottom"/>
          </w:tcPr>
          <w:p w14:paraId="14CBD471"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r>
      <w:tr w:rsidR="00D3305D" w:rsidRPr="00EC326F" w14:paraId="3FE2F82E" w14:textId="77777777" w:rsidTr="007A6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5A7DACAC" w14:textId="77777777" w:rsidR="00D3305D" w:rsidRPr="00EC326F" w:rsidRDefault="00D3305D" w:rsidP="003114C1">
            <w:pPr>
              <w:pStyle w:val="TableTextSmall"/>
            </w:pPr>
            <w:r w:rsidRPr="00EC326F">
              <w:t>Change in Total Lifetime Cost</w:t>
            </w:r>
          </w:p>
        </w:tc>
        <w:tc>
          <w:tcPr>
            <w:tcW w:w="1276" w:type="dxa"/>
            <w:tcBorders>
              <w:left w:val="single" w:sz="4" w:space="0" w:color="E0301E" w:themeColor="accent6"/>
              <w:bottom w:val="nil"/>
              <w:right w:val="single" w:sz="4" w:space="0" w:color="E0301E" w:themeColor="accent6"/>
            </w:tcBorders>
            <w:vAlign w:val="bottom"/>
          </w:tcPr>
          <w:p w14:paraId="225638F3"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+$11bn (2.1%)</w:t>
            </w:r>
          </w:p>
        </w:tc>
        <w:tc>
          <w:tcPr>
            <w:tcW w:w="1240" w:type="dxa"/>
            <w:tcBorders>
              <w:top w:val="nil"/>
              <w:left w:val="single" w:sz="4" w:space="0" w:color="E0301E" w:themeColor="accent6"/>
              <w:bottom w:val="nil"/>
            </w:tcBorders>
            <w:shd w:val="clear" w:color="auto" w:fill="D9D9D9" w:themeFill="background1" w:themeFillShade="D9"/>
            <w:vAlign w:val="bottom"/>
          </w:tcPr>
          <w:p w14:paraId="60D37C6C"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2C591347"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47" w:type="dxa"/>
            <w:tcBorders>
              <w:top w:val="nil"/>
              <w:left w:val="nil"/>
              <w:bottom w:val="nil"/>
            </w:tcBorders>
            <w:shd w:val="clear" w:color="auto" w:fill="D9D9D9" w:themeFill="background1" w:themeFillShade="D9"/>
            <w:vAlign w:val="bottom"/>
          </w:tcPr>
          <w:p w14:paraId="70454EAD"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76" w:type="dxa"/>
            <w:tcBorders>
              <w:top w:val="nil"/>
              <w:bottom w:val="nil"/>
            </w:tcBorders>
            <w:shd w:val="clear" w:color="auto" w:fill="D9D9D9" w:themeFill="background1" w:themeFillShade="D9"/>
            <w:vAlign w:val="bottom"/>
          </w:tcPr>
          <w:p w14:paraId="2DE8326B"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r>
      <w:tr w:rsidR="00D3305D" w:rsidRPr="00EC326F" w14:paraId="3261035E" w14:textId="77777777" w:rsidTr="007A6FF5">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0157D73A" w14:textId="77777777" w:rsidR="00D3305D" w:rsidRPr="00EC326F" w:rsidRDefault="00D3305D" w:rsidP="003114C1">
            <w:pPr>
              <w:pStyle w:val="TableTextSmall"/>
            </w:pPr>
            <w:r w:rsidRPr="00EC326F">
              <w:t>Change due to Population</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vAlign w:val="bottom"/>
          </w:tcPr>
          <w:p w14:paraId="21E88FBC"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+2.2%</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vAlign w:val="bottom"/>
          </w:tcPr>
          <w:p w14:paraId="71DED398"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single" w:sz="4" w:space="0" w:color="E0301E" w:themeColor="accent6"/>
              <w:right w:val="nil"/>
            </w:tcBorders>
            <w:shd w:val="clear" w:color="auto" w:fill="D9D9D9" w:themeFill="background1" w:themeFillShade="D9"/>
            <w:vAlign w:val="bottom"/>
          </w:tcPr>
          <w:p w14:paraId="0C6871AF"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47" w:type="dxa"/>
            <w:tcBorders>
              <w:top w:val="nil"/>
              <w:left w:val="nil"/>
              <w:bottom w:val="single" w:sz="4" w:space="0" w:color="E0301E" w:themeColor="accent6"/>
            </w:tcBorders>
            <w:shd w:val="clear" w:color="auto" w:fill="D9D9D9" w:themeFill="background1" w:themeFillShade="D9"/>
            <w:vAlign w:val="bottom"/>
          </w:tcPr>
          <w:p w14:paraId="1DDE0165"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76" w:type="dxa"/>
            <w:tcBorders>
              <w:top w:val="nil"/>
              <w:bottom w:val="single" w:sz="4" w:space="0" w:color="E0301E" w:themeColor="accent6"/>
            </w:tcBorders>
            <w:shd w:val="clear" w:color="auto" w:fill="D9D9D9" w:themeFill="background1" w:themeFillShade="D9"/>
            <w:vAlign w:val="bottom"/>
          </w:tcPr>
          <w:p w14:paraId="68E849B8"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r>
      <w:tr w:rsidR="00D3305D" w:rsidRPr="00EC326F" w14:paraId="792437D3" w14:textId="77777777" w:rsidTr="007A6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4ECAF9B9" w14:textId="77777777" w:rsidR="00D3305D" w:rsidRPr="00EC326F" w:rsidRDefault="00D3305D" w:rsidP="003114C1">
            <w:pPr>
              <w:pStyle w:val="TableTextSmall"/>
            </w:pPr>
            <w:r w:rsidRPr="00EC326F">
              <w:t>Change due to Average Lifetime Cost</w:t>
            </w:r>
          </w:p>
        </w:tc>
        <w:tc>
          <w:tcPr>
            <w:tcW w:w="1276" w:type="dxa"/>
            <w:tcBorders>
              <w:left w:val="single" w:sz="4" w:space="0" w:color="E0301E" w:themeColor="accent6"/>
              <w:bottom w:val="nil"/>
              <w:right w:val="single" w:sz="4" w:space="0" w:color="E0301E" w:themeColor="accent6"/>
            </w:tcBorders>
            <w:vAlign w:val="bottom"/>
          </w:tcPr>
          <w:p w14:paraId="5BDB2079"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40" w:type="dxa"/>
            <w:tcBorders>
              <w:left w:val="single" w:sz="4" w:space="0" w:color="E0301E" w:themeColor="accent6"/>
              <w:bottom w:val="nil"/>
            </w:tcBorders>
            <w:vAlign w:val="bottom"/>
          </w:tcPr>
          <w:p w14:paraId="00799BE0"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40" w:type="dxa"/>
            <w:tcBorders>
              <w:bottom w:val="nil"/>
              <w:right w:val="dashed" w:sz="4" w:space="0" w:color="E0301E" w:themeColor="accent6"/>
            </w:tcBorders>
            <w:vAlign w:val="bottom"/>
          </w:tcPr>
          <w:p w14:paraId="545D92A7"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47" w:type="dxa"/>
            <w:tcBorders>
              <w:left w:val="dashed" w:sz="4" w:space="0" w:color="E0301E" w:themeColor="accent6"/>
              <w:bottom w:val="nil"/>
            </w:tcBorders>
            <w:vAlign w:val="bottom"/>
          </w:tcPr>
          <w:p w14:paraId="24CFE5F1"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76" w:type="dxa"/>
            <w:tcBorders>
              <w:bottom w:val="nil"/>
            </w:tcBorders>
            <w:vAlign w:val="bottom"/>
          </w:tcPr>
          <w:p w14:paraId="56B50240"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D3305D" w:rsidRPr="00EC326F" w14:paraId="1009CBCC" w14:textId="77777777" w:rsidTr="007A6FF5">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7D7E8D0A" w14:textId="77777777" w:rsidR="00D3305D" w:rsidRPr="00EC326F" w:rsidRDefault="00D3305D" w:rsidP="003114C1">
            <w:pPr>
              <w:pStyle w:val="TableTextSmall"/>
              <w:rPr>
                <w:b w:val="0"/>
              </w:rPr>
            </w:pPr>
            <w:r w:rsidRPr="00EC326F">
              <w:rPr>
                <w:b w:val="0"/>
              </w:rPr>
              <w:t>- Impact of change in inflation</w:t>
            </w:r>
          </w:p>
        </w:tc>
        <w:tc>
          <w:tcPr>
            <w:tcW w:w="1276" w:type="dxa"/>
            <w:tcBorders>
              <w:top w:val="nil"/>
              <w:left w:val="single" w:sz="4" w:space="0" w:color="E0301E" w:themeColor="accent6"/>
              <w:bottom w:val="nil"/>
              <w:right w:val="single" w:sz="4" w:space="0" w:color="E0301E" w:themeColor="accent6"/>
            </w:tcBorders>
            <w:vAlign w:val="bottom"/>
          </w:tcPr>
          <w:p w14:paraId="7AF5AE58"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left w:val="single" w:sz="4" w:space="0" w:color="E0301E" w:themeColor="accent6"/>
              <w:bottom w:val="nil"/>
            </w:tcBorders>
            <w:vAlign w:val="bottom"/>
          </w:tcPr>
          <w:p w14:paraId="3E2E4D98"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bottom w:val="nil"/>
              <w:right w:val="dashed" w:sz="4" w:space="0" w:color="E0301E" w:themeColor="accent6"/>
            </w:tcBorders>
            <w:vAlign w:val="bottom"/>
          </w:tcPr>
          <w:p w14:paraId="1163A227"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47" w:type="dxa"/>
            <w:tcBorders>
              <w:top w:val="nil"/>
              <w:left w:val="dashed" w:sz="4" w:space="0" w:color="E0301E" w:themeColor="accent6"/>
              <w:bottom w:val="nil"/>
            </w:tcBorders>
            <w:vAlign w:val="bottom"/>
          </w:tcPr>
          <w:p w14:paraId="36507528"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76" w:type="dxa"/>
            <w:tcBorders>
              <w:top w:val="nil"/>
              <w:bottom w:val="nil"/>
            </w:tcBorders>
            <w:vAlign w:val="bottom"/>
          </w:tcPr>
          <w:p w14:paraId="47AB41D8"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454B44A7" w14:textId="77777777" w:rsidTr="007A6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62DBF9CB" w14:textId="77777777" w:rsidR="00D3305D" w:rsidRPr="00EC326F" w:rsidRDefault="00D3305D" w:rsidP="003114C1">
            <w:pPr>
              <w:pStyle w:val="TableTextSmall"/>
              <w:rPr>
                <w:b w:val="0"/>
              </w:rPr>
            </w:pPr>
            <w:r w:rsidRPr="00EC326F">
              <w:rPr>
                <w:b w:val="0"/>
              </w:rPr>
              <w:t>- Impact of new economics module</w:t>
            </w:r>
          </w:p>
        </w:tc>
        <w:tc>
          <w:tcPr>
            <w:tcW w:w="1276" w:type="dxa"/>
            <w:tcBorders>
              <w:top w:val="nil"/>
              <w:left w:val="single" w:sz="4" w:space="0" w:color="E0301E" w:themeColor="accent6"/>
              <w:bottom w:val="nil"/>
              <w:right w:val="single" w:sz="4" w:space="0" w:color="E0301E" w:themeColor="accent6"/>
            </w:tcBorders>
            <w:vAlign w:val="bottom"/>
          </w:tcPr>
          <w:p w14:paraId="2C0AD2CA"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40" w:type="dxa"/>
            <w:tcBorders>
              <w:top w:val="nil"/>
              <w:left w:val="single" w:sz="4" w:space="0" w:color="E0301E" w:themeColor="accent6"/>
              <w:bottom w:val="nil"/>
            </w:tcBorders>
            <w:vAlign w:val="bottom"/>
          </w:tcPr>
          <w:p w14:paraId="36455465"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40" w:type="dxa"/>
            <w:tcBorders>
              <w:top w:val="nil"/>
              <w:bottom w:val="nil"/>
              <w:right w:val="dashed" w:sz="4" w:space="0" w:color="E0301E" w:themeColor="accent6"/>
            </w:tcBorders>
            <w:vAlign w:val="bottom"/>
          </w:tcPr>
          <w:p w14:paraId="1CC36555"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47" w:type="dxa"/>
            <w:tcBorders>
              <w:top w:val="nil"/>
              <w:left w:val="dashed" w:sz="4" w:space="0" w:color="E0301E" w:themeColor="accent6"/>
              <w:bottom w:val="nil"/>
            </w:tcBorders>
            <w:vAlign w:val="bottom"/>
          </w:tcPr>
          <w:p w14:paraId="0F134207"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76" w:type="dxa"/>
            <w:tcBorders>
              <w:top w:val="nil"/>
              <w:bottom w:val="nil"/>
            </w:tcBorders>
            <w:vAlign w:val="bottom"/>
          </w:tcPr>
          <w:p w14:paraId="70D8B957"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3A6032" w:rsidRPr="00EC326F" w14:paraId="6E9872ED" w14:textId="77777777" w:rsidTr="007A6FF5">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0A9DC915" w14:textId="677682C2" w:rsidR="003A6032" w:rsidRPr="00EC326F" w:rsidRDefault="003A6032" w:rsidP="003A6032">
            <w:pPr>
              <w:pStyle w:val="TableTextSmall"/>
              <w:rPr>
                <w:b w:val="0"/>
              </w:rPr>
            </w:pPr>
            <w:r w:rsidRPr="0034129E">
              <w:rPr>
                <w:b w:val="0"/>
              </w:rPr>
              <w:t>- Impact of policy changes</w:t>
            </w:r>
          </w:p>
        </w:tc>
        <w:tc>
          <w:tcPr>
            <w:tcW w:w="1276" w:type="dxa"/>
            <w:tcBorders>
              <w:top w:val="nil"/>
              <w:left w:val="single" w:sz="4" w:space="0" w:color="E0301E" w:themeColor="accent6"/>
              <w:bottom w:val="nil"/>
              <w:right w:val="single" w:sz="4" w:space="0" w:color="E0301E" w:themeColor="accent6"/>
            </w:tcBorders>
            <w:vAlign w:val="bottom"/>
          </w:tcPr>
          <w:p w14:paraId="6237F22F" w14:textId="5A033816" w:rsidR="003A6032" w:rsidRPr="00EC326F" w:rsidRDefault="00CC3286" w:rsidP="003A6032">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left w:val="single" w:sz="4" w:space="0" w:color="E0301E" w:themeColor="accent6"/>
              <w:bottom w:val="nil"/>
            </w:tcBorders>
            <w:vAlign w:val="bottom"/>
          </w:tcPr>
          <w:p w14:paraId="1752E0D3" w14:textId="488B949C" w:rsidR="003A6032" w:rsidRPr="00EC326F" w:rsidRDefault="00CC3286" w:rsidP="003A6032">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bottom w:val="nil"/>
              <w:right w:val="dashed" w:sz="4" w:space="0" w:color="E0301E" w:themeColor="accent6"/>
            </w:tcBorders>
            <w:vAlign w:val="bottom"/>
          </w:tcPr>
          <w:p w14:paraId="6187B9C5" w14:textId="2DD0FEBD" w:rsidR="003A6032" w:rsidRPr="00EC326F" w:rsidRDefault="00CC3286" w:rsidP="003A6032">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47" w:type="dxa"/>
            <w:tcBorders>
              <w:top w:val="nil"/>
              <w:left w:val="dashed" w:sz="4" w:space="0" w:color="E0301E" w:themeColor="accent6"/>
              <w:bottom w:val="nil"/>
            </w:tcBorders>
            <w:vAlign w:val="bottom"/>
          </w:tcPr>
          <w:p w14:paraId="2EEEA078" w14:textId="45C958E0" w:rsidR="003A6032" w:rsidRPr="00EC326F" w:rsidRDefault="00CC3286" w:rsidP="003A6032">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76" w:type="dxa"/>
            <w:tcBorders>
              <w:top w:val="nil"/>
              <w:bottom w:val="nil"/>
            </w:tcBorders>
            <w:vAlign w:val="bottom"/>
          </w:tcPr>
          <w:p w14:paraId="138EF6A2" w14:textId="5BFC9126" w:rsidR="003A6032"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29D9A58B" w14:textId="77777777" w:rsidTr="007A6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739592DB" w14:textId="77777777" w:rsidR="00D3305D" w:rsidRPr="00EC326F" w:rsidRDefault="00D3305D" w:rsidP="003114C1">
            <w:pPr>
              <w:pStyle w:val="TableTextSmall"/>
              <w:rPr>
                <w:b w:val="0"/>
              </w:rPr>
            </w:pPr>
            <w:r w:rsidRPr="00EC326F">
              <w:rPr>
                <w:b w:val="0"/>
              </w:rPr>
              <w:t>- Impact of other changes</w:t>
            </w:r>
          </w:p>
        </w:tc>
        <w:tc>
          <w:tcPr>
            <w:tcW w:w="1276" w:type="dxa"/>
            <w:tcBorders>
              <w:top w:val="nil"/>
              <w:left w:val="single" w:sz="4" w:space="0" w:color="E0301E" w:themeColor="accent6"/>
              <w:right w:val="single" w:sz="4" w:space="0" w:color="E0301E" w:themeColor="accent6"/>
            </w:tcBorders>
            <w:vAlign w:val="bottom"/>
          </w:tcPr>
          <w:p w14:paraId="4C2FD3BE"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40" w:type="dxa"/>
            <w:tcBorders>
              <w:top w:val="nil"/>
              <w:left w:val="single" w:sz="4" w:space="0" w:color="E0301E" w:themeColor="accent6"/>
            </w:tcBorders>
            <w:vAlign w:val="bottom"/>
          </w:tcPr>
          <w:p w14:paraId="61DB0759"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40" w:type="dxa"/>
            <w:tcBorders>
              <w:top w:val="nil"/>
              <w:right w:val="dashed" w:sz="4" w:space="0" w:color="E0301E" w:themeColor="accent6"/>
            </w:tcBorders>
            <w:vAlign w:val="bottom"/>
          </w:tcPr>
          <w:p w14:paraId="2AB5CDAE"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47" w:type="dxa"/>
            <w:tcBorders>
              <w:top w:val="nil"/>
              <w:left w:val="dashed" w:sz="4" w:space="0" w:color="E0301E" w:themeColor="accent6"/>
            </w:tcBorders>
            <w:vAlign w:val="bottom"/>
          </w:tcPr>
          <w:p w14:paraId="1BA058B7"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76" w:type="dxa"/>
            <w:tcBorders>
              <w:top w:val="nil"/>
            </w:tcBorders>
            <w:vAlign w:val="bottom"/>
          </w:tcPr>
          <w:p w14:paraId="71782969"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bl>
    <w:p w14:paraId="1DB09DD7" w14:textId="77777777" w:rsidR="00D26958" w:rsidRPr="00EC326F" w:rsidRDefault="00D26958" w:rsidP="00D26958">
      <w:pPr>
        <w:pStyle w:val="PwCNormal"/>
      </w:pPr>
      <w:r w:rsidRPr="00EC326F">
        <w:t>As can be seen from the table most of the changes made at this valuation have minimal impact on the lifetime cost assessment for the older group of people who comprise this class.</w:t>
      </w:r>
    </w:p>
    <w:p w14:paraId="1BA3FA81" w14:textId="77777777" w:rsidR="005846DC" w:rsidRPr="00EC326F" w:rsidRDefault="005846DC" w:rsidP="005846DC">
      <w:pPr>
        <w:pStyle w:val="Minorheading"/>
      </w:pPr>
      <w:r w:rsidRPr="00EC326F">
        <w:t>Future outcomes</w:t>
      </w:r>
    </w:p>
    <w:p w14:paraId="7CCDDF95" w14:textId="77777777" w:rsidR="005846DC" w:rsidRPr="00EC326F" w:rsidRDefault="005846DC" w:rsidP="005846DC">
      <w:pPr>
        <w:pStyle w:val="PwCNormal"/>
        <w:numPr>
          <w:ilvl w:val="0"/>
          <w:numId w:val="0"/>
        </w:numPr>
      </w:pPr>
      <w:r w:rsidRPr="00EC326F">
        <w:t xml:space="preserve">In developing the valuation results the projection model also produces information on the expected transitions for people out of each class, as shown below. </w:t>
      </w:r>
    </w:p>
    <w:p w14:paraId="0107443B" w14:textId="77777777" w:rsidR="005846DC" w:rsidRPr="00EC326F" w:rsidRDefault="005846DC" w:rsidP="005846DC">
      <w:pPr>
        <w:pStyle w:val="Caption"/>
      </w:pPr>
      <w:r w:rsidRPr="00EC326F">
        <w:t xml:space="preserve">Figure </w:t>
      </w:r>
      <w:fldSimple w:instr=" SEQ Figure \* ARABIC ">
        <w:r w:rsidR="007A42DF">
          <w:rPr>
            <w:noProof/>
          </w:rPr>
          <w:t>64</w:t>
        </w:r>
      </w:fldSimple>
      <w:r w:rsidRPr="00EC326F">
        <w:t>: Expected future trajectory for people in Class 6</w:t>
      </w:r>
    </w:p>
    <w:tbl>
      <w:tblPr>
        <w:tblStyle w:val="Tables-APBase"/>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6&#10;"/>
        <w:tblDescription w:val="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2,551,000 individuals who were in the pension age class at 30 June 2016.&#10;&#10;Most of this group are projected to stay in the pension age class for the remainder of their natural lives at which point they transition to the dead class. Around 30% of people in this group are expected to still be in the pension age class in 2036. &#10;&#10;The features shown in the chart are discussed further in the accompanying text within the report.&#10;"/>
      </w:tblPr>
      <w:tblGrid>
        <w:gridCol w:w="6313"/>
        <w:gridCol w:w="3088"/>
      </w:tblGrid>
      <w:tr w:rsidR="005846DC" w:rsidRPr="00EC326F" w14:paraId="276C13BC" w14:textId="77777777" w:rsidTr="009C6553">
        <w:trPr>
          <w:tblHeader/>
        </w:trPr>
        <w:tc>
          <w:tcPr>
            <w:tcW w:w="6379" w:type="dxa"/>
          </w:tcPr>
          <w:p w14:paraId="0ED12A88" w14:textId="77777777" w:rsidR="005846DC" w:rsidRPr="00EC326F" w:rsidRDefault="00762003" w:rsidP="000D6C29">
            <w:pPr>
              <w:pStyle w:val="TableTextSmall"/>
            </w:pPr>
            <w:r w:rsidRPr="00EC326F">
              <w:rPr>
                <w:noProof/>
                <w:lang w:eastAsia="en-AU"/>
              </w:rPr>
              <w:drawing>
                <wp:inline distT="0" distB="0" distL="0" distR="0" wp14:anchorId="3D8A18BA" wp14:editId="02081A4F">
                  <wp:extent cx="3819525" cy="2114550"/>
                  <wp:effectExtent l="0" t="0" r="0" b="0"/>
                  <wp:docPr id="833" name="Picture 833" descr="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2,551,000 individuals who were in the pension age class at 30 June 2016.&#10;&#10;Most of this group are projected to stay in the pension age class for the remainder of their natural lives at which point they transition to the dead class. Around 30% of people in this group are expected to still be in the pension age class in 2036. &#10;&#10;The features shown in the chart are discussed further in the accompanying text within the report.&#10;" title=" Expected future trajectory for people in Class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19525" cy="2114550"/>
                          </a:xfrm>
                          <a:prstGeom prst="rect">
                            <a:avLst/>
                          </a:prstGeom>
                          <a:noFill/>
                          <a:ln>
                            <a:noFill/>
                          </a:ln>
                        </pic:spPr>
                      </pic:pic>
                    </a:graphicData>
                  </a:graphic>
                </wp:inline>
              </w:drawing>
            </w:r>
          </w:p>
        </w:tc>
        <w:tc>
          <w:tcPr>
            <w:tcW w:w="3119" w:type="dxa"/>
          </w:tcPr>
          <w:p w14:paraId="0959657F" w14:textId="77777777" w:rsidR="005846DC" w:rsidRPr="00EC326F" w:rsidRDefault="005846DC" w:rsidP="000D6C29">
            <w:pPr>
              <w:pStyle w:val="TableTextSmall"/>
            </w:pPr>
          </w:p>
          <w:p w14:paraId="4597800E" w14:textId="77777777" w:rsidR="005846DC" w:rsidRPr="00EC326F" w:rsidRDefault="005846DC" w:rsidP="000D6C29">
            <w:pPr>
              <w:pStyle w:val="TableTextSmall"/>
            </w:pPr>
            <w:r w:rsidRPr="00EC326F">
              <w:rPr>
                <w:noProof/>
                <w:lang w:eastAsia="en-AU"/>
              </w:rPr>
              <w:drawing>
                <wp:inline distT="0" distB="0" distL="0" distR="0" wp14:anchorId="32713015" wp14:editId="3BF1AD29">
                  <wp:extent cx="1439545" cy="1589405"/>
                  <wp:effectExtent l="0" t="0" r="8255" b="0"/>
                  <wp:docPr id="3866" name="Picture 3866" descr="Class key: studying, working age, parents, carers, disability support, pension age, non-income support family, non-income support carer, non-income support other, previous welfare recipient, rest of the Australian population and dead. " title="Class Key for Fig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60188325" w14:textId="77777777" w:rsidR="005846DC" w:rsidRPr="00EC326F" w:rsidRDefault="005846DC" w:rsidP="000D6C29">
            <w:pPr>
              <w:pStyle w:val="TableTextSmall"/>
            </w:pPr>
          </w:p>
        </w:tc>
      </w:tr>
    </w:tbl>
    <w:p w14:paraId="783DDF59" w14:textId="77777777" w:rsidR="005846DC" w:rsidRPr="00EC326F" w:rsidRDefault="005846DC" w:rsidP="005846DC">
      <w:pPr>
        <w:pStyle w:val="PwCNormal"/>
        <w:numPr>
          <w:ilvl w:val="0"/>
          <w:numId w:val="1"/>
        </w:numPr>
      </w:pPr>
      <w:r w:rsidRPr="00EC326F">
        <w:t>We can see that a very small proportion of this class exit and, as is intended for age pensioners, the rest stay on the payment for their remainder of their natural lives.</w:t>
      </w:r>
    </w:p>
    <w:p w14:paraId="78AE412E" w14:textId="77777777" w:rsidR="005846DC" w:rsidRPr="00EC326F" w:rsidRDefault="005846DC" w:rsidP="005846DC">
      <w:pPr>
        <w:pStyle w:val="Minorheading"/>
      </w:pPr>
      <w:r w:rsidRPr="00EC326F">
        <w:t>Duration</w:t>
      </w:r>
    </w:p>
    <w:p w14:paraId="5007789F" w14:textId="3D73AE9C" w:rsidR="005846DC" w:rsidRPr="00EC326F" w:rsidRDefault="005846DC" w:rsidP="00EC326F">
      <w:pPr>
        <w:pStyle w:val="PwCNormal"/>
        <w:numPr>
          <w:ilvl w:val="0"/>
          <w:numId w:val="0"/>
        </w:numPr>
      </w:pPr>
      <w:r w:rsidRPr="00EC326F">
        <w:t xml:space="preserve">The average future life expectancy for the Age Pension class is </w:t>
      </w:r>
      <w:r w:rsidR="002336D0" w:rsidRPr="00EC326F">
        <w:rPr>
          <w:b/>
        </w:rPr>
        <w:t>1</w:t>
      </w:r>
      <w:r w:rsidR="002336D0">
        <w:rPr>
          <w:b/>
        </w:rPr>
        <w:t>5</w:t>
      </w:r>
      <w:r w:rsidR="002336D0" w:rsidRPr="00EC326F">
        <w:t xml:space="preserve"> </w:t>
      </w:r>
      <w:r w:rsidRPr="00EC326F">
        <w:t>years. This reflects the age profile of this class.</w:t>
      </w:r>
      <w:r w:rsidR="00AD433E" w:rsidRPr="00EC326F">
        <w:t xml:space="preserve"> </w:t>
      </w:r>
      <w:r w:rsidRPr="00EC326F">
        <w:t>The table below provides a summary of the expected welfare system use of people currently in this class over this time. This has been developed by considering which classes people move into as they move through the welfare system over their lives.</w:t>
      </w:r>
    </w:p>
    <w:p w14:paraId="49AB4FCA" w14:textId="77777777" w:rsidR="005846DC" w:rsidRPr="002A0A1A" w:rsidRDefault="005846DC" w:rsidP="005846DC">
      <w:pPr>
        <w:pStyle w:val="Caption"/>
      </w:pPr>
      <w:r w:rsidRPr="00EC326F">
        <w:lastRenderedPageBreak/>
        <w:t xml:space="preserve">Table </w:t>
      </w:r>
      <w:fldSimple w:instr=" SEQ Table \* ARABIC ">
        <w:r w:rsidR="007A42DF">
          <w:rPr>
            <w:noProof/>
          </w:rPr>
          <w:t>39</w:t>
        </w:r>
      </w:fldSimple>
      <w:r w:rsidRPr="00EC326F">
        <w:t>: Expected durations in welfare system for people currently in Class 6</w:t>
      </w:r>
    </w:p>
    <w:tbl>
      <w:tblPr>
        <w:tblStyle w:val="ListTable3-Accent61"/>
        <w:tblW w:w="8868" w:type="dxa"/>
        <w:tblInd w:w="108" w:type="dxa"/>
        <w:tblLook w:val="04A0" w:firstRow="1" w:lastRow="0" w:firstColumn="1" w:lastColumn="0" w:noHBand="0" w:noVBand="1"/>
        <w:tblCaption w:val=" Expected durations in welfare system for people currently in Class 6&#10;&#10;"/>
        <w:tblDescription w:val="This table provides data on the expected number of years that people currently in Class 6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6 is 15 years. &#10;&#10;People in Class 6 are expected to receive some form of income support payment (excluding the age pension) for less than 1 year, approximately 0% of their future lifetime. It is expected that they will receive the age pension for 14 years (95% of their future lifetime), non-income support payments only for 1% of their future lifetime and no welfare payments for 3% of their future lifetime.&#10;"/>
      </w:tblPr>
      <w:tblGrid>
        <w:gridCol w:w="3828"/>
        <w:gridCol w:w="2520"/>
        <w:gridCol w:w="2520"/>
      </w:tblGrid>
      <w:tr w:rsidR="005846DC" w:rsidRPr="00EC326F" w14:paraId="23DB819C"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4C20E507" w14:textId="77777777" w:rsidR="005846DC" w:rsidRPr="00EC326F" w:rsidRDefault="005846DC" w:rsidP="000D6C29">
            <w:pPr>
              <w:pStyle w:val="TableTextSmall"/>
              <w:jc w:val="center"/>
              <w:rPr>
                <w:rFonts w:asciiTheme="majorHAnsi" w:hAnsiTheme="majorHAnsi"/>
                <w:color w:val="FFFFFF" w:themeColor="background1"/>
              </w:rPr>
            </w:pPr>
          </w:p>
        </w:tc>
        <w:tc>
          <w:tcPr>
            <w:tcW w:w="2520" w:type="dxa"/>
          </w:tcPr>
          <w:p w14:paraId="24FF25EC"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Expected Years</w:t>
            </w:r>
          </w:p>
        </w:tc>
        <w:tc>
          <w:tcPr>
            <w:tcW w:w="2520" w:type="dxa"/>
          </w:tcPr>
          <w:p w14:paraId="6B5E832F" w14:textId="77777777" w:rsidR="005846DC" w:rsidRPr="00EC326F" w:rsidRDefault="005846DC"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Proportion of Future Lifetime</w:t>
            </w:r>
          </w:p>
        </w:tc>
      </w:tr>
      <w:tr w:rsidR="005846DC" w:rsidRPr="00EC326F" w14:paraId="1C9F0826"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70807ED" w14:textId="77777777" w:rsidR="005846DC" w:rsidRPr="00EC326F" w:rsidRDefault="005846DC" w:rsidP="000D6C29">
            <w:pPr>
              <w:pStyle w:val="TableTextSmall"/>
            </w:pPr>
            <w:r w:rsidRPr="00EC326F">
              <w:t>Years with some income support payments:</w:t>
            </w:r>
          </w:p>
          <w:p w14:paraId="4A24E929" w14:textId="77777777" w:rsidR="005846DC" w:rsidRPr="00EC326F" w:rsidRDefault="005846DC" w:rsidP="001A4479">
            <w:pPr>
              <w:pStyle w:val="TableTextSmall"/>
              <w:numPr>
                <w:ilvl w:val="0"/>
                <w:numId w:val="43"/>
              </w:numPr>
            </w:pPr>
            <w:r w:rsidRPr="00EC326F">
              <w:t>Not aged pension (classes 1-5)</w:t>
            </w:r>
          </w:p>
          <w:p w14:paraId="0511B07A" w14:textId="77777777" w:rsidR="005846DC" w:rsidRPr="00EC326F" w:rsidRDefault="005846DC" w:rsidP="001A4479">
            <w:pPr>
              <w:pStyle w:val="TableTextSmall"/>
              <w:numPr>
                <w:ilvl w:val="0"/>
                <w:numId w:val="43"/>
              </w:numPr>
            </w:pPr>
            <w:r w:rsidRPr="00EC326F">
              <w:t>Aged pension (class 6)</w:t>
            </w:r>
          </w:p>
        </w:tc>
        <w:tc>
          <w:tcPr>
            <w:tcW w:w="2520" w:type="dxa"/>
          </w:tcPr>
          <w:p w14:paraId="12ABDEFD"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r>
            <w:r w:rsidR="00AD433E" w:rsidRPr="00EC326F">
              <w:t>&lt;1</w:t>
            </w:r>
          </w:p>
          <w:p w14:paraId="669638E5" w14:textId="77777777" w:rsidR="005846DC" w:rsidRPr="00EC326F" w:rsidRDefault="00AD433E" w:rsidP="00762003">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14</w:t>
            </w:r>
          </w:p>
        </w:tc>
        <w:tc>
          <w:tcPr>
            <w:tcW w:w="2520" w:type="dxa"/>
          </w:tcPr>
          <w:p w14:paraId="2C1190BE"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0%</w:t>
            </w:r>
          </w:p>
          <w:p w14:paraId="38EAA3EA" w14:textId="77777777" w:rsidR="005846DC" w:rsidRPr="00EC326F" w:rsidRDefault="005846DC" w:rsidP="00762003">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9</w:t>
            </w:r>
            <w:r w:rsidR="00762003" w:rsidRPr="00EC326F">
              <w:t>5</w:t>
            </w:r>
            <w:r w:rsidRPr="00EC326F">
              <w:t>%</w:t>
            </w:r>
          </w:p>
        </w:tc>
      </w:tr>
      <w:tr w:rsidR="005846DC" w:rsidRPr="00EC326F" w14:paraId="22FCB04B"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1C085FDD" w14:textId="77777777" w:rsidR="005846DC" w:rsidRPr="00EC326F" w:rsidRDefault="005846DC" w:rsidP="000D6C29">
            <w:pPr>
              <w:pStyle w:val="TableTextSmall"/>
            </w:pPr>
            <w:r w:rsidRPr="00EC326F">
              <w:t>Years with non-income support payments only</w:t>
            </w:r>
          </w:p>
        </w:tc>
        <w:tc>
          <w:tcPr>
            <w:tcW w:w="2520" w:type="dxa"/>
          </w:tcPr>
          <w:p w14:paraId="085274C2" w14:textId="77777777" w:rsidR="005846DC" w:rsidRPr="00EC326F" w:rsidRDefault="00AD433E"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&lt;1</w:t>
            </w:r>
          </w:p>
        </w:tc>
        <w:tc>
          <w:tcPr>
            <w:tcW w:w="2520" w:type="dxa"/>
          </w:tcPr>
          <w:p w14:paraId="5E55F74A" w14:textId="77777777" w:rsidR="005846DC" w:rsidRPr="00EC326F" w:rsidRDefault="005846DC"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w:t>
            </w:r>
          </w:p>
        </w:tc>
      </w:tr>
      <w:tr w:rsidR="005846DC" w:rsidRPr="00EC326F" w14:paraId="19A7413F"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30401FD" w14:textId="77777777" w:rsidR="005846DC" w:rsidRPr="00EC326F" w:rsidRDefault="005846DC" w:rsidP="000D6C29">
            <w:pPr>
              <w:pStyle w:val="TableTextSmall"/>
            </w:pPr>
            <w:r w:rsidRPr="00EC326F">
              <w:t>Years not receiving any welfare payments</w:t>
            </w:r>
          </w:p>
        </w:tc>
        <w:tc>
          <w:tcPr>
            <w:tcW w:w="2520" w:type="dxa"/>
          </w:tcPr>
          <w:p w14:paraId="5BCD3175" w14:textId="77777777" w:rsidR="005846DC" w:rsidRPr="00EC326F" w:rsidRDefault="00AD433E"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2520" w:type="dxa"/>
          </w:tcPr>
          <w:p w14:paraId="69EF3A94" w14:textId="77777777" w:rsidR="005846DC" w:rsidRPr="00EC326F" w:rsidRDefault="005846DC"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w:t>
            </w:r>
          </w:p>
        </w:tc>
      </w:tr>
      <w:tr w:rsidR="005846DC" w:rsidRPr="00EC326F" w14:paraId="084A9D71"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407EBC91" w14:textId="77777777" w:rsidR="005846DC" w:rsidRPr="00EC326F" w:rsidRDefault="005846DC" w:rsidP="000D6C29">
            <w:pPr>
              <w:pStyle w:val="TableTextSmall"/>
            </w:pPr>
            <w:r w:rsidRPr="00EC326F">
              <w:t>Total</w:t>
            </w:r>
          </w:p>
        </w:tc>
        <w:tc>
          <w:tcPr>
            <w:tcW w:w="2520" w:type="dxa"/>
          </w:tcPr>
          <w:p w14:paraId="5914E6BC" w14:textId="19FE76CF" w:rsidR="005846DC" w:rsidRPr="00EC326F" w:rsidRDefault="00E76799" w:rsidP="00E7679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w:t>
            </w:r>
            <w:r>
              <w:t>5</w:t>
            </w:r>
          </w:p>
        </w:tc>
        <w:tc>
          <w:tcPr>
            <w:tcW w:w="2520" w:type="dxa"/>
          </w:tcPr>
          <w:p w14:paraId="11E48EE5" w14:textId="77777777" w:rsidR="005846DC" w:rsidRPr="00EC326F" w:rsidRDefault="005846DC"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100%</w:t>
            </w:r>
          </w:p>
        </w:tc>
      </w:tr>
    </w:tbl>
    <w:p w14:paraId="3186BF02" w14:textId="77777777" w:rsidR="005846DC" w:rsidRDefault="005846DC" w:rsidP="00AD433E">
      <w:pPr>
        <w:pStyle w:val="PwCNormal-Single"/>
      </w:pPr>
    </w:p>
    <w:p w14:paraId="160D7A04" w14:textId="77777777" w:rsidR="00716FF0" w:rsidRPr="002A0A1A" w:rsidRDefault="00716FF0" w:rsidP="00AD433E">
      <w:pPr>
        <w:pStyle w:val="PwCNormal-Single"/>
      </w:pPr>
    </w:p>
    <w:p w14:paraId="195A8A18" w14:textId="77777777" w:rsidR="003D1206" w:rsidRPr="002A0A1A" w:rsidRDefault="003D1206" w:rsidP="003D1206">
      <w:pPr>
        <w:pStyle w:val="PwCNormal"/>
        <w:numPr>
          <w:ilvl w:val="0"/>
          <w:numId w:val="0"/>
        </w:numPr>
        <w:sectPr w:rsidR="003D1206" w:rsidRPr="002A0A1A" w:rsidSect="009C6553">
          <w:headerReference w:type="first" r:id="rId133"/>
          <w:footerReference w:type="first" r:id="rId134"/>
          <w:pgSz w:w="11907" w:h="16840" w:code="9"/>
          <w:pgMar w:top="1588" w:right="1701" w:bottom="1418" w:left="1021" w:header="567" w:footer="567" w:gutter="0"/>
          <w:cols w:space="227"/>
          <w:docGrid w:linePitch="360"/>
        </w:sectPr>
      </w:pPr>
    </w:p>
    <w:p w14:paraId="41707071" w14:textId="77777777" w:rsidR="0090298C" w:rsidRPr="00EC326F" w:rsidRDefault="0090298C" w:rsidP="00142D83">
      <w:pPr>
        <w:pStyle w:val="Heading2"/>
      </w:pPr>
      <w:bookmarkStart w:id="403" w:name="_Ref466373125"/>
      <w:bookmarkStart w:id="404" w:name="_Ref466374252"/>
      <w:bookmarkStart w:id="405" w:name="_Toc493844263"/>
      <w:bookmarkEnd w:id="356"/>
      <w:bookmarkEnd w:id="396"/>
      <w:bookmarkEnd w:id="397"/>
      <w:bookmarkEnd w:id="398"/>
      <w:r w:rsidRPr="00EC326F">
        <w:lastRenderedPageBreak/>
        <w:t>Results for non-income support recipients</w:t>
      </w:r>
      <w:bookmarkEnd w:id="403"/>
      <w:bookmarkEnd w:id="404"/>
      <w:bookmarkEnd w:id="405"/>
    </w:p>
    <w:p w14:paraId="119681F6" w14:textId="77777777" w:rsidR="009B2D09" w:rsidRPr="00EC326F" w:rsidRDefault="009B2D09" w:rsidP="009B2D09">
      <w:pPr>
        <w:pStyle w:val="Heading3"/>
      </w:pPr>
      <w:bookmarkStart w:id="406" w:name="_Ref466372845"/>
      <w:bookmarkStart w:id="407" w:name="_Ref466418929"/>
      <w:bookmarkStart w:id="408" w:name="_Toc493844264"/>
      <w:bookmarkStart w:id="409" w:name="_Toc455499437"/>
      <w:bookmarkStart w:id="410" w:name="_Toc455502458"/>
      <w:r w:rsidRPr="00EC326F">
        <w:t>Non income support – Family</w:t>
      </w:r>
      <w:bookmarkEnd w:id="406"/>
      <w:bookmarkEnd w:id="407"/>
      <w:bookmarkEnd w:id="408"/>
    </w:p>
    <w:p w14:paraId="560464DA" w14:textId="77777777" w:rsidR="009B2D09" w:rsidRPr="00EC326F" w:rsidRDefault="009B2D09" w:rsidP="009B2D09">
      <w:pPr>
        <w:pStyle w:val="PwCNormal"/>
        <w:numPr>
          <w:ilvl w:val="0"/>
          <w:numId w:val="0"/>
        </w:numPr>
      </w:pPr>
      <w:r w:rsidRPr="00EC326F">
        <w:t>People are in this class if they have not received any income support payment in the financial year but have received a FTB, family or new parent payment.</w:t>
      </w:r>
    </w:p>
    <w:p w14:paraId="019DD8AA" w14:textId="77777777" w:rsidR="009B2D09" w:rsidRPr="00EC326F" w:rsidRDefault="009B2D09" w:rsidP="009B2D09">
      <w:pPr>
        <w:pStyle w:val="PwCNormal"/>
        <w:numPr>
          <w:ilvl w:val="0"/>
          <w:numId w:val="1"/>
        </w:numPr>
      </w:pPr>
      <w:r w:rsidRPr="00EC326F">
        <w:t xml:space="preserve">The precise definition of this class includes a one year timing lag as explained </w:t>
      </w:r>
      <w:r w:rsidRPr="00881FC5">
        <w:t xml:space="preserve">in </w:t>
      </w:r>
      <w:r w:rsidR="0011562A">
        <w:t>section</w:t>
      </w:r>
      <w:r w:rsidRPr="00881FC5">
        <w:t xml:space="preserve"> </w:t>
      </w:r>
      <w:r w:rsidRPr="00881FC5">
        <w:fldChar w:fldCharType="begin"/>
      </w:r>
      <w:r w:rsidRPr="00881FC5">
        <w:instrText xml:space="preserve"> REF _Ref437372987 \r \h  \* MERGEFORMAT </w:instrText>
      </w:r>
      <w:r w:rsidRPr="00881FC5">
        <w:fldChar w:fldCharType="separate"/>
      </w:r>
      <w:r w:rsidR="007A42DF">
        <w:t>3.4</w:t>
      </w:r>
      <w:r w:rsidRPr="00881FC5">
        <w:fldChar w:fldCharType="end"/>
      </w:r>
      <w:r w:rsidRPr="00881FC5">
        <w:t>. This means that people typically enter the class via class 9 and spend a year in that class before moving to class 7 for the remainder of the period during which they are receiving any of the family payment categories.</w:t>
      </w:r>
    </w:p>
    <w:p w14:paraId="1F8DA097" w14:textId="77777777" w:rsidR="009B2D09" w:rsidRPr="00EC326F" w:rsidRDefault="009B2D09" w:rsidP="009B2D09">
      <w:pPr>
        <w:pStyle w:val="Heading4"/>
      </w:pPr>
      <w:r w:rsidRPr="00EC326F">
        <w:t>What does the data tell us about the Non IS Family class?</w:t>
      </w:r>
    </w:p>
    <w:p w14:paraId="1756887E" w14:textId="77777777" w:rsidR="009B2D09" w:rsidRPr="00EC326F" w:rsidRDefault="009B2D09" w:rsidP="009B2D09">
      <w:pPr>
        <w:pStyle w:val="PwCNormal"/>
        <w:numPr>
          <w:ilvl w:val="0"/>
          <w:numId w:val="0"/>
        </w:numPr>
      </w:pPr>
      <w:r w:rsidRPr="00EC326F">
        <w:t>There were 1,553,941 people (19.3% of current welfare recipients) in the Non IS Family class in the 2016 model population.</w:t>
      </w:r>
    </w:p>
    <w:p w14:paraId="6DBEFB43" w14:textId="77777777" w:rsidR="009B2D09" w:rsidRPr="00EC326F" w:rsidRDefault="009B2D09" w:rsidP="009B2D09">
      <w:pPr>
        <w:pStyle w:val="PwCNormal"/>
        <w:numPr>
          <w:ilvl w:val="0"/>
          <w:numId w:val="0"/>
        </w:numPr>
      </w:pPr>
      <w:r w:rsidRPr="00EC326F">
        <w:t>The following chart shows a breakdown of the number of people in the Non IS Family class by age and gender.</w:t>
      </w:r>
    </w:p>
    <w:p w14:paraId="52BA2559" w14:textId="77777777" w:rsidR="009B2D09" w:rsidRDefault="009B2D09" w:rsidP="009B2D09">
      <w:pPr>
        <w:pStyle w:val="Caption"/>
      </w:pPr>
      <w:r w:rsidRPr="00EC326F">
        <w:t xml:space="preserve">Figure </w:t>
      </w:r>
      <w:fldSimple w:instr=" SEQ Figure \* ARABIC ">
        <w:r w:rsidR="007A42DF">
          <w:rPr>
            <w:noProof/>
          </w:rPr>
          <w:t>65</w:t>
        </w:r>
      </w:fldSimple>
      <w:r w:rsidRPr="00EC326F">
        <w:t>: 2016 profile of people in Class 7 – Non IS Family (age/gender)</w:t>
      </w:r>
    </w:p>
    <w:p w14:paraId="6639A0FB" w14:textId="09F78D43" w:rsidR="00552E32" w:rsidRPr="00552E32" w:rsidRDefault="00552E32" w:rsidP="00552E32"/>
    <w:tbl>
      <w:tblPr>
        <w:tblW w:w="3921" w:type="pct"/>
        <w:tblLayout w:type="fixed"/>
        <w:tblLook w:val="04A0" w:firstRow="1" w:lastRow="0" w:firstColumn="1" w:lastColumn="0" w:noHBand="0" w:noVBand="1"/>
        <w:tblCaption w:val=" 2016 profile of people in Class 7 – Non IS Family (age/gender)"/>
        <w:tblDescription w:val="This figure is a horizontal bar chart showing the number of people in the Non IS Family class at Jun16 by age for males and females separately. The vertical axis shows age with the data shown ranging from 14 to 95. The horizontal axis shows the number of people ranging from 0 to 80,000. The number of males at each age are shown by the horizontal bars to the left of the vertical axis and the number of females at each age are shown by horizontal bars to the right.&#10;&#10;The chart is based on the 1,554,000 individuals who were in the Non IS Family class at 30 June 2016. &#10;&#10;The chart shows that the people in this class are predominately females aged between 20 and 55. The number of females peaks at approximately 62,000 at age 37 and number of males peaks at approximately 15,000 at the same age.&#10;"/>
      </w:tblPr>
      <w:tblGrid>
        <w:gridCol w:w="5530"/>
        <w:gridCol w:w="2376"/>
      </w:tblGrid>
      <w:tr w:rsidR="009B2D09" w:rsidRPr="00EC326F" w14:paraId="1C02A01D" w14:textId="51774EC3" w:rsidTr="001B43B4">
        <w:trPr>
          <w:tblHeader/>
        </w:trPr>
        <w:tc>
          <w:tcPr>
            <w:tcW w:w="5529" w:type="dxa"/>
          </w:tcPr>
          <w:p w14:paraId="4A37AE0F" w14:textId="3730E4BB" w:rsidR="009B2D09" w:rsidRPr="00EC326F" w:rsidRDefault="009B2D09" w:rsidP="000D6C29">
            <w:pPr>
              <w:pStyle w:val="TableTextSmall"/>
              <w:keepNext/>
              <w:rPr>
                <w:lang w:eastAsia="en-AU"/>
              </w:rPr>
            </w:pPr>
            <w:r w:rsidRPr="00EC326F">
              <w:rPr>
                <w:noProof/>
                <w:lang w:eastAsia="en-AU"/>
              </w:rPr>
              <w:drawing>
                <wp:inline distT="0" distB="0" distL="0" distR="0" wp14:anchorId="4B845B5A" wp14:editId="24561D51">
                  <wp:extent cx="3371850" cy="2114550"/>
                  <wp:effectExtent l="0" t="0" r="0" b="0"/>
                  <wp:docPr id="3871" name="Picture 3871" descr="This figure is a horizontal bar chart showing the number of people in the Non IS Family class at Jun16 by age for males and females separately. The vertical axis shows age with the data shown ranging from 14 to 95. The horizontal axis shows the number of people ranging from 0 to 80,000. The number of males at each age are shown by the horizontal bars to the left of the vertical axis and the number of females at each age are shown by horizontal bars to the right.&#10;&#10;The chart is based on the 1,554,000 individuals who were in the Non IS Family class at 30 June 2016. &#10;&#10;The chart shows that the people in this class are predominately females aged between 20 and 55. The number of females peaks at approximately 62,000 at age 37 and number of males peaks at approximately 15,000 at the same age.&#10;" title=" 2016 profile of people in Class 7 – Non IS Family (age/gend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71850" cy="2114550"/>
                          </a:xfrm>
                          <a:prstGeom prst="rect">
                            <a:avLst/>
                          </a:prstGeom>
                          <a:noFill/>
                          <a:ln>
                            <a:noFill/>
                          </a:ln>
                        </pic:spPr>
                      </pic:pic>
                    </a:graphicData>
                  </a:graphic>
                </wp:inline>
              </w:drawing>
            </w:r>
          </w:p>
        </w:tc>
        <w:tc>
          <w:tcPr>
            <w:tcW w:w="2376" w:type="dxa"/>
          </w:tcPr>
          <w:p w14:paraId="49D56EA6" w14:textId="2AC7E3B5" w:rsidR="009B2D09" w:rsidRPr="00EC326F" w:rsidRDefault="009B2D09" w:rsidP="005D6CEC">
            <w:pPr>
              <w:pStyle w:val="TableTextSmall"/>
              <w:keepNext/>
              <w:rPr>
                <w:lang w:eastAsia="en-AU"/>
              </w:rPr>
            </w:pPr>
          </w:p>
        </w:tc>
      </w:tr>
    </w:tbl>
    <w:p w14:paraId="2BC528CA" w14:textId="77777777" w:rsidR="009B2D09" w:rsidRPr="00EC326F" w:rsidRDefault="009B2D09" w:rsidP="009B2D09">
      <w:pPr>
        <w:pStyle w:val="PwCNormal"/>
        <w:numPr>
          <w:ilvl w:val="0"/>
          <w:numId w:val="0"/>
        </w:numPr>
      </w:pPr>
      <w:r w:rsidRPr="00EC326F">
        <w:t xml:space="preserve">This class includes some </w:t>
      </w:r>
      <w:r w:rsidR="00397976" w:rsidRPr="00EC326F">
        <w:t xml:space="preserve">men </w:t>
      </w:r>
      <w:r w:rsidRPr="00EC326F">
        <w:t xml:space="preserve">and a much greater number of </w:t>
      </w:r>
      <w:r w:rsidR="00397976" w:rsidRPr="00EC326F">
        <w:rPr>
          <w:snapToGrid/>
          <w:lang w:eastAsia="en-AU"/>
        </w:rPr>
        <w:t>women</w:t>
      </w:r>
      <w:r w:rsidRPr="00EC326F">
        <w:t>. The numbers are concentrated in the age range 20 to 60.</w:t>
      </w:r>
    </w:p>
    <w:p w14:paraId="45BAA653" w14:textId="77777777" w:rsidR="009B2D09" w:rsidRPr="00EC326F" w:rsidRDefault="009B2D09" w:rsidP="009B2D09">
      <w:pPr>
        <w:pStyle w:val="Minorheading"/>
      </w:pPr>
      <w:r w:rsidRPr="00EC326F">
        <w:t>Movements into this class</w:t>
      </w:r>
    </w:p>
    <w:p w14:paraId="248B88EF" w14:textId="77777777" w:rsidR="009B2D09" w:rsidRPr="00EC326F" w:rsidRDefault="009B2D09" w:rsidP="009B2D09">
      <w:pPr>
        <w:pStyle w:val="PwCNormal"/>
        <w:numPr>
          <w:ilvl w:val="0"/>
          <w:numId w:val="1"/>
        </w:numPr>
      </w:pPr>
      <w:r w:rsidRPr="00EC326F">
        <w:t xml:space="preserve">Over the last 3 years, an average of 298,600 people (around 19% of the people in this class) per annum enter this class from another welfare class (note that due to the lagged definition, it is not possible to transition directly into this class from outside the welfare system). The following charts show the breakdown of this by age, gender and previous class. </w:t>
      </w:r>
    </w:p>
    <w:p w14:paraId="1810F6F1" w14:textId="77777777" w:rsidR="009B2D09" w:rsidRDefault="009B2D09" w:rsidP="00733D32">
      <w:pPr>
        <w:pStyle w:val="Caption"/>
      </w:pPr>
      <w:r w:rsidRPr="00EC326F">
        <w:lastRenderedPageBreak/>
        <w:t xml:space="preserve">Figure </w:t>
      </w:r>
      <w:fldSimple w:instr=" SEQ Figure \* ARABIC ">
        <w:r w:rsidR="007A42DF">
          <w:rPr>
            <w:noProof/>
          </w:rPr>
          <w:t>66</w:t>
        </w:r>
      </w:fldSimple>
      <w:r w:rsidRPr="00EC326F">
        <w:t>: Number of people entering Class 7 – Non IS Family (annual average over last 3 years)</w:t>
      </w:r>
    </w:p>
    <w:tbl>
      <w:tblPr>
        <w:tblW w:w="4922" w:type="pct"/>
        <w:tblLayout w:type="fixed"/>
        <w:tblLook w:val="04A0" w:firstRow="1" w:lastRow="0" w:firstColumn="1" w:lastColumn="0" w:noHBand="0" w:noVBand="1"/>
        <w:tblCaption w:val=" Number of people entering Class 7 – Non IS Family (annual average over last 3 years)"/>
        <w:tblDescription w:val="This text box contains two charts and a legend."/>
      </w:tblPr>
      <w:tblGrid>
        <w:gridCol w:w="4962"/>
        <w:gridCol w:w="4962"/>
      </w:tblGrid>
      <w:tr w:rsidR="009B2D09" w:rsidRPr="00EC326F" w14:paraId="3AE97DE6" w14:textId="333A9E49" w:rsidTr="001B43B4">
        <w:trPr>
          <w:tblHeader/>
        </w:trPr>
        <w:tc>
          <w:tcPr>
            <w:tcW w:w="4962" w:type="dxa"/>
          </w:tcPr>
          <w:p w14:paraId="5DDE4547" w14:textId="52209866" w:rsidR="009B2D09" w:rsidRPr="00EC326F" w:rsidRDefault="00716FF0" w:rsidP="00733D32">
            <w:pPr>
              <w:pStyle w:val="TableTextSmall"/>
              <w:keepNext/>
              <w:keepLines/>
              <w:jc w:val="center"/>
              <w:rPr>
                <w:b/>
                <w:i/>
              </w:rPr>
            </w:pPr>
            <w:r>
              <w:rPr>
                <w:b/>
                <w:i/>
              </w:rPr>
              <w:t>M</w:t>
            </w:r>
            <w:r w:rsidR="009B2D09" w:rsidRPr="00EC326F">
              <w:rPr>
                <w:b/>
                <w:i/>
              </w:rPr>
              <w:t>ales</w:t>
            </w:r>
          </w:p>
        </w:tc>
        <w:tc>
          <w:tcPr>
            <w:tcW w:w="4962" w:type="dxa"/>
          </w:tcPr>
          <w:p w14:paraId="3314AACE" w14:textId="0F11A6D9" w:rsidR="009B2D09" w:rsidRPr="00EC326F" w:rsidRDefault="009B2D09" w:rsidP="00733D32">
            <w:pPr>
              <w:pStyle w:val="TableTextSmall"/>
              <w:keepNext/>
              <w:keepLines/>
              <w:jc w:val="center"/>
              <w:rPr>
                <w:b/>
                <w:i/>
              </w:rPr>
            </w:pPr>
            <w:r w:rsidRPr="00EC326F">
              <w:rPr>
                <w:b/>
                <w:i/>
              </w:rPr>
              <w:t>Females</w:t>
            </w:r>
          </w:p>
        </w:tc>
      </w:tr>
      <w:tr w:rsidR="009B2D09" w:rsidRPr="00EC326F" w14:paraId="2AFC41B3" w14:textId="15C0D41B" w:rsidTr="0016127C">
        <w:tc>
          <w:tcPr>
            <w:tcW w:w="4962" w:type="dxa"/>
          </w:tcPr>
          <w:p w14:paraId="2A8FAAF6" w14:textId="6AD72CFC" w:rsidR="009B2D09" w:rsidRPr="00EC326F" w:rsidRDefault="009B2D09" w:rsidP="00733D32">
            <w:pPr>
              <w:pStyle w:val="TableTextSmall"/>
              <w:keepNext/>
              <w:keepLines/>
              <w:rPr>
                <w:lang w:eastAsia="en-AU"/>
              </w:rPr>
            </w:pPr>
            <w:r w:rsidRPr="00EC326F">
              <w:rPr>
                <w:noProof/>
                <w:lang w:eastAsia="en-AU"/>
              </w:rPr>
              <w:drawing>
                <wp:inline distT="0" distB="0" distL="0" distR="0" wp14:anchorId="73EB9512" wp14:editId="231E4645">
                  <wp:extent cx="3009900" cy="1876425"/>
                  <wp:effectExtent l="0" t="0" r="0" b="9525"/>
                  <wp:docPr id="1101" name="Picture 1101" descr="This figure contains two area charts. The vertical axis on both charts displays the cumulative number of entrants into the Non IS Family class, and ranges from 0 to 12,000. For both charts the horizontal axis shows age ranging from 0 to 110. &#10;&#10;The chart on the left shows the average number of male entrants over the period from June 2014 to June 2016, split by class prior to entry.&#10;&#10;Both area charts show the cumulative number of entrants split by class prior to entry to the Non IS Family class; 1 Studying, 2 Working Age, 3 Parents, 4 Carers, 5 Disability Support, 6 Pension Age, 8 Non-IS Carer, 9 Non-IS Other, 10 Previous Welfare Recipient and 12 Rest of the Australian Population.&#10;&#10;For males, the left chart shows that the majority of entrants come from Class 9 Non IS Other. The number of male entrants peaks at age 33, where there are 6,000 entrants.&#10;&#10;Further discussion of the key features shown in the chart can be found in the accompanying text within the report.&#10;" title=" Number of people entering Class 7 – Non IS Family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962" w:type="dxa"/>
          </w:tcPr>
          <w:p w14:paraId="649E6101" w14:textId="5BE5B0E9" w:rsidR="009B2D09" w:rsidRPr="00EC326F" w:rsidRDefault="009B2D09" w:rsidP="00733D32">
            <w:pPr>
              <w:pStyle w:val="TableTextSmall"/>
              <w:keepNext/>
              <w:keepLines/>
              <w:rPr>
                <w:lang w:eastAsia="en-AU"/>
              </w:rPr>
            </w:pPr>
            <w:r w:rsidRPr="00EC326F">
              <w:rPr>
                <w:noProof/>
                <w:lang w:eastAsia="en-AU"/>
              </w:rPr>
              <w:drawing>
                <wp:inline distT="0" distB="0" distL="0" distR="0" wp14:anchorId="5DC98E38" wp14:editId="095D2566">
                  <wp:extent cx="3009900" cy="1876425"/>
                  <wp:effectExtent l="0" t="0" r="0" b="9525"/>
                  <wp:docPr id="1102" name="Picture 1102" descr="The chart on the right shows the average number of female entrants over the period from June 2014 to June 2016, split by class prior to entry. &#10;&#10;The right chart shows that there is also a peak for female entrants at age 33, however there are significantly more female entrants around this age compared to males. There are 12,000 female entrants at the peak at age 33, double the number of male entrants at the same age. The majority of female entrants come from Class 9 Non IS Other, with a small number from Class 3 Parents and Class 2 Working Age.&#10;" title=" Number of people entering Class 7 – Non IS Family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5D3F0AE2" w14:textId="56916CBF" w:rsidR="00733D32" w:rsidRDefault="00733D32" w:rsidP="0081675B">
      <w:pPr>
        <w:pStyle w:val="PwCNormal"/>
        <w:keepNext/>
        <w:keepLines/>
        <w:numPr>
          <w:ilvl w:val="0"/>
          <w:numId w:val="1"/>
        </w:numPr>
        <w:jc w:val="center"/>
      </w:pPr>
      <w:r w:rsidRPr="00EC326F">
        <w:rPr>
          <w:noProof/>
          <w:lang w:eastAsia="en-AU"/>
        </w:rPr>
        <w:drawing>
          <wp:inline distT="0" distB="0" distL="0" distR="0" wp14:anchorId="2405C3C4" wp14:editId="0C33EAA8">
            <wp:extent cx="5385600" cy="468000"/>
            <wp:effectExtent l="0" t="0" r="0" b="8255"/>
            <wp:docPr id="3158" name="Picture 3158" descr="Class key: studying, working age, parents, carers, disability support, pension age, non-income support family, non-income support carer, non-income support other, previous welfare recipient, rest of the Australian population and dead. &#10;" title="Class Key for Fig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64A9D9C8" w14:textId="61486C84" w:rsidR="009B2D09" w:rsidRPr="002A0A1A" w:rsidRDefault="009B2D09" w:rsidP="009B2D09">
      <w:pPr>
        <w:pStyle w:val="PwCNormal"/>
        <w:numPr>
          <w:ilvl w:val="0"/>
          <w:numId w:val="1"/>
        </w:numPr>
      </w:pPr>
      <w:r w:rsidRPr="00EC326F">
        <w:t xml:space="preserve">We can see that people in this class primarily came from class </w:t>
      </w:r>
      <w:r w:rsidR="00FF7EC9">
        <w:t>‘</w:t>
      </w:r>
      <w:r w:rsidRPr="00EC326F">
        <w:t>9 Non IS Other</w:t>
      </w:r>
      <w:r w:rsidR="00FF7EC9">
        <w:t>’</w:t>
      </w:r>
      <w:r w:rsidRPr="00EC326F">
        <w:t>; this is usually around the time they first have children or take on care of children. For women, a proportion also enter from the Working Age and Parents classes; transitions from Parents are likely due to the welfare recipient’s dependent children becoming older than the eligibility age for parenting payments.</w:t>
      </w:r>
    </w:p>
    <w:p w14:paraId="6314AC4A" w14:textId="77777777" w:rsidR="009B2D09" w:rsidRPr="00EC326F" w:rsidRDefault="009B2D09" w:rsidP="009B2D09">
      <w:pPr>
        <w:pStyle w:val="Minorheading"/>
      </w:pPr>
      <w:r w:rsidRPr="00EC326F">
        <w:t>Movements out of this class</w:t>
      </w:r>
    </w:p>
    <w:p w14:paraId="2B227C89" w14:textId="77777777" w:rsidR="009B2D09" w:rsidRPr="00EC326F" w:rsidRDefault="009B2D09" w:rsidP="009B2D09">
      <w:pPr>
        <w:pStyle w:val="PwCNormal"/>
        <w:numPr>
          <w:ilvl w:val="0"/>
          <w:numId w:val="1"/>
        </w:numPr>
      </w:pPr>
      <w:r w:rsidRPr="00EC326F">
        <w:t xml:space="preserve">Over the last 3 years, an average of 287,100 people (19%) per annum have transitioned out of the Non IS Family class. The following charts show the breakdown of this by age, gender and destination class. </w:t>
      </w:r>
    </w:p>
    <w:p w14:paraId="65104B97" w14:textId="77777777" w:rsidR="009B2D09" w:rsidRDefault="009B2D09" w:rsidP="009B2D09">
      <w:pPr>
        <w:pStyle w:val="Caption"/>
      </w:pPr>
      <w:r w:rsidRPr="00EC326F">
        <w:t xml:space="preserve">Figure </w:t>
      </w:r>
      <w:fldSimple w:instr=" SEQ Figure \* ARABIC ">
        <w:r w:rsidR="007A42DF">
          <w:rPr>
            <w:noProof/>
          </w:rPr>
          <w:t>67</w:t>
        </w:r>
      </w:fldSimple>
      <w:r w:rsidRPr="00EC326F">
        <w:t>: Number of people leaving Class 7 – Non IS Family (annual average over last 3 years)</w:t>
      </w:r>
    </w:p>
    <w:tbl>
      <w:tblPr>
        <w:tblW w:w="4922" w:type="pct"/>
        <w:tblLayout w:type="fixed"/>
        <w:tblLook w:val="04A0" w:firstRow="1" w:lastRow="0" w:firstColumn="1" w:lastColumn="0" w:noHBand="0" w:noVBand="1"/>
        <w:tblCaption w:val=" Number of people leaving Class 7 – Non IS Family (annual average over last 3 years)"/>
        <w:tblDescription w:val="This text box contains two charts and a table."/>
      </w:tblPr>
      <w:tblGrid>
        <w:gridCol w:w="4962"/>
        <w:gridCol w:w="4962"/>
      </w:tblGrid>
      <w:tr w:rsidR="009B2D09" w:rsidRPr="00EC326F" w14:paraId="735F0397" w14:textId="288B4AAA" w:rsidTr="001B43B4">
        <w:trPr>
          <w:tblHeader/>
        </w:trPr>
        <w:tc>
          <w:tcPr>
            <w:tcW w:w="4962" w:type="dxa"/>
          </w:tcPr>
          <w:p w14:paraId="3D30C60F" w14:textId="4EB49DBF" w:rsidR="009B2D09" w:rsidRPr="00EC326F" w:rsidRDefault="009B2D09" w:rsidP="000D6C29">
            <w:pPr>
              <w:pStyle w:val="TableTextSmall"/>
              <w:keepNext/>
              <w:jc w:val="center"/>
              <w:rPr>
                <w:b/>
                <w:i/>
              </w:rPr>
            </w:pPr>
            <w:r w:rsidRPr="00EC326F">
              <w:rPr>
                <w:b/>
                <w:i/>
              </w:rPr>
              <w:t>Males</w:t>
            </w:r>
          </w:p>
        </w:tc>
        <w:tc>
          <w:tcPr>
            <w:tcW w:w="4962" w:type="dxa"/>
          </w:tcPr>
          <w:p w14:paraId="132AFE00" w14:textId="6692CB3A" w:rsidR="009B2D09" w:rsidRPr="00EC326F" w:rsidRDefault="009B2D09" w:rsidP="000D6C29">
            <w:pPr>
              <w:pStyle w:val="TableTextSmall"/>
              <w:keepNext/>
              <w:jc w:val="center"/>
              <w:rPr>
                <w:b/>
                <w:i/>
              </w:rPr>
            </w:pPr>
            <w:r w:rsidRPr="00EC326F">
              <w:rPr>
                <w:b/>
                <w:i/>
              </w:rPr>
              <w:t>Females</w:t>
            </w:r>
          </w:p>
        </w:tc>
      </w:tr>
      <w:tr w:rsidR="009B2D09" w:rsidRPr="00EC326F" w14:paraId="5EBE963A" w14:textId="291AD39E" w:rsidTr="0016127C">
        <w:tc>
          <w:tcPr>
            <w:tcW w:w="4962" w:type="dxa"/>
          </w:tcPr>
          <w:p w14:paraId="1F199D89" w14:textId="02BC1708" w:rsidR="009B2D09" w:rsidRPr="00EC326F" w:rsidRDefault="009B2D09" w:rsidP="000D6C29">
            <w:pPr>
              <w:pStyle w:val="TableTextSmall"/>
              <w:keepNext/>
              <w:rPr>
                <w:lang w:eastAsia="en-AU"/>
              </w:rPr>
            </w:pPr>
            <w:r w:rsidRPr="00EC326F">
              <w:rPr>
                <w:noProof/>
                <w:lang w:eastAsia="en-AU"/>
              </w:rPr>
              <w:drawing>
                <wp:inline distT="0" distB="0" distL="0" distR="0" wp14:anchorId="201CDBDC" wp14:editId="1A3212B9">
                  <wp:extent cx="3009900" cy="1876425"/>
                  <wp:effectExtent l="0" t="0" r="0" b="9525"/>
                  <wp:docPr id="1109" name="Picture 1109" descr="This figure contains two area charts showing the cumulative number of exits from the Non IS Family class by age. The age profile of male and female exits is shown separately. For both charts the horizontal axis shows age at the start of the year ranging from 0 to 110 and the vertical axis shows the cumulative number of people exiting ranging from 0 to 10,000.&#10;&#10;The left hand chart shows the average number of males exiting the class over the period from June 2014 to June 2016, by age.&#10;&#10;Both area charts show the cumulative number of people who exited the Non IS Family class split by class they subsequently transition to. These classes include; 1 Studying, 2 Working Age, 3 Parents, 4 Carers, 5 Disability Support, 6 Pension Age, 8 Non-IS Carer, 9 Non-IS Other, 10 Previous Welfare Recipient, 11 Dead and 12 Rest of the Australian Population.&#10;&#10;The left chart shows the majority of males who exit move into Class 10 Previous Welfare Recipient. The number of male exits rises steadily before reaching a peak of 3,500 at age 36. After age 36, the number of exits decreases with age until age 67 when there are less than 100 exits.&#10;&#10;Further discussion of the key features shown in the chart can be found in the accompanying text within the report.&#10;" title=" Number of people leaving Class 7 – Non IS Family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962" w:type="dxa"/>
          </w:tcPr>
          <w:p w14:paraId="34BD56FA" w14:textId="04CC3506" w:rsidR="009B2D09" w:rsidRPr="00EC326F" w:rsidRDefault="009B2D09" w:rsidP="000D6C29">
            <w:pPr>
              <w:pStyle w:val="TableTextSmall"/>
              <w:keepNext/>
              <w:rPr>
                <w:lang w:eastAsia="en-AU"/>
              </w:rPr>
            </w:pPr>
            <w:r w:rsidRPr="00EC326F">
              <w:rPr>
                <w:noProof/>
                <w:lang w:eastAsia="en-AU"/>
              </w:rPr>
              <w:drawing>
                <wp:inline distT="0" distB="0" distL="0" distR="0" wp14:anchorId="2C9CDF05" wp14:editId="0E051016">
                  <wp:extent cx="3009900" cy="1876425"/>
                  <wp:effectExtent l="0" t="0" r="0" b="9525"/>
                  <wp:docPr id="1118" name="Picture 1118" descr="The right hand chart shows the average number of females exiting the class over the period from June 2014 to June 2016, by age.&#10;&#10;The right chart shows the majority of females who exit move into Class 10 Previous Welfare Recipient, with a smaller amount moving into Class 9 Non IS Other, Class 3 Parents or Class 2 Working Age. The number of female exits rises at a greater rate than male exits for all ages, reaching a peak of 10,000 female exits at age 43. After age 43, the number of exits decreases with age until age 66 when there are less than 100 exits.&#10;" title=" Number of people leaving Class 7 – Non IS Family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7D94D954" w14:textId="5262583C" w:rsidR="00733D32" w:rsidRDefault="00733D32" w:rsidP="0081675B">
      <w:pPr>
        <w:pStyle w:val="PwCNormal"/>
        <w:numPr>
          <w:ilvl w:val="0"/>
          <w:numId w:val="1"/>
        </w:numPr>
        <w:jc w:val="center"/>
      </w:pPr>
      <w:r w:rsidRPr="00EC326F">
        <w:rPr>
          <w:noProof/>
          <w:lang w:eastAsia="en-AU"/>
        </w:rPr>
        <w:drawing>
          <wp:inline distT="0" distB="0" distL="0" distR="0" wp14:anchorId="21DFE538" wp14:editId="25694CA5">
            <wp:extent cx="5385600" cy="468000"/>
            <wp:effectExtent l="0" t="0" r="0" b="8255"/>
            <wp:docPr id="410" name="Picture 410" descr="Class key: studying, working age, parents, carers, disability support, pension age, non-income support family, non-income support carer, non-income support other, previous welfare recipient, rest of the Australian population and dead. &#10;" title="Class Key for Fig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5DC0B161" w14:textId="77777777" w:rsidR="009B2D09" w:rsidRPr="002A0A1A" w:rsidRDefault="009B2D09" w:rsidP="009B2D09">
      <w:pPr>
        <w:pStyle w:val="PwCNormal"/>
        <w:numPr>
          <w:ilvl w:val="0"/>
          <w:numId w:val="1"/>
        </w:numPr>
      </w:pPr>
      <w:r w:rsidRPr="00EC326F">
        <w:t xml:space="preserve">People in this class are relatively mobile, with people typically entering for a number of years and then exiting. Most people leaving this class will also cease to receive any other welfare payments. People often exit this class as their children grow up and </w:t>
      </w:r>
      <w:r w:rsidR="00121828" w:rsidRPr="00EC326F">
        <w:t xml:space="preserve">no longer fulfil the FTB eligibility requirements or </w:t>
      </w:r>
      <w:r w:rsidRPr="00EC326F">
        <w:t>leave the household.</w:t>
      </w:r>
    </w:p>
    <w:p w14:paraId="4461BDF0" w14:textId="77777777" w:rsidR="009B2D09" w:rsidRPr="00EC326F" w:rsidRDefault="009B2D09" w:rsidP="009B2D09">
      <w:pPr>
        <w:pStyle w:val="Minorheading"/>
      </w:pPr>
      <w:r w:rsidRPr="00EC326F">
        <w:lastRenderedPageBreak/>
        <w:t>Payments received</w:t>
      </w:r>
    </w:p>
    <w:p w14:paraId="74C08902" w14:textId="77777777" w:rsidR="009B2D09" w:rsidRPr="00EC326F" w:rsidRDefault="009B2D09" w:rsidP="00716FF0">
      <w:pPr>
        <w:pStyle w:val="PwCNormal-keepwithnext"/>
      </w:pPr>
      <w:r w:rsidRPr="00EC326F">
        <w:t>During 2015/16, people in this class received a total of $8.5 billion. This is 7.</w:t>
      </w:r>
      <w:r w:rsidR="00121828" w:rsidRPr="00EC326F">
        <w:t>6</w:t>
      </w:r>
      <w:r w:rsidRPr="00EC326F">
        <w:t>% of the total payments made in 2015/16. The charts below show the average amount paid in a year to each person in this class.</w:t>
      </w:r>
    </w:p>
    <w:p w14:paraId="1955165A" w14:textId="77777777" w:rsidR="009B2D09" w:rsidRPr="00EC326F" w:rsidRDefault="009B2D09" w:rsidP="009B2D09">
      <w:pPr>
        <w:pStyle w:val="Caption"/>
      </w:pPr>
      <w:r w:rsidRPr="00EC326F">
        <w:t xml:space="preserve">Figure </w:t>
      </w:r>
      <w:fldSimple w:instr=" SEQ Figure \* ARABIC ">
        <w:r w:rsidR="007A42DF">
          <w:rPr>
            <w:noProof/>
          </w:rPr>
          <w:t>68</w:t>
        </w:r>
      </w:fldSimple>
      <w:r w:rsidRPr="00EC326F">
        <w:t>: Average payments per person in Class 7 – Non IS Family</w:t>
      </w:r>
      <w:r w:rsidR="00321A6F" w:rsidRPr="00EC326F">
        <w:t xml:space="preserve"> (restated to 2015/16 $ values)</w:t>
      </w:r>
    </w:p>
    <w:p w14:paraId="704741A6" w14:textId="4783598B" w:rsidR="009B2D09" w:rsidRPr="00EC326F" w:rsidRDefault="009B2D09" w:rsidP="009B2D09">
      <w:pPr>
        <w:pStyle w:val="PwCNormal"/>
        <w:numPr>
          <w:ilvl w:val="0"/>
          <w:numId w:val="1"/>
        </w:numPr>
      </w:pPr>
      <w:r w:rsidRPr="00EC326F">
        <w:rPr>
          <w:noProof/>
          <w:lang w:eastAsia="en-AU"/>
        </w:rPr>
        <w:drawing>
          <wp:inline distT="0" distB="0" distL="0" distR="0" wp14:anchorId="69BBFEE8" wp14:editId="3D65A53E">
            <wp:extent cx="5716800" cy="2001192"/>
            <wp:effectExtent l="0" t="0" r="0" b="0"/>
            <wp:docPr id="3900" name="Picture 3900" descr="This figure is a stacked column chart. The vertical axis displays the average payment per person in the Non IS Family Class, ranging from $0 to $10,000.&#10;&#10;The horizontal axis is split into two sections; the first for males and the second for females. Each section is further split to show the last five financial years; 2012, 2013, 2014, 2015 and 2016.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7 was: $7,700 for 2012; $7,900 for 2013; $7,300 for 2014; $6,500 for 2015; and $4,600 for 2016.&#10;&#10;For females the approximate average payment per person in Class 7 was: $8,800 for 2012; $8,800 for 2013; $8,900 for 2014; $9,000 for 2015; and $5,700 for 2016.&#10;&#10;The majority of payments for both males and females were from the Other – FTB and Other – Family categories.&#10;&#10;The key features of this chart are described in the accompanying text within the report.&#10;" title=" Average payments per person in Class 7 – Non IS Family (restated to 2015/16 $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16800" cy="2001192"/>
                    </a:xfrm>
                    <a:prstGeom prst="rect">
                      <a:avLst/>
                    </a:prstGeom>
                    <a:noFill/>
                    <a:ln>
                      <a:noFill/>
                    </a:ln>
                  </pic:spPr>
                </pic:pic>
              </a:graphicData>
            </a:graphic>
          </wp:inline>
        </w:drawing>
      </w:r>
    </w:p>
    <w:p w14:paraId="78AE7E07" w14:textId="77777777" w:rsidR="009B2D09" w:rsidRPr="000747FE" w:rsidRDefault="009B2D09" w:rsidP="009B2D09">
      <w:pPr>
        <w:pStyle w:val="PwCNormal"/>
        <w:numPr>
          <w:ilvl w:val="0"/>
          <w:numId w:val="0"/>
        </w:numPr>
        <w:ind w:firstLine="720"/>
      </w:pPr>
      <w:r w:rsidRPr="00EC326F">
        <w:rPr>
          <w:noProof/>
          <w:lang w:eastAsia="en-AU"/>
        </w:rPr>
        <w:drawing>
          <wp:inline distT="0" distB="0" distL="0" distR="0" wp14:anchorId="612865F2" wp14:editId="26AFBD64">
            <wp:extent cx="4860000" cy="467785"/>
            <wp:effectExtent l="0" t="0" r="0" b="8890"/>
            <wp:docPr id="3899" name="Picture 3899"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5925D524" w14:textId="77777777" w:rsidR="009B2D09" w:rsidRPr="00EC326F" w:rsidRDefault="009B2D09" w:rsidP="009B2D09">
      <w:pPr>
        <w:pStyle w:val="PwCNormal"/>
        <w:numPr>
          <w:ilvl w:val="0"/>
          <w:numId w:val="1"/>
        </w:numPr>
      </w:pPr>
      <w:r w:rsidRPr="00EC326F">
        <w:t>As shown in the chart above, the average amount per person for 2015/16 is significantly lower than prior years. This is due to the latest year being understated, as it will not fully reflect all FTB and family payments as these can be received as part of an income tax assessment post 30 June.</w:t>
      </w:r>
    </w:p>
    <w:p w14:paraId="1B6EB6FF" w14:textId="77777777" w:rsidR="009B2D09" w:rsidRPr="00EC326F" w:rsidRDefault="009B2D09" w:rsidP="009B2D09">
      <w:pPr>
        <w:pStyle w:val="PwCNormal"/>
        <w:numPr>
          <w:ilvl w:val="0"/>
          <w:numId w:val="0"/>
        </w:numPr>
      </w:pPr>
      <w:r w:rsidRPr="00EC326F">
        <w:t>The average payment made in 2014/15 (noting the understating of 2015/16) was $8,500 with higher average payments being made to women ($9,000) than men ($6,500)</w:t>
      </w:r>
      <w:r w:rsidR="00121828" w:rsidRPr="00EC326F">
        <w:t xml:space="preserve"> partly</w:t>
      </w:r>
      <w:r w:rsidRPr="00EC326F">
        <w:t xml:space="preserve"> as a result of them being more likely to also be claiming New Parents allowance. This average amount per person is much lower than that for people in the income support classes.</w:t>
      </w:r>
    </w:p>
    <w:p w14:paraId="016F2437" w14:textId="77777777" w:rsidR="009B2D09" w:rsidRPr="00EC326F" w:rsidRDefault="009B2D09" w:rsidP="009B2D09">
      <w:pPr>
        <w:pStyle w:val="Heading4"/>
      </w:pPr>
      <w:r w:rsidRPr="00EC326F">
        <w:t>What have we taken into account in fitting assumptions?</w:t>
      </w:r>
    </w:p>
    <w:p w14:paraId="1FCD01B6" w14:textId="77777777" w:rsidR="009B2D09" w:rsidRPr="00EC326F" w:rsidRDefault="009B2D09" w:rsidP="009B2D09">
      <w:pPr>
        <w:pStyle w:val="PwCNormal"/>
        <w:numPr>
          <w:ilvl w:val="0"/>
          <w:numId w:val="1"/>
        </w:numPr>
      </w:pPr>
      <w:r w:rsidRPr="00EC326F">
        <w:t>We have adopted class movement, utilisation and payment assumptions through consideration of the risk factors that influence the experience.</w:t>
      </w:r>
    </w:p>
    <w:p w14:paraId="16C771A5" w14:textId="77777777" w:rsidR="009B2D09" w:rsidRPr="00EC326F" w:rsidRDefault="009B2D09" w:rsidP="009B2D09">
      <w:pPr>
        <w:pStyle w:val="Minorheading"/>
      </w:pPr>
      <w:r w:rsidRPr="00EC326F">
        <w:t>Class movement assumptions</w:t>
      </w:r>
    </w:p>
    <w:p w14:paraId="7C5F93B4" w14:textId="77777777" w:rsidR="009B2D09" w:rsidRPr="002A0A1A" w:rsidRDefault="009B2D09" w:rsidP="009B2D09">
      <w:pPr>
        <w:pStyle w:val="PwCNormal"/>
        <w:numPr>
          <w:ilvl w:val="0"/>
          <w:numId w:val="1"/>
        </w:numPr>
      </w:pPr>
      <w:r w:rsidRPr="00EC326F">
        <w:t xml:space="preserve">In undertaking the analysis to develop the class movement assumptions we noted that there have been many policy changes over recent years, with eligibility criteria tightened for both FTB A and FTB B. Offsetting these, FTB A payments increased for young dependants undertaking full time study, making it more financially beneficial than Youth Allowance. Altogether, these made entries into and exits out of Non-IS Family quite volatile in the past. </w:t>
      </w:r>
      <w:r w:rsidR="00782413" w:rsidRPr="00EC326F">
        <w:t>However, i</w:t>
      </w:r>
      <w:r w:rsidRPr="00EC326F">
        <w:t>n the latest two years, the class movement rates appear to be beginning to stabilise, and therefore we have generally based assumptions on the latest two years of experience.</w:t>
      </w:r>
    </w:p>
    <w:p w14:paraId="79B250E4" w14:textId="77777777" w:rsidR="009B2D09" w:rsidRPr="002A0A1A" w:rsidRDefault="009B2D09" w:rsidP="009B2D09">
      <w:pPr>
        <w:pStyle w:val="PwCNormal"/>
        <w:numPr>
          <w:ilvl w:val="0"/>
          <w:numId w:val="1"/>
        </w:numPr>
      </w:pPr>
      <w:r w:rsidRPr="00EC326F">
        <w:t>At this valuation, we have further refined the model for class transitions to consider risk factors such as partnering status, number and ages of children, and detail of other payment types and supplements previously received.</w:t>
      </w:r>
    </w:p>
    <w:p w14:paraId="48D64406" w14:textId="6AE11838" w:rsidR="00C40E32" w:rsidRPr="00EC326F" w:rsidRDefault="00121828" w:rsidP="009B2D09">
      <w:pPr>
        <w:pStyle w:val="PwCNormal"/>
        <w:numPr>
          <w:ilvl w:val="0"/>
          <w:numId w:val="1"/>
        </w:numPr>
      </w:pPr>
      <w:r w:rsidRPr="00EC326F">
        <w:t>Owing</w:t>
      </w:r>
      <w:r w:rsidR="00C40E32" w:rsidRPr="00EC326F">
        <w:t xml:space="preserve"> to the lagged definition of this class, it is not possible for someone who received FTB, family or new parent payments in the previous year to transition to Non IS Other or exit the system. </w:t>
      </w:r>
      <w:r w:rsidR="00EA3E90" w:rsidRPr="00EC326F">
        <w:t xml:space="preserve">While these people could move to an income support class, we found that they </w:t>
      </w:r>
      <w:r w:rsidR="00C40E32" w:rsidRPr="00EC326F">
        <w:t>are most likely going to remain in this class (around 96% of them remain from year to year).</w:t>
      </w:r>
      <w:r w:rsidR="00EA3E90" w:rsidRPr="00EC326F">
        <w:t xml:space="preserve"> </w:t>
      </w:r>
      <w:r w:rsidRPr="00EC326F">
        <w:t>For this group, t</w:t>
      </w:r>
      <w:r w:rsidR="00EA3E90" w:rsidRPr="00EC326F">
        <w:t>hose who left this class generally moved to the Parents class and were usually less than 30 years old</w:t>
      </w:r>
      <w:r w:rsidR="002848F8" w:rsidRPr="00EC326F">
        <w:t xml:space="preserve">, perhaps reflecting that this is the age group who are most likely to have children </w:t>
      </w:r>
      <w:r w:rsidRPr="00EC326F">
        <w:t>under</w:t>
      </w:r>
      <w:r w:rsidR="002848F8" w:rsidRPr="00EC326F">
        <w:t xml:space="preserve"> the eligibility age</w:t>
      </w:r>
      <w:r w:rsidRPr="00EC326F">
        <w:t xml:space="preserve"> threshold</w:t>
      </w:r>
      <w:r w:rsidR="002848F8" w:rsidRPr="00EC326F">
        <w:t xml:space="preserve"> for parenting payments</w:t>
      </w:r>
      <w:r w:rsidR="00EA3E90" w:rsidRPr="00EC326F">
        <w:t xml:space="preserve">. Those who were single were more likely to </w:t>
      </w:r>
      <w:r w:rsidR="002B2DDD" w:rsidRPr="00EC326F">
        <w:t xml:space="preserve">move to an income support class (as opposed to remain in this class) </w:t>
      </w:r>
      <w:r w:rsidR="00EA3E90" w:rsidRPr="00EC326F">
        <w:t>compared to those who were partnered</w:t>
      </w:r>
      <w:r w:rsidR="002848F8" w:rsidRPr="00EC326F">
        <w:t xml:space="preserve">, perhaps reflecting that </w:t>
      </w:r>
      <w:r w:rsidR="00EA3E90" w:rsidRPr="00EC326F">
        <w:t xml:space="preserve">single people were more likely to </w:t>
      </w:r>
      <w:r w:rsidR="002848F8" w:rsidRPr="00EC326F">
        <w:t>be in financial hardship and hence require income support</w:t>
      </w:r>
      <w:r w:rsidR="00EA3E90" w:rsidRPr="00EC326F">
        <w:t>.</w:t>
      </w:r>
    </w:p>
    <w:p w14:paraId="5EFC6422" w14:textId="77777777" w:rsidR="00EA3E90" w:rsidRPr="002A0A1A" w:rsidRDefault="00EA3E90" w:rsidP="009B2D09">
      <w:pPr>
        <w:pStyle w:val="PwCNormal"/>
        <w:numPr>
          <w:ilvl w:val="0"/>
          <w:numId w:val="1"/>
        </w:numPr>
      </w:pPr>
      <w:r w:rsidRPr="00EC326F">
        <w:lastRenderedPageBreak/>
        <w:t xml:space="preserve">People who did not receive FTB, family or new parent payments in the previous year are not able to remain in this class by definition. </w:t>
      </w:r>
      <w:r w:rsidR="002848F8" w:rsidRPr="00EC326F">
        <w:t>These people mostly exit the system in the following year; those who do not exit are most likely to move to the Non IS Other class. Again, those who were single were more likely to transition into an income support class.</w:t>
      </w:r>
      <w:r w:rsidR="002B2DDD" w:rsidRPr="00EC326F">
        <w:t xml:space="preserve"> People with children were also more likely to remain in the welfare system.</w:t>
      </w:r>
    </w:p>
    <w:p w14:paraId="139A50E9" w14:textId="77777777" w:rsidR="009B2D09" w:rsidRPr="00EC326F" w:rsidRDefault="009B2D09" w:rsidP="009B2D09">
      <w:pPr>
        <w:pStyle w:val="Minorheading"/>
      </w:pPr>
      <w:r w:rsidRPr="00EC326F">
        <w:t>Payment utilisation and size assumptions</w:t>
      </w:r>
    </w:p>
    <w:p w14:paraId="221EA4FB" w14:textId="77777777" w:rsidR="00121828" w:rsidRPr="00EC326F" w:rsidRDefault="00121828" w:rsidP="00121828">
      <w:pPr>
        <w:pStyle w:val="PwCNormal"/>
        <w:numPr>
          <w:ilvl w:val="0"/>
          <w:numId w:val="0"/>
        </w:numPr>
      </w:pPr>
      <w:r w:rsidRPr="00EC326F">
        <w:t xml:space="preserve">For the payment utilisation assumptions, most people receive FTB, family and other general allowances. Around 14% receive rent assistance payments and 10% also receive new parent payments. Very few people receive the remaining payment categories. At this valuation we have developed risk models for the utilisation for each of the abovementioned categories.  </w:t>
      </w:r>
    </w:p>
    <w:p w14:paraId="0CABFCB7" w14:textId="77777777" w:rsidR="00121828" w:rsidRPr="00EC326F" w:rsidRDefault="00121828" w:rsidP="00121828">
      <w:pPr>
        <w:pStyle w:val="PwCNormal"/>
        <w:numPr>
          <w:ilvl w:val="0"/>
          <w:numId w:val="0"/>
        </w:numPr>
      </w:pPr>
      <w:r w:rsidRPr="00EC326F">
        <w:t>In addition to age and gender, the FTB, other family and new parenting utilisation models draw on a range of information including age of youngest child, whether people have children of different ages, partner status, duration in class and previous welfare utilisation. Together these factors reflect information on the household’s eligibility for FTB and whether the individual is likely to be the person claiming on behalf of the household.</w:t>
      </w:r>
    </w:p>
    <w:p w14:paraId="3D0AAF8E" w14:textId="150F1732" w:rsidR="00121828" w:rsidRPr="00EC326F" w:rsidRDefault="00121828" w:rsidP="00121828">
      <w:pPr>
        <w:pStyle w:val="PwCNormal"/>
        <w:numPr>
          <w:ilvl w:val="0"/>
          <w:numId w:val="0"/>
        </w:numPr>
      </w:pPr>
      <w:r w:rsidRPr="00EC326F">
        <w:t xml:space="preserve">The utilisation model for other general allowances is a relatively simple model that takes into account gender and utilisation of FTB payments. In addition to age and gender, the utilisation model for rent assistance considers number and age of children, </w:t>
      </w:r>
      <w:r w:rsidR="00B36672">
        <w:t>I</w:t>
      </w:r>
      <w:r w:rsidRPr="00EC326F">
        <w:t xml:space="preserve">ndigenous status, partner status, education level and previous utilisation of this payment category. </w:t>
      </w:r>
    </w:p>
    <w:p w14:paraId="5DFDA177" w14:textId="77777777" w:rsidR="009B2D09" w:rsidRPr="00EC326F" w:rsidRDefault="00121828" w:rsidP="009B2D09">
      <w:pPr>
        <w:pStyle w:val="PwCNormal"/>
        <w:numPr>
          <w:ilvl w:val="0"/>
          <w:numId w:val="0"/>
        </w:numPr>
      </w:pPr>
      <w:r w:rsidRPr="00EC326F">
        <w:t>FTB (60%) and family payments (30%) comprise the majority of the cost and at this valuation, we have developed risk models for these payment categories. The average sizes for these payments generally decrease from age 40 onwards, likely related to children reaching the maximum eligible age for FTB. The overall average sizes of FTB have increased slightly over time, driven by an increase in the average payment size for FTB A payments. The risk models for FTB and family payments include factors such as number and age of children, partner status and previous welfare utilisation.</w:t>
      </w:r>
    </w:p>
    <w:p w14:paraId="66284BFD" w14:textId="77777777" w:rsidR="009B2D09" w:rsidRPr="00EC326F" w:rsidRDefault="009B2D09" w:rsidP="009B2D09">
      <w:pPr>
        <w:pStyle w:val="Heading4"/>
      </w:pPr>
      <w:r w:rsidRPr="00EC326F">
        <w:t>What does the model show for people currently in the Non IS family class?</w:t>
      </w:r>
    </w:p>
    <w:p w14:paraId="32F8091F" w14:textId="77777777" w:rsidR="009B2D09" w:rsidRPr="00EC326F" w:rsidRDefault="009B2D09" w:rsidP="009B2D09">
      <w:pPr>
        <w:pStyle w:val="Minorheading"/>
      </w:pPr>
      <w:r w:rsidRPr="00EC326F">
        <w:t>Lifetime costs</w:t>
      </w:r>
    </w:p>
    <w:p w14:paraId="7082A66D" w14:textId="7EF989A4" w:rsidR="009B2D09" w:rsidRPr="002A0A1A" w:rsidRDefault="009B2D09" w:rsidP="009B2D09">
      <w:pPr>
        <w:pStyle w:val="PwCNormal"/>
        <w:numPr>
          <w:ilvl w:val="0"/>
          <w:numId w:val="1"/>
        </w:numPr>
      </w:pPr>
      <w:r w:rsidRPr="00EC326F">
        <w:t xml:space="preserve">We estimated the lifetime cost for the people in this class to be </w:t>
      </w:r>
      <w:r w:rsidRPr="00EC326F">
        <w:rPr>
          <w:b/>
        </w:rPr>
        <w:t>$301bn</w:t>
      </w:r>
      <w:r w:rsidRPr="00EC326F">
        <w:t xml:space="preserve"> (or </w:t>
      </w:r>
      <w:r w:rsidRPr="00EC326F">
        <w:rPr>
          <w:b/>
        </w:rPr>
        <w:t>6.7%</w:t>
      </w:r>
      <w:r w:rsidRPr="00EC326F">
        <w:t xml:space="preserve"> of the total lifetime cost). The average lifetime cost for people in this class is </w:t>
      </w:r>
      <w:r w:rsidRPr="00EC326F">
        <w:rPr>
          <w:b/>
        </w:rPr>
        <w:t>$19</w:t>
      </w:r>
      <w:r w:rsidR="0042496C">
        <w:rPr>
          <w:b/>
        </w:rPr>
        <w:t>4</w:t>
      </w:r>
      <w:r w:rsidRPr="00EC326F">
        <w:rPr>
          <w:b/>
        </w:rPr>
        <w:t>,000</w:t>
      </w:r>
      <w:r w:rsidRPr="00EC326F">
        <w:t>, with the lifetime cost being higher for women (</w:t>
      </w:r>
      <w:r w:rsidRPr="00EC326F">
        <w:rPr>
          <w:b/>
        </w:rPr>
        <w:t>$20</w:t>
      </w:r>
      <w:r w:rsidR="004139B5" w:rsidRPr="00EC326F">
        <w:rPr>
          <w:b/>
        </w:rPr>
        <w:t>2</w:t>
      </w:r>
      <w:r w:rsidRPr="00EC326F">
        <w:rPr>
          <w:b/>
        </w:rPr>
        <w:t>,000</w:t>
      </w:r>
      <w:r w:rsidRPr="00EC326F">
        <w:t>) than for men (</w:t>
      </w:r>
      <w:r w:rsidRPr="00EC326F">
        <w:rPr>
          <w:b/>
        </w:rPr>
        <w:t>$1</w:t>
      </w:r>
      <w:r w:rsidR="004139B5" w:rsidRPr="00EC326F">
        <w:rPr>
          <w:b/>
        </w:rPr>
        <w:t>59</w:t>
      </w:r>
      <w:r w:rsidRPr="00EC326F">
        <w:rPr>
          <w:b/>
        </w:rPr>
        <w:t>,000</w:t>
      </w:r>
      <w:r w:rsidRPr="00EC326F">
        <w:t xml:space="preserve">). The variation by age and gender illustrated in the figure below. </w:t>
      </w:r>
    </w:p>
    <w:p w14:paraId="5F379E54" w14:textId="77777777" w:rsidR="009B2D09" w:rsidRPr="00EC326F" w:rsidRDefault="009B2D09" w:rsidP="009B2D09">
      <w:pPr>
        <w:pStyle w:val="Caption"/>
      </w:pPr>
      <w:r w:rsidRPr="00EC326F">
        <w:t xml:space="preserve">Figure </w:t>
      </w:r>
      <w:fldSimple w:instr=" SEQ Figure \* ARABIC ">
        <w:r w:rsidR="007A42DF">
          <w:rPr>
            <w:noProof/>
          </w:rPr>
          <w:t>69</w:t>
        </w:r>
      </w:fldSimple>
      <w:r w:rsidRPr="00EC326F">
        <w:t>: Average lifetime cost by age and gender (Class 7)</w:t>
      </w:r>
    </w:p>
    <w:tbl>
      <w:tblPr>
        <w:tblStyle w:val="Tables-APBase"/>
        <w:tblW w:w="428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Average lifetime cost by age and gender (Class 7)&#10;"/>
        <w:tblDescription w:val="This figure is a horizontal bar chart showing average lifetime cost by age for males and females separately. The vertical axis shows age with the data shown ranging from 19 to 69.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1,554,000 individuals who were in the non income support – family class at 30 June 2016. &#10;&#10;Males aged 20 to 65 have a lifetime cost of about $170,000 for all ages in this range. Average lifetime cost for males after age 65 decreases with age to approximately $105,000 at age 69.&#10;&#10;Females aged 19 to 21 have an average lifetime cost of approximately $395,000. The driver of the difference between the average lifetime cost of males and females is largely the higher expected family components. The average lifetime cost of females decreases with age after age 21 to approximately $180,000 to $220,000 for females aged 40 to 65. &#10;&#10;The features shown in the chart are discussed further in the accompanying text within the report.&#10;"/>
      </w:tblPr>
      <w:tblGrid>
        <w:gridCol w:w="5953"/>
        <w:gridCol w:w="2694"/>
      </w:tblGrid>
      <w:tr w:rsidR="009B2D09" w:rsidRPr="00EC326F" w14:paraId="7A897A58" w14:textId="77777777" w:rsidTr="009C6553">
        <w:trPr>
          <w:tblHeader/>
        </w:trPr>
        <w:tc>
          <w:tcPr>
            <w:tcW w:w="5954" w:type="dxa"/>
          </w:tcPr>
          <w:p w14:paraId="73C1EABB" w14:textId="4622466C" w:rsidR="009B2D09" w:rsidRPr="00EC326F" w:rsidRDefault="00BB1D8F" w:rsidP="000D6C29">
            <w:pPr>
              <w:pStyle w:val="TableTextSmall"/>
              <w:keepNext/>
              <w:rPr>
                <w:lang w:eastAsia="en-AU"/>
              </w:rPr>
            </w:pPr>
            <w:r w:rsidRPr="00BB1D8F">
              <w:rPr>
                <w:noProof/>
                <w:lang w:eastAsia="en-AU"/>
              </w:rPr>
              <w:drawing>
                <wp:inline distT="0" distB="0" distL="0" distR="0" wp14:anchorId="24D5FA75" wp14:editId="0E111F4B">
                  <wp:extent cx="3356412" cy="2160000"/>
                  <wp:effectExtent l="0" t="0" r="0" b="0"/>
                  <wp:docPr id="1065" name="Picture 1" descr="This figure is a horizontal bar chart showing average lifetime cost by age for males and females separately. The vertical axis shows age with the data shown ranging from 19 to 69.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1,554,000 individuals who were in the non income support – family class at 30 June 2016. &#10;&#10;Males aged 20 to 65 have a lifetime cost of about $170,000 for all ages in this range. Average lifetime cost for males after age 65 decreases with age to approximately $105,000 at age 69.&#10;&#10;Females aged 19 to 21 have an average lifetime cost of approximately $395,000. The driver of the difference between the average lifetime cost of males and females is largely the higher expected family components. The average lifetime cost of females decreases with age after age 21 to approximately $180,000 to $220,000 for females aged 40 to 65. &#10;&#10;The features shown in the chart are discussed further in the accompanying text within the report.&#10;" title=" Average lifetime cost by age and gender (Class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1"/>
                          <a:stretch>
                            <a:fillRect/>
                          </a:stretch>
                        </pic:blipFill>
                        <pic:spPr>
                          <a:xfrm>
                            <a:off x="0" y="0"/>
                            <a:ext cx="3356412" cy="2160000"/>
                          </a:xfrm>
                          <a:prstGeom prst="rect">
                            <a:avLst/>
                          </a:prstGeom>
                        </pic:spPr>
                      </pic:pic>
                    </a:graphicData>
                  </a:graphic>
                </wp:inline>
              </w:drawing>
            </w:r>
          </w:p>
        </w:tc>
        <w:tc>
          <w:tcPr>
            <w:tcW w:w="2694" w:type="dxa"/>
          </w:tcPr>
          <w:p w14:paraId="71570F8D" w14:textId="77777777" w:rsidR="009B2D09" w:rsidRPr="00EC326F" w:rsidRDefault="009B2D09" w:rsidP="000D6C29">
            <w:pPr>
              <w:pStyle w:val="TableTextSmall"/>
              <w:keepNext/>
              <w:rPr>
                <w:lang w:eastAsia="en-AU"/>
              </w:rPr>
            </w:pPr>
          </w:p>
          <w:p w14:paraId="33FC8BBC" w14:textId="55DAE70C" w:rsidR="009B2D09" w:rsidRPr="00EC326F" w:rsidRDefault="009B2D09" w:rsidP="000D6C29">
            <w:pPr>
              <w:pStyle w:val="TableTextSmall"/>
              <w:keepNext/>
              <w:rPr>
                <w:lang w:eastAsia="en-AU"/>
              </w:rPr>
            </w:pPr>
            <w:r w:rsidRPr="00EC326F">
              <w:rPr>
                <w:noProof/>
                <w:lang w:eastAsia="en-AU"/>
              </w:rPr>
              <w:drawing>
                <wp:inline distT="0" distB="0" distL="0" distR="0" wp14:anchorId="429CA8F2" wp14:editId="53B8674A">
                  <wp:extent cx="1080000" cy="1608980"/>
                  <wp:effectExtent l="0" t="0" r="0" b="0"/>
                  <wp:docPr id="3902" name="Picture 3902"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0000" cy="1608980"/>
                          </a:xfrm>
                          <a:prstGeom prst="rect">
                            <a:avLst/>
                          </a:prstGeom>
                          <a:noFill/>
                          <a:ln>
                            <a:noFill/>
                          </a:ln>
                        </pic:spPr>
                      </pic:pic>
                    </a:graphicData>
                  </a:graphic>
                </wp:inline>
              </w:drawing>
            </w:r>
          </w:p>
        </w:tc>
      </w:tr>
    </w:tbl>
    <w:p w14:paraId="07277403" w14:textId="77777777" w:rsidR="009B2D09" w:rsidRPr="00EC326F" w:rsidRDefault="009B2D09" w:rsidP="009B2D09">
      <w:pPr>
        <w:pStyle w:val="PwCNormal"/>
        <w:numPr>
          <w:ilvl w:val="0"/>
          <w:numId w:val="0"/>
        </w:numPr>
      </w:pPr>
      <w:r w:rsidRPr="00EC326F">
        <w:t xml:space="preserve">The most substantial part of this average lifetime cost for both genders is for the age pension. </w:t>
      </w:r>
    </w:p>
    <w:p w14:paraId="0F9A5C40" w14:textId="77777777" w:rsidR="009B2D09" w:rsidRPr="00EC326F" w:rsidRDefault="009B2D09" w:rsidP="009B2D09">
      <w:pPr>
        <w:pStyle w:val="PwCNormal"/>
        <w:numPr>
          <w:ilvl w:val="0"/>
          <w:numId w:val="0"/>
        </w:numPr>
      </w:pPr>
      <w:r w:rsidRPr="00EC326F">
        <w:t>For women there are significant contributions from FTB</w:t>
      </w:r>
      <w:r w:rsidR="00121828" w:rsidRPr="00EC326F">
        <w:t xml:space="preserve"> and</w:t>
      </w:r>
      <w:r w:rsidRPr="00EC326F">
        <w:t xml:space="preserve"> family payments. These are especially material for women in their late teens and twenties but then decline as ages increase. For people in their early forties and above, the differences between the costs for men and women are small. </w:t>
      </w:r>
    </w:p>
    <w:p w14:paraId="2FD1CFD4" w14:textId="77777777" w:rsidR="009B2D09" w:rsidRPr="00EC326F" w:rsidRDefault="009B2D09" w:rsidP="009B2D09">
      <w:pPr>
        <w:pStyle w:val="PwCNormal"/>
        <w:numPr>
          <w:ilvl w:val="0"/>
          <w:numId w:val="0"/>
        </w:numPr>
      </w:pPr>
      <w:r w:rsidRPr="00EC326F">
        <w:t>The average lifetime cost pyramid shows a significant change at age 65 with much lower costs for older people:</w:t>
      </w:r>
    </w:p>
    <w:p w14:paraId="1F1EC3EC" w14:textId="77777777" w:rsidR="009B2D09" w:rsidRPr="00EC326F" w:rsidRDefault="009B2D09" w:rsidP="009B2D09">
      <w:pPr>
        <w:pStyle w:val="Bullet1"/>
      </w:pPr>
      <w:r w:rsidRPr="00EC326F">
        <w:lastRenderedPageBreak/>
        <w:t>For people below age 65 - the age pension component of the average lifetime cost is significant as there is a high chance of the people moving onto the age pension as they reach pension age.</w:t>
      </w:r>
    </w:p>
    <w:p w14:paraId="7A4EE848" w14:textId="77777777" w:rsidR="009B2D09" w:rsidRPr="00EC326F" w:rsidRDefault="009B2D09" w:rsidP="009B2D09">
      <w:pPr>
        <w:pStyle w:val="Bullet1"/>
      </w:pPr>
      <w:r w:rsidRPr="00EC326F">
        <w:t xml:space="preserve">For people above age 65 - to be above age 65 and </w:t>
      </w:r>
      <w:r w:rsidR="00121828" w:rsidRPr="00EC326F">
        <w:t xml:space="preserve">still </w:t>
      </w:r>
      <w:r w:rsidRPr="00EC326F">
        <w:t>be in this class they cannot be receiving age pension at present. This means they are far less likely to receive the age pension in future than a typical person in the population and hence have a lower average lifetime cost.</w:t>
      </w:r>
    </w:p>
    <w:p w14:paraId="40321129" w14:textId="369B94D1" w:rsidR="009B2D09" w:rsidRPr="00EC326F" w:rsidRDefault="009B2D09" w:rsidP="009B2D09">
      <w:pPr>
        <w:pStyle w:val="ListContinue"/>
      </w:pPr>
      <w:r w:rsidRPr="00EC326F">
        <w:t xml:space="preserve">For people significantly above age 65 the average lifetime costs reduce year on year as the future lifetime is shorter and the chances of moving into the </w:t>
      </w:r>
      <w:r w:rsidR="005E2656">
        <w:t>A</w:t>
      </w:r>
      <w:r w:rsidRPr="00EC326F">
        <w:t xml:space="preserve">ge </w:t>
      </w:r>
      <w:r w:rsidR="005E2656">
        <w:t>P</w:t>
      </w:r>
      <w:r w:rsidRPr="00EC326F">
        <w:t>ension class at a future point in time are even lower.</w:t>
      </w:r>
    </w:p>
    <w:p w14:paraId="5BC9273D" w14:textId="77777777" w:rsidR="009B2D09" w:rsidRPr="00EC326F" w:rsidRDefault="009B2D09" w:rsidP="009B2D09">
      <w:pPr>
        <w:pStyle w:val="Minorheading"/>
      </w:pPr>
      <w:r w:rsidRPr="00EC326F">
        <w:t>Change in lifetime costs since the baseline valuation</w:t>
      </w:r>
    </w:p>
    <w:p w14:paraId="4EF324BA" w14:textId="77777777" w:rsidR="00D3305D" w:rsidRPr="00EC326F" w:rsidRDefault="00D3305D" w:rsidP="00D3305D">
      <w:pPr>
        <w:pStyle w:val="PwCNormal"/>
        <w:numPr>
          <w:ilvl w:val="0"/>
          <w:numId w:val="0"/>
        </w:numPr>
      </w:pPr>
      <w:r w:rsidRPr="00EC326F">
        <w:t>The lifetime cost for the people in this class of $301bn is a decrease of $41bn compared to the baseline valuation. This was driven by a decrease in the average cost (as opposed to a change in population in this class):</w:t>
      </w:r>
    </w:p>
    <w:p w14:paraId="60D4DE0B" w14:textId="77777777" w:rsidR="00D3305D" w:rsidRPr="00EC326F" w:rsidRDefault="00D3305D" w:rsidP="001A4479">
      <w:pPr>
        <w:pStyle w:val="Bullet1"/>
        <w:numPr>
          <w:ilvl w:val="0"/>
          <w:numId w:val="39"/>
        </w:numPr>
      </w:pPr>
      <w:r w:rsidRPr="00EC326F">
        <w:t xml:space="preserve">The number of people in this class has remained relatively similar (0.5% higher) to the previous valuation, with expected exits from the class being offset by higher entries than expected. </w:t>
      </w:r>
    </w:p>
    <w:p w14:paraId="61572A1B" w14:textId="2BF4822A" w:rsidR="00D3305D" w:rsidRPr="00EC326F" w:rsidRDefault="00D3305D" w:rsidP="001A4479">
      <w:pPr>
        <w:pStyle w:val="Bullet1"/>
        <w:numPr>
          <w:ilvl w:val="0"/>
          <w:numId w:val="39"/>
        </w:numPr>
      </w:pPr>
      <w:r w:rsidRPr="00EC326F">
        <w:t>The average cost has decreased by $27,000 (12.</w:t>
      </w:r>
      <w:r w:rsidR="007C07DB">
        <w:t>3</w:t>
      </w:r>
      <w:r w:rsidRPr="00EC326F">
        <w:t>%) since the previous valuation. The following table provides a breakdown of the change in average lifetime cost by payment category.</w:t>
      </w:r>
    </w:p>
    <w:p w14:paraId="67F72D0A" w14:textId="77777777" w:rsidR="00D3305D" w:rsidRPr="00EC326F" w:rsidRDefault="00D3305D" w:rsidP="00D3305D">
      <w:pPr>
        <w:pStyle w:val="Caption"/>
      </w:pPr>
      <w:r w:rsidRPr="00EC326F">
        <w:t xml:space="preserve">Table </w:t>
      </w:r>
      <w:fldSimple w:instr=" SEQ Table \* ARABIC ">
        <w:r w:rsidR="007A42DF">
          <w:rPr>
            <w:noProof/>
          </w:rPr>
          <w:t>40</w:t>
        </w:r>
      </w:fldSimple>
      <w:r w:rsidRPr="00EC326F">
        <w:t>: Breakdown of change in average lifetime cost for Class 7 by payment category</w:t>
      </w:r>
    </w:p>
    <w:tbl>
      <w:tblPr>
        <w:tblStyle w:val="ListTable3-Accent62"/>
        <w:tblW w:w="9498" w:type="dxa"/>
        <w:tblInd w:w="108" w:type="dxa"/>
        <w:tblLayout w:type="fixed"/>
        <w:tblCellMar>
          <w:left w:w="57" w:type="dxa"/>
          <w:right w:w="57" w:type="dxa"/>
        </w:tblCellMar>
        <w:tblLook w:val="04A0" w:firstRow="1" w:lastRow="0" w:firstColumn="1" w:lastColumn="0" w:noHBand="0" w:noVBand="1"/>
        <w:tblCaption w:val=" Breakdown of change in average lifetime cost for Class 7 by payment category&#10;&#10;&#10;"/>
        <w:tblDescription w:val="This table shows the breakdown of the total change in average lifetime cost for Class 7 into; change in population, change in inflation, impact of new economic module, policy changes and other changes. These are shown as rows in the table.&#10;&#10;The changes in lifetime cost are considered by relevant payment categories for Class 7; IS Non Age Pension, IS Age Pension, Non IS Family Supplements and Non IS Other Supplements. These are shown as columns in the table alongside a total change column.&#10;&#10;For Class 7, the Jun 15 Total Lifetime cost is $342bn and the Jun 16 Total Lifetime cost is $301bn. This gives a change in total lifetime cost of -$41bn, an 11.9% decrease. A 0.5% increase is due to population changes and the remaining change is driven by changes in average lifetime cost. The average cost has decreased by $27,000 (12.4%) since the previous valuation. Less than $1,000 of this change is attributable to changes in inflation, approximately -$7,000 of this change is due to the impact of the economics module and -$2,000 comes from policy changes. A reduction in lifetime cost of $19,000 driven by other changes was the main driver of the total change.&#10;&#10;The average lifetime cost of clients in the IS Non Age Pension payment categories has decreased by approximately $15,000. Inflation and policy changes each contribute less than $1,000 of this change. -$4,000 of the change is driven by the introduction of the new economics module and the remaining -$12,000 is due to other changes.&#10;&#10;The average lifetime cost of clients in the IS Age Pension payment category has decreased by approximately $3,000. The economics module reduced the average lifetime cost by $2,000, other changes had an additional $1,000 decrease and inflation and policy changes have each driven a change of less than $1,000.&#10;&#10;The average lifetime cost of clients in the Non IS Family Supplements payment categories (H,I,J) has decreased by approximately $4,000. This was primarily caused by other changes and policy changes (-$2,000). Changes due to inflation and the economics module were less than $1,000 each.&#10;&#10;The average lifetime cost of clients in the Non IS Other Supplements payment categories has decreased by approximately $5,000. The changes due to the economics module, policy changes and inflation were less than $1,000 each whilst other changes contributed -$4,000.&#10;"/>
      </w:tblPr>
      <w:tblGrid>
        <w:gridCol w:w="3119"/>
        <w:gridCol w:w="1276"/>
        <w:gridCol w:w="1240"/>
        <w:gridCol w:w="1240"/>
        <w:gridCol w:w="1311"/>
        <w:gridCol w:w="1312"/>
      </w:tblGrid>
      <w:tr w:rsidR="007A6FF5" w:rsidRPr="00EC326F" w14:paraId="13E062F3" w14:textId="77777777" w:rsidTr="0008704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1087D3AB" w14:textId="77777777" w:rsidR="007A6FF5" w:rsidRPr="00EC326F" w:rsidRDefault="007A6FF5" w:rsidP="003114C1">
            <w:pPr>
              <w:pStyle w:val="TableTextSmall"/>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45D00456" w14:textId="77777777" w:rsidR="007A6FF5" w:rsidRPr="00EC326F" w:rsidRDefault="007A6FF5"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bottom w:val="single" w:sz="4" w:space="0" w:color="FFFFFF" w:themeColor="background1"/>
              <w:right w:val="nil"/>
            </w:tcBorders>
          </w:tcPr>
          <w:p w14:paraId="519C6DF1" w14:textId="5E32526F" w:rsidR="007A6FF5" w:rsidRPr="00EC326F" w:rsidRDefault="007A6FF5" w:rsidP="007A6FF5">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bCs w:val="0"/>
                <w:color w:val="FFFFFF" w:themeColor="background1"/>
              </w:rPr>
              <w:t>Income</w:t>
            </w:r>
          </w:p>
        </w:tc>
        <w:tc>
          <w:tcPr>
            <w:tcW w:w="1240" w:type="dxa"/>
            <w:tcBorders>
              <w:left w:val="nil"/>
              <w:bottom w:val="single" w:sz="4" w:space="0" w:color="FFFFFF" w:themeColor="background1"/>
              <w:right w:val="single" w:sz="4" w:space="0" w:color="FFFFFF" w:themeColor="background1"/>
            </w:tcBorders>
          </w:tcPr>
          <w:p w14:paraId="58434071" w14:textId="2C0689E8" w:rsidR="007A6FF5" w:rsidRPr="00EC326F" w:rsidRDefault="007A6FF5" w:rsidP="007A6FF5">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bCs w:val="0"/>
                <w:color w:val="FFFFFF" w:themeColor="background1"/>
              </w:rPr>
              <w:t>Support</w:t>
            </w:r>
          </w:p>
        </w:tc>
        <w:tc>
          <w:tcPr>
            <w:tcW w:w="1311" w:type="dxa"/>
            <w:tcBorders>
              <w:left w:val="single" w:sz="4" w:space="0" w:color="FFFFFF" w:themeColor="background1"/>
            </w:tcBorders>
          </w:tcPr>
          <w:p w14:paraId="1F61D4F3" w14:textId="1FC1C4FC" w:rsidR="007A6FF5" w:rsidRPr="00EC326F" w:rsidRDefault="007A6FF5" w:rsidP="007A6FF5">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color w:val="FFFFFF" w:themeColor="background1"/>
              </w:rPr>
              <w:t>Non-Incom</w:t>
            </w:r>
            <w:r w:rsidR="00B44F46">
              <w:rPr>
                <w:rFonts w:asciiTheme="majorHAnsi" w:hAnsiTheme="majorHAnsi"/>
                <w:color w:val="FFFFFF" w:themeColor="background1"/>
              </w:rPr>
              <w:t>e</w:t>
            </w:r>
          </w:p>
        </w:tc>
        <w:tc>
          <w:tcPr>
            <w:tcW w:w="1312" w:type="dxa"/>
            <w:tcBorders>
              <w:bottom w:val="single" w:sz="4" w:space="0" w:color="FFFFFF" w:themeColor="background1"/>
            </w:tcBorders>
          </w:tcPr>
          <w:p w14:paraId="270C09CA" w14:textId="5A50CCD0" w:rsidR="007A6FF5" w:rsidRPr="00EC326F" w:rsidRDefault="007A6FF5" w:rsidP="007A6FF5">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Support</w:t>
            </w:r>
          </w:p>
        </w:tc>
      </w:tr>
      <w:tr w:rsidR="00D3305D" w:rsidRPr="00EC326F" w14:paraId="7BBB8163" w14:textId="77777777" w:rsidTr="0008704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2240D294" w14:textId="77777777" w:rsidR="00D3305D" w:rsidRPr="00EC326F" w:rsidRDefault="00D3305D" w:rsidP="003114C1">
            <w:pPr>
              <w:pStyle w:val="TableTextSmall"/>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2BDB4A7D"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16C56545"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2DCAC2F6"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311" w:type="dxa"/>
            <w:tcBorders>
              <w:top w:val="single" w:sz="4" w:space="0" w:color="FFFFFF" w:themeColor="background1"/>
              <w:left w:val="single" w:sz="4" w:space="0" w:color="FFFFFF" w:themeColor="background1"/>
              <w:bottom w:val="single" w:sz="4" w:space="0" w:color="E0301E" w:themeColor="accent6"/>
            </w:tcBorders>
          </w:tcPr>
          <w:p w14:paraId="56A6285D"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312" w:type="dxa"/>
            <w:tcBorders>
              <w:bottom w:val="single" w:sz="4" w:space="0" w:color="E0301E" w:themeColor="accent6"/>
            </w:tcBorders>
          </w:tcPr>
          <w:p w14:paraId="3F675F30"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D3305D" w:rsidRPr="00EC326F" w14:paraId="05FF1946"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635FA1B5" w14:textId="77777777" w:rsidR="00D3305D" w:rsidRPr="00EC326F" w:rsidRDefault="00D3305D" w:rsidP="003114C1">
            <w:pPr>
              <w:pStyle w:val="TableTextSmall"/>
            </w:pPr>
            <w:r w:rsidRPr="00EC326F">
              <w:t>Jun-15 Total Lifetime Cost</w:t>
            </w:r>
          </w:p>
        </w:tc>
        <w:tc>
          <w:tcPr>
            <w:tcW w:w="1276" w:type="dxa"/>
            <w:tcBorders>
              <w:left w:val="single" w:sz="4" w:space="0" w:color="E0301E" w:themeColor="accent6"/>
              <w:bottom w:val="nil"/>
              <w:right w:val="single" w:sz="4" w:space="0" w:color="E0301E" w:themeColor="accent6"/>
            </w:tcBorders>
            <w:vAlign w:val="bottom"/>
          </w:tcPr>
          <w:p w14:paraId="66CB8893"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$342bn</w:t>
            </w:r>
          </w:p>
        </w:tc>
        <w:tc>
          <w:tcPr>
            <w:tcW w:w="1240" w:type="dxa"/>
            <w:tcBorders>
              <w:left w:val="single" w:sz="4" w:space="0" w:color="E0301E" w:themeColor="accent6"/>
              <w:bottom w:val="nil"/>
            </w:tcBorders>
            <w:shd w:val="clear" w:color="auto" w:fill="D9D9D9" w:themeFill="background1" w:themeFillShade="D9"/>
            <w:vAlign w:val="bottom"/>
          </w:tcPr>
          <w:p w14:paraId="294357DB"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40" w:type="dxa"/>
            <w:tcBorders>
              <w:bottom w:val="nil"/>
              <w:right w:val="nil"/>
            </w:tcBorders>
            <w:shd w:val="clear" w:color="auto" w:fill="D9D9D9" w:themeFill="background1" w:themeFillShade="D9"/>
            <w:vAlign w:val="bottom"/>
          </w:tcPr>
          <w:p w14:paraId="178E27FB"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1" w:type="dxa"/>
            <w:tcBorders>
              <w:left w:val="nil"/>
              <w:bottom w:val="nil"/>
            </w:tcBorders>
            <w:shd w:val="clear" w:color="auto" w:fill="D9D9D9" w:themeFill="background1" w:themeFillShade="D9"/>
            <w:vAlign w:val="bottom"/>
          </w:tcPr>
          <w:p w14:paraId="43A07D3C"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2" w:type="dxa"/>
            <w:tcBorders>
              <w:bottom w:val="nil"/>
            </w:tcBorders>
            <w:shd w:val="clear" w:color="auto" w:fill="D9D9D9" w:themeFill="background1" w:themeFillShade="D9"/>
            <w:vAlign w:val="bottom"/>
          </w:tcPr>
          <w:p w14:paraId="7EF13159"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r>
      <w:tr w:rsidR="00D3305D" w:rsidRPr="00EC326F" w14:paraId="141B547E"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26794250" w14:textId="77777777" w:rsidR="00D3305D" w:rsidRPr="00EC326F" w:rsidRDefault="00D3305D" w:rsidP="003114C1">
            <w:pPr>
              <w:pStyle w:val="TableTextSmall"/>
            </w:pPr>
            <w:r w:rsidRPr="00EC326F">
              <w:t>Jun-16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vAlign w:val="bottom"/>
          </w:tcPr>
          <w:p w14:paraId="14F1AD2A"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$301bn</w:t>
            </w:r>
          </w:p>
        </w:tc>
        <w:tc>
          <w:tcPr>
            <w:tcW w:w="1240" w:type="dxa"/>
            <w:tcBorders>
              <w:top w:val="nil"/>
              <w:left w:val="single" w:sz="4" w:space="0" w:color="E0301E" w:themeColor="accent6"/>
              <w:bottom w:val="nil"/>
            </w:tcBorders>
            <w:shd w:val="clear" w:color="auto" w:fill="D9D9D9" w:themeFill="background1" w:themeFillShade="D9"/>
            <w:vAlign w:val="bottom"/>
          </w:tcPr>
          <w:p w14:paraId="168CDD48"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3511CF66"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vAlign w:val="bottom"/>
          </w:tcPr>
          <w:p w14:paraId="074E5765"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nil"/>
            </w:tcBorders>
            <w:shd w:val="clear" w:color="auto" w:fill="D9D9D9" w:themeFill="background1" w:themeFillShade="D9"/>
            <w:vAlign w:val="bottom"/>
          </w:tcPr>
          <w:p w14:paraId="637B8146"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r>
      <w:tr w:rsidR="00D3305D" w:rsidRPr="00EC326F" w14:paraId="2FC20E5F"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77851520" w14:textId="77777777" w:rsidR="00D3305D" w:rsidRPr="00EC326F" w:rsidRDefault="00D3305D" w:rsidP="003114C1">
            <w:pPr>
              <w:pStyle w:val="TableTextSmall"/>
            </w:pPr>
            <w:r w:rsidRPr="00EC326F">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vAlign w:val="bottom"/>
          </w:tcPr>
          <w:p w14:paraId="47886509" w14:textId="3328D3C0"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-$41bn (</w:t>
            </w:r>
            <w:r w:rsidR="00512359" w:rsidRPr="00EC326F">
              <w:t>1</w:t>
            </w:r>
            <w:r w:rsidR="00512359">
              <w:t>1</w:t>
            </w:r>
            <w:r w:rsidRPr="00EC326F">
              <w:t>.</w:t>
            </w:r>
            <w:r w:rsidR="00512359">
              <w:t>9</w:t>
            </w:r>
            <w:r w:rsidRPr="00EC326F">
              <w:t>%)</w:t>
            </w:r>
          </w:p>
        </w:tc>
        <w:tc>
          <w:tcPr>
            <w:tcW w:w="1240" w:type="dxa"/>
            <w:tcBorders>
              <w:top w:val="nil"/>
              <w:left w:val="single" w:sz="4" w:space="0" w:color="E0301E" w:themeColor="accent6"/>
              <w:bottom w:val="nil"/>
            </w:tcBorders>
            <w:shd w:val="clear" w:color="auto" w:fill="D9D9D9" w:themeFill="background1" w:themeFillShade="D9"/>
            <w:vAlign w:val="bottom"/>
          </w:tcPr>
          <w:p w14:paraId="5698E036"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41DE5E92"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vAlign w:val="bottom"/>
          </w:tcPr>
          <w:p w14:paraId="0ADED08C"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2" w:type="dxa"/>
            <w:tcBorders>
              <w:top w:val="nil"/>
              <w:bottom w:val="nil"/>
            </w:tcBorders>
            <w:shd w:val="clear" w:color="auto" w:fill="D9D9D9" w:themeFill="background1" w:themeFillShade="D9"/>
            <w:vAlign w:val="bottom"/>
          </w:tcPr>
          <w:p w14:paraId="20F3459B"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r>
      <w:tr w:rsidR="00D3305D" w:rsidRPr="00EC326F" w14:paraId="22FD04CB"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42AE1BCB" w14:textId="77777777" w:rsidR="00D3305D" w:rsidRPr="00EC326F" w:rsidRDefault="00D3305D" w:rsidP="003114C1">
            <w:pPr>
              <w:pStyle w:val="TableTextSmall"/>
            </w:pPr>
            <w:r w:rsidRPr="00EC326F">
              <w:t>Change due to Population</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vAlign w:val="bottom"/>
          </w:tcPr>
          <w:p w14:paraId="2C6D06F3"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+0.5%</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vAlign w:val="bottom"/>
          </w:tcPr>
          <w:p w14:paraId="6DB067B3"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single" w:sz="4" w:space="0" w:color="E0301E" w:themeColor="accent6"/>
              <w:right w:val="nil"/>
            </w:tcBorders>
            <w:shd w:val="clear" w:color="auto" w:fill="D9D9D9" w:themeFill="background1" w:themeFillShade="D9"/>
            <w:vAlign w:val="bottom"/>
          </w:tcPr>
          <w:p w14:paraId="23872C8C"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single" w:sz="4" w:space="0" w:color="E0301E" w:themeColor="accent6"/>
            </w:tcBorders>
            <w:shd w:val="clear" w:color="auto" w:fill="D9D9D9" w:themeFill="background1" w:themeFillShade="D9"/>
            <w:vAlign w:val="bottom"/>
          </w:tcPr>
          <w:p w14:paraId="13C4CDB4"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single" w:sz="4" w:space="0" w:color="E0301E" w:themeColor="accent6"/>
            </w:tcBorders>
            <w:shd w:val="clear" w:color="auto" w:fill="D9D9D9" w:themeFill="background1" w:themeFillShade="D9"/>
            <w:vAlign w:val="bottom"/>
          </w:tcPr>
          <w:p w14:paraId="001439E0"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r>
      <w:tr w:rsidR="00D3305D" w:rsidRPr="00EC326F" w14:paraId="686F2208"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5FAD9EFC" w14:textId="77777777" w:rsidR="00D3305D" w:rsidRPr="00EC326F" w:rsidRDefault="00D3305D" w:rsidP="003114C1">
            <w:pPr>
              <w:pStyle w:val="TableTextSmall"/>
            </w:pPr>
            <w:r w:rsidRPr="00EC326F">
              <w:t>Change due to Average Lifetime Cost</w:t>
            </w:r>
          </w:p>
        </w:tc>
        <w:tc>
          <w:tcPr>
            <w:tcW w:w="1276" w:type="dxa"/>
            <w:tcBorders>
              <w:left w:val="single" w:sz="4" w:space="0" w:color="E0301E" w:themeColor="accent6"/>
              <w:bottom w:val="nil"/>
              <w:right w:val="single" w:sz="4" w:space="0" w:color="E0301E" w:themeColor="accent6"/>
            </w:tcBorders>
            <w:vAlign w:val="bottom"/>
          </w:tcPr>
          <w:p w14:paraId="22B91CB7" w14:textId="40502FF6"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-$27k (12.</w:t>
            </w:r>
            <w:r w:rsidR="00512359">
              <w:t>3</w:t>
            </w:r>
            <w:r w:rsidRPr="00EC326F">
              <w:t>%)</w:t>
            </w:r>
          </w:p>
        </w:tc>
        <w:tc>
          <w:tcPr>
            <w:tcW w:w="1240" w:type="dxa"/>
            <w:tcBorders>
              <w:left w:val="single" w:sz="4" w:space="0" w:color="E0301E" w:themeColor="accent6"/>
              <w:bottom w:val="nil"/>
            </w:tcBorders>
            <w:vAlign w:val="bottom"/>
          </w:tcPr>
          <w:p w14:paraId="328F52ED"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-$15k</w:t>
            </w:r>
          </w:p>
        </w:tc>
        <w:tc>
          <w:tcPr>
            <w:tcW w:w="1240" w:type="dxa"/>
            <w:tcBorders>
              <w:bottom w:val="nil"/>
              <w:right w:val="dashed" w:sz="4" w:space="0" w:color="E0301E" w:themeColor="accent6"/>
            </w:tcBorders>
            <w:vAlign w:val="bottom"/>
          </w:tcPr>
          <w:p w14:paraId="3F6D1BA6"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-$3k</w:t>
            </w:r>
          </w:p>
        </w:tc>
        <w:tc>
          <w:tcPr>
            <w:tcW w:w="1311" w:type="dxa"/>
            <w:tcBorders>
              <w:left w:val="dashed" w:sz="4" w:space="0" w:color="E0301E" w:themeColor="accent6"/>
              <w:bottom w:val="nil"/>
            </w:tcBorders>
            <w:vAlign w:val="bottom"/>
          </w:tcPr>
          <w:p w14:paraId="57CA8911"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-$4k</w:t>
            </w:r>
          </w:p>
        </w:tc>
        <w:tc>
          <w:tcPr>
            <w:tcW w:w="1312" w:type="dxa"/>
            <w:tcBorders>
              <w:bottom w:val="nil"/>
            </w:tcBorders>
            <w:vAlign w:val="bottom"/>
          </w:tcPr>
          <w:p w14:paraId="0FF9423F"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-$5k</w:t>
            </w:r>
          </w:p>
        </w:tc>
      </w:tr>
      <w:tr w:rsidR="00D3305D" w:rsidRPr="00EC326F" w14:paraId="2A38C779"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0A798120" w14:textId="77777777" w:rsidR="00D3305D" w:rsidRPr="00EC326F" w:rsidRDefault="00D3305D" w:rsidP="003114C1">
            <w:pPr>
              <w:pStyle w:val="TableTextSmall"/>
              <w:rPr>
                <w:b w:val="0"/>
              </w:rPr>
            </w:pPr>
            <w:r w:rsidRPr="00EC326F">
              <w:rPr>
                <w:b w:val="0"/>
              </w:rPr>
              <w:t>- Impact of change in inflation</w:t>
            </w:r>
          </w:p>
        </w:tc>
        <w:tc>
          <w:tcPr>
            <w:tcW w:w="1276" w:type="dxa"/>
            <w:tcBorders>
              <w:top w:val="nil"/>
              <w:left w:val="single" w:sz="4" w:space="0" w:color="E0301E" w:themeColor="accent6"/>
              <w:bottom w:val="nil"/>
              <w:right w:val="single" w:sz="4" w:space="0" w:color="E0301E" w:themeColor="accent6"/>
            </w:tcBorders>
            <w:vAlign w:val="bottom"/>
          </w:tcPr>
          <w:p w14:paraId="725B5188"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left w:val="single" w:sz="4" w:space="0" w:color="E0301E" w:themeColor="accent6"/>
              <w:bottom w:val="nil"/>
            </w:tcBorders>
            <w:vAlign w:val="bottom"/>
          </w:tcPr>
          <w:p w14:paraId="3453D55A"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bottom w:val="nil"/>
              <w:right w:val="dashed" w:sz="4" w:space="0" w:color="E0301E" w:themeColor="accent6"/>
            </w:tcBorders>
            <w:vAlign w:val="bottom"/>
          </w:tcPr>
          <w:p w14:paraId="0F2CBCC8"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1" w:type="dxa"/>
            <w:tcBorders>
              <w:top w:val="nil"/>
              <w:left w:val="dashed" w:sz="4" w:space="0" w:color="E0301E" w:themeColor="accent6"/>
              <w:bottom w:val="nil"/>
            </w:tcBorders>
            <w:vAlign w:val="bottom"/>
          </w:tcPr>
          <w:p w14:paraId="42530B64"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06E8C0CA"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2893F376"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5F492860" w14:textId="77777777" w:rsidR="00D3305D" w:rsidRPr="00EC326F" w:rsidRDefault="00D3305D" w:rsidP="00121828">
            <w:pPr>
              <w:pStyle w:val="TableTextSmall"/>
              <w:rPr>
                <w:b w:val="0"/>
              </w:rPr>
            </w:pPr>
            <w:r w:rsidRPr="00EC326F">
              <w:rPr>
                <w:b w:val="0"/>
              </w:rPr>
              <w:t>- Impact of new economic module</w:t>
            </w:r>
          </w:p>
        </w:tc>
        <w:tc>
          <w:tcPr>
            <w:tcW w:w="1276" w:type="dxa"/>
            <w:tcBorders>
              <w:top w:val="nil"/>
              <w:left w:val="single" w:sz="4" w:space="0" w:color="E0301E" w:themeColor="accent6"/>
              <w:bottom w:val="nil"/>
              <w:right w:val="single" w:sz="4" w:space="0" w:color="E0301E" w:themeColor="accent6"/>
            </w:tcBorders>
            <w:vAlign w:val="bottom"/>
          </w:tcPr>
          <w:p w14:paraId="149EC64A"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-$7k</w:t>
            </w:r>
          </w:p>
        </w:tc>
        <w:tc>
          <w:tcPr>
            <w:tcW w:w="1240" w:type="dxa"/>
            <w:tcBorders>
              <w:top w:val="nil"/>
              <w:left w:val="single" w:sz="4" w:space="0" w:color="E0301E" w:themeColor="accent6"/>
              <w:bottom w:val="nil"/>
            </w:tcBorders>
            <w:vAlign w:val="bottom"/>
          </w:tcPr>
          <w:p w14:paraId="2A29CF70"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-$4k</w:t>
            </w:r>
          </w:p>
        </w:tc>
        <w:tc>
          <w:tcPr>
            <w:tcW w:w="1240" w:type="dxa"/>
            <w:tcBorders>
              <w:top w:val="nil"/>
              <w:bottom w:val="nil"/>
              <w:right w:val="dashed" w:sz="4" w:space="0" w:color="E0301E" w:themeColor="accent6"/>
            </w:tcBorders>
            <w:vAlign w:val="bottom"/>
          </w:tcPr>
          <w:p w14:paraId="2107CB43"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c>
          <w:tcPr>
            <w:tcW w:w="1311" w:type="dxa"/>
            <w:tcBorders>
              <w:top w:val="nil"/>
              <w:left w:val="dashed" w:sz="4" w:space="0" w:color="E0301E" w:themeColor="accent6"/>
              <w:bottom w:val="nil"/>
            </w:tcBorders>
            <w:vAlign w:val="bottom"/>
          </w:tcPr>
          <w:p w14:paraId="430D9F6F"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7CAA33D8"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512359" w:rsidRPr="00EC326F" w14:paraId="42C166D5"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61B325A0" w14:textId="3124FE61" w:rsidR="00512359" w:rsidRPr="00EC326F" w:rsidRDefault="00512359" w:rsidP="00512359">
            <w:pPr>
              <w:pStyle w:val="TableTextSmall"/>
              <w:rPr>
                <w:b w:val="0"/>
              </w:rPr>
            </w:pPr>
            <w:r w:rsidRPr="0034129E">
              <w:rPr>
                <w:b w:val="0"/>
              </w:rPr>
              <w:t>- Impact of policy changes</w:t>
            </w:r>
          </w:p>
        </w:tc>
        <w:tc>
          <w:tcPr>
            <w:tcW w:w="1276" w:type="dxa"/>
            <w:tcBorders>
              <w:top w:val="nil"/>
              <w:left w:val="single" w:sz="4" w:space="0" w:color="E0301E" w:themeColor="accent6"/>
              <w:bottom w:val="nil"/>
              <w:right w:val="single" w:sz="4" w:space="0" w:color="E0301E" w:themeColor="accent6"/>
            </w:tcBorders>
            <w:vAlign w:val="bottom"/>
          </w:tcPr>
          <w:p w14:paraId="30B74B7C" w14:textId="56294D26" w:rsidR="00512359" w:rsidRPr="00EC326F" w:rsidRDefault="00512359" w:rsidP="00512359">
            <w:pPr>
              <w:pStyle w:val="TableTextSmall"/>
              <w:jc w:val="center"/>
              <w:cnfStyle w:val="000000000000" w:firstRow="0" w:lastRow="0" w:firstColumn="0" w:lastColumn="0" w:oddVBand="0" w:evenVBand="0" w:oddHBand="0" w:evenHBand="0" w:firstRowFirstColumn="0" w:firstRowLastColumn="0" w:lastRowFirstColumn="0" w:lastRowLastColumn="0"/>
            </w:pPr>
            <w:r>
              <w:t>-$2k</w:t>
            </w:r>
          </w:p>
        </w:tc>
        <w:tc>
          <w:tcPr>
            <w:tcW w:w="1240" w:type="dxa"/>
            <w:tcBorders>
              <w:top w:val="nil"/>
              <w:left w:val="single" w:sz="4" w:space="0" w:color="E0301E" w:themeColor="accent6"/>
              <w:bottom w:val="nil"/>
            </w:tcBorders>
            <w:vAlign w:val="bottom"/>
          </w:tcPr>
          <w:p w14:paraId="02D79E28" w14:textId="5F4CC795"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40" w:type="dxa"/>
            <w:tcBorders>
              <w:top w:val="nil"/>
              <w:bottom w:val="nil"/>
              <w:right w:val="dashed" w:sz="4" w:space="0" w:color="E0301E" w:themeColor="accent6"/>
            </w:tcBorders>
            <w:vAlign w:val="bottom"/>
          </w:tcPr>
          <w:p w14:paraId="24DB0A4C" w14:textId="1F918974"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311" w:type="dxa"/>
            <w:tcBorders>
              <w:top w:val="nil"/>
              <w:left w:val="dashed" w:sz="4" w:space="0" w:color="E0301E" w:themeColor="accent6"/>
              <w:bottom w:val="nil"/>
            </w:tcBorders>
            <w:vAlign w:val="bottom"/>
          </w:tcPr>
          <w:p w14:paraId="0226CE12" w14:textId="5B1A8E68" w:rsidR="00512359" w:rsidRPr="00EC326F" w:rsidRDefault="00512359" w:rsidP="00512359">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t>-$2k</w:t>
            </w:r>
          </w:p>
        </w:tc>
        <w:tc>
          <w:tcPr>
            <w:tcW w:w="1312" w:type="dxa"/>
            <w:tcBorders>
              <w:top w:val="nil"/>
              <w:bottom w:val="nil"/>
            </w:tcBorders>
            <w:vAlign w:val="bottom"/>
          </w:tcPr>
          <w:p w14:paraId="25BC4575" w14:textId="2D52F751"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224B2286"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4EEFB16F" w14:textId="77777777" w:rsidR="00D3305D" w:rsidRPr="00EC326F" w:rsidRDefault="00D3305D" w:rsidP="003114C1">
            <w:pPr>
              <w:pStyle w:val="TableTextSmall"/>
              <w:rPr>
                <w:b w:val="0"/>
              </w:rPr>
            </w:pPr>
            <w:r w:rsidRPr="00EC326F">
              <w:rPr>
                <w:b w:val="0"/>
              </w:rPr>
              <w:t>- Impact of other changes</w:t>
            </w:r>
          </w:p>
        </w:tc>
        <w:tc>
          <w:tcPr>
            <w:tcW w:w="1276" w:type="dxa"/>
            <w:tcBorders>
              <w:top w:val="nil"/>
              <w:left w:val="single" w:sz="4" w:space="0" w:color="E0301E" w:themeColor="accent6"/>
              <w:right w:val="single" w:sz="4" w:space="0" w:color="E0301E" w:themeColor="accent6"/>
            </w:tcBorders>
            <w:vAlign w:val="bottom"/>
          </w:tcPr>
          <w:p w14:paraId="5C76D8AC" w14:textId="62E69F89"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t>19</w:t>
            </w:r>
            <w:r w:rsidR="00512359" w:rsidRPr="00EC326F">
              <w:t>k</w:t>
            </w:r>
          </w:p>
        </w:tc>
        <w:tc>
          <w:tcPr>
            <w:tcW w:w="1240" w:type="dxa"/>
            <w:tcBorders>
              <w:top w:val="nil"/>
              <w:left w:val="single" w:sz="4" w:space="0" w:color="E0301E" w:themeColor="accent6"/>
            </w:tcBorders>
            <w:vAlign w:val="bottom"/>
          </w:tcPr>
          <w:p w14:paraId="56632728"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-$12k</w:t>
            </w:r>
          </w:p>
        </w:tc>
        <w:tc>
          <w:tcPr>
            <w:tcW w:w="1240" w:type="dxa"/>
            <w:tcBorders>
              <w:top w:val="nil"/>
              <w:right w:val="dashed" w:sz="4" w:space="0" w:color="E0301E" w:themeColor="accent6"/>
            </w:tcBorders>
            <w:vAlign w:val="bottom"/>
          </w:tcPr>
          <w:p w14:paraId="34E22038"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-$1k</w:t>
            </w:r>
          </w:p>
        </w:tc>
        <w:tc>
          <w:tcPr>
            <w:tcW w:w="1311" w:type="dxa"/>
            <w:tcBorders>
              <w:top w:val="nil"/>
              <w:left w:val="dashed" w:sz="4" w:space="0" w:color="E0301E" w:themeColor="accent6"/>
            </w:tcBorders>
            <w:vAlign w:val="bottom"/>
          </w:tcPr>
          <w:p w14:paraId="61FAD364" w14:textId="4483450D"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t>2</w:t>
            </w:r>
            <w:r w:rsidR="00512359" w:rsidRPr="00EC326F">
              <w:t>k</w:t>
            </w:r>
          </w:p>
        </w:tc>
        <w:tc>
          <w:tcPr>
            <w:tcW w:w="1312" w:type="dxa"/>
            <w:tcBorders>
              <w:top w:val="nil"/>
            </w:tcBorders>
            <w:vAlign w:val="bottom"/>
          </w:tcPr>
          <w:p w14:paraId="6E8C955E"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-$4k</w:t>
            </w:r>
          </w:p>
        </w:tc>
      </w:tr>
    </w:tbl>
    <w:p w14:paraId="37782D65" w14:textId="77777777" w:rsidR="00D3305D" w:rsidRPr="00EC326F" w:rsidRDefault="00D3305D" w:rsidP="001A4479">
      <w:pPr>
        <w:pStyle w:val="PwCNormal"/>
        <w:numPr>
          <w:ilvl w:val="0"/>
          <w:numId w:val="37"/>
        </w:numPr>
      </w:pPr>
      <w:r w:rsidRPr="00EC326F">
        <w:t>The reduction in average cost has been primarily driven by:</w:t>
      </w:r>
    </w:p>
    <w:p w14:paraId="187256CF" w14:textId="77777777" w:rsidR="00D3305D" w:rsidRPr="00EC326F" w:rsidRDefault="00D3305D" w:rsidP="00D3305D">
      <w:pPr>
        <w:pStyle w:val="Bullet1"/>
      </w:pPr>
      <w:r w:rsidRPr="00EC326F">
        <w:t>Lower re-entries from outside the welfare system, reducing the likelihood of these people returning to income support (in particular working age payments) after they leave the system;</w:t>
      </w:r>
    </w:p>
    <w:p w14:paraId="7578F1E0" w14:textId="77777777" w:rsidR="00D3305D" w:rsidRPr="00EC326F" w:rsidRDefault="00D3305D" w:rsidP="00D3305D">
      <w:pPr>
        <w:pStyle w:val="Bullet1"/>
      </w:pPr>
      <w:r w:rsidRPr="00EC326F">
        <w:t xml:space="preserve">Lower transition rates into disability support pension </w:t>
      </w:r>
      <w:r w:rsidR="005C1115" w:rsidRPr="00EC326F">
        <w:t>from most classes</w:t>
      </w:r>
      <w:r w:rsidRPr="00EC326F">
        <w:t>; and</w:t>
      </w:r>
    </w:p>
    <w:p w14:paraId="3BE424CC" w14:textId="77777777" w:rsidR="00D3305D" w:rsidRDefault="00D3305D" w:rsidP="00D3305D">
      <w:pPr>
        <w:pStyle w:val="Bullet1"/>
      </w:pPr>
      <w:r w:rsidRPr="00EC326F">
        <w:t>A reduction in the assumed long term unemployment rate, which reduces the likelihood of people utilising income support (in particular working age payments) in their future lifetime.</w:t>
      </w:r>
    </w:p>
    <w:p w14:paraId="3A647ADB" w14:textId="77777777" w:rsidR="00144465" w:rsidRDefault="00597D06" w:rsidP="00DA56E6">
      <w:pPr>
        <w:pStyle w:val="Bullet1"/>
      </w:pPr>
      <w:r>
        <w:t xml:space="preserve">The more refined modelling for the movements out of this class and for the utilisation of FTB, family and new parents payments has contributed to the reductions as the new models are better able to reflect people’s specific family compositions. </w:t>
      </w:r>
    </w:p>
    <w:p w14:paraId="3BC9E7BE" w14:textId="54509204" w:rsidR="00597D06" w:rsidRPr="00EC326F" w:rsidRDefault="007C07DB" w:rsidP="00DA56E6">
      <w:pPr>
        <w:pStyle w:val="Bullet1"/>
      </w:pPr>
      <w:r>
        <w:t>P</w:t>
      </w:r>
      <w:r w:rsidR="00144465">
        <w:t>art of the reductions in family supplements is as a result of the policy changes to FTB and child care.</w:t>
      </w:r>
    </w:p>
    <w:p w14:paraId="4BCC491A" w14:textId="77777777" w:rsidR="009B2D09" w:rsidRPr="00EC326F" w:rsidRDefault="009B2D09" w:rsidP="009B2D09">
      <w:pPr>
        <w:pStyle w:val="Minorheading"/>
      </w:pPr>
      <w:r w:rsidRPr="00EC326F">
        <w:lastRenderedPageBreak/>
        <w:t>Future outcomes</w:t>
      </w:r>
    </w:p>
    <w:p w14:paraId="771D458E" w14:textId="77777777" w:rsidR="009B2D09" w:rsidRPr="00EC326F" w:rsidRDefault="009B2D09" w:rsidP="009B2D09">
      <w:pPr>
        <w:pStyle w:val="PwCNormal"/>
        <w:keepNext/>
        <w:numPr>
          <w:ilvl w:val="0"/>
          <w:numId w:val="0"/>
        </w:numPr>
      </w:pPr>
      <w:r w:rsidRPr="00EC326F">
        <w:t xml:space="preserve">In developing the valuation results, the projection model produces information on the expected transitions for people out of each class, as shown below. </w:t>
      </w:r>
    </w:p>
    <w:p w14:paraId="390253FE" w14:textId="77777777" w:rsidR="009B2D09" w:rsidRPr="00EC326F" w:rsidRDefault="009B2D09" w:rsidP="009B2D09">
      <w:pPr>
        <w:pStyle w:val="Caption"/>
      </w:pPr>
      <w:r w:rsidRPr="00EC326F">
        <w:t xml:space="preserve">Figure </w:t>
      </w:r>
      <w:fldSimple w:instr=" SEQ Figure \* ARABIC ">
        <w:r w:rsidR="007A42DF">
          <w:rPr>
            <w:noProof/>
          </w:rPr>
          <w:t>70</w:t>
        </w:r>
      </w:fldSimple>
      <w:r w:rsidRPr="00EC326F">
        <w:t>: Expected future trajectory for people in Class 7</w:t>
      </w:r>
    </w:p>
    <w:tbl>
      <w:tblPr>
        <w:tblStyle w:val="Tables-APBase"/>
        <w:tblW w:w="471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7&#10;"/>
        <w:tblDescription w:val="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1,554,000 individuals who were in the non income support family class at 30 June 2016.&#10;&#10;This chart shows that 40-50% of this group are expected to be in the non-income support family class in 2021 and around 20% are expected to be in the same class in 2026. The main transitions out of this class pre-retirement are to the previous welfare recipient, working age, disability support and carer classes. The majority of people transitioning from this class are projected to exit the payment system, with over 50% expected to have exited to the previous welfare recipient class by 2026. A large proportion of this group are projected to transition to the pension age class in later year with around 55% of the group projected to be in that class in 2056.&#10;&#10;The features shown in the chart are discussed further in the accompanying text within the report.&#10;"/>
      </w:tblPr>
      <w:tblGrid>
        <w:gridCol w:w="6521"/>
        <w:gridCol w:w="2977"/>
      </w:tblGrid>
      <w:tr w:rsidR="009B2D09" w:rsidRPr="00EC326F" w14:paraId="6E1B7D3D" w14:textId="77777777" w:rsidTr="009C6553">
        <w:trPr>
          <w:tblHeader/>
        </w:trPr>
        <w:tc>
          <w:tcPr>
            <w:tcW w:w="6521" w:type="dxa"/>
          </w:tcPr>
          <w:p w14:paraId="295D1768" w14:textId="77777777" w:rsidR="009B2D09" w:rsidRPr="00EC326F" w:rsidRDefault="00B81E73" w:rsidP="000D6C29">
            <w:pPr>
              <w:pStyle w:val="TableTextSmall"/>
            </w:pPr>
            <w:r w:rsidRPr="00EC326F">
              <w:rPr>
                <w:noProof/>
                <w:lang w:eastAsia="en-AU"/>
              </w:rPr>
              <w:drawing>
                <wp:inline distT="0" distB="0" distL="0" distR="0" wp14:anchorId="1431A4F6" wp14:editId="20677B51">
                  <wp:extent cx="3901622" cy="2160000"/>
                  <wp:effectExtent l="0" t="0" r="0" b="0"/>
                  <wp:docPr id="835" name="Picture 835" descr="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1,554,000 individuals who were in the non income support family class at 30 June 2016.&#10;&#10;This chart shows that 40-50% of this group are expected to be in the non-income support family class in 2021 and around 20% are expected to be in the same class in 2026. The main transitions out of this class pre-retirement are to the previous welfare recipient, working age, disability support and carer classes. The majority of people transitioning from this class are projected to exit the payment system, with over 50% expected to have exited to the previous welfare recipient class by 2026. A large proportion of this group are projected to transition to the pension age class in later year with around 55% of the group projected to be in that class in 2056.&#10;&#10;The features shown in the chart are discussed further in the accompanying text within the report.&#10;" title=" Expected future trajectory for people in Class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901622" cy="2160000"/>
                          </a:xfrm>
                          <a:prstGeom prst="rect">
                            <a:avLst/>
                          </a:prstGeom>
                          <a:noFill/>
                          <a:ln>
                            <a:noFill/>
                          </a:ln>
                        </pic:spPr>
                      </pic:pic>
                    </a:graphicData>
                  </a:graphic>
                </wp:inline>
              </w:drawing>
            </w:r>
          </w:p>
        </w:tc>
        <w:tc>
          <w:tcPr>
            <w:tcW w:w="2977" w:type="dxa"/>
          </w:tcPr>
          <w:p w14:paraId="7357CC57" w14:textId="77777777" w:rsidR="009B2D09" w:rsidRPr="00EC326F" w:rsidRDefault="009B2D09" w:rsidP="000D6C29">
            <w:pPr>
              <w:pStyle w:val="TableTextSmall"/>
            </w:pPr>
          </w:p>
          <w:p w14:paraId="0A472476" w14:textId="77777777" w:rsidR="009B2D09" w:rsidRPr="00EC326F" w:rsidRDefault="009B2D09" w:rsidP="000D6C29">
            <w:pPr>
              <w:pStyle w:val="TableTextSmall"/>
            </w:pPr>
            <w:r w:rsidRPr="00EC326F">
              <w:rPr>
                <w:noProof/>
                <w:lang w:eastAsia="en-AU"/>
              </w:rPr>
              <w:drawing>
                <wp:inline distT="0" distB="0" distL="0" distR="0" wp14:anchorId="33998FC8" wp14:editId="5D6E071F">
                  <wp:extent cx="1439545" cy="1589405"/>
                  <wp:effectExtent l="0" t="0" r="8255" b="0"/>
                  <wp:docPr id="3905" name="Picture 3905" descr="Class key: studying, working age, parents, carers, disability support, pension age, non-income support family, non-income support carer, non-income support other, previous welfare recipient, rest of the Australian population and dead. " title="Class Key for Fig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664E8A46" w14:textId="77777777" w:rsidR="009B2D09" w:rsidRPr="00EC326F" w:rsidRDefault="009B2D09" w:rsidP="000D6C29">
            <w:pPr>
              <w:pStyle w:val="TableTextSmall"/>
            </w:pPr>
          </w:p>
        </w:tc>
      </w:tr>
    </w:tbl>
    <w:p w14:paraId="2FA076E3" w14:textId="77777777" w:rsidR="009B2D09" w:rsidRPr="00EC326F" w:rsidRDefault="009B2D09" w:rsidP="00121828">
      <w:pPr>
        <w:pStyle w:val="PwCNormal-keepwithnext"/>
      </w:pPr>
      <w:r w:rsidRPr="00EC326F">
        <w:t xml:space="preserve">We can see that: </w:t>
      </w:r>
    </w:p>
    <w:p w14:paraId="39FDA155" w14:textId="77777777" w:rsidR="009B2D09" w:rsidRPr="00EC326F" w:rsidRDefault="00121828" w:rsidP="009B2D09">
      <w:pPr>
        <w:pStyle w:val="Bullet1"/>
      </w:pPr>
      <w:r w:rsidRPr="00EC326F">
        <w:t>46%</w:t>
      </w:r>
      <w:r w:rsidR="009B2D09" w:rsidRPr="00EC326F">
        <w:t xml:space="preserve"> of people are expected to stay in this class for the next 5 years (or exit and return) and 2</w:t>
      </w:r>
      <w:r w:rsidRPr="00EC326F">
        <w:t>2</w:t>
      </w:r>
      <w:r w:rsidR="009B2D09" w:rsidRPr="00EC326F">
        <w:t>% for the next 10 years. This pattern of behaviour is likely to be determined by the eligibility criteria for family tax benefit (linked to child ages) and child care benefits as these are the main payment types which cause people to be in this class.</w:t>
      </w:r>
    </w:p>
    <w:p w14:paraId="5222FC90" w14:textId="77777777" w:rsidR="009B2D09" w:rsidRPr="00EC326F" w:rsidRDefault="009B2D09" w:rsidP="009B2D09">
      <w:pPr>
        <w:pStyle w:val="Bullet1"/>
      </w:pPr>
      <w:r w:rsidRPr="00EC326F">
        <w:t>The majority of the people who exit this class exit the payment system.</w:t>
      </w:r>
    </w:p>
    <w:p w14:paraId="2340137B" w14:textId="77777777" w:rsidR="009B2D09" w:rsidRPr="00EC326F" w:rsidRDefault="00121828" w:rsidP="009B2D09">
      <w:pPr>
        <w:pStyle w:val="Bullet1"/>
      </w:pPr>
      <w:r w:rsidRPr="00EC326F">
        <w:t>A small proportion</w:t>
      </w:r>
      <w:r w:rsidR="009B2D09" w:rsidRPr="00EC326F">
        <w:t xml:space="preserve"> of people move onto a different payment at the point they exit this class, with the most common destinations first being working age payments, then the two carer classes, and then later being the age pension.</w:t>
      </w:r>
    </w:p>
    <w:p w14:paraId="6C381020" w14:textId="77777777" w:rsidR="009B2D09" w:rsidRPr="00EC326F" w:rsidRDefault="009B2D09" w:rsidP="009B2D09">
      <w:pPr>
        <w:pStyle w:val="Minorheading"/>
      </w:pPr>
      <w:r w:rsidRPr="00EC326F">
        <w:t>Duration</w:t>
      </w:r>
    </w:p>
    <w:p w14:paraId="3DCF8F8A" w14:textId="77777777" w:rsidR="009B2D09" w:rsidRPr="00EC326F" w:rsidRDefault="009B2D09" w:rsidP="009B2D09">
      <w:pPr>
        <w:pStyle w:val="PwCNormal"/>
        <w:numPr>
          <w:ilvl w:val="0"/>
          <w:numId w:val="1"/>
        </w:numPr>
      </w:pPr>
      <w:r w:rsidRPr="00EC326F">
        <w:t xml:space="preserve">The average future life expectancy for the Non IS Family class is </w:t>
      </w:r>
      <w:r w:rsidRPr="00EC326F">
        <w:rPr>
          <w:b/>
        </w:rPr>
        <w:t>5</w:t>
      </w:r>
      <w:r w:rsidR="00B81E73" w:rsidRPr="00EC326F">
        <w:rPr>
          <w:b/>
        </w:rPr>
        <w:t>1</w:t>
      </w:r>
      <w:r w:rsidRPr="00EC326F">
        <w:t xml:space="preserve"> years. This reflects that the age profile of this class is well distributed across the ages 25 to 55.</w:t>
      </w:r>
    </w:p>
    <w:p w14:paraId="5EC27AF8" w14:textId="77777777" w:rsidR="009B2D09" w:rsidRPr="00EC326F" w:rsidRDefault="009B2D09" w:rsidP="009B2D09">
      <w:pPr>
        <w:pStyle w:val="PwCNormal"/>
        <w:numPr>
          <w:ilvl w:val="0"/>
          <w:numId w:val="0"/>
        </w:numPr>
      </w:pPr>
      <w:r w:rsidRPr="00EC326F">
        <w:t>The table below provides a summary of the expected welfare system use of people currently in this class over this time. This has been developed by considering which classes people move into as they move through the welfare system over their lives.</w:t>
      </w:r>
    </w:p>
    <w:p w14:paraId="65F47420" w14:textId="77777777" w:rsidR="009B2D09" w:rsidRPr="002A0A1A" w:rsidRDefault="009B2D09" w:rsidP="009B2D09">
      <w:pPr>
        <w:pStyle w:val="Caption"/>
      </w:pPr>
      <w:r w:rsidRPr="00EC326F">
        <w:t xml:space="preserve">Table </w:t>
      </w:r>
      <w:fldSimple w:instr=" SEQ Table \* ARABIC ">
        <w:r w:rsidR="007A42DF">
          <w:rPr>
            <w:noProof/>
          </w:rPr>
          <w:t>41</w:t>
        </w:r>
      </w:fldSimple>
      <w:r w:rsidRPr="00EC326F">
        <w:t>: Expected durations in welfare system for people currently in Class 7</w:t>
      </w:r>
    </w:p>
    <w:tbl>
      <w:tblPr>
        <w:tblStyle w:val="ListTable3-Accent61"/>
        <w:tblW w:w="8868" w:type="dxa"/>
        <w:tblInd w:w="108" w:type="dxa"/>
        <w:tblLook w:val="04A0" w:firstRow="1" w:lastRow="0" w:firstColumn="1" w:lastColumn="0" w:noHBand="0" w:noVBand="1"/>
        <w:tblCaption w:val=" Expected durations in welfare system for people currently in Class 7&#10;&#10;"/>
        <w:tblDescription w:val="This table provides data on the expected number of years that people currently in Class 7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7 is 51 years. &#10;&#10;People in Class 7 are expected to receive some form of income support payment (excluding the age pension) for 4 years, 8% of their future lifetime. It is expected that they will receive the age pension for 16 years (32% of their future lifetime), non-income support payments only for 9 years (17% of their future lifetime) and no welfare payments for 22 years (43% of their future lifetime).&#10;"/>
      </w:tblPr>
      <w:tblGrid>
        <w:gridCol w:w="3828"/>
        <w:gridCol w:w="2520"/>
        <w:gridCol w:w="2520"/>
      </w:tblGrid>
      <w:tr w:rsidR="009B2D09" w:rsidRPr="00EC326F" w14:paraId="37F4A986"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6E17EF60" w14:textId="77777777" w:rsidR="009B2D09" w:rsidRPr="00EC326F" w:rsidRDefault="009B2D09" w:rsidP="000D6C29">
            <w:pPr>
              <w:pStyle w:val="TableTextSmall"/>
              <w:jc w:val="center"/>
              <w:rPr>
                <w:rFonts w:asciiTheme="majorHAnsi" w:hAnsiTheme="majorHAnsi"/>
                <w:color w:val="FFFFFF" w:themeColor="background1"/>
              </w:rPr>
            </w:pPr>
          </w:p>
        </w:tc>
        <w:tc>
          <w:tcPr>
            <w:tcW w:w="2520" w:type="dxa"/>
          </w:tcPr>
          <w:p w14:paraId="27472A77" w14:textId="77777777" w:rsidR="009B2D09" w:rsidRPr="00EC326F" w:rsidRDefault="009B2D09"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Expected Years</w:t>
            </w:r>
          </w:p>
        </w:tc>
        <w:tc>
          <w:tcPr>
            <w:tcW w:w="2520" w:type="dxa"/>
          </w:tcPr>
          <w:p w14:paraId="7034E2FB" w14:textId="77777777" w:rsidR="009B2D09" w:rsidRPr="00EC326F" w:rsidRDefault="009B2D09"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Proportion of Future Lifetime</w:t>
            </w:r>
          </w:p>
        </w:tc>
      </w:tr>
      <w:tr w:rsidR="009B2D09" w:rsidRPr="00EC326F" w14:paraId="4BB1D9F5"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0185AB6" w14:textId="77777777" w:rsidR="009B2D09" w:rsidRPr="00EC326F" w:rsidRDefault="009B2D09" w:rsidP="000D6C29">
            <w:pPr>
              <w:pStyle w:val="TableTextSmall"/>
            </w:pPr>
            <w:r w:rsidRPr="00EC326F">
              <w:t>Years with some income support payments:</w:t>
            </w:r>
          </w:p>
          <w:p w14:paraId="015CDA94" w14:textId="77777777" w:rsidR="009B2D09" w:rsidRPr="00EC326F" w:rsidRDefault="009B2D09" w:rsidP="001A4479">
            <w:pPr>
              <w:pStyle w:val="TableTextSmall"/>
              <w:numPr>
                <w:ilvl w:val="0"/>
                <w:numId w:val="43"/>
              </w:numPr>
            </w:pPr>
            <w:r w:rsidRPr="00EC326F">
              <w:t>Not aged pension (classes 1-5)</w:t>
            </w:r>
          </w:p>
          <w:p w14:paraId="623A06CD" w14:textId="77777777" w:rsidR="009B2D09" w:rsidRPr="00EC326F" w:rsidRDefault="009B2D09" w:rsidP="001A4479">
            <w:pPr>
              <w:pStyle w:val="TableTextSmall"/>
              <w:numPr>
                <w:ilvl w:val="0"/>
                <w:numId w:val="43"/>
              </w:numPr>
            </w:pPr>
            <w:r w:rsidRPr="00EC326F">
              <w:t>Aged pension (class 6)</w:t>
            </w:r>
          </w:p>
        </w:tc>
        <w:tc>
          <w:tcPr>
            <w:tcW w:w="2520" w:type="dxa"/>
          </w:tcPr>
          <w:p w14:paraId="6723D8AA" w14:textId="77777777" w:rsidR="009B2D09" w:rsidRPr="00EC326F" w:rsidRDefault="009B2D09"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4</w:t>
            </w:r>
          </w:p>
          <w:p w14:paraId="653BD02A" w14:textId="77777777" w:rsidR="009B2D09" w:rsidRPr="00EC326F" w:rsidRDefault="009B2D09"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16</w:t>
            </w:r>
          </w:p>
        </w:tc>
        <w:tc>
          <w:tcPr>
            <w:tcW w:w="2520" w:type="dxa"/>
          </w:tcPr>
          <w:p w14:paraId="42ADD65D" w14:textId="77777777" w:rsidR="009B2D09" w:rsidRPr="00EC326F" w:rsidRDefault="009B2D09"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r>
            <w:r w:rsidR="00B81E73" w:rsidRPr="00EC326F">
              <w:t>8</w:t>
            </w:r>
            <w:r w:rsidRPr="00EC326F">
              <w:t>%</w:t>
            </w:r>
          </w:p>
          <w:p w14:paraId="22059856" w14:textId="77777777" w:rsidR="009B2D09" w:rsidRPr="00EC326F" w:rsidRDefault="00B81E73"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32</w:t>
            </w:r>
            <w:r w:rsidR="009B2D09" w:rsidRPr="00EC326F">
              <w:t>%</w:t>
            </w:r>
          </w:p>
        </w:tc>
      </w:tr>
      <w:tr w:rsidR="009B2D09" w:rsidRPr="00EC326F" w14:paraId="4BE857CE"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0103671F" w14:textId="77777777" w:rsidR="009B2D09" w:rsidRPr="00EC326F" w:rsidRDefault="009B2D09" w:rsidP="000D6C29">
            <w:pPr>
              <w:pStyle w:val="TableTextSmall"/>
            </w:pPr>
            <w:r w:rsidRPr="00EC326F">
              <w:t>Years with non-income support payments only</w:t>
            </w:r>
          </w:p>
        </w:tc>
        <w:tc>
          <w:tcPr>
            <w:tcW w:w="2520" w:type="dxa"/>
          </w:tcPr>
          <w:p w14:paraId="7A97BEF0" w14:textId="77777777" w:rsidR="009B2D09" w:rsidRPr="00EC326F" w:rsidRDefault="00B81E73"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9</w:t>
            </w:r>
          </w:p>
        </w:tc>
        <w:tc>
          <w:tcPr>
            <w:tcW w:w="2520" w:type="dxa"/>
          </w:tcPr>
          <w:p w14:paraId="2A85039D" w14:textId="77777777" w:rsidR="009B2D09" w:rsidRPr="00EC326F" w:rsidRDefault="00B81E73"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17</w:t>
            </w:r>
            <w:r w:rsidR="009B2D09" w:rsidRPr="00EC326F">
              <w:t>%</w:t>
            </w:r>
          </w:p>
        </w:tc>
      </w:tr>
      <w:tr w:rsidR="009B2D09" w:rsidRPr="00EC326F" w14:paraId="78713AA4"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B7D5566" w14:textId="77777777" w:rsidR="009B2D09" w:rsidRPr="00EC326F" w:rsidRDefault="009B2D09" w:rsidP="000D6C29">
            <w:pPr>
              <w:pStyle w:val="TableTextSmall"/>
            </w:pPr>
            <w:r w:rsidRPr="00EC326F">
              <w:t>Years not receiving any welfare payments</w:t>
            </w:r>
          </w:p>
        </w:tc>
        <w:tc>
          <w:tcPr>
            <w:tcW w:w="2520" w:type="dxa"/>
          </w:tcPr>
          <w:p w14:paraId="0242028D" w14:textId="77777777" w:rsidR="009B2D09" w:rsidRPr="00EC326F" w:rsidRDefault="009B2D09"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22</w:t>
            </w:r>
          </w:p>
        </w:tc>
        <w:tc>
          <w:tcPr>
            <w:tcW w:w="2520" w:type="dxa"/>
          </w:tcPr>
          <w:p w14:paraId="39687C31" w14:textId="77777777" w:rsidR="009B2D09" w:rsidRPr="00EC326F" w:rsidRDefault="00B81E73"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43</w:t>
            </w:r>
            <w:r w:rsidR="009B2D09" w:rsidRPr="00EC326F">
              <w:t>%</w:t>
            </w:r>
          </w:p>
        </w:tc>
      </w:tr>
      <w:tr w:rsidR="009B2D09" w:rsidRPr="00EC326F" w14:paraId="44BD8EF8"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2AE3AA6D" w14:textId="77777777" w:rsidR="009B2D09" w:rsidRPr="00EC326F" w:rsidRDefault="009B2D09" w:rsidP="000D6C29">
            <w:pPr>
              <w:pStyle w:val="TableTextSmall"/>
            </w:pPr>
            <w:r w:rsidRPr="00EC326F">
              <w:t>Total</w:t>
            </w:r>
          </w:p>
        </w:tc>
        <w:tc>
          <w:tcPr>
            <w:tcW w:w="2520" w:type="dxa"/>
          </w:tcPr>
          <w:p w14:paraId="7B0DF362" w14:textId="77777777" w:rsidR="009B2D09" w:rsidRPr="00EC326F" w:rsidRDefault="009B2D09" w:rsidP="00B81E73">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5</w:t>
            </w:r>
            <w:r w:rsidR="00B81E73" w:rsidRPr="00EC326F">
              <w:t>1</w:t>
            </w:r>
          </w:p>
        </w:tc>
        <w:tc>
          <w:tcPr>
            <w:tcW w:w="2520" w:type="dxa"/>
          </w:tcPr>
          <w:p w14:paraId="613EE3FF" w14:textId="77777777" w:rsidR="009B2D09" w:rsidRPr="00EC326F" w:rsidRDefault="009B2D09"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100%</w:t>
            </w:r>
          </w:p>
        </w:tc>
      </w:tr>
    </w:tbl>
    <w:p w14:paraId="3722980F" w14:textId="77777777" w:rsidR="005B4509" w:rsidRDefault="005B4509" w:rsidP="003D6B51">
      <w:pPr>
        <w:pStyle w:val="PwCNormal-Single"/>
      </w:pPr>
    </w:p>
    <w:p w14:paraId="45305ABB" w14:textId="77777777" w:rsidR="005B4509" w:rsidRPr="005B4509" w:rsidRDefault="005B4509" w:rsidP="005B4509">
      <w:pPr>
        <w:pStyle w:val="PwCNormal"/>
        <w:numPr>
          <w:ilvl w:val="0"/>
          <w:numId w:val="0"/>
        </w:numPr>
      </w:pPr>
      <w:r w:rsidRPr="005B4509">
        <w:br w:type="page"/>
      </w:r>
    </w:p>
    <w:p w14:paraId="6B158542" w14:textId="77777777" w:rsidR="009B2D09" w:rsidRPr="00EC326F" w:rsidRDefault="009B2D09" w:rsidP="009B2D09">
      <w:pPr>
        <w:pStyle w:val="Heading3"/>
      </w:pPr>
      <w:bookmarkStart w:id="411" w:name="_Toc493844265"/>
      <w:r w:rsidRPr="00EC326F">
        <w:lastRenderedPageBreak/>
        <w:t>Non income support – Carers</w:t>
      </w:r>
      <w:bookmarkEnd w:id="411"/>
    </w:p>
    <w:p w14:paraId="33A62033" w14:textId="77777777" w:rsidR="009B2D09" w:rsidRPr="00EC326F" w:rsidRDefault="009B2D09" w:rsidP="009B2D09">
      <w:pPr>
        <w:pStyle w:val="PwCNormal"/>
        <w:numPr>
          <w:ilvl w:val="0"/>
          <w:numId w:val="1"/>
        </w:numPr>
      </w:pPr>
      <w:r w:rsidRPr="00EC326F">
        <w:t>As noted previously, this class includes those people receiving Carer Allowance or Carer Supplement, who do not also receive any Carers Payment. People receiving the Carers Payment are in clas</w:t>
      </w:r>
      <w:r w:rsidR="00881FC5">
        <w:t xml:space="preserve">s 4 and have been discussed in </w:t>
      </w:r>
      <w:r w:rsidR="0011562A">
        <w:t>section</w:t>
      </w:r>
      <w:r w:rsidRPr="00EC326F">
        <w:t xml:space="preserve"> </w:t>
      </w:r>
      <w:r w:rsidRPr="00EC326F">
        <w:fldChar w:fldCharType="begin"/>
      </w:r>
      <w:r w:rsidRPr="00EC326F">
        <w:instrText xml:space="preserve"> REF _Ref437438733 \n \h  \* MERGEFORMAT </w:instrText>
      </w:r>
      <w:r w:rsidRPr="00EC326F">
        <w:fldChar w:fldCharType="separate"/>
      </w:r>
      <w:r w:rsidR="007A42DF">
        <w:t>8.4</w:t>
      </w:r>
      <w:r w:rsidRPr="00EC326F">
        <w:fldChar w:fldCharType="end"/>
      </w:r>
      <w:r w:rsidRPr="00EC326F">
        <w:t xml:space="preserve">. </w:t>
      </w:r>
    </w:p>
    <w:p w14:paraId="072E1BAC" w14:textId="77777777" w:rsidR="009B2D09" w:rsidRPr="00EC326F" w:rsidRDefault="009B2D09" w:rsidP="009B2D09">
      <w:pPr>
        <w:pStyle w:val="Heading4"/>
      </w:pPr>
      <w:r w:rsidRPr="00EC326F">
        <w:t>What does the data tell us about Non IS Carers?</w:t>
      </w:r>
    </w:p>
    <w:p w14:paraId="0EE8527B" w14:textId="77777777" w:rsidR="009B2D09" w:rsidRPr="00EC326F" w:rsidRDefault="009B2D09" w:rsidP="009B2D09">
      <w:pPr>
        <w:pStyle w:val="PwCNormal"/>
        <w:numPr>
          <w:ilvl w:val="0"/>
          <w:numId w:val="0"/>
        </w:numPr>
      </w:pPr>
      <w:r w:rsidRPr="00EC326F">
        <w:t>There were 200,678 people (2.5% of current welfare recipients) in the Non IS Carers class in the 2016 model population; it is the smallest of all the classes.</w:t>
      </w:r>
    </w:p>
    <w:p w14:paraId="01B0E69E" w14:textId="77777777" w:rsidR="009B2D09" w:rsidRPr="00EC326F" w:rsidRDefault="009B2D09" w:rsidP="009B2D09">
      <w:pPr>
        <w:pStyle w:val="PwCNormal"/>
        <w:numPr>
          <w:ilvl w:val="0"/>
          <w:numId w:val="0"/>
        </w:numPr>
      </w:pPr>
      <w:r w:rsidRPr="00EC326F">
        <w:t>The following chart shows a breakdown of the number of people in the Non IS Carers class by age and gender.</w:t>
      </w:r>
    </w:p>
    <w:p w14:paraId="7A8BFC22" w14:textId="77777777" w:rsidR="009B2D09" w:rsidRPr="00EC326F" w:rsidRDefault="009B2D09" w:rsidP="009B2D09">
      <w:pPr>
        <w:pStyle w:val="Caption"/>
      </w:pPr>
      <w:r w:rsidRPr="00EC326F">
        <w:t xml:space="preserve">Figure </w:t>
      </w:r>
      <w:fldSimple w:instr=" SEQ Figure \* ARABIC ">
        <w:r w:rsidR="007A42DF">
          <w:rPr>
            <w:noProof/>
          </w:rPr>
          <w:t>71</w:t>
        </w:r>
      </w:fldSimple>
      <w:r w:rsidRPr="00EC326F">
        <w:t>: 2016 profile of people in Class 8 – Non IS Carers (age/gender)</w:t>
      </w:r>
    </w:p>
    <w:tbl>
      <w:tblPr>
        <w:tblStyle w:val="Tables-APBase"/>
        <w:tblW w:w="393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8 – Non IS Carers (age/gender)&#10;"/>
        <w:tblDescription w:val="This figure is a horizontal bar chart number of people in the Non IS Carer class at Jun16 by age for males and females separately. The vertical axis shows age with the data shown ranging from 9 to 102. The horizontal axis shows the number of people ranging from 0 to 7,500. The number of males at each age are shown by the horizontal bars to the left of the vertical axis and the number of females at each age are shown by horizontal bars to the right.&#10;&#10;The chart is based on the 201,000 individuals who were in the carers (income support) class at 30 June 2016. &#10;&#10;The chart shows that the people in this class are predominately females aged between 30 and 70. The number of females peaks at approximately 6,700 at age 44. The number of males peaks at approximately 1,000 at age 53.&#10;"/>
      </w:tblPr>
      <w:tblGrid>
        <w:gridCol w:w="5529"/>
        <w:gridCol w:w="2409"/>
      </w:tblGrid>
      <w:tr w:rsidR="009B2D09" w:rsidRPr="00EC326F" w14:paraId="1E9AB173" w14:textId="77777777" w:rsidTr="009C6553">
        <w:trPr>
          <w:tblHeader/>
        </w:trPr>
        <w:tc>
          <w:tcPr>
            <w:tcW w:w="5529" w:type="dxa"/>
          </w:tcPr>
          <w:p w14:paraId="6754A228"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66048191" wp14:editId="3448F16B">
                  <wp:extent cx="3371850" cy="2105025"/>
                  <wp:effectExtent l="0" t="0" r="0" b="9525"/>
                  <wp:docPr id="3908" name="Picture 3908" descr="This figure is a horizontal bar chart number of people in the Non IS Carer class at Jun16 by age for males and females separately. The vertical axis shows age with the data shown ranging from 9 to 102. The horizontal axis shows the number of people ranging from 0 to 7,500. The number of males at each age are shown by the horizontal bars to the left of the vertical axis and the number of females at each age are shown by horizontal bars to the right.&#10;&#10;The chart is based on the 201,000 individuals who were in the carers (income support) class at 30 June 2016. &#10;&#10;The chart shows that the people in this class are predominately females aged between 30 and 70. The number of females peaks at approximately 6,700 at age 44. The number of males peaks at approximately 1,000 at age 53.&#10;" title=" 2016 profile of people in Class 8 – Non IS Carers (age/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71850" cy="2105025"/>
                          </a:xfrm>
                          <a:prstGeom prst="rect">
                            <a:avLst/>
                          </a:prstGeom>
                          <a:noFill/>
                          <a:ln>
                            <a:noFill/>
                          </a:ln>
                        </pic:spPr>
                      </pic:pic>
                    </a:graphicData>
                  </a:graphic>
                </wp:inline>
              </w:drawing>
            </w:r>
          </w:p>
        </w:tc>
        <w:tc>
          <w:tcPr>
            <w:tcW w:w="2409" w:type="dxa"/>
          </w:tcPr>
          <w:p w14:paraId="7C2E7DBD" w14:textId="77777777" w:rsidR="009B2D09" w:rsidRPr="00EC326F" w:rsidRDefault="009B2D09" w:rsidP="005D6CEC">
            <w:pPr>
              <w:pStyle w:val="TableTextSmall"/>
              <w:keepNext/>
              <w:rPr>
                <w:lang w:eastAsia="en-AU"/>
              </w:rPr>
            </w:pPr>
          </w:p>
        </w:tc>
      </w:tr>
    </w:tbl>
    <w:p w14:paraId="2F9650EF" w14:textId="77777777" w:rsidR="009B2D09" w:rsidRPr="00EC326F" w:rsidRDefault="009B2D09" w:rsidP="009B2D09">
      <w:pPr>
        <w:pStyle w:val="PwCNormal"/>
        <w:numPr>
          <w:ilvl w:val="0"/>
          <w:numId w:val="0"/>
        </w:numPr>
      </w:pPr>
      <w:r w:rsidRPr="00EC326F">
        <w:t xml:space="preserve">This class has many more women than men. The numbers in the class increase up to around age 45 and then reduce, however material numbers of people stay in the class </w:t>
      </w:r>
      <w:r w:rsidR="000B1C9E" w:rsidRPr="00EC326F">
        <w:t>after</w:t>
      </w:r>
      <w:r w:rsidRPr="00EC326F">
        <w:t xml:space="preserve"> retirement age.</w:t>
      </w:r>
    </w:p>
    <w:p w14:paraId="34ABB798" w14:textId="77777777" w:rsidR="009B2D09" w:rsidRPr="00EC326F" w:rsidRDefault="009B2D09" w:rsidP="009B2D09">
      <w:pPr>
        <w:pStyle w:val="Minorheading"/>
      </w:pPr>
      <w:r w:rsidRPr="00EC326F">
        <w:t>Movements into this class</w:t>
      </w:r>
    </w:p>
    <w:p w14:paraId="3AAF02BC" w14:textId="77777777" w:rsidR="009B2D09" w:rsidRPr="00EC326F" w:rsidRDefault="009B2D09" w:rsidP="009B2D09">
      <w:pPr>
        <w:pStyle w:val="PwCNormal"/>
        <w:numPr>
          <w:ilvl w:val="0"/>
          <w:numId w:val="1"/>
        </w:numPr>
      </w:pPr>
      <w:r w:rsidRPr="00EC326F">
        <w:t xml:space="preserve">Over the last 3 years, an average of 31,300 people (around 15% of the people in this class) per annum enter this class from another welfare class or from outside the welfare system. The following charts show the breakdown of this by age, gender and previous class. </w:t>
      </w:r>
    </w:p>
    <w:p w14:paraId="6708A8D5" w14:textId="77777777" w:rsidR="009B2D09" w:rsidRPr="00EC326F" w:rsidRDefault="009B2D09" w:rsidP="009B2D09">
      <w:pPr>
        <w:pStyle w:val="Caption"/>
      </w:pPr>
      <w:r w:rsidRPr="00EC326F">
        <w:t xml:space="preserve">Figure </w:t>
      </w:r>
      <w:fldSimple w:instr=" SEQ Figure \* ARABIC ">
        <w:r w:rsidR="007A42DF">
          <w:rPr>
            <w:noProof/>
          </w:rPr>
          <w:t>72</w:t>
        </w:r>
      </w:fldSimple>
      <w:r w:rsidRPr="00EC326F">
        <w:t>: Number of people entering Class 8 – Non IS Carers (annual average over last 3 years)</w:t>
      </w:r>
    </w:p>
    <w:tbl>
      <w:tblPr>
        <w:tblW w:w="4922" w:type="pct"/>
        <w:tblLayout w:type="fixed"/>
        <w:tblLook w:val="04A0" w:firstRow="1" w:lastRow="0" w:firstColumn="1" w:lastColumn="0" w:noHBand="0" w:noVBand="1"/>
        <w:tblCaption w:val=" Number of people entering Class 8 – Non IS Carers (annual average over last 3 years)"/>
        <w:tblDescription w:val="This text box contains two charts and a legend."/>
      </w:tblPr>
      <w:tblGrid>
        <w:gridCol w:w="4962"/>
        <w:gridCol w:w="4962"/>
      </w:tblGrid>
      <w:tr w:rsidR="009B2D09" w:rsidRPr="00EC326F" w14:paraId="2E97E53A" w14:textId="77777777" w:rsidTr="001B43B4">
        <w:trPr>
          <w:tblHeader/>
        </w:trPr>
        <w:tc>
          <w:tcPr>
            <w:tcW w:w="4962" w:type="dxa"/>
          </w:tcPr>
          <w:p w14:paraId="5241D89B" w14:textId="77777777" w:rsidR="009B2D09" w:rsidRPr="00EC326F" w:rsidRDefault="009B2D09" w:rsidP="000D6C29">
            <w:pPr>
              <w:pStyle w:val="TableTextSmall"/>
              <w:keepNext/>
              <w:jc w:val="center"/>
              <w:rPr>
                <w:b/>
                <w:i/>
              </w:rPr>
            </w:pPr>
            <w:r w:rsidRPr="00EC326F">
              <w:rPr>
                <w:b/>
                <w:i/>
              </w:rPr>
              <w:t>Males</w:t>
            </w:r>
          </w:p>
        </w:tc>
        <w:tc>
          <w:tcPr>
            <w:tcW w:w="4962" w:type="dxa"/>
          </w:tcPr>
          <w:p w14:paraId="431F9B5C" w14:textId="77777777" w:rsidR="009B2D09" w:rsidRPr="00EC326F" w:rsidRDefault="009B2D09" w:rsidP="000D6C29">
            <w:pPr>
              <w:pStyle w:val="TableTextSmall"/>
              <w:keepNext/>
              <w:jc w:val="center"/>
              <w:rPr>
                <w:b/>
                <w:i/>
              </w:rPr>
            </w:pPr>
            <w:r w:rsidRPr="00EC326F">
              <w:rPr>
                <w:b/>
                <w:i/>
              </w:rPr>
              <w:t>Females</w:t>
            </w:r>
          </w:p>
        </w:tc>
      </w:tr>
      <w:tr w:rsidR="009B2D09" w:rsidRPr="00EC326F" w14:paraId="07C3CBA2" w14:textId="77777777" w:rsidTr="0016127C">
        <w:tc>
          <w:tcPr>
            <w:tcW w:w="4962" w:type="dxa"/>
          </w:tcPr>
          <w:p w14:paraId="14419C84"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4BEFA184" wp14:editId="10C832EC">
                  <wp:extent cx="3009900" cy="1876425"/>
                  <wp:effectExtent l="0" t="0" r="0" b="9525"/>
                  <wp:docPr id="3912" name="Picture 3912" descr="This figure contains two area charts. The vertical axis on both charts displays the cumulative number of entrants into the Non IS Carers class, and ranges from 0 to 1,000. For both charts the horizontal axis shows age ranging from 0 to 110. &#10;&#10;The chart on the left shows the average number of male entrants over the period from June 2014 to June 2016, split by class prior to entry.&#10;&#10;Both area charts show the cumulative number of entrants split by class prior to entry to the Non IS Carers class; 1 Studying, 2 Working Age, 3 Parents, 4 Carers, 5 Disability Support, 6 Pension Age, 7 Non-IS Family, 9 Non-IS Other, 10 Previous Welfare Recipient and 12 Rest of the Australian Population.&#10;&#10;The left chart shows that the majority of male entrants come from Class 12 Rest of the Australian Population or Class 10 Previous Welfare Recipient. The number of male entrants rises steadily from less than 25 entrants at age 15 to 175 entrants at age 45 where it remains relatively stable until age 64. After age 64, the number of entrants gradually reduces towards zero.&#10;&#10;Further discussion of the key features shown in the chart can be found in the accompanying text within the report.&#10;" title=" Number of people entering Class 8 – Non IS Carers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962" w:type="dxa"/>
          </w:tcPr>
          <w:p w14:paraId="341E4181"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77FF0B9E" wp14:editId="6B563A02">
                  <wp:extent cx="3009900" cy="1876425"/>
                  <wp:effectExtent l="0" t="0" r="0" b="9525"/>
                  <wp:docPr id="3913" name="Picture 3913" descr="The chart on the right shows the average number of female entrants over the period from June 2014 to June 2016, split by class prior to entry. &#10;&#10;The chart on the right shows that there are significantly more female entrants across all ages compared to males. The female entrants rises steadily from less than 50 entrants at age 20 to a peak of around 800 entrants at age 42. After age 42, the number of female entrants then declines with age. The majority of female entrants aged 20-50 come from Class 7 Non IS Family, Class 3 Parents or Class 2 Working Age , while the majority of entrants aged 51 and older come from Class 10 Previous Welfare Recipient and Class 12 Rest of the Australian Population.&#10;" title=" Number of people entering Class 8 – Non IS Carers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463485EA" w14:textId="335B4E6F" w:rsidR="009B2D09" w:rsidRPr="002A0A1A" w:rsidRDefault="00833C7E" w:rsidP="00833C7E">
      <w:pPr>
        <w:pStyle w:val="PwCNormal"/>
        <w:numPr>
          <w:ilvl w:val="0"/>
          <w:numId w:val="0"/>
        </w:numPr>
      </w:pPr>
      <w:r w:rsidRPr="00EC326F">
        <w:rPr>
          <w:noProof/>
          <w:lang w:eastAsia="en-AU"/>
        </w:rPr>
        <w:drawing>
          <wp:inline distT="0" distB="0" distL="0" distR="0" wp14:anchorId="50DCD349" wp14:editId="42A284FD">
            <wp:extent cx="5385600" cy="468000"/>
            <wp:effectExtent l="0" t="0" r="0" b="8255"/>
            <wp:docPr id="3138" name="Picture 3138" descr="Class key: studying, working age, parents, carers, disability support, pension age, non-income support family, non-income support carer, non-income support other, previous welfare recipient, rest of the Australian population and dead. &#10;" title="Class Key for Fig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r w:rsidR="009B2D09" w:rsidRPr="00EC326F">
        <w:t xml:space="preserve">We can see that women in this class primarily came from class </w:t>
      </w:r>
      <w:r w:rsidR="00FF7EC9">
        <w:t>‘</w:t>
      </w:r>
      <w:r w:rsidR="009B2D09" w:rsidRPr="00EC326F">
        <w:t xml:space="preserve">7 Non IS Family’, but with material numbers </w:t>
      </w:r>
      <w:r w:rsidR="000B1C9E" w:rsidRPr="00EC326F">
        <w:t xml:space="preserve">also </w:t>
      </w:r>
      <w:r w:rsidR="009B2D09" w:rsidRPr="00EC326F">
        <w:t>coming from Working Age, Parents and Carers (income support) as well. This is likely a result of women with children ceasing to become eligible for parenting and/or FTB payments as their children age.</w:t>
      </w:r>
    </w:p>
    <w:p w14:paraId="68023148" w14:textId="77777777" w:rsidR="009B2D09" w:rsidRPr="002A0A1A" w:rsidRDefault="009B2D09" w:rsidP="009B2D09">
      <w:pPr>
        <w:pStyle w:val="PwCNormal"/>
        <w:numPr>
          <w:ilvl w:val="0"/>
          <w:numId w:val="1"/>
        </w:numPr>
      </w:pPr>
      <w:r w:rsidRPr="00EC326F">
        <w:lastRenderedPageBreak/>
        <w:t>Men in this class primarily entered this class directly from outside the welfare system, although a small proportion had previously been in Working Age, Carer (income support) or Non IS Family.</w:t>
      </w:r>
    </w:p>
    <w:p w14:paraId="372977BD" w14:textId="77777777" w:rsidR="009B2D09" w:rsidRPr="002A0A1A" w:rsidRDefault="009B2D09" w:rsidP="009B2D09">
      <w:pPr>
        <w:pStyle w:val="PwCNormal"/>
        <w:numPr>
          <w:ilvl w:val="0"/>
          <w:numId w:val="1"/>
        </w:numPr>
      </w:pPr>
      <w:r w:rsidRPr="00EC326F">
        <w:t>As age increases, a larger proportion of people (re-)enter the welfare system directly into this class.</w:t>
      </w:r>
    </w:p>
    <w:p w14:paraId="4CE36CAB" w14:textId="77777777" w:rsidR="009B2D09" w:rsidRPr="00EC326F" w:rsidRDefault="009B2D09" w:rsidP="009B2D09">
      <w:pPr>
        <w:pStyle w:val="Minorheading"/>
      </w:pPr>
      <w:r w:rsidRPr="00EC326F">
        <w:t>Movements out of this class</w:t>
      </w:r>
    </w:p>
    <w:p w14:paraId="4BCCC23F" w14:textId="693367B2" w:rsidR="009B2D09" w:rsidRPr="00EC326F" w:rsidRDefault="00C27CCE" w:rsidP="00C27CCE">
      <w:pPr>
        <w:pStyle w:val="PwCNormal"/>
      </w:pPr>
      <w:r w:rsidRPr="00C27CCE">
        <w:t>Over the last 3 years, an average of 32,000 people (16%) per annum have transitioned out of the Non IS Carers class, a similar number to those who have entered this</w:t>
      </w:r>
      <w:r>
        <w:t xml:space="preserve"> class (31,300 p.a. on average)</w:t>
      </w:r>
      <w:r w:rsidR="009B2D09" w:rsidRPr="00EC326F">
        <w:t xml:space="preserve">. The following charts show the breakdown of this by age, gender and destination class. </w:t>
      </w:r>
    </w:p>
    <w:p w14:paraId="0944DAD5" w14:textId="77777777" w:rsidR="009B2D09" w:rsidRPr="00EC326F" w:rsidRDefault="009B2D09" w:rsidP="009B2D09">
      <w:pPr>
        <w:pStyle w:val="Caption"/>
      </w:pPr>
      <w:r w:rsidRPr="00EC326F">
        <w:t xml:space="preserve">Figure </w:t>
      </w:r>
      <w:fldSimple w:instr=" SEQ Figure \* ARABIC ">
        <w:r w:rsidR="007A42DF">
          <w:rPr>
            <w:noProof/>
          </w:rPr>
          <w:t>73</w:t>
        </w:r>
      </w:fldSimple>
      <w:r w:rsidRPr="00EC326F">
        <w:t>: Number of people leaving Class 8 – Non IS Carers (annual average over last 3 years)</w:t>
      </w:r>
    </w:p>
    <w:tbl>
      <w:tblPr>
        <w:tblW w:w="4922" w:type="pct"/>
        <w:tblLayout w:type="fixed"/>
        <w:tblLook w:val="04A0" w:firstRow="1" w:lastRow="0" w:firstColumn="1" w:lastColumn="0" w:noHBand="0" w:noVBand="1"/>
        <w:tblCaption w:val=" Number of people leaving Class 8 – Non IS Carers (annual average over last 3 years)"/>
        <w:tblDescription w:val="This text box contains two charts and a legend.&#10;"/>
      </w:tblPr>
      <w:tblGrid>
        <w:gridCol w:w="4962"/>
        <w:gridCol w:w="4962"/>
      </w:tblGrid>
      <w:tr w:rsidR="009B2D09" w:rsidRPr="00EC326F" w14:paraId="6874CF0C" w14:textId="77777777" w:rsidTr="001B43B4">
        <w:trPr>
          <w:tblHeader/>
        </w:trPr>
        <w:tc>
          <w:tcPr>
            <w:tcW w:w="4962" w:type="dxa"/>
          </w:tcPr>
          <w:p w14:paraId="318BDF18" w14:textId="77777777" w:rsidR="009B2D09" w:rsidRPr="00EC326F" w:rsidRDefault="009B2D09" w:rsidP="000D6C29">
            <w:pPr>
              <w:pStyle w:val="TableTextSmall"/>
              <w:keepNext/>
              <w:jc w:val="center"/>
              <w:rPr>
                <w:b/>
                <w:i/>
              </w:rPr>
            </w:pPr>
            <w:r w:rsidRPr="00EC326F">
              <w:rPr>
                <w:b/>
                <w:i/>
              </w:rPr>
              <w:t>Males</w:t>
            </w:r>
          </w:p>
        </w:tc>
        <w:tc>
          <w:tcPr>
            <w:tcW w:w="4962" w:type="dxa"/>
          </w:tcPr>
          <w:p w14:paraId="5DFA5AA8" w14:textId="77777777" w:rsidR="009B2D09" w:rsidRPr="00EC326F" w:rsidRDefault="009B2D09" w:rsidP="000D6C29">
            <w:pPr>
              <w:pStyle w:val="TableTextSmall"/>
              <w:keepNext/>
              <w:jc w:val="center"/>
              <w:rPr>
                <w:b/>
                <w:i/>
              </w:rPr>
            </w:pPr>
            <w:r w:rsidRPr="00EC326F">
              <w:rPr>
                <w:b/>
                <w:i/>
              </w:rPr>
              <w:t>Females</w:t>
            </w:r>
          </w:p>
        </w:tc>
      </w:tr>
      <w:tr w:rsidR="009B2D09" w:rsidRPr="00EC326F" w14:paraId="34ECCBFA" w14:textId="77777777" w:rsidTr="0016127C">
        <w:tc>
          <w:tcPr>
            <w:tcW w:w="4962" w:type="dxa"/>
          </w:tcPr>
          <w:p w14:paraId="6437EE67"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2E5A0B9E" wp14:editId="32EF6F06">
                  <wp:extent cx="3009900" cy="1876425"/>
                  <wp:effectExtent l="0" t="0" r="0" b="9525"/>
                  <wp:docPr id="3919" name="Picture 3919" descr="This figure contains two area charts showing the cumulative number of exits from the Non IS Carers class by age. The age profile of male and female exits is shown separately. For both charts the horizontal axis shows age at the start of the year ranging from 0 to 110 and the vertical axis shows the cumulative number of people exiting ranging from 0 to 1,000.&#10;&#10;The left hand chart shows the average number of males exiting the class over the period from June 2014 to June 2016, by age.&#10;&#10;Both area charts show the cumulative number of people who exited the Non IS Carers class split by class they subsequently transition to. These classes include; 1 Studying, 2 Working Age, 3 Parents, 4 Carers, 5 Disability Support, 6 Pension Age, 7 Non-IS Family, 9 Non-IS Other, 10 Previous Welfare Recipient, 11 Dead and 12 Rest of the Australian Population.&#10;&#10;The chart on the left shows that the majority of males who exit move into Class 10 Previous Welfare Recipient, with a smaller amount moving into class 2 Working Age or Class 4 Carers before the age of 65, or moving into Class 6 Pension Age from age 65 onwards. The number of male exits rises with age from almost no exits at age 15 to nearly 200 exits at age 64. At age 65 there is a peak in exits (360 exits). From age 65-95, the number of male exits fluctuates between 50 and 100. &#10;&#10;Further discussion of the key features shown in the chart can be found in the accompanying text within the report.&#10;" title=" Number of people leaving Class 8 – Non IS Carers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962" w:type="dxa"/>
          </w:tcPr>
          <w:p w14:paraId="50C1C699"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727C7A47" wp14:editId="268307DB">
                  <wp:extent cx="3009900" cy="1876425"/>
                  <wp:effectExtent l="0" t="0" r="0" b="9525"/>
                  <wp:docPr id="3920" name="Picture 3920" descr="The right hand chart shows the average number of females exiting the class over the period from June 2014 to June 2016, by age.&#10;&#10;For females, the number of exits rises quickly from 0 exits at age 15 to 800 exits at age 45. The number of exits then falls with age to a trough of 500 exits at age 64. Similar to the male exits profile, there is a peak in the number of exits at age 65 (750 exits).  The number of exits quickly falls to around 100 exits and remains at this level until age 90. Before the age of 65, the majority of female exits move into Class 10 Previous Welfare Recipient or Class 7 Non IS Family, with a smaller yet still substantial amount moving into Class 4 Carers, Class 3 Parents or Class 2 Working Age. From age 65 onwards, the majority of females who exit move into Class 10 Previous Welfare Recipient, Class 6 Pension Age or Class 9 Non IS Other. " title=" Number of people leaving Class 8 – Non IS Carers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354638ED" w14:textId="6202AB4C" w:rsidR="00833C7E" w:rsidRDefault="00833C7E" w:rsidP="0081675B">
      <w:pPr>
        <w:pStyle w:val="PwCNormal"/>
        <w:numPr>
          <w:ilvl w:val="0"/>
          <w:numId w:val="1"/>
        </w:numPr>
        <w:jc w:val="center"/>
      </w:pPr>
      <w:r w:rsidRPr="00EC326F">
        <w:rPr>
          <w:noProof/>
          <w:lang w:eastAsia="en-AU"/>
        </w:rPr>
        <w:drawing>
          <wp:inline distT="0" distB="0" distL="0" distR="0" wp14:anchorId="1B725C3A" wp14:editId="0D48D9D7">
            <wp:extent cx="5385600" cy="468000"/>
            <wp:effectExtent l="0" t="0" r="0" b="8255"/>
            <wp:docPr id="3155" name="Picture 3155" descr="Class key: studying, working age, parents, carers, disability support, pension age, non-income support family, non-income support carer, non-income support other, previous welfare recipient, rest of the Australian population and dead. &#10;" title="Class Key for Fig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454773E4" w14:textId="741DFEC3" w:rsidR="009B2D09" w:rsidRPr="00EC326F" w:rsidRDefault="009B2D09" w:rsidP="009B2D09">
      <w:pPr>
        <w:pStyle w:val="PwCNormal"/>
        <w:numPr>
          <w:ilvl w:val="0"/>
          <w:numId w:val="1"/>
        </w:numPr>
      </w:pPr>
      <w:r w:rsidRPr="00EC326F">
        <w:t xml:space="preserve">People leaving the Non IS Carers class typically exit the payment system or, for women, move to the Non IS Family class. A smaller proportion of people move to the </w:t>
      </w:r>
      <w:r w:rsidR="000B1C9E" w:rsidRPr="00EC326F">
        <w:t xml:space="preserve">carer class, </w:t>
      </w:r>
      <w:r w:rsidR="00916C7F">
        <w:t>W</w:t>
      </w:r>
      <w:r w:rsidRPr="00EC326F">
        <w:t xml:space="preserve">orking </w:t>
      </w:r>
      <w:r w:rsidR="00916C7F">
        <w:t>A</w:t>
      </w:r>
      <w:r w:rsidRPr="00EC326F">
        <w:t xml:space="preserve">ge class or (for women) the </w:t>
      </w:r>
      <w:r w:rsidR="00916C7F">
        <w:t>P</w:t>
      </w:r>
      <w:r w:rsidRPr="00EC326F">
        <w:t>arent</w:t>
      </w:r>
      <w:r w:rsidR="00A53A6E">
        <w:t>ing</w:t>
      </w:r>
      <w:r w:rsidRPr="00EC326F">
        <w:t xml:space="preserve"> class.</w:t>
      </w:r>
    </w:p>
    <w:p w14:paraId="6135D9AD" w14:textId="77777777" w:rsidR="009B2D09" w:rsidRPr="00EC326F" w:rsidRDefault="009B2D09" w:rsidP="009B2D09">
      <w:pPr>
        <w:pStyle w:val="PwCNormal"/>
        <w:numPr>
          <w:ilvl w:val="0"/>
          <w:numId w:val="1"/>
        </w:numPr>
      </w:pPr>
      <w:r w:rsidRPr="00EC326F">
        <w:t>People in this class have shown somewhat limited mobility; this is more so for women than for men. As people are typically caring for a partner, child or other adult (e.g. disabled person or parent) this may reflect a different mix of people being cared for.</w:t>
      </w:r>
    </w:p>
    <w:p w14:paraId="69ECB89B" w14:textId="77777777" w:rsidR="009B2D09" w:rsidRPr="00EC326F" w:rsidRDefault="009B2D09" w:rsidP="009B2D09">
      <w:pPr>
        <w:pStyle w:val="Minorheading"/>
      </w:pPr>
      <w:r w:rsidRPr="00EC326F">
        <w:lastRenderedPageBreak/>
        <w:t>Payments received</w:t>
      </w:r>
    </w:p>
    <w:p w14:paraId="39730EB1" w14:textId="77777777" w:rsidR="009B2D09" w:rsidRPr="00EC326F" w:rsidRDefault="009B2D09" w:rsidP="000B1C9E">
      <w:pPr>
        <w:pStyle w:val="PwCNormal-keepwithnext"/>
      </w:pPr>
      <w:r w:rsidRPr="00EC326F">
        <w:t>During 2015/16, people in this class received a total of $1.4 billion. This is 1.2% of the total payments made in 2015/16. The charts below show the average amount paid in a year to each person in this class.</w:t>
      </w:r>
    </w:p>
    <w:p w14:paraId="0E0763DC" w14:textId="77777777" w:rsidR="009B2D09" w:rsidRPr="00EC326F" w:rsidRDefault="009B2D09" w:rsidP="009B2D09">
      <w:pPr>
        <w:pStyle w:val="Caption"/>
      </w:pPr>
      <w:r w:rsidRPr="00EC326F">
        <w:t xml:space="preserve">Figure </w:t>
      </w:r>
      <w:fldSimple w:instr=" SEQ Figure \* ARABIC ">
        <w:r w:rsidR="007A42DF">
          <w:rPr>
            <w:noProof/>
          </w:rPr>
          <w:t>74</w:t>
        </w:r>
      </w:fldSimple>
      <w:r w:rsidRPr="00EC326F">
        <w:t>: Average payments per person in Class 8 – Non IS Carers</w:t>
      </w:r>
      <w:r w:rsidR="00321A6F" w:rsidRPr="00EC326F">
        <w:t xml:space="preserve"> (restated to 2015/16 $ values)</w:t>
      </w:r>
    </w:p>
    <w:p w14:paraId="4C8EB44E" w14:textId="3DC37CA5" w:rsidR="009B2D09" w:rsidRPr="00EC326F" w:rsidRDefault="009B2D09" w:rsidP="000B1C9E">
      <w:pPr>
        <w:pStyle w:val="PwCNormal-keepwithnext"/>
      </w:pPr>
      <w:r w:rsidRPr="00EC326F">
        <w:rPr>
          <w:noProof/>
          <w:lang w:eastAsia="en-AU"/>
        </w:rPr>
        <w:drawing>
          <wp:inline distT="0" distB="0" distL="0" distR="0" wp14:anchorId="57EDA7CD" wp14:editId="0EA1EB4B">
            <wp:extent cx="5716800" cy="2001192"/>
            <wp:effectExtent l="0" t="0" r="0" b="0"/>
            <wp:docPr id="3923" name="Picture 3923" descr="This figure is a stacked column chart. The vertical axis displays the average payment per person in the Non IS Carers Class, ranging from $0 to $10,000.&#10;&#10;The horizontal axis is split into two sections; the first for males and the second for females. Each section is further split to show the last five financial years; 2012, 2013, 2014, 2015 and 2016.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8 was: $4,800 for 2012; $4,900 for 2013; $5,000 for 2014; $5,000 for 2015; and $4,700 for 2016.&#10;&#10;For females the approximate average payment per person in Class 8 was: $8,900 for 2012; $8,800 for 2013; $8,900 for 2014; $8,700 for 2015; and $7,300 for 2016.&#10;&#10;The majority of payments for males were from the Other – Carer category, with a smaller amount coming from the Other – FTB category. The majority of payments for females was split almost equally between the Other – Carer and Other – FTB categories, with a smaller amount coming from the Other – Family category.&#10;&#10;The key features of this chart are described in the accompanying text within the report.&#10;" title=" Average payments per person in Class 8 – Non IS Carers (restated to 2015/16 $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6800" cy="2001192"/>
                    </a:xfrm>
                    <a:prstGeom prst="rect">
                      <a:avLst/>
                    </a:prstGeom>
                    <a:noFill/>
                    <a:ln>
                      <a:noFill/>
                    </a:ln>
                  </pic:spPr>
                </pic:pic>
              </a:graphicData>
            </a:graphic>
          </wp:inline>
        </w:drawing>
      </w:r>
    </w:p>
    <w:p w14:paraId="19A7F5D2" w14:textId="77777777" w:rsidR="009B2D09" w:rsidRPr="002A0A1A" w:rsidRDefault="009B2D09" w:rsidP="00716FF0">
      <w:pPr>
        <w:pStyle w:val="PwCNormal"/>
        <w:widowControl w:val="0"/>
        <w:numPr>
          <w:ilvl w:val="0"/>
          <w:numId w:val="0"/>
        </w:numPr>
        <w:ind w:firstLine="720"/>
      </w:pPr>
      <w:r w:rsidRPr="00EC326F">
        <w:rPr>
          <w:noProof/>
          <w:lang w:eastAsia="en-AU"/>
        </w:rPr>
        <w:drawing>
          <wp:inline distT="0" distB="0" distL="0" distR="0" wp14:anchorId="082E5B3B" wp14:editId="68B6F90C">
            <wp:extent cx="4860000" cy="467785"/>
            <wp:effectExtent l="0" t="0" r="0" b="8890"/>
            <wp:docPr id="3922" name="Picture 3922"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5B8E38D4" w14:textId="77777777" w:rsidR="009B2D09" w:rsidRPr="00EC326F" w:rsidRDefault="009B2D09" w:rsidP="009B2D09">
      <w:pPr>
        <w:pStyle w:val="PwCNormal"/>
        <w:numPr>
          <w:ilvl w:val="0"/>
          <w:numId w:val="1"/>
        </w:numPr>
      </w:pPr>
      <w:r w:rsidRPr="00EC326F">
        <w:t>As shown in the chart above, the average amount per person for 2015/16 is significantly lower than prior years, especially for women. This is due to the latest year being understated, as it will not fully reflect all FTB and family payments as these can be received as part of an income tax assessment post 30 June.</w:t>
      </w:r>
    </w:p>
    <w:p w14:paraId="7A26F80D" w14:textId="77777777" w:rsidR="009B2D09" w:rsidRPr="00EC326F" w:rsidRDefault="009B2D09" w:rsidP="009B2D09">
      <w:pPr>
        <w:pStyle w:val="PwCNormal"/>
        <w:numPr>
          <w:ilvl w:val="0"/>
          <w:numId w:val="0"/>
        </w:numPr>
      </w:pPr>
      <w:r w:rsidRPr="00EC326F">
        <w:t>The average payment made in 2014/15 (noting the understating of 2015/16) was $8,100 with higher average payments being made to women ($8,700) than men ($5,000) as a result of them being more likely to also be claiming FTB and family payments. This average amount per person is much lower than that for people in the income support classes.</w:t>
      </w:r>
    </w:p>
    <w:p w14:paraId="4406FF29" w14:textId="77777777" w:rsidR="009B2D09" w:rsidRPr="00EC326F" w:rsidRDefault="009B2D09" w:rsidP="009B2D09">
      <w:pPr>
        <w:pStyle w:val="Heading4"/>
      </w:pPr>
      <w:r w:rsidRPr="00EC326F">
        <w:t>What have we taken into account in fitting assumptions?</w:t>
      </w:r>
    </w:p>
    <w:p w14:paraId="5B77AC39" w14:textId="5E8C6923" w:rsidR="009B2D09" w:rsidRPr="00EC326F" w:rsidRDefault="009B2D09" w:rsidP="009B2D09">
      <w:pPr>
        <w:pStyle w:val="PwCNormal"/>
        <w:numPr>
          <w:ilvl w:val="0"/>
          <w:numId w:val="1"/>
        </w:numPr>
      </w:pPr>
      <w:r w:rsidRPr="00EC326F">
        <w:t xml:space="preserve">Similar to Income Support Carer, Non-IS Carer is a very stable and persistent class. In this class, everyone receives the carer allowance and/or supplement, while 30% of people receive the FTB, family and other living payments (with utilisation of these other payments primarily reflecting the typical ages during which people have children). Therefore, also noting the smaller numbers of people and payments made for this class, we have focused on developing risk based assumptions for class movements only, while retaining foundation assumptions based on age and gender for payment utilisation and size assumptions. For </w:t>
      </w:r>
      <w:r w:rsidR="000B1C9E" w:rsidRPr="00EC326F">
        <w:t xml:space="preserve">the </w:t>
      </w:r>
      <w:r w:rsidRPr="00EC326F">
        <w:t xml:space="preserve">class movement assumptions, we have incorporated several new </w:t>
      </w:r>
      <w:r w:rsidR="007C1B83" w:rsidRPr="00EC326F">
        <w:t xml:space="preserve">class characteristic </w:t>
      </w:r>
      <w:r w:rsidRPr="00EC326F">
        <w:t xml:space="preserve">variables at this valuation, namely the number of adult and child </w:t>
      </w:r>
      <w:r w:rsidR="00A82D43">
        <w:t>care recipient</w:t>
      </w:r>
      <w:r w:rsidR="00A82D43" w:rsidRPr="00EC326F">
        <w:t>s</w:t>
      </w:r>
      <w:r w:rsidRPr="00EC326F">
        <w:t>.</w:t>
      </w:r>
    </w:p>
    <w:p w14:paraId="1916E8DE" w14:textId="77777777" w:rsidR="009B2D09" w:rsidRPr="00EC326F" w:rsidRDefault="009B2D09" w:rsidP="009B2D09">
      <w:pPr>
        <w:pStyle w:val="Minorheading"/>
      </w:pPr>
      <w:r w:rsidRPr="00EC326F">
        <w:t>Class movement assumptions</w:t>
      </w:r>
    </w:p>
    <w:p w14:paraId="1EF03E2E" w14:textId="77777777" w:rsidR="00C82C61" w:rsidRPr="00EC326F" w:rsidRDefault="009B2D09" w:rsidP="00681B3B">
      <w:pPr>
        <w:pStyle w:val="PwCNormal"/>
      </w:pPr>
      <w:r w:rsidRPr="00EC326F">
        <w:t xml:space="preserve">This is a stable class where most recipients stay in the class, but the experience is differentiated between that for those people who are at least a year below retirement age and those at or above retirement age. </w:t>
      </w:r>
    </w:p>
    <w:p w14:paraId="018E20AA" w14:textId="5D308072" w:rsidR="00C82C61" w:rsidRPr="00EC326F" w:rsidRDefault="009B2D09" w:rsidP="00681B3B">
      <w:pPr>
        <w:pStyle w:val="PwCNormal"/>
      </w:pPr>
      <w:r w:rsidRPr="00EC326F">
        <w:t>For the younger group</w:t>
      </w:r>
      <w:r w:rsidR="00C75602" w:rsidRPr="00EC326F">
        <w:t>,</w:t>
      </w:r>
      <w:r w:rsidRPr="00EC326F">
        <w:t xml:space="preserve"> </w:t>
      </w:r>
      <w:r w:rsidR="000B1C9E" w:rsidRPr="00EC326F">
        <w:t xml:space="preserve">any </w:t>
      </w:r>
      <w:r w:rsidRPr="00EC326F">
        <w:t>transitions are likely to be out of the system, but for those who remain the most common movements are into the Carer class or the Non</w:t>
      </w:r>
      <w:r w:rsidR="00C82C61" w:rsidRPr="00EC326F">
        <w:t xml:space="preserve"> </w:t>
      </w:r>
      <w:r w:rsidRPr="00EC326F">
        <w:t xml:space="preserve">IS Family class. Transitions to the Carer class are likely a reflection of the person being cared for becoming reliant on constant care and hence the recipient meeting eligibility criteria for income support. </w:t>
      </w:r>
      <w:r w:rsidR="00C75602" w:rsidRPr="00EC326F">
        <w:t xml:space="preserve">The previous class of the recipient was also a strong predictor; </w:t>
      </w:r>
      <w:r w:rsidR="00C92097" w:rsidRPr="00EC326F">
        <w:t xml:space="preserve">some </w:t>
      </w:r>
      <w:r w:rsidR="00C75602" w:rsidRPr="00EC326F">
        <w:t xml:space="preserve">people may be acting as a carer throughout but transitioning in and out of income support according to fluctuating employment circumstances, </w:t>
      </w:r>
      <w:r w:rsidR="00C92097" w:rsidRPr="00EC326F">
        <w:t>while others may only be temporary carers and exit the welfare system once their role as a carer ends</w:t>
      </w:r>
      <w:r w:rsidR="00C75602" w:rsidRPr="00EC326F">
        <w:t xml:space="preserve">. </w:t>
      </w:r>
      <w:r w:rsidR="00681B3B" w:rsidRPr="00EC326F">
        <w:t>Carers</w:t>
      </w:r>
      <w:r w:rsidR="00C82C61" w:rsidRPr="00EC326F">
        <w:t xml:space="preserve"> </w:t>
      </w:r>
      <w:r w:rsidR="00681B3B" w:rsidRPr="00EC326F">
        <w:t xml:space="preserve">becoming or remaining single were more likely to move out of this class. </w:t>
      </w:r>
      <w:r w:rsidR="00C75602" w:rsidRPr="00EC326F">
        <w:t>P</w:t>
      </w:r>
      <w:r w:rsidR="00C82C61" w:rsidRPr="00EC326F">
        <w:t>eople with a</w:t>
      </w:r>
      <w:r w:rsidR="00C92097" w:rsidRPr="00EC326F">
        <w:t xml:space="preserve">t least one </w:t>
      </w:r>
      <w:r w:rsidR="00C82C61" w:rsidRPr="00EC326F">
        <w:t xml:space="preserve">child </w:t>
      </w:r>
      <w:r w:rsidR="00A82D43">
        <w:t>care recipient</w:t>
      </w:r>
      <w:r w:rsidR="00A82D43" w:rsidRPr="00EC326F">
        <w:t xml:space="preserve"> </w:t>
      </w:r>
      <w:r w:rsidR="00C82C61" w:rsidRPr="00EC326F">
        <w:t xml:space="preserve">were more likely to </w:t>
      </w:r>
      <w:r w:rsidR="00C92097" w:rsidRPr="00EC326F">
        <w:t xml:space="preserve">move to an income support class (as opposed to </w:t>
      </w:r>
      <w:r w:rsidR="00C82C61" w:rsidRPr="00EC326F">
        <w:t xml:space="preserve">those </w:t>
      </w:r>
      <w:r w:rsidR="00C75602" w:rsidRPr="00EC326F">
        <w:t xml:space="preserve">who only had adult </w:t>
      </w:r>
      <w:r w:rsidR="00A82D43">
        <w:t>care recipient</w:t>
      </w:r>
      <w:r w:rsidR="00A82D43" w:rsidRPr="00EC326F">
        <w:t>s</w:t>
      </w:r>
      <w:r w:rsidR="00C92097" w:rsidRPr="00EC326F">
        <w:t>, who were more likely to remain off income support or exit the welfare system altogether)</w:t>
      </w:r>
      <w:r w:rsidR="00C82C61" w:rsidRPr="00EC326F">
        <w:t>.</w:t>
      </w:r>
    </w:p>
    <w:p w14:paraId="4487C4D7" w14:textId="77777777" w:rsidR="009B2D09" w:rsidRPr="002A0A1A" w:rsidRDefault="00681B3B" w:rsidP="00681B3B">
      <w:pPr>
        <w:pStyle w:val="PwCNormal"/>
      </w:pPr>
      <w:r w:rsidRPr="00EC326F">
        <w:t xml:space="preserve">The </w:t>
      </w:r>
      <w:r w:rsidR="009B2D09" w:rsidRPr="00EC326F">
        <w:t xml:space="preserve">older recipients </w:t>
      </w:r>
      <w:r w:rsidRPr="00EC326F">
        <w:t>generally remain in this class, leave the welfare system, or move to the age pension on retirement.</w:t>
      </w:r>
      <w:r w:rsidR="009B2D09" w:rsidRPr="00EC326F">
        <w:t xml:space="preserve"> The most significant variables in the model are those relating to the partnership status of the </w:t>
      </w:r>
      <w:r w:rsidR="009B2D09" w:rsidRPr="00EC326F">
        <w:lastRenderedPageBreak/>
        <w:t>recipient</w:t>
      </w:r>
      <w:r w:rsidRPr="00EC326F">
        <w:t xml:space="preserve"> and whether </w:t>
      </w:r>
      <w:r w:rsidR="009B2D09" w:rsidRPr="00EC326F">
        <w:t xml:space="preserve">have received </w:t>
      </w:r>
      <w:r w:rsidRPr="00EC326F">
        <w:t xml:space="preserve">other general </w:t>
      </w:r>
      <w:r w:rsidR="009B2D09" w:rsidRPr="00EC326F">
        <w:t>supplements.</w:t>
      </w:r>
      <w:r w:rsidRPr="00EC326F">
        <w:t xml:space="preserve"> Again, single people were more likely to move out of this class, whereas those who had received other supplements were (not surprisingly) less likely to leave the welfare system.</w:t>
      </w:r>
    </w:p>
    <w:p w14:paraId="279756F5" w14:textId="77777777" w:rsidR="009B2D09" w:rsidRPr="00EC326F" w:rsidRDefault="009B2D09" w:rsidP="009B2D09">
      <w:pPr>
        <w:pStyle w:val="Minorheading"/>
      </w:pPr>
      <w:r w:rsidRPr="00EC326F">
        <w:t>Payment utilisation and size assumptions</w:t>
      </w:r>
    </w:p>
    <w:p w14:paraId="73EFB4B1" w14:textId="77777777" w:rsidR="009B2D09" w:rsidRPr="00EC326F" w:rsidRDefault="009B2D09" w:rsidP="009B2D09">
      <w:pPr>
        <w:pStyle w:val="PwCNormal"/>
        <w:numPr>
          <w:ilvl w:val="0"/>
          <w:numId w:val="1"/>
        </w:numPr>
      </w:pPr>
      <w:r w:rsidRPr="00EC326F">
        <w:t xml:space="preserve">The carer allowance and supplement comprise around half the </w:t>
      </w:r>
      <w:r w:rsidR="000B1C9E" w:rsidRPr="00EC326F">
        <w:t xml:space="preserve">annual </w:t>
      </w:r>
      <w:r w:rsidRPr="00EC326F">
        <w:t xml:space="preserve">cost, with FTB (35% </w:t>
      </w:r>
      <w:r w:rsidR="00D409B2" w:rsidRPr="00EC326F">
        <w:t>of cost) and family payments (10</w:t>
      </w:r>
      <w:r w:rsidRPr="00EC326F">
        <w:t xml:space="preserve">% of cost) comprising the majority of the remainder. The utilisation rates for FTB and family payments by age reflect the typical ages during which people have children. </w:t>
      </w:r>
    </w:p>
    <w:p w14:paraId="4DF3D346" w14:textId="77777777" w:rsidR="009B2D09" w:rsidRPr="00EC326F" w:rsidRDefault="009B2D09" w:rsidP="009B2D09">
      <w:pPr>
        <w:pStyle w:val="PwCNormal"/>
        <w:numPr>
          <w:ilvl w:val="0"/>
          <w:numId w:val="0"/>
        </w:numPr>
      </w:pPr>
      <w:r w:rsidRPr="00EC326F">
        <w:t xml:space="preserve">The average sizes by age generally increase through to age 40, then decrease for older ages. The shape of the average sizes by age may be related to the number of people typically being cared for at different ages, which impacts payment rates. </w:t>
      </w:r>
    </w:p>
    <w:p w14:paraId="1DFD10B4" w14:textId="77777777" w:rsidR="009B2D09" w:rsidRPr="00EC326F" w:rsidRDefault="009B2D09" w:rsidP="009B2D09">
      <w:pPr>
        <w:pStyle w:val="Heading4"/>
      </w:pPr>
      <w:r w:rsidRPr="00EC326F">
        <w:t>What does the model show for current Non IS Carers?</w:t>
      </w:r>
    </w:p>
    <w:p w14:paraId="10768EED" w14:textId="77777777" w:rsidR="009B2D09" w:rsidRPr="00EC326F" w:rsidRDefault="009B2D09" w:rsidP="009B2D09">
      <w:pPr>
        <w:pStyle w:val="Minorheading"/>
      </w:pPr>
      <w:r w:rsidRPr="00EC326F">
        <w:t>Lifetime costs</w:t>
      </w:r>
    </w:p>
    <w:p w14:paraId="2F55E327" w14:textId="77777777" w:rsidR="009B2D09" w:rsidRPr="00EC326F" w:rsidRDefault="009B2D09" w:rsidP="009B2D09">
      <w:pPr>
        <w:pStyle w:val="PwCNormal"/>
        <w:numPr>
          <w:ilvl w:val="0"/>
          <w:numId w:val="1"/>
        </w:numPr>
      </w:pPr>
      <w:r w:rsidRPr="00EC326F">
        <w:t xml:space="preserve">We estimated the lifetime cost for the people in this class to be </w:t>
      </w:r>
      <w:r w:rsidRPr="00EC326F">
        <w:rPr>
          <w:b/>
        </w:rPr>
        <w:t>$41bn</w:t>
      </w:r>
      <w:r w:rsidRPr="00EC326F">
        <w:t xml:space="preserve"> (or </w:t>
      </w:r>
      <w:r w:rsidRPr="00EC326F">
        <w:rPr>
          <w:b/>
        </w:rPr>
        <w:t>0.9%</w:t>
      </w:r>
      <w:r w:rsidRPr="00EC326F">
        <w:t xml:space="preserve"> of the total lifetime cost). The average lifetime cost for people in this class is </w:t>
      </w:r>
      <w:r w:rsidRPr="00EC326F">
        <w:rPr>
          <w:b/>
        </w:rPr>
        <w:t>$206,000</w:t>
      </w:r>
      <w:r w:rsidRPr="00EC326F">
        <w:t>. The variation in average lifetime cost by age and gender is illustrated in the figure below.</w:t>
      </w:r>
    </w:p>
    <w:p w14:paraId="0CF82CD5" w14:textId="77777777" w:rsidR="009B2D09" w:rsidRPr="00EC326F" w:rsidRDefault="009B2D09" w:rsidP="009B2D09">
      <w:pPr>
        <w:pStyle w:val="Caption"/>
      </w:pPr>
      <w:r w:rsidRPr="00EC326F">
        <w:t xml:space="preserve">Figure </w:t>
      </w:r>
      <w:fldSimple w:instr=" SEQ Figure \* ARABIC ">
        <w:r w:rsidR="007A42DF">
          <w:rPr>
            <w:noProof/>
          </w:rPr>
          <w:t>75</w:t>
        </w:r>
      </w:fldSimple>
      <w:r w:rsidRPr="00EC326F">
        <w:t>: Average lifetime cost by age and gender (Class 8)</w:t>
      </w:r>
    </w:p>
    <w:tbl>
      <w:tblPr>
        <w:tblStyle w:val="Tables-APBase"/>
        <w:tblW w:w="443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Average lifetime cost by age and gender (Class 8)&#10;"/>
        <w:tblDescription w:val="This figure is a horizontal bar chart showing average lifetime cost by age for males and females separately. The vertical axis shows age with the data shown ranging from 21 to 92.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201,000 individuals who were in the non income support – carers class at 30 June 2016. &#10;&#10;The average lifetime cost for males aged 23 is $225,000. After this point, average lifetime cost steadily decreases with age to approximately $120,000 at age 65. &#10;&#10;The average lifetime cost of females is approximately $375,000 between ages 21 and 29. The substantially higher average lifetime cost relative to males is due to higher family and non-income support carer components. After age 29, there is a steady reduction in average lifetime cost by age to approximately $100,000 at age 65. &#10;&#10;For both males and females aged over 65, there is a substantial reduction in average lifetime cost by age. People aged 70 have an average lifetime cost of approximately $55,000 and people aged 80 have an average lifetime cost of approximately $25,000.&#10;&#10;The features shown in the chart are discussed further in the accompanying text within the report.&#10;"/>
      </w:tblPr>
      <w:tblGrid>
        <w:gridCol w:w="5671"/>
        <w:gridCol w:w="3261"/>
      </w:tblGrid>
      <w:tr w:rsidR="009B2D09" w:rsidRPr="00EC326F" w14:paraId="32B87F27" w14:textId="77777777" w:rsidTr="009C6553">
        <w:trPr>
          <w:tblHeader/>
        </w:trPr>
        <w:tc>
          <w:tcPr>
            <w:tcW w:w="5670" w:type="dxa"/>
          </w:tcPr>
          <w:p w14:paraId="27DC9CCE" w14:textId="0F919EE2" w:rsidR="009B2D09" w:rsidRPr="00EC326F" w:rsidRDefault="00BB1D8F" w:rsidP="000D6C29">
            <w:pPr>
              <w:pStyle w:val="TableTextSmall"/>
              <w:keepNext/>
              <w:rPr>
                <w:lang w:eastAsia="en-AU"/>
              </w:rPr>
            </w:pPr>
            <w:r w:rsidRPr="00BB1D8F">
              <w:rPr>
                <w:noProof/>
                <w:lang w:eastAsia="en-AU"/>
              </w:rPr>
              <w:drawing>
                <wp:inline distT="0" distB="0" distL="0" distR="0" wp14:anchorId="7F09717F" wp14:editId="24BEB7BF">
                  <wp:extent cx="3356412" cy="2160000"/>
                  <wp:effectExtent l="0" t="0" r="0" b="0"/>
                  <wp:docPr id="1066" name="Picture 5" descr="This figure is a horizontal bar chart showing average lifetime cost by age for males and females separately. The vertical axis shows age with the data shown ranging from 21 to 92.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201,000 individuals who were in the non income support – carers class at 30 June 2016. &#10;&#10;The average lifetime cost for males aged 23 is $225,000. After this point, average lifetime cost steadily decreases with age to approximately $120,000 at age 65. &#10;&#10;The average lifetime cost of females is approximately $375,000 between ages 21 and 29. The substantially higher average lifetime cost relative to males is due to higher family and non-income support carer components. After age 29, there is a steady reduction in average lifetime cost by age to approximately $100,000 at age 65. &#10;&#10;For both males and females aged over 65, there is a substantial reduction in average lifetime cost by age. People aged 70 have an average lifetime cost of approximately $55,000 and people aged 80 have an average lifetime cost of approximately $25,000.&#10;&#10;The features shown in the chart are discussed further in the accompanying text within the report.&#10;" title=" Average lifetime cost by age and gender (Class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9"/>
                          <a:stretch>
                            <a:fillRect/>
                          </a:stretch>
                        </pic:blipFill>
                        <pic:spPr>
                          <a:xfrm>
                            <a:off x="0" y="0"/>
                            <a:ext cx="3356412" cy="2160000"/>
                          </a:xfrm>
                          <a:prstGeom prst="rect">
                            <a:avLst/>
                          </a:prstGeom>
                        </pic:spPr>
                      </pic:pic>
                    </a:graphicData>
                  </a:graphic>
                </wp:inline>
              </w:drawing>
            </w:r>
          </w:p>
        </w:tc>
        <w:tc>
          <w:tcPr>
            <w:tcW w:w="3261" w:type="dxa"/>
          </w:tcPr>
          <w:p w14:paraId="557851DE" w14:textId="77777777" w:rsidR="009B2D09" w:rsidRPr="00EC326F" w:rsidRDefault="009B2D09" w:rsidP="000D6C29">
            <w:pPr>
              <w:pStyle w:val="TableTextSmall"/>
              <w:keepNext/>
              <w:rPr>
                <w:lang w:eastAsia="en-AU"/>
              </w:rPr>
            </w:pPr>
          </w:p>
          <w:p w14:paraId="03E992FC"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14A44978" wp14:editId="10CC345B">
                  <wp:extent cx="1080000" cy="1608980"/>
                  <wp:effectExtent l="0" t="0" r="0" b="0"/>
                  <wp:docPr id="3924" name="Picture 3924"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0000" cy="1608980"/>
                          </a:xfrm>
                          <a:prstGeom prst="rect">
                            <a:avLst/>
                          </a:prstGeom>
                          <a:noFill/>
                          <a:ln>
                            <a:noFill/>
                          </a:ln>
                        </pic:spPr>
                      </pic:pic>
                    </a:graphicData>
                  </a:graphic>
                </wp:inline>
              </w:drawing>
            </w:r>
          </w:p>
        </w:tc>
      </w:tr>
    </w:tbl>
    <w:p w14:paraId="6AF2B815" w14:textId="60890EE1" w:rsidR="009B2D09" w:rsidRPr="00EC326F" w:rsidRDefault="009B2D09" w:rsidP="009B2D09">
      <w:pPr>
        <w:pStyle w:val="PwCNormal"/>
        <w:numPr>
          <w:ilvl w:val="0"/>
          <w:numId w:val="0"/>
        </w:numPr>
      </w:pPr>
      <w:r w:rsidRPr="00EC326F">
        <w:t>The costs differ between genders with around $178,000 for men and $21</w:t>
      </w:r>
      <w:r w:rsidR="00D101C0">
        <w:t>2</w:t>
      </w:r>
      <w:r w:rsidRPr="00EC326F">
        <w:t>,000 for women. We can see that a major part of the difference is for younger women and arises from their increased propensity to receive FTB and family payments.</w:t>
      </w:r>
    </w:p>
    <w:p w14:paraId="7C8CF151" w14:textId="77777777" w:rsidR="009B2D09" w:rsidRPr="00EC326F" w:rsidRDefault="009B2D09" w:rsidP="009B2D09">
      <w:pPr>
        <w:pStyle w:val="PwCNormal"/>
        <w:numPr>
          <w:ilvl w:val="0"/>
          <w:numId w:val="0"/>
        </w:numPr>
      </w:pPr>
      <w:r w:rsidRPr="00EC326F">
        <w:t>The general shape of this pyramid is similar to that for the previous class (non IS family) with significant reductions in average lifetime costs once people pass pension age, reflecting that these people are not currently in receipt of age pension.</w:t>
      </w:r>
    </w:p>
    <w:p w14:paraId="46129BA6" w14:textId="77777777" w:rsidR="009B2D09" w:rsidRPr="00EC326F" w:rsidRDefault="009B2D09" w:rsidP="009B2D09">
      <w:pPr>
        <w:pStyle w:val="PwCNormal"/>
        <w:numPr>
          <w:ilvl w:val="0"/>
          <w:numId w:val="0"/>
        </w:numPr>
      </w:pPr>
      <w:r w:rsidRPr="00EC326F">
        <w:t>At the younger ages there are a myriad of contributions to the assessed average lifetime cost from working age, disability support, carer and parenting income support payments. This may indicate that some people in this class are quite close to becoming income support recipients and have material likelihoods of transitioning to these classes in future.</w:t>
      </w:r>
    </w:p>
    <w:p w14:paraId="52EA0672" w14:textId="77777777" w:rsidR="009B2D09" w:rsidRPr="00EC326F" w:rsidRDefault="009B2D09" w:rsidP="009B2D09">
      <w:pPr>
        <w:pStyle w:val="Minorheading"/>
      </w:pPr>
      <w:r w:rsidRPr="00EC326F">
        <w:t>Change in lifetime costs since the baseline valuation</w:t>
      </w:r>
    </w:p>
    <w:p w14:paraId="770626C4" w14:textId="77777777" w:rsidR="00D3305D" w:rsidRPr="00EC326F" w:rsidRDefault="00D3305D" w:rsidP="00D3305D">
      <w:pPr>
        <w:pStyle w:val="PwCNormal"/>
        <w:numPr>
          <w:ilvl w:val="0"/>
          <w:numId w:val="0"/>
        </w:numPr>
      </w:pPr>
      <w:r w:rsidRPr="00EC326F">
        <w:t>The lifetime cost for the people in this class of $41bn is a decrease of $1bn compared to the baseline valuation. This was driven by a decrease in the average cost (as opposed to a change in population in this class):</w:t>
      </w:r>
    </w:p>
    <w:p w14:paraId="420A27DC" w14:textId="77777777" w:rsidR="00D3305D" w:rsidRPr="00EC326F" w:rsidRDefault="00D3305D" w:rsidP="001A4479">
      <w:pPr>
        <w:pStyle w:val="Bullet1"/>
        <w:numPr>
          <w:ilvl w:val="0"/>
          <w:numId w:val="39"/>
        </w:numPr>
      </w:pPr>
      <w:r w:rsidRPr="00EC326F">
        <w:t xml:space="preserve">The number of people in this class has remained relatively similar (0.8% higher) to the previous valuation, with </w:t>
      </w:r>
      <w:r w:rsidR="008B0EDF" w:rsidRPr="00EC326F">
        <w:t>exits from class being slightly higher than expected</w:t>
      </w:r>
      <w:r w:rsidRPr="00EC326F">
        <w:t>.</w:t>
      </w:r>
    </w:p>
    <w:p w14:paraId="1AA80A1A" w14:textId="050CB239" w:rsidR="00D3305D" w:rsidRPr="00EC326F" w:rsidRDefault="00D3305D" w:rsidP="001A4479">
      <w:pPr>
        <w:pStyle w:val="Bullet1"/>
        <w:numPr>
          <w:ilvl w:val="0"/>
          <w:numId w:val="39"/>
        </w:numPr>
      </w:pPr>
      <w:r w:rsidRPr="00EC326F">
        <w:t>The average cost has decreased by $7,000 (3.</w:t>
      </w:r>
      <w:r w:rsidR="007C07DB">
        <w:t>1</w:t>
      </w:r>
      <w:r w:rsidRPr="00EC326F">
        <w:t>%) since the previous valuation. The following table provides a breakdown of the change in average lifetime cost by payment category.</w:t>
      </w:r>
    </w:p>
    <w:p w14:paraId="3B983F7E" w14:textId="77777777" w:rsidR="00D3305D" w:rsidRPr="00EC326F" w:rsidRDefault="00D3305D" w:rsidP="00D3305D">
      <w:pPr>
        <w:pStyle w:val="Caption"/>
      </w:pPr>
      <w:r w:rsidRPr="00EC326F">
        <w:lastRenderedPageBreak/>
        <w:t xml:space="preserve">Table </w:t>
      </w:r>
      <w:fldSimple w:instr=" SEQ Table \* ARABIC ">
        <w:r w:rsidR="007A42DF">
          <w:rPr>
            <w:noProof/>
          </w:rPr>
          <w:t>42</w:t>
        </w:r>
      </w:fldSimple>
      <w:r w:rsidRPr="00EC326F">
        <w:t>: Breakdown of change in average lifetime cost for Class 8 by payment category</w:t>
      </w:r>
    </w:p>
    <w:tbl>
      <w:tblPr>
        <w:tblStyle w:val="ListTable3-Accent62"/>
        <w:tblW w:w="9498" w:type="dxa"/>
        <w:tblInd w:w="108" w:type="dxa"/>
        <w:tblLayout w:type="fixed"/>
        <w:tblCellMar>
          <w:left w:w="57" w:type="dxa"/>
          <w:right w:w="57" w:type="dxa"/>
        </w:tblCellMar>
        <w:tblLook w:val="04A0" w:firstRow="1" w:lastRow="0" w:firstColumn="1" w:lastColumn="0" w:noHBand="0" w:noVBand="1"/>
        <w:tblCaption w:val=" Breakdown of change in average lifetime cost for Class 8 by payment category&#10;&#10;&#10;"/>
        <w:tblDescription w:val="This table shows the breakdown of the total change in average lifetime cost for Class 8 into; change in population, change in inflation, impact of new economic module, policy changes and other changes. These are shown as rows in the table.&#10;&#10;The changes in lifetime cost are considered by relevant payment categories for Class 8; IS Non Age Pension, IS Age Pension, Non IS Family Supplements and Non IS Other Supplements. These are shown as columns in the table alongside a total change column.&#10;&#10;For Class 8, the Jun 15 Total Lifetime cost is $42bn and the Jun 16 Total Lifetime cost is $41bn. This gives a change in total lifetime cost of -$1bn, a 2.3% decrease. There was a 0.8% increase due to population changes, however this was offset by changes in average lifetime cost. The average cost has decreased by $7,000 (3.1%) since the previous valuation. Less than $1,000 of this change is attributable to changes in inflation, approximately -$3,000 of this change is due to the impact of the economics module. Policy changes resulted in a reduction of $1000 while  a reduction of $3,000 comes from other changes.&#10;&#10;The average lifetime cost of clients in the IS Non Age Pension payment categories has decreased by approximately $3,000. Inflation, policy changes and the introduction of the new economics module each contributed less than $1,000 each. Approximately -$2,000 is due to other changes.&#10;&#10;The average lifetime cost of clients in the IS Age Pension payment category has increased by less than $1,000. The economics module reduced the average lifetime cost by $2,000, however this was offset by a slight increases due to other changes, policy changes and inflation (less than $1,000 each).&#10;&#10;The average lifetime cost of clients in the Non IS Family Supplements payment categories (H,I,J) has decreased by approximately $2,000. This was primarily caused by other changes (-$2,000). Changes due to the economics module and inflation were both less than $1,000 each, while policy changes led to a reduction of $1000.&#10;&#10;The average lifetime cost of clients in the Non IS Other Supplements payment categories has increased by less than $1,000. Inflation, the new economics module, policy changes and other changes all contributed less than $1,000 to the change. &#10;"/>
      </w:tblPr>
      <w:tblGrid>
        <w:gridCol w:w="3119"/>
        <w:gridCol w:w="1276"/>
        <w:gridCol w:w="1240"/>
        <w:gridCol w:w="1240"/>
        <w:gridCol w:w="1311"/>
        <w:gridCol w:w="1312"/>
      </w:tblGrid>
      <w:tr w:rsidR="00B576DA" w:rsidRPr="00EC326F" w14:paraId="0D55C2C9" w14:textId="77777777" w:rsidTr="0008704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5AC89984" w14:textId="77777777" w:rsidR="00B576DA" w:rsidRPr="00EC326F" w:rsidRDefault="00B576DA" w:rsidP="003114C1">
            <w:pPr>
              <w:pStyle w:val="TableTextSmall"/>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5CB64780" w14:textId="77777777" w:rsidR="00B576DA" w:rsidRPr="00EC326F" w:rsidRDefault="00B576DA"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bottom w:val="single" w:sz="4" w:space="0" w:color="FFFFFF" w:themeColor="background1"/>
            </w:tcBorders>
          </w:tcPr>
          <w:p w14:paraId="61CAD4C0" w14:textId="531DD813" w:rsidR="00B576DA" w:rsidRPr="00EC326F" w:rsidRDefault="00B576DA" w:rsidP="00B576DA">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bCs w:val="0"/>
                <w:color w:val="FFFFFF" w:themeColor="background1"/>
              </w:rPr>
              <w:t>Income</w:t>
            </w:r>
          </w:p>
        </w:tc>
        <w:tc>
          <w:tcPr>
            <w:tcW w:w="1240" w:type="dxa"/>
            <w:tcBorders>
              <w:left w:val="single" w:sz="4" w:space="0" w:color="E0301E" w:themeColor="accent6"/>
              <w:bottom w:val="single" w:sz="4" w:space="0" w:color="FFFFFF" w:themeColor="background1"/>
              <w:right w:val="single" w:sz="4" w:space="0" w:color="FFFFFF" w:themeColor="background1"/>
            </w:tcBorders>
          </w:tcPr>
          <w:p w14:paraId="57E1DE94" w14:textId="2C6A5FF7" w:rsidR="00B576DA" w:rsidRPr="00EC326F" w:rsidRDefault="00B576DA" w:rsidP="00B576DA">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bCs w:val="0"/>
                <w:color w:val="FFFFFF" w:themeColor="background1"/>
              </w:rPr>
              <w:t>Support</w:t>
            </w:r>
          </w:p>
        </w:tc>
        <w:tc>
          <w:tcPr>
            <w:tcW w:w="1311" w:type="dxa"/>
            <w:tcBorders>
              <w:left w:val="single" w:sz="4" w:space="0" w:color="FFFFFF" w:themeColor="background1"/>
            </w:tcBorders>
          </w:tcPr>
          <w:p w14:paraId="3F79DFC1" w14:textId="3AF7208D" w:rsidR="00B576DA" w:rsidRPr="00EC326F" w:rsidRDefault="00B576DA" w:rsidP="00B576DA">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color w:val="FFFFFF" w:themeColor="background1"/>
              </w:rPr>
              <w:t>Non-Income</w:t>
            </w:r>
          </w:p>
        </w:tc>
        <w:tc>
          <w:tcPr>
            <w:tcW w:w="1312" w:type="dxa"/>
            <w:tcBorders>
              <w:bottom w:val="single" w:sz="4" w:space="0" w:color="FFFFFF" w:themeColor="background1"/>
            </w:tcBorders>
          </w:tcPr>
          <w:p w14:paraId="0F24AEE2" w14:textId="161A4516" w:rsidR="00B576DA" w:rsidRPr="00EC326F" w:rsidRDefault="00B576DA" w:rsidP="00B576DA">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Support</w:t>
            </w:r>
          </w:p>
        </w:tc>
      </w:tr>
      <w:tr w:rsidR="00D3305D" w:rsidRPr="00EC326F" w14:paraId="24AABD36" w14:textId="77777777" w:rsidTr="0008704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2E1E52B7" w14:textId="77777777" w:rsidR="00D3305D" w:rsidRPr="00EC326F" w:rsidRDefault="00D3305D" w:rsidP="003114C1">
            <w:pPr>
              <w:pStyle w:val="TableTextSmall"/>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5C580B13"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38ADB484"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7AF2F2E8"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311" w:type="dxa"/>
            <w:tcBorders>
              <w:top w:val="single" w:sz="4" w:space="0" w:color="FFFFFF" w:themeColor="background1"/>
              <w:left w:val="single" w:sz="4" w:space="0" w:color="FFFFFF" w:themeColor="background1"/>
              <w:bottom w:val="single" w:sz="4" w:space="0" w:color="E0301E" w:themeColor="accent6"/>
            </w:tcBorders>
          </w:tcPr>
          <w:p w14:paraId="555DAF02"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312" w:type="dxa"/>
            <w:tcBorders>
              <w:bottom w:val="single" w:sz="4" w:space="0" w:color="E0301E" w:themeColor="accent6"/>
            </w:tcBorders>
          </w:tcPr>
          <w:p w14:paraId="060FBBF8"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D3305D" w:rsidRPr="00EC326F" w14:paraId="20868A26"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45298939" w14:textId="77777777" w:rsidR="00D3305D" w:rsidRPr="00EC326F" w:rsidRDefault="00D3305D" w:rsidP="003114C1">
            <w:pPr>
              <w:pStyle w:val="TableTextSmall"/>
            </w:pPr>
            <w:r w:rsidRPr="00EC326F">
              <w:t>Jun-15 Total Lifetime Cost</w:t>
            </w:r>
          </w:p>
        </w:tc>
        <w:tc>
          <w:tcPr>
            <w:tcW w:w="1276" w:type="dxa"/>
            <w:tcBorders>
              <w:left w:val="single" w:sz="4" w:space="0" w:color="E0301E" w:themeColor="accent6"/>
              <w:bottom w:val="nil"/>
              <w:right w:val="single" w:sz="4" w:space="0" w:color="E0301E" w:themeColor="accent6"/>
            </w:tcBorders>
            <w:vAlign w:val="bottom"/>
          </w:tcPr>
          <w:p w14:paraId="658229EB"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$42bn</w:t>
            </w:r>
          </w:p>
        </w:tc>
        <w:tc>
          <w:tcPr>
            <w:tcW w:w="1240" w:type="dxa"/>
            <w:tcBorders>
              <w:left w:val="single" w:sz="4" w:space="0" w:color="E0301E" w:themeColor="accent6"/>
              <w:bottom w:val="nil"/>
            </w:tcBorders>
            <w:shd w:val="clear" w:color="auto" w:fill="D9D9D9" w:themeFill="background1" w:themeFillShade="D9"/>
            <w:vAlign w:val="bottom"/>
          </w:tcPr>
          <w:p w14:paraId="4D8F10E2"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40" w:type="dxa"/>
            <w:tcBorders>
              <w:bottom w:val="nil"/>
              <w:right w:val="nil"/>
            </w:tcBorders>
            <w:shd w:val="clear" w:color="auto" w:fill="D9D9D9" w:themeFill="background1" w:themeFillShade="D9"/>
            <w:vAlign w:val="bottom"/>
          </w:tcPr>
          <w:p w14:paraId="04879941"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1" w:type="dxa"/>
            <w:tcBorders>
              <w:left w:val="nil"/>
              <w:bottom w:val="nil"/>
            </w:tcBorders>
            <w:shd w:val="clear" w:color="auto" w:fill="D9D9D9" w:themeFill="background1" w:themeFillShade="D9"/>
            <w:vAlign w:val="bottom"/>
          </w:tcPr>
          <w:p w14:paraId="610EFC59"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2" w:type="dxa"/>
            <w:tcBorders>
              <w:bottom w:val="nil"/>
            </w:tcBorders>
            <w:shd w:val="clear" w:color="auto" w:fill="D9D9D9" w:themeFill="background1" w:themeFillShade="D9"/>
            <w:vAlign w:val="bottom"/>
          </w:tcPr>
          <w:p w14:paraId="16F3C2D8"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r>
      <w:tr w:rsidR="00D3305D" w:rsidRPr="00EC326F" w14:paraId="7A221C89"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646E97B0" w14:textId="77777777" w:rsidR="00D3305D" w:rsidRPr="00EC326F" w:rsidRDefault="00D3305D" w:rsidP="003114C1">
            <w:pPr>
              <w:pStyle w:val="TableTextSmall"/>
            </w:pPr>
            <w:r w:rsidRPr="00EC326F">
              <w:t>Jun-16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vAlign w:val="bottom"/>
          </w:tcPr>
          <w:p w14:paraId="01BE2A83"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$41bn</w:t>
            </w:r>
          </w:p>
        </w:tc>
        <w:tc>
          <w:tcPr>
            <w:tcW w:w="1240" w:type="dxa"/>
            <w:tcBorders>
              <w:top w:val="nil"/>
              <w:left w:val="single" w:sz="4" w:space="0" w:color="E0301E" w:themeColor="accent6"/>
              <w:bottom w:val="nil"/>
            </w:tcBorders>
            <w:shd w:val="clear" w:color="auto" w:fill="D9D9D9" w:themeFill="background1" w:themeFillShade="D9"/>
            <w:vAlign w:val="bottom"/>
          </w:tcPr>
          <w:p w14:paraId="77718275"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58A6BC6A"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vAlign w:val="bottom"/>
          </w:tcPr>
          <w:p w14:paraId="0F970D4C"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nil"/>
            </w:tcBorders>
            <w:shd w:val="clear" w:color="auto" w:fill="D9D9D9" w:themeFill="background1" w:themeFillShade="D9"/>
            <w:vAlign w:val="bottom"/>
          </w:tcPr>
          <w:p w14:paraId="30E5C778"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r>
      <w:tr w:rsidR="00D3305D" w:rsidRPr="00EC326F" w14:paraId="36DC7D53"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09AD9ABA" w14:textId="77777777" w:rsidR="00D3305D" w:rsidRPr="00EC326F" w:rsidRDefault="00D3305D" w:rsidP="003114C1">
            <w:pPr>
              <w:pStyle w:val="TableTextSmall"/>
            </w:pPr>
            <w:r w:rsidRPr="00EC326F">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vAlign w:val="bottom"/>
          </w:tcPr>
          <w:p w14:paraId="641574DC" w14:textId="35A89E49"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-$1bn (2.</w:t>
            </w:r>
            <w:r w:rsidR="00512359">
              <w:t>3</w:t>
            </w:r>
            <w:r w:rsidRPr="00EC326F">
              <w:t>%)</w:t>
            </w:r>
          </w:p>
        </w:tc>
        <w:tc>
          <w:tcPr>
            <w:tcW w:w="1240" w:type="dxa"/>
            <w:tcBorders>
              <w:top w:val="nil"/>
              <w:left w:val="single" w:sz="4" w:space="0" w:color="E0301E" w:themeColor="accent6"/>
              <w:bottom w:val="nil"/>
            </w:tcBorders>
            <w:shd w:val="clear" w:color="auto" w:fill="D9D9D9" w:themeFill="background1" w:themeFillShade="D9"/>
            <w:vAlign w:val="bottom"/>
          </w:tcPr>
          <w:p w14:paraId="26310AF8"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427E86EA"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vAlign w:val="bottom"/>
          </w:tcPr>
          <w:p w14:paraId="0B0A890A"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2" w:type="dxa"/>
            <w:tcBorders>
              <w:top w:val="nil"/>
              <w:bottom w:val="nil"/>
            </w:tcBorders>
            <w:shd w:val="clear" w:color="auto" w:fill="D9D9D9" w:themeFill="background1" w:themeFillShade="D9"/>
            <w:vAlign w:val="bottom"/>
          </w:tcPr>
          <w:p w14:paraId="2E3809CB"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r>
      <w:tr w:rsidR="00D3305D" w:rsidRPr="00EC326F" w14:paraId="53F54652"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43C0A50E" w14:textId="77777777" w:rsidR="00D3305D" w:rsidRPr="00EC326F" w:rsidRDefault="00D3305D" w:rsidP="003114C1">
            <w:pPr>
              <w:pStyle w:val="TableTextSmall"/>
            </w:pPr>
            <w:r w:rsidRPr="00EC326F">
              <w:t>Change due to Population</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vAlign w:val="bottom"/>
          </w:tcPr>
          <w:p w14:paraId="5088E400"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+0.8%</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vAlign w:val="bottom"/>
          </w:tcPr>
          <w:p w14:paraId="2E9FACA4"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single" w:sz="4" w:space="0" w:color="E0301E" w:themeColor="accent6"/>
              <w:right w:val="nil"/>
            </w:tcBorders>
            <w:shd w:val="clear" w:color="auto" w:fill="D9D9D9" w:themeFill="background1" w:themeFillShade="D9"/>
            <w:vAlign w:val="bottom"/>
          </w:tcPr>
          <w:p w14:paraId="3EAEE4D9"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single" w:sz="4" w:space="0" w:color="E0301E" w:themeColor="accent6"/>
            </w:tcBorders>
            <w:shd w:val="clear" w:color="auto" w:fill="D9D9D9" w:themeFill="background1" w:themeFillShade="D9"/>
            <w:vAlign w:val="bottom"/>
          </w:tcPr>
          <w:p w14:paraId="568E276E"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single" w:sz="4" w:space="0" w:color="E0301E" w:themeColor="accent6"/>
            </w:tcBorders>
            <w:shd w:val="clear" w:color="auto" w:fill="D9D9D9" w:themeFill="background1" w:themeFillShade="D9"/>
            <w:vAlign w:val="bottom"/>
          </w:tcPr>
          <w:p w14:paraId="268B958F"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r>
      <w:tr w:rsidR="00D3305D" w:rsidRPr="00EC326F" w14:paraId="57432317"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03979A8C" w14:textId="77777777" w:rsidR="00D3305D" w:rsidRPr="00EC326F" w:rsidRDefault="00D3305D" w:rsidP="003114C1">
            <w:pPr>
              <w:pStyle w:val="TableTextSmall"/>
            </w:pPr>
            <w:r w:rsidRPr="00EC326F">
              <w:t>Change due to Average Lifetime Cost</w:t>
            </w:r>
          </w:p>
        </w:tc>
        <w:tc>
          <w:tcPr>
            <w:tcW w:w="1276" w:type="dxa"/>
            <w:tcBorders>
              <w:left w:val="single" w:sz="4" w:space="0" w:color="E0301E" w:themeColor="accent6"/>
              <w:bottom w:val="nil"/>
              <w:right w:val="single" w:sz="4" w:space="0" w:color="E0301E" w:themeColor="accent6"/>
            </w:tcBorders>
            <w:vAlign w:val="bottom"/>
          </w:tcPr>
          <w:p w14:paraId="6A10AFC5" w14:textId="20CD20ED"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-$7k (3.</w:t>
            </w:r>
            <w:r w:rsidR="00512359">
              <w:t>1</w:t>
            </w:r>
            <w:r w:rsidRPr="00EC326F">
              <w:t>%)</w:t>
            </w:r>
          </w:p>
        </w:tc>
        <w:tc>
          <w:tcPr>
            <w:tcW w:w="1240" w:type="dxa"/>
            <w:tcBorders>
              <w:left w:val="single" w:sz="4" w:space="0" w:color="E0301E" w:themeColor="accent6"/>
              <w:bottom w:val="nil"/>
            </w:tcBorders>
            <w:vAlign w:val="bottom"/>
          </w:tcPr>
          <w:p w14:paraId="1D33FA46" w14:textId="379E3BA2"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CC3286">
              <w:t>3</w:t>
            </w:r>
            <w:r w:rsidR="00512359" w:rsidRPr="00EC326F">
              <w:t>k</w:t>
            </w:r>
          </w:p>
        </w:tc>
        <w:tc>
          <w:tcPr>
            <w:tcW w:w="1240" w:type="dxa"/>
            <w:tcBorders>
              <w:bottom w:val="nil"/>
              <w:right w:val="dashed" w:sz="4" w:space="0" w:color="E0301E" w:themeColor="accent6"/>
            </w:tcBorders>
            <w:vAlign w:val="bottom"/>
          </w:tcPr>
          <w:p w14:paraId="6E1523DF"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1" w:type="dxa"/>
            <w:tcBorders>
              <w:left w:val="dashed" w:sz="4" w:space="0" w:color="E0301E" w:themeColor="accent6"/>
              <w:bottom w:val="nil"/>
            </w:tcBorders>
            <w:vAlign w:val="bottom"/>
          </w:tcPr>
          <w:p w14:paraId="3C0E170D"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c>
          <w:tcPr>
            <w:tcW w:w="1312" w:type="dxa"/>
            <w:tcBorders>
              <w:bottom w:val="nil"/>
            </w:tcBorders>
            <w:vAlign w:val="bottom"/>
          </w:tcPr>
          <w:p w14:paraId="03971D13"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D3305D" w:rsidRPr="00EC326F" w14:paraId="744B4E12"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45A6043E" w14:textId="77777777" w:rsidR="00D3305D" w:rsidRPr="00EC326F" w:rsidRDefault="00D3305D" w:rsidP="003114C1">
            <w:pPr>
              <w:pStyle w:val="TableTextSmall"/>
              <w:rPr>
                <w:b w:val="0"/>
              </w:rPr>
            </w:pPr>
            <w:r w:rsidRPr="00EC326F">
              <w:rPr>
                <w:b w:val="0"/>
              </w:rPr>
              <w:t>- Impact of change in inflation</w:t>
            </w:r>
          </w:p>
        </w:tc>
        <w:tc>
          <w:tcPr>
            <w:tcW w:w="1276" w:type="dxa"/>
            <w:tcBorders>
              <w:top w:val="nil"/>
              <w:left w:val="single" w:sz="4" w:space="0" w:color="E0301E" w:themeColor="accent6"/>
              <w:bottom w:val="nil"/>
              <w:right w:val="single" w:sz="4" w:space="0" w:color="E0301E" w:themeColor="accent6"/>
            </w:tcBorders>
            <w:vAlign w:val="bottom"/>
          </w:tcPr>
          <w:p w14:paraId="0CFDA507"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left w:val="single" w:sz="4" w:space="0" w:color="E0301E" w:themeColor="accent6"/>
              <w:bottom w:val="nil"/>
            </w:tcBorders>
            <w:vAlign w:val="bottom"/>
          </w:tcPr>
          <w:p w14:paraId="79B0C399"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bottom w:val="nil"/>
              <w:right w:val="dashed" w:sz="4" w:space="0" w:color="E0301E" w:themeColor="accent6"/>
            </w:tcBorders>
            <w:vAlign w:val="bottom"/>
          </w:tcPr>
          <w:p w14:paraId="0D4CBE6B"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1" w:type="dxa"/>
            <w:tcBorders>
              <w:top w:val="nil"/>
              <w:left w:val="dashed" w:sz="4" w:space="0" w:color="E0301E" w:themeColor="accent6"/>
              <w:bottom w:val="nil"/>
            </w:tcBorders>
            <w:vAlign w:val="bottom"/>
          </w:tcPr>
          <w:p w14:paraId="5431CFD5"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15FF0ABA"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68344198"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07FEF3D7" w14:textId="77777777" w:rsidR="00D3305D" w:rsidRPr="00EC326F" w:rsidRDefault="00D3305D" w:rsidP="003114C1">
            <w:pPr>
              <w:pStyle w:val="TableTextSmall"/>
              <w:rPr>
                <w:b w:val="0"/>
              </w:rPr>
            </w:pPr>
            <w:r w:rsidRPr="00EC326F">
              <w:rPr>
                <w:b w:val="0"/>
              </w:rPr>
              <w:t>- Impact of new economics module</w:t>
            </w:r>
          </w:p>
        </w:tc>
        <w:tc>
          <w:tcPr>
            <w:tcW w:w="1276" w:type="dxa"/>
            <w:tcBorders>
              <w:top w:val="nil"/>
              <w:left w:val="single" w:sz="4" w:space="0" w:color="E0301E" w:themeColor="accent6"/>
              <w:bottom w:val="nil"/>
              <w:right w:val="single" w:sz="4" w:space="0" w:color="E0301E" w:themeColor="accent6"/>
            </w:tcBorders>
            <w:vAlign w:val="bottom"/>
          </w:tcPr>
          <w:p w14:paraId="5ADD36C7"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-$3k</w:t>
            </w:r>
          </w:p>
        </w:tc>
        <w:tc>
          <w:tcPr>
            <w:tcW w:w="1240" w:type="dxa"/>
            <w:tcBorders>
              <w:top w:val="nil"/>
              <w:left w:val="single" w:sz="4" w:space="0" w:color="E0301E" w:themeColor="accent6"/>
              <w:bottom w:val="nil"/>
            </w:tcBorders>
            <w:vAlign w:val="bottom"/>
          </w:tcPr>
          <w:p w14:paraId="738B488E"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240" w:type="dxa"/>
            <w:tcBorders>
              <w:top w:val="nil"/>
              <w:bottom w:val="nil"/>
              <w:right w:val="dashed" w:sz="4" w:space="0" w:color="E0301E" w:themeColor="accent6"/>
            </w:tcBorders>
            <w:vAlign w:val="bottom"/>
          </w:tcPr>
          <w:p w14:paraId="416B6EBD"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c>
          <w:tcPr>
            <w:tcW w:w="1311" w:type="dxa"/>
            <w:tcBorders>
              <w:top w:val="nil"/>
              <w:left w:val="dashed" w:sz="4" w:space="0" w:color="E0301E" w:themeColor="accent6"/>
              <w:bottom w:val="nil"/>
            </w:tcBorders>
            <w:vAlign w:val="bottom"/>
          </w:tcPr>
          <w:p w14:paraId="51842BF0"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569689E0"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512359" w:rsidRPr="00EC326F" w14:paraId="41EF6F3F"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3DAACE53" w14:textId="5AB8A383" w:rsidR="00512359" w:rsidRPr="00EC326F" w:rsidRDefault="00512359" w:rsidP="00512359">
            <w:pPr>
              <w:pStyle w:val="TableTextSmall"/>
              <w:rPr>
                <w:b w:val="0"/>
              </w:rPr>
            </w:pPr>
            <w:r w:rsidRPr="00CC3286">
              <w:rPr>
                <w:b w:val="0"/>
              </w:rPr>
              <w:t>- Impact of policy changes</w:t>
            </w:r>
          </w:p>
        </w:tc>
        <w:tc>
          <w:tcPr>
            <w:tcW w:w="1276" w:type="dxa"/>
            <w:tcBorders>
              <w:top w:val="nil"/>
              <w:left w:val="single" w:sz="4" w:space="0" w:color="E0301E" w:themeColor="accent6"/>
              <w:bottom w:val="nil"/>
              <w:right w:val="single" w:sz="4" w:space="0" w:color="E0301E" w:themeColor="accent6"/>
            </w:tcBorders>
            <w:vAlign w:val="bottom"/>
          </w:tcPr>
          <w:p w14:paraId="5CBA0E02" w14:textId="4A0E39C7" w:rsidR="00512359" w:rsidRPr="00EC326F" w:rsidRDefault="00512359" w:rsidP="00512359">
            <w:pPr>
              <w:pStyle w:val="TableTextSmall"/>
              <w:jc w:val="center"/>
              <w:cnfStyle w:val="000000000000" w:firstRow="0" w:lastRow="0" w:firstColumn="0" w:lastColumn="0" w:oddVBand="0" w:evenVBand="0" w:oddHBand="0" w:evenHBand="0" w:firstRowFirstColumn="0" w:firstRowLastColumn="0" w:lastRowFirstColumn="0" w:lastRowLastColumn="0"/>
            </w:pPr>
            <w:r>
              <w:t>-$1k</w:t>
            </w:r>
          </w:p>
        </w:tc>
        <w:tc>
          <w:tcPr>
            <w:tcW w:w="1240" w:type="dxa"/>
            <w:tcBorders>
              <w:top w:val="nil"/>
              <w:left w:val="single" w:sz="4" w:space="0" w:color="E0301E" w:themeColor="accent6"/>
              <w:bottom w:val="nil"/>
            </w:tcBorders>
            <w:vAlign w:val="bottom"/>
          </w:tcPr>
          <w:p w14:paraId="68B843FB" w14:textId="4C6283B4"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bottom w:val="nil"/>
              <w:right w:val="dashed" w:sz="4" w:space="0" w:color="E0301E" w:themeColor="accent6"/>
            </w:tcBorders>
            <w:vAlign w:val="bottom"/>
          </w:tcPr>
          <w:p w14:paraId="0014EB8C" w14:textId="7A635FA9"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311" w:type="dxa"/>
            <w:tcBorders>
              <w:top w:val="nil"/>
              <w:left w:val="dashed" w:sz="4" w:space="0" w:color="E0301E" w:themeColor="accent6"/>
              <w:bottom w:val="nil"/>
            </w:tcBorders>
            <w:vAlign w:val="bottom"/>
          </w:tcPr>
          <w:p w14:paraId="3D9D1AE6" w14:textId="2168CA27" w:rsidR="00512359" w:rsidRPr="00EC326F" w:rsidRDefault="00512359" w:rsidP="00512359">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t>-$1k</w:t>
            </w:r>
          </w:p>
        </w:tc>
        <w:tc>
          <w:tcPr>
            <w:tcW w:w="1312" w:type="dxa"/>
            <w:tcBorders>
              <w:top w:val="nil"/>
              <w:bottom w:val="nil"/>
            </w:tcBorders>
            <w:vAlign w:val="bottom"/>
          </w:tcPr>
          <w:p w14:paraId="4F1DB682" w14:textId="5159DD57"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60171AD7"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37C561A6" w14:textId="77777777" w:rsidR="00D3305D" w:rsidRPr="00EC326F" w:rsidRDefault="00D3305D" w:rsidP="003114C1">
            <w:pPr>
              <w:pStyle w:val="TableTextSmall"/>
              <w:rPr>
                <w:b w:val="0"/>
              </w:rPr>
            </w:pPr>
            <w:r w:rsidRPr="00EC326F">
              <w:rPr>
                <w:b w:val="0"/>
              </w:rPr>
              <w:t>- Impact of other changes</w:t>
            </w:r>
          </w:p>
        </w:tc>
        <w:tc>
          <w:tcPr>
            <w:tcW w:w="1276" w:type="dxa"/>
            <w:tcBorders>
              <w:top w:val="nil"/>
              <w:left w:val="single" w:sz="4" w:space="0" w:color="E0301E" w:themeColor="accent6"/>
              <w:right w:val="single" w:sz="4" w:space="0" w:color="E0301E" w:themeColor="accent6"/>
            </w:tcBorders>
            <w:vAlign w:val="bottom"/>
          </w:tcPr>
          <w:p w14:paraId="2A3FF9B1" w14:textId="7F8D31B0"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t>3</w:t>
            </w:r>
            <w:r w:rsidR="00512359" w:rsidRPr="00EC326F">
              <w:t>k</w:t>
            </w:r>
          </w:p>
        </w:tc>
        <w:tc>
          <w:tcPr>
            <w:tcW w:w="1240" w:type="dxa"/>
            <w:tcBorders>
              <w:top w:val="nil"/>
              <w:left w:val="single" w:sz="4" w:space="0" w:color="E0301E" w:themeColor="accent6"/>
            </w:tcBorders>
            <w:vAlign w:val="bottom"/>
          </w:tcPr>
          <w:p w14:paraId="735AD3B7" w14:textId="66B81A08"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t>2</w:t>
            </w:r>
            <w:r w:rsidR="00512359" w:rsidRPr="00EC326F">
              <w:t>k</w:t>
            </w:r>
          </w:p>
        </w:tc>
        <w:tc>
          <w:tcPr>
            <w:tcW w:w="1240" w:type="dxa"/>
            <w:tcBorders>
              <w:top w:val="nil"/>
              <w:right w:val="dashed" w:sz="4" w:space="0" w:color="E0301E" w:themeColor="accent6"/>
            </w:tcBorders>
            <w:vAlign w:val="bottom"/>
          </w:tcPr>
          <w:p w14:paraId="7E78FA34"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1" w:type="dxa"/>
            <w:tcBorders>
              <w:top w:val="nil"/>
              <w:left w:val="dashed" w:sz="4" w:space="0" w:color="E0301E" w:themeColor="accent6"/>
            </w:tcBorders>
            <w:vAlign w:val="bottom"/>
          </w:tcPr>
          <w:p w14:paraId="02239E4C" w14:textId="3FCB90BA"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t>1</w:t>
            </w:r>
            <w:r w:rsidR="00512359" w:rsidRPr="00EC326F">
              <w:t>k</w:t>
            </w:r>
          </w:p>
        </w:tc>
        <w:tc>
          <w:tcPr>
            <w:tcW w:w="1312" w:type="dxa"/>
            <w:tcBorders>
              <w:top w:val="nil"/>
            </w:tcBorders>
            <w:vAlign w:val="bottom"/>
          </w:tcPr>
          <w:p w14:paraId="2B7C7166"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bl>
    <w:p w14:paraId="716D9134" w14:textId="77777777" w:rsidR="00D3305D" w:rsidRPr="00EC326F" w:rsidRDefault="00D3305D" w:rsidP="001A4479">
      <w:pPr>
        <w:pStyle w:val="PwCNormal"/>
        <w:numPr>
          <w:ilvl w:val="0"/>
          <w:numId w:val="37"/>
        </w:numPr>
      </w:pPr>
      <w:r w:rsidRPr="00EC326F">
        <w:t>The reduction in average cost has been driven by:</w:t>
      </w:r>
    </w:p>
    <w:p w14:paraId="136875B3" w14:textId="77777777" w:rsidR="00144465" w:rsidRDefault="00144465" w:rsidP="00D3305D">
      <w:pPr>
        <w:pStyle w:val="Bullet1"/>
      </w:pPr>
      <w:r>
        <w:t xml:space="preserve">A </w:t>
      </w:r>
      <w:r w:rsidR="003B3ACD">
        <w:t xml:space="preserve">small </w:t>
      </w:r>
      <w:r>
        <w:t>reduction in the projected future use of income support payments, as a result of a number of interrelated factors including:</w:t>
      </w:r>
    </w:p>
    <w:p w14:paraId="2978069B" w14:textId="77777777" w:rsidR="00144465" w:rsidRPr="00EC326F" w:rsidRDefault="00144465" w:rsidP="00144465">
      <w:pPr>
        <w:pStyle w:val="Bullet2"/>
      </w:pPr>
      <w:r w:rsidRPr="00EC326F">
        <w:t xml:space="preserve">Lower transition rates into disability support pension; </w:t>
      </w:r>
    </w:p>
    <w:p w14:paraId="7CA23315" w14:textId="77777777" w:rsidR="00D3305D" w:rsidRPr="00EC326F" w:rsidRDefault="00144465" w:rsidP="00144465">
      <w:pPr>
        <w:pStyle w:val="Bullet2"/>
      </w:pPr>
      <w:r>
        <w:t xml:space="preserve">The inclusion of refined class movement models which has better differentiated people in class 8 as a lower persistency group and this has led to reductions in their likelihood of moving into income support classes at some point in the future, </w:t>
      </w:r>
      <w:r w:rsidR="00D3305D" w:rsidRPr="00EC326F">
        <w:t>and</w:t>
      </w:r>
    </w:p>
    <w:p w14:paraId="758EB778" w14:textId="77777777" w:rsidR="00D3305D" w:rsidRDefault="00D3305D" w:rsidP="00144465">
      <w:pPr>
        <w:pStyle w:val="Bullet2"/>
      </w:pPr>
      <w:r w:rsidRPr="00EC326F">
        <w:t>A reduction in the assumed long term unemployment rate, which reduces the likelihood of people utilising income support in their future lifetime.</w:t>
      </w:r>
    </w:p>
    <w:p w14:paraId="7F2166C2" w14:textId="77777777" w:rsidR="00144465" w:rsidRPr="00EC326F" w:rsidRDefault="00144465" w:rsidP="00DA56E6">
      <w:pPr>
        <w:pStyle w:val="Bullet1"/>
      </w:pPr>
      <w:r w:rsidRPr="00EC326F">
        <w:t>A decrease in the assumed proportion of people moving from this class into the Non IS Family class (and hence receiving family supplements), reflecting an observed downward trend in recent years</w:t>
      </w:r>
      <w:r>
        <w:t>.</w:t>
      </w:r>
    </w:p>
    <w:p w14:paraId="3F701D88" w14:textId="77777777" w:rsidR="009B2D09" w:rsidRPr="00EC326F" w:rsidRDefault="009B2D09" w:rsidP="009B2D09">
      <w:pPr>
        <w:pStyle w:val="Minorheading"/>
      </w:pPr>
      <w:r w:rsidRPr="00EC326F">
        <w:t>Future outcomes</w:t>
      </w:r>
    </w:p>
    <w:p w14:paraId="4B29CA64" w14:textId="77777777" w:rsidR="009B2D09" w:rsidRPr="00EC326F" w:rsidRDefault="009B2D09" w:rsidP="009B2D09">
      <w:pPr>
        <w:pStyle w:val="PwCNormal"/>
        <w:keepNext/>
        <w:numPr>
          <w:ilvl w:val="0"/>
          <w:numId w:val="0"/>
        </w:numPr>
      </w:pPr>
      <w:r w:rsidRPr="00EC326F">
        <w:t xml:space="preserve">In developing the valuation results the projection model produces information on the expected transitions for people out of each class, as shown below. </w:t>
      </w:r>
    </w:p>
    <w:p w14:paraId="1D462BF5" w14:textId="77777777" w:rsidR="009B2D09" w:rsidRPr="00EC326F" w:rsidRDefault="009B2D09" w:rsidP="009B2D09">
      <w:pPr>
        <w:pStyle w:val="Caption"/>
      </w:pPr>
      <w:r w:rsidRPr="00EC326F">
        <w:t xml:space="preserve">Figure </w:t>
      </w:r>
      <w:fldSimple w:instr=" SEQ Figure \* ARABIC ">
        <w:r w:rsidR="007A42DF">
          <w:rPr>
            <w:noProof/>
          </w:rPr>
          <w:t>76</w:t>
        </w:r>
      </w:fldSimple>
      <w:r w:rsidRPr="00EC326F">
        <w:t>: Expected future trajectory for people in Class 8</w:t>
      </w:r>
    </w:p>
    <w:tbl>
      <w:tblPr>
        <w:tblStyle w:val="Tables-APBase"/>
        <w:tblW w:w="471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8&#10;"/>
        <w:tblDescription w:val="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201,000 individuals who were in the non-income support carer class at 30 June 2016.&#10;&#10;The chart shows that more than two-thirds of this group are projected to have transitioned out of the non-income support carer class by 2026, with around one-third of those not remaining in the class projected to either exit to the previous welfare recipient class or the dead class. For those moving to another payment class in 2026, working age, pension age, carer and non-income support family classes were the most common destinations. Around 40% of this group are expected to have transitioned to the pension age class by 2051.&#10;&#10;The features shown in the chart are discussed further in the accompanying text within the report.&#10;"/>
      </w:tblPr>
      <w:tblGrid>
        <w:gridCol w:w="6439"/>
        <w:gridCol w:w="3059"/>
      </w:tblGrid>
      <w:tr w:rsidR="009B2D09" w:rsidRPr="00EC326F" w14:paraId="07BAEF11" w14:textId="77777777" w:rsidTr="009C6553">
        <w:trPr>
          <w:tblHeader/>
        </w:trPr>
        <w:tc>
          <w:tcPr>
            <w:tcW w:w="6439" w:type="dxa"/>
          </w:tcPr>
          <w:p w14:paraId="28111060" w14:textId="77777777" w:rsidR="009B2D09" w:rsidRPr="00EC326F" w:rsidRDefault="00E43D3E" w:rsidP="000D6C29">
            <w:pPr>
              <w:pStyle w:val="TableTextSmall"/>
            </w:pPr>
            <w:r w:rsidRPr="00EC326F">
              <w:rPr>
                <w:noProof/>
                <w:lang w:eastAsia="en-AU"/>
              </w:rPr>
              <w:drawing>
                <wp:inline distT="0" distB="0" distL="0" distR="0" wp14:anchorId="77ACF83F" wp14:editId="6FAD8608">
                  <wp:extent cx="3919276" cy="2160000"/>
                  <wp:effectExtent l="0" t="0" r="0" b="0"/>
                  <wp:docPr id="838" name="Picture 838" descr="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201,000 individuals who were in the non-income support carer class at 30 June 2016.&#10;&#10;The chart shows that more than two-thirds of this group are projected to have transitioned out of the non-income support carer class by 2026, with around one-third of those not remaining in the class projected to either exit to the previous welfare recipient class or the dead class. For those moving to another payment class in 2026, working age, pension age, carer and non-income support family classes were the most common destinations. Around 40% of this group are expected to have transitioned to the pension age class by 2051.&#10;&#10;The features shown in the chart are discussed further in the accompanying text within the report.&#10;" title=" Expected future trajectory for people in Class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919276" cy="2160000"/>
                          </a:xfrm>
                          <a:prstGeom prst="rect">
                            <a:avLst/>
                          </a:prstGeom>
                          <a:noFill/>
                          <a:ln>
                            <a:noFill/>
                          </a:ln>
                        </pic:spPr>
                      </pic:pic>
                    </a:graphicData>
                  </a:graphic>
                </wp:inline>
              </w:drawing>
            </w:r>
          </w:p>
        </w:tc>
        <w:tc>
          <w:tcPr>
            <w:tcW w:w="3059" w:type="dxa"/>
          </w:tcPr>
          <w:p w14:paraId="31ADF975" w14:textId="77777777" w:rsidR="009B2D09" w:rsidRPr="00EC326F" w:rsidRDefault="009B2D09" w:rsidP="000D6C29">
            <w:pPr>
              <w:pStyle w:val="TableTextSmall"/>
            </w:pPr>
          </w:p>
          <w:p w14:paraId="7A47DB63" w14:textId="77777777" w:rsidR="009B2D09" w:rsidRPr="00EC326F" w:rsidRDefault="009B2D09" w:rsidP="000D6C29">
            <w:pPr>
              <w:pStyle w:val="TableTextSmall"/>
            </w:pPr>
            <w:r w:rsidRPr="00EC326F">
              <w:rPr>
                <w:noProof/>
                <w:lang w:eastAsia="en-AU"/>
              </w:rPr>
              <w:drawing>
                <wp:inline distT="0" distB="0" distL="0" distR="0" wp14:anchorId="74F0369F" wp14:editId="04D53E81">
                  <wp:extent cx="1439545" cy="1589405"/>
                  <wp:effectExtent l="0" t="0" r="8255" b="0"/>
                  <wp:docPr id="3927" name="Picture 3927" descr="Class key: studying, working age, parents, carers, disability support, pension age, non-income support family, non-income support carer, non-income support other, previous welfare recipient, rest of the Australian population and dead. " title="Class Key for Fig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31B855A8" w14:textId="77777777" w:rsidR="009B2D09" w:rsidRPr="00EC326F" w:rsidRDefault="009B2D09" w:rsidP="000D6C29">
            <w:pPr>
              <w:pStyle w:val="TableTextSmall"/>
            </w:pPr>
          </w:p>
        </w:tc>
      </w:tr>
    </w:tbl>
    <w:p w14:paraId="29721B45" w14:textId="77777777" w:rsidR="009B2D09" w:rsidRPr="00EC326F" w:rsidRDefault="009B2D09" w:rsidP="009B2D09">
      <w:pPr>
        <w:pStyle w:val="PwCNormal"/>
        <w:numPr>
          <w:ilvl w:val="0"/>
          <w:numId w:val="0"/>
        </w:numPr>
      </w:pPr>
      <w:r w:rsidRPr="00EC326F">
        <w:t>We can see that:</w:t>
      </w:r>
    </w:p>
    <w:p w14:paraId="198CF378" w14:textId="77777777" w:rsidR="009B2D09" w:rsidRPr="00EC326F" w:rsidRDefault="009B2D09" w:rsidP="009B2D09">
      <w:pPr>
        <w:pStyle w:val="Bullet1"/>
      </w:pPr>
      <w:r w:rsidRPr="00EC326F">
        <w:t xml:space="preserve">Around </w:t>
      </w:r>
      <w:r w:rsidR="000B1C9E" w:rsidRPr="00EC326F">
        <w:t>70%</w:t>
      </w:r>
      <w:r w:rsidRPr="00EC326F">
        <w:t xml:space="preserve"> of people exit the class over the next 10 years:</w:t>
      </w:r>
    </w:p>
    <w:p w14:paraId="4F650E6C" w14:textId="77777777" w:rsidR="009B2D09" w:rsidRPr="00EC326F" w:rsidRDefault="009B2D09" w:rsidP="009B2D09">
      <w:pPr>
        <w:pStyle w:val="Bullet2"/>
      </w:pPr>
      <w:r w:rsidRPr="00EC326F">
        <w:t xml:space="preserve">Around </w:t>
      </w:r>
      <w:r w:rsidR="000B1C9E" w:rsidRPr="00EC326F">
        <w:t>40%</w:t>
      </w:r>
      <w:r w:rsidRPr="00EC326F">
        <w:t xml:space="preserve"> of those currently present either die or exit the payment system</w:t>
      </w:r>
    </w:p>
    <w:p w14:paraId="72E7182D" w14:textId="77777777" w:rsidR="009B2D09" w:rsidRPr="00EC326F" w:rsidRDefault="009B2D09" w:rsidP="009B2D09">
      <w:pPr>
        <w:pStyle w:val="Bullet2"/>
      </w:pPr>
      <w:r w:rsidRPr="00EC326F">
        <w:t>Approximately 15% of people move into a pre-retirement income support class with working age and carer being the most common.</w:t>
      </w:r>
    </w:p>
    <w:p w14:paraId="26977979" w14:textId="77777777" w:rsidR="009B2D09" w:rsidRPr="00EC326F" w:rsidRDefault="009B2D09" w:rsidP="009B2D09">
      <w:pPr>
        <w:pStyle w:val="Bullet2"/>
      </w:pPr>
      <w:r w:rsidRPr="00EC326F">
        <w:t>A similar proportion either retire or move into the age pension and non IS family classes</w:t>
      </w:r>
    </w:p>
    <w:p w14:paraId="1C1BEC01" w14:textId="77777777" w:rsidR="009B2D09" w:rsidRPr="00EC326F" w:rsidRDefault="009B2D09" w:rsidP="009B2D09">
      <w:pPr>
        <w:pStyle w:val="PwCNormal"/>
        <w:numPr>
          <w:ilvl w:val="0"/>
          <w:numId w:val="1"/>
        </w:numPr>
      </w:pPr>
      <w:r w:rsidRPr="00EC326F">
        <w:lastRenderedPageBreak/>
        <w:t>It is interesting to note the distinct group who move from this class (which comprises people receiving carer allowance or carer supplement payments) into class 4 (which has those receiving carer payment).</w:t>
      </w:r>
    </w:p>
    <w:p w14:paraId="76399C0E" w14:textId="77777777" w:rsidR="009B2D09" w:rsidRPr="00EC326F" w:rsidRDefault="009B2D09" w:rsidP="009B2D09">
      <w:pPr>
        <w:pStyle w:val="Minorheading"/>
      </w:pPr>
      <w:r w:rsidRPr="00EC326F">
        <w:t>Duration</w:t>
      </w:r>
    </w:p>
    <w:p w14:paraId="1B24C00C" w14:textId="77777777" w:rsidR="009B2D09" w:rsidRPr="00EC326F" w:rsidRDefault="009B2D09" w:rsidP="000B1C9E">
      <w:pPr>
        <w:pStyle w:val="PwCNormal-keepwithnext"/>
      </w:pPr>
      <w:r w:rsidRPr="00EC326F">
        <w:t xml:space="preserve">The average future life expectancy for the Non IS Carers class is </w:t>
      </w:r>
      <w:r w:rsidR="00E43D3E" w:rsidRPr="00EC326F">
        <w:rPr>
          <w:b/>
        </w:rPr>
        <w:t>39</w:t>
      </w:r>
      <w:r w:rsidRPr="00EC326F">
        <w:t xml:space="preserve"> years. This reflects that the age profile of this class is well distributed across most pre-retirement ages.</w:t>
      </w:r>
    </w:p>
    <w:p w14:paraId="6BE842AE" w14:textId="77777777" w:rsidR="009B2D09" w:rsidRPr="00EC326F" w:rsidRDefault="009B2D09" w:rsidP="009B2D09">
      <w:pPr>
        <w:pStyle w:val="PwCNormal"/>
        <w:numPr>
          <w:ilvl w:val="0"/>
          <w:numId w:val="0"/>
        </w:numPr>
      </w:pPr>
      <w:r w:rsidRPr="00EC326F">
        <w:t>The table below provides a summary of the expected welfare system use of people currently in this class over this time. This has been developed by considering which classes people move into as they move through the welfare system over their lives.</w:t>
      </w:r>
    </w:p>
    <w:p w14:paraId="48530180" w14:textId="77777777" w:rsidR="009B2D09" w:rsidRPr="002A0A1A" w:rsidRDefault="009B2D09" w:rsidP="009B2D09">
      <w:pPr>
        <w:pStyle w:val="Caption"/>
      </w:pPr>
      <w:r w:rsidRPr="00EC326F">
        <w:t xml:space="preserve">Table </w:t>
      </w:r>
      <w:fldSimple w:instr=" SEQ Table \* ARABIC ">
        <w:r w:rsidR="007A42DF">
          <w:rPr>
            <w:noProof/>
          </w:rPr>
          <w:t>43</w:t>
        </w:r>
      </w:fldSimple>
      <w:r w:rsidRPr="00EC326F">
        <w:t>: Expected durations in welfare system for people currently in Class 8</w:t>
      </w:r>
    </w:p>
    <w:tbl>
      <w:tblPr>
        <w:tblStyle w:val="ListTable3-Accent61"/>
        <w:tblW w:w="8868" w:type="dxa"/>
        <w:tblInd w:w="108" w:type="dxa"/>
        <w:tblLook w:val="04A0" w:firstRow="1" w:lastRow="0" w:firstColumn="1" w:lastColumn="0" w:noHBand="0" w:noVBand="1"/>
        <w:tblCaption w:val=" Expected durations in welfare system for people currently in Class 8&#10;&#10;"/>
        <w:tblDescription w:val="This table provides data on the expected number of years that people currently in Class 8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8 is 39 years. &#10;&#10;People in Class 8 are expected to receive some form of income support payment (excluding the age pension) for 4 years, 10% of their future lifetime. It is expected that they will receive the age pension for 13 years (34% of their future lifetime), non-income support payments only for 10 years (26% of their future lifetime) and no welfare payments for 12 years (30% of their future lifetime).&#10;"/>
      </w:tblPr>
      <w:tblGrid>
        <w:gridCol w:w="3828"/>
        <w:gridCol w:w="2520"/>
        <w:gridCol w:w="2520"/>
      </w:tblGrid>
      <w:tr w:rsidR="009B2D09" w:rsidRPr="00EC326F" w14:paraId="4AE22491"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336D61BE" w14:textId="77777777" w:rsidR="009B2D09" w:rsidRPr="00EC326F" w:rsidRDefault="009B2D09" w:rsidP="000D6C29">
            <w:pPr>
              <w:pStyle w:val="TableTextSmall"/>
              <w:jc w:val="center"/>
              <w:rPr>
                <w:rFonts w:asciiTheme="majorHAnsi" w:hAnsiTheme="majorHAnsi"/>
                <w:color w:val="FFFFFF" w:themeColor="background1"/>
              </w:rPr>
            </w:pPr>
          </w:p>
        </w:tc>
        <w:tc>
          <w:tcPr>
            <w:tcW w:w="2520" w:type="dxa"/>
          </w:tcPr>
          <w:p w14:paraId="064B927D" w14:textId="77777777" w:rsidR="009B2D09" w:rsidRPr="00EC326F" w:rsidRDefault="009B2D09"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Expected Years</w:t>
            </w:r>
          </w:p>
        </w:tc>
        <w:tc>
          <w:tcPr>
            <w:tcW w:w="2520" w:type="dxa"/>
          </w:tcPr>
          <w:p w14:paraId="1C3F7E6F" w14:textId="77777777" w:rsidR="009B2D09" w:rsidRPr="00EC326F" w:rsidRDefault="009B2D09"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Proportion of Future Lifetime</w:t>
            </w:r>
          </w:p>
        </w:tc>
      </w:tr>
      <w:tr w:rsidR="009B2D09" w:rsidRPr="00EC326F" w14:paraId="6D6D3EB2"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0A1AA03" w14:textId="77777777" w:rsidR="009B2D09" w:rsidRPr="00EC326F" w:rsidRDefault="009B2D09" w:rsidP="000D6C29">
            <w:pPr>
              <w:pStyle w:val="TableTextSmall"/>
            </w:pPr>
            <w:r w:rsidRPr="00EC326F">
              <w:t>Years with some income support payments:</w:t>
            </w:r>
          </w:p>
          <w:p w14:paraId="35041F0A" w14:textId="77777777" w:rsidR="009B2D09" w:rsidRPr="00EC326F" w:rsidRDefault="009B2D09" w:rsidP="001A4479">
            <w:pPr>
              <w:pStyle w:val="TableTextSmall"/>
              <w:numPr>
                <w:ilvl w:val="0"/>
                <w:numId w:val="43"/>
              </w:numPr>
            </w:pPr>
            <w:r w:rsidRPr="00EC326F">
              <w:t>Not aged pension (classes 1-5)</w:t>
            </w:r>
          </w:p>
          <w:p w14:paraId="7A279653" w14:textId="77777777" w:rsidR="009B2D09" w:rsidRPr="00EC326F" w:rsidRDefault="009B2D09" w:rsidP="001A4479">
            <w:pPr>
              <w:pStyle w:val="TableTextSmall"/>
              <w:numPr>
                <w:ilvl w:val="0"/>
                <w:numId w:val="43"/>
              </w:numPr>
            </w:pPr>
            <w:r w:rsidRPr="00EC326F">
              <w:t>Aged pension (class 6)</w:t>
            </w:r>
          </w:p>
        </w:tc>
        <w:tc>
          <w:tcPr>
            <w:tcW w:w="2520" w:type="dxa"/>
          </w:tcPr>
          <w:p w14:paraId="5BBEEA3B" w14:textId="77777777" w:rsidR="009B2D09" w:rsidRPr="00EC326F" w:rsidRDefault="009B2D09"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4</w:t>
            </w:r>
          </w:p>
          <w:p w14:paraId="462CD1D8" w14:textId="77777777" w:rsidR="009B2D09" w:rsidRPr="00EC326F" w:rsidRDefault="009B2D09"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13</w:t>
            </w:r>
          </w:p>
        </w:tc>
        <w:tc>
          <w:tcPr>
            <w:tcW w:w="2520" w:type="dxa"/>
          </w:tcPr>
          <w:p w14:paraId="407B2156" w14:textId="77777777" w:rsidR="009B2D09" w:rsidRPr="00EC326F" w:rsidRDefault="009B2D09"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10%</w:t>
            </w:r>
          </w:p>
          <w:p w14:paraId="4EBAC03A" w14:textId="77777777" w:rsidR="009B2D09" w:rsidRPr="00EC326F" w:rsidRDefault="009B2D09" w:rsidP="00E43D3E">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w:t>
            </w:r>
            <w:r w:rsidR="00E43D3E" w:rsidRPr="00EC326F">
              <w:t>4</w:t>
            </w:r>
            <w:r w:rsidRPr="00EC326F">
              <w:t>%</w:t>
            </w:r>
          </w:p>
        </w:tc>
      </w:tr>
      <w:tr w:rsidR="009B2D09" w:rsidRPr="00EC326F" w14:paraId="4F2F7EAA"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130B1366" w14:textId="77777777" w:rsidR="009B2D09" w:rsidRPr="00EC326F" w:rsidRDefault="009B2D09" w:rsidP="000D6C29">
            <w:pPr>
              <w:pStyle w:val="TableTextSmall"/>
            </w:pPr>
            <w:r w:rsidRPr="00EC326F">
              <w:t>Years with non-income support payments only</w:t>
            </w:r>
          </w:p>
        </w:tc>
        <w:tc>
          <w:tcPr>
            <w:tcW w:w="2520" w:type="dxa"/>
          </w:tcPr>
          <w:p w14:paraId="2AF3F6B7" w14:textId="77777777" w:rsidR="009B2D09" w:rsidRPr="00EC326F" w:rsidRDefault="009B2D09" w:rsidP="00E43D3E">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w:t>
            </w:r>
            <w:r w:rsidR="00E43D3E" w:rsidRPr="00EC326F">
              <w:t>0</w:t>
            </w:r>
          </w:p>
        </w:tc>
        <w:tc>
          <w:tcPr>
            <w:tcW w:w="2520" w:type="dxa"/>
          </w:tcPr>
          <w:p w14:paraId="6C4C88F8" w14:textId="77777777" w:rsidR="009B2D09" w:rsidRPr="00EC326F" w:rsidRDefault="009B2D09"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2</w:t>
            </w:r>
            <w:r w:rsidR="00E43D3E" w:rsidRPr="00EC326F">
              <w:t>6</w:t>
            </w:r>
            <w:r w:rsidRPr="00EC326F">
              <w:t>%</w:t>
            </w:r>
          </w:p>
        </w:tc>
      </w:tr>
      <w:tr w:rsidR="009B2D09" w:rsidRPr="00EC326F" w14:paraId="34373846"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C1B213D" w14:textId="77777777" w:rsidR="009B2D09" w:rsidRPr="00EC326F" w:rsidRDefault="009B2D09" w:rsidP="000D6C29">
            <w:pPr>
              <w:pStyle w:val="TableTextSmall"/>
            </w:pPr>
            <w:r w:rsidRPr="00EC326F">
              <w:t>Years not receiving any welfare payments</w:t>
            </w:r>
          </w:p>
        </w:tc>
        <w:tc>
          <w:tcPr>
            <w:tcW w:w="2520" w:type="dxa"/>
          </w:tcPr>
          <w:p w14:paraId="67D7070F" w14:textId="77777777" w:rsidR="009B2D09" w:rsidRPr="00EC326F" w:rsidRDefault="009B2D09"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12</w:t>
            </w:r>
          </w:p>
        </w:tc>
        <w:tc>
          <w:tcPr>
            <w:tcW w:w="2520" w:type="dxa"/>
          </w:tcPr>
          <w:p w14:paraId="3F36CBDA" w14:textId="77777777" w:rsidR="009B2D09" w:rsidRPr="00EC326F" w:rsidRDefault="00E43D3E"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30</w:t>
            </w:r>
            <w:r w:rsidR="009B2D09" w:rsidRPr="00EC326F">
              <w:t>%</w:t>
            </w:r>
          </w:p>
        </w:tc>
      </w:tr>
      <w:tr w:rsidR="009B2D09" w:rsidRPr="00EC326F" w14:paraId="4ACE6430"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4576933F" w14:textId="77777777" w:rsidR="009B2D09" w:rsidRPr="00EC326F" w:rsidRDefault="009B2D09" w:rsidP="000D6C29">
            <w:pPr>
              <w:pStyle w:val="TableTextSmall"/>
            </w:pPr>
            <w:r w:rsidRPr="00EC326F">
              <w:t>Total</w:t>
            </w:r>
          </w:p>
        </w:tc>
        <w:tc>
          <w:tcPr>
            <w:tcW w:w="2520" w:type="dxa"/>
          </w:tcPr>
          <w:p w14:paraId="70FBAC1A" w14:textId="77777777" w:rsidR="009B2D09" w:rsidRPr="00EC326F" w:rsidRDefault="00E43D3E"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39</w:t>
            </w:r>
          </w:p>
        </w:tc>
        <w:tc>
          <w:tcPr>
            <w:tcW w:w="2520" w:type="dxa"/>
          </w:tcPr>
          <w:p w14:paraId="020667F2" w14:textId="77777777" w:rsidR="009B2D09" w:rsidRPr="00EC326F" w:rsidRDefault="009B2D09"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100%</w:t>
            </w:r>
          </w:p>
        </w:tc>
      </w:tr>
    </w:tbl>
    <w:p w14:paraId="6AE664E5" w14:textId="77777777" w:rsidR="009B2D09" w:rsidRPr="00EC326F" w:rsidRDefault="009B2D09" w:rsidP="009B2D09">
      <w:pPr>
        <w:kinsoku/>
        <w:overflowPunct/>
        <w:autoSpaceDE/>
        <w:autoSpaceDN/>
        <w:adjustRightInd/>
        <w:snapToGrid/>
      </w:pPr>
      <w:r w:rsidRPr="00EC326F">
        <w:br w:type="page"/>
      </w:r>
    </w:p>
    <w:p w14:paraId="23B9A5C5" w14:textId="77777777" w:rsidR="009B2D09" w:rsidRPr="00EC326F" w:rsidRDefault="009B2D09" w:rsidP="009B2D09">
      <w:pPr>
        <w:pStyle w:val="Heading3"/>
      </w:pPr>
      <w:bookmarkStart w:id="412" w:name="_Toc493844266"/>
      <w:r w:rsidRPr="00EC326F">
        <w:lastRenderedPageBreak/>
        <w:t>Non income support – Other</w:t>
      </w:r>
      <w:bookmarkEnd w:id="412"/>
    </w:p>
    <w:p w14:paraId="241944B8" w14:textId="77777777" w:rsidR="009B2D09" w:rsidRPr="00EC326F" w:rsidRDefault="009B2D09" w:rsidP="009B2D09">
      <w:pPr>
        <w:pStyle w:val="Heading4"/>
      </w:pPr>
      <w:r w:rsidRPr="00EC326F">
        <w:t>What does the data tell us about this class?</w:t>
      </w:r>
    </w:p>
    <w:p w14:paraId="786E0BA0" w14:textId="77777777" w:rsidR="009B2D09" w:rsidRPr="00EC326F" w:rsidRDefault="009B2D09" w:rsidP="009B2D09">
      <w:pPr>
        <w:pStyle w:val="PwCNormal"/>
        <w:numPr>
          <w:ilvl w:val="0"/>
          <w:numId w:val="0"/>
        </w:numPr>
      </w:pPr>
      <w:r w:rsidRPr="00EC326F">
        <w:t>There were 543,327 people (6.8% of current welfare recipients) in the Non IS Other class in the 2016 model population.</w:t>
      </w:r>
    </w:p>
    <w:p w14:paraId="30C0EF96" w14:textId="77777777" w:rsidR="009B2D09" w:rsidRPr="00EC326F" w:rsidRDefault="009B2D09" w:rsidP="009B2D09">
      <w:pPr>
        <w:pStyle w:val="PwCNormal"/>
        <w:numPr>
          <w:ilvl w:val="0"/>
          <w:numId w:val="0"/>
        </w:numPr>
      </w:pPr>
      <w:r w:rsidRPr="00EC326F">
        <w:t>The following chart shows a breakdown of the number of people in the Non IS Other class by age and gender.</w:t>
      </w:r>
    </w:p>
    <w:p w14:paraId="74B42E12" w14:textId="77777777" w:rsidR="009B2D09" w:rsidRPr="00EC326F" w:rsidRDefault="009B2D09" w:rsidP="009B2D09">
      <w:pPr>
        <w:pStyle w:val="Caption"/>
      </w:pPr>
      <w:r w:rsidRPr="00EC326F">
        <w:t xml:space="preserve">Figure </w:t>
      </w:r>
      <w:fldSimple w:instr=" SEQ Figure \* ARABIC ">
        <w:r w:rsidR="007A42DF">
          <w:rPr>
            <w:noProof/>
          </w:rPr>
          <w:t>77</w:t>
        </w:r>
      </w:fldSimple>
      <w:r w:rsidRPr="00EC326F">
        <w:t xml:space="preserve">: 2016 profile of people in Class </w:t>
      </w:r>
      <w:r w:rsidR="00D409B2" w:rsidRPr="00EC326F">
        <w:t>9</w:t>
      </w:r>
      <w:r w:rsidRPr="00EC326F">
        <w:t xml:space="preserve"> – Non IS Other (age/gender)</w:t>
      </w:r>
    </w:p>
    <w:tbl>
      <w:tblPr>
        <w:tblStyle w:val="Tables-APBase"/>
        <w:tblW w:w="407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9 – Non IS Other (age/gender)&#10;"/>
        <w:tblDescription w:val="This figure is a horizontal bar chart number of people in the Non IS Other class at Jun16 by age for males and females separately. The vertical axis shows age with the data shown ranging from 4 to 105. The horizontal axis shows the number of people ranging from 0 to 15,000. The number of males at each age are shown by the horizontal bars to the left of the vertical axis and the number of females at each age are shown by horizontal bars to the right.&#10;&#10;The chart is based on the 543,000 individuals who were in the Non IS Other class at 30 June 2016. &#10;&#10;The chart shows that most people in this class are aged between 12 and 90. The number of males and females fluctuates with age with spikes of approximately 4,000 males and 4,000 females at age 14, approximately 6,000 males and 10,000 females at 32, and approximately 10,000 males and 11,000 females at 69. The number of males and females has troughs at approximately 500 males and 800 females at age 19 and approximately 300 males and females at 64. &#10;"/>
      </w:tblPr>
      <w:tblGrid>
        <w:gridCol w:w="5529"/>
        <w:gridCol w:w="2693"/>
      </w:tblGrid>
      <w:tr w:rsidR="009B2D09" w:rsidRPr="00EC326F" w14:paraId="1E23D75A" w14:textId="77777777" w:rsidTr="009C6553">
        <w:trPr>
          <w:tblHeader/>
        </w:trPr>
        <w:tc>
          <w:tcPr>
            <w:tcW w:w="5529" w:type="dxa"/>
          </w:tcPr>
          <w:p w14:paraId="3F586DE9"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614303B7" wp14:editId="6F71737E">
                  <wp:extent cx="3371850" cy="2105025"/>
                  <wp:effectExtent l="0" t="0" r="0" b="9525"/>
                  <wp:docPr id="3930" name="Picture 3930" descr="This figure is a horizontal bar chart number of people in the Non IS Other class at Jun16 by age for males and females separately. The vertical axis shows age with the data shown ranging from 4 to 105. The horizontal axis shows the number of people ranging from 0 to 15,000. The number of males at each age are shown by the horizontal bars to the left of the vertical axis and the number of females at each age are shown by horizontal bars to the right.&#10;&#10;The chart is based on the 543,000 individuals who were in the Non IS Other class at 30 June 2016. &#10;&#10;The chart shows that most people in this class are aged between 12 and 90. The number of males and females fluctuates with age with spikes of approximately 4,000 males and 4,000 females at age 14, approximately 6,000 males and 10,000 females at 32, and approximately 10,000 males and 11,000 females at 69. The number of males and females has troughs at approximately 500 males and 800 females at age 19 and approximately 300 males and females at 64. &#10;" title=" 2016 profile of people in Class 9 – Non IS Other (age/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71850" cy="2105025"/>
                          </a:xfrm>
                          <a:prstGeom prst="rect">
                            <a:avLst/>
                          </a:prstGeom>
                          <a:noFill/>
                          <a:ln>
                            <a:noFill/>
                          </a:ln>
                        </pic:spPr>
                      </pic:pic>
                    </a:graphicData>
                  </a:graphic>
                </wp:inline>
              </w:drawing>
            </w:r>
          </w:p>
        </w:tc>
        <w:tc>
          <w:tcPr>
            <w:tcW w:w="2693" w:type="dxa"/>
          </w:tcPr>
          <w:p w14:paraId="61D75D51" w14:textId="77777777" w:rsidR="009B2D09" w:rsidRPr="00EC326F" w:rsidRDefault="009B2D09" w:rsidP="005D6CEC">
            <w:pPr>
              <w:pStyle w:val="TableTextSmall"/>
              <w:keepNext/>
              <w:rPr>
                <w:lang w:eastAsia="en-AU"/>
              </w:rPr>
            </w:pPr>
          </w:p>
        </w:tc>
      </w:tr>
    </w:tbl>
    <w:p w14:paraId="600952E3" w14:textId="77777777" w:rsidR="009B2D09" w:rsidRPr="00EC326F" w:rsidRDefault="009B2D09" w:rsidP="009B2D09">
      <w:pPr>
        <w:pStyle w:val="PwCNormal"/>
        <w:numPr>
          <w:ilvl w:val="0"/>
          <w:numId w:val="0"/>
        </w:numPr>
      </w:pPr>
      <w:r w:rsidRPr="00EC326F">
        <w:t>From the graph, we can see there are three distinct groups within the class:</w:t>
      </w:r>
    </w:p>
    <w:p w14:paraId="60BDBB55" w14:textId="77777777" w:rsidR="009B2D09" w:rsidRPr="00EC326F" w:rsidRDefault="009B2D09" w:rsidP="009B2D09">
      <w:pPr>
        <w:pStyle w:val="ListBullet"/>
      </w:pPr>
      <w:r w:rsidRPr="00EC326F">
        <w:t>a group receiving payments such as school fees allowance or assistance to isolated children payments during their youth</w:t>
      </w:r>
    </w:p>
    <w:p w14:paraId="69C8A928" w14:textId="77777777" w:rsidR="009B2D09" w:rsidRPr="00EC326F" w:rsidRDefault="009B2D09" w:rsidP="009B2D09">
      <w:pPr>
        <w:pStyle w:val="ListBullet"/>
      </w:pPr>
      <w:r w:rsidRPr="00EC326F">
        <w:t xml:space="preserve">a group of parenting age who are predominantly female and are first year FTB, family or new parent payment recipients (and who subsequently move on to class 7), and </w:t>
      </w:r>
    </w:p>
    <w:p w14:paraId="520E5858" w14:textId="77777777" w:rsidR="009B2D09" w:rsidRPr="00EC326F" w:rsidRDefault="009B2D09" w:rsidP="009B2D09">
      <w:pPr>
        <w:pStyle w:val="ListBullet"/>
      </w:pPr>
      <w:r w:rsidRPr="00EC326F">
        <w:t>a group of older people who are typically receiving energy supplements.</w:t>
      </w:r>
    </w:p>
    <w:p w14:paraId="0B6008A1" w14:textId="77777777" w:rsidR="009B2D09" w:rsidRPr="00EC326F" w:rsidRDefault="009B2D09" w:rsidP="009B2D09">
      <w:pPr>
        <w:pStyle w:val="Minorheading"/>
      </w:pPr>
      <w:r w:rsidRPr="00EC326F">
        <w:t>Movements into this class</w:t>
      </w:r>
    </w:p>
    <w:p w14:paraId="7E37C819" w14:textId="77777777" w:rsidR="009B2D09" w:rsidRPr="00EC326F" w:rsidRDefault="009B2D09" w:rsidP="009B2D09">
      <w:pPr>
        <w:pStyle w:val="PwCNormal"/>
        <w:numPr>
          <w:ilvl w:val="0"/>
          <w:numId w:val="1"/>
        </w:numPr>
      </w:pPr>
      <w:r w:rsidRPr="00EC326F">
        <w:t xml:space="preserve">Over the last 3 years, an average of 295,400 people (around 50% of the people in this class) per annum enter this class from another welfare class or from outside the welfare system. The following charts show the breakdown of this by age, gender and previous class. </w:t>
      </w:r>
    </w:p>
    <w:p w14:paraId="3D046F74" w14:textId="77777777" w:rsidR="009B2D09" w:rsidRPr="00EC326F" w:rsidRDefault="009B2D09" w:rsidP="009B2D09">
      <w:pPr>
        <w:pStyle w:val="Caption"/>
      </w:pPr>
      <w:r w:rsidRPr="00EC326F">
        <w:t xml:space="preserve">Figure </w:t>
      </w:r>
      <w:fldSimple w:instr=" SEQ Figure \* ARABIC ">
        <w:r w:rsidR="007A42DF">
          <w:rPr>
            <w:noProof/>
          </w:rPr>
          <w:t>78</w:t>
        </w:r>
      </w:fldSimple>
      <w:r w:rsidRPr="00EC326F">
        <w:t xml:space="preserve">: Number of people entering Class </w:t>
      </w:r>
      <w:r w:rsidR="00D409B2" w:rsidRPr="00EC326F">
        <w:t>9</w:t>
      </w:r>
      <w:r w:rsidRPr="00EC326F">
        <w:t xml:space="preserve"> – </w:t>
      </w:r>
      <w:r w:rsidR="00D409B2" w:rsidRPr="00EC326F">
        <w:t>Non IS Other</w:t>
      </w:r>
      <w:r w:rsidRPr="00EC326F">
        <w:t xml:space="preserve"> (annual average over last 3 years)</w:t>
      </w:r>
    </w:p>
    <w:tbl>
      <w:tblPr>
        <w:tblW w:w="4922" w:type="pct"/>
        <w:tblLayout w:type="fixed"/>
        <w:tblLook w:val="04A0" w:firstRow="1" w:lastRow="0" w:firstColumn="1" w:lastColumn="0" w:noHBand="0" w:noVBand="1"/>
        <w:tblCaption w:val=" Number of people entering Class 9 – Non IS Other (annual average over last 3 years)"/>
        <w:tblDescription w:val="This text box contains two charts and a legend.&#10;"/>
      </w:tblPr>
      <w:tblGrid>
        <w:gridCol w:w="4962"/>
        <w:gridCol w:w="4962"/>
      </w:tblGrid>
      <w:tr w:rsidR="009B2D09" w:rsidRPr="00EC326F" w14:paraId="6C9D6E46" w14:textId="77777777" w:rsidTr="001B43B4">
        <w:trPr>
          <w:tblHeader/>
        </w:trPr>
        <w:tc>
          <w:tcPr>
            <w:tcW w:w="4962" w:type="dxa"/>
          </w:tcPr>
          <w:p w14:paraId="6E347F18" w14:textId="77777777" w:rsidR="009B2D09" w:rsidRPr="00EC326F" w:rsidRDefault="009B2D09" w:rsidP="000D6C29">
            <w:pPr>
              <w:pStyle w:val="TableTextSmall"/>
              <w:keepNext/>
              <w:jc w:val="center"/>
              <w:rPr>
                <w:b/>
                <w:i/>
              </w:rPr>
            </w:pPr>
            <w:r w:rsidRPr="00EC326F">
              <w:rPr>
                <w:b/>
                <w:i/>
              </w:rPr>
              <w:t>Males</w:t>
            </w:r>
          </w:p>
        </w:tc>
        <w:tc>
          <w:tcPr>
            <w:tcW w:w="4962" w:type="dxa"/>
          </w:tcPr>
          <w:p w14:paraId="6EFCA045" w14:textId="77777777" w:rsidR="009B2D09" w:rsidRPr="00EC326F" w:rsidRDefault="009B2D09" w:rsidP="000D6C29">
            <w:pPr>
              <w:pStyle w:val="TableTextSmall"/>
              <w:keepNext/>
              <w:jc w:val="center"/>
              <w:rPr>
                <w:b/>
                <w:i/>
              </w:rPr>
            </w:pPr>
            <w:r w:rsidRPr="00EC326F">
              <w:rPr>
                <w:b/>
                <w:i/>
              </w:rPr>
              <w:t>Females</w:t>
            </w:r>
          </w:p>
        </w:tc>
      </w:tr>
      <w:tr w:rsidR="009B2D09" w:rsidRPr="00EC326F" w14:paraId="66D12973" w14:textId="77777777" w:rsidTr="0016127C">
        <w:tc>
          <w:tcPr>
            <w:tcW w:w="4962" w:type="dxa"/>
          </w:tcPr>
          <w:p w14:paraId="6E9C7354"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1082FFDE" wp14:editId="50AAE3D6">
                  <wp:extent cx="3009900" cy="1876425"/>
                  <wp:effectExtent l="0" t="0" r="0" b="9525"/>
                  <wp:docPr id="3934" name="Picture 3934" descr="This figure contains two area charts. The vertical axis on both charts displays the cumulative number of entrants into the Non IS Other class, and ranges from 0 to 10,000. For both charts the horizontal axis shows age ranging from 0 to 110. &#10;&#10;The chart on the left shows the average number of male entrants over the period from June 2014 to June 2016, split by class prior to entry.&#10;&#10;Both area charts show the cumulative number of entrants split by class prior to entry to the Non IS Other class; 1 Studying, 2 Working Age, 3 Parents, 4 Carers, 5 Disability Support, 6 Pension Age, 7 Non-IS Family, 8 Non-IS Carer, 10 Previous Welfare Recipient and 12 Rest of the Australian Population.&#10;&#10;The left chart shows the majority of male entrants come from Class 12 Rest of the Australian Population or Class 10 Previous Welfare Recipient. There are two small peaks at age 12 and age 65 of 1,900 and 3,700 respectively, with a significantly larger peak at age 32 with 6,800 male entrants.&#10;&#10;Further discussion of the key features shown in the chart can be found in the accompanying text within the report.&#10;" title=" Number of people entering Class 9 – Non IS Other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962" w:type="dxa"/>
          </w:tcPr>
          <w:p w14:paraId="0301601F"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3F4CA2C9" wp14:editId="46F37264">
                  <wp:extent cx="3009900" cy="1876425"/>
                  <wp:effectExtent l="0" t="0" r="0" b="9525"/>
                  <wp:docPr id="3935" name="Picture 3935" descr="The chart on the right shows the average number of female entrants over the period from June 2014 to June 2016, split by class prior to entry. &#10;&#10;The right chart shows the majority of female entrants come from Class 12 Rest of the Australian Population, Class 10 Previous Welfare Recipient or Class 7 Non IS Family. The female chart shows similar trends to the male chart, with the main difference being a higher number of entrants across most ages. The two small peaks at age 12 and age 65 reach 1,900 and 4,400 entrants respectively, with a much larger peak at age 32 with 10,500 female entrants." title=" Number of people entering Class 9 – Non IS Other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6CA1B1D5" w14:textId="12302F12" w:rsidR="0085015D" w:rsidRDefault="0085015D" w:rsidP="0081675B">
      <w:pPr>
        <w:pStyle w:val="PwCNormal"/>
        <w:numPr>
          <w:ilvl w:val="0"/>
          <w:numId w:val="1"/>
        </w:numPr>
        <w:jc w:val="center"/>
      </w:pPr>
      <w:r w:rsidRPr="00EC326F">
        <w:rPr>
          <w:noProof/>
          <w:lang w:eastAsia="en-AU"/>
        </w:rPr>
        <w:drawing>
          <wp:inline distT="0" distB="0" distL="0" distR="0" wp14:anchorId="5D8A6E39" wp14:editId="22B372C0">
            <wp:extent cx="5385600" cy="468000"/>
            <wp:effectExtent l="0" t="0" r="0" b="8255"/>
            <wp:docPr id="3164" name="Picture 3164" descr="Class key: studying, working age, parents, carers, disability support, pension age, non-income support family, non-income support carer, non-income support other, previous welfare recipient, rest of the Australian population and dead. &#10;" title="Class Key for Fig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4F008E3A" w14:textId="77777777" w:rsidR="009B2D09" w:rsidRPr="002A0A1A" w:rsidRDefault="009B2D09" w:rsidP="009B2D09">
      <w:pPr>
        <w:pStyle w:val="PwCNormal"/>
        <w:numPr>
          <w:ilvl w:val="0"/>
          <w:numId w:val="1"/>
        </w:numPr>
      </w:pPr>
      <w:r w:rsidRPr="00EC326F">
        <w:lastRenderedPageBreak/>
        <w:t xml:space="preserve">We can see that most people in this class primarily came directly from outside the welfare system, around half of which have never received any welfare payments before. The people who enter this class from other active classes typically do so from the Non IS Family class. </w:t>
      </w:r>
    </w:p>
    <w:p w14:paraId="635D14A8" w14:textId="77777777" w:rsidR="009B2D09" w:rsidRPr="00EC326F" w:rsidRDefault="009B2D09" w:rsidP="009B2D09">
      <w:pPr>
        <w:pStyle w:val="Minorheading"/>
      </w:pPr>
      <w:r w:rsidRPr="00EC326F">
        <w:t>Movements out of this class</w:t>
      </w:r>
    </w:p>
    <w:p w14:paraId="04EE616D" w14:textId="77777777" w:rsidR="009B2D09" w:rsidRPr="00EC326F" w:rsidRDefault="009B2D09" w:rsidP="009B2D09">
      <w:pPr>
        <w:pStyle w:val="PwCNormal"/>
        <w:numPr>
          <w:ilvl w:val="0"/>
          <w:numId w:val="1"/>
        </w:numPr>
      </w:pPr>
      <w:r w:rsidRPr="00EC326F">
        <w:t xml:space="preserve">Over the last 3 years, an average of 300,100 people (50%) per annum have transitioned out of the Non IS Other class. The following charts show the breakdown of this by age, gender and destination class. </w:t>
      </w:r>
    </w:p>
    <w:p w14:paraId="481C57C2" w14:textId="77777777" w:rsidR="009B2D09" w:rsidRPr="00EC326F" w:rsidRDefault="009B2D09" w:rsidP="009B2D09">
      <w:pPr>
        <w:pStyle w:val="Caption"/>
      </w:pPr>
      <w:r w:rsidRPr="00EC326F">
        <w:t xml:space="preserve">Figure </w:t>
      </w:r>
      <w:fldSimple w:instr=" SEQ Figure \* ARABIC ">
        <w:r w:rsidR="007A42DF">
          <w:rPr>
            <w:noProof/>
          </w:rPr>
          <w:t>79</w:t>
        </w:r>
      </w:fldSimple>
      <w:r w:rsidRPr="00EC326F">
        <w:t xml:space="preserve">: Number of people leaving Class </w:t>
      </w:r>
      <w:r w:rsidR="00D409B2" w:rsidRPr="00EC326F">
        <w:t>9</w:t>
      </w:r>
      <w:r w:rsidRPr="00EC326F">
        <w:t xml:space="preserve"> – </w:t>
      </w:r>
      <w:r w:rsidR="00A02636" w:rsidRPr="00EC326F">
        <w:t xml:space="preserve">Non IS Other </w:t>
      </w:r>
      <w:r w:rsidRPr="00EC326F">
        <w:t>(annual average over last 3 years)</w:t>
      </w:r>
    </w:p>
    <w:tbl>
      <w:tblPr>
        <w:tblW w:w="4922" w:type="pct"/>
        <w:tblLayout w:type="fixed"/>
        <w:tblLook w:val="04A0" w:firstRow="1" w:lastRow="0" w:firstColumn="1" w:lastColumn="0" w:noHBand="0" w:noVBand="1"/>
        <w:tblCaption w:val=" Number of people leaving Class 9 – Non IS Other (annual average over last 3 years)"/>
        <w:tblDescription w:val="This text box contains two charts and a legend.&#10;"/>
      </w:tblPr>
      <w:tblGrid>
        <w:gridCol w:w="4962"/>
        <w:gridCol w:w="4962"/>
      </w:tblGrid>
      <w:tr w:rsidR="009B2D09" w:rsidRPr="00EC326F" w14:paraId="057C61D5" w14:textId="77777777" w:rsidTr="001B43B4">
        <w:trPr>
          <w:tblHeader/>
        </w:trPr>
        <w:tc>
          <w:tcPr>
            <w:tcW w:w="4962" w:type="dxa"/>
          </w:tcPr>
          <w:p w14:paraId="025F7A0F" w14:textId="77777777" w:rsidR="009B2D09" w:rsidRPr="00EC326F" w:rsidRDefault="009B2D09" w:rsidP="000D6C29">
            <w:pPr>
              <w:pStyle w:val="TableTextSmall"/>
              <w:keepNext/>
              <w:jc w:val="center"/>
              <w:rPr>
                <w:b/>
                <w:i/>
              </w:rPr>
            </w:pPr>
            <w:r w:rsidRPr="00EC326F">
              <w:rPr>
                <w:b/>
                <w:i/>
              </w:rPr>
              <w:t>Males</w:t>
            </w:r>
          </w:p>
        </w:tc>
        <w:tc>
          <w:tcPr>
            <w:tcW w:w="4962" w:type="dxa"/>
          </w:tcPr>
          <w:p w14:paraId="23DA36FE" w14:textId="77777777" w:rsidR="009B2D09" w:rsidRPr="00EC326F" w:rsidRDefault="009B2D09" w:rsidP="000D6C29">
            <w:pPr>
              <w:pStyle w:val="TableTextSmall"/>
              <w:keepNext/>
              <w:jc w:val="center"/>
              <w:rPr>
                <w:b/>
                <w:i/>
              </w:rPr>
            </w:pPr>
            <w:r w:rsidRPr="00EC326F">
              <w:rPr>
                <w:b/>
                <w:i/>
              </w:rPr>
              <w:t>Females</w:t>
            </w:r>
          </w:p>
        </w:tc>
      </w:tr>
      <w:tr w:rsidR="009B2D09" w:rsidRPr="00EC326F" w14:paraId="70F670FC" w14:textId="77777777" w:rsidTr="0016127C">
        <w:tc>
          <w:tcPr>
            <w:tcW w:w="4962" w:type="dxa"/>
          </w:tcPr>
          <w:p w14:paraId="0FC1CB4C"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060BC9B1" wp14:editId="4DA7E379">
                  <wp:extent cx="3009900" cy="1876425"/>
                  <wp:effectExtent l="0" t="0" r="0" b="9525"/>
                  <wp:docPr id="3939" name="Picture 3939" descr="This figure contains two area charts showing the cumulative number of exits from the Non IS Other class by age. The age profile of male and female exits is shown separately. For both charts the horizontal axis shows age at the start of the year ranging from 0 to 110 and the vertical axis shows the cumulative number of people exiting ranging from 0 to 11,000.&#10;&#10;The left hand chart shows the average number of males exiting the class over the period from June 2014 to June 2016, by age. &#10;&#10;Both area charts show the cumulative number of people who exited the Non IS Other class split by class they subsequently transition to. These classes include; 1 Studying, 2 Working Age, 3 Parents, 4 Carers, 5 Disability Support, 6 Pension Age, 7 Non-IS Family, 8 Non-IS Carer, 10 Previous Welfare Recipient, 11 Dead and 12 Rest of the Australian Population.&#10;&#10;The left chart shows that the number of male exits has a small peak at age 17 (2,000 exits), a large peak at age 34 (6,000 exits) and another small peak at age 70 (1,450 exits). We can see that most males aged 5 to 20 move into Class 10 Previous Welfare Owner; the majority of those aged 21-64 move into Class 7 Non IS Family; and the majority of those aged 65 onwards move into Class 6 Pension Age. &#10;&#10;Further discussion of the key features shown in the chart can be found in the accompanying text within the report.&#10;" title=" Number of people leaving Class 9 – Non IS Other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c>
          <w:tcPr>
            <w:tcW w:w="4962" w:type="dxa"/>
          </w:tcPr>
          <w:p w14:paraId="18A0EED0"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3474EABE" wp14:editId="57D4853F">
                  <wp:extent cx="3009900" cy="1876425"/>
                  <wp:effectExtent l="0" t="0" r="0" b="9525"/>
                  <wp:docPr id="3940" name="Picture 3940" descr="The right hand chart shows the average number of females exiting the class over the period from June 2014 to June 2016, by age.&#10;&#10;The female exits chart shows a similar shape to the male exits chart, with a higher number of exits for females aged 21 to 64 compared to males of the same age. The number of females also has a small peak at age 17 of 2,000 exits, a substantial peak at age 32 with 10,500 exits and a small peak of 1,300 exits at age 69. Most of the females aged 5 to 20 move into Class 10 Previous Welfare Recipient; those aged 21-64 mainly move into Class 7 Non IS Family; and the majority of those aged 65 onwards move into Class 6 Pension Age. " title=" Number of people leaving Class 9 – Non IS Other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tc>
      </w:tr>
    </w:tbl>
    <w:p w14:paraId="426CD633" w14:textId="64623E63" w:rsidR="0085015D" w:rsidRDefault="0085015D" w:rsidP="0081675B">
      <w:pPr>
        <w:pStyle w:val="PwCNormal"/>
        <w:numPr>
          <w:ilvl w:val="0"/>
          <w:numId w:val="1"/>
        </w:numPr>
        <w:jc w:val="center"/>
      </w:pPr>
      <w:r w:rsidRPr="00EC326F">
        <w:rPr>
          <w:noProof/>
          <w:lang w:eastAsia="en-AU"/>
        </w:rPr>
        <w:drawing>
          <wp:inline distT="0" distB="0" distL="0" distR="0" wp14:anchorId="28005055" wp14:editId="2F1683BA">
            <wp:extent cx="5385600" cy="468000"/>
            <wp:effectExtent l="0" t="0" r="0" b="8255"/>
            <wp:docPr id="3165" name="Picture 3165" descr="Class key: studying, working age, parents, carers, disability support, pension age, non-income support family, non-income support carer, non-income support other, previous welfare recipient, rest of the Australian population and dead. &#10;" title="Class Key for Fig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5ADE704C" w14:textId="77777777" w:rsidR="009B2D09" w:rsidRPr="00EC326F" w:rsidRDefault="009B2D09" w:rsidP="009B2D09">
      <w:pPr>
        <w:pStyle w:val="PwCNormal"/>
        <w:numPr>
          <w:ilvl w:val="0"/>
          <w:numId w:val="1"/>
        </w:numPr>
      </w:pPr>
      <w:r w:rsidRPr="00EC326F">
        <w:t>The mobility of this class varies significantly with age:</w:t>
      </w:r>
    </w:p>
    <w:p w14:paraId="2286F864" w14:textId="77777777" w:rsidR="009B2D09" w:rsidRPr="00EC326F" w:rsidRDefault="009B2D09" w:rsidP="009B2D09">
      <w:pPr>
        <w:pStyle w:val="ListBullet"/>
      </w:pPr>
      <w:r w:rsidRPr="00EC326F">
        <w:t>The younger group are somewhat mobile, and when they exit this class they tend to exit the system or move onto Studying or Working age payments;</w:t>
      </w:r>
    </w:p>
    <w:p w14:paraId="2EF3D392" w14:textId="77777777" w:rsidR="009B2D09" w:rsidRPr="00EC326F" w:rsidRDefault="009B2D09" w:rsidP="009B2D09">
      <w:pPr>
        <w:pStyle w:val="ListBullet"/>
      </w:pPr>
      <w:r w:rsidRPr="00EC326F">
        <w:t xml:space="preserve">The parenting group are highly mobile and tend to move into the Non IS family class </w:t>
      </w:r>
      <w:r w:rsidR="000B1C9E" w:rsidRPr="00EC326F">
        <w:t>a year</w:t>
      </w:r>
      <w:r w:rsidRPr="00EC326F">
        <w:t xml:space="preserve"> after entering this class; and</w:t>
      </w:r>
    </w:p>
    <w:p w14:paraId="5B084734" w14:textId="77777777" w:rsidR="009B2D09" w:rsidRPr="00EC326F" w:rsidRDefault="009B2D09" w:rsidP="009B2D09">
      <w:pPr>
        <w:pStyle w:val="ListBullet"/>
      </w:pPr>
      <w:r w:rsidRPr="00EC326F">
        <w:t>The older group typically stay, move into the age pension group or exit.</w:t>
      </w:r>
    </w:p>
    <w:p w14:paraId="67A07473" w14:textId="77777777" w:rsidR="009B2D09" w:rsidRPr="00EC326F" w:rsidRDefault="009B2D09" w:rsidP="009B2D09">
      <w:pPr>
        <w:pStyle w:val="Minorheading"/>
      </w:pPr>
      <w:r w:rsidRPr="00EC326F">
        <w:t>Payments received</w:t>
      </w:r>
    </w:p>
    <w:p w14:paraId="11A04276" w14:textId="77777777" w:rsidR="009B2D09" w:rsidRPr="00EC326F" w:rsidRDefault="009B2D09" w:rsidP="009B2D09">
      <w:pPr>
        <w:pStyle w:val="PwCNormal"/>
        <w:numPr>
          <w:ilvl w:val="0"/>
          <w:numId w:val="1"/>
        </w:numPr>
      </w:pPr>
      <w:r w:rsidRPr="00EC326F">
        <w:t xml:space="preserve">During 2015/16, people in this class received a total of $1.5 billion. This is </w:t>
      </w:r>
      <w:r w:rsidR="000B1C9E" w:rsidRPr="00EC326F">
        <w:t>1.4</w:t>
      </w:r>
      <w:r w:rsidRPr="00EC326F">
        <w:t>% of the total payments made in 2015/16. The charts below show the average amount paid in a year to each person in this class.</w:t>
      </w:r>
    </w:p>
    <w:p w14:paraId="4C2264CF" w14:textId="77777777" w:rsidR="009B2D09" w:rsidRPr="00EC326F" w:rsidRDefault="009B2D09" w:rsidP="009B2D09">
      <w:pPr>
        <w:pStyle w:val="Caption"/>
      </w:pPr>
      <w:r w:rsidRPr="00EC326F">
        <w:lastRenderedPageBreak/>
        <w:t xml:space="preserve">Figure </w:t>
      </w:r>
      <w:fldSimple w:instr=" SEQ Figure \* ARABIC ">
        <w:r w:rsidR="007A42DF">
          <w:rPr>
            <w:noProof/>
          </w:rPr>
          <w:t>80</w:t>
        </w:r>
      </w:fldSimple>
      <w:r w:rsidRPr="00EC326F">
        <w:t>: Average payments per person in Class 9 – Non IS Other</w:t>
      </w:r>
      <w:r w:rsidR="00321A6F" w:rsidRPr="00EC326F">
        <w:t xml:space="preserve"> (restated to 2015/16 $ values)</w:t>
      </w:r>
    </w:p>
    <w:p w14:paraId="5E823F06" w14:textId="7F7C1804" w:rsidR="009B2D09" w:rsidRPr="00EC326F" w:rsidRDefault="009B2D09" w:rsidP="00716FF0">
      <w:pPr>
        <w:pStyle w:val="PwCNormal"/>
        <w:keepNext/>
        <w:numPr>
          <w:ilvl w:val="0"/>
          <w:numId w:val="1"/>
        </w:numPr>
      </w:pPr>
      <w:r w:rsidRPr="00EC326F">
        <w:rPr>
          <w:noProof/>
          <w:lang w:eastAsia="en-AU"/>
        </w:rPr>
        <w:drawing>
          <wp:inline distT="0" distB="0" distL="0" distR="0" wp14:anchorId="43F94137" wp14:editId="70B57D2A">
            <wp:extent cx="5716800" cy="2001192"/>
            <wp:effectExtent l="0" t="0" r="0" b="0"/>
            <wp:docPr id="3943" name="Picture 3943" descr="This figure is a stacked column chart. The vertical axis displays the average payment per person in the Non IS Other Class, ranging from $0 to $5,000.&#10;&#10;The horizontal axis is split into two sections; the first for males and the second for females. Each section is further split to show the last five financial years; 2012, 2013, 2014, 2015 and 2016.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9 was: $1,800 for 2012; $1,700 for 2013; $1,800 for 2014; $1,800 for 2015; and $1,200 for 2016.&#10;&#10;For females the approximate average payment per person in Class 9 was: $4,200 for 2012; $4,300 for 2013; $4,500 for 2014; $4,600 for 2015; and $4,000 for 2016.&#10;&#10;The majority of payments for males were from the Other – General Allowances, Other – FTB and Other – New Parents categories. The majority of payments for females were from the Other – New Parents category, with smaller amounts from; Other – FTB and Other – General Allowances.&#10;&#10;The key features of this chart are described in the accompanying text within the report.&#10;" title=" Average payments per person in Class 9 – Non IS Other (restated to 2015/16 $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6800" cy="2001192"/>
                    </a:xfrm>
                    <a:prstGeom prst="rect">
                      <a:avLst/>
                    </a:prstGeom>
                    <a:noFill/>
                    <a:ln>
                      <a:noFill/>
                    </a:ln>
                  </pic:spPr>
                </pic:pic>
              </a:graphicData>
            </a:graphic>
          </wp:inline>
        </w:drawing>
      </w:r>
    </w:p>
    <w:p w14:paraId="45B8C39D" w14:textId="77777777" w:rsidR="009B2D09" w:rsidRPr="002A0A1A" w:rsidRDefault="009B2D09" w:rsidP="009B2D09">
      <w:pPr>
        <w:pStyle w:val="PwCNormal"/>
        <w:numPr>
          <w:ilvl w:val="0"/>
          <w:numId w:val="0"/>
        </w:numPr>
        <w:ind w:firstLine="720"/>
      </w:pPr>
      <w:r w:rsidRPr="00EC326F">
        <w:rPr>
          <w:noProof/>
          <w:lang w:eastAsia="en-AU"/>
        </w:rPr>
        <w:drawing>
          <wp:inline distT="0" distB="0" distL="0" distR="0" wp14:anchorId="76E7E2D6" wp14:editId="66EC540D">
            <wp:extent cx="4860000" cy="467785"/>
            <wp:effectExtent l="0" t="0" r="0" b="8890"/>
            <wp:docPr id="3942" name="Picture 3942"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5C35303B" w14:textId="77777777" w:rsidR="009B2D09" w:rsidRPr="00EC326F" w:rsidRDefault="009B2D09" w:rsidP="009B2D09">
      <w:pPr>
        <w:pStyle w:val="PwCNormal"/>
        <w:numPr>
          <w:ilvl w:val="0"/>
          <w:numId w:val="1"/>
        </w:numPr>
      </w:pPr>
      <w:r w:rsidRPr="00EC326F">
        <w:t xml:space="preserve">As for classes 3 ‘Parents’, 7 ‘Non IS Family’ and 8 ‘Non IS Carer’, it is worth noting that the average payment for 2015/16 is somewhat understated. It will not fully reflect all FTB and family payments as these can be received as part of an income tax assessment post 30 June. </w:t>
      </w:r>
    </w:p>
    <w:p w14:paraId="7F882B3C" w14:textId="77777777" w:rsidR="009B2D09" w:rsidRPr="00EC326F" w:rsidRDefault="009B2D09" w:rsidP="00EC326F">
      <w:pPr>
        <w:pStyle w:val="PwCNormal"/>
        <w:numPr>
          <w:ilvl w:val="0"/>
          <w:numId w:val="1"/>
        </w:numPr>
      </w:pPr>
      <w:r w:rsidRPr="00EC326F">
        <w:t xml:space="preserve">The average payment made in 2014/15 (noting the understating of 2015/16) was $3,300 with </w:t>
      </w:r>
      <w:r w:rsidR="000B1C9E" w:rsidRPr="00EC326F">
        <w:t xml:space="preserve">a notable contribution from new parents payments, as people typically enter this class when they first have children. There are </w:t>
      </w:r>
      <w:r w:rsidRPr="00EC326F">
        <w:t xml:space="preserve">higher average payments being made to women ($4,600) than men ($1,800) as a result of women being more likely to be claiming </w:t>
      </w:r>
      <w:r w:rsidR="000B1C9E" w:rsidRPr="00EC326F">
        <w:t xml:space="preserve">new parents payments, </w:t>
      </w:r>
      <w:r w:rsidRPr="00EC326F">
        <w:t xml:space="preserve">FTB and other family payments. Note this is a much lower average </w:t>
      </w:r>
      <w:r w:rsidR="000B1C9E" w:rsidRPr="00EC326F">
        <w:t xml:space="preserve">annual </w:t>
      </w:r>
      <w:r w:rsidRPr="00EC326F">
        <w:t>payment than for the income support classes and is the lowest of all classes.</w:t>
      </w:r>
    </w:p>
    <w:p w14:paraId="25EF9AE7" w14:textId="77777777" w:rsidR="009B2D09" w:rsidRPr="00EC326F" w:rsidRDefault="009B2D09" w:rsidP="009B2D09">
      <w:pPr>
        <w:pStyle w:val="PwCNormal"/>
        <w:numPr>
          <w:ilvl w:val="0"/>
          <w:numId w:val="1"/>
        </w:numPr>
      </w:pPr>
      <w:r w:rsidRPr="00EC326F">
        <w:t xml:space="preserve">The average payments per person varies substantially depending on which of the sub-groups the recipient is in. This is illustrated in the chart below which shows the average payments per person in 2014/15 by age and gender. </w:t>
      </w:r>
    </w:p>
    <w:p w14:paraId="74165E5D" w14:textId="77777777" w:rsidR="009B2D09" w:rsidRPr="00EC326F" w:rsidRDefault="009B2D09" w:rsidP="009B2D09">
      <w:pPr>
        <w:pStyle w:val="Caption"/>
      </w:pPr>
      <w:r w:rsidRPr="00EC326F">
        <w:t xml:space="preserve">Figure </w:t>
      </w:r>
      <w:fldSimple w:instr=" SEQ Figure \* ARABIC ">
        <w:r w:rsidR="007A42DF">
          <w:rPr>
            <w:noProof/>
          </w:rPr>
          <w:t>81</w:t>
        </w:r>
      </w:fldSimple>
      <w:r w:rsidRPr="00EC326F">
        <w:t>: 2014/15 payments to people in Class 9 – Non IS Other – by age and gender</w:t>
      </w:r>
    </w:p>
    <w:p w14:paraId="192F1CCF" w14:textId="77777777" w:rsidR="000D665D" w:rsidRPr="002A0A1A" w:rsidRDefault="000D665D" w:rsidP="009B2D09">
      <w:pPr>
        <w:pStyle w:val="PwCNormal"/>
        <w:numPr>
          <w:ilvl w:val="0"/>
          <w:numId w:val="0"/>
        </w:numPr>
      </w:pPr>
      <w:r w:rsidRPr="00EC326F">
        <w:rPr>
          <w:noProof/>
          <w:lang w:eastAsia="en-AU"/>
        </w:rPr>
        <w:drawing>
          <wp:inline distT="0" distB="0" distL="0" distR="0" wp14:anchorId="5590C537" wp14:editId="7E299563">
            <wp:extent cx="4438800" cy="2160000"/>
            <wp:effectExtent l="0" t="0" r="0" b="0"/>
            <wp:docPr id="7" name="Picture 7" descr="This figure is a line chart. This chart shows the average payments made in 2014/15 to people in the Non-IS Other class at each age and for each gender. The vertical axis shows the average cost per person by age and ranges from 0 to 10,000. The horizontal axis shows the age and ranges from 0 to 110. The chart consists of two lines: male and female.&#10;&#10;The average payment for females generally increases with age for early ages, from approximately $3,350 at age 10 to approximately $9,300 at age 30. At age 16 the average payment peaks at approximately $7,800. After age 30 average payment decreases with age.&#10;&#10;The average payment for males is very similar to those for females until age 18 where average payment drops to approximately $2,150. After age 18, the average payment increases with age to approximately $3,000 at age 45. At this age male and female average costs are approximately equal, with both decreasing to approximately $1,300 at age 63.&#10;" title=" 2014/15 payments to people in Class 9 – Non IS Other – by age and 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438800" cy="2160000"/>
                    </a:xfrm>
                    <a:prstGeom prst="rect">
                      <a:avLst/>
                    </a:prstGeom>
                    <a:noFill/>
                    <a:ln>
                      <a:noFill/>
                    </a:ln>
                  </pic:spPr>
                </pic:pic>
              </a:graphicData>
            </a:graphic>
          </wp:inline>
        </w:drawing>
      </w:r>
    </w:p>
    <w:p w14:paraId="3F70F0F7" w14:textId="77777777" w:rsidR="009B2D09" w:rsidRPr="00EC326F" w:rsidRDefault="009B2D09" w:rsidP="009B2D09">
      <w:pPr>
        <w:pStyle w:val="PwCNormal"/>
        <w:numPr>
          <w:ilvl w:val="0"/>
          <w:numId w:val="0"/>
        </w:numPr>
      </w:pPr>
      <w:r w:rsidRPr="00EC326F">
        <w:t xml:space="preserve">We can see that the highest annual payments are going to the female parenting age group who are receiving FTB and other payments, whereas the people over 65 are receiving </w:t>
      </w:r>
      <w:r w:rsidR="000B1C9E" w:rsidRPr="00EC326F">
        <w:t>much smaller</w:t>
      </w:r>
      <w:r w:rsidRPr="00EC326F">
        <w:t xml:space="preserve"> payments.</w:t>
      </w:r>
    </w:p>
    <w:p w14:paraId="6AD8FD4F" w14:textId="77777777" w:rsidR="009B2D09" w:rsidRPr="00EC326F" w:rsidRDefault="009B2D09" w:rsidP="009B2D09">
      <w:pPr>
        <w:pStyle w:val="Heading4"/>
      </w:pPr>
      <w:r w:rsidRPr="00EC326F">
        <w:t>What have we taken into account in fitting assumptions?</w:t>
      </w:r>
    </w:p>
    <w:p w14:paraId="217AA7C7" w14:textId="77777777" w:rsidR="009B2D09" w:rsidRPr="00EC326F" w:rsidRDefault="009B2D09" w:rsidP="009B2D09">
      <w:pPr>
        <w:pStyle w:val="PwCNormal"/>
        <w:numPr>
          <w:ilvl w:val="0"/>
          <w:numId w:val="1"/>
        </w:numPr>
      </w:pPr>
      <w:r w:rsidRPr="00EC326F">
        <w:t xml:space="preserve">The key assumptions in this class are the class movement assumptions and, to a lesser extent, payment utilisation assumptions. These differ based on a wide range of characteristics due to the diverse demographic mix of people in this class. Firstly, with changes to FTB A and FTB B, movements into Non-IS Other varies slightly from year to year as an interim class for FTB recipients. Secondly, the introduction of various allowances, including the Energy Supplement, has made the demographic mix in this class different from year to year. As such, we have developed risk based models for class movements and some payment utilisation </w:t>
      </w:r>
      <w:r w:rsidRPr="00EC326F">
        <w:lastRenderedPageBreak/>
        <w:t>assumptions, while we have used foundation assumptions based on age and gender for payment size assumptions.</w:t>
      </w:r>
    </w:p>
    <w:p w14:paraId="79833C4E" w14:textId="77777777" w:rsidR="009B2D09" w:rsidRPr="00EC326F" w:rsidRDefault="009B2D09" w:rsidP="009B2D09">
      <w:pPr>
        <w:pStyle w:val="Minorheading"/>
      </w:pPr>
      <w:r w:rsidRPr="00EC326F">
        <w:t>Class movement assumptions</w:t>
      </w:r>
    </w:p>
    <w:p w14:paraId="3AAD7353" w14:textId="77777777" w:rsidR="007659D0" w:rsidRPr="00EC326F" w:rsidRDefault="007659D0" w:rsidP="00EB0B4E">
      <w:pPr>
        <w:pStyle w:val="PwCNormal"/>
      </w:pPr>
      <w:r w:rsidRPr="00EC326F">
        <w:t>In practice many of the class movements are governed by the model structure with people who receive an FTB, family or parental payment in one year moving into class 7</w:t>
      </w:r>
      <w:r w:rsidR="00EB0B4E" w:rsidRPr="00EC326F">
        <w:t xml:space="preserve"> (Non IS Family)</w:t>
      </w:r>
      <w:r w:rsidRPr="00EC326F">
        <w:t xml:space="preserve"> in the next year, unless they also receive an income support payment in that year. The lagged definition of class 7 means that people only enter th</w:t>
      </w:r>
      <w:r w:rsidR="000B1C9E" w:rsidRPr="00EC326F">
        <w:t>at</w:t>
      </w:r>
      <w:r w:rsidRPr="00EC326F">
        <w:t xml:space="preserve"> class in their second year of receiving any of these family payment types, so new parents enter via class 9. For </w:t>
      </w:r>
      <w:r w:rsidR="00EB0B4E" w:rsidRPr="00EC326F">
        <w:t xml:space="preserve">the people aged between </w:t>
      </w:r>
      <w:r w:rsidRPr="00EC326F">
        <w:t>20</w:t>
      </w:r>
      <w:r w:rsidR="00EB0B4E" w:rsidRPr="00EC326F">
        <w:t xml:space="preserve"> </w:t>
      </w:r>
      <w:r w:rsidR="008536E9">
        <w:t>and</w:t>
      </w:r>
      <w:r w:rsidR="00EB0B4E" w:rsidRPr="00EC326F">
        <w:t xml:space="preserve"> </w:t>
      </w:r>
      <w:r w:rsidRPr="00EC326F">
        <w:t>65</w:t>
      </w:r>
      <w:r w:rsidR="00EB0B4E" w:rsidRPr="00EC326F">
        <w:t>,</w:t>
      </w:r>
      <w:r w:rsidRPr="00EC326F">
        <w:t xml:space="preserve"> almost everyone enters the class for a single year before moving onto class 7. </w:t>
      </w:r>
      <w:r w:rsidR="00EB0B4E" w:rsidRPr="00EC326F">
        <w:t>Those at highest risk of transitioning onto income support were people born overseas, single parents, and those who entered the welfare system at a young age (less than 20 years old).</w:t>
      </w:r>
    </w:p>
    <w:p w14:paraId="2B2DFBB7" w14:textId="24B6FDD4" w:rsidR="00EB0B4E" w:rsidRPr="00EC326F" w:rsidRDefault="00EB0B4E" w:rsidP="00EB0B4E">
      <w:pPr>
        <w:pStyle w:val="PwCNormal"/>
        <w:numPr>
          <w:ilvl w:val="0"/>
          <w:numId w:val="1"/>
        </w:numPr>
      </w:pPr>
      <w:r w:rsidRPr="00EC326F">
        <w:t xml:space="preserve">For the very youngest people in the class, the person’s age, utilisation of studying supplements, and previous welfare class were significant in determining whether they would stay in the class, exit or move to the </w:t>
      </w:r>
      <w:r w:rsidR="00916C7F">
        <w:t>S</w:t>
      </w:r>
      <w:r w:rsidRPr="00EC326F">
        <w:t xml:space="preserve">tudying or </w:t>
      </w:r>
      <w:r w:rsidR="00916C7F">
        <w:t>W</w:t>
      </w:r>
      <w:r w:rsidRPr="00EC326F">
        <w:t xml:space="preserve">orking </w:t>
      </w:r>
      <w:r w:rsidR="00916C7F">
        <w:t>A</w:t>
      </w:r>
      <w:r w:rsidRPr="00EC326F">
        <w:t>ge classes.</w:t>
      </w:r>
    </w:p>
    <w:p w14:paraId="1E1E56AD" w14:textId="77777777" w:rsidR="00EB0B4E" w:rsidRPr="00EC326F" w:rsidRDefault="009B2D09" w:rsidP="00EB0B4E">
      <w:pPr>
        <w:pStyle w:val="PwCNormal"/>
      </w:pPr>
      <w:r w:rsidRPr="00EC326F">
        <w:t>We have assumed that existing old-age recipients of Energy Supplement will most likely stay, with regular but slow movement into the Age Pension.</w:t>
      </w:r>
    </w:p>
    <w:p w14:paraId="0CEFF15C" w14:textId="77777777" w:rsidR="00EB0B4E" w:rsidRPr="00EC326F" w:rsidRDefault="00EB0B4E" w:rsidP="00EB0B4E">
      <w:pPr>
        <w:pStyle w:val="PwCNormal"/>
      </w:pPr>
      <w:r w:rsidRPr="00EC326F">
        <w:t>Class movement assumptions have been set with reference to the latest two to three years of experience, which have been relatively stable after retrospectively adjusting for policy changes.</w:t>
      </w:r>
    </w:p>
    <w:p w14:paraId="6C0B06F9" w14:textId="77777777" w:rsidR="009B2D09" w:rsidRPr="00EC326F" w:rsidRDefault="009B2D09" w:rsidP="009B2D09">
      <w:pPr>
        <w:pStyle w:val="Minorheading"/>
      </w:pPr>
      <w:r w:rsidRPr="00EC326F">
        <w:t>Payment utilisation and size assumptions</w:t>
      </w:r>
    </w:p>
    <w:p w14:paraId="7E177344" w14:textId="77777777" w:rsidR="000B1C9E" w:rsidRPr="00EC326F" w:rsidRDefault="000B1C9E" w:rsidP="000B1C9E">
      <w:pPr>
        <w:pStyle w:val="PwCNormal"/>
        <w:numPr>
          <w:ilvl w:val="0"/>
          <w:numId w:val="1"/>
        </w:numPr>
      </w:pPr>
      <w:r w:rsidRPr="00EC326F">
        <w:t>For the payment utilisation assumptions, almost 70% of people currently receive other general allowances, and in particular the energy supplement. A number of people also receive FTB, other family and new parent payments; these people will mostly move to class 7 in the next year. There is greater variability in the utilisation assumptions in this class compared to other classes, due to the diverse demographics of people and various policy changes</w:t>
      </w:r>
      <w:r w:rsidR="00E6378A" w:rsidRPr="00EC326F">
        <w:t>, for instance a large proportion of the very youngest people in the class receive study supplements</w:t>
      </w:r>
      <w:r w:rsidRPr="00EC326F">
        <w:t>. Assumptions have been selected after considering these various changes. At this valuation, we have developed risk models for the utilisation of FTB, other family and new parent payments. These models consider factors such as age and number of children, age of youngest child and partner status all of which relate to criteria impacting eligibility for these payments.</w:t>
      </w:r>
    </w:p>
    <w:p w14:paraId="64ADFECC" w14:textId="77777777" w:rsidR="000B1C9E" w:rsidRPr="00EC326F" w:rsidRDefault="000B1C9E" w:rsidP="000B1C9E">
      <w:pPr>
        <w:pStyle w:val="PwCNormal"/>
        <w:numPr>
          <w:ilvl w:val="0"/>
          <w:numId w:val="0"/>
        </w:numPr>
      </w:pPr>
      <w:r w:rsidRPr="00EC326F">
        <w:t xml:space="preserve">New parent payments comprise over half the annual cost, with FTB the second largest payment category (around 25% of cost). Other family, general allowances, remote and regional payments and rent assistance are the largest of the remaining payment categories. </w:t>
      </w:r>
    </w:p>
    <w:p w14:paraId="0214C522" w14:textId="77777777" w:rsidR="000B1C9E" w:rsidRPr="00EC326F" w:rsidRDefault="000B1C9E" w:rsidP="000B1C9E">
      <w:pPr>
        <w:pStyle w:val="PwCNormal"/>
        <w:numPr>
          <w:ilvl w:val="0"/>
          <w:numId w:val="0"/>
        </w:numPr>
      </w:pPr>
      <w:r w:rsidRPr="00EC326F">
        <w:t>The utilisation by age of new parents payments by reflects the typical ages when families have children. The high new parent utilisation for this class arises from the class definitions whereby people who first receive welfare payments on having a newborn child enter the system via this class.</w:t>
      </w:r>
    </w:p>
    <w:p w14:paraId="71DB67D7" w14:textId="77777777" w:rsidR="009B2D09" w:rsidRPr="00EC326F" w:rsidRDefault="000B1C9E" w:rsidP="009B2D09">
      <w:pPr>
        <w:pStyle w:val="PwCNormal"/>
        <w:numPr>
          <w:ilvl w:val="0"/>
          <w:numId w:val="0"/>
        </w:numPr>
      </w:pPr>
      <w:r w:rsidRPr="00EC326F">
        <w:t>For the payment models we retained the foundation assumptions.</w:t>
      </w:r>
    </w:p>
    <w:p w14:paraId="092B8FAF" w14:textId="77777777" w:rsidR="009B2D09" w:rsidRPr="00EC326F" w:rsidRDefault="009B2D09" w:rsidP="009B2D09">
      <w:pPr>
        <w:pStyle w:val="Heading4"/>
      </w:pPr>
      <w:r w:rsidRPr="00EC326F">
        <w:t>What does the model show for current people in the Non IS other class?</w:t>
      </w:r>
    </w:p>
    <w:p w14:paraId="6733D841" w14:textId="77777777" w:rsidR="009B2D09" w:rsidRPr="00EC326F" w:rsidRDefault="009B2D09" w:rsidP="009B2D09">
      <w:pPr>
        <w:pStyle w:val="Minorheading"/>
      </w:pPr>
      <w:r w:rsidRPr="00EC326F">
        <w:t>Lifetime costs</w:t>
      </w:r>
    </w:p>
    <w:p w14:paraId="4AFC31D8" w14:textId="77777777" w:rsidR="009B2D09" w:rsidRPr="00EC326F" w:rsidRDefault="009B2D09" w:rsidP="009B2D09">
      <w:pPr>
        <w:pStyle w:val="PwCNormal"/>
        <w:numPr>
          <w:ilvl w:val="0"/>
          <w:numId w:val="1"/>
        </w:numPr>
      </w:pPr>
      <w:r w:rsidRPr="00EC326F">
        <w:t xml:space="preserve">We estimated the lifetime cost for the people in this class to be </w:t>
      </w:r>
      <w:r w:rsidRPr="00EC326F">
        <w:rPr>
          <w:b/>
        </w:rPr>
        <w:t>$74bn</w:t>
      </w:r>
      <w:r w:rsidRPr="00EC326F">
        <w:t xml:space="preserve"> (or </w:t>
      </w:r>
      <w:r w:rsidRPr="00EC326F">
        <w:rPr>
          <w:b/>
        </w:rPr>
        <w:t>1.6%</w:t>
      </w:r>
      <w:r w:rsidRPr="00EC326F">
        <w:t xml:space="preserve"> of the total lifetime cost). The average lifetime cost for people in this class is </w:t>
      </w:r>
      <w:r w:rsidRPr="00EC326F">
        <w:rPr>
          <w:b/>
        </w:rPr>
        <w:t>$137,000</w:t>
      </w:r>
      <w:r w:rsidRPr="00EC326F">
        <w:t>. This is the lowest of all classes. The variation in average lifetime cost by age and gender is illustrated in the figure below.</w:t>
      </w:r>
    </w:p>
    <w:p w14:paraId="48110B74" w14:textId="77777777" w:rsidR="009B2D09" w:rsidRPr="00EC326F" w:rsidRDefault="009B2D09" w:rsidP="009B2D09">
      <w:pPr>
        <w:pStyle w:val="Caption"/>
      </w:pPr>
      <w:r w:rsidRPr="00EC326F">
        <w:lastRenderedPageBreak/>
        <w:t xml:space="preserve">Figure </w:t>
      </w:r>
      <w:fldSimple w:instr=" SEQ Figure \* ARABIC ">
        <w:r w:rsidR="007A42DF">
          <w:rPr>
            <w:noProof/>
          </w:rPr>
          <w:t>82</w:t>
        </w:r>
      </w:fldSimple>
      <w:r w:rsidRPr="00EC326F">
        <w:t>: Average lifetime cost by age and gender (Class 9)</w:t>
      </w:r>
    </w:p>
    <w:tbl>
      <w:tblPr>
        <w:tblStyle w:val="Tables-APBase"/>
        <w:tblW w:w="45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Average lifetime cost by age and gender (Class 9)&#10;"/>
        <w:tblDescription w:val="This figure is a horizontal bar chart showing average lifetime cost by age for males and females separately. The vertical axis shows age with the data shown ranging from 6 to 97.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543,000 individuals who were in the non income support – other class at 30 June 2016. &#10;&#10;The average lifetime cost of males increases with age from approximately $200,000 at age 6 to $240,000 at age 15. After this point it decreases with age until age 30 when average lifetime cost is around $140,000. After age 30, average lifetime cost increases with age and peaks again at being $220,000 for men aged 64.&#10;&#10;The average lifetime cost of females increases with age from approximately $250,000 at age 6 to $415,000 at age 15. Women aged 16-25 have an average lifetime cost of approximately $330,000 The substantially higher average lifetime cost relative to males is due to higher family components. After age 25, there is a steady reduction in average lifetime cost by age to approximately $200,000 at age 50. The average lifetime cost increases with age after this point with females aged 64 having a cost of approximately $270,000. &#10;&#10;For both males and females aged over 65, there is a substantial reduction in average lifetime cost by age. People aged 70 have an average lifetime cost of approximately $80,000 to $85,000 and people aged 80 have an average lifetime cost of approximately $20,000 to $30,000.&#10;&#10;The features shown in the chart are discussed further in the accompanying text within the report.&#10;"/>
      </w:tblPr>
      <w:tblGrid>
        <w:gridCol w:w="6096"/>
        <w:gridCol w:w="2977"/>
      </w:tblGrid>
      <w:tr w:rsidR="009B2D09" w:rsidRPr="00EC326F" w14:paraId="28416974" w14:textId="77777777" w:rsidTr="009C6553">
        <w:trPr>
          <w:tblHeader/>
        </w:trPr>
        <w:tc>
          <w:tcPr>
            <w:tcW w:w="6096" w:type="dxa"/>
          </w:tcPr>
          <w:p w14:paraId="50F12EC4" w14:textId="56B25999" w:rsidR="009B2D09" w:rsidRPr="00EC326F" w:rsidRDefault="002336D0" w:rsidP="000D6C29">
            <w:pPr>
              <w:pStyle w:val="TableTextSmall"/>
              <w:keepNext/>
              <w:rPr>
                <w:lang w:eastAsia="en-AU"/>
              </w:rPr>
            </w:pPr>
            <w:r w:rsidRPr="002336D0">
              <w:rPr>
                <w:noProof/>
                <w:lang w:eastAsia="en-AU"/>
              </w:rPr>
              <w:drawing>
                <wp:inline distT="0" distB="0" distL="0" distR="0" wp14:anchorId="5F708097" wp14:editId="34D89603">
                  <wp:extent cx="3356412" cy="2160000"/>
                  <wp:effectExtent l="0" t="0" r="0" b="0"/>
                  <wp:docPr id="1067" name="Picture 9" descr="This figure is a horizontal bar chart showing average lifetime cost by age for males and females separately. The vertical axis shows age with the data shown ranging from 6 to 97.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543,000 individuals who were in the non income support – other class at 30 June 2016. &#10;&#10;The average lifetime cost of males increases with age from approximately $200,000 at age 6 to $240,000 at age 15. After this point it decreases with age until age 30 when average lifetime cost is around $140,000. After age 30, average lifetime cost increases with age and peaks again at being $220,000 for men aged 64.&#10;&#10;The average lifetime cost of females increases with age from approximately $250,000 at age 6 to $415,000 at age 15. Women aged 16-25 have an average lifetime cost of approximately $330,000 The substantially higher average lifetime cost relative to males is due to higher family components. After age 25, there is a steady reduction in average lifetime cost by age to approximately $200,000 at age 50. The average lifetime cost increases with age after this point with females aged 64 having a cost of approximately $270,000. &#10;&#10;For both males and females aged over 65, there is a substantial reduction in average lifetime cost by age. People aged 70 have an average lifetime cost of approximately $80,000 to $85,000 and people aged 80 have an average lifetime cost of approximately $20,000 to $30,000.&#10;&#10;The features shown in the chart are discussed further in the accompanying text within the report.&#10;" title=" Average lifetime cost by age and gender (Class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8"/>
                          <a:stretch>
                            <a:fillRect/>
                          </a:stretch>
                        </pic:blipFill>
                        <pic:spPr>
                          <a:xfrm>
                            <a:off x="0" y="0"/>
                            <a:ext cx="3356412" cy="2160000"/>
                          </a:xfrm>
                          <a:prstGeom prst="rect">
                            <a:avLst/>
                          </a:prstGeom>
                        </pic:spPr>
                      </pic:pic>
                    </a:graphicData>
                  </a:graphic>
                </wp:inline>
              </w:drawing>
            </w:r>
          </w:p>
        </w:tc>
        <w:tc>
          <w:tcPr>
            <w:tcW w:w="2977" w:type="dxa"/>
          </w:tcPr>
          <w:p w14:paraId="4F9BF5EF" w14:textId="77777777" w:rsidR="009B2D09" w:rsidRPr="00EC326F" w:rsidRDefault="009B2D09" w:rsidP="000D6C29">
            <w:pPr>
              <w:pStyle w:val="TableTextSmall"/>
              <w:keepNext/>
              <w:rPr>
                <w:lang w:eastAsia="en-AU"/>
              </w:rPr>
            </w:pPr>
          </w:p>
          <w:p w14:paraId="2D36BEC5" w14:textId="77777777" w:rsidR="009B2D09" w:rsidRPr="00EC326F" w:rsidRDefault="009B2D09" w:rsidP="000D6C29">
            <w:pPr>
              <w:pStyle w:val="TableTextSmall"/>
              <w:keepNext/>
              <w:rPr>
                <w:lang w:eastAsia="en-AU"/>
              </w:rPr>
            </w:pPr>
            <w:r w:rsidRPr="00EC326F">
              <w:rPr>
                <w:noProof/>
                <w:lang w:eastAsia="en-AU"/>
              </w:rPr>
              <w:drawing>
                <wp:inline distT="0" distB="0" distL="0" distR="0" wp14:anchorId="0583BF64" wp14:editId="65568EEB">
                  <wp:extent cx="1080000" cy="1608980"/>
                  <wp:effectExtent l="0" t="0" r="0" b="0"/>
                  <wp:docPr id="3944" name="Picture 3944"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0000" cy="1608980"/>
                          </a:xfrm>
                          <a:prstGeom prst="rect">
                            <a:avLst/>
                          </a:prstGeom>
                          <a:noFill/>
                          <a:ln>
                            <a:noFill/>
                          </a:ln>
                        </pic:spPr>
                      </pic:pic>
                    </a:graphicData>
                  </a:graphic>
                </wp:inline>
              </w:drawing>
            </w:r>
          </w:p>
        </w:tc>
      </w:tr>
    </w:tbl>
    <w:p w14:paraId="70775178" w14:textId="77777777" w:rsidR="009B2D09" w:rsidRPr="00EC326F" w:rsidRDefault="009B2D09" w:rsidP="009B2D09">
      <w:pPr>
        <w:pStyle w:val="PwCNormal"/>
        <w:numPr>
          <w:ilvl w:val="0"/>
          <w:numId w:val="0"/>
        </w:numPr>
      </w:pPr>
      <w:r w:rsidRPr="00EC326F">
        <w:t>This pyramid extends through the full range of ages reflecting the broad mix of people in the class. Returning to the three groups we identified above:</w:t>
      </w:r>
    </w:p>
    <w:p w14:paraId="2C7D49A1" w14:textId="77777777" w:rsidR="009B2D09" w:rsidRPr="00EC326F" w:rsidRDefault="009B2D09" w:rsidP="009B2D09">
      <w:pPr>
        <w:pStyle w:val="Bullet1"/>
      </w:pPr>
      <w:r w:rsidRPr="00EC326F">
        <w:t xml:space="preserve">The older group have relatively low average lifetime costs and these typically reflect their chance of moving onto the age pension payment at some point in the future. </w:t>
      </w:r>
    </w:p>
    <w:p w14:paraId="5D7E61A7" w14:textId="77777777" w:rsidR="009B2D09" w:rsidRPr="00EC326F" w:rsidRDefault="009B2D09" w:rsidP="009B2D09">
      <w:pPr>
        <w:pStyle w:val="Bullet1"/>
      </w:pPr>
      <w:r w:rsidRPr="00EC326F">
        <w:t>For the people in the 20 to 65 age bracket the average lifetime cost is dominated by the FTB, family and age pension payments and is similar to that seen for the non IS family class. In this age range these two non IS classes contain people with a very similar mix of characteristics and so the cost similarity is unsurprising.</w:t>
      </w:r>
    </w:p>
    <w:p w14:paraId="54753E66" w14:textId="77777777" w:rsidR="009B2D09" w:rsidRPr="00EC326F" w:rsidRDefault="009B2D09" w:rsidP="009B2D09">
      <w:pPr>
        <w:pStyle w:val="Bullet1"/>
      </w:pPr>
      <w:r w:rsidRPr="00EC326F">
        <w:t>For the group below age 20 the family payment categories make a lower contribution to the cost but there are larger elements from the income support payment types. This group have a greater chance of moving into these payments as they grow older than the other people in the class (who</w:t>
      </w:r>
      <w:r w:rsidR="00E6378A" w:rsidRPr="00EC326F">
        <w:t>, by definition,</w:t>
      </w:r>
      <w:r w:rsidRPr="00EC326F">
        <w:t xml:space="preserve"> are not currently getting any income support payments).</w:t>
      </w:r>
    </w:p>
    <w:p w14:paraId="30E7BD20" w14:textId="77777777" w:rsidR="009B2D09" w:rsidRPr="00EC326F" w:rsidRDefault="009B2D09" w:rsidP="009B2D09">
      <w:pPr>
        <w:pStyle w:val="Minorheading"/>
      </w:pPr>
      <w:r w:rsidRPr="00EC326F">
        <w:t>Change in lifetime costs since the baseline valuation</w:t>
      </w:r>
    </w:p>
    <w:p w14:paraId="454F47F2" w14:textId="77777777" w:rsidR="00D3305D" w:rsidRPr="00EC326F" w:rsidRDefault="00D3305D" w:rsidP="00D3305D">
      <w:pPr>
        <w:pStyle w:val="PwCNormal"/>
        <w:numPr>
          <w:ilvl w:val="0"/>
          <w:numId w:val="0"/>
        </w:numPr>
      </w:pPr>
      <w:r w:rsidRPr="00EC326F">
        <w:t>The lifetime cost for the people in this class of $74bn is a decrease of $13bn compared to the baseline valuation. This was mainly driven by a decrease in the average cost:</w:t>
      </w:r>
    </w:p>
    <w:p w14:paraId="0D87E828" w14:textId="77777777" w:rsidR="00077BEE" w:rsidRPr="00EC326F" w:rsidRDefault="00D3305D" w:rsidP="00077BEE">
      <w:pPr>
        <w:pStyle w:val="Bullet1"/>
      </w:pPr>
      <w:r w:rsidRPr="00EC326F">
        <w:t>The number of people in this class has decreased by 3.2% since the previous valuation</w:t>
      </w:r>
      <w:r w:rsidR="00077BEE" w:rsidRPr="00EC326F">
        <w:t>.</w:t>
      </w:r>
      <w:r w:rsidRPr="00EC326F">
        <w:t xml:space="preserve"> </w:t>
      </w:r>
      <w:r w:rsidR="00077BEE" w:rsidRPr="00EC326F">
        <w:t>This is mainly driven by a reduction in the number of people above retirement age who were receiving supplementary payments only.</w:t>
      </w:r>
    </w:p>
    <w:p w14:paraId="31E206D2" w14:textId="13241E13" w:rsidR="00D3305D" w:rsidRPr="00EC326F" w:rsidRDefault="00D3305D" w:rsidP="00077BEE">
      <w:pPr>
        <w:pStyle w:val="Bullet1"/>
      </w:pPr>
      <w:r w:rsidRPr="00EC326F">
        <w:t>The average cost has decreased by $19,000 (12.</w:t>
      </w:r>
      <w:r w:rsidR="007C07DB">
        <w:t>0</w:t>
      </w:r>
      <w:r w:rsidRPr="00EC326F">
        <w:t>%) since the previous valuation. The following table provides a breakdown of the change in average lifetime cost by payment category.</w:t>
      </w:r>
    </w:p>
    <w:p w14:paraId="472C7A49" w14:textId="77777777" w:rsidR="00D3305D" w:rsidRPr="00EC326F" w:rsidRDefault="00D3305D" w:rsidP="00D3305D">
      <w:pPr>
        <w:pStyle w:val="Caption"/>
      </w:pPr>
      <w:r w:rsidRPr="00EC326F">
        <w:t xml:space="preserve">Table </w:t>
      </w:r>
      <w:fldSimple w:instr=" SEQ Table \* ARABIC ">
        <w:r w:rsidR="007A42DF">
          <w:rPr>
            <w:noProof/>
          </w:rPr>
          <w:t>44</w:t>
        </w:r>
      </w:fldSimple>
      <w:r w:rsidRPr="00EC326F">
        <w:t>: Breakdown of change in average lifetime cost for Class 9 by payment category</w:t>
      </w:r>
    </w:p>
    <w:tbl>
      <w:tblPr>
        <w:tblStyle w:val="ListTable3-Accent62"/>
        <w:tblW w:w="9498" w:type="dxa"/>
        <w:tblInd w:w="108" w:type="dxa"/>
        <w:tblLayout w:type="fixed"/>
        <w:tblCellMar>
          <w:left w:w="57" w:type="dxa"/>
          <w:right w:w="57" w:type="dxa"/>
        </w:tblCellMar>
        <w:tblLook w:val="04A0" w:firstRow="1" w:lastRow="0" w:firstColumn="1" w:lastColumn="0" w:noHBand="0" w:noVBand="1"/>
        <w:tblCaption w:val=" Breakdown of change in average lifetime cost for Class 9 by payment category&#10;&#10;&#10;"/>
        <w:tblDescription w:val="This table shows the breakdown of the total change in average lifetime cost for Class 9 into; change in population, change in inflation, impact of new economic module, policy changes and other changes. These are shown as rows in the table.&#10;&#10;The changes in lifetime cost are considered by relevant payment categories for Class 9; IS Non Age Pension, IS Age Pension, Non IS Family Supplements and Non IS Other Supplements. These are shown as columns in the table alongside a total change column.&#10;&#10;For Class 9, the Jun 15 Total Lifetime cost is $87bn and the Jun 16 Total Lifetime cost is $74bn. This gives a change in total lifetime cost of -$13bn, a 14.8% reduction. Population changes contributed 3.2% towards the decrease and the remaining change is driven by changes in average lifetime cost. The average cost has decreased by $19,000 (12%) since the previous valuation. Less than $1,000 of this change is attributable to changes in inflation, approximately -$4,000 of this change is due to the impact of the economics module, a further -$1000 change is due to policy changes. -$13,000 of the change is driven by other changes.&#10;&#10;The average lifetime cost of clients in the IS Non Age Pension payment categories has decreased by approximately $9,000. Inflation and policy changes contributed less than $1,000 each to this change. -$3,000 of the change is driven by the introduction of the new economics module and the remaining -$7,000 is due to other changes.&#10;&#10;The average lifetime cost of clients in the IS Age Pension payment category has decreased by approximately $4,000. Inflation, policy changes and the introduction of the new economics module each contributed less than $1,000 each. Approximately -$3,000 is due to other changes.&#10;&#10;The average lifetime cost of clients in the Non IS Family Supplements payment categories (H,I,J) has decreased by approximately $3,000. This was primarily caused by other changes of -$2,000 and policy changes of -$1000. Changes due to inflation and the new economics module were less than $1,000 each.&#10;&#10;The average lifetime cost of clients in the Non IS Other Supplements payment categories has decreased by approximately $2,000. The changes due to the economics module, policy changes and inflation were less than $1,000 each whilst other changes contributed -$1,000.&#10;"/>
      </w:tblPr>
      <w:tblGrid>
        <w:gridCol w:w="3119"/>
        <w:gridCol w:w="1276"/>
        <w:gridCol w:w="1240"/>
        <w:gridCol w:w="1240"/>
        <w:gridCol w:w="1311"/>
        <w:gridCol w:w="1312"/>
      </w:tblGrid>
      <w:tr w:rsidR="00B44F46" w:rsidRPr="00EC326F" w14:paraId="57EC6CDA" w14:textId="77777777" w:rsidTr="0008704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105C0DC0" w14:textId="77777777" w:rsidR="00B44F46" w:rsidRPr="00EC326F" w:rsidRDefault="00B44F46" w:rsidP="003114C1">
            <w:pPr>
              <w:pStyle w:val="TableTextSmall"/>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36884050" w14:textId="77777777" w:rsidR="00B44F46" w:rsidRPr="00EC326F" w:rsidRDefault="00B44F46"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right w:val="nil"/>
            </w:tcBorders>
          </w:tcPr>
          <w:p w14:paraId="70925EBC" w14:textId="6BA26A0F" w:rsidR="00B44F46" w:rsidRPr="00EC326F" w:rsidRDefault="00B44F46" w:rsidP="00B44F46">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bCs w:val="0"/>
                <w:color w:val="FFFFFF" w:themeColor="background1"/>
              </w:rPr>
              <w:t>Income</w:t>
            </w:r>
          </w:p>
        </w:tc>
        <w:tc>
          <w:tcPr>
            <w:tcW w:w="1240" w:type="dxa"/>
            <w:tcBorders>
              <w:left w:val="nil"/>
              <w:right w:val="single" w:sz="4" w:space="0" w:color="FFFFFF" w:themeColor="background1"/>
            </w:tcBorders>
          </w:tcPr>
          <w:p w14:paraId="2418146E" w14:textId="28019C7E" w:rsidR="00B44F46" w:rsidRPr="00EC326F" w:rsidRDefault="00B44F46" w:rsidP="00B44F46">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bCs w:val="0"/>
                <w:color w:val="FFFFFF" w:themeColor="background1"/>
              </w:rPr>
              <w:t>Support</w:t>
            </w:r>
          </w:p>
        </w:tc>
        <w:tc>
          <w:tcPr>
            <w:tcW w:w="1311" w:type="dxa"/>
            <w:tcBorders>
              <w:left w:val="single" w:sz="4" w:space="0" w:color="FFFFFF" w:themeColor="background1"/>
              <w:right w:val="nil"/>
            </w:tcBorders>
          </w:tcPr>
          <w:p w14:paraId="4486391B" w14:textId="50CBB344" w:rsidR="00B44F46" w:rsidRPr="00EC326F" w:rsidRDefault="00B44F46" w:rsidP="00B44F46">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color w:val="FFFFFF" w:themeColor="background1"/>
              </w:rPr>
              <w:t>Non-Income</w:t>
            </w:r>
          </w:p>
        </w:tc>
        <w:tc>
          <w:tcPr>
            <w:tcW w:w="1312" w:type="dxa"/>
            <w:tcBorders>
              <w:left w:val="nil"/>
            </w:tcBorders>
          </w:tcPr>
          <w:p w14:paraId="4AD491DB" w14:textId="4E468A3E" w:rsidR="00B44F46" w:rsidRPr="00EC326F" w:rsidRDefault="00B44F46" w:rsidP="00B44F46">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Support</w:t>
            </w:r>
          </w:p>
        </w:tc>
      </w:tr>
      <w:tr w:rsidR="00D3305D" w:rsidRPr="00EC326F" w14:paraId="14524FC9" w14:textId="77777777" w:rsidTr="0008704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2418CF6C" w14:textId="77777777" w:rsidR="00D3305D" w:rsidRPr="00EC326F" w:rsidRDefault="00D3305D" w:rsidP="003114C1">
            <w:pPr>
              <w:pStyle w:val="TableTextSmall"/>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66DA2F1C"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5B4E2CF2"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611F2FB5"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311" w:type="dxa"/>
            <w:tcBorders>
              <w:top w:val="single" w:sz="4" w:space="0" w:color="FFFFFF" w:themeColor="background1"/>
              <w:left w:val="single" w:sz="4" w:space="0" w:color="FFFFFF" w:themeColor="background1"/>
              <w:bottom w:val="single" w:sz="4" w:space="0" w:color="E0301E" w:themeColor="accent6"/>
            </w:tcBorders>
          </w:tcPr>
          <w:p w14:paraId="04760CE6"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312" w:type="dxa"/>
            <w:tcBorders>
              <w:top w:val="single" w:sz="4" w:space="0" w:color="FFFFFF" w:themeColor="background1"/>
              <w:bottom w:val="single" w:sz="4" w:space="0" w:color="E0301E" w:themeColor="accent6"/>
            </w:tcBorders>
          </w:tcPr>
          <w:p w14:paraId="3FD97460"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D3305D" w:rsidRPr="00EC326F" w14:paraId="4C12F73E"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34CB7B62" w14:textId="77777777" w:rsidR="00D3305D" w:rsidRPr="00EC326F" w:rsidRDefault="00D3305D" w:rsidP="003114C1">
            <w:pPr>
              <w:pStyle w:val="TableTextSmall"/>
            </w:pPr>
            <w:r w:rsidRPr="00EC326F">
              <w:t>Jun-15 Total Lifetime Cost</w:t>
            </w:r>
          </w:p>
        </w:tc>
        <w:tc>
          <w:tcPr>
            <w:tcW w:w="1276" w:type="dxa"/>
            <w:tcBorders>
              <w:left w:val="single" w:sz="4" w:space="0" w:color="E0301E" w:themeColor="accent6"/>
              <w:bottom w:val="nil"/>
              <w:right w:val="single" w:sz="4" w:space="0" w:color="E0301E" w:themeColor="accent6"/>
            </w:tcBorders>
            <w:vAlign w:val="bottom"/>
          </w:tcPr>
          <w:p w14:paraId="7D491C44"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$87bn</w:t>
            </w:r>
          </w:p>
        </w:tc>
        <w:tc>
          <w:tcPr>
            <w:tcW w:w="1240" w:type="dxa"/>
            <w:tcBorders>
              <w:left w:val="single" w:sz="4" w:space="0" w:color="E0301E" w:themeColor="accent6"/>
              <w:bottom w:val="nil"/>
            </w:tcBorders>
            <w:shd w:val="clear" w:color="auto" w:fill="D9D9D9" w:themeFill="background1" w:themeFillShade="D9"/>
            <w:vAlign w:val="bottom"/>
          </w:tcPr>
          <w:p w14:paraId="78CE4959"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40" w:type="dxa"/>
            <w:tcBorders>
              <w:bottom w:val="nil"/>
              <w:right w:val="nil"/>
            </w:tcBorders>
            <w:shd w:val="clear" w:color="auto" w:fill="D9D9D9" w:themeFill="background1" w:themeFillShade="D9"/>
            <w:vAlign w:val="bottom"/>
          </w:tcPr>
          <w:p w14:paraId="1CE0C3DC"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1" w:type="dxa"/>
            <w:tcBorders>
              <w:left w:val="nil"/>
              <w:bottom w:val="nil"/>
            </w:tcBorders>
            <w:shd w:val="clear" w:color="auto" w:fill="D9D9D9" w:themeFill="background1" w:themeFillShade="D9"/>
            <w:vAlign w:val="bottom"/>
          </w:tcPr>
          <w:p w14:paraId="75C69161"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2" w:type="dxa"/>
            <w:tcBorders>
              <w:bottom w:val="nil"/>
            </w:tcBorders>
            <w:shd w:val="clear" w:color="auto" w:fill="D9D9D9" w:themeFill="background1" w:themeFillShade="D9"/>
            <w:vAlign w:val="bottom"/>
          </w:tcPr>
          <w:p w14:paraId="5DC43ADC"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r>
      <w:tr w:rsidR="00D3305D" w:rsidRPr="00EC326F" w14:paraId="4431A969"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0EA3DFE4" w14:textId="77777777" w:rsidR="00D3305D" w:rsidRPr="00EC326F" w:rsidRDefault="00D3305D" w:rsidP="003114C1">
            <w:pPr>
              <w:pStyle w:val="TableTextSmall"/>
            </w:pPr>
            <w:r w:rsidRPr="00EC326F">
              <w:t>Jun-16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vAlign w:val="bottom"/>
          </w:tcPr>
          <w:p w14:paraId="3FD0E38D"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$74bn</w:t>
            </w:r>
          </w:p>
        </w:tc>
        <w:tc>
          <w:tcPr>
            <w:tcW w:w="1240" w:type="dxa"/>
            <w:tcBorders>
              <w:top w:val="nil"/>
              <w:left w:val="single" w:sz="4" w:space="0" w:color="E0301E" w:themeColor="accent6"/>
              <w:bottom w:val="nil"/>
            </w:tcBorders>
            <w:shd w:val="clear" w:color="auto" w:fill="D9D9D9" w:themeFill="background1" w:themeFillShade="D9"/>
            <w:vAlign w:val="bottom"/>
          </w:tcPr>
          <w:p w14:paraId="4BB67B21"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329E71D6"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vAlign w:val="bottom"/>
          </w:tcPr>
          <w:p w14:paraId="0381F836"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nil"/>
            </w:tcBorders>
            <w:shd w:val="clear" w:color="auto" w:fill="D9D9D9" w:themeFill="background1" w:themeFillShade="D9"/>
            <w:vAlign w:val="bottom"/>
          </w:tcPr>
          <w:p w14:paraId="2C1BDE73"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r>
      <w:tr w:rsidR="00D3305D" w:rsidRPr="00EC326F" w14:paraId="199BE926"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403CED7F" w14:textId="77777777" w:rsidR="00D3305D" w:rsidRPr="00EC326F" w:rsidRDefault="00D3305D" w:rsidP="003114C1">
            <w:pPr>
              <w:pStyle w:val="TableTextSmall"/>
            </w:pPr>
            <w:r w:rsidRPr="00EC326F">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vAlign w:val="bottom"/>
          </w:tcPr>
          <w:p w14:paraId="7C6FFE7E" w14:textId="31A90E3F"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-$13bn (14.</w:t>
            </w:r>
            <w:r w:rsidR="00512359">
              <w:t>8</w:t>
            </w:r>
            <w:r w:rsidRPr="00EC326F">
              <w:t>%)</w:t>
            </w:r>
          </w:p>
        </w:tc>
        <w:tc>
          <w:tcPr>
            <w:tcW w:w="1240" w:type="dxa"/>
            <w:tcBorders>
              <w:top w:val="nil"/>
              <w:left w:val="single" w:sz="4" w:space="0" w:color="E0301E" w:themeColor="accent6"/>
              <w:bottom w:val="nil"/>
            </w:tcBorders>
            <w:shd w:val="clear" w:color="auto" w:fill="D9D9D9" w:themeFill="background1" w:themeFillShade="D9"/>
            <w:vAlign w:val="bottom"/>
          </w:tcPr>
          <w:p w14:paraId="6F833469"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177E9E1A"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vAlign w:val="bottom"/>
          </w:tcPr>
          <w:p w14:paraId="6F840BF5"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c>
          <w:tcPr>
            <w:tcW w:w="1312" w:type="dxa"/>
            <w:tcBorders>
              <w:top w:val="nil"/>
              <w:bottom w:val="nil"/>
            </w:tcBorders>
            <w:shd w:val="clear" w:color="auto" w:fill="D9D9D9" w:themeFill="background1" w:themeFillShade="D9"/>
            <w:vAlign w:val="bottom"/>
          </w:tcPr>
          <w:p w14:paraId="37CB9EE8" w14:textId="77777777" w:rsidR="00D3305D" w:rsidRPr="00EC326F" w:rsidRDefault="00D3305D" w:rsidP="003114C1">
            <w:pPr>
              <w:pStyle w:val="TableTextSmall"/>
              <w:cnfStyle w:val="000000100000" w:firstRow="0" w:lastRow="0" w:firstColumn="0" w:lastColumn="0" w:oddVBand="0" w:evenVBand="0" w:oddHBand="1" w:evenHBand="0" w:firstRowFirstColumn="0" w:firstRowLastColumn="0" w:lastRowFirstColumn="0" w:lastRowLastColumn="0"/>
            </w:pPr>
          </w:p>
        </w:tc>
      </w:tr>
      <w:tr w:rsidR="00D3305D" w:rsidRPr="00EC326F" w14:paraId="7FC03264"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0D4C197F" w14:textId="77777777" w:rsidR="00D3305D" w:rsidRPr="00EC326F" w:rsidRDefault="00D3305D" w:rsidP="003114C1">
            <w:pPr>
              <w:pStyle w:val="TableTextSmall"/>
            </w:pPr>
            <w:r w:rsidRPr="00EC326F">
              <w:t>Change due to Population</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vAlign w:val="bottom"/>
          </w:tcPr>
          <w:p w14:paraId="3B7AC393"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-3.2%</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vAlign w:val="bottom"/>
          </w:tcPr>
          <w:p w14:paraId="6FADBF35"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single" w:sz="4" w:space="0" w:color="E0301E" w:themeColor="accent6"/>
              <w:right w:val="nil"/>
            </w:tcBorders>
            <w:shd w:val="clear" w:color="auto" w:fill="D9D9D9" w:themeFill="background1" w:themeFillShade="D9"/>
            <w:vAlign w:val="bottom"/>
          </w:tcPr>
          <w:p w14:paraId="778D482A"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single" w:sz="4" w:space="0" w:color="E0301E" w:themeColor="accent6"/>
            </w:tcBorders>
            <w:shd w:val="clear" w:color="auto" w:fill="D9D9D9" w:themeFill="background1" w:themeFillShade="D9"/>
            <w:vAlign w:val="bottom"/>
          </w:tcPr>
          <w:p w14:paraId="02167377"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single" w:sz="4" w:space="0" w:color="E0301E" w:themeColor="accent6"/>
            </w:tcBorders>
            <w:shd w:val="clear" w:color="auto" w:fill="D9D9D9" w:themeFill="background1" w:themeFillShade="D9"/>
            <w:vAlign w:val="bottom"/>
          </w:tcPr>
          <w:p w14:paraId="3258479D" w14:textId="77777777" w:rsidR="00D3305D" w:rsidRPr="00EC326F" w:rsidRDefault="00D3305D" w:rsidP="003114C1">
            <w:pPr>
              <w:pStyle w:val="TableTextSmall"/>
              <w:cnfStyle w:val="000000000000" w:firstRow="0" w:lastRow="0" w:firstColumn="0" w:lastColumn="0" w:oddVBand="0" w:evenVBand="0" w:oddHBand="0" w:evenHBand="0" w:firstRowFirstColumn="0" w:firstRowLastColumn="0" w:lastRowFirstColumn="0" w:lastRowLastColumn="0"/>
            </w:pPr>
          </w:p>
        </w:tc>
      </w:tr>
      <w:tr w:rsidR="00D3305D" w:rsidRPr="00EC326F" w14:paraId="7CBA8466"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0B5A2DCD" w14:textId="77777777" w:rsidR="00D3305D" w:rsidRPr="00EC326F" w:rsidRDefault="00D3305D" w:rsidP="003114C1">
            <w:pPr>
              <w:pStyle w:val="TableTextSmall"/>
            </w:pPr>
            <w:r w:rsidRPr="00EC326F">
              <w:t>Change due to Average Lifetime Cost</w:t>
            </w:r>
          </w:p>
        </w:tc>
        <w:tc>
          <w:tcPr>
            <w:tcW w:w="1276" w:type="dxa"/>
            <w:tcBorders>
              <w:left w:val="single" w:sz="4" w:space="0" w:color="E0301E" w:themeColor="accent6"/>
              <w:bottom w:val="nil"/>
              <w:right w:val="single" w:sz="4" w:space="0" w:color="E0301E" w:themeColor="accent6"/>
            </w:tcBorders>
            <w:vAlign w:val="bottom"/>
          </w:tcPr>
          <w:p w14:paraId="1D9BD489" w14:textId="3D9458DC"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-$19k (12.</w:t>
            </w:r>
            <w:r w:rsidR="00512359">
              <w:t>0</w:t>
            </w:r>
            <w:r w:rsidRPr="00EC326F">
              <w:t>%)</w:t>
            </w:r>
          </w:p>
        </w:tc>
        <w:tc>
          <w:tcPr>
            <w:tcW w:w="1240" w:type="dxa"/>
            <w:tcBorders>
              <w:left w:val="single" w:sz="4" w:space="0" w:color="E0301E" w:themeColor="accent6"/>
              <w:bottom w:val="nil"/>
            </w:tcBorders>
            <w:vAlign w:val="bottom"/>
          </w:tcPr>
          <w:p w14:paraId="7E35550C"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-$9k</w:t>
            </w:r>
          </w:p>
        </w:tc>
        <w:tc>
          <w:tcPr>
            <w:tcW w:w="1240" w:type="dxa"/>
            <w:tcBorders>
              <w:bottom w:val="nil"/>
              <w:right w:val="dashed" w:sz="4" w:space="0" w:color="E0301E" w:themeColor="accent6"/>
            </w:tcBorders>
            <w:vAlign w:val="bottom"/>
          </w:tcPr>
          <w:p w14:paraId="5F0C9FEC"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-$4k</w:t>
            </w:r>
          </w:p>
        </w:tc>
        <w:tc>
          <w:tcPr>
            <w:tcW w:w="1311" w:type="dxa"/>
            <w:tcBorders>
              <w:left w:val="dashed" w:sz="4" w:space="0" w:color="E0301E" w:themeColor="accent6"/>
              <w:bottom w:val="nil"/>
            </w:tcBorders>
            <w:vAlign w:val="bottom"/>
          </w:tcPr>
          <w:p w14:paraId="0260169A"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-$3k</w:t>
            </w:r>
          </w:p>
        </w:tc>
        <w:tc>
          <w:tcPr>
            <w:tcW w:w="1312" w:type="dxa"/>
            <w:tcBorders>
              <w:bottom w:val="nil"/>
            </w:tcBorders>
            <w:vAlign w:val="bottom"/>
          </w:tcPr>
          <w:p w14:paraId="3B4FBAB5"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r>
      <w:tr w:rsidR="00D3305D" w:rsidRPr="00EC326F" w14:paraId="06B96296"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1A763B50" w14:textId="77777777" w:rsidR="00D3305D" w:rsidRPr="00EC326F" w:rsidRDefault="00D3305D" w:rsidP="003114C1">
            <w:pPr>
              <w:pStyle w:val="TableTextSmall"/>
              <w:rPr>
                <w:b w:val="0"/>
              </w:rPr>
            </w:pPr>
            <w:r w:rsidRPr="00EC326F">
              <w:rPr>
                <w:b w:val="0"/>
              </w:rPr>
              <w:t>- Impact of change in inflation</w:t>
            </w:r>
          </w:p>
        </w:tc>
        <w:tc>
          <w:tcPr>
            <w:tcW w:w="1276" w:type="dxa"/>
            <w:tcBorders>
              <w:top w:val="nil"/>
              <w:left w:val="single" w:sz="4" w:space="0" w:color="E0301E" w:themeColor="accent6"/>
              <w:bottom w:val="nil"/>
              <w:right w:val="single" w:sz="4" w:space="0" w:color="E0301E" w:themeColor="accent6"/>
            </w:tcBorders>
            <w:vAlign w:val="bottom"/>
          </w:tcPr>
          <w:p w14:paraId="44CE2216"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left w:val="single" w:sz="4" w:space="0" w:color="E0301E" w:themeColor="accent6"/>
              <w:bottom w:val="nil"/>
            </w:tcBorders>
            <w:vAlign w:val="bottom"/>
          </w:tcPr>
          <w:p w14:paraId="32FE7E69"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bottom w:val="nil"/>
              <w:right w:val="dashed" w:sz="4" w:space="0" w:color="E0301E" w:themeColor="accent6"/>
            </w:tcBorders>
            <w:vAlign w:val="bottom"/>
          </w:tcPr>
          <w:p w14:paraId="68444281"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1" w:type="dxa"/>
            <w:tcBorders>
              <w:top w:val="nil"/>
              <w:left w:val="dashed" w:sz="4" w:space="0" w:color="E0301E" w:themeColor="accent6"/>
              <w:bottom w:val="nil"/>
            </w:tcBorders>
            <w:vAlign w:val="bottom"/>
          </w:tcPr>
          <w:p w14:paraId="1DB85031"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42E92EE8"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38B75350"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1107C1FA" w14:textId="77777777" w:rsidR="00D3305D" w:rsidRPr="00EC326F" w:rsidRDefault="00D3305D" w:rsidP="003114C1">
            <w:pPr>
              <w:pStyle w:val="TableTextSmall"/>
              <w:rPr>
                <w:b w:val="0"/>
              </w:rPr>
            </w:pPr>
            <w:r w:rsidRPr="00EC326F">
              <w:rPr>
                <w:b w:val="0"/>
              </w:rPr>
              <w:t>- Impact of new economics module</w:t>
            </w:r>
          </w:p>
        </w:tc>
        <w:tc>
          <w:tcPr>
            <w:tcW w:w="1276" w:type="dxa"/>
            <w:tcBorders>
              <w:top w:val="nil"/>
              <w:left w:val="single" w:sz="4" w:space="0" w:color="E0301E" w:themeColor="accent6"/>
              <w:bottom w:val="nil"/>
              <w:right w:val="single" w:sz="4" w:space="0" w:color="E0301E" w:themeColor="accent6"/>
            </w:tcBorders>
            <w:vAlign w:val="bottom"/>
          </w:tcPr>
          <w:p w14:paraId="71A9511C"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-$4k</w:t>
            </w:r>
          </w:p>
        </w:tc>
        <w:tc>
          <w:tcPr>
            <w:tcW w:w="1240" w:type="dxa"/>
            <w:tcBorders>
              <w:top w:val="nil"/>
              <w:left w:val="single" w:sz="4" w:space="0" w:color="E0301E" w:themeColor="accent6"/>
              <w:bottom w:val="nil"/>
            </w:tcBorders>
            <w:vAlign w:val="bottom"/>
          </w:tcPr>
          <w:p w14:paraId="07998F58"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-$3k</w:t>
            </w:r>
          </w:p>
        </w:tc>
        <w:tc>
          <w:tcPr>
            <w:tcW w:w="1240" w:type="dxa"/>
            <w:tcBorders>
              <w:top w:val="nil"/>
              <w:bottom w:val="nil"/>
              <w:right w:val="dashed" w:sz="4" w:space="0" w:color="E0301E" w:themeColor="accent6"/>
            </w:tcBorders>
            <w:vAlign w:val="bottom"/>
          </w:tcPr>
          <w:p w14:paraId="291CD34D"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1" w:type="dxa"/>
            <w:tcBorders>
              <w:top w:val="nil"/>
              <w:left w:val="dashed" w:sz="4" w:space="0" w:color="E0301E" w:themeColor="accent6"/>
              <w:bottom w:val="nil"/>
            </w:tcBorders>
            <w:vAlign w:val="bottom"/>
          </w:tcPr>
          <w:p w14:paraId="51E2EA84"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094BB6FA"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512359" w:rsidRPr="00EC326F" w14:paraId="64879E45"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22584A46" w14:textId="4133E78D" w:rsidR="00512359" w:rsidRPr="00EC326F" w:rsidRDefault="00512359" w:rsidP="00512359">
            <w:pPr>
              <w:pStyle w:val="TableTextSmall"/>
              <w:rPr>
                <w:b w:val="0"/>
              </w:rPr>
            </w:pPr>
            <w:r w:rsidRPr="00CC3286">
              <w:rPr>
                <w:b w:val="0"/>
              </w:rPr>
              <w:t>- Impact of policy changes</w:t>
            </w:r>
          </w:p>
        </w:tc>
        <w:tc>
          <w:tcPr>
            <w:tcW w:w="1276" w:type="dxa"/>
            <w:tcBorders>
              <w:top w:val="nil"/>
              <w:left w:val="single" w:sz="4" w:space="0" w:color="E0301E" w:themeColor="accent6"/>
              <w:bottom w:val="nil"/>
              <w:right w:val="single" w:sz="4" w:space="0" w:color="E0301E" w:themeColor="accent6"/>
            </w:tcBorders>
            <w:vAlign w:val="bottom"/>
          </w:tcPr>
          <w:p w14:paraId="302619BA" w14:textId="4DA54076" w:rsidR="00512359" w:rsidRPr="00EC326F" w:rsidRDefault="00512359" w:rsidP="00512359">
            <w:pPr>
              <w:pStyle w:val="TableTextSmall"/>
              <w:jc w:val="center"/>
              <w:cnfStyle w:val="000000000000" w:firstRow="0" w:lastRow="0" w:firstColumn="0" w:lastColumn="0" w:oddVBand="0" w:evenVBand="0" w:oddHBand="0" w:evenHBand="0" w:firstRowFirstColumn="0" w:firstRowLastColumn="0" w:lastRowFirstColumn="0" w:lastRowLastColumn="0"/>
            </w:pPr>
            <w:r>
              <w:t>-$1k</w:t>
            </w:r>
          </w:p>
        </w:tc>
        <w:tc>
          <w:tcPr>
            <w:tcW w:w="1240" w:type="dxa"/>
            <w:tcBorders>
              <w:top w:val="nil"/>
              <w:left w:val="single" w:sz="4" w:space="0" w:color="E0301E" w:themeColor="accent6"/>
              <w:bottom w:val="nil"/>
            </w:tcBorders>
            <w:vAlign w:val="bottom"/>
          </w:tcPr>
          <w:p w14:paraId="40B5B42F" w14:textId="7F21BED1"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40" w:type="dxa"/>
            <w:tcBorders>
              <w:top w:val="nil"/>
              <w:bottom w:val="nil"/>
              <w:right w:val="dashed" w:sz="4" w:space="0" w:color="E0301E" w:themeColor="accent6"/>
            </w:tcBorders>
            <w:vAlign w:val="bottom"/>
          </w:tcPr>
          <w:p w14:paraId="15CE5115" w14:textId="4CA26265"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1" w:type="dxa"/>
            <w:tcBorders>
              <w:top w:val="nil"/>
              <w:left w:val="dashed" w:sz="4" w:space="0" w:color="E0301E" w:themeColor="accent6"/>
              <w:bottom w:val="nil"/>
            </w:tcBorders>
            <w:vAlign w:val="bottom"/>
          </w:tcPr>
          <w:p w14:paraId="27095C96" w14:textId="6E9E444E" w:rsidR="00512359" w:rsidRPr="00EC326F" w:rsidRDefault="00512359" w:rsidP="00512359">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t>-$1k</w:t>
            </w:r>
          </w:p>
        </w:tc>
        <w:tc>
          <w:tcPr>
            <w:tcW w:w="1312" w:type="dxa"/>
            <w:tcBorders>
              <w:top w:val="nil"/>
              <w:bottom w:val="nil"/>
            </w:tcBorders>
            <w:vAlign w:val="bottom"/>
          </w:tcPr>
          <w:p w14:paraId="2D31A4AF" w14:textId="0CA589F2"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7F952B9C"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6C03EA45" w14:textId="77777777" w:rsidR="00D3305D" w:rsidRPr="00EC326F" w:rsidRDefault="00D3305D" w:rsidP="003114C1">
            <w:pPr>
              <w:pStyle w:val="TableTextSmall"/>
              <w:rPr>
                <w:b w:val="0"/>
              </w:rPr>
            </w:pPr>
            <w:r w:rsidRPr="00EC326F">
              <w:rPr>
                <w:b w:val="0"/>
              </w:rPr>
              <w:t>- Impact of other changes</w:t>
            </w:r>
          </w:p>
        </w:tc>
        <w:tc>
          <w:tcPr>
            <w:tcW w:w="1276" w:type="dxa"/>
            <w:tcBorders>
              <w:top w:val="nil"/>
              <w:left w:val="single" w:sz="4" w:space="0" w:color="E0301E" w:themeColor="accent6"/>
              <w:right w:val="single" w:sz="4" w:space="0" w:color="E0301E" w:themeColor="accent6"/>
            </w:tcBorders>
            <w:vAlign w:val="bottom"/>
          </w:tcPr>
          <w:p w14:paraId="6D3F3A79" w14:textId="45A9C6CE"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rsidRPr="00EC326F">
              <w:t>1</w:t>
            </w:r>
            <w:r w:rsidR="00512359">
              <w:t>3</w:t>
            </w:r>
            <w:r w:rsidR="00512359" w:rsidRPr="00EC326F">
              <w:t>k</w:t>
            </w:r>
          </w:p>
        </w:tc>
        <w:tc>
          <w:tcPr>
            <w:tcW w:w="1240" w:type="dxa"/>
            <w:tcBorders>
              <w:top w:val="nil"/>
              <w:left w:val="single" w:sz="4" w:space="0" w:color="E0301E" w:themeColor="accent6"/>
            </w:tcBorders>
            <w:vAlign w:val="bottom"/>
          </w:tcPr>
          <w:p w14:paraId="2DB312E5"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-$7k</w:t>
            </w:r>
          </w:p>
        </w:tc>
        <w:tc>
          <w:tcPr>
            <w:tcW w:w="1240" w:type="dxa"/>
            <w:tcBorders>
              <w:top w:val="nil"/>
              <w:right w:val="dashed" w:sz="4" w:space="0" w:color="E0301E" w:themeColor="accent6"/>
            </w:tcBorders>
            <w:vAlign w:val="bottom"/>
          </w:tcPr>
          <w:p w14:paraId="49E89410" w14:textId="1D3CA807"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t>3</w:t>
            </w:r>
            <w:r w:rsidR="00512359" w:rsidRPr="00EC326F">
              <w:t>k</w:t>
            </w:r>
          </w:p>
        </w:tc>
        <w:tc>
          <w:tcPr>
            <w:tcW w:w="1311" w:type="dxa"/>
            <w:tcBorders>
              <w:top w:val="nil"/>
              <w:left w:val="dashed" w:sz="4" w:space="0" w:color="E0301E" w:themeColor="accent6"/>
            </w:tcBorders>
            <w:vAlign w:val="bottom"/>
          </w:tcPr>
          <w:p w14:paraId="7A84FE7A" w14:textId="3B06CA31"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t>2</w:t>
            </w:r>
            <w:r w:rsidR="00512359" w:rsidRPr="00EC326F">
              <w:t>k</w:t>
            </w:r>
          </w:p>
        </w:tc>
        <w:tc>
          <w:tcPr>
            <w:tcW w:w="1312" w:type="dxa"/>
            <w:tcBorders>
              <w:top w:val="nil"/>
            </w:tcBorders>
            <w:vAlign w:val="bottom"/>
          </w:tcPr>
          <w:p w14:paraId="5B239843" w14:textId="0E8795BE"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t>1</w:t>
            </w:r>
            <w:r w:rsidR="00512359" w:rsidRPr="00EC326F">
              <w:t>k</w:t>
            </w:r>
          </w:p>
        </w:tc>
      </w:tr>
    </w:tbl>
    <w:p w14:paraId="18B707BF" w14:textId="77777777" w:rsidR="00D3305D" w:rsidRPr="00EC326F" w:rsidRDefault="00D3305D" w:rsidP="00D3305D">
      <w:pPr>
        <w:pStyle w:val="PwCNormal"/>
      </w:pPr>
      <w:r w:rsidRPr="00EC326F">
        <w:t xml:space="preserve">The reduction in average cost has been primarily driven by lower re-entries into income support from previous welfare recipients, lower entries into the disability support pension, and a lower long term unemployment rate. </w:t>
      </w:r>
      <w:r w:rsidRPr="00EC326F">
        <w:lastRenderedPageBreak/>
        <w:t>These are similar to those for the Non</w:t>
      </w:r>
      <w:r w:rsidR="00881FC5">
        <w:t xml:space="preserve"> IS Family class (discussed in </w:t>
      </w:r>
      <w:r w:rsidR="0011562A">
        <w:t>section</w:t>
      </w:r>
      <w:r w:rsidRPr="00EC326F">
        <w:t xml:space="preserve"> </w:t>
      </w:r>
      <w:r w:rsidRPr="00EC326F">
        <w:fldChar w:fldCharType="begin"/>
      </w:r>
      <w:r w:rsidRPr="00EC326F">
        <w:instrText xml:space="preserve"> REF _Ref466418929 \r \h </w:instrText>
      </w:r>
      <w:r w:rsidRPr="00EC326F">
        <w:fldChar w:fldCharType="separate"/>
      </w:r>
      <w:r w:rsidR="007A42DF">
        <w:t>9.1</w:t>
      </w:r>
      <w:r w:rsidRPr="00EC326F">
        <w:fldChar w:fldCharType="end"/>
      </w:r>
      <w:r w:rsidRPr="00EC326F">
        <w:t xml:space="preserve">) given that most people in Non IS Other </w:t>
      </w:r>
      <w:r w:rsidR="0012467F">
        <w:t xml:space="preserve">who are below age pension age </w:t>
      </w:r>
      <w:r w:rsidRPr="00EC326F">
        <w:t xml:space="preserve">are expected to transition into Non IS Family in a short period of time. </w:t>
      </w:r>
    </w:p>
    <w:p w14:paraId="40B0D878" w14:textId="77777777" w:rsidR="009B2D09" w:rsidRPr="00EC326F" w:rsidRDefault="009B2D09" w:rsidP="009B2D09">
      <w:pPr>
        <w:pStyle w:val="Minorheading"/>
      </w:pPr>
      <w:r w:rsidRPr="00EC326F">
        <w:t>Future outcomes</w:t>
      </w:r>
    </w:p>
    <w:p w14:paraId="5B6D4244" w14:textId="77777777" w:rsidR="009B2D09" w:rsidRPr="00EC326F" w:rsidRDefault="009B2D09" w:rsidP="009B2D09">
      <w:pPr>
        <w:pStyle w:val="PwCNormal"/>
        <w:numPr>
          <w:ilvl w:val="0"/>
          <w:numId w:val="0"/>
        </w:numPr>
      </w:pPr>
      <w:r w:rsidRPr="00EC326F">
        <w:t xml:space="preserve">In developing the valuation results the projection model also produces information on the expected transitions for people out of each class, as shown below. </w:t>
      </w:r>
      <w:r w:rsidR="00E6378A" w:rsidRPr="00EC326F">
        <w:t>This is a change from the trajectory presented in the baseline report and this reflects the difference mix of people now in this class.</w:t>
      </w:r>
    </w:p>
    <w:p w14:paraId="09942045" w14:textId="77777777" w:rsidR="009B2D09" w:rsidRPr="00EC326F" w:rsidRDefault="009B2D09" w:rsidP="009B2D09">
      <w:pPr>
        <w:pStyle w:val="Caption"/>
      </w:pPr>
      <w:r w:rsidRPr="00EC326F">
        <w:t xml:space="preserve">Figure </w:t>
      </w:r>
      <w:fldSimple w:instr=" SEQ Figure \* ARABIC ">
        <w:r w:rsidR="007A42DF">
          <w:rPr>
            <w:noProof/>
          </w:rPr>
          <w:t>83</w:t>
        </w:r>
      </w:fldSimple>
      <w:r w:rsidRPr="00EC326F">
        <w:t>: Expected future trajectory for people in Class 9</w:t>
      </w:r>
    </w:p>
    <w:tbl>
      <w:tblPr>
        <w:tblStyle w:val="Tables-APBase"/>
        <w:tblW w:w="464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9&#10;"/>
        <w:tblDescription w:val="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543,000 individuals who were in the non income support other class at 30 June 2016.&#10;&#10;The chart shows that a large proportion of people in the class transition elsewhere, with only 15% expected to remain in the non income support other class until 2026. Just under half the class is projected to exit into either the previous welfare recipient or dead class by 2026. Of the people who transition into another active class by 2026, the majority are projected to transition to the pension age and non-income support family classes. Around 25% of the group are projected to be in an active class in 2051, with the pension age class being the most common. Over 50% of the group are projected to be in the dead class in 2051.&#10;&#10;The features shown in the chart are discussed further in the accompanying text within the report.&#10;"/>
      </w:tblPr>
      <w:tblGrid>
        <w:gridCol w:w="6520"/>
        <w:gridCol w:w="2835"/>
      </w:tblGrid>
      <w:tr w:rsidR="009B2D09" w:rsidRPr="00EC326F" w14:paraId="7400F112" w14:textId="77777777" w:rsidTr="009C6553">
        <w:trPr>
          <w:tblHeader/>
        </w:trPr>
        <w:tc>
          <w:tcPr>
            <w:tcW w:w="6521" w:type="dxa"/>
          </w:tcPr>
          <w:p w14:paraId="12A6AA52" w14:textId="77777777" w:rsidR="009B2D09" w:rsidRPr="00EC326F" w:rsidRDefault="000A3986" w:rsidP="000D6C29">
            <w:pPr>
              <w:pStyle w:val="TableTextSmall"/>
            </w:pPr>
            <w:r w:rsidRPr="00EC326F">
              <w:rPr>
                <w:noProof/>
                <w:lang w:eastAsia="en-AU"/>
              </w:rPr>
              <w:drawing>
                <wp:inline distT="0" distB="0" distL="0" distR="0" wp14:anchorId="2BEFC042" wp14:editId="4F578625">
                  <wp:extent cx="3901622" cy="2160000"/>
                  <wp:effectExtent l="0" t="0" r="0" b="0"/>
                  <wp:docPr id="845" name="Picture 845" descr="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543,000 individuals who were in the non income support other class at 30 June 2016.&#10;&#10;The chart shows that a large proportion of people in the class transition elsewhere, with only 15% expected to remain in the non income support other class until 2026. Just under half the class is projected to exit into either the previous welfare recipient or dead class by 2026. Of the people who transition into another active class by 2026, the majority are projected to transition to the pension age and non-income support family classes. Around 25% of the group are projected to be in an active class in 2051, with the pension age class being the most common. Over 50% of the group are projected to be in the dead class in 2051.&#10;&#10;The features shown in the chart are discussed further in the accompanying text within the report.&#10;" title=" Expected future trajectory for people in Class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901622" cy="2160000"/>
                          </a:xfrm>
                          <a:prstGeom prst="rect">
                            <a:avLst/>
                          </a:prstGeom>
                          <a:noFill/>
                          <a:ln>
                            <a:noFill/>
                          </a:ln>
                        </pic:spPr>
                      </pic:pic>
                    </a:graphicData>
                  </a:graphic>
                </wp:inline>
              </w:drawing>
            </w:r>
          </w:p>
        </w:tc>
        <w:tc>
          <w:tcPr>
            <w:tcW w:w="2835" w:type="dxa"/>
          </w:tcPr>
          <w:p w14:paraId="1EE0C88F" w14:textId="77777777" w:rsidR="009B2D09" w:rsidRPr="00EC326F" w:rsidRDefault="009B2D09" w:rsidP="000D6C29">
            <w:pPr>
              <w:pStyle w:val="TableTextSmall"/>
            </w:pPr>
          </w:p>
          <w:p w14:paraId="307AD557" w14:textId="77777777" w:rsidR="009B2D09" w:rsidRPr="00EC326F" w:rsidRDefault="009B2D09" w:rsidP="000D6C29">
            <w:pPr>
              <w:pStyle w:val="TableTextSmall"/>
            </w:pPr>
            <w:r w:rsidRPr="00EC326F">
              <w:rPr>
                <w:noProof/>
                <w:lang w:eastAsia="en-AU"/>
              </w:rPr>
              <w:drawing>
                <wp:inline distT="0" distB="0" distL="0" distR="0" wp14:anchorId="0DC622CA" wp14:editId="4024BA8B">
                  <wp:extent cx="1439545" cy="1589405"/>
                  <wp:effectExtent l="0" t="0" r="8255" b="0"/>
                  <wp:docPr id="3947" name="Picture 3947" descr="Class key: studying, working age, parents, carers, disability support, pension age, non-income support family, non-income support carer, non-income support other, previous welfare recipient, rest of the Australian population and dead. " title="Class Key for Fig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735737B4" w14:textId="77777777" w:rsidR="009B2D09" w:rsidRPr="00EC326F" w:rsidRDefault="009B2D09" w:rsidP="000D6C29">
            <w:pPr>
              <w:pStyle w:val="TableTextSmall"/>
            </w:pPr>
          </w:p>
        </w:tc>
      </w:tr>
    </w:tbl>
    <w:p w14:paraId="632D22F8" w14:textId="77777777" w:rsidR="009B2D09" w:rsidRPr="00EC326F" w:rsidRDefault="009B2D09" w:rsidP="009B2D09">
      <w:pPr>
        <w:pStyle w:val="PwCNormal"/>
        <w:keepNext/>
        <w:numPr>
          <w:ilvl w:val="0"/>
          <w:numId w:val="0"/>
        </w:numPr>
      </w:pPr>
      <w:r w:rsidRPr="00EC326F">
        <w:t xml:space="preserve">The trajectory results support the previous observations, showing that: </w:t>
      </w:r>
    </w:p>
    <w:p w14:paraId="55A35F6E" w14:textId="77777777" w:rsidR="00E6378A" w:rsidRPr="00EC326F" w:rsidRDefault="009B2D09" w:rsidP="009B2D09">
      <w:pPr>
        <w:pStyle w:val="Bullet1"/>
      </w:pPr>
      <w:r w:rsidRPr="00EC326F">
        <w:t>Over the next 5 years</w:t>
      </w:r>
      <w:r w:rsidR="00E6378A" w:rsidRPr="00EC326F">
        <w:t>:</w:t>
      </w:r>
    </w:p>
    <w:p w14:paraId="7790E8E8" w14:textId="77777777" w:rsidR="00E6378A" w:rsidRPr="00EC326F" w:rsidRDefault="00E6378A" w:rsidP="00E6378A">
      <w:pPr>
        <w:pStyle w:val="ListBullet2"/>
      </w:pPr>
      <w:r w:rsidRPr="00EC326F">
        <w:t>Around 30% of the people will stay in the class</w:t>
      </w:r>
    </w:p>
    <w:p w14:paraId="0D440658" w14:textId="77777777" w:rsidR="009B2D09" w:rsidRPr="00EC326F" w:rsidRDefault="00E6378A" w:rsidP="00E6378A">
      <w:pPr>
        <w:pStyle w:val="ListBullet2"/>
      </w:pPr>
      <w:r w:rsidRPr="00EC326F">
        <w:t>T</w:t>
      </w:r>
      <w:r w:rsidR="009B2D09" w:rsidRPr="00EC326F">
        <w:t xml:space="preserve">here is a distinct group </w:t>
      </w:r>
      <w:r w:rsidRPr="00EC326F">
        <w:t xml:space="preserve">(around 10%) </w:t>
      </w:r>
      <w:r w:rsidR="009B2D09" w:rsidRPr="00EC326F">
        <w:t>who move quickly into the age pension, as expected for some of the older people in the class</w:t>
      </w:r>
    </w:p>
    <w:p w14:paraId="05B40D67" w14:textId="77777777" w:rsidR="009B2D09" w:rsidRPr="00EC326F" w:rsidRDefault="00E6378A" w:rsidP="00E6378A">
      <w:pPr>
        <w:pStyle w:val="ListBullet2"/>
      </w:pPr>
      <w:r w:rsidRPr="00EC326F">
        <w:t>A</w:t>
      </w:r>
      <w:r w:rsidR="009B2D09" w:rsidRPr="00EC326F">
        <w:t xml:space="preserve">round </w:t>
      </w:r>
      <w:r w:rsidRPr="00EC326F">
        <w:t>25%</w:t>
      </w:r>
      <w:r w:rsidR="009B2D09" w:rsidRPr="00EC326F">
        <w:t xml:space="preserve"> of the class exit the payment system</w:t>
      </w:r>
    </w:p>
    <w:p w14:paraId="6772DB11" w14:textId="77777777" w:rsidR="009B2D09" w:rsidRPr="00EC326F" w:rsidRDefault="00E6378A" w:rsidP="00E6378A">
      <w:pPr>
        <w:pStyle w:val="ListBullet2"/>
      </w:pPr>
      <w:r w:rsidRPr="00EC326F">
        <w:t>A</w:t>
      </w:r>
      <w:r w:rsidR="009B2D09" w:rsidRPr="00EC326F">
        <w:t xml:space="preserve"> group </w:t>
      </w:r>
      <w:r w:rsidRPr="00EC326F">
        <w:t xml:space="preserve">of 20% will </w:t>
      </w:r>
      <w:r w:rsidR="009B2D09" w:rsidRPr="00EC326F">
        <w:t>mov</w:t>
      </w:r>
      <w:r w:rsidRPr="00EC326F">
        <w:t>e</w:t>
      </w:r>
      <w:r w:rsidR="009B2D09" w:rsidRPr="00EC326F">
        <w:t xml:space="preserve"> into class 7 (presumably the new parents).</w:t>
      </w:r>
    </w:p>
    <w:p w14:paraId="3C4B1349" w14:textId="77777777" w:rsidR="009B2D09" w:rsidRPr="00EC326F" w:rsidRDefault="009B2D09" w:rsidP="009B2D09">
      <w:pPr>
        <w:pStyle w:val="Bullet1"/>
      </w:pPr>
      <w:r w:rsidRPr="00EC326F">
        <w:t>Around 10% of the people in the class are expected to move onto some form of pre-retirement income support over the next 5-10 years.</w:t>
      </w:r>
    </w:p>
    <w:p w14:paraId="272FB7E1" w14:textId="77777777" w:rsidR="009B2D09" w:rsidRPr="00EC326F" w:rsidRDefault="009B2D09" w:rsidP="009B2D09">
      <w:pPr>
        <w:pStyle w:val="PwCNormal"/>
        <w:numPr>
          <w:ilvl w:val="0"/>
          <w:numId w:val="1"/>
        </w:numPr>
      </w:pPr>
      <w:r w:rsidRPr="00EC326F">
        <w:t>These results are reflective of the distinctive sub groups within this class each of whom would be expected to have very different future life trajectories. We have illustrated this below by showing the trajectories for people within the different age bands.</w:t>
      </w:r>
    </w:p>
    <w:p w14:paraId="3E001BF6" w14:textId="75FA6660" w:rsidR="00A227A5" w:rsidRDefault="009B2D09" w:rsidP="00A227A5">
      <w:pPr>
        <w:pStyle w:val="Caption"/>
      </w:pPr>
      <w:r w:rsidRPr="00EC326F">
        <w:t xml:space="preserve">Figure </w:t>
      </w:r>
      <w:fldSimple w:instr=" SEQ Figure \* ARABIC ">
        <w:r w:rsidR="007A42DF">
          <w:rPr>
            <w:noProof/>
          </w:rPr>
          <w:t>84</w:t>
        </w:r>
      </w:fldSimple>
      <w:r w:rsidRPr="00EC326F">
        <w:t>: Expected future trajectory for people in Class 9 – by age band</w:t>
      </w:r>
    </w:p>
    <w:tbl>
      <w:tblPr>
        <w:tblStyle w:val="Tables-APBase4"/>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9 – by age band"/>
        <w:tblDescription w:val="This text box contains three charts and three legends.&#10;"/>
      </w:tblPr>
      <w:tblGrid>
        <w:gridCol w:w="7352"/>
        <w:gridCol w:w="2729"/>
      </w:tblGrid>
      <w:tr w:rsidR="00E31918" w:rsidRPr="00EC326F" w14:paraId="294BBAC5" w14:textId="77777777" w:rsidTr="00E31918">
        <w:trPr>
          <w:cantSplit/>
          <w:tblHeader/>
        </w:trPr>
        <w:tc>
          <w:tcPr>
            <w:tcW w:w="7352" w:type="dxa"/>
          </w:tcPr>
          <w:p w14:paraId="2BB73181" w14:textId="77777777" w:rsidR="00E31918" w:rsidRPr="00EC326F" w:rsidRDefault="00E31918" w:rsidP="0096019E">
            <w:pPr>
              <w:pStyle w:val="TableTextSmall"/>
              <w:rPr>
                <w:b/>
                <w:bCs/>
              </w:rPr>
            </w:pPr>
            <w:r w:rsidRPr="00EC326F">
              <w:rPr>
                <w:b/>
                <w:bCs/>
              </w:rPr>
              <w:t>Age 1-19</w:t>
            </w:r>
          </w:p>
          <w:p w14:paraId="2DF2FD5A" w14:textId="77777777" w:rsidR="00E31918" w:rsidRPr="00EC326F" w:rsidRDefault="00E31918" w:rsidP="0096019E">
            <w:pPr>
              <w:pStyle w:val="TableTextSmall"/>
              <w:rPr>
                <w:b/>
                <w:bCs/>
              </w:rPr>
            </w:pPr>
            <w:r w:rsidRPr="00A227A5">
              <w:rPr>
                <w:b/>
                <w:bCs/>
                <w:noProof/>
                <w:lang w:eastAsia="en-AU"/>
              </w:rPr>
              <w:drawing>
                <wp:inline distT="0" distB="0" distL="0" distR="0" wp14:anchorId="4878845A" wp14:editId="527A4A29">
                  <wp:extent cx="4375998" cy="2160000"/>
                  <wp:effectExtent l="0" t="0" r="0" b="0"/>
                  <wp:docPr id="3841" name="Picture 3841" descr="The three charts in this figure are vertical bar charts. The horizontal axis on each chart shows the years 2016 to 2086. For each chart, the 70 vertical bars associated with each year are arranged side-by-side with no gaps to present a continuous time series image. The vertical axis for each chart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e charts includes the 543,000 individuals who were in the non income support other class at 30 June 2016, with these individuals being split between the three charts.&#10;&#10;The first figure shows the expected trajectory of people aged 1-19 who were in the non income support other class at 30 June 2016. It shows that a large proportion of people in the class are projected to transition elsewhere, with less than 10% remaining in the non-income support other class in 2022. Of those who transition over that time period, around 40% are projected to exit to the previous welfare recipient class and around 25% are projected to transition to the working age class by 2022. By 2060 the most common classes for this group are the previous welfare recipient, disability support and working age classes." title=" Expected future trajectory for people in Class 9 – by age band (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375998" cy="2160000"/>
                          </a:xfrm>
                          <a:prstGeom prst="rect">
                            <a:avLst/>
                          </a:prstGeom>
                          <a:noFill/>
                          <a:ln>
                            <a:noFill/>
                          </a:ln>
                        </pic:spPr>
                      </pic:pic>
                    </a:graphicData>
                  </a:graphic>
                </wp:inline>
              </w:drawing>
            </w:r>
          </w:p>
        </w:tc>
        <w:tc>
          <w:tcPr>
            <w:tcW w:w="2729" w:type="dxa"/>
          </w:tcPr>
          <w:p w14:paraId="5DEE3737" w14:textId="77777777" w:rsidR="00E31918" w:rsidRPr="00EC326F" w:rsidRDefault="00E31918" w:rsidP="0096019E">
            <w:pPr>
              <w:pStyle w:val="TableTextSmall"/>
              <w:rPr>
                <w:b/>
                <w:bCs/>
              </w:rPr>
            </w:pPr>
          </w:p>
          <w:p w14:paraId="16C92ACD" w14:textId="77777777" w:rsidR="00E31918" w:rsidRPr="00EC326F" w:rsidRDefault="00E31918" w:rsidP="0096019E">
            <w:pPr>
              <w:pStyle w:val="TableTextSmall"/>
              <w:rPr>
                <w:b/>
                <w:bCs/>
              </w:rPr>
            </w:pPr>
            <w:r w:rsidRPr="00EC326F">
              <w:rPr>
                <w:b/>
                <w:bCs/>
                <w:noProof/>
                <w:lang w:eastAsia="en-AU"/>
              </w:rPr>
              <w:drawing>
                <wp:inline distT="0" distB="0" distL="0" distR="0" wp14:anchorId="387BDC17" wp14:editId="02B725FE">
                  <wp:extent cx="1439545" cy="1589405"/>
                  <wp:effectExtent l="0" t="0" r="8255" b="0"/>
                  <wp:docPr id="3842" name="Picture 3842" descr="Class key: studying, working age, parents, carers, disability support, pension age, non-income support family, non-income support carer, non-income support other, previous welfare recipient, rest of the Australian population and dead. " title="Class Key for Fig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3E7BAA94" w14:textId="77777777" w:rsidR="00E31918" w:rsidRPr="00EC326F" w:rsidRDefault="00E31918" w:rsidP="0096019E">
            <w:pPr>
              <w:pStyle w:val="TableTextSmall"/>
              <w:rPr>
                <w:b/>
                <w:bCs/>
              </w:rPr>
            </w:pPr>
          </w:p>
        </w:tc>
      </w:tr>
      <w:tr w:rsidR="00E31918" w:rsidRPr="00EC326F" w14:paraId="578209CC" w14:textId="77777777" w:rsidTr="00E31918">
        <w:trPr>
          <w:cantSplit/>
          <w:tblHeader/>
        </w:trPr>
        <w:tc>
          <w:tcPr>
            <w:tcW w:w="7352" w:type="dxa"/>
          </w:tcPr>
          <w:p w14:paraId="5948EA96" w14:textId="77777777" w:rsidR="00E31918" w:rsidRPr="00EC326F" w:rsidRDefault="00E31918" w:rsidP="0096019E">
            <w:pPr>
              <w:pStyle w:val="TableTextSmall"/>
              <w:rPr>
                <w:b/>
                <w:bCs/>
              </w:rPr>
            </w:pPr>
            <w:r w:rsidRPr="00EC326F">
              <w:rPr>
                <w:b/>
                <w:bCs/>
              </w:rPr>
              <w:lastRenderedPageBreak/>
              <w:t>Age 20-64</w:t>
            </w:r>
          </w:p>
          <w:p w14:paraId="5D5C6038" w14:textId="77777777" w:rsidR="00E31918" w:rsidRPr="00EC326F" w:rsidRDefault="00E31918" w:rsidP="0096019E">
            <w:pPr>
              <w:pStyle w:val="TableTextSmall"/>
              <w:rPr>
                <w:b/>
                <w:bCs/>
              </w:rPr>
            </w:pPr>
            <w:r w:rsidRPr="00A227A5">
              <w:rPr>
                <w:b/>
                <w:bCs/>
                <w:noProof/>
                <w:lang w:eastAsia="en-AU"/>
              </w:rPr>
              <w:drawing>
                <wp:inline distT="0" distB="0" distL="0" distR="0" wp14:anchorId="47392743" wp14:editId="76A412B3">
                  <wp:extent cx="4375998" cy="2160000"/>
                  <wp:effectExtent l="0" t="0" r="0" b="0"/>
                  <wp:docPr id="3843" name="Picture 3843" descr="The second figure shows the expected trajectory of people aged 20-64 who were in the non income support other class at 30 June 2016. It shows a projected steep decline in the proportion of people remaining in the non-income support other class, with less than 5% remaining in 2017. Around 85% of transitions over the first year are into the non-income support family class. By 2060 the most common classes for this group are the pension age, previous welfare recipient and dead classes.&#10;" title=" Expected future trajectory for people in Class 9 – by age band (Ag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375998" cy="2160000"/>
                          </a:xfrm>
                          <a:prstGeom prst="rect">
                            <a:avLst/>
                          </a:prstGeom>
                          <a:noFill/>
                          <a:ln>
                            <a:noFill/>
                          </a:ln>
                        </pic:spPr>
                      </pic:pic>
                    </a:graphicData>
                  </a:graphic>
                </wp:inline>
              </w:drawing>
            </w:r>
          </w:p>
        </w:tc>
        <w:tc>
          <w:tcPr>
            <w:tcW w:w="2729" w:type="dxa"/>
          </w:tcPr>
          <w:p w14:paraId="3BE43B7B" w14:textId="77777777" w:rsidR="00E31918" w:rsidRPr="00EC326F" w:rsidRDefault="00E31918" w:rsidP="0096019E">
            <w:pPr>
              <w:pStyle w:val="TableTextSmall"/>
              <w:rPr>
                <w:b/>
                <w:bCs/>
              </w:rPr>
            </w:pPr>
          </w:p>
          <w:p w14:paraId="3DCAB02E" w14:textId="77777777" w:rsidR="00E31918" w:rsidRPr="00EC326F" w:rsidRDefault="00E31918" w:rsidP="0096019E">
            <w:pPr>
              <w:pStyle w:val="TableTextSmall"/>
              <w:rPr>
                <w:b/>
                <w:bCs/>
              </w:rPr>
            </w:pPr>
            <w:r w:rsidRPr="00EC326F">
              <w:rPr>
                <w:b/>
                <w:bCs/>
                <w:noProof/>
                <w:lang w:eastAsia="en-AU"/>
              </w:rPr>
              <w:drawing>
                <wp:inline distT="0" distB="0" distL="0" distR="0" wp14:anchorId="0F6E5A50" wp14:editId="178B5727">
                  <wp:extent cx="1439545" cy="1589405"/>
                  <wp:effectExtent l="0" t="0" r="8255" b="0"/>
                  <wp:docPr id="3844" name="Picture 3844" descr="Class key: studying, working age, parents, carers, disability support, pension age, non-income support family, non-income support carer, non-income support other, previous welfare recipient, rest of the Australian population and dead. " title="Class Key for Fig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23D5AE07" w14:textId="77777777" w:rsidR="00E31918" w:rsidRPr="00EC326F" w:rsidRDefault="00E31918" w:rsidP="0096019E">
            <w:pPr>
              <w:pStyle w:val="TableTextSmall"/>
              <w:rPr>
                <w:b/>
                <w:bCs/>
              </w:rPr>
            </w:pPr>
          </w:p>
        </w:tc>
      </w:tr>
      <w:tr w:rsidR="00E31918" w:rsidRPr="00EC326F" w14:paraId="096A2776" w14:textId="77777777" w:rsidTr="00E31918">
        <w:trPr>
          <w:cantSplit/>
          <w:tblHeader/>
        </w:trPr>
        <w:tc>
          <w:tcPr>
            <w:tcW w:w="7352" w:type="dxa"/>
          </w:tcPr>
          <w:p w14:paraId="32BECD59" w14:textId="77777777" w:rsidR="00E31918" w:rsidRPr="00EC326F" w:rsidRDefault="00E31918" w:rsidP="0096019E">
            <w:pPr>
              <w:pStyle w:val="TableTextSmall"/>
              <w:rPr>
                <w:b/>
                <w:bCs/>
              </w:rPr>
            </w:pPr>
            <w:r w:rsidRPr="00EC326F">
              <w:rPr>
                <w:b/>
                <w:bCs/>
              </w:rPr>
              <w:t>Age 65+</w:t>
            </w:r>
          </w:p>
          <w:p w14:paraId="5CD89AEF" w14:textId="77777777" w:rsidR="00E31918" w:rsidRPr="00EC326F" w:rsidRDefault="00E31918" w:rsidP="0096019E">
            <w:pPr>
              <w:pStyle w:val="TableTextSmall"/>
              <w:rPr>
                <w:b/>
                <w:bCs/>
              </w:rPr>
            </w:pPr>
            <w:r w:rsidRPr="00A227A5">
              <w:rPr>
                <w:b/>
                <w:bCs/>
                <w:noProof/>
                <w:lang w:eastAsia="en-AU"/>
              </w:rPr>
              <w:drawing>
                <wp:inline distT="0" distB="0" distL="0" distR="0" wp14:anchorId="579B2D76" wp14:editId="772BEDD7">
                  <wp:extent cx="4303065" cy="2124000"/>
                  <wp:effectExtent l="0" t="0" r="0" b="0"/>
                  <wp:docPr id="3854" name="Picture 3854" descr="The third figure shows the expected trajectory of people in the class aged 65+ who were in the non income support other class at 30 June 2016. It shows that the main transitions for this age group are projected to be to the pension age, previous welfare recipient and dead classes. Around 30% of people are projected to remain in the non-income support other class by 2026 with around 30% having moved to the pension age class and most of the remainder exited to the previous welfare recipient or dead classes. By 2060 this group would be expected to be in the dead class.&#10;" title=" Expected future trajectory for people in Class 9 – by age band (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303065" cy="2124000"/>
                          </a:xfrm>
                          <a:prstGeom prst="rect">
                            <a:avLst/>
                          </a:prstGeom>
                          <a:noFill/>
                          <a:ln>
                            <a:noFill/>
                          </a:ln>
                        </pic:spPr>
                      </pic:pic>
                    </a:graphicData>
                  </a:graphic>
                </wp:inline>
              </w:drawing>
            </w:r>
          </w:p>
        </w:tc>
        <w:tc>
          <w:tcPr>
            <w:tcW w:w="2729" w:type="dxa"/>
          </w:tcPr>
          <w:p w14:paraId="7CBCA73A" w14:textId="77777777" w:rsidR="00E31918" w:rsidRPr="00EC326F" w:rsidRDefault="00E31918" w:rsidP="0096019E">
            <w:pPr>
              <w:pStyle w:val="TableTextSmall"/>
              <w:rPr>
                <w:b/>
                <w:bCs/>
              </w:rPr>
            </w:pPr>
          </w:p>
          <w:p w14:paraId="6C684531" w14:textId="77777777" w:rsidR="00E31918" w:rsidRPr="00EC326F" w:rsidRDefault="00E31918" w:rsidP="0096019E">
            <w:pPr>
              <w:pStyle w:val="TableTextSmall"/>
              <w:rPr>
                <w:b/>
                <w:bCs/>
              </w:rPr>
            </w:pPr>
            <w:r w:rsidRPr="00EC326F">
              <w:rPr>
                <w:b/>
                <w:bCs/>
                <w:noProof/>
                <w:lang w:eastAsia="en-AU"/>
              </w:rPr>
              <w:drawing>
                <wp:inline distT="0" distB="0" distL="0" distR="0" wp14:anchorId="6B505979" wp14:editId="04856747">
                  <wp:extent cx="1439545" cy="1589405"/>
                  <wp:effectExtent l="0" t="0" r="8255" b="0"/>
                  <wp:docPr id="3855" name="Picture 3855" descr="Class key: studying, working age, parents, carers, disability support, pension age, non-income support family, non-income support carer, non-income support other, previous welfare recipient, rest of the Australian population and dead. " title="Class Key for Fig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77336301" w14:textId="77777777" w:rsidR="00E31918" w:rsidRPr="00EC326F" w:rsidRDefault="00E31918" w:rsidP="0096019E">
            <w:pPr>
              <w:pStyle w:val="TableTextSmall"/>
              <w:rPr>
                <w:b/>
                <w:bCs/>
              </w:rPr>
            </w:pPr>
          </w:p>
        </w:tc>
      </w:tr>
    </w:tbl>
    <w:p w14:paraId="292D4429" w14:textId="12C446BF" w:rsidR="000B1C9E" w:rsidRPr="00EC326F" w:rsidRDefault="00572BA7" w:rsidP="000B1C9E">
      <w:pPr>
        <w:pStyle w:val="Minorheading"/>
      </w:pPr>
      <w:r>
        <w:t>D</w:t>
      </w:r>
      <w:r w:rsidR="000B1C9E" w:rsidRPr="00EC326F">
        <w:t>uration</w:t>
      </w:r>
    </w:p>
    <w:p w14:paraId="489C924A" w14:textId="77777777" w:rsidR="000B1C9E" w:rsidRPr="00EC326F" w:rsidRDefault="000B1C9E" w:rsidP="00EC326F">
      <w:pPr>
        <w:pStyle w:val="PwCNormal-keepwithnext"/>
        <w:numPr>
          <w:ilvl w:val="0"/>
          <w:numId w:val="0"/>
        </w:numPr>
      </w:pPr>
      <w:r w:rsidRPr="00EC326F">
        <w:t xml:space="preserve">The average future life expectancy for the Non IS Other class is </w:t>
      </w:r>
      <w:r w:rsidRPr="00EC326F">
        <w:rPr>
          <w:b/>
        </w:rPr>
        <w:t>36</w:t>
      </w:r>
      <w:r w:rsidRPr="00EC326F">
        <w:t xml:space="preserve"> years. The table below provides a summary of the expected welfare system use of people currently in this class over this time. This has been developed by considering which classes people move into as they move through the welfare system over their lives.</w:t>
      </w:r>
    </w:p>
    <w:p w14:paraId="39A4FFF8" w14:textId="77777777" w:rsidR="000B1C9E" w:rsidRPr="00EC326F" w:rsidRDefault="000B1C9E" w:rsidP="000B1C9E">
      <w:pPr>
        <w:pStyle w:val="Caption"/>
      </w:pPr>
      <w:r w:rsidRPr="00EC326F">
        <w:t xml:space="preserve">Table </w:t>
      </w:r>
      <w:fldSimple w:instr=" SEQ Table \* ARABIC ">
        <w:r w:rsidR="007A42DF">
          <w:rPr>
            <w:noProof/>
          </w:rPr>
          <w:t>45</w:t>
        </w:r>
      </w:fldSimple>
      <w:r w:rsidRPr="00EC326F">
        <w:t>: Expected durations in welfare system for people currently in Class 9</w:t>
      </w:r>
    </w:p>
    <w:tbl>
      <w:tblPr>
        <w:tblStyle w:val="ListTable3-Accent61"/>
        <w:tblW w:w="8868" w:type="dxa"/>
        <w:tblInd w:w="108" w:type="dxa"/>
        <w:tblLook w:val="04A0" w:firstRow="1" w:lastRow="0" w:firstColumn="1" w:lastColumn="0" w:noHBand="0" w:noVBand="1"/>
        <w:tblCaption w:val=" Expected durations in welfare system for people currently in Class 9&#10;&#10;"/>
        <w:tblDescription w:val="This table provides data on the expected number of years that people currently in Class 9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9 is 36 years. &#10;&#10;People in Class 9 are expected to receive some form of income support payment (excluding the age pension) for 4 years, 10% of their future lifetime. It is expected that they will receive the age pension for 11 years (29% of their future lifetime), non-income support payments only for 8 years (23% of their future lifetime) and no welfare payments for 14 years (38% of their future lifetime).&#10;"/>
      </w:tblPr>
      <w:tblGrid>
        <w:gridCol w:w="3828"/>
        <w:gridCol w:w="2520"/>
        <w:gridCol w:w="2520"/>
      </w:tblGrid>
      <w:tr w:rsidR="000B1C9E" w:rsidRPr="00EC326F" w14:paraId="6C80528F"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09FC93D4" w14:textId="77777777" w:rsidR="000B1C9E" w:rsidRPr="00EC326F" w:rsidRDefault="000B1C9E" w:rsidP="00EC326F">
            <w:pPr>
              <w:pStyle w:val="TableTextSmall"/>
              <w:jc w:val="center"/>
              <w:rPr>
                <w:rFonts w:asciiTheme="majorHAnsi" w:hAnsiTheme="majorHAnsi"/>
                <w:color w:val="FFFFFF" w:themeColor="background1"/>
              </w:rPr>
            </w:pPr>
          </w:p>
        </w:tc>
        <w:tc>
          <w:tcPr>
            <w:tcW w:w="2520" w:type="dxa"/>
          </w:tcPr>
          <w:p w14:paraId="39BFF17A" w14:textId="77777777" w:rsidR="000B1C9E" w:rsidRPr="00EC326F" w:rsidRDefault="000B1C9E" w:rsidP="00EC326F">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Expected Years</w:t>
            </w:r>
          </w:p>
        </w:tc>
        <w:tc>
          <w:tcPr>
            <w:tcW w:w="2520" w:type="dxa"/>
          </w:tcPr>
          <w:p w14:paraId="139F9769" w14:textId="77777777" w:rsidR="000B1C9E" w:rsidRPr="00EC326F" w:rsidRDefault="000B1C9E" w:rsidP="00EC326F">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Proportion of Future Lifetime</w:t>
            </w:r>
          </w:p>
        </w:tc>
      </w:tr>
      <w:tr w:rsidR="000B1C9E" w:rsidRPr="00EC326F" w14:paraId="51A67F3E" w14:textId="77777777" w:rsidTr="00EC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1EC39BA" w14:textId="77777777" w:rsidR="000B1C9E" w:rsidRPr="00EC326F" w:rsidRDefault="000B1C9E" w:rsidP="00EC326F">
            <w:pPr>
              <w:pStyle w:val="TableTextSmall"/>
            </w:pPr>
            <w:r w:rsidRPr="00EC326F">
              <w:t>Years with some income support payments:</w:t>
            </w:r>
          </w:p>
          <w:p w14:paraId="2E6F5F20" w14:textId="77777777" w:rsidR="000B1C9E" w:rsidRPr="00EC326F" w:rsidRDefault="000B1C9E" w:rsidP="001A4479">
            <w:pPr>
              <w:pStyle w:val="TableTextSmall"/>
              <w:numPr>
                <w:ilvl w:val="0"/>
                <w:numId w:val="43"/>
              </w:numPr>
            </w:pPr>
            <w:r w:rsidRPr="00EC326F">
              <w:t>Not aged pension (classes 1-5)</w:t>
            </w:r>
          </w:p>
          <w:p w14:paraId="01A11E34" w14:textId="77777777" w:rsidR="000B1C9E" w:rsidRPr="00EC326F" w:rsidRDefault="000B1C9E" w:rsidP="001A4479">
            <w:pPr>
              <w:pStyle w:val="TableTextSmall"/>
              <w:numPr>
                <w:ilvl w:val="0"/>
                <w:numId w:val="43"/>
              </w:numPr>
            </w:pPr>
            <w:r w:rsidRPr="00EC326F">
              <w:t>Aged pension (class 6)</w:t>
            </w:r>
          </w:p>
        </w:tc>
        <w:tc>
          <w:tcPr>
            <w:tcW w:w="2520" w:type="dxa"/>
          </w:tcPr>
          <w:p w14:paraId="1D10609F" w14:textId="77777777" w:rsidR="000B1C9E" w:rsidRPr="00EC326F" w:rsidRDefault="000B1C9E" w:rsidP="00EC326F">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4</w:t>
            </w:r>
          </w:p>
          <w:p w14:paraId="1857824A" w14:textId="77777777" w:rsidR="000B1C9E" w:rsidRPr="00EC326F" w:rsidRDefault="000B1C9E" w:rsidP="000B1C9E">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11</w:t>
            </w:r>
          </w:p>
        </w:tc>
        <w:tc>
          <w:tcPr>
            <w:tcW w:w="2520" w:type="dxa"/>
          </w:tcPr>
          <w:p w14:paraId="702E1DA5" w14:textId="77777777" w:rsidR="000B1C9E" w:rsidRPr="00EC326F" w:rsidRDefault="000B1C9E" w:rsidP="00EC326F">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10%</w:t>
            </w:r>
          </w:p>
          <w:p w14:paraId="34343373" w14:textId="77777777" w:rsidR="000B1C9E" w:rsidRPr="00EC326F" w:rsidRDefault="000B1C9E" w:rsidP="00EC326F">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29%</w:t>
            </w:r>
          </w:p>
        </w:tc>
      </w:tr>
      <w:tr w:rsidR="000B1C9E" w:rsidRPr="00EC326F" w14:paraId="5ED6D4EA" w14:textId="77777777" w:rsidTr="00EC326F">
        <w:tc>
          <w:tcPr>
            <w:cnfStyle w:val="001000000000" w:firstRow="0" w:lastRow="0" w:firstColumn="1" w:lastColumn="0" w:oddVBand="0" w:evenVBand="0" w:oddHBand="0" w:evenHBand="0" w:firstRowFirstColumn="0" w:firstRowLastColumn="0" w:lastRowFirstColumn="0" w:lastRowLastColumn="0"/>
            <w:tcW w:w="3828" w:type="dxa"/>
          </w:tcPr>
          <w:p w14:paraId="7B6C5DC3" w14:textId="77777777" w:rsidR="000B1C9E" w:rsidRPr="00EC326F" w:rsidRDefault="000B1C9E" w:rsidP="00EC326F">
            <w:pPr>
              <w:pStyle w:val="TableTextSmall"/>
            </w:pPr>
            <w:r w:rsidRPr="00EC326F">
              <w:t>Years with non-income support payments only</w:t>
            </w:r>
          </w:p>
        </w:tc>
        <w:tc>
          <w:tcPr>
            <w:tcW w:w="2520" w:type="dxa"/>
          </w:tcPr>
          <w:p w14:paraId="075605CB" w14:textId="77777777" w:rsidR="000B1C9E" w:rsidRPr="00EC326F" w:rsidRDefault="000B1C9E" w:rsidP="00EC326F">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8</w:t>
            </w:r>
          </w:p>
        </w:tc>
        <w:tc>
          <w:tcPr>
            <w:tcW w:w="2520" w:type="dxa"/>
          </w:tcPr>
          <w:p w14:paraId="0A28EB48" w14:textId="77777777" w:rsidR="000B1C9E" w:rsidRPr="00EC326F" w:rsidRDefault="000B1C9E" w:rsidP="000B1C9E">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23%</w:t>
            </w:r>
          </w:p>
        </w:tc>
      </w:tr>
      <w:tr w:rsidR="000B1C9E" w:rsidRPr="00EC326F" w14:paraId="6B12B5B0" w14:textId="77777777" w:rsidTr="00EC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2B2F1D7" w14:textId="77777777" w:rsidR="000B1C9E" w:rsidRPr="00EC326F" w:rsidRDefault="000B1C9E" w:rsidP="00EC326F">
            <w:pPr>
              <w:pStyle w:val="TableTextSmall"/>
            </w:pPr>
            <w:r w:rsidRPr="00EC326F">
              <w:t>Years not receiving any welfare payments</w:t>
            </w:r>
          </w:p>
        </w:tc>
        <w:tc>
          <w:tcPr>
            <w:tcW w:w="2520" w:type="dxa"/>
          </w:tcPr>
          <w:p w14:paraId="55F4C754" w14:textId="77777777" w:rsidR="000B1C9E" w:rsidRPr="00EC326F" w:rsidRDefault="000B1C9E" w:rsidP="000B1C9E">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14</w:t>
            </w:r>
          </w:p>
        </w:tc>
        <w:tc>
          <w:tcPr>
            <w:tcW w:w="2520" w:type="dxa"/>
          </w:tcPr>
          <w:p w14:paraId="2A8FD608" w14:textId="77777777" w:rsidR="000B1C9E" w:rsidRPr="00EC326F" w:rsidRDefault="000B1C9E" w:rsidP="000B1C9E">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38%</w:t>
            </w:r>
          </w:p>
        </w:tc>
      </w:tr>
      <w:tr w:rsidR="000B1C9E" w:rsidRPr="00EC326F" w14:paraId="6158B0D5" w14:textId="77777777" w:rsidTr="00EC326F">
        <w:tc>
          <w:tcPr>
            <w:cnfStyle w:val="001000000000" w:firstRow="0" w:lastRow="0" w:firstColumn="1" w:lastColumn="0" w:oddVBand="0" w:evenVBand="0" w:oddHBand="0" w:evenHBand="0" w:firstRowFirstColumn="0" w:firstRowLastColumn="0" w:lastRowFirstColumn="0" w:lastRowLastColumn="0"/>
            <w:tcW w:w="3828" w:type="dxa"/>
          </w:tcPr>
          <w:p w14:paraId="47D11766" w14:textId="77777777" w:rsidR="000B1C9E" w:rsidRPr="00EC326F" w:rsidRDefault="000B1C9E" w:rsidP="00EC326F">
            <w:pPr>
              <w:pStyle w:val="TableTextSmall"/>
            </w:pPr>
            <w:r w:rsidRPr="00EC326F">
              <w:t>Total</w:t>
            </w:r>
          </w:p>
        </w:tc>
        <w:tc>
          <w:tcPr>
            <w:tcW w:w="2520" w:type="dxa"/>
          </w:tcPr>
          <w:p w14:paraId="3B7B84A3" w14:textId="77777777" w:rsidR="000B1C9E" w:rsidRPr="00EC326F" w:rsidRDefault="000B1C9E" w:rsidP="000B1C9E">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36</w:t>
            </w:r>
          </w:p>
        </w:tc>
        <w:tc>
          <w:tcPr>
            <w:tcW w:w="2520" w:type="dxa"/>
          </w:tcPr>
          <w:p w14:paraId="0C9C403A" w14:textId="77777777" w:rsidR="000B1C9E" w:rsidRPr="00EC326F" w:rsidRDefault="000B1C9E" w:rsidP="00EC326F">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100%</w:t>
            </w:r>
          </w:p>
        </w:tc>
      </w:tr>
    </w:tbl>
    <w:p w14:paraId="2284CB53" w14:textId="77777777" w:rsidR="000B1C9E" w:rsidRPr="002A0A1A" w:rsidRDefault="000B1C9E" w:rsidP="003D1206">
      <w:pPr>
        <w:pStyle w:val="PwCNormal"/>
        <w:numPr>
          <w:ilvl w:val="0"/>
          <w:numId w:val="0"/>
        </w:numPr>
      </w:pPr>
    </w:p>
    <w:p w14:paraId="5B78F0DD" w14:textId="77777777" w:rsidR="003D1206" w:rsidRPr="002A0A1A" w:rsidRDefault="003D1206" w:rsidP="003D1206">
      <w:pPr>
        <w:pStyle w:val="PwCNormal"/>
        <w:numPr>
          <w:ilvl w:val="0"/>
          <w:numId w:val="0"/>
        </w:numPr>
        <w:sectPr w:rsidR="003D1206" w:rsidRPr="002A0A1A" w:rsidSect="00CC5ACB">
          <w:pgSz w:w="11907" w:h="16840" w:code="9"/>
          <w:pgMar w:top="1588" w:right="1021" w:bottom="1418" w:left="1021" w:header="567" w:footer="567" w:gutter="0"/>
          <w:cols w:space="227"/>
          <w:docGrid w:linePitch="360"/>
        </w:sectPr>
      </w:pPr>
    </w:p>
    <w:p w14:paraId="49BD3397" w14:textId="77777777" w:rsidR="0000452C" w:rsidRPr="00EC326F" w:rsidRDefault="0000452C" w:rsidP="00A55180">
      <w:pPr>
        <w:pStyle w:val="Heading2"/>
      </w:pPr>
      <w:bookmarkStart w:id="413" w:name="_Toc455499453"/>
      <w:bookmarkStart w:id="414" w:name="_Toc455502474"/>
      <w:bookmarkStart w:id="415" w:name="_Ref466493476"/>
      <w:bookmarkStart w:id="416" w:name="_Ref466494284"/>
      <w:bookmarkStart w:id="417" w:name="_Ref466494632"/>
      <w:bookmarkStart w:id="418" w:name="_Ref466494880"/>
      <w:bookmarkStart w:id="419" w:name="_Toc493844267"/>
      <w:bookmarkEnd w:id="409"/>
      <w:bookmarkEnd w:id="410"/>
      <w:r w:rsidRPr="00EC326F">
        <w:lastRenderedPageBreak/>
        <w:t>Results for non-</w:t>
      </w:r>
      <w:r w:rsidR="00EF2B1A" w:rsidRPr="00EC326F">
        <w:t>welfare recipient</w:t>
      </w:r>
      <w:r w:rsidRPr="00EC326F">
        <w:t>s</w:t>
      </w:r>
      <w:bookmarkEnd w:id="413"/>
      <w:bookmarkEnd w:id="414"/>
      <w:bookmarkEnd w:id="415"/>
      <w:bookmarkEnd w:id="416"/>
      <w:bookmarkEnd w:id="417"/>
      <w:bookmarkEnd w:id="418"/>
      <w:bookmarkEnd w:id="419"/>
    </w:p>
    <w:p w14:paraId="7A70F182" w14:textId="77777777" w:rsidR="00362C71" w:rsidRPr="00EC326F" w:rsidRDefault="00BE29BE" w:rsidP="00362C71">
      <w:pPr>
        <w:pStyle w:val="PwCNormal"/>
        <w:numPr>
          <w:ilvl w:val="0"/>
          <w:numId w:val="1"/>
        </w:numPr>
      </w:pPr>
      <w:r w:rsidRPr="00EC326F">
        <w:t>E</w:t>
      </w:r>
      <w:r w:rsidR="00362C71" w:rsidRPr="00EC326F">
        <w:t>very person within the population has some chance of accessing the welfa</w:t>
      </w:r>
      <w:r w:rsidRPr="00EC326F">
        <w:t>re system during their lifetime, h</w:t>
      </w:r>
      <w:r w:rsidR="00362C71" w:rsidRPr="00EC326F">
        <w:t>ence everyone has a non-zero average lifetime cost. In this section we discuss the lifetime costs for people who are not current welfare recipients (i.e. those in classes 10 and 12). There are 16.1 million people in the model who are non-welfare recipients and this group makes up 67% of the total model population and includes 5</w:t>
      </w:r>
      <w:r w:rsidRPr="00EC326F">
        <w:t>4</w:t>
      </w:r>
      <w:r w:rsidR="00362C71" w:rsidRPr="00EC326F">
        <w:t>% of the lifetime cost.</w:t>
      </w:r>
    </w:p>
    <w:p w14:paraId="59EDF745" w14:textId="77777777" w:rsidR="00362C71" w:rsidRPr="00EC326F" w:rsidRDefault="00362C71" w:rsidP="00362C71">
      <w:pPr>
        <w:pStyle w:val="Heading3"/>
      </w:pPr>
      <w:bookmarkStart w:id="420" w:name="_Ref466418087"/>
      <w:bookmarkStart w:id="421" w:name="_Ref466418867"/>
      <w:bookmarkStart w:id="422" w:name="_Toc493844268"/>
      <w:r w:rsidRPr="00EC326F">
        <w:t>Previous welfare recipients</w:t>
      </w:r>
      <w:bookmarkEnd w:id="420"/>
      <w:bookmarkEnd w:id="421"/>
      <w:bookmarkEnd w:id="422"/>
    </w:p>
    <w:p w14:paraId="1933F367" w14:textId="77777777" w:rsidR="00362C71" w:rsidRPr="00EC326F" w:rsidRDefault="00362C71" w:rsidP="00362C71">
      <w:pPr>
        <w:pStyle w:val="PwCNormal"/>
        <w:keepNext/>
        <w:numPr>
          <w:ilvl w:val="0"/>
          <w:numId w:val="1"/>
        </w:numPr>
      </w:pPr>
      <w:r w:rsidRPr="00EC326F">
        <w:t>There are 4.2 million people who were in the past welfare recipients class at 30 June 2016. The profile of these by age and gender is illustrated below.</w:t>
      </w:r>
    </w:p>
    <w:p w14:paraId="790D6804" w14:textId="77777777" w:rsidR="00362C71" w:rsidRPr="00EC326F" w:rsidRDefault="00362C71" w:rsidP="00362C71">
      <w:pPr>
        <w:pStyle w:val="Heading4"/>
      </w:pPr>
      <w:r w:rsidRPr="00EC326F">
        <w:t>What does the data tell us about the previous welfare recipients class?</w:t>
      </w:r>
    </w:p>
    <w:p w14:paraId="125C6B19" w14:textId="77777777" w:rsidR="00362C71" w:rsidRPr="00EC326F" w:rsidRDefault="00362C71" w:rsidP="00362C71">
      <w:pPr>
        <w:pStyle w:val="PwCNormal"/>
        <w:numPr>
          <w:ilvl w:val="0"/>
          <w:numId w:val="0"/>
        </w:numPr>
      </w:pPr>
      <w:r w:rsidRPr="00EC326F">
        <w:t>There were 4,18</w:t>
      </w:r>
      <w:r w:rsidR="00597603" w:rsidRPr="00EC326F">
        <w:t>6</w:t>
      </w:r>
      <w:r w:rsidRPr="00EC326F">
        <w:t>,</w:t>
      </w:r>
      <w:r w:rsidR="00597603" w:rsidRPr="00EC326F">
        <w:t>597</w:t>
      </w:r>
      <w:r w:rsidRPr="00EC326F">
        <w:t xml:space="preserve"> people (26.0% of non-welfare recipients) in the previous welfare recipients class in the 2016 model population.</w:t>
      </w:r>
    </w:p>
    <w:p w14:paraId="7E856B7B" w14:textId="77777777" w:rsidR="00362C71" w:rsidRPr="00EC326F" w:rsidRDefault="00362C71" w:rsidP="00362C71">
      <w:r w:rsidRPr="00EC326F">
        <w:t>The following chart shows a breakdown of the number of people in this class by age and gender.</w:t>
      </w:r>
    </w:p>
    <w:p w14:paraId="5F793FDF" w14:textId="77777777" w:rsidR="00362C71" w:rsidRPr="006F193C" w:rsidRDefault="00362C71" w:rsidP="006F193C">
      <w:pPr>
        <w:pStyle w:val="Caption"/>
      </w:pPr>
      <w:r w:rsidRPr="006F193C">
        <w:t xml:space="preserve">Figure </w:t>
      </w:r>
      <w:fldSimple w:instr=" SEQ Figure \* ARABIC ">
        <w:r w:rsidR="007A42DF" w:rsidRPr="006F193C">
          <w:t>85</w:t>
        </w:r>
      </w:fldSimple>
      <w:r w:rsidRPr="006F193C">
        <w:t>: Profile of people in Class 10 – all people in class (age/gender)</w:t>
      </w:r>
    </w:p>
    <w:tbl>
      <w:tblPr>
        <w:tblStyle w:val="Tables-APBase"/>
        <w:tblW w:w="379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Profile of people in Class 10 – all people in class (age/gender)&#10;"/>
        <w:tblDescription w:val="This figure is a horizontal bar chart showing the number of people in the Previous Welfare Recipient class at Jun16 by age for males and females separately. The vertical axis shows age with the data shown ranging from 0 to 109. The horizontal axis shows the number of people ranging from 0 to 100,000. The number of males at each age are shown by the horizontal bars to the left of the vertical axis and the number of females at each age are shown by horizontal bars to the right.&#10;&#10;The chart is based on the 4,187,000 individuals who were in the Previous Welfare Recipient class class at 30 June 2016. &#10;&#10;The chart shows that most people in this class are between the ages of 15 and 90. The number of females peaks at approximately 49,000 at age 26 and then decreases to approximately 28,000 at age 37 before peaking again at approximately 77,000 at age 54. The number of males peaks at approximately 64,000 at age 31 and decreases steadily with age to approximately 17,000 at age 64.&#10;&#10;There are approximately 2,000 males and 2,700 females at each age from 70 to 90.&#10;"/>
      </w:tblPr>
      <w:tblGrid>
        <w:gridCol w:w="5530"/>
        <w:gridCol w:w="2126"/>
      </w:tblGrid>
      <w:tr w:rsidR="00362C71" w:rsidRPr="00EC326F" w14:paraId="15FC2D48" w14:textId="77777777" w:rsidTr="009C6553">
        <w:trPr>
          <w:tblHeader/>
        </w:trPr>
        <w:tc>
          <w:tcPr>
            <w:tcW w:w="5529" w:type="dxa"/>
          </w:tcPr>
          <w:p w14:paraId="49944752" w14:textId="77777777" w:rsidR="00362C71" w:rsidRPr="00EC326F" w:rsidRDefault="00F177DF" w:rsidP="00487300">
            <w:pPr>
              <w:pStyle w:val="TableTextSmall"/>
              <w:keepNext/>
              <w:rPr>
                <w:lang w:eastAsia="en-AU"/>
              </w:rPr>
            </w:pPr>
            <w:r w:rsidRPr="00EC326F">
              <w:rPr>
                <w:noProof/>
                <w:lang w:eastAsia="en-AU"/>
              </w:rPr>
              <w:drawing>
                <wp:inline distT="0" distB="0" distL="0" distR="0" wp14:anchorId="79180BA1" wp14:editId="4964EC37">
                  <wp:extent cx="3371850" cy="2114550"/>
                  <wp:effectExtent l="0" t="0" r="0" b="0"/>
                  <wp:docPr id="121" name="Picture 121" descr="This figure is a horizontal bar chart showing the number of people in the Previous Welfare Recipient class at Jun16 by age for males and females separately. The vertical axis shows age with the data shown ranging from 0 to 109. The horizontal axis shows the number of people ranging from 0 to 100,000. The number of males at each age are shown by the horizontal bars to the left of the vertical axis and the number of females at each age are shown by horizontal bars to the right.&#10;&#10;The chart is based on the 4,187,000 individuals who were in the Previous Welfare Recipient class class at 30 June 2016. &#10;&#10;The chart shows that most people in this class are between the ages of 15 and 90. The number of females peaks at approximately 49,000 at age 26 and then decreases to approximately 28,000 at age 37 before peaking again at approximately 77,000 at age 54. The number of males peaks at approximately 64,000 at age 31 and decreases steadily with age to approximately 17,000 at age 64.&#10;&#10;There are approximately 2,000 males and 2,700 females at each age from 70 to 90.&#10;" title=" Profile of people in Class 10 – all people in class (age/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371850" cy="2114550"/>
                          </a:xfrm>
                          <a:prstGeom prst="rect">
                            <a:avLst/>
                          </a:prstGeom>
                          <a:noFill/>
                          <a:ln>
                            <a:noFill/>
                          </a:ln>
                        </pic:spPr>
                      </pic:pic>
                    </a:graphicData>
                  </a:graphic>
                </wp:inline>
              </w:drawing>
            </w:r>
          </w:p>
        </w:tc>
        <w:tc>
          <w:tcPr>
            <w:tcW w:w="2126" w:type="dxa"/>
          </w:tcPr>
          <w:p w14:paraId="00BAB69C" w14:textId="77777777" w:rsidR="00362C71" w:rsidRPr="00EC326F" w:rsidRDefault="00362C71" w:rsidP="005D6CEC">
            <w:pPr>
              <w:pStyle w:val="TableTextSmall"/>
              <w:keepNext/>
              <w:rPr>
                <w:lang w:eastAsia="en-AU"/>
              </w:rPr>
            </w:pPr>
          </w:p>
        </w:tc>
      </w:tr>
    </w:tbl>
    <w:p w14:paraId="0661D5E3" w14:textId="77777777" w:rsidR="00362C71" w:rsidRPr="00EC326F" w:rsidRDefault="00362C71" w:rsidP="00362C71">
      <w:pPr>
        <w:pStyle w:val="PwCNormal"/>
        <w:numPr>
          <w:ilvl w:val="0"/>
          <w:numId w:val="0"/>
        </w:numPr>
      </w:pPr>
      <w:r w:rsidRPr="00EC326F">
        <w:t xml:space="preserve">We can see that there are more women in this class at older ages, most likely because women are more likely to have received FTB or family payments and have been in the large Non IS Family class. At younger ages there are more men than women. </w:t>
      </w:r>
    </w:p>
    <w:p w14:paraId="72572351" w14:textId="77777777" w:rsidR="00362C71" w:rsidRPr="00EC326F" w:rsidRDefault="00362C71" w:rsidP="00362C71">
      <w:pPr>
        <w:pStyle w:val="PwCNormal"/>
        <w:numPr>
          <w:ilvl w:val="0"/>
          <w:numId w:val="0"/>
        </w:numPr>
      </w:pPr>
      <w:r w:rsidRPr="00EC326F">
        <w:t>Some of the people have been in the previous welfare recipients class for only a short period; others have been there for longer, up to the maximum of the 14 years available from the data provided.</w:t>
      </w:r>
    </w:p>
    <w:p w14:paraId="13F2C550" w14:textId="77777777" w:rsidR="00362C71" w:rsidRPr="00EC326F" w:rsidRDefault="00362C71" w:rsidP="00362C71">
      <w:pPr>
        <w:pStyle w:val="PwCNormal"/>
        <w:numPr>
          <w:ilvl w:val="0"/>
          <w:numId w:val="0"/>
        </w:numPr>
      </w:pPr>
      <w:r w:rsidRPr="00EC326F">
        <w:t>Going forward we will have people in the exits class who have been past welfare recipients but not been in the payment system for even longer periods. An example would be someone age</w:t>
      </w:r>
      <w:r w:rsidR="005D17E7" w:rsidRPr="00EC326F">
        <w:t>d</w:t>
      </w:r>
      <w:r w:rsidRPr="00EC326F">
        <w:t xml:space="preserve"> 40 who received a Studying payment when they were 20 and then exited the welfare system and has not received any subsequent payments.</w:t>
      </w:r>
      <w:r w:rsidR="00BE29BE" w:rsidRPr="00EC326F">
        <w:t xml:space="preserve"> This is likely to increase the numbers in the class at older ages and gradually change the demographic mix of the class.</w:t>
      </w:r>
    </w:p>
    <w:p w14:paraId="63885910" w14:textId="77777777" w:rsidR="00362C71" w:rsidRPr="00EC326F" w:rsidRDefault="005D17E7" w:rsidP="00362C71">
      <w:pPr>
        <w:pStyle w:val="Minorheading"/>
      </w:pPr>
      <w:r w:rsidRPr="00EC326F">
        <w:t xml:space="preserve">Movements </w:t>
      </w:r>
      <w:r w:rsidR="00362C71" w:rsidRPr="00EC326F">
        <w:t>into this class</w:t>
      </w:r>
    </w:p>
    <w:p w14:paraId="00CDB433" w14:textId="77777777" w:rsidR="00362C71" w:rsidRPr="00EC326F" w:rsidRDefault="00362C71" w:rsidP="00362C71">
      <w:pPr>
        <w:pStyle w:val="PwCNormal"/>
        <w:numPr>
          <w:ilvl w:val="0"/>
          <w:numId w:val="1"/>
        </w:numPr>
      </w:pPr>
      <w:r w:rsidRPr="00EC326F">
        <w:t xml:space="preserve">Over the last 3 years, an average of 537,300 people (around 14% of the people in this class) per annum exit the current welfare recipient classes into this class. The following charts show the breakdown of this by age, gender and previous class. </w:t>
      </w:r>
    </w:p>
    <w:p w14:paraId="6E86C5E4" w14:textId="77777777" w:rsidR="00362C71" w:rsidRPr="00EC326F" w:rsidRDefault="00362C71" w:rsidP="00362C71">
      <w:pPr>
        <w:pStyle w:val="Caption"/>
      </w:pPr>
      <w:r w:rsidRPr="00EC326F">
        <w:lastRenderedPageBreak/>
        <w:t xml:space="preserve">Figure </w:t>
      </w:r>
      <w:fldSimple w:instr=" SEQ Figure \* ARABIC ">
        <w:r w:rsidR="007A42DF">
          <w:rPr>
            <w:noProof/>
          </w:rPr>
          <w:t>86</w:t>
        </w:r>
      </w:fldSimple>
      <w:r w:rsidRPr="00EC326F">
        <w:t xml:space="preserve">: Number of people </w:t>
      </w:r>
      <w:r w:rsidR="005D17E7" w:rsidRPr="00EC326F">
        <w:t>entering</w:t>
      </w:r>
      <w:r w:rsidRPr="00EC326F">
        <w:t xml:space="preserve"> Class 10 – Previous Welfare Recipient (annual average over last 3 years)</w:t>
      </w:r>
    </w:p>
    <w:tbl>
      <w:tblPr>
        <w:tblW w:w="4922" w:type="pct"/>
        <w:tblLayout w:type="fixed"/>
        <w:tblLook w:val="04A0" w:firstRow="1" w:lastRow="0" w:firstColumn="1" w:lastColumn="0" w:noHBand="0" w:noVBand="1"/>
        <w:tblCaption w:val=" Number of people entering Class 10 – Previous Welfare Recipient (annual average over last 3 years)"/>
        <w:tblDescription w:val="This figure contains two area charts. The vertical axis on both charts displays the cumulative number of entrants into the Previous Welfare Recipient class, and ranges from 0 to 14,000. For both charts the horizontal axis shows age ranging from 0 to 110. &#10;&#10;The chart on the left shows the average number of male entrants over the period from June 2014 to June 2016, split by class prior to entry.  The chart on the right shows the average number of female entrants over the period from June 2014 to June 2016, split by class prior to entry. &#10;&#10;Both area charts show the cumulative number of entrants split by class prior to entry to the Previous Welfare Recipient class; 1 Studying, 2 Working Age, 3 Parents, 4 Carers, 5 Disability Support, 6 Pension Age, 7 Non-IS Family, 8 Non-IS Carer, 9 Non-IS Other and 12 Rest of the Australian Population.&#10;&#10;The left chart shows that the majority of male entrants come from Class 2 Working Age, Class 7 Non IS Family and Class 1 Studying. The male entrants profile peaks at age 24 where there were 12,400 entrants.&#10;&#10;The right chart shows that the majority of female entrants also come from Class 2 Working Age, Class 7 Non IS Family and Class 1 Studying; although the amount of entrants from Class 7 Non IS Family is significantly higher than those entrants in the male chart. The female entrants profile also peaks at age 24 with 11,800 entrants, before declining to a trough at age 32 with 4,000 entrants. It then climbs to a peak again at age 44 with 8,400 entrants before steadily declining again.&#10;&#10;Further discussion of the key features shown in the chart can be found in the accompanying text within the report.&#10;"/>
      </w:tblPr>
      <w:tblGrid>
        <w:gridCol w:w="4962"/>
        <w:gridCol w:w="4962"/>
      </w:tblGrid>
      <w:tr w:rsidR="00362C71" w:rsidRPr="00EC326F" w14:paraId="7796B677" w14:textId="77777777" w:rsidTr="001B43B4">
        <w:trPr>
          <w:tblHeader/>
        </w:trPr>
        <w:tc>
          <w:tcPr>
            <w:tcW w:w="4962" w:type="dxa"/>
          </w:tcPr>
          <w:p w14:paraId="4362B2F7" w14:textId="77777777" w:rsidR="00362C71" w:rsidRPr="00EC326F" w:rsidRDefault="00362C71" w:rsidP="00487300">
            <w:pPr>
              <w:pStyle w:val="TableTextSmall"/>
              <w:keepNext/>
              <w:jc w:val="center"/>
              <w:rPr>
                <w:b/>
                <w:i/>
              </w:rPr>
            </w:pPr>
            <w:r w:rsidRPr="00EC326F">
              <w:rPr>
                <w:b/>
                <w:i/>
              </w:rPr>
              <w:t>Males</w:t>
            </w:r>
          </w:p>
        </w:tc>
        <w:tc>
          <w:tcPr>
            <w:tcW w:w="4962" w:type="dxa"/>
          </w:tcPr>
          <w:p w14:paraId="3C788BC4" w14:textId="77777777" w:rsidR="00362C71" w:rsidRPr="00EC326F" w:rsidRDefault="00362C71" w:rsidP="00487300">
            <w:pPr>
              <w:pStyle w:val="TableTextSmall"/>
              <w:keepNext/>
              <w:jc w:val="center"/>
              <w:rPr>
                <w:b/>
                <w:i/>
              </w:rPr>
            </w:pPr>
            <w:r w:rsidRPr="00EC326F">
              <w:rPr>
                <w:b/>
                <w:i/>
              </w:rPr>
              <w:t>Females</w:t>
            </w:r>
          </w:p>
        </w:tc>
      </w:tr>
      <w:tr w:rsidR="00362C71" w:rsidRPr="00EC326F" w14:paraId="5BB8B780" w14:textId="77777777" w:rsidTr="0016127C">
        <w:tc>
          <w:tcPr>
            <w:tcW w:w="4962" w:type="dxa"/>
          </w:tcPr>
          <w:p w14:paraId="6BE2F262" w14:textId="77777777" w:rsidR="00362C71" w:rsidRPr="00EC326F" w:rsidRDefault="00362C71" w:rsidP="00487300">
            <w:pPr>
              <w:pStyle w:val="TableTextSmall"/>
              <w:keepNext/>
              <w:rPr>
                <w:lang w:eastAsia="en-AU"/>
              </w:rPr>
            </w:pPr>
            <w:r w:rsidRPr="00EC326F">
              <w:rPr>
                <w:noProof/>
                <w:lang w:eastAsia="en-AU"/>
              </w:rPr>
              <w:drawing>
                <wp:inline distT="0" distB="0" distL="0" distR="0" wp14:anchorId="006DA5CD" wp14:editId="676E382A">
                  <wp:extent cx="3009900" cy="1816100"/>
                  <wp:effectExtent l="0" t="0" r="0" b="0"/>
                  <wp:docPr id="386" name="Picture 386" descr="This figure contains two area charts. The vertical axis on both charts displays the cumulative number of entrants into the Previous Welfare Recipient class, and ranges from 0 to 14,000. For both charts the horizontal axis shows age ranging from 0 to 110. &#10;&#10;The chart on the left shows the average number of male entrants over the period from June 2014 to June 2016, split by class prior to entry.&#10;&#10;Both area charts show the cumulative number of entrants split by class prior to entry to the Previous Welfare Recipient class; 1 Studying, 2 Working Age, 3 Parents, 4 Carers, 5 Disability Support, 6 Pension Age, 7 Non-IS Family, 8 Non-IS Carer, 9 Non-IS Other and 12 Rest of the Australian Population.&#10;&#10;The left chart shows that the majority of male entrants come from Class 2 Working Age, Class 7 Non IS Family and Class 1 Studying. The male entrants profile peaks at age 24 where there were 12,400 entrants.&#10;&#10;Further discussion of the key features shown in the chart can be found in the accompanying text within the report.&#10;" title=" Number of people entering Class 10 – Previous Welfare Recipient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009900" cy="1816100"/>
                          </a:xfrm>
                          <a:prstGeom prst="rect">
                            <a:avLst/>
                          </a:prstGeom>
                          <a:noFill/>
                          <a:ln>
                            <a:noFill/>
                          </a:ln>
                        </pic:spPr>
                      </pic:pic>
                    </a:graphicData>
                  </a:graphic>
                </wp:inline>
              </w:drawing>
            </w:r>
          </w:p>
        </w:tc>
        <w:tc>
          <w:tcPr>
            <w:tcW w:w="4962" w:type="dxa"/>
          </w:tcPr>
          <w:p w14:paraId="7C797CE1" w14:textId="77777777" w:rsidR="00362C71" w:rsidRPr="00EC326F" w:rsidRDefault="00362C71" w:rsidP="00487300">
            <w:pPr>
              <w:pStyle w:val="TableTextSmall"/>
              <w:keepNext/>
              <w:rPr>
                <w:lang w:eastAsia="en-AU"/>
              </w:rPr>
            </w:pPr>
            <w:r w:rsidRPr="00EC326F">
              <w:rPr>
                <w:noProof/>
                <w:lang w:eastAsia="en-AU"/>
              </w:rPr>
              <w:drawing>
                <wp:inline distT="0" distB="0" distL="0" distR="0" wp14:anchorId="4F1FAF31" wp14:editId="0A6D9A53">
                  <wp:extent cx="3016250" cy="1905000"/>
                  <wp:effectExtent l="0" t="0" r="0" b="0"/>
                  <wp:docPr id="398" name="Picture 398" descr="The chart on the right shows the average number of female entrants over the period from June 2014 to June 2016, split by class prior to entry. &#10;&#10;The right chart shows that the majority of female entrants also come from Class 2 Working Age, Class 7 Non IS Family and Class 1 Studying; although the amount of entrants from Class 7 Non IS Family is significantly higher than those entrants in the male chart. The female entrants profile also peaks at age 24 with 11,800 entrants, before declining to a trough at age 32 with 4,000 entrants. It then climbs to a peak again at age 44 with 8,400 entrants before steadily declining again.&#10;" title=" Number of people entering Class 10 – Previous Welfare Recipient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016250" cy="1905000"/>
                          </a:xfrm>
                          <a:prstGeom prst="rect">
                            <a:avLst/>
                          </a:prstGeom>
                          <a:noFill/>
                          <a:ln>
                            <a:noFill/>
                          </a:ln>
                        </pic:spPr>
                      </pic:pic>
                    </a:graphicData>
                  </a:graphic>
                </wp:inline>
              </w:drawing>
            </w:r>
          </w:p>
        </w:tc>
      </w:tr>
    </w:tbl>
    <w:p w14:paraId="047636F7" w14:textId="462747DE" w:rsidR="003576A6" w:rsidRDefault="003576A6" w:rsidP="0081675B">
      <w:pPr>
        <w:pStyle w:val="PwCNormal"/>
        <w:numPr>
          <w:ilvl w:val="0"/>
          <w:numId w:val="1"/>
        </w:numPr>
        <w:jc w:val="center"/>
      </w:pPr>
      <w:r w:rsidRPr="00EC326F">
        <w:rPr>
          <w:noProof/>
          <w:lang w:eastAsia="en-AU"/>
        </w:rPr>
        <w:drawing>
          <wp:inline distT="0" distB="0" distL="0" distR="0" wp14:anchorId="6BFCFAF2" wp14:editId="6333F3F2">
            <wp:extent cx="5385600" cy="468000"/>
            <wp:effectExtent l="0" t="0" r="0" b="8255"/>
            <wp:docPr id="403" name="Picture 403" descr="Class key: studying, working age, parents, carers, disability support, pension age, non-income support family, non-income support carer, non-income support other, previous welfare recipient, rest of the Australian population and dead. &#10;" title="Class Key for Fig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104ABF8B" w14:textId="67515337" w:rsidR="00362C71" w:rsidRPr="002A0A1A" w:rsidRDefault="00362C71" w:rsidP="00362C71">
      <w:pPr>
        <w:pStyle w:val="PwCNormal"/>
        <w:numPr>
          <w:ilvl w:val="0"/>
          <w:numId w:val="1"/>
        </w:numPr>
      </w:pPr>
      <w:r w:rsidRPr="00EC326F">
        <w:t xml:space="preserve">We can see that people usually exit the current welfare recipient classes into this class from class </w:t>
      </w:r>
      <w:r w:rsidR="001C6B01">
        <w:t>‘</w:t>
      </w:r>
      <w:r w:rsidRPr="00EC326F">
        <w:t>1 Studying</w:t>
      </w:r>
      <w:r w:rsidR="001C6B01">
        <w:t>’</w:t>
      </w:r>
      <w:r w:rsidRPr="00EC326F">
        <w:t xml:space="preserve">, class </w:t>
      </w:r>
      <w:r w:rsidR="001C6B01">
        <w:t>‘</w:t>
      </w:r>
      <w:r w:rsidRPr="00EC326F">
        <w:t>2 Working Age</w:t>
      </w:r>
      <w:r w:rsidR="001C6B01">
        <w:t>’</w:t>
      </w:r>
      <w:r w:rsidRPr="00EC326F">
        <w:t xml:space="preserve"> and class </w:t>
      </w:r>
      <w:r w:rsidR="001C6B01">
        <w:t>‘</w:t>
      </w:r>
      <w:r w:rsidRPr="00EC326F">
        <w:t>7 Non IS Family</w:t>
      </w:r>
      <w:r w:rsidR="001C6B01">
        <w:t>’</w:t>
      </w:r>
      <w:r w:rsidRPr="00EC326F">
        <w:t xml:space="preserve">. People in other classes are more likely to either not exit </w:t>
      </w:r>
      <w:r w:rsidR="005D17E7" w:rsidRPr="00EC326F">
        <w:t>the welfare system (other than through death)</w:t>
      </w:r>
      <w:r w:rsidRPr="00EC326F">
        <w:t>, or to transition to another class prior to exiting.</w:t>
      </w:r>
    </w:p>
    <w:p w14:paraId="1EA2E667" w14:textId="77777777" w:rsidR="00362C71" w:rsidRPr="00EC326F" w:rsidRDefault="005D17E7" w:rsidP="00362C71">
      <w:pPr>
        <w:pStyle w:val="Minorheading"/>
      </w:pPr>
      <w:r w:rsidRPr="00EC326F">
        <w:t>Movements out of this class</w:t>
      </w:r>
    </w:p>
    <w:p w14:paraId="6A6DCC04" w14:textId="77777777" w:rsidR="00362C71" w:rsidRPr="00EC326F" w:rsidRDefault="00362C71" w:rsidP="00362C71">
      <w:pPr>
        <w:pStyle w:val="PwCNormal"/>
        <w:numPr>
          <w:ilvl w:val="0"/>
          <w:numId w:val="1"/>
        </w:numPr>
      </w:pPr>
      <w:r w:rsidRPr="00EC326F">
        <w:t xml:space="preserve">Over the last 3 years, an average of 293,600 people (8%) per annum have </w:t>
      </w:r>
      <w:r w:rsidR="005D17E7" w:rsidRPr="00EC326F">
        <w:t xml:space="preserve">moved out of this class. These are predominantly re-entries into the welfare system, although a small proportion of people die and move to class 11. </w:t>
      </w:r>
      <w:r w:rsidRPr="00EC326F">
        <w:t xml:space="preserve">The following charts show the breakdown of this by age, gender and destination class. </w:t>
      </w:r>
    </w:p>
    <w:p w14:paraId="1138A40D" w14:textId="77777777" w:rsidR="00362C71" w:rsidRPr="00EC326F" w:rsidRDefault="00362C71" w:rsidP="00362C71">
      <w:pPr>
        <w:pStyle w:val="Caption"/>
      </w:pPr>
      <w:r w:rsidRPr="00EC326F">
        <w:t xml:space="preserve">Figure </w:t>
      </w:r>
      <w:fldSimple w:instr=" SEQ Figure \* ARABIC ">
        <w:r w:rsidR="007A42DF">
          <w:rPr>
            <w:noProof/>
          </w:rPr>
          <w:t>87</w:t>
        </w:r>
      </w:fldSimple>
      <w:r w:rsidRPr="00EC326F">
        <w:t xml:space="preserve">: Number of people </w:t>
      </w:r>
      <w:r w:rsidR="005D17E7" w:rsidRPr="00EC326F">
        <w:t xml:space="preserve">leaving </w:t>
      </w:r>
      <w:r w:rsidRPr="00EC326F">
        <w:t>Class 10 – Previous Welfare Recipient (annual average over last 3 years)</w:t>
      </w:r>
    </w:p>
    <w:tbl>
      <w:tblPr>
        <w:tblW w:w="4922" w:type="pct"/>
        <w:tblLayout w:type="fixed"/>
        <w:tblLook w:val="04A0" w:firstRow="1" w:lastRow="0" w:firstColumn="1" w:lastColumn="0" w:noHBand="0" w:noVBand="1"/>
        <w:tblCaption w:val="Number of people leaving Class 10 – Previous Welfare Recipient (annual average over last 3 years)"/>
        <w:tblDescription w:val="This text box contains two charts and a legend."/>
      </w:tblPr>
      <w:tblGrid>
        <w:gridCol w:w="4962"/>
        <w:gridCol w:w="4962"/>
      </w:tblGrid>
      <w:tr w:rsidR="00362C71" w:rsidRPr="00EC326F" w14:paraId="0C9E683C" w14:textId="77777777" w:rsidTr="001B43B4">
        <w:trPr>
          <w:tblHeader/>
        </w:trPr>
        <w:tc>
          <w:tcPr>
            <w:tcW w:w="4962" w:type="dxa"/>
          </w:tcPr>
          <w:p w14:paraId="44FA3E18" w14:textId="77777777" w:rsidR="00362C71" w:rsidRPr="00EC326F" w:rsidRDefault="00362C71" w:rsidP="00487300">
            <w:pPr>
              <w:pStyle w:val="TableTextSmall"/>
              <w:keepNext/>
              <w:jc w:val="center"/>
              <w:rPr>
                <w:b/>
                <w:i/>
              </w:rPr>
            </w:pPr>
            <w:r w:rsidRPr="00EC326F">
              <w:rPr>
                <w:b/>
                <w:i/>
              </w:rPr>
              <w:t>Males</w:t>
            </w:r>
          </w:p>
        </w:tc>
        <w:tc>
          <w:tcPr>
            <w:tcW w:w="4962" w:type="dxa"/>
          </w:tcPr>
          <w:p w14:paraId="4F2D0179" w14:textId="77777777" w:rsidR="00362C71" w:rsidRPr="00EC326F" w:rsidRDefault="00362C71" w:rsidP="00487300">
            <w:pPr>
              <w:pStyle w:val="TableTextSmall"/>
              <w:keepNext/>
              <w:jc w:val="center"/>
              <w:rPr>
                <w:b/>
                <w:i/>
              </w:rPr>
            </w:pPr>
            <w:r w:rsidRPr="00EC326F">
              <w:rPr>
                <w:b/>
                <w:i/>
              </w:rPr>
              <w:t>Females</w:t>
            </w:r>
          </w:p>
        </w:tc>
      </w:tr>
      <w:tr w:rsidR="00362C71" w:rsidRPr="00EC326F" w14:paraId="3230E15B" w14:textId="77777777" w:rsidTr="0016127C">
        <w:tc>
          <w:tcPr>
            <w:tcW w:w="4962" w:type="dxa"/>
          </w:tcPr>
          <w:p w14:paraId="34118124" w14:textId="77777777" w:rsidR="00362C71" w:rsidRPr="00EC326F" w:rsidRDefault="00362C71" w:rsidP="00487300">
            <w:pPr>
              <w:pStyle w:val="TableTextSmall"/>
              <w:keepNext/>
              <w:rPr>
                <w:lang w:eastAsia="en-AU"/>
              </w:rPr>
            </w:pPr>
            <w:r w:rsidRPr="00EC326F">
              <w:rPr>
                <w:noProof/>
                <w:lang w:eastAsia="en-AU"/>
              </w:rPr>
              <w:drawing>
                <wp:inline distT="0" distB="0" distL="0" distR="0" wp14:anchorId="67C2B481" wp14:editId="71BD8A54">
                  <wp:extent cx="3009900" cy="1816100"/>
                  <wp:effectExtent l="0" t="0" r="0" b="0"/>
                  <wp:docPr id="399" name="Picture 399" descr="This figure contains two area charts showing the cumulative number of exits from the Previous Welfare Recipient class by age. The age profile of male and female exits is shown separately. For both charts the horizontal axis shows age at the start of the year ranging from 0 to 105 and the vertical axis shows the cumulative number of people exiting ranging from 0 to 8,000.&#10;&#10;The left hand chart shows the average number of males exiting the class over the period from June 2014 to June 2016, by age.&#10;&#10;Both area charts show the cumulative number of people who exited the Previous Welfare Recipient class split by class they subsequently transition to. These classes include; 1 Studying, 2 Working Age, 3 Parents, 4 Carers, 5 Disability Support, 6 Pension Age, 7 Non-IS Family, 8 Non-IS Carer, 9 Non-IS Other, 11 Dead and 12 Rest of the Australian Population.&#10;&#10;The left chart shows that the number of male exits increases with age to a peak of 5,000 exits at age 30, then declining to approximately 1,300 exits at age 64. At age 65 there is a peak of 5,600 exits. After age 65, the number of exits decreases with age. The majority of males aged less than 65 move to Class 2 Working Age or Class 9 Non IS Other. Most males aged 65+ and older move into Class 6 Pension Age. &#10;&#10;Further discussion of the key features shown in the chart can be found in the accompanying text within the report.&#10;" title=" Number of people leaving Class 10 – Previous Welfare Recipient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009900" cy="1816100"/>
                          </a:xfrm>
                          <a:prstGeom prst="rect">
                            <a:avLst/>
                          </a:prstGeom>
                          <a:noFill/>
                          <a:ln>
                            <a:noFill/>
                          </a:ln>
                        </pic:spPr>
                      </pic:pic>
                    </a:graphicData>
                  </a:graphic>
                </wp:inline>
              </w:drawing>
            </w:r>
          </w:p>
        </w:tc>
        <w:tc>
          <w:tcPr>
            <w:tcW w:w="4962" w:type="dxa"/>
          </w:tcPr>
          <w:p w14:paraId="1E941686" w14:textId="77777777" w:rsidR="00362C71" w:rsidRPr="00EC326F" w:rsidRDefault="00362C71" w:rsidP="00487300">
            <w:pPr>
              <w:pStyle w:val="TableTextSmall"/>
              <w:keepNext/>
              <w:rPr>
                <w:lang w:eastAsia="en-AU"/>
              </w:rPr>
            </w:pPr>
            <w:r w:rsidRPr="00EC326F">
              <w:rPr>
                <w:noProof/>
                <w:lang w:eastAsia="en-AU"/>
              </w:rPr>
              <w:drawing>
                <wp:inline distT="0" distB="0" distL="0" distR="0" wp14:anchorId="43104B4A" wp14:editId="0F70A7A3">
                  <wp:extent cx="3016250" cy="1905000"/>
                  <wp:effectExtent l="0" t="0" r="0" b="0"/>
                  <wp:docPr id="400" name="Picture 400" descr="The right hand chart shows the average number of females exiting the class over the period from June 2014 to June 2016, by age.&#10;&#10;The right chart shows that the number of female exits increases with age to a peak of 5,200 exits at age 30, then declines to approximately 1,900 exits at age 40.Between ages 40 and 60, the number of exits fluctuates around 1,900 at each age. After age 64, the number of exits falls with age briefly before a peak of 7,100 exits at age 65. After age 65, the number of exits decreases with age.The majority of females aged less than 65 move to Class 2 Working Age or Class 9 Non IS Other. Nearly all females aged 65 and over move into Class 6 Pension Age.&#10;" title=" Number of people leaving Class 10 – Previous Welfare Recipient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16250" cy="1905000"/>
                          </a:xfrm>
                          <a:prstGeom prst="rect">
                            <a:avLst/>
                          </a:prstGeom>
                          <a:noFill/>
                          <a:ln>
                            <a:noFill/>
                          </a:ln>
                        </pic:spPr>
                      </pic:pic>
                    </a:graphicData>
                  </a:graphic>
                </wp:inline>
              </w:drawing>
            </w:r>
          </w:p>
        </w:tc>
      </w:tr>
    </w:tbl>
    <w:p w14:paraId="25DCE2E2" w14:textId="25F8AECD" w:rsidR="003576A6" w:rsidRDefault="003576A6" w:rsidP="0081675B">
      <w:pPr>
        <w:pStyle w:val="PwCNormal"/>
        <w:numPr>
          <w:ilvl w:val="0"/>
          <w:numId w:val="1"/>
        </w:numPr>
        <w:jc w:val="center"/>
      </w:pPr>
      <w:r w:rsidRPr="00EC326F">
        <w:rPr>
          <w:noProof/>
          <w:lang w:eastAsia="en-AU"/>
        </w:rPr>
        <w:drawing>
          <wp:inline distT="0" distB="0" distL="0" distR="0" wp14:anchorId="5056C461" wp14:editId="2BB88D87">
            <wp:extent cx="5385600" cy="468000"/>
            <wp:effectExtent l="0" t="0" r="0" b="8255"/>
            <wp:docPr id="407" name="Picture 407" descr="Class key: studying, working age, parents, carers, disability support, pension age, non-income support family, non-income support carer, non-income support other, previous welfare recipient, rest of the Australian population and dead. &#10;" title="Class Key for Fig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4C1E13FC" w14:textId="6B78C07D" w:rsidR="00362C71" w:rsidRPr="00EC326F" w:rsidRDefault="00362C71" w:rsidP="00362C71">
      <w:pPr>
        <w:pStyle w:val="PwCNormal"/>
        <w:numPr>
          <w:ilvl w:val="0"/>
          <w:numId w:val="1"/>
        </w:numPr>
      </w:pPr>
      <w:r w:rsidRPr="00EC326F">
        <w:t xml:space="preserve">The main re-entries from this class are through movements into class </w:t>
      </w:r>
      <w:r w:rsidR="001C6B01">
        <w:t>‘</w:t>
      </w:r>
      <w:r w:rsidRPr="00EC326F">
        <w:t>1 Studying</w:t>
      </w:r>
      <w:r w:rsidR="005D17E7" w:rsidRPr="00EC326F">
        <w:t>’</w:t>
      </w:r>
      <w:r w:rsidRPr="00EC326F">
        <w:t xml:space="preserve">, </w:t>
      </w:r>
      <w:r w:rsidR="001C6B01">
        <w:t>‘</w:t>
      </w:r>
      <w:r w:rsidRPr="00EC326F">
        <w:t>2 Working Age</w:t>
      </w:r>
      <w:r w:rsidR="005D17E7" w:rsidRPr="00EC326F">
        <w:t>’</w:t>
      </w:r>
      <w:r w:rsidRPr="00EC326F">
        <w:t xml:space="preserve">, </w:t>
      </w:r>
      <w:r w:rsidR="001C6B01">
        <w:t>‘</w:t>
      </w:r>
      <w:r w:rsidRPr="00EC326F">
        <w:t>6 Pension Age</w:t>
      </w:r>
      <w:r w:rsidR="005D17E7" w:rsidRPr="00EC326F">
        <w:t>’</w:t>
      </w:r>
      <w:r w:rsidRPr="00EC326F">
        <w:t xml:space="preserve"> and </w:t>
      </w:r>
      <w:r w:rsidR="001C6B01">
        <w:t>‘</w:t>
      </w:r>
      <w:r w:rsidRPr="00EC326F">
        <w:t>9 Non IS Other</w:t>
      </w:r>
      <w:r w:rsidR="005D17E7" w:rsidRPr="00EC326F">
        <w:t xml:space="preserve">’ (most of those re-entering into class 9 subsequently transition to class </w:t>
      </w:r>
      <w:r w:rsidR="001C6B01">
        <w:t>‘</w:t>
      </w:r>
      <w:r w:rsidR="005D17E7" w:rsidRPr="00EC326F">
        <w:t>7 Non IS Family’)</w:t>
      </w:r>
      <w:r w:rsidRPr="00EC326F">
        <w:t>.</w:t>
      </w:r>
    </w:p>
    <w:p w14:paraId="38F1904D" w14:textId="77777777" w:rsidR="00362C71" w:rsidRPr="00EC326F" w:rsidRDefault="00362C71" w:rsidP="00362C71">
      <w:pPr>
        <w:pStyle w:val="Minorheading"/>
        <w:numPr>
          <w:ilvl w:val="0"/>
          <w:numId w:val="1"/>
        </w:numPr>
      </w:pPr>
      <w:r w:rsidRPr="00EC326F">
        <w:t>Payments received</w:t>
      </w:r>
    </w:p>
    <w:p w14:paraId="2639A713" w14:textId="77777777" w:rsidR="00362C71" w:rsidRPr="00EC326F" w:rsidRDefault="00362C71" w:rsidP="00362C71">
      <w:pPr>
        <w:pStyle w:val="PwCNormal"/>
        <w:numPr>
          <w:ilvl w:val="0"/>
          <w:numId w:val="0"/>
        </w:numPr>
      </w:pPr>
      <w:r w:rsidRPr="00EC326F">
        <w:t xml:space="preserve">No payments are received while people in this class. Payments may be received by this group upon re-entry into an active welfare recipients and these are covered in </w:t>
      </w:r>
      <w:r w:rsidR="0011562A">
        <w:t>section</w:t>
      </w:r>
      <w:r w:rsidRPr="00EC326F">
        <w:t xml:space="preserve">s </w:t>
      </w:r>
      <w:r w:rsidR="000A3986" w:rsidRPr="00EC326F">
        <w:fldChar w:fldCharType="begin"/>
      </w:r>
      <w:r w:rsidR="000A3986" w:rsidRPr="00EC326F">
        <w:instrText xml:space="preserve"> REF _Ref437277121 \r \h </w:instrText>
      </w:r>
      <w:r w:rsidR="000A3986" w:rsidRPr="00EC326F">
        <w:fldChar w:fldCharType="separate"/>
      </w:r>
      <w:r w:rsidR="007A42DF">
        <w:t>8</w:t>
      </w:r>
      <w:r w:rsidR="000A3986" w:rsidRPr="00EC326F">
        <w:fldChar w:fldCharType="end"/>
      </w:r>
      <w:r w:rsidR="000A3986" w:rsidRPr="00EC326F">
        <w:t xml:space="preserve"> and </w:t>
      </w:r>
      <w:r w:rsidR="000A3986" w:rsidRPr="00EC326F">
        <w:fldChar w:fldCharType="begin"/>
      </w:r>
      <w:r w:rsidR="000A3986" w:rsidRPr="00EC326F">
        <w:instrText xml:space="preserve"> REF _Ref466373125 \r \h </w:instrText>
      </w:r>
      <w:r w:rsidR="000A3986" w:rsidRPr="00EC326F">
        <w:fldChar w:fldCharType="separate"/>
      </w:r>
      <w:r w:rsidR="007A42DF">
        <w:t>9</w:t>
      </w:r>
      <w:r w:rsidR="000A3986" w:rsidRPr="00EC326F">
        <w:fldChar w:fldCharType="end"/>
      </w:r>
      <w:r w:rsidRPr="00EC326F">
        <w:t>.</w:t>
      </w:r>
    </w:p>
    <w:p w14:paraId="0CCB5A39" w14:textId="77777777" w:rsidR="00362C71" w:rsidRPr="00EC326F" w:rsidRDefault="00362C71" w:rsidP="00362C71">
      <w:pPr>
        <w:pStyle w:val="Heading4"/>
      </w:pPr>
      <w:r w:rsidRPr="00EC326F">
        <w:lastRenderedPageBreak/>
        <w:t>What have we taken into account in fitting assumptions?</w:t>
      </w:r>
    </w:p>
    <w:p w14:paraId="7050F9C5" w14:textId="77777777" w:rsidR="00362C71" w:rsidRPr="00EC326F" w:rsidRDefault="00362C71" w:rsidP="001A4479">
      <w:pPr>
        <w:pStyle w:val="PwCNormal"/>
        <w:numPr>
          <w:ilvl w:val="0"/>
          <w:numId w:val="37"/>
        </w:numPr>
      </w:pPr>
      <w:r w:rsidRPr="00EC326F">
        <w:t>We have adopted class movement</w:t>
      </w:r>
      <w:r w:rsidR="00C10EE3" w:rsidRPr="00EC326F">
        <w:t xml:space="preserve"> </w:t>
      </w:r>
      <w:r w:rsidR="00FC49F8" w:rsidRPr="00EC326F">
        <w:t xml:space="preserve">(new entrant) </w:t>
      </w:r>
      <w:r w:rsidRPr="00EC326F">
        <w:t>assumptions through consideration of the risk factors that influence the experience.</w:t>
      </w:r>
      <w:r w:rsidR="00C10EE3" w:rsidRPr="00EC326F">
        <w:t xml:space="preserve"> There are no payment utilisation or size assumptions </w:t>
      </w:r>
      <w:r w:rsidR="00BE29BE" w:rsidRPr="00EC326F">
        <w:t xml:space="preserve">applicable whilst people are </w:t>
      </w:r>
      <w:r w:rsidR="00C10EE3" w:rsidRPr="00EC326F">
        <w:t>in this class as it only includes non welfare recipients.</w:t>
      </w:r>
    </w:p>
    <w:p w14:paraId="6D8AFC31" w14:textId="77777777" w:rsidR="00362C71" w:rsidRPr="00EC326F" w:rsidRDefault="00362C71" w:rsidP="00362C71">
      <w:pPr>
        <w:pStyle w:val="Minorheading"/>
      </w:pPr>
      <w:r w:rsidRPr="00EC326F">
        <w:t>Class movement assumptions</w:t>
      </w:r>
    </w:p>
    <w:p w14:paraId="07F9C6EF" w14:textId="37590B69" w:rsidR="00362C71" w:rsidRPr="00EC326F" w:rsidRDefault="00362C71" w:rsidP="001A4479">
      <w:pPr>
        <w:pStyle w:val="PwCNormal"/>
        <w:numPr>
          <w:ilvl w:val="0"/>
          <w:numId w:val="37"/>
        </w:numPr>
      </w:pPr>
      <w:r w:rsidRPr="00EC326F">
        <w:t xml:space="preserve">In setting the class movement assumptions we have observed a recent decrease in the proportion of individuals who re-enter from this class into the active welfare recipient classes. In particular we have seen decreases in entries into class </w:t>
      </w:r>
      <w:r w:rsidR="001C6B01">
        <w:t>‘</w:t>
      </w:r>
      <w:r w:rsidRPr="00EC326F">
        <w:t>2 Working Age</w:t>
      </w:r>
      <w:r w:rsidR="001C6B01">
        <w:t>’</w:t>
      </w:r>
      <w:r w:rsidRPr="00EC326F">
        <w:t>.</w:t>
      </w:r>
    </w:p>
    <w:p w14:paraId="14517E4B" w14:textId="77777777" w:rsidR="00362C71" w:rsidRPr="00EC326F" w:rsidRDefault="00362C71" w:rsidP="001A4479">
      <w:pPr>
        <w:pStyle w:val="PwCNormal"/>
        <w:numPr>
          <w:ilvl w:val="0"/>
          <w:numId w:val="37"/>
        </w:numPr>
      </w:pPr>
      <w:r w:rsidRPr="00EC326F">
        <w:t>For the</w:t>
      </w:r>
      <w:r w:rsidR="00BE29BE" w:rsidRPr="00EC326F">
        <w:t>se</w:t>
      </w:r>
      <w:r w:rsidRPr="00EC326F">
        <w:t xml:space="preserve"> assumptions, we have considered combination of factors, both those relating to the recipient (e</w:t>
      </w:r>
      <w:r w:rsidR="00FC49F8" w:rsidRPr="00EC326F">
        <w:t>.</w:t>
      </w:r>
      <w:r w:rsidRPr="00EC326F">
        <w:t>g. age, gender, education level, partnering status, number of dependent children, and age of youngest child) and those relating to how the recipient interacts with the system (e</w:t>
      </w:r>
      <w:r w:rsidR="00FC49F8" w:rsidRPr="00EC326F">
        <w:t>.</w:t>
      </w:r>
      <w:r w:rsidRPr="00EC326F">
        <w:t xml:space="preserve">g. when did they last receive a welfare payment, previous class). </w:t>
      </w:r>
    </w:p>
    <w:p w14:paraId="1566B0F5" w14:textId="77777777" w:rsidR="00362C71" w:rsidRPr="00EC326F" w:rsidRDefault="00362C71" w:rsidP="001A4479">
      <w:pPr>
        <w:pStyle w:val="PwCNormal"/>
        <w:numPr>
          <w:ilvl w:val="0"/>
          <w:numId w:val="37"/>
        </w:numPr>
      </w:pPr>
      <w:r w:rsidRPr="00EC326F">
        <w:t>Recent welfare history is particularly predictive and people who exited into class 10 recently are generally more likely to re-enter again than older exits. People are also relatively more likely to re-enter into a welfare class that they have previously utilised, rather than a different welfare class.</w:t>
      </w:r>
    </w:p>
    <w:p w14:paraId="1F9F52D7" w14:textId="77777777" w:rsidR="00362C71" w:rsidRPr="00EC326F" w:rsidRDefault="00362C71" w:rsidP="001A4479">
      <w:pPr>
        <w:pStyle w:val="PwCNormal"/>
        <w:numPr>
          <w:ilvl w:val="0"/>
          <w:numId w:val="37"/>
        </w:numPr>
      </w:pPr>
      <w:r w:rsidRPr="00EC326F">
        <w:t xml:space="preserve">As would be expected, having a young child is very predictive of entering into an active welfare class. Highest level of education attained was also found to be predictive and those who have attained a level of education of Year 12 level </w:t>
      </w:r>
      <w:r w:rsidR="00C10EE3" w:rsidRPr="00EC326F">
        <w:t xml:space="preserve">or below </w:t>
      </w:r>
      <w:r w:rsidRPr="00EC326F">
        <w:t xml:space="preserve">are typically more likely to enter the active welfare classes. </w:t>
      </w:r>
    </w:p>
    <w:p w14:paraId="3E39BF8C" w14:textId="77777777" w:rsidR="00362C71" w:rsidRPr="00EC326F" w:rsidRDefault="00362C71" w:rsidP="00362C71">
      <w:pPr>
        <w:pStyle w:val="Heading4"/>
      </w:pPr>
      <w:r w:rsidRPr="00EC326F">
        <w:t>What does the model show for people currently in this class?</w:t>
      </w:r>
    </w:p>
    <w:p w14:paraId="4876359A" w14:textId="77777777" w:rsidR="00362C71" w:rsidRPr="00EC326F" w:rsidRDefault="00362C71" w:rsidP="00362C71">
      <w:pPr>
        <w:pStyle w:val="Minorheading"/>
      </w:pPr>
      <w:r w:rsidRPr="00EC326F">
        <w:t>Lifetime costs</w:t>
      </w:r>
    </w:p>
    <w:p w14:paraId="79F32351" w14:textId="4D65DD82" w:rsidR="00362C71" w:rsidRPr="00EC326F" w:rsidRDefault="00362C71" w:rsidP="001A4479">
      <w:pPr>
        <w:pStyle w:val="PwCNormal"/>
        <w:numPr>
          <w:ilvl w:val="0"/>
          <w:numId w:val="37"/>
        </w:numPr>
      </w:pPr>
      <w:r w:rsidRPr="00EC326F">
        <w:t xml:space="preserve">We estimated the lifetime cost for the people in this class to be </w:t>
      </w:r>
      <w:r w:rsidRPr="00EC326F">
        <w:rPr>
          <w:b/>
        </w:rPr>
        <w:t>$65</w:t>
      </w:r>
      <w:r w:rsidR="00D101C0">
        <w:rPr>
          <w:b/>
        </w:rPr>
        <w:t>3</w:t>
      </w:r>
      <w:r w:rsidRPr="00EC326F">
        <w:rPr>
          <w:b/>
        </w:rPr>
        <w:t>bn</w:t>
      </w:r>
      <w:r w:rsidRPr="00EC326F">
        <w:t xml:space="preserve"> (or </w:t>
      </w:r>
      <w:r w:rsidRPr="00EC326F">
        <w:rPr>
          <w:b/>
        </w:rPr>
        <w:t>14.</w:t>
      </w:r>
      <w:r w:rsidR="00D101C0">
        <w:rPr>
          <w:b/>
        </w:rPr>
        <w:t>5</w:t>
      </w:r>
      <w:r w:rsidRPr="00EC326F">
        <w:rPr>
          <w:b/>
        </w:rPr>
        <w:t>%</w:t>
      </w:r>
      <w:r w:rsidRPr="00EC326F">
        <w:t xml:space="preserve"> of the total lifetime cost). The average lifetime cost for people in this class is </w:t>
      </w:r>
      <w:r w:rsidRPr="00EC326F">
        <w:rPr>
          <w:b/>
        </w:rPr>
        <w:t>$156,000</w:t>
      </w:r>
      <w:r w:rsidRPr="00EC326F">
        <w:t>. The variation in average lifetime cost by age and gender is illustrated in the figure below.</w:t>
      </w:r>
    </w:p>
    <w:p w14:paraId="7F9EDA7A" w14:textId="77777777" w:rsidR="00362C71" w:rsidRPr="00EC326F" w:rsidRDefault="00362C71" w:rsidP="00362C71">
      <w:pPr>
        <w:pStyle w:val="Caption"/>
      </w:pPr>
      <w:r w:rsidRPr="00EC326F">
        <w:t xml:space="preserve">Figure </w:t>
      </w:r>
      <w:fldSimple w:instr=" SEQ Figure \* ARABIC ">
        <w:r w:rsidR="007A42DF">
          <w:rPr>
            <w:noProof/>
          </w:rPr>
          <w:t>88</w:t>
        </w:r>
      </w:fldSimple>
      <w:r w:rsidRPr="00EC326F">
        <w:t>: Average lifetime cost by age and gender (Class 10)</w:t>
      </w:r>
    </w:p>
    <w:tbl>
      <w:tblPr>
        <w:tblStyle w:val="Tables-APBase"/>
        <w:tblW w:w="422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Average lifetime cost by age and gender (Class 10)"/>
        <w:tblDescription w:val="This figure is a horizontal bar chart showing average lifetime cost by age for males and females separately. The vertical axis shows age with the data shown ranging from 10 to 99.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4,187,000 individuals who were in the previous recipients class at 30 June 2016. &#10;&#10;The average lifetime cost of males is relatively stable at approximately $140,000 across ages 20 to 65. Males aged 10 to 20 have a higher average lifetime cost (peaking at approximately $210,000 for people aged 15) due to higher working age and disability support pension components.&#10;&#10;The average lifetime cost of females increases with age from approximately $390,000 at age 12 to $410,000 at age 15. The substantially higher average lifetime cost relative to males is due to higher family components. After age 15, there is a steady reduction in average lifetime cost with age to approximately $160,000 at age 50. This is slightly lower than males of the same age and is due to lower working age and disability support pension components. The average lifetime cost increases with age from ages 55 to 65 to approximately $200,000 at age 65.&#10;&#10;For both males and females aged over 65, there is a substantial reduction in average lifetime cost by age. People aged 70 have an average lifetime cost of approximately $50,000 and people aged 80 have an average lifetime cost of approximately $10,000.&#10;&#10;The features shown in the chart are discussed further in the accompanying text within the report.&#10;"/>
      </w:tblPr>
      <w:tblGrid>
        <w:gridCol w:w="6096"/>
        <w:gridCol w:w="2422"/>
      </w:tblGrid>
      <w:tr w:rsidR="00362C71" w:rsidRPr="00EC326F" w14:paraId="5BEC9E7E" w14:textId="77777777" w:rsidTr="009C6553">
        <w:trPr>
          <w:tblHeader/>
        </w:trPr>
        <w:tc>
          <w:tcPr>
            <w:tcW w:w="6096" w:type="dxa"/>
            <w:hideMark/>
          </w:tcPr>
          <w:p w14:paraId="0C30647F" w14:textId="57EFB405" w:rsidR="00362C71" w:rsidRPr="00EC326F" w:rsidRDefault="002336D0" w:rsidP="00487300">
            <w:pPr>
              <w:pStyle w:val="TableTextSmall"/>
              <w:keepNext/>
              <w:rPr>
                <w:lang w:eastAsia="en-AU"/>
              </w:rPr>
            </w:pPr>
            <w:r w:rsidRPr="002336D0">
              <w:rPr>
                <w:noProof/>
                <w:lang w:eastAsia="en-AU"/>
              </w:rPr>
              <w:drawing>
                <wp:inline distT="0" distB="0" distL="0" distR="0" wp14:anchorId="292E860F" wp14:editId="14BA97D0">
                  <wp:extent cx="3355639" cy="2160000"/>
                  <wp:effectExtent l="0" t="0" r="0" b="0"/>
                  <wp:docPr id="1078" name="Picture 13" descr="This figure is a horizontal bar chart showing average lifetime cost by age for males and females separately. The vertical axis shows age with the data shown ranging from 10 to 99. The horizontal axis shows the average lifetime cost with the data shown ranging from $0 to $7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4,187,000 individuals who were in the previous recipients class at 30 June 2016. &#10;&#10;The average lifetime cost of males is relatively stable at approximately $140,000 across ages 20 to 65. Males aged 10 to 20 have a higher average lifetime cost (peaking at approximately $210,000 for people aged 15) due to higher working age and disability support pension components.&#10;&#10;The average lifetime cost of females increases with age from approximately $390,000 at age 12 to $410,000 at age 15. The substantially higher average lifetime cost relative to males is due to higher family components. After age 15, there is a steady reduction in average lifetime cost with age to approximately $160,000 at age 50. This is slightly lower than males of the same age and is due to lower working age and disability support pension components. The average lifetime cost increases with age from ages 55 to 65 to approximately $200,000 at age 65.&#10;&#10;For both males and females aged over 65, there is a substantial reduction in average lifetime cost by age. People aged 70 have an average lifetime cost of approximately $50,000 and people aged 80 have an average lifetime cost of approximately $10,000.&#10;&#10;The features shown in the chart are discussed further in the accompanying text within the report.&#10;" title=" Average lifetime cost by age and gender (Clas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68"/>
                          <a:stretch>
                            <a:fillRect/>
                          </a:stretch>
                        </pic:blipFill>
                        <pic:spPr>
                          <a:xfrm>
                            <a:off x="0" y="0"/>
                            <a:ext cx="3355639" cy="2160000"/>
                          </a:xfrm>
                          <a:prstGeom prst="rect">
                            <a:avLst/>
                          </a:prstGeom>
                        </pic:spPr>
                      </pic:pic>
                    </a:graphicData>
                  </a:graphic>
                </wp:inline>
              </w:drawing>
            </w:r>
          </w:p>
        </w:tc>
        <w:tc>
          <w:tcPr>
            <w:tcW w:w="2422" w:type="dxa"/>
          </w:tcPr>
          <w:p w14:paraId="378C1E73" w14:textId="77777777" w:rsidR="00362C71" w:rsidRPr="00EC326F" w:rsidRDefault="00362C71" w:rsidP="00487300">
            <w:pPr>
              <w:pStyle w:val="TableTextSmall"/>
              <w:keepNext/>
              <w:rPr>
                <w:lang w:eastAsia="en-AU"/>
              </w:rPr>
            </w:pPr>
          </w:p>
          <w:p w14:paraId="1578F21A" w14:textId="77777777" w:rsidR="00362C71" w:rsidRPr="00EC326F" w:rsidRDefault="00362C71" w:rsidP="00487300">
            <w:pPr>
              <w:pStyle w:val="TableTextSmall"/>
              <w:keepNext/>
              <w:rPr>
                <w:lang w:eastAsia="en-AU"/>
              </w:rPr>
            </w:pPr>
            <w:r w:rsidRPr="00EC326F">
              <w:rPr>
                <w:noProof/>
                <w:lang w:eastAsia="en-AU"/>
              </w:rPr>
              <w:drawing>
                <wp:inline distT="0" distB="0" distL="0" distR="0" wp14:anchorId="4850C142" wp14:editId="48C76675">
                  <wp:extent cx="1075055" cy="1608455"/>
                  <wp:effectExtent l="0" t="0" r="0" b="0"/>
                  <wp:docPr id="402" name="Picture 402"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5055" cy="1608455"/>
                          </a:xfrm>
                          <a:prstGeom prst="rect">
                            <a:avLst/>
                          </a:prstGeom>
                          <a:noFill/>
                          <a:ln>
                            <a:noFill/>
                          </a:ln>
                        </pic:spPr>
                      </pic:pic>
                    </a:graphicData>
                  </a:graphic>
                </wp:inline>
              </w:drawing>
            </w:r>
          </w:p>
        </w:tc>
      </w:tr>
    </w:tbl>
    <w:p w14:paraId="1F8939D1" w14:textId="77777777" w:rsidR="00362C71" w:rsidRPr="00EC326F" w:rsidRDefault="00362C71" w:rsidP="00362C71">
      <w:pPr>
        <w:pStyle w:val="PwCNormal"/>
        <w:numPr>
          <w:ilvl w:val="0"/>
          <w:numId w:val="0"/>
        </w:numPr>
      </w:pPr>
      <w:r w:rsidRPr="00EC326F">
        <w:t xml:space="preserve">The most substantial part of this average lifetime cost for both genders is for the age pension although there are contributions from all payment categories. </w:t>
      </w:r>
    </w:p>
    <w:p w14:paraId="6E7BCBEF" w14:textId="77777777" w:rsidR="00362C71" w:rsidRPr="00EC326F" w:rsidRDefault="00362C71" w:rsidP="00362C71">
      <w:pPr>
        <w:pStyle w:val="PwCNormal"/>
        <w:numPr>
          <w:ilvl w:val="0"/>
          <w:numId w:val="0"/>
        </w:numPr>
      </w:pPr>
      <w:r w:rsidRPr="00EC326F">
        <w:t>For women up to around age 40 there are significant contributions from FTB. For people in their early forties and above, the differences between the costs for men and women are small</w:t>
      </w:r>
      <w:r w:rsidR="00C10EE3" w:rsidRPr="00EC326F">
        <w:t xml:space="preserve"> (women have a slightly higher lifetime cost due to higher expected longevity)</w:t>
      </w:r>
      <w:r w:rsidRPr="00EC326F">
        <w:t xml:space="preserve">. </w:t>
      </w:r>
    </w:p>
    <w:p w14:paraId="1E4B74D4" w14:textId="77777777" w:rsidR="00362C71" w:rsidRPr="00EC326F" w:rsidRDefault="00362C71" w:rsidP="00362C71">
      <w:pPr>
        <w:pStyle w:val="PwCNormal"/>
        <w:numPr>
          <w:ilvl w:val="0"/>
          <w:numId w:val="0"/>
        </w:numPr>
      </w:pPr>
      <w:r w:rsidRPr="00EC326F">
        <w:t>The average lifetime cost pyramid shows a significant change at age 65 with much lower costs for older people:</w:t>
      </w:r>
    </w:p>
    <w:p w14:paraId="4FCDBD29" w14:textId="77777777" w:rsidR="00362C71" w:rsidRPr="00EC326F" w:rsidRDefault="00362C71" w:rsidP="00362C71">
      <w:pPr>
        <w:pStyle w:val="Bullet1"/>
      </w:pPr>
      <w:r w:rsidRPr="00EC326F">
        <w:t>For people below age 65 - the age pension component of the average lifetime cost is significant as there is a high chance of the people moving onto the age pension as they reach pension age.</w:t>
      </w:r>
    </w:p>
    <w:p w14:paraId="22DEA710" w14:textId="77777777" w:rsidR="00362C71" w:rsidRPr="00EC326F" w:rsidRDefault="00362C71" w:rsidP="00362C71">
      <w:pPr>
        <w:pStyle w:val="Bullet1"/>
      </w:pPr>
      <w:r w:rsidRPr="00EC326F">
        <w:lastRenderedPageBreak/>
        <w:t>For people above age 65 - to be above age 65 and be in this class they cannot be receiving age pension at present. This means they are far less likely to receive the age pension in future than a typical person in the population and hence have a lower average lifetime cost.</w:t>
      </w:r>
    </w:p>
    <w:p w14:paraId="52BBCA22" w14:textId="735E0CD7" w:rsidR="00362C71" w:rsidRPr="00EC326F" w:rsidRDefault="00362C71" w:rsidP="00362C71">
      <w:pPr>
        <w:pStyle w:val="ListContinue"/>
      </w:pPr>
      <w:r w:rsidRPr="00EC326F">
        <w:t xml:space="preserve">For people significantly above age 65 the average lifetime costs reduce year on year as the future lifetime is shorter and the chances of moving into the </w:t>
      </w:r>
      <w:r w:rsidR="005E2656">
        <w:t>A</w:t>
      </w:r>
      <w:r w:rsidRPr="00EC326F">
        <w:t xml:space="preserve">ge </w:t>
      </w:r>
      <w:r w:rsidR="005E2656">
        <w:t>P</w:t>
      </w:r>
      <w:r w:rsidRPr="00EC326F">
        <w:t>ension class at a future point in time are even lower.</w:t>
      </w:r>
    </w:p>
    <w:p w14:paraId="09465279" w14:textId="77777777" w:rsidR="00362C71" w:rsidRPr="00EC326F" w:rsidRDefault="00362C71" w:rsidP="00362C71">
      <w:pPr>
        <w:pStyle w:val="Minorheading"/>
      </w:pPr>
      <w:r w:rsidRPr="00EC326F">
        <w:t>Change in lifetime costs since the baseline valuation</w:t>
      </w:r>
    </w:p>
    <w:p w14:paraId="69D69072" w14:textId="42F06730" w:rsidR="00D3305D" w:rsidRPr="00EC326F" w:rsidRDefault="00D3305D" w:rsidP="00D3305D">
      <w:pPr>
        <w:pStyle w:val="PwCNormal"/>
        <w:numPr>
          <w:ilvl w:val="0"/>
          <w:numId w:val="0"/>
        </w:numPr>
      </w:pPr>
      <w:r w:rsidRPr="00EC326F">
        <w:t>The lifetime cost for the people in this class of $65</w:t>
      </w:r>
      <w:r w:rsidR="00D101C0">
        <w:t>3</w:t>
      </w:r>
      <w:r w:rsidRPr="00EC326F">
        <w:t>bn is a decrease of $2</w:t>
      </w:r>
      <w:r w:rsidR="00D101C0">
        <w:t>7</w:t>
      </w:r>
      <w:r w:rsidRPr="00EC326F">
        <w:t>bn compared to the baseline valuation. This was driven by a decrease in the average cost, partly offset by an increase in the number of people in this class:</w:t>
      </w:r>
    </w:p>
    <w:p w14:paraId="677050DC" w14:textId="77777777" w:rsidR="00D3305D" w:rsidRPr="00EC326F" w:rsidRDefault="00D3305D" w:rsidP="001A4479">
      <w:pPr>
        <w:pStyle w:val="Bullet1"/>
        <w:numPr>
          <w:ilvl w:val="0"/>
          <w:numId w:val="39"/>
        </w:numPr>
      </w:pPr>
      <w:r w:rsidRPr="00EC326F">
        <w:t>The number of people in this class has increased by 7.0% (from 3.9m to 4.2m) since the previous valuation. This increase is largely a result of having one year of extra history in our data which means there is a larger group of people we have been able to identify as being previous welfare recipients.</w:t>
      </w:r>
    </w:p>
    <w:p w14:paraId="5ADAF3E4" w14:textId="1BB36558" w:rsidR="00D3305D" w:rsidRPr="00EC326F" w:rsidRDefault="00D3305D" w:rsidP="001A4479">
      <w:pPr>
        <w:pStyle w:val="Bullet1"/>
        <w:numPr>
          <w:ilvl w:val="0"/>
          <w:numId w:val="39"/>
        </w:numPr>
      </w:pPr>
      <w:r w:rsidRPr="00EC326F">
        <w:t>The average cost has decreased by $18,000 (</w:t>
      </w:r>
      <w:r w:rsidR="007C07DB">
        <w:t>10.3</w:t>
      </w:r>
      <w:r w:rsidRPr="00EC326F">
        <w:t>%) since the previous valuation. The following table provides a breakdown of the change in average lifetime cost by payment category.</w:t>
      </w:r>
    </w:p>
    <w:p w14:paraId="1CCB6838" w14:textId="77777777" w:rsidR="00D3305D" w:rsidRPr="00EC326F" w:rsidRDefault="00D3305D" w:rsidP="00D3305D">
      <w:pPr>
        <w:pStyle w:val="Caption"/>
      </w:pPr>
      <w:r w:rsidRPr="00EC326F">
        <w:t xml:space="preserve">Table </w:t>
      </w:r>
      <w:fldSimple w:instr=" SEQ Table \* ARABIC ">
        <w:r w:rsidR="007A42DF">
          <w:rPr>
            <w:noProof/>
          </w:rPr>
          <w:t>46</w:t>
        </w:r>
      </w:fldSimple>
      <w:r w:rsidRPr="00EC326F">
        <w:t>: Breakdown of change in average lifetime cost for Class 10 by payment category</w:t>
      </w:r>
    </w:p>
    <w:tbl>
      <w:tblPr>
        <w:tblStyle w:val="ListTable3-Accent62"/>
        <w:tblW w:w="9498" w:type="dxa"/>
        <w:tblInd w:w="108" w:type="dxa"/>
        <w:tblLayout w:type="fixed"/>
        <w:tblCellMar>
          <w:left w:w="57" w:type="dxa"/>
          <w:right w:w="57" w:type="dxa"/>
        </w:tblCellMar>
        <w:tblLook w:val="04A0" w:firstRow="1" w:lastRow="0" w:firstColumn="1" w:lastColumn="0" w:noHBand="0" w:noVBand="1"/>
        <w:tblCaption w:val=" Breakdown of change in average lifetime cost for Class 10 by payment category&#10;&#10;&#10;"/>
        <w:tblDescription w:val="This table shows the breakdown of the total change in average lifetime cost for Class 10 into; change in population, change in inflation, impact of new economic module, policy changes and other changes. These are shown as rows in the table.&#10;&#10;The changes in lifetime cost are considered by relevant payment categories for Class 10; IS Non Age Pension, IS Age Pension, Non IS Family Supplements and Non IS Other Supplements. These are shown as columns in the table alongside a total change column.&#10;&#10;For Class 10, the Jun 15 Total Lifetime cost is $680bn and the Jun 16 Total Lifetime cost is $653bn. This gives a change in total lifetime cost of -$27bn, a 4% reduction. Population changes contributed to a 7% increase but this increase was offset by larger changes in average lifetime cost. The average cost has decreased by $18,000 (10.3%) since the previous valuation. Less than $1,000 of this change is attributable to changes in inflation or policy changes. Approximately -$7,000 of this change is due to the impact of the economics module and -$12,000 is driven by other changes.&#10;&#10;The average lifetime cost of clients in the IS Non Age Pension payment categories has decreased by approximately $12,000. Less than $1,000 of this change is due to inflation or policy changes. -$4,000 of the change is driven by the introduction of the new economics module and the remaining -$8,000 is due to other changes.&#10;&#10;The average lifetime cost of clients in the IS Age Pension payment category has decreased by less than $1,000. Inflation and policy changes contributed less than $1,000. The impact due to the new economics module and other changes offset each other (contributing -$2,000 and $2,000 respectively).&#10;&#10;The average lifetime cost of clients in the Non IS Family Supplements payment categories (H,I,J) has decreased by approximately $3,000. This was primarily caused by other changes (-$2,000). Changes due to inflation, policy changes and the new economics module were less than $1,000 each.&#10;&#10;The average lifetime cost of clients in the Non IS Other Supplements payment categories has decreased by approximately $3,000. The changes due to the economics module, policy changes and inflation were less than $1,000 each.&#10;"/>
      </w:tblPr>
      <w:tblGrid>
        <w:gridCol w:w="3119"/>
        <w:gridCol w:w="1276"/>
        <w:gridCol w:w="1240"/>
        <w:gridCol w:w="1240"/>
        <w:gridCol w:w="1311"/>
        <w:gridCol w:w="1312"/>
      </w:tblGrid>
      <w:tr w:rsidR="00E31514" w:rsidRPr="00EC326F" w14:paraId="6A910989" w14:textId="77777777" w:rsidTr="0008704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4269DF85" w14:textId="77777777" w:rsidR="00E31514" w:rsidRPr="00EC326F" w:rsidRDefault="00E31514" w:rsidP="003114C1">
            <w:pPr>
              <w:pStyle w:val="TableTextSmall"/>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72B0CD7A" w14:textId="77777777" w:rsidR="00E31514" w:rsidRPr="00EC326F" w:rsidRDefault="00E31514"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bottom w:val="single" w:sz="4" w:space="0" w:color="FFFFFF" w:themeColor="background1"/>
            </w:tcBorders>
          </w:tcPr>
          <w:p w14:paraId="4B20D85F" w14:textId="4C43B0B1" w:rsidR="00E31514" w:rsidRPr="00EC326F" w:rsidRDefault="00E31514" w:rsidP="00E31514">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bCs w:val="0"/>
                <w:color w:val="FFFFFF" w:themeColor="background1"/>
              </w:rPr>
              <w:t>Income</w:t>
            </w:r>
          </w:p>
        </w:tc>
        <w:tc>
          <w:tcPr>
            <w:tcW w:w="1240" w:type="dxa"/>
            <w:tcBorders>
              <w:left w:val="single" w:sz="4" w:space="0" w:color="E0301E" w:themeColor="accent6"/>
              <w:bottom w:val="single" w:sz="4" w:space="0" w:color="FFFFFF" w:themeColor="background1"/>
              <w:right w:val="single" w:sz="4" w:space="0" w:color="FFFFFF" w:themeColor="background1"/>
            </w:tcBorders>
          </w:tcPr>
          <w:p w14:paraId="03C7AB33" w14:textId="33C74500" w:rsidR="00E31514" w:rsidRPr="00EC326F" w:rsidRDefault="00E31514" w:rsidP="00E31514">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bCs w:val="0"/>
                <w:color w:val="FFFFFF" w:themeColor="background1"/>
              </w:rPr>
              <w:t>Support</w:t>
            </w:r>
          </w:p>
        </w:tc>
        <w:tc>
          <w:tcPr>
            <w:tcW w:w="1311" w:type="dxa"/>
            <w:tcBorders>
              <w:left w:val="single" w:sz="4" w:space="0" w:color="FFFFFF" w:themeColor="background1"/>
            </w:tcBorders>
          </w:tcPr>
          <w:p w14:paraId="0CBA24DC" w14:textId="5BDE5A54" w:rsidR="00E31514" w:rsidRPr="00EC326F" w:rsidRDefault="00E31514" w:rsidP="00E31514">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color w:val="FFFFFF" w:themeColor="background1"/>
              </w:rPr>
              <w:t>Non-Income</w:t>
            </w:r>
          </w:p>
        </w:tc>
        <w:tc>
          <w:tcPr>
            <w:tcW w:w="1312" w:type="dxa"/>
            <w:tcBorders>
              <w:bottom w:val="single" w:sz="4" w:space="0" w:color="FFFFFF" w:themeColor="background1"/>
            </w:tcBorders>
          </w:tcPr>
          <w:p w14:paraId="1DFF69F8" w14:textId="02BF58E1" w:rsidR="00E31514" w:rsidRPr="00EC326F" w:rsidRDefault="00E31514" w:rsidP="00E31514">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Support</w:t>
            </w:r>
          </w:p>
        </w:tc>
      </w:tr>
      <w:tr w:rsidR="00D3305D" w:rsidRPr="00EC326F" w14:paraId="4752433B" w14:textId="77777777" w:rsidTr="0008704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5927C0AF" w14:textId="77777777" w:rsidR="00D3305D" w:rsidRPr="00EC326F" w:rsidRDefault="00D3305D" w:rsidP="003114C1">
            <w:pPr>
              <w:pStyle w:val="TableTextSmall"/>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6517D356"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5E137B4F"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2C6E6336"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311" w:type="dxa"/>
            <w:tcBorders>
              <w:top w:val="single" w:sz="4" w:space="0" w:color="FFFFFF" w:themeColor="background1"/>
              <w:left w:val="single" w:sz="4" w:space="0" w:color="FFFFFF" w:themeColor="background1"/>
              <w:bottom w:val="single" w:sz="4" w:space="0" w:color="E0301E" w:themeColor="accent6"/>
            </w:tcBorders>
          </w:tcPr>
          <w:p w14:paraId="21E0DC78"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312" w:type="dxa"/>
            <w:tcBorders>
              <w:bottom w:val="single" w:sz="4" w:space="0" w:color="E0301E" w:themeColor="accent6"/>
            </w:tcBorders>
          </w:tcPr>
          <w:p w14:paraId="4A76B6DE" w14:textId="77777777" w:rsidR="00D3305D" w:rsidRPr="00EC326F" w:rsidRDefault="00D3305D" w:rsidP="003114C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D3305D" w:rsidRPr="00EC326F" w14:paraId="3B5C81BD"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39EA0D72" w14:textId="77777777" w:rsidR="00D3305D" w:rsidRPr="00EC326F" w:rsidRDefault="00D3305D" w:rsidP="003114C1">
            <w:pPr>
              <w:pStyle w:val="TableTextSmall"/>
            </w:pPr>
            <w:r w:rsidRPr="00EC326F">
              <w:t>Jun-15 Total Lifetime Cost</w:t>
            </w:r>
          </w:p>
        </w:tc>
        <w:tc>
          <w:tcPr>
            <w:tcW w:w="1276" w:type="dxa"/>
            <w:tcBorders>
              <w:left w:val="single" w:sz="4" w:space="0" w:color="E0301E" w:themeColor="accent6"/>
              <w:bottom w:val="nil"/>
              <w:right w:val="single" w:sz="4" w:space="0" w:color="E0301E" w:themeColor="accent6"/>
            </w:tcBorders>
            <w:vAlign w:val="bottom"/>
          </w:tcPr>
          <w:p w14:paraId="63128E2D"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$680bn</w:t>
            </w:r>
          </w:p>
        </w:tc>
        <w:tc>
          <w:tcPr>
            <w:tcW w:w="1240" w:type="dxa"/>
            <w:tcBorders>
              <w:left w:val="single" w:sz="4" w:space="0" w:color="E0301E" w:themeColor="accent6"/>
              <w:bottom w:val="nil"/>
            </w:tcBorders>
            <w:shd w:val="clear" w:color="auto" w:fill="D9D9D9" w:themeFill="background1" w:themeFillShade="D9"/>
            <w:vAlign w:val="bottom"/>
          </w:tcPr>
          <w:p w14:paraId="59E5444A"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240" w:type="dxa"/>
            <w:tcBorders>
              <w:bottom w:val="nil"/>
              <w:right w:val="nil"/>
            </w:tcBorders>
            <w:shd w:val="clear" w:color="auto" w:fill="D9D9D9" w:themeFill="background1" w:themeFillShade="D9"/>
            <w:vAlign w:val="bottom"/>
          </w:tcPr>
          <w:p w14:paraId="4B79B2F5"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311" w:type="dxa"/>
            <w:tcBorders>
              <w:left w:val="nil"/>
              <w:bottom w:val="nil"/>
            </w:tcBorders>
            <w:shd w:val="clear" w:color="auto" w:fill="D9D9D9" w:themeFill="background1" w:themeFillShade="D9"/>
            <w:vAlign w:val="bottom"/>
          </w:tcPr>
          <w:p w14:paraId="16D3464F"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312" w:type="dxa"/>
            <w:tcBorders>
              <w:bottom w:val="nil"/>
            </w:tcBorders>
            <w:shd w:val="clear" w:color="auto" w:fill="D9D9D9" w:themeFill="background1" w:themeFillShade="D9"/>
            <w:vAlign w:val="bottom"/>
          </w:tcPr>
          <w:p w14:paraId="423D0E5B"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p>
        </w:tc>
      </w:tr>
      <w:tr w:rsidR="00D3305D" w:rsidRPr="00EC326F" w14:paraId="6DD784E1"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66EA10D7" w14:textId="77777777" w:rsidR="00D3305D" w:rsidRPr="00EC326F" w:rsidRDefault="00D3305D" w:rsidP="003114C1">
            <w:pPr>
              <w:pStyle w:val="TableTextSmall"/>
            </w:pPr>
            <w:r w:rsidRPr="00EC326F">
              <w:t>Jun-16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vAlign w:val="bottom"/>
          </w:tcPr>
          <w:p w14:paraId="3C94F880" w14:textId="7C3C3529" w:rsidR="00D3305D" w:rsidRPr="00EC326F" w:rsidRDefault="00D3305D" w:rsidP="0051235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w:t>
            </w:r>
            <w:r w:rsidR="00512359" w:rsidRPr="00EC326F">
              <w:t>65</w:t>
            </w:r>
            <w:r w:rsidR="00512359">
              <w:t>3</w:t>
            </w:r>
            <w:r w:rsidR="00512359" w:rsidRPr="00EC326F">
              <w:t>bn</w:t>
            </w:r>
          </w:p>
        </w:tc>
        <w:tc>
          <w:tcPr>
            <w:tcW w:w="1240" w:type="dxa"/>
            <w:tcBorders>
              <w:top w:val="nil"/>
              <w:left w:val="single" w:sz="4" w:space="0" w:color="E0301E" w:themeColor="accent6"/>
              <w:bottom w:val="nil"/>
            </w:tcBorders>
            <w:shd w:val="clear" w:color="auto" w:fill="D9D9D9" w:themeFill="background1" w:themeFillShade="D9"/>
            <w:vAlign w:val="bottom"/>
          </w:tcPr>
          <w:p w14:paraId="3A0E0BA9"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47E21EF9"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vAlign w:val="bottom"/>
          </w:tcPr>
          <w:p w14:paraId="48CB025C"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nil"/>
            </w:tcBorders>
            <w:shd w:val="clear" w:color="auto" w:fill="D9D9D9" w:themeFill="background1" w:themeFillShade="D9"/>
            <w:vAlign w:val="bottom"/>
          </w:tcPr>
          <w:p w14:paraId="2F265D56"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p>
        </w:tc>
      </w:tr>
      <w:tr w:rsidR="00D3305D" w:rsidRPr="00EC326F" w14:paraId="7E916412"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0011A760" w14:textId="77777777" w:rsidR="00D3305D" w:rsidRPr="00EC326F" w:rsidRDefault="00D3305D" w:rsidP="003114C1">
            <w:pPr>
              <w:pStyle w:val="TableTextSmall"/>
            </w:pPr>
            <w:r w:rsidRPr="00EC326F">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vAlign w:val="bottom"/>
          </w:tcPr>
          <w:p w14:paraId="404EB643" w14:textId="4E5787F4"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rsidRPr="00EC326F">
              <w:t>2</w:t>
            </w:r>
            <w:r w:rsidR="00512359">
              <w:t>7</w:t>
            </w:r>
            <w:r w:rsidR="00512359" w:rsidRPr="00EC326F">
              <w:t xml:space="preserve">bn </w:t>
            </w:r>
            <w:r w:rsidRPr="00EC326F">
              <w:t>(4.</w:t>
            </w:r>
            <w:r w:rsidR="00512359">
              <w:t>0</w:t>
            </w:r>
            <w:r w:rsidRPr="00EC326F">
              <w:t>%)</w:t>
            </w:r>
          </w:p>
        </w:tc>
        <w:tc>
          <w:tcPr>
            <w:tcW w:w="1240" w:type="dxa"/>
            <w:tcBorders>
              <w:top w:val="nil"/>
              <w:left w:val="single" w:sz="4" w:space="0" w:color="E0301E" w:themeColor="accent6"/>
              <w:bottom w:val="nil"/>
            </w:tcBorders>
            <w:shd w:val="clear" w:color="auto" w:fill="D9D9D9" w:themeFill="background1" w:themeFillShade="D9"/>
            <w:vAlign w:val="bottom"/>
          </w:tcPr>
          <w:p w14:paraId="26B2FE83"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3BDAA45B"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vAlign w:val="bottom"/>
          </w:tcPr>
          <w:p w14:paraId="4DE01CD0"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312" w:type="dxa"/>
            <w:tcBorders>
              <w:top w:val="nil"/>
              <w:bottom w:val="nil"/>
            </w:tcBorders>
            <w:shd w:val="clear" w:color="auto" w:fill="D9D9D9" w:themeFill="background1" w:themeFillShade="D9"/>
            <w:vAlign w:val="bottom"/>
          </w:tcPr>
          <w:p w14:paraId="29BE24AA"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p>
        </w:tc>
      </w:tr>
      <w:tr w:rsidR="00D3305D" w:rsidRPr="00EC326F" w14:paraId="68DB677A"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2AB91055" w14:textId="77777777" w:rsidR="00D3305D" w:rsidRPr="00EC326F" w:rsidRDefault="00D3305D" w:rsidP="003114C1">
            <w:pPr>
              <w:pStyle w:val="TableTextSmall"/>
            </w:pPr>
            <w:r w:rsidRPr="00EC326F">
              <w:t>Change due to Population</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vAlign w:val="bottom"/>
          </w:tcPr>
          <w:p w14:paraId="18B46838"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+7.0%</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vAlign w:val="bottom"/>
          </w:tcPr>
          <w:p w14:paraId="5C0EEFED"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single" w:sz="4" w:space="0" w:color="E0301E" w:themeColor="accent6"/>
              <w:right w:val="nil"/>
            </w:tcBorders>
            <w:shd w:val="clear" w:color="auto" w:fill="D9D9D9" w:themeFill="background1" w:themeFillShade="D9"/>
            <w:vAlign w:val="bottom"/>
          </w:tcPr>
          <w:p w14:paraId="44175128"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single" w:sz="4" w:space="0" w:color="E0301E" w:themeColor="accent6"/>
            </w:tcBorders>
            <w:shd w:val="clear" w:color="auto" w:fill="D9D9D9" w:themeFill="background1" w:themeFillShade="D9"/>
            <w:vAlign w:val="bottom"/>
          </w:tcPr>
          <w:p w14:paraId="4D914140"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single" w:sz="4" w:space="0" w:color="E0301E" w:themeColor="accent6"/>
            </w:tcBorders>
            <w:shd w:val="clear" w:color="auto" w:fill="D9D9D9" w:themeFill="background1" w:themeFillShade="D9"/>
            <w:vAlign w:val="bottom"/>
          </w:tcPr>
          <w:p w14:paraId="5881064C"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pPr>
          </w:p>
        </w:tc>
      </w:tr>
      <w:tr w:rsidR="00D3305D" w:rsidRPr="00EC326F" w14:paraId="4459ADEA"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441D934E" w14:textId="77777777" w:rsidR="00D3305D" w:rsidRPr="00EC326F" w:rsidRDefault="00D3305D" w:rsidP="003114C1">
            <w:pPr>
              <w:pStyle w:val="TableTextSmall"/>
            </w:pPr>
            <w:r w:rsidRPr="00EC326F">
              <w:t>Change due to Average Lifetime Cost</w:t>
            </w:r>
          </w:p>
        </w:tc>
        <w:tc>
          <w:tcPr>
            <w:tcW w:w="1276" w:type="dxa"/>
            <w:tcBorders>
              <w:left w:val="single" w:sz="4" w:space="0" w:color="E0301E" w:themeColor="accent6"/>
              <w:bottom w:val="nil"/>
              <w:right w:val="single" w:sz="4" w:space="0" w:color="E0301E" w:themeColor="accent6"/>
            </w:tcBorders>
            <w:vAlign w:val="bottom"/>
          </w:tcPr>
          <w:p w14:paraId="3DA8E4F6" w14:textId="0F078225"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-$18k (10.</w:t>
            </w:r>
            <w:r w:rsidR="00512359">
              <w:t>3</w:t>
            </w:r>
            <w:r w:rsidRPr="00EC326F">
              <w:t>%)</w:t>
            </w:r>
          </w:p>
        </w:tc>
        <w:tc>
          <w:tcPr>
            <w:tcW w:w="1240" w:type="dxa"/>
            <w:tcBorders>
              <w:left w:val="single" w:sz="4" w:space="0" w:color="E0301E" w:themeColor="accent6"/>
              <w:bottom w:val="nil"/>
            </w:tcBorders>
            <w:vAlign w:val="bottom"/>
          </w:tcPr>
          <w:p w14:paraId="1364921A"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-$12k</w:t>
            </w:r>
          </w:p>
        </w:tc>
        <w:tc>
          <w:tcPr>
            <w:tcW w:w="1240" w:type="dxa"/>
            <w:tcBorders>
              <w:bottom w:val="nil"/>
              <w:right w:val="dashed" w:sz="4" w:space="0" w:color="E0301E" w:themeColor="accent6"/>
            </w:tcBorders>
            <w:vAlign w:val="bottom"/>
          </w:tcPr>
          <w:p w14:paraId="1445B608"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1" w:type="dxa"/>
            <w:tcBorders>
              <w:left w:val="dashed" w:sz="4" w:space="0" w:color="E0301E" w:themeColor="accent6"/>
              <w:bottom w:val="nil"/>
            </w:tcBorders>
            <w:vAlign w:val="bottom"/>
          </w:tcPr>
          <w:p w14:paraId="5165086D"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-$3k</w:t>
            </w:r>
          </w:p>
        </w:tc>
        <w:tc>
          <w:tcPr>
            <w:tcW w:w="1312" w:type="dxa"/>
            <w:tcBorders>
              <w:bottom w:val="nil"/>
            </w:tcBorders>
            <w:vAlign w:val="bottom"/>
          </w:tcPr>
          <w:p w14:paraId="2C012E4B"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-$3k</w:t>
            </w:r>
          </w:p>
        </w:tc>
      </w:tr>
      <w:tr w:rsidR="00D3305D" w:rsidRPr="00EC326F" w14:paraId="431ECA46"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3F71CC77" w14:textId="77777777" w:rsidR="00D3305D" w:rsidRPr="00EC326F" w:rsidRDefault="00D3305D" w:rsidP="003114C1">
            <w:pPr>
              <w:pStyle w:val="TableTextSmall"/>
              <w:rPr>
                <w:b w:val="0"/>
              </w:rPr>
            </w:pPr>
            <w:r w:rsidRPr="00EC326F">
              <w:rPr>
                <w:b w:val="0"/>
              </w:rPr>
              <w:t>- Impact of change in inflation</w:t>
            </w:r>
          </w:p>
        </w:tc>
        <w:tc>
          <w:tcPr>
            <w:tcW w:w="1276" w:type="dxa"/>
            <w:tcBorders>
              <w:top w:val="nil"/>
              <w:left w:val="single" w:sz="4" w:space="0" w:color="E0301E" w:themeColor="accent6"/>
              <w:bottom w:val="nil"/>
              <w:right w:val="single" w:sz="4" w:space="0" w:color="E0301E" w:themeColor="accent6"/>
            </w:tcBorders>
            <w:vAlign w:val="bottom"/>
          </w:tcPr>
          <w:p w14:paraId="0BBDBEA3"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left w:val="single" w:sz="4" w:space="0" w:color="E0301E" w:themeColor="accent6"/>
              <w:bottom w:val="nil"/>
            </w:tcBorders>
            <w:vAlign w:val="bottom"/>
          </w:tcPr>
          <w:p w14:paraId="094718AF"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bottom w:val="nil"/>
              <w:right w:val="dashed" w:sz="4" w:space="0" w:color="E0301E" w:themeColor="accent6"/>
            </w:tcBorders>
            <w:vAlign w:val="bottom"/>
          </w:tcPr>
          <w:p w14:paraId="078A9E29"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1" w:type="dxa"/>
            <w:tcBorders>
              <w:top w:val="nil"/>
              <w:left w:val="dashed" w:sz="4" w:space="0" w:color="E0301E" w:themeColor="accent6"/>
              <w:bottom w:val="nil"/>
            </w:tcBorders>
            <w:vAlign w:val="bottom"/>
          </w:tcPr>
          <w:p w14:paraId="6BE2414A"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61EFAF23" w14:textId="77777777" w:rsidR="00D3305D" w:rsidRPr="00EC326F" w:rsidRDefault="00D3305D" w:rsidP="003114C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7CC66E6A"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0F42C33D" w14:textId="77777777" w:rsidR="00D3305D" w:rsidRPr="00EC326F" w:rsidRDefault="00D3305D" w:rsidP="003114C1">
            <w:pPr>
              <w:pStyle w:val="TableTextSmall"/>
              <w:rPr>
                <w:b w:val="0"/>
              </w:rPr>
            </w:pPr>
            <w:r w:rsidRPr="00EC326F">
              <w:rPr>
                <w:b w:val="0"/>
              </w:rPr>
              <w:t>- Impact of new economics module</w:t>
            </w:r>
          </w:p>
        </w:tc>
        <w:tc>
          <w:tcPr>
            <w:tcW w:w="1276" w:type="dxa"/>
            <w:tcBorders>
              <w:top w:val="nil"/>
              <w:left w:val="single" w:sz="4" w:space="0" w:color="E0301E" w:themeColor="accent6"/>
              <w:bottom w:val="nil"/>
              <w:right w:val="single" w:sz="4" w:space="0" w:color="E0301E" w:themeColor="accent6"/>
            </w:tcBorders>
            <w:vAlign w:val="bottom"/>
          </w:tcPr>
          <w:p w14:paraId="0F48AC8B"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-$7k</w:t>
            </w:r>
          </w:p>
        </w:tc>
        <w:tc>
          <w:tcPr>
            <w:tcW w:w="1240" w:type="dxa"/>
            <w:tcBorders>
              <w:top w:val="nil"/>
              <w:left w:val="single" w:sz="4" w:space="0" w:color="E0301E" w:themeColor="accent6"/>
              <w:bottom w:val="nil"/>
            </w:tcBorders>
            <w:vAlign w:val="bottom"/>
          </w:tcPr>
          <w:p w14:paraId="720FF881"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-$4k</w:t>
            </w:r>
          </w:p>
        </w:tc>
        <w:tc>
          <w:tcPr>
            <w:tcW w:w="1240" w:type="dxa"/>
            <w:tcBorders>
              <w:top w:val="nil"/>
              <w:bottom w:val="nil"/>
              <w:right w:val="dashed" w:sz="4" w:space="0" w:color="E0301E" w:themeColor="accent6"/>
            </w:tcBorders>
            <w:vAlign w:val="bottom"/>
          </w:tcPr>
          <w:p w14:paraId="69BD6CEA"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c>
          <w:tcPr>
            <w:tcW w:w="1311" w:type="dxa"/>
            <w:tcBorders>
              <w:top w:val="nil"/>
              <w:left w:val="dashed" w:sz="4" w:space="0" w:color="E0301E" w:themeColor="accent6"/>
              <w:bottom w:val="nil"/>
            </w:tcBorders>
            <w:vAlign w:val="bottom"/>
          </w:tcPr>
          <w:p w14:paraId="2308372F"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0D39C850"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512359" w:rsidRPr="00EC326F" w14:paraId="0F2F99D2"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05CABCDD" w14:textId="215839F2" w:rsidR="00512359" w:rsidRPr="00EC326F" w:rsidRDefault="00512359" w:rsidP="00512359">
            <w:pPr>
              <w:pStyle w:val="TableTextSmall"/>
              <w:rPr>
                <w:b w:val="0"/>
              </w:rPr>
            </w:pPr>
            <w:r w:rsidRPr="00CC3286">
              <w:rPr>
                <w:b w:val="0"/>
              </w:rPr>
              <w:t>- Impact of policy changes</w:t>
            </w:r>
          </w:p>
        </w:tc>
        <w:tc>
          <w:tcPr>
            <w:tcW w:w="1276" w:type="dxa"/>
            <w:tcBorders>
              <w:top w:val="nil"/>
              <w:left w:val="single" w:sz="4" w:space="0" w:color="E0301E" w:themeColor="accent6"/>
              <w:bottom w:val="nil"/>
              <w:right w:val="single" w:sz="4" w:space="0" w:color="E0301E" w:themeColor="accent6"/>
            </w:tcBorders>
            <w:vAlign w:val="bottom"/>
          </w:tcPr>
          <w:p w14:paraId="4DBC131F" w14:textId="2E188B80"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40" w:type="dxa"/>
            <w:tcBorders>
              <w:top w:val="nil"/>
              <w:left w:val="single" w:sz="4" w:space="0" w:color="E0301E" w:themeColor="accent6"/>
              <w:bottom w:val="nil"/>
            </w:tcBorders>
            <w:vAlign w:val="bottom"/>
          </w:tcPr>
          <w:p w14:paraId="433665E0" w14:textId="7EAC80F7"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40" w:type="dxa"/>
            <w:tcBorders>
              <w:top w:val="nil"/>
              <w:bottom w:val="nil"/>
              <w:right w:val="dashed" w:sz="4" w:space="0" w:color="E0301E" w:themeColor="accent6"/>
            </w:tcBorders>
            <w:vAlign w:val="bottom"/>
          </w:tcPr>
          <w:p w14:paraId="18EF2582" w14:textId="3ADC9145"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311" w:type="dxa"/>
            <w:tcBorders>
              <w:top w:val="nil"/>
              <w:left w:val="dashed" w:sz="4" w:space="0" w:color="E0301E" w:themeColor="accent6"/>
              <w:bottom w:val="nil"/>
            </w:tcBorders>
            <w:vAlign w:val="bottom"/>
          </w:tcPr>
          <w:p w14:paraId="297EAB9E" w14:textId="3ABDE28D"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7B8A997F" w14:textId="21A916F0" w:rsidR="00512359" w:rsidRPr="00EC326F" w:rsidRDefault="00CC3286" w:rsidP="00512359">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477F13D9"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6386D20A" w14:textId="77777777" w:rsidR="00D3305D" w:rsidRPr="00EC326F" w:rsidRDefault="00D3305D" w:rsidP="003114C1">
            <w:pPr>
              <w:pStyle w:val="TableTextSmall"/>
              <w:rPr>
                <w:b w:val="0"/>
              </w:rPr>
            </w:pPr>
            <w:r w:rsidRPr="00EC326F">
              <w:rPr>
                <w:b w:val="0"/>
              </w:rPr>
              <w:t>- Impact of other changes</w:t>
            </w:r>
          </w:p>
        </w:tc>
        <w:tc>
          <w:tcPr>
            <w:tcW w:w="1276" w:type="dxa"/>
            <w:tcBorders>
              <w:top w:val="nil"/>
              <w:left w:val="single" w:sz="4" w:space="0" w:color="E0301E" w:themeColor="accent6"/>
              <w:right w:val="single" w:sz="4" w:space="0" w:color="E0301E" w:themeColor="accent6"/>
            </w:tcBorders>
            <w:vAlign w:val="bottom"/>
          </w:tcPr>
          <w:p w14:paraId="4634BB73" w14:textId="6EE1B540"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rsidRPr="00EC326F">
              <w:t>1</w:t>
            </w:r>
            <w:r w:rsidR="00512359">
              <w:t>1</w:t>
            </w:r>
            <w:r w:rsidR="00512359" w:rsidRPr="00EC326F">
              <w:t>k</w:t>
            </w:r>
          </w:p>
        </w:tc>
        <w:tc>
          <w:tcPr>
            <w:tcW w:w="1240" w:type="dxa"/>
            <w:tcBorders>
              <w:top w:val="nil"/>
              <w:left w:val="single" w:sz="4" w:space="0" w:color="E0301E" w:themeColor="accent6"/>
            </w:tcBorders>
            <w:vAlign w:val="bottom"/>
          </w:tcPr>
          <w:p w14:paraId="7008013E"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-$8k</w:t>
            </w:r>
          </w:p>
        </w:tc>
        <w:tc>
          <w:tcPr>
            <w:tcW w:w="1240" w:type="dxa"/>
            <w:tcBorders>
              <w:top w:val="nil"/>
              <w:right w:val="dashed" w:sz="4" w:space="0" w:color="E0301E" w:themeColor="accent6"/>
            </w:tcBorders>
            <w:vAlign w:val="bottom"/>
          </w:tcPr>
          <w:p w14:paraId="7E2498E3"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c>
          <w:tcPr>
            <w:tcW w:w="1311" w:type="dxa"/>
            <w:tcBorders>
              <w:top w:val="nil"/>
              <w:left w:val="dashed" w:sz="4" w:space="0" w:color="E0301E" w:themeColor="accent6"/>
            </w:tcBorders>
            <w:vAlign w:val="bottom"/>
          </w:tcPr>
          <w:p w14:paraId="5D0A35EC" w14:textId="63F33DB3" w:rsidR="00D3305D" w:rsidRPr="00EC326F" w:rsidRDefault="00D3305D" w:rsidP="00512359">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t>2</w:t>
            </w:r>
            <w:r w:rsidR="00512359" w:rsidRPr="00EC326F">
              <w:t>k</w:t>
            </w:r>
          </w:p>
        </w:tc>
        <w:tc>
          <w:tcPr>
            <w:tcW w:w="1312" w:type="dxa"/>
            <w:tcBorders>
              <w:top w:val="nil"/>
            </w:tcBorders>
            <w:vAlign w:val="bottom"/>
          </w:tcPr>
          <w:p w14:paraId="6BC38981"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r>
    </w:tbl>
    <w:p w14:paraId="71293A94" w14:textId="77777777" w:rsidR="00D3305D" w:rsidRPr="00EC326F" w:rsidRDefault="00D3305D" w:rsidP="001A4479">
      <w:pPr>
        <w:pStyle w:val="PwCNormal"/>
        <w:numPr>
          <w:ilvl w:val="0"/>
          <w:numId w:val="37"/>
        </w:numPr>
      </w:pPr>
      <w:r w:rsidRPr="00EC326F">
        <w:t>The reduction in average cost has been primarily driven by:</w:t>
      </w:r>
    </w:p>
    <w:p w14:paraId="55B93C4C" w14:textId="77777777" w:rsidR="00D3305D" w:rsidRPr="00EC326F" w:rsidRDefault="00D3305D" w:rsidP="00D3305D">
      <w:pPr>
        <w:pStyle w:val="Bullet1"/>
      </w:pPr>
      <w:r w:rsidRPr="00EC326F">
        <w:t>A reduction in the assumed long term unemployment rate, which has a significant impact on the projected number of people entering into the Working Age class;</w:t>
      </w:r>
    </w:p>
    <w:p w14:paraId="3E4B0541" w14:textId="77777777" w:rsidR="00D3305D" w:rsidRPr="00EC326F" w:rsidRDefault="00D3305D" w:rsidP="00D3305D">
      <w:pPr>
        <w:pStyle w:val="Bullet1"/>
      </w:pPr>
      <w:r w:rsidRPr="00EC326F">
        <w:t>Lower transition rates into working age (discussed above); and</w:t>
      </w:r>
    </w:p>
    <w:p w14:paraId="5F1559B1" w14:textId="77777777" w:rsidR="00D3305D" w:rsidRPr="00EC326F" w:rsidRDefault="00D3305D" w:rsidP="00D3305D">
      <w:pPr>
        <w:pStyle w:val="Bullet1"/>
      </w:pPr>
      <w:r w:rsidRPr="00EC326F">
        <w:t>A flow on impact of the lower entry rate assumptions onto future transitions into other active classes.</w:t>
      </w:r>
    </w:p>
    <w:p w14:paraId="511EB54A" w14:textId="77777777" w:rsidR="00362C71" w:rsidRPr="00EC326F" w:rsidRDefault="00362C71" w:rsidP="00362C71">
      <w:pPr>
        <w:pStyle w:val="Minorheading"/>
      </w:pPr>
      <w:r w:rsidRPr="00EC326F">
        <w:lastRenderedPageBreak/>
        <w:t>Future outcomes</w:t>
      </w:r>
    </w:p>
    <w:p w14:paraId="221DB77E" w14:textId="77777777" w:rsidR="00362C71" w:rsidRPr="00EC326F" w:rsidRDefault="00362C71" w:rsidP="00362C71">
      <w:pPr>
        <w:pStyle w:val="PwCNormal"/>
        <w:keepNext/>
        <w:numPr>
          <w:ilvl w:val="0"/>
          <w:numId w:val="0"/>
        </w:numPr>
      </w:pPr>
      <w:r w:rsidRPr="00EC326F">
        <w:t xml:space="preserve">In developing the valuation results the projection model also produces information on the expected transitions for people out of each class, as shown below. </w:t>
      </w:r>
    </w:p>
    <w:p w14:paraId="69152DEB" w14:textId="77777777" w:rsidR="00362C71" w:rsidRPr="00EC326F" w:rsidRDefault="00362C71" w:rsidP="00362C71">
      <w:pPr>
        <w:pStyle w:val="Caption"/>
      </w:pPr>
      <w:r w:rsidRPr="00EC326F">
        <w:t xml:space="preserve">Figure </w:t>
      </w:r>
      <w:fldSimple w:instr=" SEQ Figure \* ARABIC ">
        <w:r w:rsidR="007A42DF">
          <w:rPr>
            <w:noProof/>
          </w:rPr>
          <w:t>89</w:t>
        </w:r>
      </w:fldSimple>
      <w:r w:rsidRPr="00EC326F">
        <w:t>: Expected future trajectory for people in Class 10</w:t>
      </w:r>
    </w:p>
    <w:tbl>
      <w:tblPr>
        <w:tblStyle w:val="Tables-APBase"/>
        <w:tblW w:w="472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10"/>
        <w:tblDescription w:val="This text box contains one chart and a legend."/>
      </w:tblPr>
      <w:tblGrid>
        <w:gridCol w:w="6521"/>
        <w:gridCol w:w="3006"/>
      </w:tblGrid>
      <w:tr w:rsidR="00362C71" w:rsidRPr="00EC326F" w14:paraId="55C0E918" w14:textId="77777777" w:rsidTr="009C6553">
        <w:trPr>
          <w:trHeight w:val="3381"/>
          <w:tblHeader/>
        </w:trPr>
        <w:tc>
          <w:tcPr>
            <w:tcW w:w="6521" w:type="dxa"/>
            <w:hideMark/>
          </w:tcPr>
          <w:p w14:paraId="6C8F85B5" w14:textId="77777777" w:rsidR="00362C71" w:rsidRPr="00EC326F" w:rsidRDefault="00362C71" w:rsidP="00487300">
            <w:pPr>
              <w:pStyle w:val="TableTextSmall"/>
            </w:pPr>
            <w:r w:rsidRPr="00EC326F">
              <w:t xml:space="preserve"> </w:t>
            </w:r>
            <w:r w:rsidR="00B21055" w:rsidRPr="00EC326F">
              <w:rPr>
                <w:noProof/>
                <w:lang w:eastAsia="en-AU"/>
              </w:rPr>
              <w:drawing>
                <wp:inline distT="0" distB="0" distL="0" distR="0" wp14:anchorId="370DF959" wp14:editId="6049FE24">
                  <wp:extent cx="3899728" cy="2160000"/>
                  <wp:effectExtent l="0" t="0" r="0" b="0"/>
                  <wp:docPr id="860" name="Picture 860" descr="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e chart includes the 4,187,000 individuals who were in the previous recipients class at 30 June 2016. &#10;&#10;This chart shows that over half of people in this class are projected to be in the previous welfare recipient class by 2036. Of those who do enter into an active class over the same time period, around 20% are expected to be in the pension age class and 5% expected to be in the working age class.&#10;&#10;The features shown in the chart are discussed further in the accompanying text within the report.&#10;" title=" Expected future trajectory for people in Cla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899728" cy="2160000"/>
                          </a:xfrm>
                          <a:prstGeom prst="rect">
                            <a:avLst/>
                          </a:prstGeom>
                          <a:noFill/>
                          <a:ln>
                            <a:noFill/>
                          </a:ln>
                        </pic:spPr>
                      </pic:pic>
                    </a:graphicData>
                  </a:graphic>
                </wp:inline>
              </w:drawing>
            </w:r>
          </w:p>
        </w:tc>
        <w:tc>
          <w:tcPr>
            <w:tcW w:w="3006" w:type="dxa"/>
          </w:tcPr>
          <w:p w14:paraId="59095BD3" w14:textId="77777777" w:rsidR="00362C71" w:rsidRPr="00EC326F" w:rsidRDefault="00362C71" w:rsidP="00487300">
            <w:pPr>
              <w:pStyle w:val="TableTextSmall"/>
            </w:pPr>
          </w:p>
          <w:p w14:paraId="57149D38" w14:textId="77777777" w:rsidR="00362C71" w:rsidRPr="00EC326F" w:rsidRDefault="00362C71" w:rsidP="00487300">
            <w:pPr>
              <w:pStyle w:val="TableTextSmall"/>
            </w:pPr>
            <w:r w:rsidRPr="00EC326F">
              <w:rPr>
                <w:noProof/>
                <w:lang w:eastAsia="en-AU"/>
              </w:rPr>
              <w:drawing>
                <wp:inline distT="0" distB="0" distL="0" distR="0" wp14:anchorId="291CB3CE" wp14:editId="7DAF6D8D">
                  <wp:extent cx="1439545" cy="1591945"/>
                  <wp:effectExtent l="0" t="0" r="8255" b="0"/>
                  <wp:docPr id="406" name="Picture 406" descr="Class key: studying, working age, parents, carers, disability support, pension age, non-income support family, non-income support carer, non-income support other, previous welfare recipient, rest of the Australian population and dead. " title="Class Key for Figure 89"/>
                  <wp:cNvGraphicFramePr/>
                  <a:graphic xmlns:a="http://schemas.openxmlformats.org/drawingml/2006/main">
                    <a:graphicData uri="http://schemas.openxmlformats.org/drawingml/2006/picture">
                      <pic:pic xmlns:pic="http://schemas.openxmlformats.org/drawingml/2006/picture">
                        <pic:nvPicPr>
                          <pic:cNvPr id="195" name="Picture 195" descr="Class keys: studying, working age, parents, carers, disability support, pension age, non-income support family, non-income support carer, non-income support other, previous welfare recipient, rest of the Australian population and dead. " title="Payment class key for Figure 4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4CE058F1" w14:textId="77777777" w:rsidR="00362C71" w:rsidRPr="00EC326F" w:rsidRDefault="00362C71" w:rsidP="00487300">
            <w:pPr>
              <w:pStyle w:val="TableTextSmall"/>
            </w:pPr>
          </w:p>
        </w:tc>
      </w:tr>
    </w:tbl>
    <w:p w14:paraId="64BB2BDD" w14:textId="77777777" w:rsidR="00362C71" w:rsidRPr="00EC326F" w:rsidRDefault="00362C71" w:rsidP="00FC49F8">
      <w:pPr>
        <w:pStyle w:val="PwCNormal-keepwithnext"/>
      </w:pPr>
      <w:r w:rsidRPr="00EC326F">
        <w:t xml:space="preserve">Some observations we can make based on our analysis are that: </w:t>
      </w:r>
    </w:p>
    <w:p w14:paraId="7B8E9792" w14:textId="77777777" w:rsidR="00362C71" w:rsidRPr="00EC326F" w:rsidRDefault="00362C71" w:rsidP="001A4479">
      <w:pPr>
        <w:pStyle w:val="Bullet1"/>
        <w:numPr>
          <w:ilvl w:val="0"/>
          <w:numId w:val="39"/>
        </w:numPr>
      </w:pPr>
      <w:r w:rsidRPr="00EC326F">
        <w:t xml:space="preserve">The pattern for this trajectory chart is different to most those of the active classes seen in </w:t>
      </w:r>
      <w:r w:rsidR="0011562A">
        <w:t>section</w:t>
      </w:r>
      <w:r w:rsidR="00580BD6">
        <w:t>s</w:t>
      </w:r>
      <w:r w:rsidRPr="00EC326F">
        <w:t xml:space="preserve"> </w:t>
      </w:r>
      <w:r w:rsidR="00580BD6">
        <w:fldChar w:fldCharType="begin"/>
      </w:r>
      <w:r w:rsidR="00580BD6">
        <w:instrText xml:space="preserve"> REF _Ref437277121 \w \h </w:instrText>
      </w:r>
      <w:r w:rsidR="00580BD6">
        <w:fldChar w:fldCharType="separate"/>
      </w:r>
      <w:r w:rsidR="007A42DF">
        <w:t>8</w:t>
      </w:r>
      <w:r w:rsidR="00580BD6">
        <w:fldChar w:fldCharType="end"/>
      </w:r>
      <w:r w:rsidR="00580BD6">
        <w:t xml:space="preserve"> and </w:t>
      </w:r>
      <w:r w:rsidR="00580BD6">
        <w:fldChar w:fldCharType="begin"/>
      </w:r>
      <w:r w:rsidR="00580BD6">
        <w:instrText xml:space="preserve"> REF _Ref466373125 \w \h </w:instrText>
      </w:r>
      <w:r w:rsidR="00580BD6">
        <w:fldChar w:fldCharType="separate"/>
      </w:r>
      <w:r w:rsidR="007A42DF">
        <w:t>9</w:t>
      </w:r>
      <w:r w:rsidR="00580BD6">
        <w:fldChar w:fldCharType="end"/>
      </w:r>
      <w:r w:rsidRPr="00EC326F">
        <w:t>. In particular a relatively high proportion are expected to still be in the current class in each future year.</w:t>
      </w:r>
    </w:p>
    <w:p w14:paraId="2859B786" w14:textId="210C4518" w:rsidR="00362C71" w:rsidRPr="00EC326F" w:rsidRDefault="00BE29BE" w:rsidP="001A4479">
      <w:pPr>
        <w:pStyle w:val="Bullet1"/>
        <w:numPr>
          <w:ilvl w:val="0"/>
          <w:numId w:val="39"/>
        </w:numPr>
      </w:pPr>
      <w:r w:rsidRPr="00EC326F">
        <w:t>25-30</w:t>
      </w:r>
      <w:r w:rsidR="00362C71" w:rsidRPr="00EC326F">
        <w:t xml:space="preserve">% of the people currently in class 10 are expected to be in an active class in </w:t>
      </w:r>
      <w:r w:rsidRPr="00EC326F">
        <w:t>10</w:t>
      </w:r>
      <w:r w:rsidR="00362C71" w:rsidRPr="00EC326F">
        <w:t xml:space="preserve"> years</w:t>
      </w:r>
      <w:r w:rsidR="00580BD6">
        <w:t>’</w:t>
      </w:r>
      <w:r w:rsidR="00362C71" w:rsidRPr="00EC326F">
        <w:t xml:space="preserve"> time. The highest entries are expected to be into </w:t>
      </w:r>
      <w:r w:rsidR="00FF7EC9">
        <w:t>‘</w:t>
      </w:r>
      <w:r w:rsidR="00362C71" w:rsidRPr="00EC326F">
        <w:t>2 Working Age</w:t>
      </w:r>
      <w:r w:rsidR="00FF7EC9">
        <w:t>’</w:t>
      </w:r>
      <w:r w:rsidR="00362C71" w:rsidRPr="00EC326F">
        <w:t xml:space="preserve">, </w:t>
      </w:r>
      <w:r w:rsidR="00FF7EC9">
        <w:t>‘</w:t>
      </w:r>
      <w:r w:rsidR="00362C71" w:rsidRPr="00EC326F">
        <w:t>6 Age Pension</w:t>
      </w:r>
      <w:r w:rsidR="00FF7EC9">
        <w:t>’</w:t>
      </w:r>
      <w:r w:rsidRPr="00EC326F">
        <w:t xml:space="preserve"> and</w:t>
      </w:r>
      <w:r w:rsidR="00362C71" w:rsidRPr="00EC326F">
        <w:t xml:space="preserve"> </w:t>
      </w:r>
      <w:r w:rsidR="00FF7EC9">
        <w:t>‘</w:t>
      </w:r>
      <w:r w:rsidR="00362C71" w:rsidRPr="00EC326F">
        <w:t>7 Non IS Family</w:t>
      </w:r>
      <w:r w:rsidR="00FF7EC9">
        <w:t>’</w:t>
      </w:r>
      <w:r w:rsidR="00362C71" w:rsidRPr="00EC326F">
        <w:t>.</w:t>
      </w:r>
    </w:p>
    <w:p w14:paraId="14E25059" w14:textId="77777777" w:rsidR="00362C71" w:rsidRPr="00EC326F" w:rsidRDefault="00657518" w:rsidP="001A4479">
      <w:pPr>
        <w:pStyle w:val="Bullet1"/>
        <w:numPr>
          <w:ilvl w:val="0"/>
          <w:numId w:val="39"/>
        </w:numPr>
      </w:pPr>
      <w:r w:rsidRPr="00EC326F">
        <w:t xml:space="preserve">For most </w:t>
      </w:r>
      <w:r w:rsidR="00362C71" w:rsidRPr="00EC326F">
        <w:t>of this group</w:t>
      </w:r>
      <w:r w:rsidRPr="00EC326F">
        <w:t>, if they receive an income support payment in future it is most likely to be the age pension.</w:t>
      </w:r>
    </w:p>
    <w:p w14:paraId="49311071" w14:textId="77777777" w:rsidR="00362C71" w:rsidRPr="00EC326F" w:rsidRDefault="00362C71" w:rsidP="00362C71">
      <w:pPr>
        <w:pStyle w:val="Minorheading"/>
      </w:pPr>
      <w:r w:rsidRPr="00EC326F">
        <w:t>Duration</w:t>
      </w:r>
    </w:p>
    <w:p w14:paraId="7A509C09" w14:textId="77777777" w:rsidR="00362C71" w:rsidRPr="00EC326F" w:rsidRDefault="00362C71" w:rsidP="001A4479">
      <w:pPr>
        <w:pStyle w:val="PwCNormal"/>
        <w:numPr>
          <w:ilvl w:val="0"/>
          <w:numId w:val="37"/>
        </w:numPr>
      </w:pPr>
      <w:r w:rsidRPr="00EC326F">
        <w:t xml:space="preserve">The average future life expectancy for the </w:t>
      </w:r>
      <w:r w:rsidR="000A3986" w:rsidRPr="00EC326F">
        <w:t>Previous Welfare Recipient</w:t>
      </w:r>
      <w:r w:rsidRPr="00EC326F">
        <w:t xml:space="preserve"> class is </w:t>
      </w:r>
      <w:r w:rsidR="000A3986" w:rsidRPr="00EC326F">
        <w:rPr>
          <w:b/>
        </w:rPr>
        <w:t>46</w:t>
      </w:r>
      <w:r w:rsidRPr="00EC326F">
        <w:t xml:space="preserve"> years. This reflects that the age profile of this class is well distributed across </w:t>
      </w:r>
      <w:r w:rsidR="000A3986" w:rsidRPr="00EC326F">
        <w:t xml:space="preserve">most pre-retirement </w:t>
      </w:r>
      <w:r w:rsidRPr="00EC326F">
        <w:t>ages.</w:t>
      </w:r>
    </w:p>
    <w:p w14:paraId="017EEF13" w14:textId="77777777" w:rsidR="00362C71" w:rsidRPr="00EC326F" w:rsidRDefault="00362C71" w:rsidP="00362C71">
      <w:pPr>
        <w:pStyle w:val="PwCNormal"/>
        <w:numPr>
          <w:ilvl w:val="0"/>
          <w:numId w:val="0"/>
        </w:numPr>
      </w:pPr>
      <w:r w:rsidRPr="00EC326F">
        <w:t>The table below provides a summary of the expected welfare system use of people currently in this class over this time. This has been developed by considering which classes people move into as they move through the welfare system over their lives.</w:t>
      </w:r>
    </w:p>
    <w:p w14:paraId="7DA64B4B" w14:textId="77777777" w:rsidR="00362C71" w:rsidRPr="00EC326F" w:rsidRDefault="00362C71" w:rsidP="00362C71">
      <w:pPr>
        <w:pStyle w:val="Caption"/>
      </w:pPr>
      <w:r w:rsidRPr="00EC326F">
        <w:t xml:space="preserve">Table </w:t>
      </w:r>
      <w:fldSimple w:instr=" SEQ Table \* ARABIC ">
        <w:r w:rsidR="007A42DF">
          <w:rPr>
            <w:noProof/>
          </w:rPr>
          <w:t>47</w:t>
        </w:r>
      </w:fldSimple>
      <w:r w:rsidRPr="00EC326F">
        <w:t xml:space="preserve">: Expected durations in welfare system for people currently in Class 10 </w:t>
      </w:r>
    </w:p>
    <w:tbl>
      <w:tblPr>
        <w:tblStyle w:val="ListTable3-Accent62"/>
        <w:tblW w:w="8868" w:type="dxa"/>
        <w:tblInd w:w="108" w:type="dxa"/>
        <w:tblLook w:val="04A0" w:firstRow="1" w:lastRow="0" w:firstColumn="1" w:lastColumn="0" w:noHBand="0" w:noVBand="1"/>
        <w:tblCaption w:val=" Expected durations in welfare system for people currently in Class 10 &#10;&#10;"/>
        <w:tblDescription w:val="This table provides data on the expected number of years that people currently in Class 10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10 is 46 years. &#10;&#10;People in Class 10 are expected to receive some form of income support payment (excluding the age pension) for 4 years, 8% of their future lifetime. It is expected that they will receive the age pension for 15 years (33% of their future lifetime), non-income support payments only for 4 years (8% of their future lifetime) and no welfare payments for 24 years (52% of their future lifetime).&#10;"/>
      </w:tblPr>
      <w:tblGrid>
        <w:gridCol w:w="3828"/>
        <w:gridCol w:w="2520"/>
        <w:gridCol w:w="2520"/>
      </w:tblGrid>
      <w:tr w:rsidR="00362C71" w:rsidRPr="00EC326F" w14:paraId="4025501B"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4" w:space="0" w:color="E0301E" w:themeColor="accent6"/>
              <w:left w:val="single" w:sz="4" w:space="0" w:color="E0301E" w:themeColor="accent6"/>
            </w:tcBorders>
          </w:tcPr>
          <w:p w14:paraId="6FA38091" w14:textId="77777777" w:rsidR="00362C71" w:rsidRPr="00EC326F" w:rsidRDefault="00362C71" w:rsidP="00487300">
            <w:pPr>
              <w:pStyle w:val="TableTextSmall"/>
              <w:jc w:val="center"/>
              <w:rPr>
                <w:rFonts w:asciiTheme="majorHAnsi" w:hAnsiTheme="majorHAnsi"/>
                <w:color w:val="FFFFFF" w:themeColor="background1"/>
              </w:rPr>
            </w:pPr>
          </w:p>
        </w:tc>
        <w:tc>
          <w:tcPr>
            <w:tcW w:w="2520" w:type="dxa"/>
            <w:tcBorders>
              <w:top w:val="single" w:sz="4" w:space="0" w:color="E0301E" w:themeColor="accent6"/>
              <w:left w:val="nil"/>
              <w:bottom w:val="nil"/>
              <w:right w:val="nil"/>
            </w:tcBorders>
            <w:hideMark/>
          </w:tcPr>
          <w:p w14:paraId="6E883DDF" w14:textId="77777777" w:rsidR="00362C71" w:rsidRPr="00EC326F" w:rsidRDefault="00362C71" w:rsidP="00487300">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Expected Years</w:t>
            </w:r>
          </w:p>
        </w:tc>
        <w:tc>
          <w:tcPr>
            <w:tcW w:w="2520" w:type="dxa"/>
            <w:tcBorders>
              <w:top w:val="single" w:sz="4" w:space="0" w:color="E0301E" w:themeColor="accent6"/>
              <w:left w:val="nil"/>
              <w:bottom w:val="nil"/>
              <w:right w:val="single" w:sz="4" w:space="0" w:color="E0301E" w:themeColor="accent6"/>
            </w:tcBorders>
            <w:hideMark/>
          </w:tcPr>
          <w:p w14:paraId="7BBA964F" w14:textId="77777777" w:rsidR="00362C71" w:rsidRPr="00EC326F" w:rsidRDefault="00362C71" w:rsidP="00487300">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Proportion of Future Lifetime</w:t>
            </w:r>
          </w:p>
        </w:tc>
      </w:tr>
      <w:tr w:rsidR="00362C71" w:rsidRPr="00EC326F" w14:paraId="0719D175" w14:textId="77777777" w:rsidTr="0048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727EFBF0" w14:textId="77777777" w:rsidR="00362C71" w:rsidRPr="00EC326F" w:rsidRDefault="00362C71" w:rsidP="00487300">
            <w:pPr>
              <w:pStyle w:val="TableTextSmall"/>
            </w:pPr>
            <w:r w:rsidRPr="00EC326F">
              <w:t>Years with some income support payments:</w:t>
            </w:r>
          </w:p>
          <w:p w14:paraId="0C94281E" w14:textId="77777777" w:rsidR="00362C71" w:rsidRPr="00EC326F" w:rsidRDefault="00362C71" w:rsidP="001A4479">
            <w:pPr>
              <w:pStyle w:val="TableTextSmall"/>
              <w:numPr>
                <w:ilvl w:val="0"/>
                <w:numId w:val="43"/>
              </w:numPr>
            </w:pPr>
            <w:r w:rsidRPr="00EC326F">
              <w:t>Not aged pension (classes 1-5)</w:t>
            </w:r>
          </w:p>
          <w:p w14:paraId="2AD3B92D" w14:textId="77777777" w:rsidR="00362C71" w:rsidRPr="00EC326F" w:rsidRDefault="00362C71" w:rsidP="001A4479">
            <w:pPr>
              <w:pStyle w:val="TableTextSmall"/>
              <w:numPr>
                <w:ilvl w:val="0"/>
                <w:numId w:val="43"/>
              </w:numPr>
            </w:pPr>
            <w:r w:rsidRPr="00EC326F">
              <w:t>Aged pension (class 6)</w:t>
            </w:r>
          </w:p>
        </w:tc>
        <w:tc>
          <w:tcPr>
            <w:tcW w:w="2520" w:type="dxa"/>
            <w:tcBorders>
              <w:left w:val="nil"/>
              <w:right w:val="nil"/>
            </w:tcBorders>
            <w:hideMark/>
          </w:tcPr>
          <w:p w14:paraId="1773C89E" w14:textId="77777777" w:rsidR="00362C71" w:rsidRPr="00EC326F" w:rsidRDefault="00362C71"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4</w:t>
            </w:r>
          </w:p>
          <w:p w14:paraId="4FE423FF" w14:textId="77777777" w:rsidR="00362C71" w:rsidRPr="00EC326F" w:rsidRDefault="000A3986" w:rsidP="000A3986">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15</w:t>
            </w:r>
          </w:p>
        </w:tc>
        <w:tc>
          <w:tcPr>
            <w:tcW w:w="2520" w:type="dxa"/>
            <w:tcBorders>
              <w:left w:val="nil"/>
              <w:right w:val="single" w:sz="4" w:space="0" w:color="E0301E" w:themeColor="accent6"/>
            </w:tcBorders>
            <w:hideMark/>
          </w:tcPr>
          <w:p w14:paraId="7E45DC3A" w14:textId="77777777" w:rsidR="00362C71" w:rsidRPr="00EC326F" w:rsidRDefault="00362C71"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t>8%</w:t>
            </w:r>
          </w:p>
          <w:p w14:paraId="591EA12B" w14:textId="77777777" w:rsidR="00362C71" w:rsidRPr="00EC326F" w:rsidRDefault="00362C71" w:rsidP="000A3986">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w:t>
            </w:r>
            <w:r w:rsidR="000A3986" w:rsidRPr="00EC326F">
              <w:t>3</w:t>
            </w:r>
            <w:r w:rsidRPr="00EC326F">
              <w:t>%</w:t>
            </w:r>
          </w:p>
        </w:tc>
      </w:tr>
      <w:tr w:rsidR="00362C71" w:rsidRPr="00EC326F" w14:paraId="412D6551" w14:textId="77777777" w:rsidTr="00487300">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hideMark/>
          </w:tcPr>
          <w:p w14:paraId="04851906" w14:textId="77777777" w:rsidR="00362C71" w:rsidRPr="00EC326F" w:rsidRDefault="00362C71" w:rsidP="00487300">
            <w:pPr>
              <w:pStyle w:val="TableTextSmall"/>
            </w:pPr>
            <w:r w:rsidRPr="00EC326F">
              <w:t>Years with non-income support payments only</w:t>
            </w:r>
          </w:p>
        </w:tc>
        <w:tc>
          <w:tcPr>
            <w:tcW w:w="2520" w:type="dxa"/>
            <w:tcBorders>
              <w:top w:val="nil"/>
              <w:left w:val="nil"/>
              <w:bottom w:val="nil"/>
              <w:right w:val="nil"/>
            </w:tcBorders>
            <w:hideMark/>
          </w:tcPr>
          <w:p w14:paraId="011DB268" w14:textId="77777777" w:rsidR="00362C71" w:rsidRPr="00EC326F" w:rsidRDefault="000A3986"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4</w:t>
            </w:r>
          </w:p>
        </w:tc>
        <w:tc>
          <w:tcPr>
            <w:tcW w:w="2520" w:type="dxa"/>
            <w:tcBorders>
              <w:top w:val="nil"/>
              <w:left w:val="nil"/>
              <w:bottom w:val="nil"/>
              <w:right w:val="single" w:sz="4" w:space="0" w:color="E0301E" w:themeColor="accent6"/>
            </w:tcBorders>
            <w:hideMark/>
          </w:tcPr>
          <w:p w14:paraId="6B51EE3C" w14:textId="77777777" w:rsidR="00362C71" w:rsidRPr="00EC326F" w:rsidRDefault="000A3986"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8</w:t>
            </w:r>
            <w:r w:rsidR="00362C71" w:rsidRPr="00EC326F">
              <w:t>%</w:t>
            </w:r>
          </w:p>
        </w:tc>
      </w:tr>
      <w:tr w:rsidR="00362C71" w:rsidRPr="00EC326F" w14:paraId="0C2BADCF" w14:textId="77777777" w:rsidTr="0048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05949AA3" w14:textId="77777777" w:rsidR="00362C71" w:rsidRPr="00EC326F" w:rsidRDefault="00362C71" w:rsidP="00487300">
            <w:pPr>
              <w:pStyle w:val="TableTextSmall"/>
            </w:pPr>
            <w:r w:rsidRPr="00EC326F">
              <w:t>Years not receiving any welfare payments</w:t>
            </w:r>
          </w:p>
        </w:tc>
        <w:tc>
          <w:tcPr>
            <w:tcW w:w="2520" w:type="dxa"/>
            <w:tcBorders>
              <w:left w:val="nil"/>
              <w:right w:val="nil"/>
            </w:tcBorders>
            <w:hideMark/>
          </w:tcPr>
          <w:p w14:paraId="30FD1A42" w14:textId="77777777" w:rsidR="00362C71" w:rsidRPr="00EC326F" w:rsidRDefault="000A3986"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24</w:t>
            </w:r>
          </w:p>
        </w:tc>
        <w:tc>
          <w:tcPr>
            <w:tcW w:w="2520" w:type="dxa"/>
            <w:tcBorders>
              <w:left w:val="nil"/>
              <w:right w:val="single" w:sz="4" w:space="0" w:color="E0301E" w:themeColor="accent6"/>
            </w:tcBorders>
            <w:hideMark/>
          </w:tcPr>
          <w:p w14:paraId="78E534E8" w14:textId="77777777" w:rsidR="00362C71" w:rsidRPr="00EC326F" w:rsidRDefault="000A3986"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52</w:t>
            </w:r>
            <w:r w:rsidR="00362C71" w:rsidRPr="00EC326F">
              <w:t>%</w:t>
            </w:r>
          </w:p>
        </w:tc>
      </w:tr>
      <w:tr w:rsidR="00362C71" w:rsidRPr="00EC326F" w14:paraId="6B773289" w14:textId="77777777" w:rsidTr="00487300">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hideMark/>
          </w:tcPr>
          <w:p w14:paraId="02B785B1" w14:textId="77777777" w:rsidR="00362C71" w:rsidRPr="00EC326F" w:rsidRDefault="00362C71" w:rsidP="00487300">
            <w:pPr>
              <w:pStyle w:val="TableTextSmall"/>
            </w:pPr>
            <w:r w:rsidRPr="00EC326F">
              <w:t>Total</w:t>
            </w:r>
          </w:p>
        </w:tc>
        <w:tc>
          <w:tcPr>
            <w:tcW w:w="2520" w:type="dxa"/>
            <w:tcBorders>
              <w:top w:val="nil"/>
              <w:left w:val="nil"/>
              <w:bottom w:val="single" w:sz="4" w:space="0" w:color="E0301E" w:themeColor="accent6"/>
              <w:right w:val="nil"/>
            </w:tcBorders>
            <w:hideMark/>
          </w:tcPr>
          <w:p w14:paraId="55908036" w14:textId="77777777" w:rsidR="00362C71" w:rsidRPr="00EC326F" w:rsidRDefault="000A3986"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46</w:t>
            </w:r>
          </w:p>
        </w:tc>
        <w:tc>
          <w:tcPr>
            <w:tcW w:w="2520" w:type="dxa"/>
            <w:tcBorders>
              <w:top w:val="nil"/>
              <w:left w:val="nil"/>
              <w:bottom w:val="single" w:sz="4" w:space="0" w:color="E0301E" w:themeColor="accent6"/>
              <w:right w:val="single" w:sz="4" w:space="0" w:color="E0301E" w:themeColor="accent6"/>
            </w:tcBorders>
            <w:hideMark/>
          </w:tcPr>
          <w:p w14:paraId="23937834" w14:textId="77777777" w:rsidR="00362C71" w:rsidRPr="00EC326F" w:rsidRDefault="00362C71"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100%</w:t>
            </w:r>
          </w:p>
        </w:tc>
      </w:tr>
    </w:tbl>
    <w:p w14:paraId="56DAB531" w14:textId="77777777" w:rsidR="00362C71" w:rsidRPr="00EC326F" w:rsidRDefault="00362C71" w:rsidP="00362C71">
      <w:pPr>
        <w:pStyle w:val="PwCNormal"/>
        <w:numPr>
          <w:ilvl w:val="0"/>
          <w:numId w:val="0"/>
        </w:numPr>
      </w:pPr>
    </w:p>
    <w:p w14:paraId="1F6609B8" w14:textId="77777777" w:rsidR="000A3986" w:rsidRPr="00EC326F" w:rsidRDefault="000A3986" w:rsidP="00364886">
      <w:pPr>
        <w:pStyle w:val="PwCNormal"/>
        <w:rPr>
          <w:color w:val="E03028"/>
          <w:sz w:val="28"/>
        </w:rPr>
      </w:pPr>
      <w:r w:rsidRPr="00EC326F">
        <w:br w:type="page"/>
      </w:r>
    </w:p>
    <w:p w14:paraId="288FA76B" w14:textId="77777777" w:rsidR="00362C71" w:rsidRPr="00EC326F" w:rsidRDefault="00362C71" w:rsidP="00362C71">
      <w:pPr>
        <w:pStyle w:val="Heading3"/>
      </w:pPr>
      <w:bookmarkStart w:id="423" w:name="_Toc493844269"/>
      <w:r w:rsidRPr="00EC326F">
        <w:lastRenderedPageBreak/>
        <w:t>Rest of the Australian population</w:t>
      </w:r>
      <w:bookmarkEnd w:id="423"/>
    </w:p>
    <w:p w14:paraId="2A1689F7" w14:textId="77777777" w:rsidR="00362C71" w:rsidRPr="00EC326F" w:rsidRDefault="00362C71" w:rsidP="00362C71">
      <w:pPr>
        <w:pStyle w:val="PwCNormal"/>
        <w:numPr>
          <w:ilvl w:val="0"/>
          <w:numId w:val="1"/>
        </w:numPr>
      </w:pPr>
      <w:r w:rsidRPr="00EC326F">
        <w:t>This group (class 12) is the remainder of the population, being the group of people who have not received any payments during the period covered by the data analysed – broadly the last 15 years. This group will include some people who were welfare recipients prior to that time alongside others who have never received a payment.</w:t>
      </w:r>
    </w:p>
    <w:p w14:paraId="3DB79741" w14:textId="77777777" w:rsidR="00362C71" w:rsidRPr="00EC326F" w:rsidRDefault="00362C71" w:rsidP="00362C71">
      <w:pPr>
        <w:pStyle w:val="Heading4"/>
      </w:pPr>
      <w:r w:rsidRPr="00EC326F">
        <w:t>What does the data tell us about the previous welfare recipients class?</w:t>
      </w:r>
    </w:p>
    <w:p w14:paraId="4732803D" w14:textId="77777777" w:rsidR="00362C71" w:rsidRPr="00EC326F" w:rsidRDefault="00362C71" w:rsidP="00362C71">
      <w:pPr>
        <w:pStyle w:val="PwCNormal"/>
        <w:numPr>
          <w:ilvl w:val="0"/>
          <w:numId w:val="0"/>
        </w:numPr>
      </w:pPr>
      <w:r w:rsidRPr="00EC326F">
        <w:t>There were 11,929,</w:t>
      </w:r>
      <w:r w:rsidR="00597603" w:rsidRPr="00EC326F">
        <w:t>432</w:t>
      </w:r>
      <w:r w:rsidRPr="00EC326F">
        <w:t xml:space="preserve"> people (74.0% of non-welfare recipients) in the rest of the Australian population class in the 2016 model population.</w:t>
      </w:r>
    </w:p>
    <w:p w14:paraId="776E8603" w14:textId="77777777" w:rsidR="00362C71" w:rsidRPr="00EC326F" w:rsidRDefault="00362C71" w:rsidP="00362C71">
      <w:r w:rsidRPr="00EC326F">
        <w:t>The following chart shows a breakdown of the number of people in this class by age and gender.</w:t>
      </w:r>
    </w:p>
    <w:p w14:paraId="661829D5" w14:textId="77777777" w:rsidR="00362C71" w:rsidRPr="00EC326F" w:rsidRDefault="00362C71" w:rsidP="00362C71">
      <w:pPr>
        <w:pStyle w:val="Caption"/>
      </w:pPr>
      <w:r w:rsidRPr="00EC326F">
        <w:t xml:space="preserve">Figure </w:t>
      </w:r>
      <w:fldSimple w:instr=" SEQ Figure \* ARABIC ">
        <w:r w:rsidR="007A42DF">
          <w:rPr>
            <w:noProof/>
          </w:rPr>
          <w:t>90</w:t>
        </w:r>
      </w:fldSimple>
      <w:r w:rsidRPr="00EC326F">
        <w:t>: Profile of people in Class 12 – all people in class (age/gender)</w:t>
      </w:r>
    </w:p>
    <w:tbl>
      <w:tblPr>
        <w:tblStyle w:val="Tables-APBase"/>
        <w:tblW w:w="386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Profile of people in Class 12 – all people in class (age/gender)&#10;"/>
        <w:tblDescription w:val="This figure is a horizontal bar chart showing the number of people in the rest of the Australian population class at Jun16 by age for males and females separately. The vertical axis shows age with the data shown ranging from 0 to 100. The horizontal axis shows the number of people ranging from 0 to 200,000. The number of males at each age are shown by the horizontal bars to the left of the vertical axis and the number of females at each age are shown by horizontal bars to the right.&#10;&#10;The chart is based on the 11,929,000 individuals who were in the rest of the Australian population class at 30 June 2016. &#10;&#10;The chart shows that there are more males in this group and people are generally aged between 0 and 65. The number of males and females are highest at the youngest ages and decrease with age. There are approximately 156,000 males aged 0. This number decreases with age to approximately 73,000 at age 32. The number of male clients then increases slightly with age from age 32 to age 55 before dropping back sharply to 9,000 at age 75.&#10;&#10;There are approximately 148,000 females aged 0. This number decreases with age to approximately 23,000 at age 41. After age 41 the number of females increases steadily by age to approximately 58,000 at age 64. After age 64 the number of females again drops significantly to 5,000 by age 75.&#10;&#10;"/>
      </w:tblPr>
      <w:tblGrid>
        <w:gridCol w:w="5529"/>
        <w:gridCol w:w="2268"/>
      </w:tblGrid>
      <w:tr w:rsidR="00362C71" w:rsidRPr="00EC326F" w14:paraId="3A16685C" w14:textId="77777777" w:rsidTr="009C6553">
        <w:trPr>
          <w:tblHeader/>
        </w:trPr>
        <w:tc>
          <w:tcPr>
            <w:tcW w:w="5529" w:type="dxa"/>
          </w:tcPr>
          <w:p w14:paraId="4809BD40" w14:textId="77777777" w:rsidR="00362C71" w:rsidRPr="00EC326F" w:rsidRDefault="00F177DF" w:rsidP="00F177DF">
            <w:pPr>
              <w:pStyle w:val="TableTextSmall"/>
              <w:keepNext/>
              <w:rPr>
                <w:lang w:eastAsia="en-AU"/>
              </w:rPr>
            </w:pPr>
            <w:r w:rsidRPr="00EC326F">
              <w:rPr>
                <w:noProof/>
                <w:lang w:eastAsia="en-AU"/>
              </w:rPr>
              <w:drawing>
                <wp:inline distT="0" distB="0" distL="0" distR="0" wp14:anchorId="77FA7034" wp14:editId="7DE7086D">
                  <wp:extent cx="3444324" cy="2160000"/>
                  <wp:effectExtent l="0" t="0" r="3810" b="0"/>
                  <wp:docPr id="194" name="Picture 194" descr="This figure is a horizontal bar chart showing the number of people in the rest of the Australian population class at Jun16 by age for males and females separately. The vertical axis shows age with the data shown ranging from 0 to 100. The horizontal axis shows the number of people ranging from 0 to 200,000. The number of males at each age are shown by the horizontal bars to the left of the vertical axis and the number of females at each age are shown by horizontal bars to the right.&#10;&#10;The chart is based on the 11,929,000 individuals who were in the rest of the Australian population class at 30 June 2016. &#10;&#10;The chart shows that there are more males in this group and people are generally aged between 0 and 65. The number of males and females are highest at the youngest ages and decrease with age. There are approximately 156,000 males aged 0. This number decreases with age to approximately 73,000 at age 32. The number of male clients then increases slightly with age from age 32 to age 55 before dropping back sharply to 9,000 at age 75.&#10;&#10;There are approximately 148,000 females aged 0. This number decreases with age to approximately 23,000 at age 41. After age 41 the number of females increases steadily by age to approximately 58,000 at age 64. After age 64 the number of females again drops significantly to 5,000 by age 75.&#10;&#10;" title=" Profile of people in Class 12 – all people in class (age/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444324" cy="2160000"/>
                          </a:xfrm>
                          <a:prstGeom prst="rect">
                            <a:avLst/>
                          </a:prstGeom>
                          <a:noFill/>
                          <a:ln>
                            <a:noFill/>
                          </a:ln>
                        </pic:spPr>
                      </pic:pic>
                    </a:graphicData>
                  </a:graphic>
                </wp:inline>
              </w:drawing>
            </w:r>
          </w:p>
        </w:tc>
        <w:tc>
          <w:tcPr>
            <w:tcW w:w="2268" w:type="dxa"/>
          </w:tcPr>
          <w:p w14:paraId="3CC3AED1" w14:textId="77777777" w:rsidR="00362C71" w:rsidRPr="00EC326F" w:rsidRDefault="00362C71" w:rsidP="005D6CEC">
            <w:pPr>
              <w:pStyle w:val="TableTextSmall"/>
              <w:keepNext/>
              <w:rPr>
                <w:lang w:eastAsia="en-AU"/>
              </w:rPr>
            </w:pPr>
          </w:p>
        </w:tc>
      </w:tr>
    </w:tbl>
    <w:p w14:paraId="08AE627F" w14:textId="77777777" w:rsidR="00362C71" w:rsidRPr="00EC326F" w:rsidRDefault="00362C71" w:rsidP="00362C71">
      <w:pPr>
        <w:pStyle w:val="PwCNormal"/>
        <w:numPr>
          <w:ilvl w:val="0"/>
          <w:numId w:val="0"/>
        </w:numPr>
      </w:pPr>
      <w:r w:rsidRPr="00EC326F">
        <w:t>There are more men in this class than women and this is likely because women are more likely to have received FTB or family payments and have been in the large Non IS Family class.</w:t>
      </w:r>
      <w:r w:rsidR="00A27609">
        <w:t xml:space="preserve"> If these groups subsequently exit they move into class 10 rather than return to class 12.</w:t>
      </w:r>
    </w:p>
    <w:p w14:paraId="25056A25" w14:textId="77777777" w:rsidR="00362C71" w:rsidRPr="00EC326F" w:rsidRDefault="00362C71" w:rsidP="00362C71">
      <w:pPr>
        <w:pStyle w:val="Minorheading"/>
      </w:pPr>
      <w:r w:rsidRPr="00EC326F">
        <w:t>Movements into this class</w:t>
      </w:r>
    </w:p>
    <w:p w14:paraId="5BC5D645" w14:textId="77777777" w:rsidR="00362C71" w:rsidRPr="00EC326F" w:rsidRDefault="00A27609" w:rsidP="00B568BA">
      <w:pPr>
        <w:pStyle w:val="PwCNormal"/>
        <w:numPr>
          <w:ilvl w:val="0"/>
          <w:numId w:val="1"/>
        </w:numPr>
      </w:pPr>
      <w:r>
        <w:t>By definition t</w:t>
      </w:r>
      <w:r w:rsidR="00362C71" w:rsidRPr="00EC326F">
        <w:t xml:space="preserve">here are no movements into this class. However it should be noted that the model population changes from valuation to valuation </w:t>
      </w:r>
      <w:r>
        <w:t xml:space="preserve">to reflect the profile of the Australian resident population after considering those people assigned to other classes </w:t>
      </w:r>
      <w:r w:rsidR="00362C71" w:rsidRPr="00EC326F">
        <w:t>and this impacts on the number of people in this class compared to last year.</w:t>
      </w:r>
    </w:p>
    <w:p w14:paraId="4FBA042F" w14:textId="77777777" w:rsidR="00362C71" w:rsidRPr="00EC326F" w:rsidRDefault="00362C71" w:rsidP="00362C71">
      <w:pPr>
        <w:pStyle w:val="PwCNormal"/>
        <w:numPr>
          <w:ilvl w:val="0"/>
          <w:numId w:val="1"/>
        </w:numPr>
      </w:pPr>
      <w:r w:rsidRPr="00EC326F">
        <w:t>As previously noted the model population includes all Australian residents at the valuation date and overseas welfare recipients who received a payment in the previous year. Between 30 June 2015 and 30 June 2016 we have estimated that there were</w:t>
      </w:r>
      <w:r w:rsidR="00A27609">
        <w:t xml:space="preserve"> around</w:t>
      </w:r>
      <w:r w:rsidRPr="00EC326F">
        <w:t xml:space="preserve"> 300,000 births and a net migration into Australia of around 150,000. The majority of th</w:t>
      </w:r>
      <w:r w:rsidR="00A27609">
        <w:t>e</w:t>
      </w:r>
      <w:r w:rsidRPr="00EC326F">
        <w:t>s</w:t>
      </w:r>
      <w:r w:rsidR="00A27609">
        <w:t>e</w:t>
      </w:r>
      <w:r w:rsidRPr="00EC326F">
        <w:t xml:space="preserve"> group</w:t>
      </w:r>
      <w:r w:rsidR="00A27609">
        <w:t>s</w:t>
      </w:r>
      <w:r w:rsidRPr="00EC326F">
        <w:t xml:space="preserve"> have entered the model population as additional people in class 12.</w:t>
      </w:r>
    </w:p>
    <w:p w14:paraId="2E3F673A" w14:textId="77777777" w:rsidR="00362C71" w:rsidRPr="00EC326F" w:rsidRDefault="005D17E7" w:rsidP="00362C71">
      <w:pPr>
        <w:pStyle w:val="Minorheading"/>
      </w:pPr>
      <w:r w:rsidRPr="00EC326F">
        <w:t xml:space="preserve">Movements out of </w:t>
      </w:r>
      <w:r w:rsidR="00362C71" w:rsidRPr="00EC326F">
        <w:t>this class</w:t>
      </w:r>
    </w:p>
    <w:p w14:paraId="5167E1FA" w14:textId="77777777" w:rsidR="00362C71" w:rsidRPr="00EC326F" w:rsidRDefault="00362C71" w:rsidP="00362C71">
      <w:pPr>
        <w:pStyle w:val="PwCNormal"/>
        <w:numPr>
          <w:ilvl w:val="0"/>
          <w:numId w:val="1"/>
        </w:numPr>
      </w:pPr>
      <w:r w:rsidRPr="00EC326F">
        <w:t>Over the last 3 years, an average of 458,300 people (</w:t>
      </w:r>
      <w:r w:rsidR="00210614" w:rsidRPr="00EC326F">
        <w:t>around 4</w:t>
      </w:r>
      <w:r w:rsidRPr="00EC326F">
        <w:t xml:space="preserve">%) per annum </w:t>
      </w:r>
      <w:r w:rsidR="005D17E7" w:rsidRPr="00EC326F">
        <w:t xml:space="preserve">have moved out of this class. These are predominantly entries into the welfare system, although a </w:t>
      </w:r>
      <w:r w:rsidR="00A27609">
        <w:t xml:space="preserve">very </w:t>
      </w:r>
      <w:r w:rsidR="005D17E7" w:rsidRPr="00EC326F">
        <w:t xml:space="preserve">small proportion of people die and move to class 11. </w:t>
      </w:r>
      <w:r w:rsidRPr="00EC326F">
        <w:t xml:space="preserve">The following charts show the breakdown of this by age, gender and destination class. </w:t>
      </w:r>
    </w:p>
    <w:p w14:paraId="19551FB8" w14:textId="77777777" w:rsidR="00362C71" w:rsidRPr="00EC326F" w:rsidRDefault="00362C71" w:rsidP="00362C71">
      <w:pPr>
        <w:pStyle w:val="Caption"/>
      </w:pPr>
      <w:r w:rsidRPr="00EC326F">
        <w:lastRenderedPageBreak/>
        <w:t xml:space="preserve">Figure </w:t>
      </w:r>
      <w:fldSimple w:instr=" SEQ Figure \* ARABIC ">
        <w:r w:rsidR="007A42DF">
          <w:rPr>
            <w:noProof/>
          </w:rPr>
          <w:t>91</w:t>
        </w:r>
      </w:fldSimple>
      <w:r w:rsidRPr="00EC326F">
        <w:t xml:space="preserve">: Number of people </w:t>
      </w:r>
      <w:r w:rsidR="005D17E7" w:rsidRPr="00EC326F">
        <w:t>leaving</w:t>
      </w:r>
      <w:r w:rsidRPr="00EC326F">
        <w:t xml:space="preserve"> Class 12 – Rest of Australian population (annual average over last 3 years)</w:t>
      </w:r>
    </w:p>
    <w:tbl>
      <w:tblPr>
        <w:tblW w:w="4922" w:type="pct"/>
        <w:tblLayout w:type="fixed"/>
        <w:tblLook w:val="04A0" w:firstRow="1" w:lastRow="0" w:firstColumn="1" w:lastColumn="0" w:noHBand="0" w:noVBand="1"/>
        <w:tblCaption w:val="Number of people leaving Class 12 – Rest of Australian population (annual average over last 3 years)"/>
        <w:tblDescription w:val="This text box contains two charts and a legend."/>
      </w:tblPr>
      <w:tblGrid>
        <w:gridCol w:w="4962"/>
        <w:gridCol w:w="4962"/>
      </w:tblGrid>
      <w:tr w:rsidR="00362C71" w:rsidRPr="00EC326F" w14:paraId="10A508EC" w14:textId="77777777" w:rsidTr="001B43B4">
        <w:trPr>
          <w:tblHeader/>
        </w:trPr>
        <w:tc>
          <w:tcPr>
            <w:tcW w:w="4962" w:type="dxa"/>
          </w:tcPr>
          <w:p w14:paraId="71AE9EE5" w14:textId="77777777" w:rsidR="00362C71" w:rsidRPr="00EC326F" w:rsidRDefault="00362C71" w:rsidP="00487300">
            <w:pPr>
              <w:pStyle w:val="TableTextSmall"/>
              <w:keepNext/>
              <w:jc w:val="center"/>
              <w:rPr>
                <w:b/>
                <w:i/>
              </w:rPr>
            </w:pPr>
            <w:r w:rsidRPr="00EC326F">
              <w:rPr>
                <w:b/>
                <w:i/>
              </w:rPr>
              <w:t>Males</w:t>
            </w:r>
          </w:p>
        </w:tc>
        <w:tc>
          <w:tcPr>
            <w:tcW w:w="4962" w:type="dxa"/>
          </w:tcPr>
          <w:p w14:paraId="5312BB37" w14:textId="77777777" w:rsidR="00362C71" w:rsidRPr="00EC326F" w:rsidRDefault="00362C71" w:rsidP="00487300">
            <w:pPr>
              <w:pStyle w:val="TableTextSmall"/>
              <w:keepNext/>
              <w:jc w:val="center"/>
              <w:rPr>
                <w:b/>
                <w:i/>
              </w:rPr>
            </w:pPr>
            <w:r w:rsidRPr="00EC326F">
              <w:rPr>
                <w:b/>
                <w:i/>
              </w:rPr>
              <w:t>Females</w:t>
            </w:r>
          </w:p>
        </w:tc>
      </w:tr>
      <w:tr w:rsidR="00362C71" w:rsidRPr="00EC326F" w14:paraId="6A293360" w14:textId="77777777" w:rsidTr="0016127C">
        <w:tc>
          <w:tcPr>
            <w:tcW w:w="4962" w:type="dxa"/>
          </w:tcPr>
          <w:p w14:paraId="2653F457" w14:textId="77777777" w:rsidR="00362C71" w:rsidRPr="00EC326F" w:rsidRDefault="00362C71" w:rsidP="00487300">
            <w:pPr>
              <w:pStyle w:val="TableTextSmall"/>
              <w:keepNext/>
              <w:rPr>
                <w:lang w:eastAsia="en-AU"/>
              </w:rPr>
            </w:pPr>
            <w:r w:rsidRPr="00EC326F">
              <w:rPr>
                <w:noProof/>
                <w:lang w:eastAsia="en-AU"/>
              </w:rPr>
              <w:drawing>
                <wp:inline distT="0" distB="0" distL="0" distR="0" wp14:anchorId="6ECB1F47" wp14:editId="52E0F884">
                  <wp:extent cx="3009900" cy="1765300"/>
                  <wp:effectExtent l="0" t="0" r="0" b="6350"/>
                  <wp:docPr id="855" name="Picture 855" descr="This figure contains two area charts showing the cumulative number of exits from the Rest of the Australian Population class by age. The age profile of male and female exits is shown separately. For both charts the horizontal axis shows age at the start of the year ranging from 0 to 110 and the vertical axis shows the cumulative number of people exiting ranging from 0 to 25,000.&#10;&#10;The left hand chart shows the average number of males exiting the class over the period from June 2014 to June 2016, by age. The right hand chart shows the average number of females exiting the class over the period from June 2014 to June 2016, by age.&#10;&#10;Both area charts show the cumulative number of people who exited the Rest of the Australian Population class split by the class they subsequently transition to. These classes include; 1 Studying, 2 Working Age, 3 Parents, 4 Carers, 5 Disability Support, 6 Pension Age, 7 Non-IS Family, 8 Non-IS Carer, 9 Non-IS Other, 10 Previous Welfare Recipient and 11 Dead.&#10;&#10;Both the male and female exit charts display notable peaks in the number of class 12 exits at ages associated with key entry points in the welfare system; 18, 22, 32 and 65.The peak at age 18 (24,700 female exits, 21,700 male exits) is associated with transitions to the studying and working age class. At age 22, there are 10,500 male exits and 11,800 female exits also associated with movements to the studying and working age class. Between ages 25 and 45, the majority of exits from Class 12 involve transitions to Class 9 Non IS Other or Class 2 Working Age. The number of exits to these classes peaks at age 32, with 5,200 male exits and 6,800 female exits. For both males and females the number of people exiting then falls with age to between 1000-2000 exits for ages 45-64.  At age 65, there is a sharp and significant peak (22,700 male exits and 20,600 female exits) as people transition into the Pension Age Class. By age 100, there are very few exits for either gender. &#10;&#10;Further discussion of the key features shown in the chart can be found in the accompanying text within the report.&#10;" title=" Number of people leaving Class 12 – Rest of Australian population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009900" cy="1765300"/>
                          </a:xfrm>
                          <a:prstGeom prst="rect">
                            <a:avLst/>
                          </a:prstGeom>
                          <a:noFill/>
                          <a:ln>
                            <a:noFill/>
                          </a:ln>
                        </pic:spPr>
                      </pic:pic>
                    </a:graphicData>
                  </a:graphic>
                </wp:inline>
              </w:drawing>
            </w:r>
          </w:p>
        </w:tc>
        <w:tc>
          <w:tcPr>
            <w:tcW w:w="4962" w:type="dxa"/>
          </w:tcPr>
          <w:p w14:paraId="7DD186B1" w14:textId="77777777" w:rsidR="00362C71" w:rsidRPr="00EC326F" w:rsidRDefault="00362C71" w:rsidP="00487300">
            <w:pPr>
              <w:pStyle w:val="TableTextSmall"/>
              <w:keepNext/>
              <w:rPr>
                <w:lang w:eastAsia="en-AU"/>
              </w:rPr>
            </w:pPr>
            <w:r w:rsidRPr="00EC326F">
              <w:rPr>
                <w:noProof/>
                <w:lang w:eastAsia="en-AU"/>
              </w:rPr>
              <w:drawing>
                <wp:inline distT="0" distB="0" distL="0" distR="0" wp14:anchorId="05B0808C" wp14:editId="64BF64BA">
                  <wp:extent cx="3009900" cy="1822450"/>
                  <wp:effectExtent l="0" t="0" r="0" b="6350"/>
                  <wp:docPr id="857" name="Picture 857" descr="This figure contains two area charts showing the cumulative number of exits from the Rest of the Australian Population class by age. The age profile of male and female exits is shown separately. For both charts the horizontal axis shows age at the start of the year ranging from 0 to 110 and the vertical axis shows the cumulative number of people exiting ranging from 0 to 25,000.&#10;&#10;The left hand chart shows the average number of males exiting the class over the period from June 2014 to June 2016, by age. The right hand chart shows the average number of females exiting the class over the period from June 2014 to June 2016, by age.&#10;&#10;Both area charts show the cumulative number of people who exited the Rest of the Australian Population class split by the class they subsequently transition to. These classes include; 1 Studying, 2 Working Age, 3 Parents, 4 Carers, 5 Disability Support, 6 Pension Age, 7 Non-IS Family, 8 Non-IS Carer, 9 Non-IS Other, 10 Previous Welfare Recipient and 11 Dead.&#10;&#10;Both the male and female exit charts display notable peaks in the number of class 12 exits at ages associated with key entry points in the welfare system; 18, 22, 32 and 65.The peak at age 18 (24,700 female exits, 21,700 male exits) is associated with transitions to the studying and working age class. At age 22, there are 10,500 male exits and 11,800 female exits also associated with movements to the studying and working age class. Between ages 25 and 45, the majority of exits from Class 12 involve transitions to Class 9 Non IS Other or Class 2 Working Age. The number of exits to these classes peaks at age 32, with 5,200 male exits and 6,800 female exits. For both males and females the number of people exiting then falls with age to between 1000-2000 exits for ages 45-64.  At age 65, there is a sharp and significant peak (22,700 male exits and 20,600 female exits) as people transition into the Pension Age Class. By age 100, there are very few exits for either gender. &#10;&#10;Further discussion of the key features shown in the chart can be found in the accompanying text within the report.&#10;" title=" Number of people leaving Class 12 – Rest of Australian population (annual average over l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009900" cy="1822450"/>
                          </a:xfrm>
                          <a:prstGeom prst="rect">
                            <a:avLst/>
                          </a:prstGeom>
                          <a:noFill/>
                          <a:ln>
                            <a:noFill/>
                          </a:ln>
                        </pic:spPr>
                      </pic:pic>
                    </a:graphicData>
                  </a:graphic>
                </wp:inline>
              </w:drawing>
            </w:r>
          </w:p>
        </w:tc>
      </w:tr>
    </w:tbl>
    <w:p w14:paraId="76F96BE8" w14:textId="59AD9000" w:rsidR="003576A6" w:rsidRDefault="003576A6" w:rsidP="0081675B">
      <w:pPr>
        <w:pStyle w:val="PwCNormal"/>
        <w:numPr>
          <w:ilvl w:val="0"/>
          <w:numId w:val="1"/>
        </w:numPr>
        <w:jc w:val="center"/>
      </w:pPr>
      <w:r w:rsidRPr="00EC326F">
        <w:rPr>
          <w:noProof/>
          <w:lang w:eastAsia="en-AU"/>
        </w:rPr>
        <w:drawing>
          <wp:inline distT="0" distB="0" distL="0" distR="0" wp14:anchorId="727A3F6A" wp14:editId="56DFC988">
            <wp:extent cx="5385600" cy="468000"/>
            <wp:effectExtent l="0" t="0" r="0" b="8255"/>
            <wp:docPr id="409" name="Picture 409" descr="Class key: studying, working age, parents, carers, disability support, pension age, non-income support family, non-income support carer, non-income support other, previous welfare recipient, rest of the Australian population and dead. &#10;" title="Class Key for Fig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3ADA5714" w14:textId="7F39AC48" w:rsidR="00362C71" w:rsidRPr="00EC326F" w:rsidRDefault="005D17E7" w:rsidP="00362C71">
      <w:pPr>
        <w:pStyle w:val="PwCNormal"/>
        <w:numPr>
          <w:ilvl w:val="0"/>
          <w:numId w:val="1"/>
        </w:numPr>
      </w:pPr>
      <w:r w:rsidRPr="00EC326F">
        <w:t xml:space="preserve">The main re-entries from this class are through movements into class </w:t>
      </w:r>
      <w:r w:rsidR="00FF7EC9">
        <w:t>‘</w:t>
      </w:r>
      <w:r w:rsidRPr="00EC326F">
        <w:t xml:space="preserve">1 Studying’, </w:t>
      </w:r>
      <w:r w:rsidR="00FF7EC9">
        <w:t>‘</w:t>
      </w:r>
      <w:r w:rsidRPr="00EC326F">
        <w:t xml:space="preserve">2 Working Age’, </w:t>
      </w:r>
      <w:r w:rsidR="00FF7EC9">
        <w:t>‘</w:t>
      </w:r>
      <w:r w:rsidRPr="00EC326F">
        <w:t xml:space="preserve">6 Pension Age’ and </w:t>
      </w:r>
      <w:r w:rsidR="00FF7EC9">
        <w:t>‘</w:t>
      </w:r>
      <w:r w:rsidRPr="00EC326F">
        <w:t xml:space="preserve">9 Non IS Other’ (most of those re-entering into class 9 subsequently transition to class </w:t>
      </w:r>
      <w:r w:rsidR="00FF7EC9">
        <w:t>‘</w:t>
      </w:r>
      <w:r w:rsidRPr="00EC326F">
        <w:t>7 Non IS Family’).</w:t>
      </w:r>
    </w:p>
    <w:p w14:paraId="654B747A" w14:textId="77777777" w:rsidR="00362C71" w:rsidRPr="00EC326F" w:rsidRDefault="00362C71" w:rsidP="00362C71">
      <w:pPr>
        <w:pStyle w:val="Minorheading"/>
        <w:numPr>
          <w:ilvl w:val="0"/>
          <w:numId w:val="1"/>
        </w:numPr>
      </w:pPr>
      <w:r w:rsidRPr="00EC326F">
        <w:t>Payments received</w:t>
      </w:r>
    </w:p>
    <w:p w14:paraId="1AC060D6" w14:textId="77777777" w:rsidR="00362C71" w:rsidRPr="00EC326F" w:rsidRDefault="00362C71" w:rsidP="00362C71">
      <w:pPr>
        <w:pStyle w:val="PwCNormal"/>
        <w:numPr>
          <w:ilvl w:val="0"/>
          <w:numId w:val="0"/>
        </w:numPr>
      </w:pPr>
      <w:r w:rsidRPr="00EC326F">
        <w:t xml:space="preserve">No payments are received while people in this class. Payments may be received by this group upon entry into an active welfare recipients and these are covered </w:t>
      </w:r>
      <w:r w:rsidR="00580BD6">
        <w:t xml:space="preserve">in </w:t>
      </w:r>
      <w:r w:rsidR="0011562A">
        <w:t>section</w:t>
      </w:r>
      <w:r w:rsidR="000A3986" w:rsidRPr="00EC326F">
        <w:t xml:space="preserve">s </w:t>
      </w:r>
      <w:r w:rsidR="000A3986" w:rsidRPr="00EC326F">
        <w:fldChar w:fldCharType="begin"/>
      </w:r>
      <w:r w:rsidR="000A3986" w:rsidRPr="00EC326F">
        <w:instrText xml:space="preserve"> REF _Ref437277121 \r \h </w:instrText>
      </w:r>
      <w:r w:rsidR="000A3986" w:rsidRPr="00EC326F">
        <w:fldChar w:fldCharType="separate"/>
      </w:r>
      <w:r w:rsidR="007A42DF">
        <w:t>8</w:t>
      </w:r>
      <w:r w:rsidR="000A3986" w:rsidRPr="00EC326F">
        <w:fldChar w:fldCharType="end"/>
      </w:r>
      <w:r w:rsidR="000A3986" w:rsidRPr="00EC326F">
        <w:t xml:space="preserve"> and </w:t>
      </w:r>
      <w:r w:rsidR="000A3986" w:rsidRPr="00EC326F">
        <w:fldChar w:fldCharType="begin"/>
      </w:r>
      <w:r w:rsidR="000A3986" w:rsidRPr="00EC326F">
        <w:instrText xml:space="preserve"> REF _Ref466373125 \r \h </w:instrText>
      </w:r>
      <w:r w:rsidR="000A3986" w:rsidRPr="00EC326F">
        <w:fldChar w:fldCharType="separate"/>
      </w:r>
      <w:r w:rsidR="007A42DF">
        <w:t>9</w:t>
      </w:r>
      <w:r w:rsidR="000A3986" w:rsidRPr="00EC326F">
        <w:fldChar w:fldCharType="end"/>
      </w:r>
      <w:r w:rsidR="000A3986" w:rsidRPr="00EC326F">
        <w:t>.</w:t>
      </w:r>
    </w:p>
    <w:p w14:paraId="614FB686" w14:textId="77777777" w:rsidR="00362C71" w:rsidRPr="00EC326F" w:rsidRDefault="00362C71" w:rsidP="00362C71">
      <w:pPr>
        <w:pStyle w:val="Heading4"/>
      </w:pPr>
      <w:r w:rsidRPr="00EC326F">
        <w:t>What have we taken into account in fitting assumptions?</w:t>
      </w:r>
    </w:p>
    <w:p w14:paraId="4A1A2924" w14:textId="77777777" w:rsidR="00362C71" w:rsidRPr="00EC326F" w:rsidRDefault="00362C71" w:rsidP="001A4479">
      <w:pPr>
        <w:pStyle w:val="PwCNormal"/>
        <w:numPr>
          <w:ilvl w:val="0"/>
          <w:numId w:val="37"/>
        </w:numPr>
      </w:pPr>
      <w:r w:rsidRPr="00EC326F">
        <w:t>We have adopted class movement</w:t>
      </w:r>
      <w:r w:rsidR="00C10EE3" w:rsidRPr="00EC326F">
        <w:t xml:space="preserve"> </w:t>
      </w:r>
      <w:r w:rsidR="00A27609">
        <w:t xml:space="preserve">(new entrant) </w:t>
      </w:r>
      <w:r w:rsidRPr="00EC326F">
        <w:t>assumptions through consideration of the risk factors that influence the experience.</w:t>
      </w:r>
      <w:r w:rsidR="00C10EE3" w:rsidRPr="00EC326F">
        <w:t xml:space="preserve"> There are no payment utilisation or size assumptions </w:t>
      </w:r>
      <w:r w:rsidR="00A27609">
        <w:t xml:space="preserve">applicable whilst people are </w:t>
      </w:r>
      <w:r w:rsidR="00C10EE3" w:rsidRPr="00EC326F">
        <w:t>in this class as it only includes non welfare recipients.</w:t>
      </w:r>
    </w:p>
    <w:p w14:paraId="68A92A95" w14:textId="77777777" w:rsidR="00362C71" w:rsidRPr="00EC326F" w:rsidRDefault="00362C71" w:rsidP="00362C71">
      <w:pPr>
        <w:pStyle w:val="Minorheading"/>
      </w:pPr>
      <w:r w:rsidRPr="00EC326F">
        <w:t>Class movement assumptions</w:t>
      </w:r>
    </w:p>
    <w:p w14:paraId="3CD39489" w14:textId="18C70437" w:rsidR="00362C71" w:rsidRPr="00EC326F" w:rsidRDefault="00362C71" w:rsidP="001A4479">
      <w:pPr>
        <w:pStyle w:val="PwCNormal"/>
        <w:numPr>
          <w:ilvl w:val="0"/>
          <w:numId w:val="37"/>
        </w:numPr>
      </w:pPr>
      <w:r w:rsidRPr="00EC326F">
        <w:t xml:space="preserve">In setting the class movement assumptions we have observed a recent decrease in the proportion of individuals who re-enter from this class into the active welfare recipient classes. In particular we have seen decreases in entries into class </w:t>
      </w:r>
      <w:r w:rsidR="001C6B01">
        <w:t>‘</w:t>
      </w:r>
      <w:r w:rsidRPr="00EC326F">
        <w:t>2 IS Working Age</w:t>
      </w:r>
      <w:r w:rsidR="001C6B01">
        <w:t>’</w:t>
      </w:r>
      <w:r w:rsidRPr="00EC326F">
        <w:t>.</w:t>
      </w:r>
    </w:p>
    <w:p w14:paraId="1BF60FA8" w14:textId="77777777" w:rsidR="00362C71" w:rsidRPr="00EC326F" w:rsidRDefault="00362C71" w:rsidP="001A4479">
      <w:pPr>
        <w:pStyle w:val="PwCNormal"/>
        <w:numPr>
          <w:ilvl w:val="0"/>
          <w:numId w:val="37"/>
        </w:numPr>
      </w:pPr>
      <w:r w:rsidRPr="00EC326F">
        <w:t>For the</w:t>
      </w:r>
      <w:r w:rsidR="00A27609">
        <w:t>se</w:t>
      </w:r>
      <w:r w:rsidRPr="00EC326F">
        <w:t xml:space="preserve"> assumptions we have considered factors relating to the individual (</w:t>
      </w:r>
      <w:r w:rsidR="008536E9" w:rsidRPr="00EC326F">
        <w:t>e.g.</w:t>
      </w:r>
      <w:r w:rsidRPr="00EC326F">
        <w:t xml:space="preserve"> age, gender, education level, partnering status, number of dependent children, and age of youngest child). There is no information on interaction with the welfare system for this group as they have not previously received welfare (at least during the history for which we have data). </w:t>
      </w:r>
    </w:p>
    <w:p w14:paraId="49C3693C" w14:textId="77777777" w:rsidR="00362C71" w:rsidRPr="00EC326F" w:rsidRDefault="00362C71" w:rsidP="001A4479">
      <w:pPr>
        <w:pStyle w:val="PwCNormal"/>
        <w:numPr>
          <w:ilvl w:val="0"/>
          <w:numId w:val="37"/>
        </w:numPr>
      </w:pPr>
      <w:r w:rsidRPr="00EC326F">
        <w:t xml:space="preserve">As would be expected, having a young child is very predictive of entering into an active welfare class. Highest level of education attained was also found to be predictive and those who have attained a level of education of Year 12 level </w:t>
      </w:r>
      <w:r w:rsidR="00C10EE3" w:rsidRPr="00EC326F">
        <w:t xml:space="preserve">or below </w:t>
      </w:r>
      <w:r w:rsidRPr="00EC326F">
        <w:t xml:space="preserve">are typically more likely to enter the active welfare classes. </w:t>
      </w:r>
    </w:p>
    <w:p w14:paraId="68A90E64" w14:textId="77777777" w:rsidR="00362C71" w:rsidRPr="00EC326F" w:rsidRDefault="00362C71" w:rsidP="00362C71">
      <w:pPr>
        <w:pStyle w:val="Heading4"/>
      </w:pPr>
      <w:r w:rsidRPr="00EC326F">
        <w:t>What does the model show for people currently in this class?</w:t>
      </w:r>
    </w:p>
    <w:p w14:paraId="389A0C3D" w14:textId="77777777" w:rsidR="00362C71" w:rsidRPr="00EC326F" w:rsidRDefault="00362C71" w:rsidP="00362C71">
      <w:pPr>
        <w:pStyle w:val="Minorheading"/>
      </w:pPr>
      <w:r w:rsidRPr="00EC326F">
        <w:t>Lifetime costs</w:t>
      </w:r>
    </w:p>
    <w:p w14:paraId="08D447F2" w14:textId="77777777" w:rsidR="00362C71" w:rsidRPr="00EC326F" w:rsidRDefault="00362C71" w:rsidP="001A4479">
      <w:pPr>
        <w:pStyle w:val="PwCNormal"/>
        <w:numPr>
          <w:ilvl w:val="0"/>
          <w:numId w:val="37"/>
        </w:numPr>
      </w:pPr>
      <w:r w:rsidRPr="00EC326F">
        <w:t xml:space="preserve">We estimated the lifetime cost for the people in this class to be </w:t>
      </w:r>
      <w:r w:rsidR="000A3986" w:rsidRPr="00EC326F">
        <w:rPr>
          <w:b/>
        </w:rPr>
        <w:t>$1,767</w:t>
      </w:r>
      <w:r w:rsidRPr="00EC326F">
        <w:rPr>
          <w:b/>
        </w:rPr>
        <w:t>bn</w:t>
      </w:r>
      <w:r w:rsidRPr="00EC326F">
        <w:t xml:space="preserve"> (or </w:t>
      </w:r>
      <w:r w:rsidRPr="00EC326F">
        <w:rPr>
          <w:b/>
        </w:rPr>
        <w:t>39.1%</w:t>
      </w:r>
      <w:r w:rsidRPr="00EC326F">
        <w:t xml:space="preserve"> of the total lifetime cost). The average lifetime cost for people in this class is </w:t>
      </w:r>
      <w:r w:rsidRPr="00EC326F">
        <w:rPr>
          <w:b/>
        </w:rPr>
        <w:t>$14</w:t>
      </w:r>
      <w:r w:rsidR="00C10EE3" w:rsidRPr="00EC326F">
        <w:rPr>
          <w:b/>
        </w:rPr>
        <w:t>8</w:t>
      </w:r>
      <w:r w:rsidRPr="00EC326F">
        <w:rPr>
          <w:b/>
        </w:rPr>
        <w:t>,000</w:t>
      </w:r>
      <w:r w:rsidRPr="00EC326F">
        <w:t>. The variation in average lifetime cost by age and gender is illustrated in the figure below.</w:t>
      </w:r>
    </w:p>
    <w:p w14:paraId="52D8C2D7" w14:textId="77777777" w:rsidR="00362C71" w:rsidRPr="00EC326F" w:rsidRDefault="00362C71" w:rsidP="00362C71">
      <w:pPr>
        <w:pStyle w:val="Caption"/>
      </w:pPr>
      <w:r w:rsidRPr="00EC326F">
        <w:lastRenderedPageBreak/>
        <w:t xml:space="preserve">Figure </w:t>
      </w:r>
      <w:fldSimple w:instr=" SEQ Figure \* ARABIC ">
        <w:r w:rsidR="007A42DF">
          <w:rPr>
            <w:noProof/>
          </w:rPr>
          <w:t>92</w:t>
        </w:r>
      </w:fldSimple>
      <w:r w:rsidRPr="00EC326F">
        <w:t xml:space="preserve">: Average lifetime cost by age and gender (Class </w:t>
      </w:r>
      <w:r w:rsidR="00A27609">
        <w:t>1</w:t>
      </w:r>
      <w:r w:rsidRPr="00EC326F">
        <w:t>2)</w:t>
      </w:r>
    </w:p>
    <w:tbl>
      <w:tblPr>
        <w:tblStyle w:val="Tables-APBase"/>
        <w:tblW w:w="41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his text box contains a chart and a legend."/>
      </w:tblPr>
      <w:tblGrid>
        <w:gridCol w:w="6095"/>
        <w:gridCol w:w="2280"/>
      </w:tblGrid>
      <w:tr w:rsidR="00362C71" w:rsidRPr="00EC326F" w14:paraId="7FC64AB3" w14:textId="77777777" w:rsidTr="009C6553">
        <w:trPr>
          <w:tblHeader/>
        </w:trPr>
        <w:tc>
          <w:tcPr>
            <w:tcW w:w="6096" w:type="dxa"/>
            <w:hideMark/>
          </w:tcPr>
          <w:p w14:paraId="60B78739" w14:textId="77777777" w:rsidR="00362C71" w:rsidRPr="00EC326F" w:rsidRDefault="00362C71" w:rsidP="00487300">
            <w:pPr>
              <w:pStyle w:val="TableTextSmall"/>
              <w:keepNext/>
              <w:rPr>
                <w:lang w:eastAsia="en-AU"/>
              </w:rPr>
            </w:pPr>
            <w:r w:rsidRPr="00EC326F">
              <w:rPr>
                <w:lang w:eastAsia="en-AU"/>
              </w:rPr>
              <w:t xml:space="preserve"> </w:t>
            </w:r>
            <w:r w:rsidR="000A3986" w:rsidRPr="00EC326F">
              <w:rPr>
                <w:noProof/>
                <w:lang w:eastAsia="en-AU"/>
              </w:rPr>
              <w:drawing>
                <wp:inline distT="0" distB="0" distL="0" distR="0" wp14:anchorId="33549CBB" wp14:editId="01611E82">
                  <wp:extent cx="3265117" cy="2160000"/>
                  <wp:effectExtent l="0" t="0" r="0" b="0"/>
                  <wp:docPr id="847" name="Picture 847" descr="This figure is a horizontal bar chart showing average lifetime cost by age for males and females separately. The vertical axis shows age with the data shown ranging from 0 to 99. The horizontal axis shows the average lifetime cost with the data shown ranging from $0 to $8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11,929,000 individuals who were in the Rest of the Australian Population class at 30 June 2016. &#10;&#10;The average lifetime cost of males increases with age from approximately $100,000 at age 0 to $140,000 at age 15. After this age, average lifetime cost remains relatively stable before peaking slightly at $150,000 at age 64. &#10;&#10;The average lifetime cost of females increases with age from approximately $165,000 at age 0 to $230,000 at age 15. The substantially higher average lifetime cost relative to males is due to higher FTB, other family, and non-income support carer components. After age 15, there is a reduction in average lifetime cost with age to approximately $180,000 at age 64.&#10;&#10;For both males and females aged 65 and over, there is a substantial reduction in average lifetime cost by age. At age 70 males have an average lifetime cost of approximately $50,000 while females have an average lifetime cost of approximately $55,000. For both males and females aged 75, the average lifetime cost is approximately $20,000.&#10;&#10;The features shown in the chart are discussed further in the accompanying text within the report.&#10;" title=" Average lifetime cost by age and gender (Clas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265117" cy="2160000"/>
                          </a:xfrm>
                          <a:prstGeom prst="rect">
                            <a:avLst/>
                          </a:prstGeom>
                          <a:noFill/>
                          <a:ln>
                            <a:noFill/>
                          </a:ln>
                        </pic:spPr>
                      </pic:pic>
                    </a:graphicData>
                  </a:graphic>
                </wp:inline>
              </w:drawing>
            </w:r>
          </w:p>
        </w:tc>
        <w:tc>
          <w:tcPr>
            <w:tcW w:w="2280" w:type="dxa"/>
          </w:tcPr>
          <w:p w14:paraId="7BCB7CBB" w14:textId="77777777" w:rsidR="00362C71" w:rsidRPr="00EC326F" w:rsidRDefault="00362C71" w:rsidP="00487300">
            <w:pPr>
              <w:pStyle w:val="TableTextSmall"/>
              <w:keepNext/>
              <w:rPr>
                <w:lang w:eastAsia="en-AU"/>
              </w:rPr>
            </w:pPr>
          </w:p>
          <w:p w14:paraId="487D08C5" w14:textId="77777777" w:rsidR="00362C71" w:rsidRPr="00EC326F" w:rsidRDefault="00362C71" w:rsidP="00487300">
            <w:pPr>
              <w:pStyle w:val="TableTextSmall"/>
              <w:keepNext/>
              <w:rPr>
                <w:lang w:eastAsia="en-AU"/>
              </w:rPr>
            </w:pPr>
            <w:r w:rsidRPr="00EC326F">
              <w:rPr>
                <w:noProof/>
                <w:lang w:eastAsia="en-AU"/>
              </w:rPr>
              <w:drawing>
                <wp:inline distT="0" distB="0" distL="0" distR="0" wp14:anchorId="2F25E5BA" wp14:editId="59B98A94">
                  <wp:extent cx="1075055" cy="1608455"/>
                  <wp:effectExtent l="0" t="0" r="0" b="0"/>
                  <wp:docPr id="844" name="Picture 844"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5055" cy="1608455"/>
                          </a:xfrm>
                          <a:prstGeom prst="rect">
                            <a:avLst/>
                          </a:prstGeom>
                          <a:noFill/>
                          <a:ln>
                            <a:noFill/>
                          </a:ln>
                        </pic:spPr>
                      </pic:pic>
                    </a:graphicData>
                  </a:graphic>
                </wp:inline>
              </w:drawing>
            </w:r>
          </w:p>
        </w:tc>
      </w:tr>
    </w:tbl>
    <w:p w14:paraId="752CACC3" w14:textId="77777777" w:rsidR="00362C71" w:rsidRPr="00EC326F" w:rsidRDefault="00362C71" w:rsidP="00362C71">
      <w:pPr>
        <w:pStyle w:val="PwCNormal"/>
        <w:numPr>
          <w:ilvl w:val="0"/>
          <w:numId w:val="0"/>
        </w:numPr>
      </w:pPr>
      <w:r w:rsidRPr="00EC326F">
        <w:t xml:space="preserve">The most substantial part of this average lifetime cost for both genders is for the age pension although there are contributions from all payment categories. </w:t>
      </w:r>
    </w:p>
    <w:p w14:paraId="4DEC98DE" w14:textId="77777777" w:rsidR="00362C71" w:rsidRPr="00EC326F" w:rsidRDefault="00362C71" w:rsidP="00362C71">
      <w:pPr>
        <w:pStyle w:val="PwCNormal"/>
        <w:numPr>
          <w:ilvl w:val="0"/>
          <w:numId w:val="0"/>
        </w:numPr>
      </w:pPr>
      <w:r w:rsidRPr="00EC326F">
        <w:t>For women up to around age 40 there are significant contributions from FTB and parenting payments. For people in their early forties and above, the differences between the costs for men and women are small</w:t>
      </w:r>
      <w:r w:rsidR="00C10EE3" w:rsidRPr="00EC326F">
        <w:t xml:space="preserve"> (women have a slightly higher lifetime cost due to higher expected longevity)</w:t>
      </w:r>
      <w:r w:rsidRPr="00EC326F">
        <w:t xml:space="preserve">. </w:t>
      </w:r>
    </w:p>
    <w:p w14:paraId="08B16960" w14:textId="77777777" w:rsidR="00362C71" w:rsidRPr="00EC326F" w:rsidRDefault="00362C71" w:rsidP="00362C71">
      <w:pPr>
        <w:pStyle w:val="PwCNormal"/>
        <w:numPr>
          <w:ilvl w:val="0"/>
          <w:numId w:val="0"/>
        </w:numPr>
      </w:pPr>
      <w:r w:rsidRPr="00EC326F">
        <w:t>The average lifetime cost pyramid shows a significant change at age 65 with much lower costs for older people:</w:t>
      </w:r>
    </w:p>
    <w:p w14:paraId="19242A7F" w14:textId="77777777" w:rsidR="00362C71" w:rsidRPr="00EC326F" w:rsidRDefault="00362C71" w:rsidP="00362C71">
      <w:pPr>
        <w:pStyle w:val="Bullet1"/>
      </w:pPr>
      <w:r w:rsidRPr="00EC326F">
        <w:t>For people below age 65 - the age pension component of the average lifetime cost is significant as there is a high chance of the people moving onto the age pension as they reach pension age.</w:t>
      </w:r>
    </w:p>
    <w:p w14:paraId="1B7EFA78" w14:textId="77777777" w:rsidR="00362C71" w:rsidRPr="00EC326F" w:rsidRDefault="00362C71" w:rsidP="00362C71">
      <w:pPr>
        <w:pStyle w:val="Bullet1"/>
      </w:pPr>
      <w:r w:rsidRPr="00EC326F">
        <w:t xml:space="preserve">For people above age 65 - to be above age 65 and </w:t>
      </w:r>
      <w:r w:rsidR="00A27609">
        <w:t xml:space="preserve">still </w:t>
      </w:r>
      <w:r w:rsidRPr="00EC326F">
        <w:t>be in this class they cannot be receiving age pension at present. This means they are far less likely to receive the age pension in future than a typical person in the population and hence have a lower average lifetime cost.</w:t>
      </w:r>
    </w:p>
    <w:p w14:paraId="715B8723" w14:textId="5944AC99" w:rsidR="00362C71" w:rsidRPr="00EC326F" w:rsidRDefault="00362C71" w:rsidP="00362C71">
      <w:pPr>
        <w:pStyle w:val="ListContinue"/>
      </w:pPr>
      <w:r w:rsidRPr="00EC326F">
        <w:t xml:space="preserve">For people significantly above age 65 the average lifetime costs reduce year on year as the future lifetime is shorter and the chances of moving into the </w:t>
      </w:r>
      <w:r w:rsidR="005E2656">
        <w:t>A</w:t>
      </w:r>
      <w:r w:rsidRPr="00EC326F">
        <w:t xml:space="preserve">ge </w:t>
      </w:r>
      <w:r w:rsidR="005E2656">
        <w:t>P</w:t>
      </w:r>
      <w:r w:rsidRPr="00EC326F">
        <w:t>ension class at a future point in time are even lower.</w:t>
      </w:r>
    </w:p>
    <w:p w14:paraId="5F5C36BC" w14:textId="77777777" w:rsidR="00362C71" w:rsidRPr="00EC326F" w:rsidRDefault="00362C71" w:rsidP="00362C71">
      <w:pPr>
        <w:pStyle w:val="Minorheading"/>
      </w:pPr>
      <w:r w:rsidRPr="00EC326F">
        <w:t>Change in lifetime costs since the baseline valuation</w:t>
      </w:r>
    </w:p>
    <w:p w14:paraId="6FACAF39" w14:textId="7292B8B9" w:rsidR="00D3305D" w:rsidRPr="00EC326F" w:rsidRDefault="00D3305D" w:rsidP="00D3305D">
      <w:pPr>
        <w:pStyle w:val="PwCNormal"/>
        <w:numPr>
          <w:ilvl w:val="0"/>
          <w:numId w:val="0"/>
        </w:numPr>
      </w:pPr>
      <w:r w:rsidRPr="00EC326F">
        <w:t>The lifetime cost for the people in this class of $1,76</w:t>
      </w:r>
      <w:r w:rsidR="007C07DB">
        <w:t>6</w:t>
      </w:r>
      <w:r w:rsidRPr="00EC326F">
        <w:t>bn is a decrease of $19</w:t>
      </w:r>
      <w:r w:rsidR="007C07DB">
        <w:t>6</w:t>
      </w:r>
      <w:r w:rsidRPr="00EC326F">
        <w:t>bn compared to the baseline valuation. This was mainly driven by a decrease in the average cost, although the number of people in this class also decreased slightly:</w:t>
      </w:r>
    </w:p>
    <w:p w14:paraId="4ECB113F" w14:textId="77777777" w:rsidR="00D3305D" w:rsidRDefault="00D3305D" w:rsidP="001A4479">
      <w:pPr>
        <w:pStyle w:val="Bullet1"/>
        <w:numPr>
          <w:ilvl w:val="0"/>
          <w:numId w:val="39"/>
        </w:numPr>
      </w:pPr>
      <w:r w:rsidRPr="00EC326F">
        <w:t>The number of people in this class has decreased slightly by 0.2% since the previous valuation. This is the net impact of births, migration, deaths, and entries into the welfare system over the past year.</w:t>
      </w:r>
    </w:p>
    <w:p w14:paraId="5F617B52" w14:textId="77777777" w:rsidR="00A27609" w:rsidRPr="00EC326F" w:rsidRDefault="00A27609" w:rsidP="00A27609">
      <w:pPr>
        <w:pStyle w:val="ListContinue"/>
        <w:ind w:left="284"/>
      </w:pPr>
      <w:r>
        <w:t>Although the overall population is growing we would not necessarily expect an increase in the numbers in this class as the longer time period covered by the data means we are now able to identify a greater proportion of previous welfare recipients and assign these people to class 10.</w:t>
      </w:r>
    </w:p>
    <w:p w14:paraId="39C4E609" w14:textId="77777777" w:rsidR="00D3305D" w:rsidRPr="00EC326F" w:rsidRDefault="00D3305D" w:rsidP="001A4479">
      <w:pPr>
        <w:pStyle w:val="Bullet1"/>
        <w:numPr>
          <w:ilvl w:val="0"/>
          <w:numId w:val="39"/>
        </w:numPr>
      </w:pPr>
      <w:r w:rsidRPr="00EC326F">
        <w:t>The average cost has decreased by $16,000 (9.8%) since the previous valuation. The following table provides a breakdown of the change in average lifetime cost by payment category.</w:t>
      </w:r>
    </w:p>
    <w:p w14:paraId="51B9BAAA" w14:textId="77777777" w:rsidR="00D3305D" w:rsidRPr="00EC326F" w:rsidRDefault="00D3305D" w:rsidP="00D3305D">
      <w:pPr>
        <w:pStyle w:val="Caption"/>
      </w:pPr>
      <w:r w:rsidRPr="00EC326F">
        <w:lastRenderedPageBreak/>
        <w:t xml:space="preserve">Table </w:t>
      </w:r>
      <w:fldSimple w:instr=" SEQ Table \* ARABIC ">
        <w:r w:rsidR="007A42DF">
          <w:rPr>
            <w:noProof/>
          </w:rPr>
          <w:t>48</w:t>
        </w:r>
      </w:fldSimple>
      <w:r w:rsidRPr="00EC326F">
        <w:t>: Breakdown of change in average lifetime cost for Class 12 by payment category</w:t>
      </w:r>
    </w:p>
    <w:tbl>
      <w:tblPr>
        <w:tblStyle w:val="ListTable3-Accent62"/>
        <w:tblW w:w="9498" w:type="dxa"/>
        <w:tblInd w:w="108" w:type="dxa"/>
        <w:tblLayout w:type="fixed"/>
        <w:tblLook w:val="04A0" w:firstRow="1" w:lastRow="0" w:firstColumn="1" w:lastColumn="0" w:noHBand="0" w:noVBand="1"/>
        <w:tblCaption w:val=" Breakdown of change in average lifetime cost for Class 12 by payment category&#10;&#10;&#10;"/>
        <w:tblDescription w:val="This table shows the breakdown of the total change in average lifetime cost for Class 12 into; change in population, change in inflation, impact of new economic module, policy changes and other changes. These are shown as rows in the table.&#10;&#10;The changes in lifetime cost are considered by relevant payment categories for Class 12; IS Non Age Pension, IS Age Pension, Non IS Family Supplements and Non IS Other Supplements. These are shown as columns in the table alongside a total change column.&#10;&#10;For Class 12, the Jun 15 Total Lifetime cost is $1,961bn and the Jun 16 Total Lifetime cost is $1,767bn. This gives a change in total lifetime cost of -$196bn, a 10% reduction. Population changes contributed 0.2% towards the decrease and the remaining change is driven by movements in average lifetime cost. The average cost has decreased by $16,000 (9.8%) since the previous valuation. Less than $1,000 of this change is attributable to changes in inflation, approximately -$7,000 of this change is due to the impact of the economics module, -$1,000 from policy changes and -$8,000 is driven by other changes.&#10;&#10;The average lifetime cost of clients in the IS Non Age Pension payment categories has decreased by approximately $12,000. Inflation and policy changes contribute less than $1,000 each to this change. -$4,000 of the change is driven by the introduction of the new economics module and the remaining -$7,000 is due to other changes.&#10;&#10;The average lifetime cost of clients in the IS Age Pension payment category has decreased by approximately $2,000. Inflation, policy changes and other changes both contributed less than $1,000 each. Approximately -$2,000 is due to the impact of the new economic module.&#10;&#10;The average lifetime cost of clients in the Non IS Family Supplements payment categories (H,I,J) has shown minimal change since the last valuation (less than $1,000 overall). Inflation, the new economics module, policy changes and other changes all contributed less than $1,000 each.&#10;&#10;The average lifetime cost of clients in the Non IS Other Supplements payment categories has decreased by approximately $2,000. The changes due to the economics module, policy changes and inflation were less than $1,000 each whilst other changes contributed -$2,000.&#10;"/>
      </w:tblPr>
      <w:tblGrid>
        <w:gridCol w:w="3119"/>
        <w:gridCol w:w="1276"/>
        <w:gridCol w:w="1240"/>
        <w:gridCol w:w="1240"/>
        <w:gridCol w:w="1311"/>
        <w:gridCol w:w="1312"/>
      </w:tblGrid>
      <w:tr w:rsidR="00087048" w:rsidRPr="00EC326F" w14:paraId="7AD1D20B" w14:textId="77777777" w:rsidTr="0008704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5D3AEBF7" w14:textId="77777777" w:rsidR="00087048" w:rsidRPr="00EC326F" w:rsidRDefault="00087048" w:rsidP="00A27609">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387B4543" w14:textId="77777777" w:rsidR="00087048" w:rsidRPr="00EC326F" w:rsidRDefault="00087048" w:rsidP="00A2760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bottom w:val="single" w:sz="4" w:space="0" w:color="FFFFFF" w:themeColor="background1"/>
            </w:tcBorders>
          </w:tcPr>
          <w:p w14:paraId="261B6FFA" w14:textId="01C59143" w:rsidR="00087048" w:rsidRPr="00EC326F" w:rsidRDefault="00087048" w:rsidP="00087048">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bCs w:val="0"/>
                <w:color w:val="FFFFFF" w:themeColor="background1"/>
              </w:rPr>
              <w:t>Income</w:t>
            </w:r>
          </w:p>
        </w:tc>
        <w:tc>
          <w:tcPr>
            <w:tcW w:w="1240" w:type="dxa"/>
            <w:tcBorders>
              <w:left w:val="single" w:sz="4" w:space="0" w:color="E0301E" w:themeColor="accent6"/>
              <w:bottom w:val="single" w:sz="4" w:space="0" w:color="FFFFFF" w:themeColor="background1"/>
              <w:right w:val="single" w:sz="4" w:space="0" w:color="FFFFFF" w:themeColor="background1"/>
            </w:tcBorders>
          </w:tcPr>
          <w:p w14:paraId="6C1CEFB5" w14:textId="417A0094" w:rsidR="00087048" w:rsidRPr="00EC326F" w:rsidRDefault="00087048" w:rsidP="00087048">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bCs w:val="0"/>
                <w:color w:val="FFFFFF" w:themeColor="background1"/>
              </w:rPr>
              <w:t>Support</w:t>
            </w:r>
          </w:p>
        </w:tc>
        <w:tc>
          <w:tcPr>
            <w:tcW w:w="1311" w:type="dxa"/>
            <w:tcBorders>
              <w:left w:val="single" w:sz="4" w:space="0" w:color="FFFFFF" w:themeColor="background1"/>
            </w:tcBorders>
          </w:tcPr>
          <w:p w14:paraId="4D6C53B1" w14:textId="13627B27" w:rsidR="00087048" w:rsidRPr="00EC326F" w:rsidRDefault="00087048" w:rsidP="00087048">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EC326F">
              <w:rPr>
                <w:rFonts w:asciiTheme="majorHAnsi" w:hAnsiTheme="majorHAnsi"/>
                <w:color w:val="FFFFFF" w:themeColor="background1"/>
              </w:rPr>
              <w:t xml:space="preserve">Non-Income </w:t>
            </w:r>
          </w:p>
        </w:tc>
        <w:tc>
          <w:tcPr>
            <w:tcW w:w="1312" w:type="dxa"/>
            <w:tcBorders>
              <w:bottom w:val="single" w:sz="4" w:space="0" w:color="FFFFFF" w:themeColor="background1"/>
            </w:tcBorders>
          </w:tcPr>
          <w:p w14:paraId="2D24E0D3" w14:textId="7A44D38B" w:rsidR="00087048" w:rsidRPr="00EC326F" w:rsidRDefault="00087048" w:rsidP="00087048">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Support</w:t>
            </w:r>
          </w:p>
        </w:tc>
      </w:tr>
      <w:tr w:rsidR="00D3305D" w:rsidRPr="00EC326F" w14:paraId="64B1BA6E" w14:textId="77777777" w:rsidTr="0008704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5E73F691" w14:textId="77777777" w:rsidR="00D3305D" w:rsidRPr="00EC326F" w:rsidRDefault="00D3305D" w:rsidP="00A27609">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21C6FB35" w14:textId="77777777" w:rsidR="00D3305D" w:rsidRPr="00EC326F" w:rsidRDefault="00D3305D" w:rsidP="00A2760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699FF49F" w14:textId="77777777" w:rsidR="00D3305D" w:rsidRPr="00EC326F" w:rsidRDefault="00D3305D" w:rsidP="00A2760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387865D5" w14:textId="77777777" w:rsidR="00D3305D" w:rsidRPr="00EC326F" w:rsidRDefault="00D3305D" w:rsidP="00A2760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Age Pension</w:t>
            </w:r>
          </w:p>
        </w:tc>
        <w:tc>
          <w:tcPr>
            <w:tcW w:w="1311" w:type="dxa"/>
            <w:tcBorders>
              <w:top w:val="single" w:sz="4" w:space="0" w:color="FFFFFF" w:themeColor="background1"/>
              <w:left w:val="single" w:sz="4" w:space="0" w:color="FFFFFF" w:themeColor="background1"/>
              <w:bottom w:val="single" w:sz="4" w:space="0" w:color="E0301E" w:themeColor="accent6"/>
            </w:tcBorders>
          </w:tcPr>
          <w:p w14:paraId="7DE76FB2" w14:textId="77777777" w:rsidR="00D3305D" w:rsidRPr="00EC326F" w:rsidRDefault="00D3305D" w:rsidP="00A2760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Family Supplements</w:t>
            </w:r>
          </w:p>
        </w:tc>
        <w:tc>
          <w:tcPr>
            <w:tcW w:w="1312" w:type="dxa"/>
            <w:tcBorders>
              <w:bottom w:val="single" w:sz="4" w:space="0" w:color="E0301E" w:themeColor="accent6"/>
            </w:tcBorders>
          </w:tcPr>
          <w:p w14:paraId="32B4FF45" w14:textId="77777777" w:rsidR="00D3305D" w:rsidRPr="00EC326F" w:rsidRDefault="00D3305D" w:rsidP="00A2760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EC326F">
              <w:rPr>
                <w:rFonts w:asciiTheme="majorHAnsi" w:hAnsiTheme="majorHAnsi"/>
                <w:b w:val="0"/>
                <w:color w:val="FFFFFF" w:themeColor="background1"/>
              </w:rPr>
              <w:t>Other Supplements</w:t>
            </w:r>
          </w:p>
        </w:tc>
      </w:tr>
      <w:tr w:rsidR="00D3305D" w:rsidRPr="00EC326F" w14:paraId="68197DA8"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1149E8ED" w14:textId="77777777" w:rsidR="00D3305D" w:rsidRPr="00EC326F" w:rsidRDefault="00D3305D" w:rsidP="00A27609">
            <w:pPr>
              <w:pStyle w:val="TableTextSmall"/>
              <w:keepNext/>
            </w:pPr>
            <w:r w:rsidRPr="00EC326F">
              <w:t>Jun-15 Total Lifetime Cost</w:t>
            </w:r>
          </w:p>
        </w:tc>
        <w:tc>
          <w:tcPr>
            <w:tcW w:w="1276" w:type="dxa"/>
            <w:tcBorders>
              <w:left w:val="single" w:sz="4" w:space="0" w:color="E0301E" w:themeColor="accent6"/>
              <w:bottom w:val="nil"/>
              <w:right w:val="single" w:sz="4" w:space="0" w:color="E0301E" w:themeColor="accent6"/>
            </w:tcBorders>
            <w:vAlign w:val="bottom"/>
          </w:tcPr>
          <w:p w14:paraId="5B799334"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$1,961bn</w:t>
            </w:r>
          </w:p>
        </w:tc>
        <w:tc>
          <w:tcPr>
            <w:tcW w:w="1240" w:type="dxa"/>
            <w:tcBorders>
              <w:left w:val="single" w:sz="4" w:space="0" w:color="E0301E" w:themeColor="accent6"/>
              <w:bottom w:val="nil"/>
            </w:tcBorders>
            <w:shd w:val="clear" w:color="auto" w:fill="D9D9D9" w:themeFill="background1" w:themeFillShade="D9"/>
            <w:vAlign w:val="bottom"/>
          </w:tcPr>
          <w:p w14:paraId="62111A30"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240" w:type="dxa"/>
            <w:tcBorders>
              <w:bottom w:val="nil"/>
              <w:right w:val="nil"/>
            </w:tcBorders>
            <w:shd w:val="clear" w:color="auto" w:fill="D9D9D9" w:themeFill="background1" w:themeFillShade="D9"/>
            <w:vAlign w:val="bottom"/>
          </w:tcPr>
          <w:p w14:paraId="45269DA5"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311" w:type="dxa"/>
            <w:tcBorders>
              <w:left w:val="nil"/>
              <w:bottom w:val="nil"/>
            </w:tcBorders>
            <w:shd w:val="clear" w:color="auto" w:fill="D9D9D9" w:themeFill="background1" w:themeFillShade="D9"/>
            <w:vAlign w:val="bottom"/>
          </w:tcPr>
          <w:p w14:paraId="757AA698"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312" w:type="dxa"/>
            <w:tcBorders>
              <w:bottom w:val="nil"/>
            </w:tcBorders>
            <w:shd w:val="clear" w:color="auto" w:fill="D9D9D9" w:themeFill="background1" w:themeFillShade="D9"/>
            <w:vAlign w:val="bottom"/>
          </w:tcPr>
          <w:p w14:paraId="7D560562"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p>
        </w:tc>
      </w:tr>
      <w:tr w:rsidR="00D3305D" w:rsidRPr="00EC326F" w14:paraId="574F3E27"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34F67604" w14:textId="77777777" w:rsidR="00D3305D" w:rsidRPr="00EC326F" w:rsidRDefault="00D3305D" w:rsidP="00A27609">
            <w:pPr>
              <w:pStyle w:val="TableTextSmall"/>
              <w:keepNext/>
            </w:pPr>
            <w:r w:rsidRPr="00EC326F">
              <w:t>Jun-16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vAlign w:val="bottom"/>
          </w:tcPr>
          <w:p w14:paraId="6E1A4514" w14:textId="441B4968"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$1,76</w:t>
            </w:r>
            <w:r w:rsidR="00512359">
              <w:t>6</w:t>
            </w:r>
            <w:r w:rsidRPr="00EC326F">
              <w:t>bn</w:t>
            </w:r>
          </w:p>
        </w:tc>
        <w:tc>
          <w:tcPr>
            <w:tcW w:w="1240" w:type="dxa"/>
            <w:tcBorders>
              <w:top w:val="nil"/>
              <w:left w:val="single" w:sz="4" w:space="0" w:color="E0301E" w:themeColor="accent6"/>
              <w:bottom w:val="nil"/>
            </w:tcBorders>
            <w:shd w:val="clear" w:color="auto" w:fill="D9D9D9" w:themeFill="background1" w:themeFillShade="D9"/>
            <w:vAlign w:val="bottom"/>
          </w:tcPr>
          <w:p w14:paraId="00D8F101"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1DA253A9"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vAlign w:val="bottom"/>
          </w:tcPr>
          <w:p w14:paraId="777038E2"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nil"/>
            </w:tcBorders>
            <w:shd w:val="clear" w:color="auto" w:fill="D9D9D9" w:themeFill="background1" w:themeFillShade="D9"/>
            <w:vAlign w:val="bottom"/>
          </w:tcPr>
          <w:p w14:paraId="27432E2D"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pPr>
          </w:p>
        </w:tc>
      </w:tr>
      <w:tr w:rsidR="00D3305D" w:rsidRPr="00EC326F" w14:paraId="73BE43B0"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161034CA" w14:textId="77777777" w:rsidR="00D3305D" w:rsidRPr="00EC326F" w:rsidRDefault="00D3305D" w:rsidP="00A27609">
            <w:pPr>
              <w:pStyle w:val="TableTextSmall"/>
              <w:keepNext/>
            </w:pPr>
            <w:r w:rsidRPr="00EC326F">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vAlign w:val="bottom"/>
          </w:tcPr>
          <w:p w14:paraId="06C5DBF7" w14:textId="433E5E2F" w:rsidR="00D3305D" w:rsidRPr="00EC326F" w:rsidRDefault="00D3305D" w:rsidP="00512359">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-$19</w:t>
            </w:r>
            <w:r w:rsidR="00512359">
              <w:t>6</w:t>
            </w:r>
            <w:r w:rsidRPr="00EC326F">
              <w:t>bn (</w:t>
            </w:r>
            <w:r w:rsidR="00512359">
              <w:t>10.0</w:t>
            </w:r>
            <w:r w:rsidRPr="00EC326F">
              <w:t>%)</w:t>
            </w:r>
          </w:p>
        </w:tc>
        <w:tc>
          <w:tcPr>
            <w:tcW w:w="1240" w:type="dxa"/>
            <w:tcBorders>
              <w:top w:val="nil"/>
              <w:left w:val="single" w:sz="4" w:space="0" w:color="E0301E" w:themeColor="accent6"/>
              <w:bottom w:val="nil"/>
            </w:tcBorders>
            <w:shd w:val="clear" w:color="auto" w:fill="D9D9D9" w:themeFill="background1" w:themeFillShade="D9"/>
            <w:vAlign w:val="bottom"/>
          </w:tcPr>
          <w:p w14:paraId="6F943725"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vAlign w:val="bottom"/>
          </w:tcPr>
          <w:p w14:paraId="24146AEC"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vAlign w:val="bottom"/>
          </w:tcPr>
          <w:p w14:paraId="3E56A98A"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312" w:type="dxa"/>
            <w:tcBorders>
              <w:top w:val="nil"/>
              <w:bottom w:val="nil"/>
            </w:tcBorders>
            <w:shd w:val="clear" w:color="auto" w:fill="D9D9D9" w:themeFill="background1" w:themeFillShade="D9"/>
            <w:vAlign w:val="bottom"/>
          </w:tcPr>
          <w:p w14:paraId="1DB2E9C1"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p>
        </w:tc>
      </w:tr>
      <w:tr w:rsidR="00D3305D" w:rsidRPr="00EC326F" w14:paraId="1646D188"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6537A814" w14:textId="77777777" w:rsidR="00D3305D" w:rsidRPr="00EC326F" w:rsidRDefault="00D3305D" w:rsidP="00A27609">
            <w:pPr>
              <w:pStyle w:val="TableTextSmall"/>
              <w:keepNext/>
            </w:pPr>
            <w:r w:rsidRPr="00EC326F">
              <w:t>Change due to Population</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vAlign w:val="bottom"/>
          </w:tcPr>
          <w:p w14:paraId="2337EBE5"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t>-0.2%</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vAlign w:val="bottom"/>
          </w:tcPr>
          <w:p w14:paraId="336187DC"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single" w:sz="4" w:space="0" w:color="E0301E" w:themeColor="accent6"/>
              <w:right w:val="nil"/>
            </w:tcBorders>
            <w:shd w:val="clear" w:color="auto" w:fill="D9D9D9" w:themeFill="background1" w:themeFillShade="D9"/>
            <w:vAlign w:val="bottom"/>
          </w:tcPr>
          <w:p w14:paraId="3FA5CA54"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single" w:sz="4" w:space="0" w:color="E0301E" w:themeColor="accent6"/>
            </w:tcBorders>
            <w:shd w:val="clear" w:color="auto" w:fill="D9D9D9" w:themeFill="background1" w:themeFillShade="D9"/>
            <w:vAlign w:val="bottom"/>
          </w:tcPr>
          <w:p w14:paraId="564FD653"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single" w:sz="4" w:space="0" w:color="E0301E" w:themeColor="accent6"/>
            </w:tcBorders>
            <w:shd w:val="clear" w:color="auto" w:fill="D9D9D9" w:themeFill="background1" w:themeFillShade="D9"/>
            <w:vAlign w:val="bottom"/>
          </w:tcPr>
          <w:p w14:paraId="4FDE17E0"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pPr>
          </w:p>
        </w:tc>
      </w:tr>
      <w:tr w:rsidR="00D3305D" w:rsidRPr="00EC326F" w14:paraId="12353C17"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35E10A20" w14:textId="77777777" w:rsidR="00D3305D" w:rsidRPr="00EC326F" w:rsidRDefault="00D3305D" w:rsidP="00A27609">
            <w:pPr>
              <w:pStyle w:val="TableTextSmall"/>
              <w:keepNext/>
            </w:pPr>
            <w:r w:rsidRPr="00EC326F">
              <w:t>Change due to Average Lifetime Cost</w:t>
            </w:r>
          </w:p>
        </w:tc>
        <w:tc>
          <w:tcPr>
            <w:tcW w:w="1276" w:type="dxa"/>
            <w:tcBorders>
              <w:left w:val="single" w:sz="4" w:space="0" w:color="E0301E" w:themeColor="accent6"/>
              <w:bottom w:val="nil"/>
              <w:right w:val="single" w:sz="4" w:space="0" w:color="E0301E" w:themeColor="accent6"/>
            </w:tcBorders>
            <w:vAlign w:val="bottom"/>
          </w:tcPr>
          <w:p w14:paraId="154E3E8D"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-$16k (9.8%)</w:t>
            </w:r>
          </w:p>
        </w:tc>
        <w:tc>
          <w:tcPr>
            <w:tcW w:w="1240" w:type="dxa"/>
            <w:tcBorders>
              <w:left w:val="single" w:sz="4" w:space="0" w:color="E0301E" w:themeColor="accent6"/>
              <w:bottom w:val="nil"/>
            </w:tcBorders>
            <w:vAlign w:val="bottom"/>
          </w:tcPr>
          <w:p w14:paraId="75C2614A"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-$12k</w:t>
            </w:r>
          </w:p>
        </w:tc>
        <w:tc>
          <w:tcPr>
            <w:tcW w:w="1240" w:type="dxa"/>
            <w:tcBorders>
              <w:bottom w:val="nil"/>
              <w:right w:val="dashed" w:sz="4" w:space="0" w:color="E0301E" w:themeColor="accent6"/>
            </w:tcBorders>
            <w:vAlign w:val="bottom"/>
          </w:tcPr>
          <w:p w14:paraId="3D1B4B52"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-$2k</w:t>
            </w:r>
          </w:p>
        </w:tc>
        <w:tc>
          <w:tcPr>
            <w:tcW w:w="1311" w:type="dxa"/>
            <w:tcBorders>
              <w:left w:val="dashed" w:sz="4" w:space="0" w:color="E0301E" w:themeColor="accent6"/>
              <w:bottom w:val="nil"/>
            </w:tcBorders>
            <w:vAlign w:val="bottom"/>
          </w:tcPr>
          <w:p w14:paraId="5B2550F2"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2" w:type="dxa"/>
            <w:tcBorders>
              <w:bottom w:val="nil"/>
            </w:tcBorders>
            <w:vAlign w:val="bottom"/>
          </w:tcPr>
          <w:p w14:paraId="419F2AAE"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-$2k</w:t>
            </w:r>
          </w:p>
        </w:tc>
      </w:tr>
      <w:tr w:rsidR="00D3305D" w:rsidRPr="00EC326F" w14:paraId="61F99517"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1F4F00E5" w14:textId="77777777" w:rsidR="00D3305D" w:rsidRPr="00EC326F" w:rsidRDefault="00D3305D" w:rsidP="00A27609">
            <w:pPr>
              <w:pStyle w:val="TableTextSmall"/>
              <w:keepNext/>
              <w:rPr>
                <w:b w:val="0"/>
              </w:rPr>
            </w:pPr>
            <w:r w:rsidRPr="00EC326F">
              <w:rPr>
                <w:b w:val="0"/>
              </w:rPr>
              <w:t>- Impact of change in inflation</w:t>
            </w:r>
          </w:p>
        </w:tc>
        <w:tc>
          <w:tcPr>
            <w:tcW w:w="1276" w:type="dxa"/>
            <w:tcBorders>
              <w:top w:val="nil"/>
              <w:left w:val="single" w:sz="4" w:space="0" w:color="E0301E" w:themeColor="accent6"/>
              <w:bottom w:val="nil"/>
              <w:right w:val="single" w:sz="4" w:space="0" w:color="E0301E" w:themeColor="accent6"/>
            </w:tcBorders>
            <w:vAlign w:val="bottom"/>
          </w:tcPr>
          <w:p w14:paraId="34E2100F"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left w:val="single" w:sz="4" w:space="0" w:color="E0301E" w:themeColor="accent6"/>
              <w:bottom w:val="nil"/>
            </w:tcBorders>
            <w:vAlign w:val="bottom"/>
          </w:tcPr>
          <w:p w14:paraId="5F8ED222"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240" w:type="dxa"/>
            <w:tcBorders>
              <w:top w:val="nil"/>
              <w:bottom w:val="nil"/>
              <w:right w:val="dashed" w:sz="4" w:space="0" w:color="E0301E" w:themeColor="accent6"/>
            </w:tcBorders>
            <w:vAlign w:val="bottom"/>
          </w:tcPr>
          <w:p w14:paraId="05205585"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1" w:type="dxa"/>
            <w:tcBorders>
              <w:top w:val="nil"/>
              <w:left w:val="dashed" w:sz="4" w:space="0" w:color="E0301E" w:themeColor="accent6"/>
              <w:bottom w:val="nil"/>
            </w:tcBorders>
            <w:vAlign w:val="bottom"/>
          </w:tcPr>
          <w:p w14:paraId="447D89C3"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1F1ACB65" w14:textId="77777777" w:rsidR="00D3305D" w:rsidRPr="00EC326F" w:rsidRDefault="00D3305D" w:rsidP="00A27609">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15E20203"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3ED9846C" w14:textId="77777777" w:rsidR="00D3305D" w:rsidRPr="00EC326F" w:rsidRDefault="00D3305D" w:rsidP="00A27609">
            <w:pPr>
              <w:pStyle w:val="TableTextSmall"/>
              <w:keepNext/>
              <w:rPr>
                <w:b w:val="0"/>
              </w:rPr>
            </w:pPr>
            <w:r w:rsidRPr="00EC326F">
              <w:rPr>
                <w:b w:val="0"/>
              </w:rPr>
              <w:t>- Impact of new economic module</w:t>
            </w:r>
          </w:p>
        </w:tc>
        <w:tc>
          <w:tcPr>
            <w:tcW w:w="1276" w:type="dxa"/>
            <w:tcBorders>
              <w:top w:val="nil"/>
              <w:left w:val="single" w:sz="4" w:space="0" w:color="E0301E" w:themeColor="accent6"/>
              <w:bottom w:val="nil"/>
              <w:right w:val="single" w:sz="4" w:space="0" w:color="E0301E" w:themeColor="accent6"/>
            </w:tcBorders>
            <w:vAlign w:val="bottom"/>
          </w:tcPr>
          <w:p w14:paraId="39BA00BF"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-$7k</w:t>
            </w:r>
          </w:p>
        </w:tc>
        <w:tc>
          <w:tcPr>
            <w:tcW w:w="1240" w:type="dxa"/>
            <w:tcBorders>
              <w:top w:val="nil"/>
              <w:left w:val="single" w:sz="4" w:space="0" w:color="E0301E" w:themeColor="accent6"/>
              <w:bottom w:val="nil"/>
            </w:tcBorders>
            <w:vAlign w:val="bottom"/>
          </w:tcPr>
          <w:p w14:paraId="2FBB6D3D"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-$4k</w:t>
            </w:r>
          </w:p>
        </w:tc>
        <w:tc>
          <w:tcPr>
            <w:tcW w:w="1240" w:type="dxa"/>
            <w:tcBorders>
              <w:top w:val="nil"/>
              <w:bottom w:val="nil"/>
              <w:right w:val="dashed" w:sz="4" w:space="0" w:color="E0301E" w:themeColor="accent6"/>
            </w:tcBorders>
            <w:vAlign w:val="bottom"/>
          </w:tcPr>
          <w:p w14:paraId="445A8C6F"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C326F">
              <w:t>-$2k</w:t>
            </w:r>
          </w:p>
        </w:tc>
        <w:tc>
          <w:tcPr>
            <w:tcW w:w="1311" w:type="dxa"/>
            <w:tcBorders>
              <w:top w:val="nil"/>
              <w:left w:val="dashed" w:sz="4" w:space="0" w:color="E0301E" w:themeColor="accent6"/>
              <w:bottom w:val="nil"/>
            </w:tcBorders>
            <w:vAlign w:val="bottom"/>
          </w:tcPr>
          <w:p w14:paraId="60CA5EE8"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4EA7C94A" w14:textId="77777777" w:rsidR="00D3305D" w:rsidRPr="00EC326F" w:rsidRDefault="00D3305D" w:rsidP="00A27609">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r>
      <w:tr w:rsidR="00512359" w:rsidRPr="00EC326F" w14:paraId="03D84364" w14:textId="77777777" w:rsidTr="00087048">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69137007" w14:textId="5A6214DE" w:rsidR="00512359" w:rsidRPr="00EC326F" w:rsidRDefault="00512359" w:rsidP="00CC3286">
            <w:pPr>
              <w:pStyle w:val="TableTextSmall"/>
              <w:rPr>
                <w:b w:val="0"/>
              </w:rPr>
            </w:pPr>
            <w:r w:rsidRPr="00CC3286">
              <w:rPr>
                <w:b w:val="0"/>
              </w:rPr>
              <w:t>- Impact of policy changes</w:t>
            </w:r>
          </w:p>
        </w:tc>
        <w:tc>
          <w:tcPr>
            <w:tcW w:w="1276" w:type="dxa"/>
            <w:tcBorders>
              <w:top w:val="nil"/>
              <w:left w:val="single" w:sz="4" w:space="0" w:color="E0301E" w:themeColor="accent6"/>
              <w:bottom w:val="nil"/>
              <w:right w:val="single" w:sz="4" w:space="0" w:color="E0301E" w:themeColor="accent6"/>
            </w:tcBorders>
            <w:vAlign w:val="bottom"/>
          </w:tcPr>
          <w:p w14:paraId="29BDAB83" w14:textId="79AA6DCA" w:rsidR="00512359" w:rsidRPr="00EC326F" w:rsidRDefault="00512359" w:rsidP="00512359">
            <w:pPr>
              <w:pStyle w:val="TableTextSmall"/>
              <w:keepNext/>
              <w:jc w:val="center"/>
              <w:cnfStyle w:val="000000000000" w:firstRow="0" w:lastRow="0" w:firstColumn="0" w:lastColumn="0" w:oddVBand="0" w:evenVBand="0" w:oddHBand="0" w:evenHBand="0" w:firstRowFirstColumn="0" w:firstRowLastColumn="0" w:lastRowFirstColumn="0" w:lastRowLastColumn="0"/>
            </w:pPr>
            <w:r>
              <w:t>-$1k</w:t>
            </w:r>
          </w:p>
        </w:tc>
        <w:tc>
          <w:tcPr>
            <w:tcW w:w="1240" w:type="dxa"/>
            <w:tcBorders>
              <w:top w:val="nil"/>
              <w:left w:val="single" w:sz="4" w:space="0" w:color="E0301E" w:themeColor="accent6"/>
              <w:bottom w:val="nil"/>
            </w:tcBorders>
            <w:vAlign w:val="bottom"/>
          </w:tcPr>
          <w:p w14:paraId="6C699ACD" w14:textId="4AAFFD33" w:rsidR="00512359" w:rsidRPr="00EC326F" w:rsidRDefault="00CC3286" w:rsidP="00512359">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240" w:type="dxa"/>
            <w:tcBorders>
              <w:top w:val="nil"/>
              <w:bottom w:val="nil"/>
              <w:right w:val="dashed" w:sz="4" w:space="0" w:color="E0301E" w:themeColor="accent6"/>
            </w:tcBorders>
            <w:vAlign w:val="bottom"/>
          </w:tcPr>
          <w:p w14:paraId="2A649EFD" w14:textId="5C917C58" w:rsidR="00512359" w:rsidRPr="00EC326F" w:rsidRDefault="00CC3286" w:rsidP="00512359">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C326F">
              <w:rPr>
                <w:color w:val="808080"/>
              </w:rPr>
              <w:t>&lt; $1k</w:t>
            </w:r>
          </w:p>
        </w:tc>
        <w:tc>
          <w:tcPr>
            <w:tcW w:w="1311" w:type="dxa"/>
            <w:tcBorders>
              <w:top w:val="nil"/>
              <w:left w:val="dashed" w:sz="4" w:space="0" w:color="E0301E" w:themeColor="accent6"/>
              <w:bottom w:val="nil"/>
            </w:tcBorders>
            <w:vAlign w:val="bottom"/>
          </w:tcPr>
          <w:p w14:paraId="713414C4" w14:textId="545C2E9C" w:rsidR="00512359" w:rsidRPr="00EC326F" w:rsidRDefault="00CC3286" w:rsidP="00512359">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c>
          <w:tcPr>
            <w:tcW w:w="1312" w:type="dxa"/>
            <w:tcBorders>
              <w:top w:val="nil"/>
              <w:bottom w:val="nil"/>
            </w:tcBorders>
            <w:vAlign w:val="bottom"/>
          </w:tcPr>
          <w:p w14:paraId="760DA0A1" w14:textId="6F74ED10" w:rsidR="00512359" w:rsidRPr="00EC326F" w:rsidRDefault="00CC3286" w:rsidP="00512359">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C326F">
              <w:rPr>
                <w:color w:val="808080"/>
              </w:rPr>
              <w:t>&lt; $1k</w:t>
            </w:r>
          </w:p>
        </w:tc>
      </w:tr>
      <w:tr w:rsidR="00D3305D" w:rsidRPr="00EC326F" w14:paraId="73D8340B" w14:textId="77777777" w:rsidTr="00087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1A73F6AC" w14:textId="77777777" w:rsidR="00D3305D" w:rsidRPr="00EC326F" w:rsidRDefault="00D3305D" w:rsidP="003114C1">
            <w:pPr>
              <w:pStyle w:val="TableTextSmall"/>
              <w:rPr>
                <w:b w:val="0"/>
              </w:rPr>
            </w:pPr>
            <w:r w:rsidRPr="00EC326F">
              <w:rPr>
                <w:b w:val="0"/>
              </w:rPr>
              <w:t>- Impact of other changes</w:t>
            </w:r>
          </w:p>
        </w:tc>
        <w:tc>
          <w:tcPr>
            <w:tcW w:w="1276" w:type="dxa"/>
            <w:tcBorders>
              <w:top w:val="nil"/>
              <w:left w:val="single" w:sz="4" w:space="0" w:color="E0301E" w:themeColor="accent6"/>
              <w:right w:val="single" w:sz="4" w:space="0" w:color="E0301E" w:themeColor="accent6"/>
            </w:tcBorders>
            <w:vAlign w:val="bottom"/>
          </w:tcPr>
          <w:p w14:paraId="6DCAE632" w14:textId="73B76935"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w:t>
            </w:r>
            <w:r w:rsidR="00512359">
              <w:t>8</w:t>
            </w:r>
            <w:r w:rsidRPr="00EC326F">
              <w:t>k</w:t>
            </w:r>
          </w:p>
        </w:tc>
        <w:tc>
          <w:tcPr>
            <w:tcW w:w="1240" w:type="dxa"/>
            <w:tcBorders>
              <w:top w:val="nil"/>
              <w:left w:val="single" w:sz="4" w:space="0" w:color="E0301E" w:themeColor="accent6"/>
            </w:tcBorders>
            <w:vAlign w:val="bottom"/>
          </w:tcPr>
          <w:p w14:paraId="1BEDF178"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-$7k</w:t>
            </w:r>
          </w:p>
        </w:tc>
        <w:tc>
          <w:tcPr>
            <w:tcW w:w="1240" w:type="dxa"/>
            <w:tcBorders>
              <w:top w:val="nil"/>
              <w:right w:val="dashed" w:sz="4" w:space="0" w:color="E0301E" w:themeColor="accent6"/>
            </w:tcBorders>
            <w:vAlign w:val="bottom"/>
          </w:tcPr>
          <w:p w14:paraId="12555240"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1" w:type="dxa"/>
            <w:tcBorders>
              <w:top w:val="nil"/>
              <w:left w:val="dashed" w:sz="4" w:space="0" w:color="E0301E" w:themeColor="accent6"/>
            </w:tcBorders>
            <w:vAlign w:val="bottom"/>
          </w:tcPr>
          <w:p w14:paraId="6E4129EE"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EC326F">
              <w:rPr>
                <w:color w:val="808080"/>
              </w:rPr>
              <w:t>&lt; $1k</w:t>
            </w:r>
          </w:p>
        </w:tc>
        <w:tc>
          <w:tcPr>
            <w:tcW w:w="1312" w:type="dxa"/>
            <w:tcBorders>
              <w:top w:val="nil"/>
            </w:tcBorders>
            <w:vAlign w:val="bottom"/>
          </w:tcPr>
          <w:p w14:paraId="54F270A4" w14:textId="77777777" w:rsidR="00D3305D" w:rsidRPr="00EC326F" w:rsidRDefault="00D3305D" w:rsidP="003114C1">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-$2k</w:t>
            </w:r>
          </w:p>
        </w:tc>
      </w:tr>
    </w:tbl>
    <w:p w14:paraId="48517C7D" w14:textId="77777777" w:rsidR="00D3305D" w:rsidRPr="00EC326F" w:rsidRDefault="00D3305D" w:rsidP="00A27609">
      <w:pPr>
        <w:pStyle w:val="PwCNormal-keepwithnext"/>
      </w:pPr>
      <w:r w:rsidRPr="00EC326F">
        <w:t>The reduction in average cost has been primarily driven by:</w:t>
      </w:r>
    </w:p>
    <w:p w14:paraId="79218FDD" w14:textId="77777777" w:rsidR="00A27609" w:rsidRDefault="00A27609" w:rsidP="00A27609">
      <w:pPr>
        <w:pStyle w:val="ListBullet"/>
      </w:pPr>
      <w:r w:rsidRPr="00EC326F">
        <w:t>Lower transition rates into working age</w:t>
      </w:r>
      <w:r>
        <w:t xml:space="preserve"> as a result of both:</w:t>
      </w:r>
    </w:p>
    <w:p w14:paraId="179903EE" w14:textId="77777777" w:rsidR="00A27609" w:rsidRPr="00EC326F" w:rsidRDefault="00A27609" w:rsidP="00A27609">
      <w:pPr>
        <w:pStyle w:val="ListBullet2"/>
      </w:pPr>
      <w:r>
        <w:t>Reductions to the adopted entry rates into working age</w:t>
      </w:r>
      <w:r w:rsidRPr="00EC326F">
        <w:t>; and</w:t>
      </w:r>
    </w:p>
    <w:p w14:paraId="643871A3" w14:textId="77777777" w:rsidR="00D3305D" w:rsidRPr="00EC326F" w:rsidRDefault="00A27609" w:rsidP="00A27609">
      <w:pPr>
        <w:pStyle w:val="ListBullet2"/>
      </w:pPr>
      <w:r>
        <w:t>The</w:t>
      </w:r>
      <w:r w:rsidR="00D3305D" w:rsidRPr="00EC326F">
        <w:t xml:space="preserve"> reduction in the assumed long term unemployment rate;</w:t>
      </w:r>
    </w:p>
    <w:p w14:paraId="646C728C" w14:textId="77777777" w:rsidR="00D3305D" w:rsidRPr="00EC326F" w:rsidRDefault="00D3305D" w:rsidP="00A27609">
      <w:pPr>
        <w:pStyle w:val="ListBullet"/>
      </w:pPr>
      <w:r w:rsidRPr="00EC326F">
        <w:t>A flow on impact of the lower entry rate assumptions onto future transitions into other active classes.</w:t>
      </w:r>
      <w:r w:rsidR="00A27609">
        <w:t xml:space="preserve"> This has reduced the assessed likelihood of people entering other income support payment classes in future and resu</w:t>
      </w:r>
      <w:r w:rsidR="001A1790">
        <w:t>lted in lesser contributions to the lifetime cost from future Carer and DSP payments.</w:t>
      </w:r>
    </w:p>
    <w:p w14:paraId="2F735A20" w14:textId="77777777" w:rsidR="00362C71" w:rsidRPr="00EC326F" w:rsidRDefault="00362C71" w:rsidP="00362C71">
      <w:pPr>
        <w:pStyle w:val="Minorheading"/>
      </w:pPr>
      <w:r w:rsidRPr="00EC326F">
        <w:t>Future outcomes</w:t>
      </w:r>
    </w:p>
    <w:p w14:paraId="77553B5D" w14:textId="77777777" w:rsidR="00362C71" w:rsidRPr="00EC326F" w:rsidRDefault="00362C71" w:rsidP="00362C71">
      <w:pPr>
        <w:pStyle w:val="PwCNormal"/>
        <w:keepNext/>
        <w:numPr>
          <w:ilvl w:val="0"/>
          <w:numId w:val="0"/>
        </w:numPr>
      </w:pPr>
      <w:r w:rsidRPr="00EC326F">
        <w:t xml:space="preserve">In developing the valuation results the projection model also produces information on the expected transitions for people out of each class, as shown below. </w:t>
      </w:r>
    </w:p>
    <w:p w14:paraId="1BD35267" w14:textId="77777777" w:rsidR="00362C71" w:rsidRPr="00EC326F" w:rsidRDefault="00362C71" w:rsidP="00362C71">
      <w:pPr>
        <w:pStyle w:val="Caption"/>
      </w:pPr>
      <w:r w:rsidRPr="00EC326F">
        <w:t xml:space="preserve">Figure </w:t>
      </w:r>
      <w:fldSimple w:instr=" SEQ Figure \* ARABIC ">
        <w:r w:rsidR="007A42DF">
          <w:rPr>
            <w:noProof/>
          </w:rPr>
          <w:t>93</w:t>
        </w:r>
      </w:fldSimple>
      <w:r w:rsidRPr="00EC326F">
        <w:t>: Expected future trajectory for people in Class 12</w:t>
      </w:r>
    </w:p>
    <w:tbl>
      <w:tblPr>
        <w:tblStyle w:val="Tables-APBase"/>
        <w:tblW w:w="465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12"/>
        <w:tblDescription w:val="This text box contains one chart and a legend."/>
      </w:tblPr>
      <w:tblGrid>
        <w:gridCol w:w="6521"/>
        <w:gridCol w:w="2864"/>
      </w:tblGrid>
      <w:tr w:rsidR="00362C71" w:rsidRPr="00EC326F" w14:paraId="2A47A051" w14:textId="77777777" w:rsidTr="009C6553">
        <w:trPr>
          <w:trHeight w:val="3381"/>
          <w:tblHeader/>
        </w:trPr>
        <w:tc>
          <w:tcPr>
            <w:tcW w:w="6521" w:type="dxa"/>
            <w:hideMark/>
          </w:tcPr>
          <w:p w14:paraId="150CF763" w14:textId="77777777" w:rsidR="00362C71" w:rsidRPr="00EC326F" w:rsidRDefault="00362C71" w:rsidP="00487300">
            <w:pPr>
              <w:pStyle w:val="TableTextSmall"/>
            </w:pPr>
            <w:r w:rsidRPr="00EC326F">
              <w:t xml:space="preserve">  </w:t>
            </w:r>
            <w:r w:rsidR="00B21055" w:rsidRPr="00EC326F">
              <w:rPr>
                <w:noProof/>
                <w:lang w:eastAsia="en-AU"/>
              </w:rPr>
              <w:drawing>
                <wp:inline distT="0" distB="0" distL="0" distR="0" wp14:anchorId="5F0A05FC" wp14:editId="0C065250">
                  <wp:extent cx="3899728" cy="2160000"/>
                  <wp:effectExtent l="0" t="0" r="0" b="0"/>
                  <wp:docPr id="848" name="Picture 848" descr="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e chart includes the 11,929,000 individuals who were in the rest of the Australian population class at 30 June 2016. &#10;&#10;In 5 years’ time, about 20% of people are projected to have left class 12 by transitioning to various other classes. In 10 years’ time, about 35% of people are projected to have left class 12, with the most common transitions over this time period into the previous welfare recipient, working age, pension age and non-income support family classes. Around 35% are expected to have transitioned into the previous welfare recipient class by 2061. The proportion of the group projected to receive pension age benefits in 2061 is around 15% and this increases to 35% by 2086. By 2086, around 50% of the original cohort is in the dead class.&#10;&#10;The features shown in the chart are discussed further in the accompanying text within the report.&#10;" title=" Expected future trajectory for people in Clas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899728" cy="2160000"/>
                          </a:xfrm>
                          <a:prstGeom prst="rect">
                            <a:avLst/>
                          </a:prstGeom>
                          <a:noFill/>
                          <a:ln>
                            <a:noFill/>
                          </a:ln>
                        </pic:spPr>
                      </pic:pic>
                    </a:graphicData>
                  </a:graphic>
                </wp:inline>
              </w:drawing>
            </w:r>
          </w:p>
        </w:tc>
        <w:tc>
          <w:tcPr>
            <w:tcW w:w="2864" w:type="dxa"/>
          </w:tcPr>
          <w:p w14:paraId="2D7B4CC2" w14:textId="77777777" w:rsidR="00362C71" w:rsidRPr="00EC326F" w:rsidRDefault="00362C71" w:rsidP="00487300">
            <w:pPr>
              <w:pStyle w:val="TableTextSmall"/>
            </w:pPr>
          </w:p>
          <w:p w14:paraId="6E3C865D" w14:textId="77777777" w:rsidR="00362C71" w:rsidRPr="00EC326F" w:rsidRDefault="00362C71" w:rsidP="00487300">
            <w:pPr>
              <w:pStyle w:val="TableTextSmall"/>
            </w:pPr>
            <w:r w:rsidRPr="00EC326F">
              <w:rPr>
                <w:noProof/>
                <w:lang w:eastAsia="en-AU"/>
              </w:rPr>
              <w:drawing>
                <wp:inline distT="0" distB="0" distL="0" distR="0" wp14:anchorId="4418A710" wp14:editId="4DE6F4AC">
                  <wp:extent cx="1439545" cy="1591945"/>
                  <wp:effectExtent l="0" t="0" r="8255" b="0"/>
                  <wp:docPr id="846" name="Picture 846" descr="Class key: studying, working age, parents, carers, disability support, pension age, non-income support family, non-income support carer, non-income support other, previous welfare recipient, rest of the Australian population and dead. " title="Class Key for Figure 93"/>
                  <wp:cNvGraphicFramePr/>
                  <a:graphic xmlns:a="http://schemas.openxmlformats.org/drawingml/2006/main">
                    <a:graphicData uri="http://schemas.openxmlformats.org/drawingml/2006/picture">
                      <pic:pic xmlns:pic="http://schemas.openxmlformats.org/drawingml/2006/picture">
                        <pic:nvPicPr>
                          <pic:cNvPr id="195" name="Picture 195" descr="Class keys: studying, working age, parents, carers, disability support, pension age, non-income support family, non-income support carer, non-income support other, previous welfare recipient, rest of the Australian population and dead. " title="Payment class key for Figure 4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22FBA076" w14:textId="77777777" w:rsidR="00362C71" w:rsidRPr="00EC326F" w:rsidRDefault="00362C71" w:rsidP="00487300">
            <w:pPr>
              <w:pStyle w:val="TableTextSmall"/>
            </w:pPr>
          </w:p>
        </w:tc>
      </w:tr>
    </w:tbl>
    <w:p w14:paraId="18DE07EA" w14:textId="77777777" w:rsidR="00362C71" w:rsidRPr="00EC326F" w:rsidRDefault="00362C71" w:rsidP="00362C71">
      <w:pPr>
        <w:pStyle w:val="PwCNormal"/>
        <w:numPr>
          <w:ilvl w:val="0"/>
          <w:numId w:val="0"/>
        </w:numPr>
      </w:pPr>
      <w:r w:rsidRPr="00EC326F">
        <w:t xml:space="preserve">Some observations we can make based on our analysis are that: </w:t>
      </w:r>
    </w:p>
    <w:p w14:paraId="18E2503C" w14:textId="77777777" w:rsidR="00362C71" w:rsidRPr="00EC326F" w:rsidRDefault="00362C71" w:rsidP="001A4479">
      <w:pPr>
        <w:pStyle w:val="Bullet1"/>
        <w:numPr>
          <w:ilvl w:val="0"/>
          <w:numId w:val="39"/>
        </w:numPr>
      </w:pPr>
      <w:r w:rsidRPr="00EC326F">
        <w:t xml:space="preserve">The main difference between the trajectories for this group compared to that shown for the previous welfare recipients is likely driven by the difference in the age profiles. In particular class 12 contains </w:t>
      </w:r>
      <w:r w:rsidR="008536E9">
        <w:t>a higher number of</w:t>
      </w:r>
      <w:r w:rsidRPr="00EC326F">
        <w:t xml:space="preserve"> younger people and so the use of each different welfare classes is typically further into the projection.</w:t>
      </w:r>
    </w:p>
    <w:p w14:paraId="3D2CD86D" w14:textId="3FFC4577" w:rsidR="00362C71" w:rsidRPr="00EC326F" w:rsidRDefault="00362C71" w:rsidP="001A4479">
      <w:pPr>
        <w:pStyle w:val="Bullet1"/>
        <w:numPr>
          <w:ilvl w:val="0"/>
          <w:numId w:val="39"/>
        </w:numPr>
      </w:pPr>
      <w:r w:rsidRPr="00EC326F">
        <w:t>1</w:t>
      </w:r>
      <w:r w:rsidR="001A1790">
        <w:t>5</w:t>
      </w:r>
      <w:r w:rsidRPr="00EC326F">
        <w:t xml:space="preserve">% of the people currently in class 10 are expected to be in an active class in 5 </w:t>
      </w:r>
      <w:r w:rsidR="008536E9" w:rsidRPr="00EC326F">
        <w:t>years’ time</w:t>
      </w:r>
      <w:r w:rsidRPr="00EC326F">
        <w:t xml:space="preserve">. The highest entries are expected to be into </w:t>
      </w:r>
      <w:r w:rsidR="00FF7EC9">
        <w:t>classes ‘</w:t>
      </w:r>
      <w:r w:rsidRPr="00EC326F">
        <w:t>2 Working Age</w:t>
      </w:r>
      <w:r w:rsidR="00FF7EC9">
        <w:t>’</w:t>
      </w:r>
      <w:r w:rsidRPr="00EC326F">
        <w:t xml:space="preserve">, </w:t>
      </w:r>
      <w:r w:rsidR="00FF7EC9">
        <w:t>‘</w:t>
      </w:r>
      <w:r w:rsidRPr="00EC326F">
        <w:t>6 Age Pension</w:t>
      </w:r>
      <w:r w:rsidR="00FF7EC9">
        <w:t>’</w:t>
      </w:r>
      <w:r w:rsidRPr="00EC326F">
        <w:t xml:space="preserve">, </w:t>
      </w:r>
      <w:r w:rsidR="00FF7EC9">
        <w:t>‘</w:t>
      </w:r>
      <w:r w:rsidRPr="00EC326F">
        <w:t>7 Non IS Family</w:t>
      </w:r>
      <w:r w:rsidR="00FF7EC9">
        <w:t>’</w:t>
      </w:r>
      <w:r w:rsidRPr="00EC326F">
        <w:t xml:space="preserve"> and </w:t>
      </w:r>
      <w:r w:rsidR="00FF7EC9">
        <w:t>‘</w:t>
      </w:r>
      <w:r w:rsidRPr="00EC326F">
        <w:t>9 Non IS Other</w:t>
      </w:r>
      <w:r w:rsidR="00FF7EC9">
        <w:t>’</w:t>
      </w:r>
      <w:r w:rsidRPr="00EC326F">
        <w:t>. 4% of people are expected to have entered an active class and then exited into class 10 by this point.</w:t>
      </w:r>
    </w:p>
    <w:p w14:paraId="7C77A423" w14:textId="6F6DBADB" w:rsidR="00362C71" w:rsidRPr="00EC326F" w:rsidRDefault="00362C71" w:rsidP="001A4479">
      <w:pPr>
        <w:pStyle w:val="Bullet1"/>
        <w:numPr>
          <w:ilvl w:val="0"/>
          <w:numId w:val="39"/>
        </w:numPr>
      </w:pPr>
      <w:r w:rsidRPr="00EC326F">
        <w:t>Around 24% of this group are expected to be receiving an income support payment in 205</w:t>
      </w:r>
      <w:r w:rsidR="001A1790">
        <w:t>6</w:t>
      </w:r>
      <w:r w:rsidRPr="00EC326F">
        <w:t xml:space="preserve">, with the majority projected to be in class </w:t>
      </w:r>
      <w:r w:rsidR="00FF7EC9">
        <w:t>‘</w:t>
      </w:r>
      <w:r w:rsidRPr="00EC326F">
        <w:t>6 Pension Age</w:t>
      </w:r>
      <w:r w:rsidR="00FF7EC9">
        <w:t>’</w:t>
      </w:r>
      <w:r w:rsidRPr="00EC326F">
        <w:t>.</w:t>
      </w:r>
    </w:p>
    <w:p w14:paraId="14E0CB0D" w14:textId="77777777" w:rsidR="00362C71" w:rsidRPr="00EC326F" w:rsidRDefault="00362C71" w:rsidP="00362C71">
      <w:pPr>
        <w:pStyle w:val="Minorheading"/>
      </w:pPr>
      <w:r w:rsidRPr="00EC326F">
        <w:lastRenderedPageBreak/>
        <w:t>Duration</w:t>
      </w:r>
    </w:p>
    <w:p w14:paraId="0EDA80C6" w14:textId="279EDCE9" w:rsidR="00362C71" w:rsidRPr="00EC326F" w:rsidRDefault="00362C71" w:rsidP="001A4479">
      <w:pPr>
        <w:pStyle w:val="PwCNormal"/>
        <w:numPr>
          <w:ilvl w:val="0"/>
          <w:numId w:val="37"/>
        </w:numPr>
      </w:pPr>
      <w:r w:rsidRPr="00EC326F">
        <w:t xml:space="preserve">The average future life expectancy for the </w:t>
      </w:r>
      <w:r w:rsidR="00B21055" w:rsidRPr="00EC326F">
        <w:t xml:space="preserve">Rest of Australian Population </w:t>
      </w:r>
      <w:r w:rsidRPr="00EC326F">
        <w:t xml:space="preserve">class is </w:t>
      </w:r>
      <w:r w:rsidR="002336D0" w:rsidRPr="00EC326F">
        <w:rPr>
          <w:b/>
        </w:rPr>
        <w:t>6</w:t>
      </w:r>
      <w:r w:rsidR="002336D0">
        <w:rPr>
          <w:b/>
        </w:rPr>
        <w:t>3</w:t>
      </w:r>
      <w:r w:rsidR="002336D0" w:rsidRPr="00EC326F">
        <w:t xml:space="preserve"> </w:t>
      </w:r>
      <w:r w:rsidRPr="00EC326F">
        <w:t>years. This reflects that the</w:t>
      </w:r>
      <w:r w:rsidR="00B21055" w:rsidRPr="00EC326F">
        <w:t>re are a large proportion of young people in this class</w:t>
      </w:r>
      <w:r w:rsidRPr="00EC326F">
        <w:t>.</w:t>
      </w:r>
    </w:p>
    <w:p w14:paraId="6F8AF79B" w14:textId="77777777" w:rsidR="00362C71" w:rsidRPr="00EC326F" w:rsidRDefault="00362C71" w:rsidP="00362C71">
      <w:pPr>
        <w:pStyle w:val="PwCNormal"/>
        <w:numPr>
          <w:ilvl w:val="0"/>
          <w:numId w:val="0"/>
        </w:numPr>
      </w:pPr>
      <w:r w:rsidRPr="00EC326F">
        <w:t>The table below provides a summary of the expected welfare system use of people currently in this class over this time. This has been developed by considering which classes people move into as they move through the welfare system over their lives.</w:t>
      </w:r>
    </w:p>
    <w:p w14:paraId="4149E0AE" w14:textId="77777777" w:rsidR="00362C71" w:rsidRPr="00EC326F" w:rsidRDefault="00362C71" w:rsidP="00362C71">
      <w:pPr>
        <w:pStyle w:val="Caption"/>
      </w:pPr>
      <w:r w:rsidRPr="00EC326F">
        <w:t xml:space="preserve">Table </w:t>
      </w:r>
      <w:fldSimple w:instr=" SEQ Table \* ARABIC ">
        <w:r w:rsidR="007A42DF">
          <w:rPr>
            <w:noProof/>
          </w:rPr>
          <w:t>49</w:t>
        </w:r>
      </w:fldSimple>
      <w:r w:rsidRPr="00EC326F">
        <w:t>: Expected durations in welfare system for people currently in Class 1</w:t>
      </w:r>
      <w:r w:rsidR="00B21055" w:rsidRPr="00EC326F">
        <w:t>2</w:t>
      </w:r>
      <w:r w:rsidRPr="00EC326F">
        <w:t xml:space="preserve"> </w:t>
      </w:r>
    </w:p>
    <w:tbl>
      <w:tblPr>
        <w:tblStyle w:val="ListTable3-Accent62"/>
        <w:tblW w:w="8868" w:type="dxa"/>
        <w:tblInd w:w="108" w:type="dxa"/>
        <w:tblLook w:val="04A0" w:firstRow="1" w:lastRow="0" w:firstColumn="1" w:lastColumn="0" w:noHBand="0" w:noVBand="1"/>
        <w:tblCaption w:val=" Expected durations in welfare system for people currently in Class 12 &#10;&#10;"/>
        <w:tblDescription w:val="This table provides data on the expected number of years that people currently in Class 12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12 is 62 years. &#10;&#10;People in Class 12 are expected to receive some form of income support payment (excluding the age pension) for 6 years, 10% of their future lifetime. It is expected that they will receive the age pension for 16 years (25% of their future lifetime), non-income support payments only for 6 years (9% of their future lifetime) and no welfare payments for 35 years (56% of their future lifetime).&#10;"/>
      </w:tblPr>
      <w:tblGrid>
        <w:gridCol w:w="3828"/>
        <w:gridCol w:w="2520"/>
        <w:gridCol w:w="2520"/>
      </w:tblGrid>
      <w:tr w:rsidR="00362C71" w:rsidRPr="00EC326F" w14:paraId="39FFE345"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4" w:space="0" w:color="E0301E" w:themeColor="accent6"/>
              <w:left w:val="single" w:sz="4" w:space="0" w:color="E0301E" w:themeColor="accent6"/>
            </w:tcBorders>
          </w:tcPr>
          <w:p w14:paraId="4A3D584A" w14:textId="77777777" w:rsidR="00362C71" w:rsidRPr="00EC326F" w:rsidRDefault="00362C71" w:rsidP="00487300">
            <w:pPr>
              <w:pStyle w:val="TableTextSmall"/>
              <w:jc w:val="center"/>
              <w:rPr>
                <w:rFonts w:asciiTheme="majorHAnsi" w:hAnsiTheme="majorHAnsi"/>
                <w:color w:val="FFFFFF" w:themeColor="background1"/>
              </w:rPr>
            </w:pPr>
          </w:p>
        </w:tc>
        <w:tc>
          <w:tcPr>
            <w:tcW w:w="2520" w:type="dxa"/>
            <w:tcBorders>
              <w:top w:val="single" w:sz="4" w:space="0" w:color="E0301E" w:themeColor="accent6"/>
              <w:left w:val="nil"/>
              <w:bottom w:val="nil"/>
              <w:right w:val="nil"/>
            </w:tcBorders>
            <w:hideMark/>
          </w:tcPr>
          <w:p w14:paraId="2E70E9FF" w14:textId="77777777" w:rsidR="00362C71" w:rsidRPr="00EC326F" w:rsidRDefault="00362C71" w:rsidP="00487300">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Expected Years</w:t>
            </w:r>
          </w:p>
        </w:tc>
        <w:tc>
          <w:tcPr>
            <w:tcW w:w="2520" w:type="dxa"/>
            <w:tcBorders>
              <w:top w:val="single" w:sz="4" w:space="0" w:color="E0301E" w:themeColor="accent6"/>
              <w:left w:val="nil"/>
              <w:bottom w:val="nil"/>
              <w:right w:val="single" w:sz="4" w:space="0" w:color="E0301E" w:themeColor="accent6"/>
            </w:tcBorders>
            <w:hideMark/>
          </w:tcPr>
          <w:p w14:paraId="3CCDB0AE" w14:textId="77777777" w:rsidR="00362C71" w:rsidRPr="00EC326F" w:rsidRDefault="00362C71" w:rsidP="00487300">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EC326F">
              <w:rPr>
                <w:rFonts w:asciiTheme="majorHAnsi" w:hAnsiTheme="majorHAnsi"/>
                <w:color w:val="FFFFFF" w:themeColor="background1"/>
              </w:rPr>
              <w:t>Proportion of Future Lifetime</w:t>
            </w:r>
          </w:p>
        </w:tc>
      </w:tr>
      <w:tr w:rsidR="00362C71" w:rsidRPr="00EC326F" w14:paraId="0B648C96" w14:textId="77777777" w:rsidTr="0048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28BEA2AA" w14:textId="77777777" w:rsidR="00362C71" w:rsidRPr="00EC326F" w:rsidRDefault="00362C71" w:rsidP="00487300">
            <w:pPr>
              <w:pStyle w:val="TableTextSmall"/>
            </w:pPr>
            <w:r w:rsidRPr="00EC326F">
              <w:t>Years with some income support payments:</w:t>
            </w:r>
          </w:p>
          <w:p w14:paraId="34730A02" w14:textId="77777777" w:rsidR="00362C71" w:rsidRPr="00EC326F" w:rsidRDefault="00362C71" w:rsidP="001A4479">
            <w:pPr>
              <w:pStyle w:val="TableTextSmall"/>
              <w:numPr>
                <w:ilvl w:val="0"/>
                <w:numId w:val="43"/>
              </w:numPr>
            </w:pPr>
            <w:r w:rsidRPr="00EC326F">
              <w:t>Not aged pension (classes 1-5)</w:t>
            </w:r>
          </w:p>
          <w:p w14:paraId="3C53B5AF" w14:textId="77777777" w:rsidR="00362C71" w:rsidRPr="00EC326F" w:rsidRDefault="00362C71" w:rsidP="001A4479">
            <w:pPr>
              <w:pStyle w:val="TableTextSmall"/>
              <w:numPr>
                <w:ilvl w:val="0"/>
                <w:numId w:val="43"/>
              </w:numPr>
            </w:pPr>
            <w:r w:rsidRPr="00EC326F">
              <w:t>Aged pension (class 6)</w:t>
            </w:r>
          </w:p>
        </w:tc>
        <w:tc>
          <w:tcPr>
            <w:tcW w:w="2520" w:type="dxa"/>
            <w:tcBorders>
              <w:left w:val="nil"/>
              <w:right w:val="nil"/>
            </w:tcBorders>
            <w:hideMark/>
          </w:tcPr>
          <w:p w14:paraId="726DD4EF" w14:textId="77777777" w:rsidR="00362C71" w:rsidRPr="00EC326F" w:rsidRDefault="00362C71"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r>
            <w:r w:rsidR="00B21055" w:rsidRPr="00EC326F">
              <w:t>6</w:t>
            </w:r>
          </w:p>
          <w:p w14:paraId="7A8ED745" w14:textId="77777777" w:rsidR="00362C71" w:rsidRPr="00EC326F" w:rsidRDefault="00B21055"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16</w:t>
            </w:r>
          </w:p>
        </w:tc>
        <w:tc>
          <w:tcPr>
            <w:tcW w:w="2520" w:type="dxa"/>
            <w:tcBorders>
              <w:left w:val="nil"/>
              <w:right w:val="single" w:sz="4" w:space="0" w:color="E0301E" w:themeColor="accent6"/>
            </w:tcBorders>
            <w:hideMark/>
          </w:tcPr>
          <w:p w14:paraId="54E57B69" w14:textId="77777777" w:rsidR="00362C71" w:rsidRPr="00EC326F" w:rsidRDefault="00362C71"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br/>
            </w:r>
            <w:r w:rsidR="00B21055" w:rsidRPr="00EC326F">
              <w:t>10</w:t>
            </w:r>
            <w:r w:rsidRPr="00EC326F">
              <w:t>%</w:t>
            </w:r>
          </w:p>
          <w:p w14:paraId="02BC430A" w14:textId="77777777" w:rsidR="00362C71" w:rsidRPr="00EC326F" w:rsidRDefault="00B21055" w:rsidP="00B21055">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25</w:t>
            </w:r>
            <w:r w:rsidR="00362C71" w:rsidRPr="00EC326F">
              <w:t>%</w:t>
            </w:r>
          </w:p>
        </w:tc>
      </w:tr>
      <w:tr w:rsidR="00362C71" w:rsidRPr="00EC326F" w14:paraId="5DDEA1F3" w14:textId="77777777" w:rsidTr="00487300">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hideMark/>
          </w:tcPr>
          <w:p w14:paraId="2B720194" w14:textId="77777777" w:rsidR="00362C71" w:rsidRPr="00EC326F" w:rsidRDefault="00362C71" w:rsidP="00487300">
            <w:pPr>
              <w:pStyle w:val="TableTextSmall"/>
            </w:pPr>
            <w:r w:rsidRPr="00EC326F">
              <w:t>Years with non-income support payments only</w:t>
            </w:r>
          </w:p>
        </w:tc>
        <w:tc>
          <w:tcPr>
            <w:tcW w:w="2520" w:type="dxa"/>
            <w:tcBorders>
              <w:top w:val="nil"/>
              <w:left w:val="nil"/>
              <w:bottom w:val="nil"/>
              <w:right w:val="nil"/>
            </w:tcBorders>
            <w:hideMark/>
          </w:tcPr>
          <w:p w14:paraId="4FB3663E" w14:textId="77777777" w:rsidR="00362C71" w:rsidRPr="00EC326F" w:rsidRDefault="00B21055"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6</w:t>
            </w:r>
          </w:p>
        </w:tc>
        <w:tc>
          <w:tcPr>
            <w:tcW w:w="2520" w:type="dxa"/>
            <w:tcBorders>
              <w:top w:val="nil"/>
              <w:left w:val="nil"/>
              <w:bottom w:val="nil"/>
              <w:right w:val="single" w:sz="4" w:space="0" w:color="E0301E" w:themeColor="accent6"/>
            </w:tcBorders>
            <w:hideMark/>
          </w:tcPr>
          <w:p w14:paraId="30664129" w14:textId="77777777" w:rsidR="00362C71" w:rsidRPr="00EC326F" w:rsidRDefault="00B21055"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9</w:t>
            </w:r>
            <w:r w:rsidR="00362C71" w:rsidRPr="00EC326F">
              <w:t>%</w:t>
            </w:r>
          </w:p>
        </w:tc>
      </w:tr>
      <w:tr w:rsidR="00362C71" w:rsidRPr="00EC326F" w14:paraId="6F5FEACF" w14:textId="77777777" w:rsidTr="0048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40F7E23C" w14:textId="77777777" w:rsidR="00362C71" w:rsidRPr="00EC326F" w:rsidRDefault="00362C71" w:rsidP="00487300">
            <w:pPr>
              <w:pStyle w:val="TableTextSmall"/>
            </w:pPr>
            <w:r w:rsidRPr="00EC326F">
              <w:t>Years not receiving any welfare payments</w:t>
            </w:r>
          </w:p>
        </w:tc>
        <w:tc>
          <w:tcPr>
            <w:tcW w:w="2520" w:type="dxa"/>
            <w:tcBorders>
              <w:left w:val="nil"/>
              <w:right w:val="nil"/>
            </w:tcBorders>
            <w:hideMark/>
          </w:tcPr>
          <w:p w14:paraId="00AEF46A" w14:textId="77777777" w:rsidR="00362C71" w:rsidRPr="00EC326F" w:rsidRDefault="00B21055"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35</w:t>
            </w:r>
          </w:p>
        </w:tc>
        <w:tc>
          <w:tcPr>
            <w:tcW w:w="2520" w:type="dxa"/>
            <w:tcBorders>
              <w:left w:val="nil"/>
              <w:right w:val="single" w:sz="4" w:space="0" w:color="E0301E" w:themeColor="accent6"/>
            </w:tcBorders>
            <w:hideMark/>
          </w:tcPr>
          <w:p w14:paraId="52E3271A" w14:textId="77777777" w:rsidR="00362C71" w:rsidRPr="00EC326F" w:rsidRDefault="00B21055"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56</w:t>
            </w:r>
            <w:r w:rsidR="00362C71" w:rsidRPr="00EC326F">
              <w:t>%</w:t>
            </w:r>
          </w:p>
        </w:tc>
      </w:tr>
      <w:tr w:rsidR="00362C71" w:rsidRPr="00EC326F" w14:paraId="6E1499AE" w14:textId="77777777" w:rsidTr="00487300">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hideMark/>
          </w:tcPr>
          <w:p w14:paraId="4DBFEEC0" w14:textId="77777777" w:rsidR="00362C71" w:rsidRPr="00EC326F" w:rsidRDefault="00362C71" w:rsidP="00487300">
            <w:pPr>
              <w:pStyle w:val="TableTextSmall"/>
            </w:pPr>
            <w:r w:rsidRPr="00EC326F">
              <w:t>Total</w:t>
            </w:r>
          </w:p>
        </w:tc>
        <w:tc>
          <w:tcPr>
            <w:tcW w:w="2520" w:type="dxa"/>
            <w:tcBorders>
              <w:top w:val="nil"/>
              <w:left w:val="nil"/>
              <w:bottom w:val="single" w:sz="4" w:space="0" w:color="E0301E" w:themeColor="accent6"/>
              <w:right w:val="nil"/>
            </w:tcBorders>
            <w:hideMark/>
          </w:tcPr>
          <w:p w14:paraId="573716C9" w14:textId="148D8B8C" w:rsidR="00362C71" w:rsidRPr="00EC326F" w:rsidRDefault="00B21055"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6</w:t>
            </w:r>
            <w:r w:rsidR="00887DE5">
              <w:t>3</w:t>
            </w:r>
          </w:p>
        </w:tc>
        <w:tc>
          <w:tcPr>
            <w:tcW w:w="2520" w:type="dxa"/>
            <w:tcBorders>
              <w:top w:val="nil"/>
              <w:left w:val="nil"/>
              <w:bottom w:val="single" w:sz="4" w:space="0" w:color="E0301E" w:themeColor="accent6"/>
              <w:right w:val="single" w:sz="4" w:space="0" w:color="E0301E" w:themeColor="accent6"/>
            </w:tcBorders>
            <w:hideMark/>
          </w:tcPr>
          <w:p w14:paraId="77721174" w14:textId="77777777" w:rsidR="00362C71" w:rsidRPr="00EC326F" w:rsidRDefault="00362C71"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100%</w:t>
            </w:r>
          </w:p>
        </w:tc>
      </w:tr>
    </w:tbl>
    <w:p w14:paraId="2758A2DF" w14:textId="77777777" w:rsidR="00B87DBC" w:rsidRPr="002A0A1A" w:rsidRDefault="00B87DBC" w:rsidP="00B87DBC">
      <w:pPr>
        <w:pStyle w:val="PwCNormal"/>
      </w:pPr>
    </w:p>
    <w:p w14:paraId="0E6D05D4" w14:textId="77777777" w:rsidR="0000452C" w:rsidRPr="002A0A1A" w:rsidRDefault="0000452C" w:rsidP="0000452C">
      <w:pPr>
        <w:pStyle w:val="PwCNormal"/>
        <w:numPr>
          <w:ilvl w:val="0"/>
          <w:numId w:val="0"/>
        </w:numPr>
      </w:pPr>
    </w:p>
    <w:p w14:paraId="07854E11" w14:textId="77777777" w:rsidR="0000452C" w:rsidRPr="002A0A1A" w:rsidRDefault="0000452C" w:rsidP="0000452C">
      <w:pPr>
        <w:pStyle w:val="PwCNormal"/>
        <w:numPr>
          <w:ilvl w:val="0"/>
          <w:numId w:val="0"/>
        </w:numPr>
        <w:sectPr w:rsidR="0000452C" w:rsidRPr="002A0A1A" w:rsidSect="00CC5ACB">
          <w:pgSz w:w="11907" w:h="16840" w:code="9"/>
          <w:pgMar w:top="1588" w:right="1021" w:bottom="1418" w:left="1021" w:header="567" w:footer="567" w:gutter="0"/>
          <w:cols w:space="227"/>
          <w:docGrid w:linePitch="360"/>
        </w:sectPr>
      </w:pPr>
    </w:p>
    <w:p w14:paraId="2010908F" w14:textId="77777777" w:rsidR="009E3452" w:rsidRPr="00EC326F" w:rsidRDefault="00BF7DB8" w:rsidP="00A55180">
      <w:pPr>
        <w:pStyle w:val="Heading2"/>
      </w:pPr>
      <w:bookmarkStart w:id="424" w:name="_Toc455499462"/>
      <w:bookmarkStart w:id="425" w:name="_Toc455502483"/>
      <w:bookmarkStart w:id="426" w:name="_Toc493844270"/>
      <w:r w:rsidRPr="00EC326F">
        <w:lastRenderedPageBreak/>
        <w:t>Dynamics of the system</w:t>
      </w:r>
      <w:bookmarkEnd w:id="424"/>
      <w:bookmarkEnd w:id="425"/>
      <w:bookmarkEnd w:id="426"/>
    </w:p>
    <w:p w14:paraId="36868223" w14:textId="77777777" w:rsidR="003B58FB" w:rsidRPr="00EC326F" w:rsidRDefault="003B58FB" w:rsidP="003B58FB">
      <w:pPr>
        <w:pStyle w:val="Heading3"/>
        <w:rPr>
          <w:snapToGrid/>
        </w:rPr>
      </w:pPr>
      <w:bookmarkStart w:id="427" w:name="_Toc493844271"/>
      <w:bookmarkStart w:id="428" w:name="_Toc455499464"/>
      <w:bookmarkStart w:id="429" w:name="_Toc455502485"/>
      <w:r w:rsidRPr="00EC326F">
        <w:t>Introduction</w:t>
      </w:r>
      <w:bookmarkEnd w:id="427"/>
    </w:p>
    <w:p w14:paraId="613B376E" w14:textId="77777777" w:rsidR="003B58FB" w:rsidRPr="00EC326F" w:rsidRDefault="003B58FB" w:rsidP="003B58FB">
      <w:pPr>
        <w:spacing w:before="120"/>
      </w:pPr>
      <w:r w:rsidRPr="00EC326F">
        <w:t>As well as considering individual class movements, it is also informative to examine the dynamics of how people move into, through and out of the system overall. Building on the previous sections which cover these movements in some detail</w:t>
      </w:r>
      <w:r w:rsidR="00625F6B" w:rsidRPr="00EC326F">
        <w:t xml:space="preserve"> at an individual class level</w:t>
      </w:r>
      <w:r w:rsidRPr="00EC326F">
        <w:t>, this section discusses overall movements at a system level.</w:t>
      </w:r>
    </w:p>
    <w:p w14:paraId="37CA5213" w14:textId="77777777" w:rsidR="003B58FB" w:rsidRPr="00EC326F" w:rsidRDefault="004C63BE" w:rsidP="003B58FB">
      <w:pPr>
        <w:pStyle w:val="Heading3"/>
      </w:pPr>
      <w:bookmarkStart w:id="430" w:name="_Ref466492755"/>
      <w:bookmarkStart w:id="431" w:name="_Toc493844272"/>
      <w:r w:rsidRPr="00EC326F">
        <w:t>N</w:t>
      </w:r>
      <w:r w:rsidR="003B58FB" w:rsidRPr="00EC326F">
        <w:t>ew entrant</w:t>
      </w:r>
      <w:r w:rsidRPr="00EC326F">
        <w:t>s</w:t>
      </w:r>
      <w:bookmarkEnd w:id="430"/>
      <w:bookmarkEnd w:id="431"/>
      <w:r w:rsidR="003B58FB" w:rsidRPr="00EC326F">
        <w:t xml:space="preserve"> </w:t>
      </w:r>
    </w:p>
    <w:p w14:paraId="67BB77F2" w14:textId="77777777" w:rsidR="003B58FB" w:rsidRPr="00EC326F" w:rsidRDefault="003B58FB" w:rsidP="00625F6B">
      <w:pPr>
        <w:pStyle w:val="Minorheading"/>
      </w:pPr>
      <w:r w:rsidRPr="00EC326F">
        <w:t>Historical entrants and re-entrants</w:t>
      </w:r>
    </w:p>
    <w:p w14:paraId="1DF55EF9" w14:textId="77777777" w:rsidR="003B58FB" w:rsidRPr="00EC326F" w:rsidRDefault="003B58FB" w:rsidP="003B58FB">
      <w:pPr>
        <w:pStyle w:val="PwCNormal"/>
        <w:keepNext/>
        <w:numPr>
          <w:ilvl w:val="0"/>
          <w:numId w:val="0"/>
        </w:numPr>
      </w:pPr>
      <w:r w:rsidRPr="00EC326F">
        <w:t>The total number of recent new entrants and re-entrants has been between 720,000 and 790,000 each year from 2012 to 2015 and was 660,000 for 2016. A breakdown of these new entrants by class is shown below.</w:t>
      </w:r>
    </w:p>
    <w:p w14:paraId="69494B0D" w14:textId="77777777" w:rsidR="003B58FB" w:rsidRDefault="003B58FB" w:rsidP="003B58FB">
      <w:pPr>
        <w:pStyle w:val="Caption"/>
        <w:rPr>
          <w:lang w:eastAsia="en-AU"/>
        </w:rPr>
      </w:pPr>
      <w:r w:rsidRPr="00EC326F">
        <w:t xml:space="preserve">Figure </w:t>
      </w:r>
      <w:fldSimple w:instr=" SEQ Figure \* ARABIC ">
        <w:r w:rsidR="007A42DF">
          <w:rPr>
            <w:noProof/>
          </w:rPr>
          <w:t>94</w:t>
        </w:r>
      </w:fldSimple>
      <w:r w:rsidRPr="00EC326F">
        <w:t>: History of entrants and re-entrants, by class entered, for year ending 30 June</w:t>
      </w:r>
      <w:r w:rsidRPr="00EC326F">
        <w:rPr>
          <w:lang w:eastAsia="en-AU"/>
        </w:rPr>
        <w:t xml:space="preserve"> </w:t>
      </w:r>
    </w:p>
    <w:p w14:paraId="664128A6" w14:textId="77777777" w:rsidR="00F963BD" w:rsidRDefault="00F963BD" w:rsidP="00F963BD">
      <w:pPr>
        <w:rPr>
          <w:lang w:eastAsia="en-AU"/>
        </w:rPr>
      </w:pPr>
    </w:p>
    <w:tbl>
      <w:tblPr>
        <w:tblStyle w:val="TableGrid"/>
        <w:tblW w:w="0" w:type="auto"/>
        <w:tblLook w:val="04A0" w:firstRow="1" w:lastRow="0" w:firstColumn="1" w:lastColumn="0" w:noHBand="0" w:noVBand="1"/>
        <w:tblCaption w:val=" Breakdown of recent entrants and re-entrants, by class entered and period since exit, for year ending 30 June&#10;"/>
        <w:tblDescription w:val="This figure is a stacked column chart. The vertical axis displays the number of entrants, ranging from 0 to 600,000.&#10;&#10;The horizontal axis is split into three sections; the first for recent exits, the second for re-entrants, and the third section is for new entrants. Each section is further split to show the last three financial years; 2014, 2015 and 2016. For all three sections the columns for each financial year are split into number of entrants for each of the 9 active classes; 1 Studying, 2 Working Age, 3 Parents, 4 Carers, 5 Disability Support, 6 Pension Age, 7 Non-IS Family, 8 Non-IS Carer, 9 Non-IS Other.&#10;&#10;The leftmost section of the chart shows the historic numbers of people from the recent exits group re-entering by class. The number of re-entrants in the last three financial years were: 164,000 in 2014, 149,000 in 2015, and 130,000 in 2016.&#10;&#10;The middle section of the chart shows the historic numbers of re-entrants by class from individuals that exited the system 4-10 years prior. The number of re-entrants in the last three financial years were: 129,000 in 2014, 124,000 in 2015, and 106,000 in 2016.&#10;&#10;The final section of the chart shows the historic numbers of entrants from the rest of the Australian population by class. The number of entrants in the last three financial years were: 499,000 in 2014, 509,000 in 2015, and 420,000 in 2016.&#10;"/>
      </w:tblPr>
      <w:tblGrid>
        <w:gridCol w:w="6487"/>
        <w:gridCol w:w="3290"/>
      </w:tblGrid>
      <w:tr w:rsidR="00F963BD" w:rsidRPr="00EC326F" w14:paraId="57E0DA19" w14:textId="77777777" w:rsidTr="005E5F09">
        <w:trPr>
          <w:tblHeader/>
        </w:trPr>
        <w:tc>
          <w:tcPr>
            <w:tcW w:w="6487" w:type="dxa"/>
            <w:tcBorders>
              <w:top w:val="nil"/>
              <w:left w:val="nil"/>
              <w:bottom w:val="nil"/>
              <w:right w:val="nil"/>
            </w:tcBorders>
          </w:tcPr>
          <w:p w14:paraId="50F30A7F" w14:textId="70E62F42" w:rsidR="00F963BD" w:rsidRPr="00EC326F" w:rsidRDefault="00F963BD" w:rsidP="005E5F09">
            <w:pPr>
              <w:pStyle w:val="PwCNormal"/>
            </w:pPr>
            <w:r w:rsidRPr="00EC326F">
              <w:rPr>
                <w:noProof/>
                <w:lang w:eastAsia="en-AU"/>
              </w:rPr>
              <w:drawing>
                <wp:inline distT="0" distB="0" distL="0" distR="0" wp14:anchorId="49AFF335" wp14:editId="7E121862">
                  <wp:extent cx="3979545" cy="2159000"/>
                  <wp:effectExtent l="0" t="0" r="1905" b="0"/>
                  <wp:docPr id="123" name="Picture 123" descr="This figure is a stacked column chart. The chart shows the historic numbers of entrants and re-entrants for each of the last five financial years. The vertical axis shows the number of individuals ranging from 0 to 900,000. The horizontal axis shows financial years ranging from 2012 to 2016. &#10;&#10;The columns for each financial year are split into number of entrants for each of the 9 active classes; 1 Studying, 2 Working Age, 3 Parents, 4 Carers, 5 Disability Support, 6 Pension Age, 7 Non-IS Family, 8 Non-IS Carer, 9 Non-IS Other.&#10;&#10;The total number of entrants and re-entrants in each of the last five financial years were: 721,000 in 2012, 744,000 in 2013, 791,000 in 2014, 781,000 in 2015 and 657,000 in 2016.&#10;&#10;The number of entrants and re-entrants to one of the six income support classes in each of the last five financial years were: 474,000 in 2012, 488,000 in 2013, 513,000 in 2014, 505,000 in 2015 and 443,000 in 2016. There was an average of approximately 410,000 entrants and re-entrants into the non-retirement income support classes in each of the financial years 2012 to 2015.&#10;" title=" History of entrants and re-entrants, by class entered, for year ending 30 Ju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979545" cy="2159000"/>
                          </a:xfrm>
                          <a:prstGeom prst="rect">
                            <a:avLst/>
                          </a:prstGeom>
                          <a:noFill/>
                          <a:ln>
                            <a:noFill/>
                          </a:ln>
                        </pic:spPr>
                      </pic:pic>
                    </a:graphicData>
                  </a:graphic>
                </wp:inline>
              </w:drawing>
            </w:r>
          </w:p>
        </w:tc>
        <w:tc>
          <w:tcPr>
            <w:tcW w:w="3290" w:type="dxa"/>
            <w:tcBorders>
              <w:top w:val="nil"/>
              <w:left w:val="nil"/>
              <w:bottom w:val="nil"/>
              <w:right w:val="nil"/>
            </w:tcBorders>
          </w:tcPr>
          <w:p w14:paraId="16E68148" w14:textId="77777777" w:rsidR="00F963BD" w:rsidRDefault="00F963BD" w:rsidP="005E5F09">
            <w:pPr>
              <w:pStyle w:val="PwCNormal"/>
            </w:pPr>
          </w:p>
          <w:p w14:paraId="23FA6426" w14:textId="75C05A53" w:rsidR="00F963BD" w:rsidRPr="00EC326F" w:rsidRDefault="00F963BD" w:rsidP="005E5F09">
            <w:pPr>
              <w:pStyle w:val="PwCNormal"/>
            </w:pPr>
            <w:r w:rsidRPr="00EC326F">
              <w:rPr>
                <w:noProof/>
                <w:lang w:eastAsia="en-AU"/>
              </w:rPr>
              <w:drawing>
                <wp:inline distT="0" distB="0" distL="0" distR="0" wp14:anchorId="6F5606DA" wp14:editId="5251DE31">
                  <wp:extent cx="1439545" cy="1591310"/>
                  <wp:effectExtent l="0" t="0" r="8255" b="8890"/>
                  <wp:docPr id="1024" name="Picture 1024" descr="Class key: studying, working age, parents, carers, disability support, pension age, non-income support family, non-income support carer, non-income support other, previous welfare recipient, rest of the Australian population and dead. " title="Class Key for Figure 94"/>
                  <wp:cNvGraphicFramePr/>
                  <a:graphic xmlns:a="http://schemas.openxmlformats.org/drawingml/2006/main">
                    <a:graphicData uri="http://schemas.openxmlformats.org/drawingml/2006/picture">
                      <pic:pic xmlns:pic="http://schemas.openxmlformats.org/drawingml/2006/picture">
                        <pic:nvPicPr>
                          <pic:cNvPr id="316" name="Picture 316" descr="Class keys: studying, working age, parents, carers, disability support, pension age, non-income support family, non-income support carer, non-income support other, previous welfare recipient, rest of the Australian population and dead. " title="Class key for Figure 7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91310"/>
                          </a:xfrm>
                          <a:prstGeom prst="rect">
                            <a:avLst/>
                          </a:prstGeom>
                          <a:noFill/>
                          <a:ln>
                            <a:noFill/>
                          </a:ln>
                        </pic:spPr>
                      </pic:pic>
                    </a:graphicData>
                  </a:graphic>
                </wp:inline>
              </w:drawing>
            </w:r>
          </w:p>
        </w:tc>
      </w:tr>
    </w:tbl>
    <w:p w14:paraId="5CFB8612" w14:textId="38533F79" w:rsidR="00F963BD" w:rsidRPr="00F963BD" w:rsidRDefault="00F963BD" w:rsidP="00F963BD">
      <w:pPr>
        <w:rPr>
          <w:lang w:eastAsia="en-AU"/>
        </w:rPr>
      </w:pPr>
      <w:r>
        <w:rPr>
          <w:lang w:eastAsia="en-AU"/>
        </w:rPr>
        <w:t xml:space="preserve"> </w:t>
      </w:r>
    </w:p>
    <w:p w14:paraId="5E1FC033" w14:textId="295E15A1" w:rsidR="003B58FB" w:rsidRPr="00EC326F" w:rsidRDefault="003B58FB" w:rsidP="003B58FB">
      <w:pPr>
        <w:pStyle w:val="PwCNormal"/>
        <w:numPr>
          <w:ilvl w:val="0"/>
          <w:numId w:val="0"/>
        </w:numPr>
      </w:pPr>
      <w:r w:rsidRPr="00EC326F">
        <w:t>We can see that:</w:t>
      </w:r>
    </w:p>
    <w:p w14:paraId="031D3EE5" w14:textId="77777777" w:rsidR="003B58FB" w:rsidRPr="00EC326F" w:rsidRDefault="003B58FB" w:rsidP="001A4479">
      <w:pPr>
        <w:pStyle w:val="Bullet1"/>
        <w:numPr>
          <w:ilvl w:val="0"/>
          <w:numId w:val="44"/>
        </w:numPr>
      </w:pPr>
      <w:r w:rsidRPr="00EC326F">
        <w:t>The classes with the most new entrants are classes 9 ‘Non IS Other’, 2 ‘Working Age’, 1 ‘Studying’ and 6 ‘Pension Age’.</w:t>
      </w:r>
    </w:p>
    <w:p w14:paraId="14028CEB" w14:textId="77777777" w:rsidR="00625F6B" w:rsidRPr="00EC326F" w:rsidRDefault="00625F6B" w:rsidP="001A4479">
      <w:pPr>
        <w:pStyle w:val="Bullet1"/>
        <w:numPr>
          <w:ilvl w:val="0"/>
          <w:numId w:val="44"/>
        </w:numPr>
      </w:pPr>
      <w:r w:rsidRPr="00EC326F">
        <w:t>The numbers of new entrants increased over the years ending 30 June 2012 to 2014 and then reduced a little during the year to 30 June 2015. This was despite of an increase to age pension new entrant numbers in that year</w:t>
      </w:r>
    </w:p>
    <w:p w14:paraId="40E4CFEA" w14:textId="2837A37D" w:rsidR="003B58FB" w:rsidRPr="00EC326F" w:rsidRDefault="00715253" w:rsidP="001A4479">
      <w:pPr>
        <w:pStyle w:val="Bullet1"/>
        <w:numPr>
          <w:ilvl w:val="0"/>
          <w:numId w:val="44"/>
        </w:numPr>
      </w:pPr>
      <w:r w:rsidRPr="00EC326F">
        <w:t xml:space="preserve">Entrants and re-entrants for the year ending 30 June 2016 were lower than for other recent years. It should be noted that entries in 2015/16 are likely understated </w:t>
      </w:r>
      <w:r w:rsidRPr="00580BD6">
        <w:t xml:space="preserve">due to the data maturity issue discussed in </w:t>
      </w:r>
      <w:r w:rsidR="0011562A">
        <w:t>section</w:t>
      </w:r>
      <w:r w:rsidRPr="00580BD6">
        <w:t xml:space="preserve"> </w:t>
      </w:r>
      <w:r w:rsidR="00580BD6">
        <w:fldChar w:fldCharType="begin"/>
      </w:r>
      <w:r w:rsidR="00580BD6">
        <w:instrText xml:space="preserve"> REF _Ref466494121 \w \h </w:instrText>
      </w:r>
      <w:r w:rsidR="00580BD6">
        <w:fldChar w:fldCharType="separate"/>
      </w:r>
      <w:r w:rsidR="007A42DF">
        <w:t>3.1</w:t>
      </w:r>
      <w:r w:rsidR="00580BD6">
        <w:fldChar w:fldCharType="end"/>
      </w:r>
      <w:r w:rsidRPr="00580BD6">
        <w:t>. We have made an explicit allowance for this by adding</w:t>
      </w:r>
      <w:r w:rsidRPr="00EC326F">
        <w:t xml:space="preserve"> in 80,000 additional people (see</w:t>
      </w:r>
      <w:r w:rsidR="00580BD6">
        <w:t xml:space="preserve"> </w:t>
      </w:r>
      <w:r w:rsidR="00580BD6">
        <w:fldChar w:fldCharType="begin"/>
      </w:r>
      <w:r w:rsidR="00580BD6">
        <w:instrText xml:space="preserve"> REF _Ref466494155 \h </w:instrText>
      </w:r>
      <w:r w:rsidR="00580BD6">
        <w:fldChar w:fldCharType="separate"/>
      </w:r>
      <w:r w:rsidR="007A42DF" w:rsidRPr="00EC326F">
        <w:t xml:space="preserve">Figure </w:t>
      </w:r>
      <w:r w:rsidR="007A42DF">
        <w:rPr>
          <w:noProof/>
        </w:rPr>
        <w:t>98</w:t>
      </w:r>
      <w:r w:rsidR="00580BD6">
        <w:fldChar w:fldCharType="end"/>
      </w:r>
      <w:r w:rsidRPr="00EC326F">
        <w:t xml:space="preserve"> below). However even allowing for this the entries in 2015/16 are lower than they were for the previous two years</w:t>
      </w:r>
      <w:r w:rsidR="003B58FB" w:rsidRPr="00EC326F">
        <w:t xml:space="preserve">. </w:t>
      </w:r>
    </w:p>
    <w:p w14:paraId="25092BDC" w14:textId="77777777" w:rsidR="00625F6B" w:rsidRPr="00EC326F" w:rsidRDefault="00625F6B" w:rsidP="00625F6B">
      <w:pPr>
        <w:pStyle w:val="PwCNormal"/>
      </w:pPr>
      <w:r w:rsidRPr="00EC326F">
        <w:t>The numbers of new entrants into class 9 for the 2015 year have reduced by comparison to those shown in the baseline valuation report. This is the result of refining the treatment of some small supplements in the data which had previously resulted in a group of people over retirement age being seen to exit class 9 in 2012 and then re-enter it in 2015. This data artefact confused the underlying experience and the refined treatment has removed it.</w:t>
      </w:r>
    </w:p>
    <w:p w14:paraId="6BE46751" w14:textId="77777777" w:rsidR="003B58FB" w:rsidRPr="00EC326F" w:rsidRDefault="003B58FB" w:rsidP="00625F6B">
      <w:pPr>
        <w:pStyle w:val="Minorheading"/>
      </w:pPr>
      <w:r w:rsidRPr="00EC326F">
        <w:lastRenderedPageBreak/>
        <w:t>Profile of entrants and re-entrants</w:t>
      </w:r>
    </w:p>
    <w:p w14:paraId="345C8ACF" w14:textId="77777777" w:rsidR="003B58FB" w:rsidRPr="00EC326F" w:rsidRDefault="003B58FB" w:rsidP="003B58FB">
      <w:pPr>
        <w:pStyle w:val="PwCNormal"/>
        <w:keepNext/>
        <w:numPr>
          <w:ilvl w:val="0"/>
          <w:numId w:val="0"/>
        </w:numPr>
      </w:pPr>
      <w:r w:rsidRPr="00EC326F">
        <w:t>The charts below show the profile of entrants and re-entrants in 2015/16.</w:t>
      </w:r>
    </w:p>
    <w:p w14:paraId="5D45EEC1" w14:textId="77777777" w:rsidR="003B58FB" w:rsidRPr="00EC326F" w:rsidRDefault="003B58FB" w:rsidP="003B58FB">
      <w:pPr>
        <w:pStyle w:val="Caption"/>
      </w:pPr>
      <w:bookmarkStart w:id="432" w:name="_Ref466492821"/>
      <w:r w:rsidRPr="00EC326F">
        <w:t xml:space="preserve">Figure </w:t>
      </w:r>
      <w:fldSimple w:instr=" SEQ Figure \* ARABIC ">
        <w:r w:rsidR="007A42DF">
          <w:rPr>
            <w:noProof/>
          </w:rPr>
          <w:t>95</w:t>
        </w:r>
      </w:fldSimple>
      <w:bookmarkEnd w:id="432"/>
      <w:r w:rsidRPr="00EC326F">
        <w:t>: 2015/16 combined profile of entrants and re-entrants, by age, gender and class entered</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 2015/16 combined profile of entrants and re-entrants, by age, gender and class entered&#10;"/>
        <w:tblDescription w:val="This figure contains two area charts. For both charts the vertical axis shows cumulative number of entrants and re-entrants into the active classes, from the total population and ranges from 0 to 35,000. For both charts the horizontal axis shows age at the start of the year ranging from 10 to 80. &#10;&#10;The chart on the left shows the number of male entrants and re-entrants over the period from June 2015 to June 2016, split by class at entry. The right chart shows the number of female entrants and re-entrants over the period from June 2015 to June 2016, split by class at entry. &#10;&#10;Both area charts show the cumulative number of entrants split by class entered into, which includes the following classes: 1 Studying, 2 Working Age, 3 Parents, 4 Carers, 5 Disability Support, 6 Pension Age, 7 Non-IS Family, 8 Non-IS Carer, 9 Non-IS Other.&#10;&#10;The left chart for males has four prominent peaks. The highest peak is at age 65 showing 23,000 entries and re-entries. The first two spikes at ages 18 and 22 show an increase in the number of studying entries, the spike at age 65 shows an increase in the number of pension age entries. There is a peak around age 33 due to an increasing numbers of Non-IS Other entries between ages 18 to 33 and decreasing numbers of Non-IS other entries between ages 33 to 60. &#10;&#10;The right chart for females has four prominent peaks. The highest peak is at age 65 showing 27,000 entries and re-entries. The first two spikes at ages 18 and 22 show an increase in the number of studying entries, the spike at age 64 shows an increase in the number of pension age entries. There is a peak around age 31 due to an increasing numbers of Non-IS Other entries between ages 18 to 31 and decreasing numbers of Non-IS other entries between ages 31 to 60. The peak at age 31 is larger for females than it is for males.&#10;&#10;Further discussion of the key features shown in the chart can be found in the accompanying text within the report. &#10;"/>
      </w:tblPr>
      <w:tblGrid>
        <w:gridCol w:w="4077"/>
        <w:gridCol w:w="3969"/>
        <w:gridCol w:w="2268"/>
      </w:tblGrid>
      <w:tr w:rsidR="00590615" w:rsidRPr="00EC326F" w14:paraId="35D8E7D4" w14:textId="77777777" w:rsidTr="005D6CEC">
        <w:trPr>
          <w:tblHeader/>
        </w:trPr>
        <w:tc>
          <w:tcPr>
            <w:tcW w:w="4077" w:type="dxa"/>
          </w:tcPr>
          <w:p w14:paraId="5EE54DDC" w14:textId="77777777" w:rsidR="00590615" w:rsidRPr="00EC326F" w:rsidRDefault="00590615" w:rsidP="00590615">
            <w:pPr>
              <w:pStyle w:val="PwCNormal"/>
              <w:ind w:left="-142" w:right="-149"/>
            </w:pPr>
            <w:r w:rsidRPr="00EC326F">
              <w:rPr>
                <w:noProof/>
                <w:lang w:eastAsia="en-AU"/>
              </w:rPr>
              <w:drawing>
                <wp:inline distT="0" distB="0" distL="0" distR="0" wp14:anchorId="37270A22" wp14:editId="4401267F">
                  <wp:extent cx="2520000" cy="1627552"/>
                  <wp:effectExtent l="0" t="0" r="0" b="0"/>
                  <wp:docPr id="13" name="Picture 13" descr="This figure contains two area charts. For both charts the vertical axis shows cumulative number of entrants and re-entrants into the active classes, from the total population and ranges from 0 to 35,000. For both charts the horizontal axis shows age at the start of the year ranging from 10 to 80. &#10;&#10;The chart on the left shows the number of male entrants and re-entrants over the period from June 2015 to June 2016, split by class at entry. The right chart shows the number of female entrants and re-entrants over the period from June 2015 to June 2016, split by class at entry. &#10;&#10;Both area charts show the cumulative number of entrants split by class entered into, which includes the following classes: 1 Studying, 2 Working Age, 3 Parents, 4 Carers, 5 Disability Support, 6 Pension Age, 7 Non-IS Family, 8 Non-IS Carer, 9 Non-IS Other.&#10;&#10;The left chart for males has four prominent peaks. The highest peak is at age 65 showing 23,000 entries and re-entries. The first two spikes at ages 18 and 22 show an increase in the number of studying entries, the spike at age 65 shows an increase in the number of pension age entries. There is a peak around age 33 due to an increasing numbers of Non-IS Other entries between ages 18 to 33 and decreasing numbers of Non-IS other entries between ages 33 to 60. &#10;&#10;Further discussion of the key features shown in the chart can be found in the accompanying text within the report. &#10;" title=" 2015/16 combined profile of entrants and re-entrants, by age, gender and class ent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20000" cy="1627552"/>
                          </a:xfrm>
                          <a:prstGeom prst="rect">
                            <a:avLst/>
                          </a:prstGeom>
                          <a:noFill/>
                          <a:ln>
                            <a:noFill/>
                          </a:ln>
                        </pic:spPr>
                      </pic:pic>
                    </a:graphicData>
                  </a:graphic>
                </wp:inline>
              </w:drawing>
            </w:r>
          </w:p>
        </w:tc>
        <w:tc>
          <w:tcPr>
            <w:tcW w:w="3969" w:type="dxa"/>
          </w:tcPr>
          <w:p w14:paraId="1DE8D268" w14:textId="77777777" w:rsidR="00590615" w:rsidRPr="00EC326F" w:rsidRDefault="00590615" w:rsidP="00590615">
            <w:pPr>
              <w:pStyle w:val="PwCNormal"/>
              <w:ind w:left="-60" w:right="-156"/>
            </w:pPr>
            <w:r w:rsidRPr="00EC326F">
              <w:rPr>
                <w:noProof/>
                <w:lang w:eastAsia="en-AU"/>
              </w:rPr>
              <w:drawing>
                <wp:inline distT="0" distB="0" distL="0" distR="0" wp14:anchorId="2FCA7645" wp14:editId="471992E6">
                  <wp:extent cx="2520000" cy="1635878"/>
                  <wp:effectExtent l="0" t="0" r="0" b="2540"/>
                  <wp:docPr id="14" name="Picture 14" descr="The right chart for females has four prominent peaks. The highest peak is at age 65 showing 27,000 entries and re-entries. The first two spikes at ages 18 and 22 show an increase in the number of studying entries, the spike at age 64 shows an increase in the number of pension age entries. There is a peak around age 31 due to an increasing numbers of Non-IS Other entries between ages 18 to 31 and decreasing numbers of Non-IS other entries between ages 31 to 60. The peak at age 31 is larger for females than it is for males.&#10;" title=" 2015/16 combined profile of entrants and re-entrants, by age, gender and clas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20000" cy="1635878"/>
                          </a:xfrm>
                          <a:prstGeom prst="rect">
                            <a:avLst/>
                          </a:prstGeom>
                          <a:noFill/>
                          <a:ln>
                            <a:noFill/>
                          </a:ln>
                        </pic:spPr>
                      </pic:pic>
                    </a:graphicData>
                  </a:graphic>
                </wp:inline>
              </w:drawing>
            </w:r>
          </w:p>
        </w:tc>
        <w:tc>
          <w:tcPr>
            <w:tcW w:w="2268" w:type="dxa"/>
          </w:tcPr>
          <w:p w14:paraId="07DC9F53" w14:textId="77777777" w:rsidR="00590615" w:rsidRPr="00EC326F" w:rsidRDefault="00590615" w:rsidP="00590615">
            <w:pPr>
              <w:pStyle w:val="PwCNormal"/>
            </w:pPr>
            <w:r w:rsidRPr="00EC326F">
              <w:rPr>
                <w:noProof/>
                <w:lang w:eastAsia="en-AU"/>
              </w:rPr>
              <w:drawing>
                <wp:inline distT="0" distB="0" distL="0" distR="0" wp14:anchorId="3BF1CBA3" wp14:editId="7698097E">
                  <wp:extent cx="1224000" cy="1346400"/>
                  <wp:effectExtent l="0" t="0" r="0" b="6350"/>
                  <wp:docPr id="3093" name="Picture 3093" descr="Class key: studying, working age, parents, carers, disability support, pension age, non-income support family, non-income support carer, non-income support other, previous welfare recipient, rest of the Australian population and dead. " title="Class Key for Fig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Class keys: studying, working age, parents, carers, disability support, pension age, non-income support family, non-income support carer, non-income support other, previous welfare recipient, rest of the Australian population and dead. " title="Payment class key for figure 73 "/>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4000" cy="1346400"/>
                          </a:xfrm>
                          <a:prstGeom prst="rect">
                            <a:avLst/>
                          </a:prstGeom>
                          <a:noFill/>
                          <a:ln>
                            <a:noFill/>
                          </a:ln>
                        </pic:spPr>
                      </pic:pic>
                    </a:graphicData>
                  </a:graphic>
                </wp:inline>
              </w:drawing>
            </w:r>
          </w:p>
        </w:tc>
      </w:tr>
    </w:tbl>
    <w:p w14:paraId="5D427E17" w14:textId="77777777" w:rsidR="003B58FB" w:rsidRPr="00EC326F" w:rsidRDefault="003B58FB" w:rsidP="003B58FB">
      <w:pPr>
        <w:pStyle w:val="PwCNormal"/>
        <w:numPr>
          <w:ilvl w:val="0"/>
          <w:numId w:val="0"/>
        </w:numPr>
      </w:pPr>
      <w:r w:rsidRPr="00EC326F">
        <w:t>We can see that:</w:t>
      </w:r>
    </w:p>
    <w:p w14:paraId="5AEC1C89" w14:textId="77777777" w:rsidR="003B58FB" w:rsidRPr="00EC326F" w:rsidRDefault="003B58FB" w:rsidP="001A4479">
      <w:pPr>
        <w:pStyle w:val="Bullet1"/>
        <w:numPr>
          <w:ilvl w:val="0"/>
          <w:numId w:val="44"/>
        </w:numPr>
      </w:pPr>
      <w:r w:rsidRPr="00EC326F">
        <w:t>The total numbers of male and female entrants were similar in 2015/16, with around 330,000 of each.</w:t>
      </w:r>
    </w:p>
    <w:p w14:paraId="2F0F87FE" w14:textId="77777777" w:rsidR="003B58FB" w:rsidRPr="00EC326F" w:rsidRDefault="003B58FB" w:rsidP="001A4479">
      <w:pPr>
        <w:pStyle w:val="Bullet1"/>
        <w:numPr>
          <w:ilvl w:val="0"/>
          <w:numId w:val="44"/>
        </w:numPr>
      </w:pPr>
      <w:r w:rsidRPr="00EC326F">
        <w:t xml:space="preserve">For people below pension age the entries are dominated by 1 ‘Studying’, 2 ‘Working Age’ and 9 ‘Non IS Other’. </w:t>
      </w:r>
    </w:p>
    <w:p w14:paraId="01E0D50C" w14:textId="2B8B1A9F" w:rsidR="003B58FB" w:rsidRPr="00EC326F" w:rsidRDefault="003B58FB" w:rsidP="001A4479">
      <w:pPr>
        <w:pStyle w:val="Bullet2"/>
        <w:numPr>
          <w:ilvl w:val="1"/>
          <w:numId w:val="44"/>
        </w:numPr>
      </w:pPr>
      <w:r w:rsidRPr="00EC326F">
        <w:t xml:space="preserve">Entries into Non IS Other largely relate to people using FTB for the first time. These people will transition into class </w:t>
      </w:r>
      <w:r w:rsidR="00FF7EC9">
        <w:t>‘</w:t>
      </w:r>
      <w:r w:rsidRPr="00EC326F">
        <w:t xml:space="preserve">7 Non IS Family’ if they continue to </w:t>
      </w:r>
      <w:r w:rsidRPr="00580BD6">
        <w:t xml:space="preserve">utilise FTB in the following year. The reason these people enter into class </w:t>
      </w:r>
      <w:r w:rsidR="00FF7EC9">
        <w:t>‘</w:t>
      </w:r>
      <w:r w:rsidRPr="00580BD6">
        <w:t xml:space="preserve">9 Non IS Other’ rather than class </w:t>
      </w:r>
      <w:r w:rsidR="00FF7EC9">
        <w:t>‘</w:t>
      </w:r>
      <w:r w:rsidRPr="00580BD6">
        <w:t xml:space="preserve">7 Non IS Family’ is because of the timing lag on the definition of people in class 7, as explained in </w:t>
      </w:r>
      <w:r w:rsidR="0011562A">
        <w:t>section</w:t>
      </w:r>
      <w:r w:rsidRPr="00580BD6">
        <w:t xml:space="preserve"> </w:t>
      </w:r>
      <w:r w:rsidRPr="00580BD6">
        <w:fldChar w:fldCharType="begin"/>
      </w:r>
      <w:r w:rsidRPr="00580BD6">
        <w:instrText xml:space="preserve"> REF _Ref437372987 \r \h  \* MERGEFORMAT </w:instrText>
      </w:r>
      <w:r w:rsidRPr="00580BD6">
        <w:fldChar w:fldCharType="separate"/>
      </w:r>
      <w:r w:rsidR="007A42DF">
        <w:t>3.4</w:t>
      </w:r>
      <w:r w:rsidRPr="00580BD6">
        <w:fldChar w:fldCharType="end"/>
      </w:r>
      <w:r w:rsidRPr="00580BD6">
        <w:t>.</w:t>
      </w:r>
    </w:p>
    <w:p w14:paraId="2959E28F" w14:textId="6F452F44" w:rsidR="003B58FB" w:rsidRPr="00EC326F" w:rsidRDefault="003B58FB" w:rsidP="001A4479">
      <w:pPr>
        <w:pStyle w:val="Bullet1"/>
        <w:numPr>
          <w:ilvl w:val="0"/>
          <w:numId w:val="44"/>
        </w:numPr>
      </w:pPr>
      <w:r w:rsidRPr="00EC326F">
        <w:t xml:space="preserve">At later ages, entries are dominated by </w:t>
      </w:r>
      <w:r w:rsidR="00FF7EC9">
        <w:t>‘</w:t>
      </w:r>
      <w:r w:rsidRPr="00EC326F">
        <w:t xml:space="preserve">6 Pension Age’. </w:t>
      </w:r>
    </w:p>
    <w:p w14:paraId="78556070" w14:textId="692B9603" w:rsidR="003B58FB" w:rsidRPr="00EC326F" w:rsidRDefault="003B58FB" w:rsidP="001A4479">
      <w:pPr>
        <w:pStyle w:val="Bullet1"/>
        <w:numPr>
          <w:ilvl w:val="0"/>
          <w:numId w:val="44"/>
        </w:numPr>
      </w:pPr>
      <w:r w:rsidRPr="00EC326F">
        <w:t xml:space="preserve">At earlier ages, more </w:t>
      </w:r>
      <w:r w:rsidR="00397976" w:rsidRPr="00EC326F">
        <w:t xml:space="preserve">men </w:t>
      </w:r>
      <w:r w:rsidRPr="00EC326F">
        <w:t xml:space="preserve">have entered into </w:t>
      </w:r>
      <w:r w:rsidR="00FF7EC9">
        <w:t>‘</w:t>
      </w:r>
      <w:r w:rsidRPr="00EC326F">
        <w:t xml:space="preserve">2 Working Age’, whereas </w:t>
      </w:r>
      <w:r w:rsidR="00625F6B" w:rsidRPr="00EC326F">
        <w:t xml:space="preserve">relatively </w:t>
      </w:r>
      <w:r w:rsidRPr="00EC326F">
        <w:t xml:space="preserve">more </w:t>
      </w:r>
      <w:r w:rsidR="00397976" w:rsidRPr="00EC326F">
        <w:rPr>
          <w:snapToGrid/>
          <w:lang w:eastAsia="en-AU"/>
        </w:rPr>
        <w:t xml:space="preserve">women </w:t>
      </w:r>
      <w:r w:rsidRPr="00EC326F">
        <w:t xml:space="preserve">have entered into </w:t>
      </w:r>
      <w:r w:rsidR="00FF7EC9">
        <w:t>‘</w:t>
      </w:r>
      <w:r w:rsidRPr="00EC326F">
        <w:t>3 Parent</w:t>
      </w:r>
      <w:r w:rsidR="00FF7EC9">
        <w:t>ing</w:t>
      </w:r>
      <w:r w:rsidRPr="00EC326F">
        <w:t xml:space="preserve">’, </w:t>
      </w:r>
      <w:r w:rsidR="00FF7EC9">
        <w:t>‘</w:t>
      </w:r>
      <w:r w:rsidRPr="00EC326F">
        <w:t xml:space="preserve">1 Studying’ and </w:t>
      </w:r>
      <w:r w:rsidR="00FF7EC9">
        <w:t>‘</w:t>
      </w:r>
      <w:r w:rsidRPr="00EC326F">
        <w:t>9 Non IS Other’.</w:t>
      </w:r>
    </w:p>
    <w:p w14:paraId="7E61AD62" w14:textId="77777777" w:rsidR="003B58FB" w:rsidRPr="00EC326F" w:rsidRDefault="003B58FB" w:rsidP="00625F6B">
      <w:pPr>
        <w:pStyle w:val="Minorheading"/>
      </w:pPr>
      <w:r w:rsidRPr="00EC326F">
        <w:t>Experience of new entrants compared to re-entrants</w:t>
      </w:r>
    </w:p>
    <w:p w14:paraId="04457CD2" w14:textId="77777777" w:rsidR="003B58FB" w:rsidRPr="00EC326F" w:rsidRDefault="003B58FB" w:rsidP="003B58FB">
      <w:pPr>
        <w:pStyle w:val="PwCNormal"/>
        <w:keepNext/>
        <w:numPr>
          <w:ilvl w:val="0"/>
          <w:numId w:val="0"/>
        </w:numPr>
      </w:pPr>
      <w:r w:rsidRPr="00EC326F">
        <w:t xml:space="preserve">We have set out below the </w:t>
      </w:r>
      <w:r w:rsidR="00625F6B" w:rsidRPr="00EC326F">
        <w:t>breakdown of entrants</w:t>
      </w:r>
      <w:r w:rsidRPr="00EC326F">
        <w:t xml:space="preserve"> between re-entrants, for people who exited the welfare system before and after 3 years ago, and new entrants from the rest of the population.</w:t>
      </w:r>
    </w:p>
    <w:p w14:paraId="78D22D46" w14:textId="77777777" w:rsidR="003B58FB" w:rsidRPr="00EC326F" w:rsidRDefault="003B58FB" w:rsidP="003B58FB">
      <w:pPr>
        <w:pStyle w:val="Caption"/>
      </w:pPr>
      <w:r w:rsidRPr="00EC326F">
        <w:t xml:space="preserve">Figure </w:t>
      </w:r>
      <w:fldSimple w:instr=" SEQ Figure \* ARABIC ">
        <w:r w:rsidR="007A42DF">
          <w:rPr>
            <w:noProof/>
          </w:rPr>
          <w:t>96</w:t>
        </w:r>
      </w:fldSimple>
      <w:r w:rsidRPr="00EC326F">
        <w:t>: Breakdown of recent entrants and re-entrants, by class entered and period since exit</w:t>
      </w:r>
      <w:r w:rsidR="00590615" w:rsidRPr="00EC326F">
        <w:t>, for year ending 30 June</w:t>
      </w:r>
    </w:p>
    <w:tbl>
      <w:tblPr>
        <w:tblStyle w:val="TableGrid"/>
        <w:tblW w:w="0" w:type="auto"/>
        <w:tblLook w:val="04A0" w:firstRow="1" w:lastRow="0" w:firstColumn="1" w:lastColumn="0" w:noHBand="0" w:noVBand="1"/>
        <w:tblCaption w:val=" Breakdown of recent entrants and re-entrants, by class entered and period since exit, for year ending 30 June&#10;"/>
        <w:tblDescription w:val="This figure is a stacked column chart. The vertical axis displays the number of entrants, ranging from 0 to 600,000.&#10;&#10;The horizontal axis is split into three sections; the first for recent exits, the second for re-entrants, and the third section is for new entrants. Each section is further split to show the last three financial years; 2014, 2015 and 2016. For all three sections the columns for each financial year are split into number of entrants for each of the 9 active classes; 1 Studying, 2 Working Age, 3 Parents, 4 Carers, 5 Disability Support, 6 Pension Age, 7 Non-IS Family, 8 Non-IS Carer, 9 Non-IS Other.&#10;&#10;The leftmost section of the chart shows the historic numbers of people from the recent exits group re-entering by class. The number of re-entrants in the last three financial years were: 164,000 in 2014, 149,000 in 2015, and 130,000 in 2016.&#10;&#10;The middle section of the chart shows the historic numbers of re-entrants by class from individuals that exited the system 4-10 years prior. The number of re-entrants in the last three financial years were: 129,000 in 2014, 124,000 in 2015, and 106,000 in 2016.&#10;&#10;The final section of the chart shows the historic numbers of entrants from the rest of the Australian population by class. The number of entrants in the last three financial years were: 499,000 in 2014, 509,000 in 2015, and 420,000 in 2016.&#10;"/>
      </w:tblPr>
      <w:tblGrid>
        <w:gridCol w:w="6770"/>
        <w:gridCol w:w="3290"/>
      </w:tblGrid>
      <w:tr w:rsidR="00590615" w:rsidRPr="00EC326F" w14:paraId="46AF55C8" w14:textId="77777777" w:rsidTr="005D6CEC">
        <w:trPr>
          <w:tblHeader/>
        </w:trPr>
        <w:tc>
          <w:tcPr>
            <w:tcW w:w="6487" w:type="dxa"/>
            <w:tcBorders>
              <w:top w:val="nil"/>
              <w:left w:val="nil"/>
              <w:bottom w:val="nil"/>
              <w:right w:val="nil"/>
            </w:tcBorders>
          </w:tcPr>
          <w:p w14:paraId="321FBDFB" w14:textId="77777777" w:rsidR="00590615" w:rsidRPr="00EC326F" w:rsidRDefault="00590615" w:rsidP="00590615">
            <w:pPr>
              <w:pStyle w:val="PwCNormal"/>
            </w:pPr>
            <w:r w:rsidRPr="00EC326F">
              <w:rPr>
                <w:noProof/>
                <w:lang w:eastAsia="en-AU"/>
              </w:rPr>
              <w:drawing>
                <wp:inline distT="0" distB="0" distL="0" distR="0" wp14:anchorId="4181FD23" wp14:editId="43F04D73">
                  <wp:extent cx="4162342" cy="2160000"/>
                  <wp:effectExtent l="0" t="0" r="0" b="0"/>
                  <wp:docPr id="9" name="Picture 9" descr="This figure is a stacked column chart. The vertical axis displays the number of entrants, ranging from 0 to 600,000.&#10;&#10;The horizontal axis is split into three sections; the first for recent exits, the second for re-entrants, and the third section is for new entrants. Each section is further split to show the last three financial years; 2014, 2015 and 2016. For all three sections the columns for each financial year are split into number of entrants for each of the 9 active classes; 1 Studying, 2 Working Age, 3 Parents, 4 Carers, 5 Disability Support, 6 Pension Age, 7 Non-IS Family, 8 Non-IS Carer, 9 Non-IS Other.&#10;&#10;The leftmost section of the chart shows the historic numbers of people from the recent exits group re-entering by class. The number of re-entrants in the last three financial years were: 164,000 in 2014, 149,000 in 2015, and 130,000 in 2016.&#10;&#10;The middle section of the chart shows the historic numbers of re-entrants by class from individuals that exited the system 4-10 years prior. The number of re-entrants in the last three financial years were: 129,000 in 2014, 124,000 in 2015, and 106,000 in 2016.&#10;&#10;The final section of the chart shows the historic numbers of entrants from the rest of the Australian population by class. The number of entrants in the last three financial years were: 499,000 in 2014, 509,000 in 2015, and 420,000 in 2016.&#10;" title=" Breakdown of recent entrants and re-entrants, by class entered and period since exit, for year ending 30 Ju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62342" cy="2160000"/>
                          </a:xfrm>
                          <a:prstGeom prst="rect">
                            <a:avLst/>
                          </a:prstGeom>
                          <a:noFill/>
                          <a:ln>
                            <a:noFill/>
                          </a:ln>
                        </pic:spPr>
                      </pic:pic>
                    </a:graphicData>
                  </a:graphic>
                </wp:inline>
              </w:drawing>
            </w:r>
          </w:p>
        </w:tc>
        <w:tc>
          <w:tcPr>
            <w:tcW w:w="3290" w:type="dxa"/>
            <w:tcBorders>
              <w:top w:val="nil"/>
              <w:left w:val="nil"/>
              <w:bottom w:val="nil"/>
              <w:right w:val="nil"/>
            </w:tcBorders>
          </w:tcPr>
          <w:p w14:paraId="01E60DF5" w14:textId="77777777" w:rsidR="00087048" w:rsidRDefault="00087048" w:rsidP="00590615">
            <w:pPr>
              <w:pStyle w:val="PwCNormal"/>
            </w:pPr>
          </w:p>
          <w:p w14:paraId="06C8213A" w14:textId="77777777" w:rsidR="00590615" w:rsidRPr="00EC326F" w:rsidRDefault="00590615" w:rsidP="00590615">
            <w:pPr>
              <w:pStyle w:val="PwCNormal"/>
            </w:pPr>
            <w:r w:rsidRPr="00EC326F">
              <w:rPr>
                <w:noProof/>
                <w:lang w:eastAsia="en-AU"/>
              </w:rPr>
              <w:drawing>
                <wp:inline distT="0" distB="0" distL="0" distR="0" wp14:anchorId="33F63903" wp14:editId="6B327846">
                  <wp:extent cx="1439545" cy="1591310"/>
                  <wp:effectExtent l="0" t="0" r="8255" b="8890"/>
                  <wp:docPr id="3092" name="Picture 3092" descr="Class key: studying, working age, parents, carers, disability support, pension age, non-income support family, non-income support carer, non-income support other, previous welfare recipient, rest of the Australian population and dead. " title="Class Key for Figure 96"/>
                  <wp:cNvGraphicFramePr/>
                  <a:graphic xmlns:a="http://schemas.openxmlformats.org/drawingml/2006/main">
                    <a:graphicData uri="http://schemas.openxmlformats.org/drawingml/2006/picture">
                      <pic:pic xmlns:pic="http://schemas.openxmlformats.org/drawingml/2006/picture">
                        <pic:nvPicPr>
                          <pic:cNvPr id="3076" name="Picture 3076" descr="Class keys: studying, working age, parents, carers, disability support, pension age, non-income support family, non-income support carer, non-income support other, previous welfare recipient, rest of the Australian population and dead. " title="Payment class key for Figure 74"/>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91310"/>
                          </a:xfrm>
                          <a:prstGeom prst="rect">
                            <a:avLst/>
                          </a:prstGeom>
                          <a:noFill/>
                          <a:ln>
                            <a:noFill/>
                          </a:ln>
                        </pic:spPr>
                      </pic:pic>
                    </a:graphicData>
                  </a:graphic>
                </wp:inline>
              </w:drawing>
            </w:r>
          </w:p>
        </w:tc>
      </w:tr>
    </w:tbl>
    <w:p w14:paraId="4F7ABDD6" w14:textId="77777777" w:rsidR="003B58FB" w:rsidRPr="00EC326F" w:rsidRDefault="003B58FB" w:rsidP="00193295">
      <w:pPr>
        <w:pStyle w:val="PwCNormal-keepwithnext"/>
      </w:pPr>
      <w:r w:rsidRPr="00EC326F">
        <w:t>We can see that:</w:t>
      </w:r>
    </w:p>
    <w:p w14:paraId="32D18EF6" w14:textId="77777777" w:rsidR="003B58FB" w:rsidRPr="00EC326F" w:rsidRDefault="003B58FB" w:rsidP="001A4479">
      <w:pPr>
        <w:pStyle w:val="Bullet1"/>
        <w:numPr>
          <w:ilvl w:val="0"/>
          <w:numId w:val="44"/>
        </w:numPr>
      </w:pPr>
      <w:r w:rsidRPr="00EC326F">
        <w:t>A reasonably high number of re-entrants come from the relatively small group of people who exited the system between 1 and 3 years ago. Our analysis, as further discussed below, shows that recent welfare history is likely to be predictive of re-entering.</w:t>
      </w:r>
    </w:p>
    <w:p w14:paraId="2C665380" w14:textId="03F2DA5D" w:rsidR="00625F6B" w:rsidRPr="00EC326F" w:rsidRDefault="00625F6B" w:rsidP="001A4479">
      <w:pPr>
        <w:pStyle w:val="Bullet1"/>
        <w:numPr>
          <w:ilvl w:val="0"/>
          <w:numId w:val="44"/>
        </w:numPr>
      </w:pPr>
      <w:r w:rsidRPr="00EC326F">
        <w:lastRenderedPageBreak/>
        <w:t xml:space="preserve">A significant proportion of the re-entrants return to the </w:t>
      </w:r>
      <w:r w:rsidR="00916C7F">
        <w:t>W</w:t>
      </w:r>
      <w:r w:rsidRPr="00EC326F">
        <w:t xml:space="preserve">orking </w:t>
      </w:r>
      <w:r w:rsidR="00916C7F">
        <w:t>A</w:t>
      </w:r>
      <w:r w:rsidRPr="00EC326F">
        <w:t>ge class</w:t>
      </w:r>
      <w:r w:rsidR="00702377" w:rsidRPr="00EC326F">
        <w:t>.</w:t>
      </w:r>
    </w:p>
    <w:p w14:paraId="6C9E310F" w14:textId="3B55B502" w:rsidR="003B58FB" w:rsidRPr="00EC326F" w:rsidRDefault="003B58FB" w:rsidP="001A4479">
      <w:pPr>
        <w:pStyle w:val="Bullet1"/>
        <w:numPr>
          <w:ilvl w:val="0"/>
          <w:numId w:val="44"/>
        </w:numPr>
      </w:pPr>
      <w:r w:rsidRPr="00EC326F">
        <w:t xml:space="preserve">The rest of the Australian population group are relatively more likely to enter into class </w:t>
      </w:r>
      <w:r w:rsidR="00FF7EC9">
        <w:t>‘</w:t>
      </w:r>
      <w:r w:rsidRPr="00EC326F">
        <w:t xml:space="preserve">1 Studying’, class </w:t>
      </w:r>
      <w:r w:rsidR="00FF7EC9">
        <w:t>‘</w:t>
      </w:r>
      <w:r w:rsidRPr="00EC326F">
        <w:t xml:space="preserve">6 Pension Age’ or class </w:t>
      </w:r>
      <w:r w:rsidR="00FF7EC9">
        <w:t>‘</w:t>
      </w:r>
      <w:r w:rsidRPr="00EC326F">
        <w:t>9 Non IS Other’.</w:t>
      </w:r>
    </w:p>
    <w:p w14:paraId="0BCD0B4E" w14:textId="3A86600D" w:rsidR="003B58FB" w:rsidRPr="00EC326F" w:rsidRDefault="003B58FB" w:rsidP="003B58FB">
      <w:pPr>
        <w:pStyle w:val="PwCNormal"/>
        <w:numPr>
          <w:ilvl w:val="0"/>
          <w:numId w:val="0"/>
        </w:numPr>
      </w:pPr>
      <w:r w:rsidRPr="00EC326F">
        <w:t xml:space="preserve">The chart below shows an illustration of some of these numbers as rates. This chart shows the rate of </w:t>
      </w:r>
      <w:r w:rsidR="00397976" w:rsidRPr="00EC326F">
        <w:rPr>
          <w:snapToGrid/>
          <w:lang w:eastAsia="en-AU"/>
        </w:rPr>
        <w:t xml:space="preserve">women </w:t>
      </w:r>
      <w:r w:rsidRPr="00EC326F">
        <w:t xml:space="preserve">entering or re-entering from both the recent welfare recipient and the rest of the Australian population classes into the </w:t>
      </w:r>
      <w:r w:rsidR="00916C7F">
        <w:t>W</w:t>
      </w:r>
      <w:r w:rsidRPr="00EC326F">
        <w:t xml:space="preserve">orking </w:t>
      </w:r>
      <w:r w:rsidR="00916C7F">
        <w:t>A</w:t>
      </w:r>
      <w:r w:rsidRPr="00EC326F">
        <w:t>ge class between June 2015 and June 2016.</w:t>
      </w:r>
    </w:p>
    <w:p w14:paraId="543776BE" w14:textId="1E96AB5B" w:rsidR="003B58FB" w:rsidRPr="00EC326F" w:rsidRDefault="003B58FB" w:rsidP="003B58FB">
      <w:pPr>
        <w:pStyle w:val="Caption"/>
      </w:pPr>
      <w:r w:rsidRPr="00EC326F">
        <w:t xml:space="preserve">Figure </w:t>
      </w:r>
      <w:fldSimple w:instr=" SEQ Figure \* ARABIC ">
        <w:r w:rsidR="007A42DF">
          <w:rPr>
            <w:noProof/>
          </w:rPr>
          <w:t>97</w:t>
        </w:r>
      </w:fldSimple>
      <w:r w:rsidRPr="00EC326F">
        <w:t xml:space="preserve">: Illustration of rates of females entering from the rest of the Australian population and previous welfare recipients classes to the </w:t>
      </w:r>
      <w:r w:rsidR="00916C7F">
        <w:t>W</w:t>
      </w:r>
      <w:r w:rsidRPr="00EC326F">
        <w:t xml:space="preserve">orking </w:t>
      </w:r>
      <w:r w:rsidR="00916C7F">
        <w:t>A</w:t>
      </w:r>
      <w:r w:rsidRPr="00EC326F">
        <w:t>ge class between June 2015 and June 2016</w:t>
      </w:r>
    </w:p>
    <w:p w14:paraId="6ED334D5" w14:textId="77777777" w:rsidR="003B58FB" w:rsidRPr="00EC326F" w:rsidRDefault="003B58FB" w:rsidP="003B58FB">
      <w:pPr>
        <w:pStyle w:val="Sources"/>
      </w:pPr>
      <w:r w:rsidRPr="00EC326F">
        <w:rPr>
          <w:noProof/>
          <w:lang w:eastAsia="en-AU"/>
        </w:rPr>
        <w:drawing>
          <wp:inline distT="0" distB="0" distL="0" distR="0" wp14:anchorId="30C7D21F" wp14:editId="5708ABFF">
            <wp:extent cx="3708400" cy="2159000"/>
            <wp:effectExtent l="0" t="0" r="6350" b="0"/>
            <wp:docPr id="195" name="Picture 195" descr="This figure is a line chart. The chart shows the proportion of people at each age who have entered from the rest of the Australian population and previous welfare recipient classes at June 2015 into the working age class at June 2016 – the entry and re-entry rates. The vertical axis shows this rate and ranges from 0% to 40%. The horizontal axis shows age and ranges from 15 to 75. There are six lines showing the rates separately for people who have been in the previous welfare recipient class for five different periods (1, 2, 3, 4, and 5 and over years), and for the rest of the Australian population. &#10;&#10;The chart shows that the rate of re-entry to the working age class generally decreases as the time since previously being a welfare recipient increases. The rate of entry to the working age class by people from the rest of the Australian population is generally lower at each age, than the corresponding re-entry rates from the previous welfare class.&#10;&#10;The key features of the chart are discussed in the accompanying text within the report. &#10;" title=" Illustration of rates of females entering from the rest of the Australian population and previous welfare recipients classes to the Working Age class between June 2015 and June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708400" cy="2159000"/>
                    </a:xfrm>
                    <a:prstGeom prst="rect">
                      <a:avLst/>
                    </a:prstGeom>
                    <a:noFill/>
                    <a:ln>
                      <a:noFill/>
                    </a:ln>
                  </pic:spPr>
                </pic:pic>
              </a:graphicData>
            </a:graphic>
          </wp:inline>
        </w:drawing>
      </w:r>
      <w:r w:rsidRPr="00EC326F">
        <w:br/>
        <w:t>Notes:</w:t>
      </w:r>
    </w:p>
    <w:p w14:paraId="379EB91B" w14:textId="77777777" w:rsidR="003B58FB" w:rsidRPr="00EC326F" w:rsidRDefault="003B58FB" w:rsidP="001A4479">
      <w:pPr>
        <w:pStyle w:val="Sources"/>
        <w:numPr>
          <w:ilvl w:val="0"/>
          <w:numId w:val="46"/>
        </w:numPr>
      </w:pPr>
      <w:r w:rsidRPr="00EC326F">
        <w:t>Re-entry rates from previous welfare recipients (class 10) are shown in grey and split by number of years since last utilised welfare.</w:t>
      </w:r>
    </w:p>
    <w:p w14:paraId="5F2FFFAC" w14:textId="77777777" w:rsidR="003B58FB" w:rsidRPr="00EC326F" w:rsidRDefault="003B58FB" w:rsidP="001A4479">
      <w:pPr>
        <w:pStyle w:val="Sources"/>
        <w:numPr>
          <w:ilvl w:val="0"/>
          <w:numId w:val="46"/>
        </w:numPr>
        <w:ind w:left="709"/>
      </w:pPr>
      <w:r w:rsidRPr="00EC326F">
        <w:t>Entry rates from the rest of the Australian population (class 12) are shown in red</w:t>
      </w:r>
    </w:p>
    <w:p w14:paraId="4F705289" w14:textId="5ABEB222" w:rsidR="003B58FB" w:rsidRPr="00EC326F" w:rsidRDefault="003B58FB" w:rsidP="008E7403">
      <w:pPr>
        <w:pStyle w:val="PwCNormal"/>
      </w:pPr>
      <w:r w:rsidRPr="00EC326F">
        <w:t>We can see that</w:t>
      </w:r>
      <w:r w:rsidR="00702377" w:rsidRPr="00EC326F">
        <w:t xml:space="preserve"> the probability of entering into the </w:t>
      </w:r>
      <w:r w:rsidR="00916C7F">
        <w:t>W</w:t>
      </w:r>
      <w:r w:rsidR="00702377" w:rsidRPr="00EC326F">
        <w:t xml:space="preserve">orking </w:t>
      </w:r>
      <w:r w:rsidR="00916C7F">
        <w:t>A</w:t>
      </w:r>
      <w:r w:rsidR="00702377" w:rsidRPr="00EC326F">
        <w:t xml:space="preserve">ge class is generally lower for first time entries from the rest of the Australian population class, than it is for re-entries from the exits class. </w:t>
      </w:r>
      <w:r w:rsidRPr="00EC326F">
        <w:t>The probability of people re-entering is generally higher for someone who has recently utilised welfare, and as such the re-entry rates for people who have only been inactive for one year are the highest</w:t>
      </w:r>
      <w:r w:rsidR="00702377" w:rsidRPr="00EC326F">
        <w:t xml:space="preserve"> and t</w:t>
      </w:r>
      <w:r w:rsidRPr="00EC326F">
        <w:t>he probability of re-entering decreases the longer people are inactive.</w:t>
      </w:r>
    </w:p>
    <w:p w14:paraId="231B1E93" w14:textId="77777777" w:rsidR="003B58FB" w:rsidRPr="00EC326F" w:rsidRDefault="003B58FB" w:rsidP="006269DD">
      <w:pPr>
        <w:pStyle w:val="Minorheading"/>
        <w:keepNext w:val="0"/>
        <w:keepLines w:val="0"/>
      </w:pPr>
      <w:r w:rsidRPr="00EC326F">
        <w:t>What is the expected new entrant experience?</w:t>
      </w:r>
    </w:p>
    <w:p w14:paraId="6270A7D8" w14:textId="77777777" w:rsidR="003B58FB" w:rsidRPr="00EC326F" w:rsidRDefault="003B58FB" w:rsidP="006269DD">
      <w:pPr>
        <w:pStyle w:val="PwCNormal"/>
      </w:pPr>
      <w:r w:rsidRPr="00EC326F">
        <w:t xml:space="preserve">The expected numbers of new entrants and re-entrants over the next 5 years are shown </w:t>
      </w:r>
      <w:r w:rsidR="00702377" w:rsidRPr="00EC326F">
        <w:t xml:space="preserve">in the chart </w:t>
      </w:r>
      <w:r w:rsidRPr="00EC326F">
        <w:t xml:space="preserve">below. </w:t>
      </w:r>
    </w:p>
    <w:p w14:paraId="16E3FD63" w14:textId="77777777" w:rsidR="00702377" w:rsidRPr="00EC326F" w:rsidRDefault="00702377" w:rsidP="006269DD">
      <w:pPr>
        <w:pStyle w:val="PwCNormal"/>
        <w:numPr>
          <w:ilvl w:val="0"/>
          <w:numId w:val="0"/>
        </w:numPr>
      </w:pPr>
      <w:r w:rsidRPr="00EC326F">
        <w:t>We have also illustrated the quantum of the maturity adjustment which has been made to mitigate the effect of the underreporting of new entrants in the latest year on the overall assessment of the lifetime cost. This is a one-off adjustment which is applied in 2017, the first year of the projection.</w:t>
      </w:r>
    </w:p>
    <w:p w14:paraId="183C4ADB" w14:textId="494CD049" w:rsidR="00715253" w:rsidRPr="00EC326F" w:rsidRDefault="00715253" w:rsidP="006269DD">
      <w:pPr>
        <w:pStyle w:val="Caption"/>
        <w:jc w:val="both"/>
      </w:pPr>
      <w:bookmarkStart w:id="433" w:name="_Ref466494155"/>
      <w:r w:rsidRPr="00EC326F">
        <w:t xml:space="preserve">Figure </w:t>
      </w:r>
      <w:r w:rsidR="003E688E">
        <w:fldChar w:fldCharType="begin"/>
      </w:r>
      <w:r w:rsidR="003E688E">
        <w:rPr>
          <w:b w:val="0"/>
          <w:bCs w:val="0"/>
        </w:rPr>
        <w:instrText xml:space="preserve"> SEQ Figure \* ARABIC </w:instrText>
      </w:r>
      <w:r w:rsidR="003E688E">
        <w:fldChar w:fldCharType="separate"/>
      </w:r>
      <w:r w:rsidR="007A42DF">
        <w:rPr>
          <w:noProof/>
        </w:rPr>
        <w:t>98</w:t>
      </w:r>
      <w:r w:rsidR="003E688E">
        <w:rPr>
          <w:noProof/>
        </w:rPr>
        <w:fldChar w:fldCharType="end"/>
      </w:r>
      <w:bookmarkEnd w:id="433"/>
      <w:r w:rsidRPr="00EC326F">
        <w:t>: Expected number of entrants and re-entrants, by year of future entry and destination class</w:t>
      </w:r>
    </w:p>
    <w:tbl>
      <w:tblPr>
        <w:tblStyle w:val="TableGrid"/>
        <w:tblW w:w="10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Number of exits, by year of exit and previous class&#10;"/>
        <w:tblDescription w:val="This figure is a stacked column chart. The chart shows the number of exits by previous class over the past five financial years. The vertical axis shows the number of people ranging from 0 to 600,000. The horizontal axis shows the financial years from 2012 to 2016.&#10;&#10;The columns for each financial year are split by active class: 1 Studying, 2 Working Age, 3 Parents, 4 Carers, 5 Disability Support, 6 Pension Age, 7 Non-IS Family, 8 Non-IS Carer, and 9 Non-IS Other.&#10;&#10;The total number of exits in each of the last five financial years was: 508,000 in 2012, 490,000 in 2013, 470,000 in 2014, 554,000 in 2015 and 570,000 in 2016.&#10;&#10;The key features of this chart are described in the accompanying text within the report.&#10;"/>
      </w:tblPr>
      <w:tblGrid>
        <w:gridCol w:w="7588"/>
        <w:gridCol w:w="2493"/>
      </w:tblGrid>
      <w:tr w:rsidR="009E3331" w:rsidRPr="00EC326F" w14:paraId="3527BEE4" w14:textId="77777777" w:rsidTr="009E3331">
        <w:trPr>
          <w:tblHeader/>
        </w:trPr>
        <w:tc>
          <w:tcPr>
            <w:tcW w:w="7588" w:type="dxa"/>
          </w:tcPr>
          <w:p w14:paraId="060B0AE0" w14:textId="4DC5C20A" w:rsidR="009E3331" w:rsidRPr="00EC326F" w:rsidRDefault="009E3331" w:rsidP="005E5F09">
            <w:pPr>
              <w:pStyle w:val="PwCNormal"/>
              <w:widowControl w:val="0"/>
              <w:numPr>
                <w:ilvl w:val="0"/>
                <w:numId w:val="0"/>
              </w:numPr>
            </w:pPr>
            <w:r w:rsidRPr="00EC326F">
              <w:rPr>
                <w:noProof/>
                <w:lang w:eastAsia="en-AU"/>
              </w:rPr>
              <w:drawing>
                <wp:inline distT="0" distB="0" distL="0" distR="0" wp14:anchorId="36B1D891" wp14:editId="5FCE11D5">
                  <wp:extent cx="4677932" cy="2160000"/>
                  <wp:effectExtent l="0" t="0" r="8890" b="0"/>
                  <wp:docPr id="1035" name="Picture 1035" descr="This figure is a stacked column chart. The chart shows the expected future numbers of entrants and re-entrants by class entered for each of the next five financial years. The vertical axis shows the number of individuals ranging from 0 to 900,000. The horizontal axis shows financial years ranging from 2017 to 2021. There is an additional column to the left of these financial years displaying the number of entrants and re-entrants calculated as part of the maturity adjustment.&#10;&#10;The columns for each financial year (and the maturity adjustment) are split into number of entrants for each of the 9 active classes; 1 Studying, 2 Working Age, 3 Parents, 4 Carers, 5 Disability Support, 6 Pension Age, 7 Non-IS Family, 8 Non-IS Carer, 9 Non-IS Other.&#10;&#10;The total number of entrants and re-entrants expected in each of the next five financial years are: 796,000 in 2017, 750,000 in 2018, 786,000 in 2019, 766,000 in 2020, 771,000 in 2021 and 82,000 due to the maturity adjustment.&#10;" title=" Expected number of entrants and re-entrants, by year of future entry and destination cl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677932" cy="2160000"/>
                          </a:xfrm>
                          <a:prstGeom prst="rect">
                            <a:avLst/>
                          </a:prstGeom>
                          <a:noFill/>
                          <a:ln>
                            <a:noFill/>
                          </a:ln>
                        </pic:spPr>
                      </pic:pic>
                    </a:graphicData>
                  </a:graphic>
                </wp:inline>
              </w:drawing>
            </w:r>
          </w:p>
        </w:tc>
        <w:tc>
          <w:tcPr>
            <w:tcW w:w="2493" w:type="dxa"/>
          </w:tcPr>
          <w:p w14:paraId="70ACF981" w14:textId="77777777" w:rsidR="009E3331" w:rsidRDefault="009E3331" w:rsidP="005E5F09">
            <w:pPr>
              <w:pStyle w:val="PwCNormal"/>
              <w:widowControl w:val="0"/>
              <w:numPr>
                <w:ilvl w:val="0"/>
                <w:numId w:val="0"/>
              </w:numPr>
            </w:pPr>
          </w:p>
          <w:p w14:paraId="36ECCAAA" w14:textId="7800B651" w:rsidR="009E3331" w:rsidRPr="00EC326F" w:rsidRDefault="009E3331" w:rsidP="005E5F09">
            <w:pPr>
              <w:pStyle w:val="PwCNormal"/>
              <w:widowControl w:val="0"/>
              <w:numPr>
                <w:ilvl w:val="0"/>
                <w:numId w:val="0"/>
              </w:numPr>
            </w:pPr>
            <w:r w:rsidRPr="00EC326F">
              <w:rPr>
                <w:noProof/>
                <w:lang w:eastAsia="en-AU"/>
              </w:rPr>
              <w:drawing>
                <wp:inline distT="0" distB="0" distL="0" distR="0" wp14:anchorId="4E5F2C59" wp14:editId="343533F7">
                  <wp:extent cx="1439545" cy="1591310"/>
                  <wp:effectExtent l="0" t="0" r="8255" b="8890"/>
                  <wp:docPr id="1037" name="Picture 1037" descr="Class key: studying, working age, parents, carers, disability support, pension age, non-income support family, non-income support carer, non-income support other, previous welfare recipient, rest of the Australian population and dead. " title="Class Key for Figure 96"/>
                  <wp:cNvGraphicFramePr/>
                  <a:graphic xmlns:a="http://schemas.openxmlformats.org/drawingml/2006/main">
                    <a:graphicData uri="http://schemas.openxmlformats.org/drawingml/2006/picture">
                      <pic:pic xmlns:pic="http://schemas.openxmlformats.org/drawingml/2006/picture">
                        <pic:nvPicPr>
                          <pic:cNvPr id="3076" name="Picture 3076" descr="Class keys: studying, working age, parents, carers, disability support, pension age, non-income support family, non-income support carer, non-income support other, previous welfare recipient, rest of the Australian population and dead. " title="Payment class key for Figure 74"/>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91310"/>
                          </a:xfrm>
                          <a:prstGeom prst="rect">
                            <a:avLst/>
                          </a:prstGeom>
                          <a:noFill/>
                          <a:ln>
                            <a:noFill/>
                          </a:ln>
                        </pic:spPr>
                      </pic:pic>
                    </a:graphicData>
                  </a:graphic>
                </wp:inline>
              </w:drawing>
            </w:r>
          </w:p>
        </w:tc>
      </w:tr>
    </w:tbl>
    <w:p w14:paraId="5C106AB4" w14:textId="77777777" w:rsidR="00715253" w:rsidRPr="00EC326F" w:rsidRDefault="00715253" w:rsidP="00715253">
      <w:pPr>
        <w:pStyle w:val="PwCNormal"/>
        <w:numPr>
          <w:ilvl w:val="0"/>
          <w:numId w:val="0"/>
        </w:numPr>
      </w:pPr>
      <w:r w:rsidRPr="00EC326F">
        <w:lastRenderedPageBreak/>
        <w:t>As can be seen:</w:t>
      </w:r>
    </w:p>
    <w:p w14:paraId="7CDA6F9A" w14:textId="77777777" w:rsidR="00E20C92" w:rsidRPr="00EC326F" w:rsidRDefault="00702377" w:rsidP="001A4479">
      <w:pPr>
        <w:pStyle w:val="Bullet1"/>
        <w:numPr>
          <w:ilvl w:val="0"/>
          <w:numId w:val="44"/>
        </w:numPr>
      </w:pPr>
      <w:r w:rsidRPr="00EC326F">
        <w:t xml:space="preserve">The maturity adjustment allows for </w:t>
      </w:r>
      <w:r w:rsidR="00715253" w:rsidRPr="00EC326F">
        <w:t>an additional 80,000 new entrants</w:t>
      </w:r>
      <w:r w:rsidRPr="00EC326F">
        <w:t>, with the majority of these being to class 9</w:t>
      </w:r>
      <w:r w:rsidR="00E20C92" w:rsidRPr="00EC326F">
        <w:t>.</w:t>
      </w:r>
    </w:p>
    <w:p w14:paraId="62F85C95" w14:textId="77777777" w:rsidR="00702377" w:rsidRPr="00EC326F" w:rsidRDefault="00702377" w:rsidP="001A4479">
      <w:pPr>
        <w:pStyle w:val="Bullet1"/>
        <w:numPr>
          <w:ilvl w:val="0"/>
          <w:numId w:val="44"/>
        </w:numPr>
      </w:pPr>
      <w:r w:rsidRPr="00EC326F">
        <w:t>The total number of entrants and re-entrants is expected to be around 800,000 in 2016/17. This is broadly consistent with the numbers of new entrants seen in 2014 and 2015.</w:t>
      </w:r>
    </w:p>
    <w:p w14:paraId="6D04A0DC" w14:textId="77777777" w:rsidR="00E20C92" w:rsidRPr="00EC326F" w:rsidRDefault="00E20C92" w:rsidP="001A4479">
      <w:pPr>
        <w:pStyle w:val="Bullet1"/>
        <w:numPr>
          <w:ilvl w:val="0"/>
          <w:numId w:val="44"/>
        </w:numPr>
      </w:pPr>
      <w:r w:rsidRPr="00EC326F">
        <w:t>There are some variations from year to year in the expected number of entrants and this links to</w:t>
      </w:r>
      <w:r w:rsidR="004C63BE" w:rsidRPr="00EC326F">
        <w:t>:</w:t>
      </w:r>
    </w:p>
    <w:p w14:paraId="659C04DE" w14:textId="77777777" w:rsidR="00E20C92" w:rsidRPr="00EC326F" w:rsidRDefault="00E20C92" w:rsidP="001A4479">
      <w:pPr>
        <w:pStyle w:val="Bullet2"/>
        <w:numPr>
          <w:ilvl w:val="1"/>
          <w:numId w:val="44"/>
        </w:numPr>
      </w:pPr>
      <w:r w:rsidRPr="00EC326F">
        <w:t>The shape of the population.</w:t>
      </w:r>
    </w:p>
    <w:p w14:paraId="2D7396AF" w14:textId="77777777" w:rsidR="00E20C92" w:rsidRPr="00EC326F" w:rsidRDefault="00702377" w:rsidP="001A4479">
      <w:pPr>
        <w:pStyle w:val="Bullet2"/>
        <w:numPr>
          <w:ilvl w:val="1"/>
          <w:numId w:val="44"/>
        </w:numPr>
      </w:pPr>
      <w:r w:rsidRPr="00EC326F">
        <w:t>C</w:t>
      </w:r>
      <w:r w:rsidR="00E20C92" w:rsidRPr="00EC326F">
        <w:t>hanges to the numbers of age pension entrants owing to the staged changes in pension age from 65 to 67 which impact people retiring over the period 2017 to 2023.</w:t>
      </w:r>
    </w:p>
    <w:p w14:paraId="46688FD7" w14:textId="755A17E8" w:rsidR="00E20C92" w:rsidRPr="00EC326F" w:rsidRDefault="00702377" w:rsidP="001A4479">
      <w:pPr>
        <w:pStyle w:val="Bullet2"/>
        <w:numPr>
          <w:ilvl w:val="1"/>
          <w:numId w:val="44"/>
        </w:numPr>
      </w:pPr>
      <w:r w:rsidRPr="00EC326F">
        <w:t>A</w:t>
      </w:r>
      <w:r w:rsidR="00E20C92" w:rsidRPr="00EC326F">
        <w:t xml:space="preserve"> gradual decrease of entries into </w:t>
      </w:r>
      <w:r w:rsidR="00FF7EC9">
        <w:t>‘</w:t>
      </w:r>
      <w:r w:rsidR="00E20C92" w:rsidRPr="00EC326F">
        <w:t>2 Working Age</w:t>
      </w:r>
      <w:r w:rsidR="00FF7EC9">
        <w:t>’</w:t>
      </w:r>
      <w:r w:rsidR="00E20C92" w:rsidRPr="00EC326F">
        <w:t xml:space="preserve"> as a result of the impact of the </w:t>
      </w:r>
      <w:r w:rsidRPr="00EC326F">
        <w:t xml:space="preserve">assumed future reductions in the unemployment rate reducing future entrants into the </w:t>
      </w:r>
      <w:r w:rsidR="00916C7F">
        <w:t>W</w:t>
      </w:r>
      <w:r w:rsidRPr="00EC326F">
        <w:t xml:space="preserve">orking </w:t>
      </w:r>
      <w:r w:rsidR="00916C7F">
        <w:t>A</w:t>
      </w:r>
      <w:r w:rsidRPr="00EC326F">
        <w:t>ge class</w:t>
      </w:r>
      <w:r w:rsidR="00E20C92" w:rsidRPr="00EC326F">
        <w:t>.</w:t>
      </w:r>
    </w:p>
    <w:p w14:paraId="346303E6" w14:textId="77777777" w:rsidR="00702377" w:rsidRPr="00EC326F" w:rsidRDefault="00702377" w:rsidP="00702377">
      <w:pPr>
        <w:pStyle w:val="Heading3"/>
      </w:pPr>
      <w:bookmarkStart w:id="434" w:name="_Toc493844273"/>
      <w:r w:rsidRPr="00EC326F">
        <w:t>Exits from the system</w:t>
      </w:r>
      <w:bookmarkEnd w:id="434"/>
    </w:p>
    <w:p w14:paraId="55994B65" w14:textId="77777777" w:rsidR="00193295" w:rsidRPr="00EC326F" w:rsidRDefault="00702377" w:rsidP="00702377">
      <w:pPr>
        <w:pStyle w:val="PwCNormal"/>
        <w:widowControl w:val="0"/>
        <w:numPr>
          <w:ilvl w:val="0"/>
          <w:numId w:val="0"/>
        </w:numPr>
      </w:pPr>
      <w:r w:rsidRPr="00EC326F">
        <w:t xml:space="preserve">This section examines the exits from the system as a whole. </w:t>
      </w:r>
    </w:p>
    <w:p w14:paraId="74EE4E69" w14:textId="77777777" w:rsidR="00193295" w:rsidRPr="00EC326F" w:rsidRDefault="00193295" w:rsidP="00193295">
      <w:pPr>
        <w:pStyle w:val="Minorheading"/>
      </w:pPr>
      <w:r w:rsidRPr="00EC326F">
        <w:t>Historical exits</w:t>
      </w:r>
    </w:p>
    <w:p w14:paraId="7543017C" w14:textId="77777777" w:rsidR="00193295" w:rsidRPr="00EC326F" w:rsidRDefault="00193295" w:rsidP="00702377">
      <w:pPr>
        <w:pStyle w:val="PwCNormal"/>
        <w:widowControl w:val="0"/>
        <w:numPr>
          <w:ilvl w:val="0"/>
          <w:numId w:val="0"/>
        </w:numPr>
      </w:pPr>
      <w:r w:rsidRPr="00EC326F">
        <w:t xml:space="preserve">The figure below provides a summary of the overall exits from the active welfare classes. </w:t>
      </w:r>
    </w:p>
    <w:p w14:paraId="269CEF41" w14:textId="77777777" w:rsidR="00193295" w:rsidRPr="002A0A1A" w:rsidRDefault="00193295" w:rsidP="00193295">
      <w:pPr>
        <w:pStyle w:val="Caption"/>
        <w:jc w:val="both"/>
      </w:pPr>
      <w:r w:rsidRPr="00EC326F">
        <w:t xml:space="preserve">Figure </w:t>
      </w:r>
      <w:fldSimple w:instr=" SEQ Figure \* ARABIC ">
        <w:r w:rsidR="007A42DF">
          <w:rPr>
            <w:noProof/>
          </w:rPr>
          <w:t>99</w:t>
        </w:r>
      </w:fldSimple>
      <w:r w:rsidRPr="00EC326F">
        <w:t xml:space="preserve">: </w:t>
      </w:r>
      <w:r w:rsidR="007165D2">
        <w:t>N</w:t>
      </w:r>
      <w:r w:rsidRPr="00EC326F">
        <w:t>umber of e</w:t>
      </w:r>
      <w:r w:rsidR="007165D2">
        <w:t>xits</w:t>
      </w:r>
      <w:r w:rsidRPr="00EC326F">
        <w:t xml:space="preserve">, by year of </w:t>
      </w:r>
      <w:r w:rsidR="007165D2">
        <w:t>exit</w:t>
      </w:r>
      <w:r w:rsidRPr="00EC326F">
        <w:t xml:space="preserve"> and </w:t>
      </w:r>
      <w:r w:rsidR="007165D2">
        <w:t>previous</w:t>
      </w:r>
      <w:r w:rsidRPr="00EC326F">
        <w:t xml:space="preserve"> class</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Number of exits, by year of exit and previous class&#10;"/>
        <w:tblDescription w:val="This figure is a stacked column chart. The chart shows the number of exits by previous class over the past five financial years. The vertical axis shows the number of people ranging from 0 to 600,000. The horizontal axis shows the financial years from 2012 to 2016.&#10;&#10;The columns for each financial year are split by active class: 1 Studying, 2 Working Age, 3 Parents, 4 Carers, 5 Disability Support, 6 Pension Age, 7 Non-IS Family, 8 Non-IS Carer, and 9 Non-IS Other.&#10;&#10;The total number of exits in each of the last five financial years was: 508,000 in 2012, 490,000 in 2013, 470,000 in 2014, 554,000 in 2015 and 570,000 in 2016.&#10;&#10;The key features of this chart are described in the accompanying text within the report.&#10;"/>
      </w:tblPr>
      <w:tblGrid>
        <w:gridCol w:w="6629"/>
        <w:gridCol w:w="3118"/>
      </w:tblGrid>
      <w:tr w:rsidR="00193295" w:rsidRPr="00EC326F" w14:paraId="4999D8C8" w14:textId="77777777" w:rsidTr="005D6CEC">
        <w:trPr>
          <w:tblHeader/>
        </w:trPr>
        <w:tc>
          <w:tcPr>
            <w:tcW w:w="6629" w:type="dxa"/>
          </w:tcPr>
          <w:p w14:paraId="6D93582B" w14:textId="77777777" w:rsidR="00193295" w:rsidRPr="00EC326F" w:rsidRDefault="00193295" w:rsidP="00702377">
            <w:pPr>
              <w:pStyle w:val="PwCNormal"/>
              <w:widowControl w:val="0"/>
              <w:numPr>
                <w:ilvl w:val="0"/>
                <w:numId w:val="0"/>
              </w:numPr>
            </w:pPr>
            <w:r w:rsidRPr="00EC326F">
              <w:rPr>
                <w:noProof/>
                <w:lang w:eastAsia="en-AU"/>
              </w:rPr>
              <w:drawing>
                <wp:inline distT="0" distB="0" distL="0" distR="0" wp14:anchorId="6C331868" wp14:editId="112C3AA9">
                  <wp:extent cx="3906941" cy="2160000"/>
                  <wp:effectExtent l="0" t="0" r="0" b="0"/>
                  <wp:docPr id="290" name="Picture 290" descr="This figure is a stacked column chart. The chart shows the number of exits by previous class over the past five financial years. The vertical axis shows the number of people ranging from 0 to 600,000. The horizontal axis shows the financial years from 2012 to 2016.&#10;&#10;The columns for each financial year are split by active class: 1 Studying, 2 Working Age, 3 Parents, 4 Carers, 5 Disability Support, 6 Pension Age, 7 Non-IS Family, 8 Non-IS Carer, and 9 Non-IS Other.&#10;&#10;The total number of exits in each of the last five financial years was: 508,000 in 2012, 490,000 in 2013, 470,000 in 2014, 554,000 in 2015 and 570,000 in 2016.&#10;&#10;The key features of this chart are described in the accompanying text within the report.&#10;" title=" Number of exits, by year of exit and previous cl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906941" cy="2160000"/>
                          </a:xfrm>
                          <a:prstGeom prst="rect">
                            <a:avLst/>
                          </a:prstGeom>
                          <a:noFill/>
                          <a:ln>
                            <a:noFill/>
                          </a:ln>
                        </pic:spPr>
                      </pic:pic>
                    </a:graphicData>
                  </a:graphic>
                </wp:inline>
              </w:drawing>
            </w:r>
          </w:p>
        </w:tc>
        <w:tc>
          <w:tcPr>
            <w:tcW w:w="3118" w:type="dxa"/>
          </w:tcPr>
          <w:p w14:paraId="120F2AF3" w14:textId="77777777" w:rsidR="00087048" w:rsidRDefault="00087048" w:rsidP="00702377">
            <w:pPr>
              <w:pStyle w:val="PwCNormal"/>
              <w:widowControl w:val="0"/>
              <w:numPr>
                <w:ilvl w:val="0"/>
                <w:numId w:val="0"/>
              </w:numPr>
            </w:pPr>
          </w:p>
          <w:p w14:paraId="48AA555E" w14:textId="77777777" w:rsidR="00193295" w:rsidRPr="00EC326F" w:rsidRDefault="00193295" w:rsidP="00702377">
            <w:pPr>
              <w:pStyle w:val="PwCNormal"/>
              <w:widowControl w:val="0"/>
              <w:numPr>
                <w:ilvl w:val="0"/>
                <w:numId w:val="0"/>
              </w:numPr>
            </w:pPr>
            <w:r w:rsidRPr="00EC326F">
              <w:rPr>
                <w:noProof/>
                <w:lang w:eastAsia="en-AU"/>
              </w:rPr>
              <w:drawing>
                <wp:inline distT="0" distB="0" distL="0" distR="0" wp14:anchorId="03CE8051" wp14:editId="0D356BAD">
                  <wp:extent cx="1439545" cy="1591310"/>
                  <wp:effectExtent l="0" t="0" r="8255" b="8890"/>
                  <wp:docPr id="308" name="Picture 308" descr="Class key: studying, working age, parents, carers, disability support, pension age, non-income support family, non-income support carer, non-income support other, previous welfare recipient, rest of the Australian population and dead. " title="Class Key for Figure 99"/>
                  <wp:cNvGraphicFramePr/>
                  <a:graphic xmlns:a="http://schemas.openxmlformats.org/drawingml/2006/main">
                    <a:graphicData uri="http://schemas.openxmlformats.org/drawingml/2006/picture">
                      <pic:pic xmlns:pic="http://schemas.openxmlformats.org/drawingml/2006/picture">
                        <pic:nvPicPr>
                          <pic:cNvPr id="2072" name="Picture 2072" descr="Class keys: studying, working age, parents, carers, disability support, pension age, non-income support family, non-income support carer, non-income support other, previous welfare recipient, rest of the Australian population and dead. " title="Payment class key for Figure 9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91310"/>
                          </a:xfrm>
                          <a:prstGeom prst="rect">
                            <a:avLst/>
                          </a:prstGeom>
                          <a:noFill/>
                          <a:ln>
                            <a:noFill/>
                          </a:ln>
                        </pic:spPr>
                      </pic:pic>
                    </a:graphicData>
                  </a:graphic>
                </wp:inline>
              </w:drawing>
            </w:r>
          </w:p>
        </w:tc>
      </w:tr>
    </w:tbl>
    <w:p w14:paraId="2E1E3E22" w14:textId="77777777" w:rsidR="00193295" w:rsidRPr="00EC326F" w:rsidRDefault="00193295" w:rsidP="00702377">
      <w:pPr>
        <w:pStyle w:val="PwCNormal"/>
        <w:widowControl w:val="0"/>
        <w:numPr>
          <w:ilvl w:val="0"/>
          <w:numId w:val="0"/>
        </w:numPr>
      </w:pPr>
      <w:r w:rsidRPr="00EC326F">
        <w:t>We can see that the numbers of people stopping receiving payments has increased in the last two years with the majority of the increase being exits from non income support classes 7 and 9. This data may be slightly overstated for the 2016 year owing to the data maturity issues (in particular, delayed receipt of information on FTB and child care payments).</w:t>
      </w:r>
    </w:p>
    <w:p w14:paraId="59427125" w14:textId="77777777" w:rsidR="00193295" w:rsidRPr="00EC326F" w:rsidRDefault="00193295" w:rsidP="00702377">
      <w:pPr>
        <w:pStyle w:val="PwCNormal"/>
        <w:widowControl w:val="0"/>
        <w:numPr>
          <w:ilvl w:val="0"/>
          <w:numId w:val="0"/>
        </w:numPr>
      </w:pPr>
      <w:r w:rsidRPr="00EC326F">
        <w:t>Nevertheless there has been some increase in exits from these two classes and this is likely linked to some of the policy changes which have tightened the FTB eligibility criteria.</w:t>
      </w:r>
    </w:p>
    <w:p w14:paraId="64FB8DA1" w14:textId="77777777" w:rsidR="00193295" w:rsidRPr="00EC326F" w:rsidRDefault="00193295" w:rsidP="00193295">
      <w:pPr>
        <w:pStyle w:val="Minorheading"/>
      </w:pPr>
      <w:r w:rsidRPr="00EC326F">
        <w:t>Profile of exits</w:t>
      </w:r>
    </w:p>
    <w:p w14:paraId="217536A0" w14:textId="77777777" w:rsidR="00702377" w:rsidRPr="00EC326F" w:rsidRDefault="00702377" w:rsidP="00702377">
      <w:pPr>
        <w:pStyle w:val="PwCNormal"/>
        <w:widowControl w:val="0"/>
        <w:numPr>
          <w:ilvl w:val="0"/>
          <w:numId w:val="0"/>
        </w:numPr>
      </w:pPr>
      <w:r w:rsidRPr="00EC326F">
        <w:t>The figure below presents the information on the exits observed over the last year; to help focus on the areas of greater interest we have removed the deaths from the charts as these would otherwise dominate the numbers.</w:t>
      </w:r>
    </w:p>
    <w:p w14:paraId="28BD6980" w14:textId="77777777" w:rsidR="00702377" w:rsidRPr="00EC326F" w:rsidRDefault="00702377" w:rsidP="00702377">
      <w:pPr>
        <w:pStyle w:val="Caption"/>
      </w:pPr>
      <w:r w:rsidRPr="00EC326F">
        <w:lastRenderedPageBreak/>
        <w:t xml:space="preserve">Figure </w:t>
      </w:r>
      <w:fldSimple w:instr=" SEQ Figure \* ARABIC ">
        <w:r w:rsidR="007A42DF">
          <w:rPr>
            <w:noProof/>
          </w:rPr>
          <w:t>100</w:t>
        </w:r>
      </w:fldSimple>
      <w:r w:rsidRPr="00EC326F">
        <w:t>: Summary of exits between June 2015 and June 2016</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 Summary of exits between June 2015 and June 2016&#10;"/>
        <w:tblDescription w:val="This figure contains two area charts. For both charts the vertical axis shows cumulative number of exits from the active classes, and ranges from 0 to 14,000. For both charts the horizontal axis shows age at the start of the year ranging from 10 to 95. Exits due to death have been excluded from these charts.&#10;&#10;The chart on the left shows the number of male exits over the period from June 2015 to June 2016. The chart on the right shows the number of female exits over the period from June 2015 to June 2016. &#10;&#10;Both area charts show the cumulative number of exits split by class prior to exit: 1 Studying, 2 Working Age, 3 Parents, 4 Carers, 5 Disability Support, 6 Pension Age, 7 Non-IS Family, 8 Non-IS Carer, 9 Non-IS Other&#10;&#10;The chart on the left for males has two prominent peaks. The highest peak is at age 24 showing 13,000 exits. The majority of these exits are from Working Age, followed by Studying. There is a spike in exits around age 35, driven by exits from Non IS Family and Working Age. &#10;&#10;The chart on the right for females shows a spike in exits around age 24, with approximately 12,000 exits. The majority of these exits are driven by exits from Studying followed by Working Age. There is a spike in exits around age 45 which is predominately driven by exits from Non IS Family. &#10;&#10;Further discussion of the key features shown in the chart can be found in the accompanying text within the report. &#10;"/>
      </w:tblPr>
      <w:tblGrid>
        <w:gridCol w:w="4077"/>
        <w:gridCol w:w="3969"/>
        <w:gridCol w:w="2268"/>
      </w:tblGrid>
      <w:tr w:rsidR="008E4328" w:rsidRPr="00EC326F" w14:paraId="1139A9A8" w14:textId="77777777" w:rsidTr="005D6CEC">
        <w:trPr>
          <w:tblHeader/>
        </w:trPr>
        <w:tc>
          <w:tcPr>
            <w:tcW w:w="4077" w:type="dxa"/>
          </w:tcPr>
          <w:p w14:paraId="05851105" w14:textId="77777777" w:rsidR="008E4328" w:rsidRPr="00EC326F" w:rsidRDefault="008E4328" w:rsidP="00B568BA">
            <w:pPr>
              <w:pStyle w:val="PwCNormal"/>
              <w:ind w:left="-142" w:right="-149"/>
            </w:pPr>
            <w:r w:rsidRPr="00EC326F">
              <w:rPr>
                <w:noProof/>
                <w:lang w:eastAsia="en-AU"/>
              </w:rPr>
              <w:drawing>
                <wp:inline distT="0" distB="0" distL="0" distR="0" wp14:anchorId="0DBD6E6B" wp14:editId="19BB7997">
                  <wp:extent cx="2520000" cy="1627551"/>
                  <wp:effectExtent l="0" t="0" r="0" b="0"/>
                  <wp:docPr id="3130" name="Picture 3130" descr="This figure contains two area charts. For both charts the vertical axis shows cumulative number of exits from the active classes, and ranges from 0 to 14,000. For both charts the horizontal axis shows age at the start of the year ranging from 10 to 95. Exits due to death have been excluded from these charts.&#10;&#10;The chart on the left shows the number of male exits over the period from June 2015 to June 2016. The chart on the right shows the number of female exits over the period from June 2015 to June 2016. &#10;&#10;Both area charts show the cumulative number of exits split by class prior to exit: 1 Studying, 2 Working Age, 3 Parents, 4 Carers, 5 Disability Support, 6 Pension Age, 7 Non-IS Family, 8 Non-IS Carer, 9 Non-IS Other&#10;&#10;The chart on the left for males has two prominent peaks. The highest peak is at age 24 showing 13,000 exits. The majority of these exits are from Working Age, followed by Studying. There is a spike in exits around age 35, driven by exits from Non IS Family and Working Age. &#10;&#10;Further discussion of the key features shown in the chart can be found in the accompanying text within the report. &#10;" title=" Summary of exits between June 2015 and June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520000" cy="1627551"/>
                          </a:xfrm>
                          <a:prstGeom prst="rect">
                            <a:avLst/>
                          </a:prstGeom>
                          <a:noFill/>
                          <a:ln>
                            <a:noFill/>
                          </a:ln>
                        </pic:spPr>
                      </pic:pic>
                    </a:graphicData>
                  </a:graphic>
                </wp:inline>
              </w:drawing>
            </w:r>
          </w:p>
        </w:tc>
        <w:tc>
          <w:tcPr>
            <w:tcW w:w="3969" w:type="dxa"/>
          </w:tcPr>
          <w:p w14:paraId="5CEAA529" w14:textId="77777777" w:rsidR="008E4328" w:rsidRPr="00EC326F" w:rsidRDefault="008E4328" w:rsidP="00B568BA">
            <w:pPr>
              <w:pStyle w:val="PwCNormal"/>
              <w:ind w:left="-60" w:right="-156"/>
            </w:pPr>
            <w:r w:rsidRPr="00EC326F">
              <w:rPr>
                <w:noProof/>
                <w:lang w:eastAsia="en-AU"/>
              </w:rPr>
              <w:drawing>
                <wp:inline distT="0" distB="0" distL="0" distR="0" wp14:anchorId="71B6ABB9" wp14:editId="0032A767">
                  <wp:extent cx="2520000" cy="1635876"/>
                  <wp:effectExtent l="0" t="0" r="0" b="2540"/>
                  <wp:docPr id="3139" name="Picture 3139" descr="The chart on the right for females shows a spike in exits around age 24, with approximately 12,000 exits. The majority of these exits are driven by exits from Studying followed by Working Age. There is a spike in exits around age 45 which is predominately driven by exits from Non IS Family. " title=" Summary of exits between June 2015 and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520000" cy="1635876"/>
                          </a:xfrm>
                          <a:prstGeom prst="rect">
                            <a:avLst/>
                          </a:prstGeom>
                          <a:noFill/>
                          <a:ln>
                            <a:noFill/>
                          </a:ln>
                        </pic:spPr>
                      </pic:pic>
                    </a:graphicData>
                  </a:graphic>
                </wp:inline>
              </w:drawing>
            </w:r>
          </w:p>
        </w:tc>
        <w:tc>
          <w:tcPr>
            <w:tcW w:w="2268" w:type="dxa"/>
          </w:tcPr>
          <w:p w14:paraId="30CF0683" w14:textId="77777777" w:rsidR="008E4328" w:rsidRPr="00EC326F" w:rsidRDefault="008E4328" w:rsidP="00B568BA">
            <w:pPr>
              <w:pStyle w:val="PwCNormal"/>
            </w:pPr>
            <w:r w:rsidRPr="00EC326F">
              <w:rPr>
                <w:noProof/>
                <w:lang w:eastAsia="en-AU"/>
              </w:rPr>
              <w:drawing>
                <wp:inline distT="0" distB="0" distL="0" distR="0" wp14:anchorId="78E6DF91" wp14:editId="645146D6">
                  <wp:extent cx="1224000" cy="1332000"/>
                  <wp:effectExtent l="0" t="0" r="0" b="1905"/>
                  <wp:docPr id="3117" name="Picture 3117" descr="Class key: studying, working age, parents, carers, disability support, pension age, non-income support family, non-income support carer, non-income support other, previous welfare recipient, rest of the Australian population and dead. " title="Class Key for Figure 100"/>
                  <wp:cNvGraphicFramePr/>
                  <a:graphic xmlns:a="http://schemas.openxmlformats.org/drawingml/2006/main">
                    <a:graphicData uri="http://schemas.openxmlformats.org/drawingml/2006/picture">
                      <pic:pic xmlns:pic="http://schemas.openxmlformats.org/drawingml/2006/picture">
                        <pic:nvPicPr>
                          <pic:cNvPr id="319" name="Picture 319" descr="Class keys: studying, working age, parents, carers, disability support, pension age, non-income support family, non-income support carer, non-income support other, previous welfare recipient, rest of the Australian population and dead. " title="Payment class key for figure 73 "/>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4000" cy="1332000"/>
                          </a:xfrm>
                          <a:prstGeom prst="rect">
                            <a:avLst/>
                          </a:prstGeom>
                          <a:noFill/>
                          <a:ln>
                            <a:noFill/>
                          </a:ln>
                        </pic:spPr>
                      </pic:pic>
                    </a:graphicData>
                  </a:graphic>
                </wp:inline>
              </w:drawing>
            </w:r>
          </w:p>
        </w:tc>
      </w:tr>
    </w:tbl>
    <w:p w14:paraId="6C2E523E" w14:textId="77777777" w:rsidR="00702377" w:rsidRPr="00EC326F" w:rsidRDefault="00702377" w:rsidP="00702377">
      <w:pPr>
        <w:pStyle w:val="PwCNormal"/>
        <w:numPr>
          <w:ilvl w:val="0"/>
          <w:numId w:val="0"/>
        </w:numPr>
      </w:pPr>
      <w:r w:rsidRPr="00EC326F">
        <w:t xml:space="preserve">We can see that the main classes from which people exit the system are Studying, Working Age and Non-IS Family (noting that most people who are on parenting payment will often transition to family tax benefit only (i.e. the family non IS class), before exiting the system). </w:t>
      </w:r>
    </w:p>
    <w:p w14:paraId="481607EA" w14:textId="77777777" w:rsidR="00702377" w:rsidRPr="00EC326F" w:rsidRDefault="00702377" w:rsidP="008E7403">
      <w:pPr>
        <w:pStyle w:val="PwCNormal"/>
        <w:numPr>
          <w:ilvl w:val="0"/>
          <w:numId w:val="0"/>
        </w:numPr>
      </w:pPr>
      <w:r w:rsidRPr="00EC326F">
        <w:t>These charts further illustrate the earlier observations that few people exit disability support pension, age pension or carer categories directly, other than by death.</w:t>
      </w:r>
    </w:p>
    <w:p w14:paraId="103A6B5C" w14:textId="77777777" w:rsidR="00702377" w:rsidRPr="00EC326F" w:rsidRDefault="00702377" w:rsidP="00702377">
      <w:pPr>
        <w:pStyle w:val="Heading3"/>
      </w:pPr>
      <w:bookmarkStart w:id="435" w:name="_Toc493844274"/>
      <w:r w:rsidRPr="00EC326F">
        <w:t>Trajectories through the system</w:t>
      </w:r>
      <w:bookmarkEnd w:id="435"/>
    </w:p>
    <w:p w14:paraId="2C35699C" w14:textId="77777777" w:rsidR="00702377" w:rsidRPr="002A0A1A" w:rsidRDefault="00702377" w:rsidP="00193295">
      <w:pPr>
        <w:pStyle w:val="PwCNormal-keepwithnext"/>
      </w:pPr>
      <w:r w:rsidRPr="00EC326F">
        <w:t xml:space="preserve">The expected future trajectory of people in each class can be summarised to a system-wide view for the 8.0 million current welfare recipients and 16.1 million people in the previous welfare recipient and the rest of the Australian population classes, as shown below. </w:t>
      </w:r>
    </w:p>
    <w:p w14:paraId="18216090" w14:textId="77777777" w:rsidR="00702377" w:rsidRPr="00EC326F" w:rsidRDefault="00702377" w:rsidP="00702377">
      <w:pPr>
        <w:pStyle w:val="Caption"/>
        <w:rPr>
          <w:lang w:eastAsia="en-AU"/>
        </w:rPr>
      </w:pPr>
      <w:r w:rsidRPr="00EC326F">
        <w:t xml:space="preserve">Figure </w:t>
      </w:r>
      <w:fldSimple w:instr=" SEQ Figure \* ARABIC ">
        <w:r w:rsidR="007A42DF">
          <w:rPr>
            <w:noProof/>
          </w:rPr>
          <w:t>101</w:t>
        </w:r>
      </w:fldSimple>
      <w:r w:rsidRPr="00EC326F">
        <w:t>: Expected trajectories of a) whole population b) current welfare recipients, and c) previous welfare recipients and the rest of the Australian population</w:t>
      </w:r>
    </w:p>
    <w:p w14:paraId="53823473" w14:textId="77777777" w:rsidR="00702377" w:rsidRDefault="00702377" w:rsidP="001A4479">
      <w:pPr>
        <w:pStyle w:val="PwCNormal"/>
        <w:keepNext/>
        <w:numPr>
          <w:ilvl w:val="0"/>
          <w:numId w:val="45"/>
        </w:numPr>
        <w:tabs>
          <w:tab w:val="left" w:pos="743"/>
        </w:tabs>
        <w:ind w:left="714" w:right="34" w:hanging="357"/>
        <w:rPr>
          <w:sz w:val="16"/>
          <w:szCs w:val="16"/>
          <w:lang w:eastAsia="en-AU"/>
        </w:rPr>
      </w:pPr>
      <w:r w:rsidRPr="00EC326F">
        <w:rPr>
          <w:sz w:val="16"/>
          <w:szCs w:val="16"/>
          <w:lang w:eastAsia="en-AU"/>
        </w:rPr>
        <w:t>Whole population</w:t>
      </w:r>
    </w:p>
    <w:tbl>
      <w:tblPr>
        <w:tblStyle w:val="TableGrid"/>
        <w:tblW w:w="0" w:type="auto"/>
        <w:tblInd w:w="3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Expected trajectories of a) whole population b) current welfare recipients, and c) previous welfare recipients and the rest of the Australian population"/>
        <w:tblDescription w:val="This text box contains three charts and a legend."/>
      </w:tblPr>
      <w:tblGrid>
        <w:gridCol w:w="6413"/>
        <w:gridCol w:w="3311"/>
      </w:tblGrid>
      <w:tr w:rsidR="00087048" w14:paraId="5B8F38FD" w14:textId="77777777" w:rsidTr="00087048">
        <w:trPr>
          <w:trHeight w:val="3425"/>
          <w:tblHeader/>
        </w:trPr>
        <w:tc>
          <w:tcPr>
            <w:tcW w:w="5040" w:type="dxa"/>
          </w:tcPr>
          <w:p w14:paraId="0473D653" w14:textId="74641A8D" w:rsidR="00087048" w:rsidRDefault="00087048" w:rsidP="00087048">
            <w:pPr>
              <w:pStyle w:val="PwCNormal"/>
              <w:keepNext/>
              <w:numPr>
                <w:ilvl w:val="0"/>
                <w:numId w:val="0"/>
              </w:numPr>
              <w:tabs>
                <w:tab w:val="left" w:pos="743"/>
              </w:tabs>
              <w:ind w:right="34"/>
              <w:rPr>
                <w:sz w:val="16"/>
                <w:szCs w:val="16"/>
                <w:lang w:eastAsia="en-AU"/>
              </w:rPr>
            </w:pPr>
            <w:r w:rsidRPr="00EC326F">
              <w:rPr>
                <w:noProof/>
                <w:lang w:eastAsia="en-AU"/>
              </w:rPr>
              <w:drawing>
                <wp:inline distT="0" distB="0" distL="0" distR="0" wp14:anchorId="3F5B9560" wp14:editId="66BA0BA2">
                  <wp:extent cx="3913589" cy="2160000"/>
                  <wp:effectExtent l="0" t="0" r="0" b="0"/>
                  <wp:docPr id="413" name="Picture 413" descr="The three charts in this figure are vertical bar charts. The horizontal axis for each chart shows the years 2016 to 2086. For each chart, the 70 vertical bars associated with each year are arranged side-by-side with no gaps to present a continuous time series image. The vertical axis for each chart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e first chart includes all 24,163,000 individuals in the model. The chart shows that just over 30% of individuals are currently in an active class. The proportion of the group in an active class is projected to decrease after 2035.&#10;&#10;The key features of these charts are discussed in the accompanying text within the report." title="Expected trajectories of who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913589" cy="2160000"/>
                          </a:xfrm>
                          <a:prstGeom prst="rect">
                            <a:avLst/>
                          </a:prstGeom>
                          <a:noFill/>
                          <a:ln>
                            <a:noFill/>
                          </a:ln>
                        </pic:spPr>
                      </pic:pic>
                    </a:graphicData>
                  </a:graphic>
                </wp:inline>
              </w:drawing>
            </w:r>
          </w:p>
        </w:tc>
        <w:tc>
          <w:tcPr>
            <w:tcW w:w="5041" w:type="dxa"/>
          </w:tcPr>
          <w:p w14:paraId="6AF1DBEE" w14:textId="531D80BB" w:rsidR="00087048" w:rsidRDefault="00087048" w:rsidP="00087048">
            <w:pPr>
              <w:pStyle w:val="PwCNormal"/>
              <w:keepNext/>
              <w:numPr>
                <w:ilvl w:val="0"/>
                <w:numId w:val="0"/>
              </w:numPr>
              <w:tabs>
                <w:tab w:val="left" w:pos="743"/>
              </w:tabs>
              <w:ind w:right="34"/>
              <w:rPr>
                <w:sz w:val="16"/>
                <w:szCs w:val="16"/>
                <w:lang w:eastAsia="en-AU"/>
              </w:rPr>
            </w:pPr>
            <w:r w:rsidRPr="00EC326F">
              <w:rPr>
                <w:noProof/>
                <w:lang w:eastAsia="en-AU"/>
              </w:rPr>
              <w:drawing>
                <wp:inline distT="0" distB="0" distL="0" distR="0" wp14:anchorId="2DE07B0C" wp14:editId="6C1318EF">
                  <wp:extent cx="1439545" cy="1591310"/>
                  <wp:effectExtent l="0" t="0" r="8255" b="8890"/>
                  <wp:docPr id="408" name="Picture 408" descr="Class key: studying, working age, parents, carers, disability support, pension age, non-income support family, non-income support carer, non-income support other, previous welfare recipient, rest of the Australian population and dead. " title="Class Key for Figure 101"/>
                  <wp:cNvGraphicFramePr/>
                  <a:graphic xmlns:a="http://schemas.openxmlformats.org/drawingml/2006/main">
                    <a:graphicData uri="http://schemas.openxmlformats.org/drawingml/2006/picture">
                      <pic:pic xmlns:pic="http://schemas.openxmlformats.org/drawingml/2006/picture">
                        <pic:nvPicPr>
                          <pic:cNvPr id="2072" name="Picture 2072" descr="Class keys: studying, working age, parents, carers, disability support, pension age, non-income support family, non-income support carer, non-income support other, previous welfare recipient, rest of the Australian population and dead. " title="Payment class key for Figure 9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591310"/>
                          </a:xfrm>
                          <a:prstGeom prst="rect">
                            <a:avLst/>
                          </a:prstGeom>
                          <a:noFill/>
                          <a:ln>
                            <a:noFill/>
                          </a:ln>
                        </pic:spPr>
                      </pic:pic>
                    </a:graphicData>
                  </a:graphic>
                </wp:inline>
              </w:drawing>
            </w:r>
          </w:p>
        </w:tc>
      </w:tr>
    </w:tbl>
    <w:p w14:paraId="45230C33" w14:textId="50A377F6" w:rsidR="00702377" w:rsidRPr="00EC326F" w:rsidRDefault="00702377" w:rsidP="00702377">
      <w:pPr>
        <w:pStyle w:val="PwCNormal"/>
        <w:numPr>
          <w:ilvl w:val="0"/>
          <w:numId w:val="0"/>
        </w:numPr>
        <w:rPr>
          <w:lang w:eastAsia="en-AU"/>
        </w:rPr>
      </w:pPr>
    </w:p>
    <w:p w14:paraId="6C97D3FF" w14:textId="77777777" w:rsidR="00702377" w:rsidRPr="00EC326F" w:rsidRDefault="00702377" w:rsidP="005B4509">
      <w:pPr>
        <w:pStyle w:val="PwCNormal"/>
        <w:keepNext/>
        <w:numPr>
          <w:ilvl w:val="0"/>
          <w:numId w:val="45"/>
        </w:numPr>
        <w:tabs>
          <w:tab w:val="left" w:pos="743"/>
        </w:tabs>
        <w:ind w:left="714" w:right="34" w:hanging="357"/>
        <w:rPr>
          <w:sz w:val="16"/>
          <w:szCs w:val="16"/>
          <w:lang w:eastAsia="en-AU"/>
        </w:rPr>
      </w:pPr>
      <w:r w:rsidRPr="00EC326F">
        <w:rPr>
          <w:sz w:val="16"/>
          <w:szCs w:val="16"/>
          <w:lang w:eastAsia="en-AU"/>
        </w:rPr>
        <w:lastRenderedPageBreak/>
        <w:t>Current welfare recipients</w:t>
      </w:r>
    </w:p>
    <w:p w14:paraId="17ACC4D1" w14:textId="77777777" w:rsidR="00702377" w:rsidRPr="00EC326F" w:rsidRDefault="00702377" w:rsidP="00702377">
      <w:pPr>
        <w:pStyle w:val="PwCNormal"/>
        <w:numPr>
          <w:ilvl w:val="0"/>
          <w:numId w:val="0"/>
        </w:numPr>
      </w:pPr>
      <w:r w:rsidRPr="00EC326F">
        <w:rPr>
          <w:noProof/>
          <w:lang w:eastAsia="en-AU"/>
        </w:rPr>
        <w:drawing>
          <wp:inline distT="0" distB="0" distL="0" distR="0" wp14:anchorId="59E36F02" wp14:editId="0A14428A">
            <wp:extent cx="3913589" cy="2160000"/>
            <wp:effectExtent l="0" t="0" r="0" b="0"/>
            <wp:docPr id="1046" name="Picture 1046" descr="The second chart includes the 8,047,000 individuals who were in an active class at 30 June 2016. The chart shows that around 55% of current welfare recipients are expected to have exited the payments system by 2036, including exits due to death. Around 20% of the group are expected to be receiving age pension by 2036. The most common other active classes for this group in 2036 are working age, disability support and the non-income support family class" title="Expected trajectories of current welfare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913589" cy="2160000"/>
                    </a:xfrm>
                    <a:prstGeom prst="rect">
                      <a:avLst/>
                    </a:prstGeom>
                    <a:noFill/>
                    <a:ln>
                      <a:noFill/>
                    </a:ln>
                  </pic:spPr>
                </pic:pic>
              </a:graphicData>
            </a:graphic>
          </wp:inline>
        </w:drawing>
      </w:r>
    </w:p>
    <w:p w14:paraId="5A073E0C" w14:textId="77777777" w:rsidR="00702377" w:rsidRPr="00EC326F" w:rsidRDefault="00702377" w:rsidP="001A4479">
      <w:pPr>
        <w:pStyle w:val="PwCNormal"/>
        <w:keepNext/>
        <w:numPr>
          <w:ilvl w:val="0"/>
          <w:numId w:val="45"/>
        </w:numPr>
        <w:tabs>
          <w:tab w:val="left" w:pos="743"/>
        </w:tabs>
        <w:ind w:left="714" w:right="34" w:hanging="357"/>
        <w:rPr>
          <w:sz w:val="16"/>
          <w:szCs w:val="16"/>
          <w:lang w:eastAsia="en-AU"/>
        </w:rPr>
      </w:pPr>
      <w:r w:rsidRPr="00EC326F">
        <w:rPr>
          <w:sz w:val="16"/>
          <w:szCs w:val="16"/>
          <w:lang w:eastAsia="en-AU"/>
        </w:rPr>
        <w:t xml:space="preserve">Previous welfare </w:t>
      </w:r>
      <w:r w:rsidR="008536E9" w:rsidRPr="00EC326F">
        <w:rPr>
          <w:sz w:val="16"/>
          <w:szCs w:val="16"/>
          <w:lang w:eastAsia="en-AU"/>
        </w:rPr>
        <w:t>recipients</w:t>
      </w:r>
      <w:r w:rsidRPr="00EC326F">
        <w:rPr>
          <w:sz w:val="16"/>
          <w:szCs w:val="16"/>
          <w:lang w:eastAsia="en-AU"/>
        </w:rPr>
        <w:t xml:space="preserve"> and rest of Aust. population</w:t>
      </w:r>
    </w:p>
    <w:p w14:paraId="62E42E12" w14:textId="77777777" w:rsidR="00702377" w:rsidRPr="00EC326F" w:rsidRDefault="00702377" w:rsidP="00702377">
      <w:pPr>
        <w:pStyle w:val="PwCNormal"/>
        <w:numPr>
          <w:ilvl w:val="0"/>
          <w:numId w:val="0"/>
        </w:numPr>
        <w:rPr>
          <w:lang w:eastAsia="en-AU"/>
        </w:rPr>
      </w:pPr>
      <w:r w:rsidRPr="00EC326F">
        <w:rPr>
          <w:noProof/>
          <w:lang w:eastAsia="en-AU"/>
        </w:rPr>
        <w:drawing>
          <wp:inline distT="0" distB="0" distL="0" distR="0" wp14:anchorId="317F90ED" wp14:editId="0FE41873">
            <wp:extent cx="3913589" cy="2160000"/>
            <wp:effectExtent l="0" t="0" r="0" b="0"/>
            <wp:docPr id="1047" name="Picture 1047" descr="The third chart includes the 16,116,000 individuals who were in classes 10 or 12 at 30 June 2016. The chart shows that around 25% of this group are expected to be in an active class in 10 years’ time, with working age, non-income support family and the pension age being the most common classes. Around 40% of this group are expected to be in an active class in 2046. The proportion of people projected to be in the working age, parents, carers and disability support classes increases between 2016 and around 2033 and then decreases over time from 2033 onward. The proportion of this group who are projected to receive the age pension increases over time from 2016 to 2081." title="Expected trajectories of previous welfare recipients and the rest of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913589" cy="2160000"/>
                    </a:xfrm>
                    <a:prstGeom prst="rect">
                      <a:avLst/>
                    </a:prstGeom>
                    <a:noFill/>
                    <a:ln>
                      <a:noFill/>
                    </a:ln>
                  </pic:spPr>
                </pic:pic>
              </a:graphicData>
            </a:graphic>
          </wp:inline>
        </w:drawing>
      </w:r>
    </w:p>
    <w:p w14:paraId="66C84EF7" w14:textId="77777777" w:rsidR="00702377" w:rsidRPr="00EC326F" w:rsidRDefault="00702377" w:rsidP="00702377">
      <w:pPr>
        <w:pStyle w:val="PwCNormal"/>
        <w:numPr>
          <w:ilvl w:val="0"/>
          <w:numId w:val="0"/>
        </w:numPr>
      </w:pPr>
      <w:r w:rsidRPr="00EC326F">
        <w:t xml:space="preserve">Much of the shape of these charts is determined by the design of the payment system and the demographics of the welfare recipient population. </w:t>
      </w:r>
    </w:p>
    <w:p w14:paraId="2D8A3F2F" w14:textId="61C2228F" w:rsidR="00702377" w:rsidRPr="00EC326F" w:rsidRDefault="003335E9" w:rsidP="001A4479">
      <w:pPr>
        <w:pStyle w:val="PwCNormal"/>
        <w:numPr>
          <w:ilvl w:val="0"/>
          <w:numId w:val="37"/>
        </w:numPr>
      </w:pPr>
      <w:r w:rsidRPr="003335E9">
        <w:fldChar w:fldCharType="begin"/>
      </w:r>
      <w:r w:rsidRPr="003335E9">
        <w:instrText xml:space="preserve"> REF _Ref466494380 \h  \* MERGEFORMAT </w:instrText>
      </w:r>
      <w:r w:rsidRPr="003335E9">
        <w:fldChar w:fldCharType="separate"/>
      </w:r>
      <w:r w:rsidR="007A42DF" w:rsidRPr="00EC326F">
        <w:t xml:space="preserve">Figure </w:t>
      </w:r>
      <w:r w:rsidR="007A42DF">
        <w:rPr>
          <w:noProof/>
        </w:rPr>
        <w:t>22</w:t>
      </w:r>
      <w:r w:rsidRPr="003335E9">
        <w:fldChar w:fldCharType="end"/>
      </w:r>
      <w:r w:rsidRPr="003335E9">
        <w:t xml:space="preserve"> </w:t>
      </w:r>
      <w:r w:rsidR="00702377" w:rsidRPr="003335E9">
        <w:t>provided an overview of which parts of the overall Australian population are reflected in the current welfare recipient</w:t>
      </w:r>
      <w:r w:rsidR="00702377" w:rsidRPr="00EC326F">
        <w:t xml:space="preserve"> group. Not surprisingly in this group there is high utilisation of people above pension age and also of people of parenting age with lower utilisation at other ages. The charts show this as they provide an indication that:</w:t>
      </w:r>
    </w:p>
    <w:p w14:paraId="2BA6C5AB" w14:textId="77777777" w:rsidR="00702377" w:rsidRPr="00EC326F" w:rsidRDefault="00702377" w:rsidP="00702377">
      <w:pPr>
        <w:pStyle w:val="ListBullet"/>
      </w:pPr>
      <w:r w:rsidRPr="00EC326F">
        <w:t>Many current welfare recipients exit for a period and then return later as they retire (as evidenced by the previous welfare recipient group in the second chart increasing and then declining in size).</w:t>
      </w:r>
    </w:p>
    <w:p w14:paraId="37F9F18F" w14:textId="77777777" w:rsidR="00702377" w:rsidRPr="00EC326F" w:rsidRDefault="00702377" w:rsidP="00702377">
      <w:pPr>
        <w:pStyle w:val="ListBullet"/>
      </w:pPr>
      <w:r w:rsidRPr="00EC326F">
        <w:t>Numbers of people in the parenting and family non IS classes reduce relatively quickly.</w:t>
      </w:r>
    </w:p>
    <w:p w14:paraId="0AB4DCE2" w14:textId="77777777" w:rsidR="00702377" w:rsidRPr="00532267" w:rsidRDefault="00702377" w:rsidP="00702377">
      <w:pPr>
        <w:pStyle w:val="ListBullet"/>
      </w:pPr>
      <w:r w:rsidRPr="00532267">
        <w:t xml:space="preserve">The size of the age pension band first shrinks a little and then increases again as the current parents retire.  </w:t>
      </w:r>
    </w:p>
    <w:p w14:paraId="578A8D16" w14:textId="77777777" w:rsidR="00702377" w:rsidRPr="00EC326F" w:rsidRDefault="00702377" w:rsidP="00702377">
      <w:pPr>
        <w:pStyle w:val="PwCNormal"/>
        <w:numPr>
          <w:ilvl w:val="0"/>
          <w:numId w:val="0"/>
        </w:numPr>
      </w:pPr>
      <w:r w:rsidRPr="00532267">
        <w:t xml:space="preserve">Turning now to consider the previous welfare recipients and the rest of the Australian population group: around 30% of </w:t>
      </w:r>
      <w:r w:rsidR="0066440E" w:rsidRPr="00532267">
        <w:t>this group of</w:t>
      </w:r>
      <w:r w:rsidRPr="00532267">
        <w:t xml:space="preserve"> people are expected to become current welfare recipients over the next 15 years. Many of the older people</w:t>
      </w:r>
      <w:r w:rsidRPr="00EC326F">
        <w:t xml:space="preserve"> in this group will retire and draw pensions and for the younger people there will be a material propensity to utilise working age and family payments as well as smaller likelihoods of receiving other types of support.</w:t>
      </w:r>
    </w:p>
    <w:p w14:paraId="79536DAA" w14:textId="77777777" w:rsidR="0066440E" w:rsidRPr="00EC326F" w:rsidRDefault="00702377" w:rsidP="00702377">
      <w:pPr>
        <w:pStyle w:val="PwCNormal"/>
        <w:numPr>
          <w:ilvl w:val="0"/>
          <w:numId w:val="0"/>
        </w:numPr>
      </w:pPr>
      <w:r w:rsidRPr="00EC326F">
        <w:t>Overall, the extended duration of the supports being provided and the smoothness of the patterns stand out, highlighting the challenge of changing these patterns over time. Despite this, there are likely to be targeted interventions that can make small changes to the likelihoods of people following certain trajectories that cumulate to make a significant difference to their life outcomes.</w:t>
      </w:r>
    </w:p>
    <w:p w14:paraId="10A30973" w14:textId="77777777" w:rsidR="00702377" w:rsidRPr="002A0A1A" w:rsidRDefault="00702377" w:rsidP="00702377">
      <w:pPr>
        <w:pStyle w:val="PwCNormal"/>
        <w:numPr>
          <w:ilvl w:val="0"/>
          <w:numId w:val="0"/>
        </w:numPr>
      </w:pPr>
    </w:p>
    <w:p w14:paraId="59AE2976" w14:textId="77777777" w:rsidR="00702377" w:rsidRPr="002A0A1A" w:rsidRDefault="00702377" w:rsidP="00702377">
      <w:pPr>
        <w:pStyle w:val="PwCNormal"/>
        <w:numPr>
          <w:ilvl w:val="0"/>
          <w:numId w:val="0"/>
        </w:numPr>
        <w:sectPr w:rsidR="00702377" w:rsidRPr="002A0A1A" w:rsidSect="00CC5ACB">
          <w:footerReference w:type="first" r:id="rId187"/>
          <w:pgSz w:w="11907" w:h="16840" w:code="9"/>
          <w:pgMar w:top="1588" w:right="1021" w:bottom="1418" w:left="1021" w:header="567" w:footer="567" w:gutter="0"/>
          <w:cols w:space="227"/>
          <w:docGrid w:linePitch="360"/>
        </w:sectPr>
      </w:pPr>
    </w:p>
    <w:p w14:paraId="097985E9" w14:textId="77777777" w:rsidR="00CA1CE4" w:rsidRPr="00EC326F" w:rsidRDefault="00823090" w:rsidP="00823090">
      <w:pPr>
        <w:pStyle w:val="Heading2"/>
      </w:pPr>
      <w:bookmarkStart w:id="436" w:name="_Toc493844275"/>
      <w:r w:rsidRPr="00EC326F">
        <w:lastRenderedPageBreak/>
        <w:t>Forecasts</w:t>
      </w:r>
      <w:bookmarkEnd w:id="436"/>
    </w:p>
    <w:p w14:paraId="161300A8" w14:textId="77777777" w:rsidR="009E3452" w:rsidRPr="00EC326F" w:rsidRDefault="009E3452" w:rsidP="009C3B0C">
      <w:pPr>
        <w:pStyle w:val="Heading3"/>
      </w:pPr>
      <w:bookmarkStart w:id="437" w:name="_Toc493844276"/>
      <w:r w:rsidRPr="00EC326F">
        <w:t>Lifetime cost forecasts</w:t>
      </w:r>
      <w:bookmarkEnd w:id="428"/>
      <w:bookmarkEnd w:id="429"/>
      <w:bookmarkEnd w:id="437"/>
      <w:r w:rsidRPr="00EC326F">
        <w:t xml:space="preserve"> </w:t>
      </w:r>
    </w:p>
    <w:p w14:paraId="720CEBAB" w14:textId="77777777" w:rsidR="003C6DF7" w:rsidRPr="00EC326F" w:rsidRDefault="003C6DF7" w:rsidP="003C6DF7">
      <w:pPr>
        <w:pStyle w:val="PwCNormal"/>
        <w:keepNext/>
        <w:numPr>
          <w:ilvl w:val="0"/>
          <w:numId w:val="1"/>
        </w:numPr>
      </w:pPr>
      <w:r w:rsidRPr="00EC326F">
        <w:t>Lifetime cost forecasts are expectations of lifetime cost at future valuation dates. They provide useful benchmarks for future years’ valuations. As each subsequent valuation is performed, the differences to the benchmark can be examined to understand how the lifetime cost results differ from expectations.</w:t>
      </w:r>
    </w:p>
    <w:p w14:paraId="74B9F9A0" w14:textId="77777777" w:rsidR="003C6DF7" w:rsidRPr="00EC326F" w:rsidRDefault="003C6DF7" w:rsidP="003C6DF7">
      <w:pPr>
        <w:pStyle w:val="PwCNormal"/>
        <w:numPr>
          <w:ilvl w:val="0"/>
          <w:numId w:val="1"/>
        </w:numPr>
      </w:pPr>
      <w:r w:rsidRPr="00EC326F">
        <w:t xml:space="preserve">Some changes in the valuation results will arise from changes in the experience (either numbers of people in the welfare system or the levels of payment being different to expected); others may be the result of refinements to the methodology or model structure or changes in the assumptions. The changes can be examined further to see whether the underlying causes are factors outside of the control of the Department (such as demographic or economic factors) or those within its control. </w:t>
      </w:r>
    </w:p>
    <w:p w14:paraId="1DAA6EBB" w14:textId="77777777" w:rsidR="003C6DF7" w:rsidRPr="00EC326F" w:rsidRDefault="003C6DF7" w:rsidP="003C6DF7">
      <w:pPr>
        <w:pStyle w:val="PwCNormal"/>
        <w:numPr>
          <w:ilvl w:val="0"/>
          <w:numId w:val="1"/>
        </w:numPr>
      </w:pPr>
      <w:r w:rsidRPr="00EC326F">
        <w:t>The approach for developing the lifetime cost forecasts is illustrated below.</w:t>
      </w:r>
    </w:p>
    <w:p w14:paraId="2E66BC4C" w14:textId="77777777" w:rsidR="003C6DF7" w:rsidRPr="00EC326F" w:rsidRDefault="003C6DF7" w:rsidP="003C6DF7">
      <w:pPr>
        <w:pStyle w:val="Caption"/>
      </w:pPr>
      <w:r w:rsidRPr="00EC326F">
        <w:t xml:space="preserve">Figure </w:t>
      </w:r>
      <w:fldSimple w:instr=" SEQ Figure \* ARABIC ">
        <w:r w:rsidR="007A42DF">
          <w:rPr>
            <w:noProof/>
          </w:rPr>
          <w:t>102</w:t>
        </w:r>
      </w:fldSimple>
      <w:r w:rsidRPr="00EC326F">
        <w:t>: Development of lifetime cost forecasts</w:t>
      </w:r>
    </w:p>
    <w:p w14:paraId="36528A93" w14:textId="77777777" w:rsidR="006C2660" w:rsidRPr="002A0A1A" w:rsidRDefault="006C2660" w:rsidP="006C2660">
      <w:r w:rsidRPr="00EC326F">
        <w:rPr>
          <w:noProof/>
          <w:lang w:eastAsia="en-AU"/>
        </w:rPr>
        <w:drawing>
          <wp:inline distT="0" distB="0" distL="0" distR="0" wp14:anchorId="2045AD30" wp14:editId="21F4DEB2">
            <wp:extent cx="3830400" cy="3276000"/>
            <wp:effectExtent l="0" t="0" r="0" b="635"/>
            <wp:docPr id="3086" name="Picture 3086" descr="This figure contains 2 diagrams which are timelines showing projected payments by payment year. The top diagram shows how the lifetime cost is determined at the valuation date on the 30th of June 2016. The bottom diagram shows how the forecast lifetime cost as at 30th of June 2017 is determined.&#10;&#10;The top diagram shows the lifetime cost at 30 June 2016 is taken as the net present value at 30 June 2016 of all future annual payments.&#10;&#10;The bottom diagram shows the forecast lifetime cost at 30 June 2017 is taken as the net present value at 30 June 2017 of the same future annual payments, excluding the annual payments up to 30 June 2017.&#10;" title=" Development of lifetime cost foreca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30400" cy="3276000"/>
                    </a:xfrm>
                    <a:prstGeom prst="rect">
                      <a:avLst/>
                    </a:prstGeom>
                    <a:noFill/>
                    <a:ln>
                      <a:noFill/>
                    </a:ln>
                  </pic:spPr>
                </pic:pic>
              </a:graphicData>
            </a:graphic>
          </wp:inline>
        </w:drawing>
      </w:r>
    </w:p>
    <w:p w14:paraId="179AF083" w14:textId="77777777" w:rsidR="003C6DF7" w:rsidRPr="00EC326F" w:rsidRDefault="00E60424" w:rsidP="003C6DF7">
      <w:pPr>
        <w:pStyle w:val="PwCNormal"/>
        <w:numPr>
          <w:ilvl w:val="0"/>
          <w:numId w:val="1"/>
        </w:numPr>
      </w:pPr>
      <w:r w:rsidRPr="00EC326F">
        <w:t xml:space="preserve">Based on the current valuation we have developed a partial </w:t>
      </w:r>
      <w:r w:rsidR="003C6DF7" w:rsidRPr="00EC326F">
        <w:t>forecast</w:t>
      </w:r>
      <w:r w:rsidRPr="00EC326F">
        <w:t xml:space="preserve"> of</w:t>
      </w:r>
      <w:r w:rsidR="003C6DF7" w:rsidRPr="00EC326F">
        <w:t xml:space="preserve"> lifetime cost at 30 June 2017 for the </w:t>
      </w:r>
      <w:r w:rsidRPr="00EC326F">
        <w:t xml:space="preserve">people in the </w:t>
      </w:r>
      <w:r w:rsidR="003C6DF7" w:rsidRPr="00EC326F">
        <w:t>30</w:t>
      </w:r>
      <w:r w:rsidRPr="00EC326F">
        <w:t> </w:t>
      </w:r>
      <w:r w:rsidR="003C6DF7" w:rsidRPr="00EC326F">
        <w:t>June</w:t>
      </w:r>
      <w:r w:rsidRPr="00EC326F">
        <w:t> </w:t>
      </w:r>
      <w:r w:rsidR="003C6DF7" w:rsidRPr="00EC326F">
        <w:t>2016 population</w:t>
      </w:r>
      <w:r w:rsidRPr="00EC326F">
        <w:t xml:space="preserve"> who survive to the next valuation. This forecasts</w:t>
      </w:r>
      <w:r w:rsidR="003C6DF7" w:rsidRPr="00EC326F">
        <w:t xml:space="preserve"> is as follows:</w:t>
      </w:r>
    </w:p>
    <w:p w14:paraId="2E099387" w14:textId="77777777" w:rsidR="003C6DF7" w:rsidRPr="00EC326F" w:rsidRDefault="003C6DF7" w:rsidP="003C6DF7">
      <w:pPr>
        <w:pStyle w:val="Caption"/>
      </w:pPr>
      <w:r w:rsidRPr="00EC326F">
        <w:t xml:space="preserve">Table </w:t>
      </w:r>
      <w:fldSimple w:instr=" SEQ Table \* ARABIC ">
        <w:r w:rsidR="007A42DF">
          <w:rPr>
            <w:noProof/>
          </w:rPr>
          <w:t>50</w:t>
        </w:r>
      </w:fldSimple>
      <w:r w:rsidRPr="00EC326F">
        <w:t>: Lifetime cost forecast</w:t>
      </w:r>
    </w:p>
    <w:tbl>
      <w:tblPr>
        <w:tblStyle w:val="Tables-APBase"/>
        <w:tblW w:w="55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Lifetime cost forecast&#10;"/>
        <w:tblDescription w:val="This table shows the difference between lifetime cost for 30 June 2016 and forecasted lifetime costs for 30 June 2017. At 30 June 2016, the cost is $4,514 billion. From this the expected expenditure of $122 billion in 2016/17 is subtracted, and an adjustment for discounting of $271 billion is added. This gives an expected lifetime cost of $4,662 billion at 30 June 2017."/>
      </w:tblPr>
      <w:tblGrid>
        <w:gridCol w:w="4111"/>
        <w:gridCol w:w="1413"/>
      </w:tblGrid>
      <w:tr w:rsidR="003C6DF7" w:rsidRPr="00EC326F" w14:paraId="21DD9411" w14:textId="77777777" w:rsidTr="0094767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111" w:type="dxa"/>
            <w:shd w:val="clear" w:color="auto" w:fill="E0301E"/>
          </w:tcPr>
          <w:p w14:paraId="406D75E3" w14:textId="77777777" w:rsidR="003C6DF7" w:rsidRPr="00EC326F" w:rsidRDefault="003C6DF7" w:rsidP="006C2660">
            <w:pPr>
              <w:keepNext/>
              <w:spacing w:before="40" w:after="40"/>
              <w:rPr>
                <w:color w:val="FFFFFF" w:themeColor="background1"/>
                <w:sz w:val="16"/>
                <w:szCs w:val="18"/>
              </w:rPr>
            </w:pPr>
            <w:r w:rsidRPr="00EC326F">
              <w:rPr>
                <w:color w:val="FFFFFF" w:themeColor="background1"/>
                <w:sz w:val="16"/>
                <w:szCs w:val="18"/>
              </w:rPr>
              <w:t>Item</w:t>
            </w:r>
          </w:p>
        </w:tc>
        <w:tc>
          <w:tcPr>
            <w:tcW w:w="1413" w:type="dxa"/>
            <w:shd w:val="clear" w:color="auto" w:fill="E0301E"/>
          </w:tcPr>
          <w:p w14:paraId="4250691F" w14:textId="77777777" w:rsidR="003C6DF7" w:rsidRPr="00EC326F" w:rsidRDefault="003C6DF7" w:rsidP="006C2660">
            <w:pPr>
              <w:keepNext/>
              <w:spacing w:before="40" w:after="4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8"/>
              </w:rPr>
            </w:pPr>
            <w:r w:rsidRPr="00EC326F">
              <w:rPr>
                <w:color w:val="FFFFFF" w:themeColor="background1"/>
                <w:sz w:val="16"/>
                <w:szCs w:val="18"/>
              </w:rPr>
              <w:t>Amount ($bn)</w:t>
            </w:r>
          </w:p>
        </w:tc>
      </w:tr>
      <w:tr w:rsidR="003C6DF7" w:rsidRPr="00EC326F" w14:paraId="5F58B4B7" w14:textId="77777777" w:rsidTr="0094767F">
        <w:tc>
          <w:tcPr>
            <w:tcW w:w="4111" w:type="dxa"/>
            <w:tcBorders>
              <w:bottom w:val="single" w:sz="4" w:space="0" w:color="E0301E"/>
            </w:tcBorders>
            <w:shd w:val="clear" w:color="auto" w:fill="FFFFFF" w:themeFill="background1"/>
          </w:tcPr>
          <w:p w14:paraId="4C8626CB" w14:textId="77777777" w:rsidR="003C6DF7" w:rsidRPr="00EC326F" w:rsidRDefault="003C6DF7" w:rsidP="006C2660">
            <w:pPr>
              <w:keepNext/>
              <w:tabs>
                <w:tab w:val="center" w:pos="1168"/>
              </w:tabs>
              <w:spacing w:before="40" w:after="40"/>
              <w:rPr>
                <w:color w:val="000000" w:themeColor="text1"/>
                <w:sz w:val="16"/>
                <w:szCs w:val="18"/>
              </w:rPr>
            </w:pPr>
            <w:r w:rsidRPr="00EC326F">
              <w:rPr>
                <w:color w:val="000000" w:themeColor="text1"/>
                <w:sz w:val="16"/>
                <w:szCs w:val="18"/>
              </w:rPr>
              <w:t>Lifetime cost at 30 June 2016</w:t>
            </w:r>
          </w:p>
        </w:tc>
        <w:tc>
          <w:tcPr>
            <w:tcW w:w="1413" w:type="dxa"/>
            <w:tcBorders>
              <w:bottom w:val="single" w:sz="4" w:space="0" w:color="E0301E"/>
            </w:tcBorders>
            <w:shd w:val="clear" w:color="auto" w:fill="FFFFFF" w:themeFill="background1"/>
          </w:tcPr>
          <w:p w14:paraId="518B12AF" w14:textId="6FB4BA5D" w:rsidR="003C6DF7" w:rsidRPr="00EC326F" w:rsidRDefault="00097678" w:rsidP="00895DD6">
            <w:pPr>
              <w:keepNext/>
              <w:spacing w:before="40" w:after="40"/>
              <w:jc w:val="center"/>
              <w:rPr>
                <w:color w:val="000000" w:themeColor="text1"/>
                <w:sz w:val="16"/>
                <w:szCs w:val="18"/>
              </w:rPr>
            </w:pPr>
            <w:r w:rsidRPr="00EC326F">
              <w:rPr>
                <w:color w:val="000000" w:themeColor="text1"/>
                <w:sz w:val="16"/>
                <w:szCs w:val="18"/>
              </w:rPr>
              <w:t>4</w:t>
            </w:r>
            <w:r w:rsidR="003C6DF7" w:rsidRPr="00EC326F">
              <w:rPr>
                <w:color w:val="000000" w:themeColor="text1"/>
                <w:sz w:val="16"/>
                <w:szCs w:val="18"/>
              </w:rPr>
              <w:t>,</w:t>
            </w:r>
            <w:r w:rsidRPr="00EC326F">
              <w:rPr>
                <w:color w:val="000000" w:themeColor="text1"/>
                <w:sz w:val="16"/>
                <w:szCs w:val="18"/>
              </w:rPr>
              <w:t>51</w:t>
            </w:r>
            <w:r w:rsidR="00895DD6">
              <w:rPr>
                <w:color w:val="000000" w:themeColor="text1"/>
                <w:sz w:val="16"/>
                <w:szCs w:val="18"/>
              </w:rPr>
              <w:t>4</w:t>
            </w:r>
          </w:p>
        </w:tc>
      </w:tr>
      <w:tr w:rsidR="003C6DF7" w:rsidRPr="00EC326F" w14:paraId="25F68DBC" w14:textId="77777777" w:rsidTr="0094767F">
        <w:tc>
          <w:tcPr>
            <w:tcW w:w="4111" w:type="dxa"/>
            <w:tcBorders>
              <w:top w:val="single" w:sz="4" w:space="0" w:color="E0301E"/>
            </w:tcBorders>
          </w:tcPr>
          <w:p w14:paraId="6919B4F5" w14:textId="77777777" w:rsidR="003C6DF7" w:rsidRPr="00EC326F" w:rsidRDefault="003C6DF7" w:rsidP="006C2660">
            <w:pPr>
              <w:keepNext/>
              <w:spacing w:before="40" w:after="40"/>
              <w:rPr>
                <w:color w:val="000000" w:themeColor="text1"/>
                <w:sz w:val="16"/>
                <w:szCs w:val="18"/>
              </w:rPr>
            </w:pPr>
            <w:r w:rsidRPr="00EC326F">
              <w:rPr>
                <w:color w:val="000000" w:themeColor="text1"/>
                <w:sz w:val="16"/>
                <w:szCs w:val="18"/>
              </w:rPr>
              <w:t>Adjustments:</w:t>
            </w:r>
          </w:p>
        </w:tc>
        <w:tc>
          <w:tcPr>
            <w:tcW w:w="1413" w:type="dxa"/>
            <w:tcBorders>
              <w:top w:val="single" w:sz="4" w:space="0" w:color="E0301E"/>
            </w:tcBorders>
          </w:tcPr>
          <w:p w14:paraId="1A400B19" w14:textId="77777777" w:rsidR="003C6DF7" w:rsidRPr="00EC326F" w:rsidRDefault="003C6DF7" w:rsidP="006C2660">
            <w:pPr>
              <w:keepNext/>
              <w:spacing w:before="40" w:after="40"/>
              <w:jc w:val="center"/>
              <w:rPr>
                <w:color w:val="000000" w:themeColor="text1"/>
                <w:sz w:val="16"/>
                <w:szCs w:val="18"/>
              </w:rPr>
            </w:pPr>
          </w:p>
        </w:tc>
      </w:tr>
      <w:tr w:rsidR="003C6DF7" w:rsidRPr="00EC326F" w14:paraId="41A7F7B5" w14:textId="77777777" w:rsidTr="0094767F">
        <w:tc>
          <w:tcPr>
            <w:tcW w:w="4111" w:type="dxa"/>
          </w:tcPr>
          <w:p w14:paraId="7EA81BFE" w14:textId="77777777" w:rsidR="003C6DF7" w:rsidRPr="00EC326F" w:rsidRDefault="003C6DF7" w:rsidP="006C2660">
            <w:pPr>
              <w:keepNext/>
              <w:spacing w:before="40" w:after="40"/>
              <w:ind w:left="284"/>
              <w:rPr>
                <w:color w:val="000000" w:themeColor="text1"/>
                <w:sz w:val="16"/>
                <w:szCs w:val="18"/>
              </w:rPr>
            </w:pPr>
            <w:r w:rsidRPr="00EC326F">
              <w:rPr>
                <w:i/>
                <w:color w:val="000000" w:themeColor="text1"/>
                <w:sz w:val="16"/>
                <w:szCs w:val="18"/>
              </w:rPr>
              <w:t>less</w:t>
            </w:r>
            <w:r w:rsidRPr="00EC326F">
              <w:rPr>
                <w:color w:val="000000" w:themeColor="text1"/>
                <w:sz w:val="16"/>
                <w:szCs w:val="18"/>
              </w:rPr>
              <w:t xml:space="preserve"> expected expenditure in 2016/17</w:t>
            </w:r>
          </w:p>
        </w:tc>
        <w:tc>
          <w:tcPr>
            <w:tcW w:w="1413" w:type="dxa"/>
          </w:tcPr>
          <w:p w14:paraId="1246D00B" w14:textId="035E69A4" w:rsidR="003C6DF7" w:rsidRPr="00EC326F" w:rsidRDefault="003C6DF7" w:rsidP="00895DD6">
            <w:pPr>
              <w:keepNext/>
              <w:spacing w:before="40" w:after="40"/>
              <w:jc w:val="center"/>
              <w:rPr>
                <w:color w:val="000000" w:themeColor="text1"/>
                <w:sz w:val="16"/>
                <w:szCs w:val="18"/>
              </w:rPr>
            </w:pPr>
            <w:r w:rsidRPr="00EC326F">
              <w:rPr>
                <w:color w:val="000000" w:themeColor="text1"/>
                <w:sz w:val="16"/>
                <w:szCs w:val="18"/>
              </w:rPr>
              <w:t>-</w:t>
            </w:r>
            <w:r w:rsidR="00097678" w:rsidRPr="00EC326F">
              <w:rPr>
                <w:color w:val="000000" w:themeColor="text1"/>
                <w:sz w:val="16"/>
                <w:szCs w:val="18"/>
              </w:rPr>
              <w:t>12</w:t>
            </w:r>
            <w:r w:rsidR="00895DD6">
              <w:rPr>
                <w:color w:val="000000" w:themeColor="text1"/>
                <w:sz w:val="16"/>
                <w:szCs w:val="18"/>
              </w:rPr>
              <w:t>2</w:t>
            </w:r>
          </w:p>
        </w:tc>
      </w:tr>
      <w:tr w:rsidR="003C6DF7" w:rsidRPr="00EC326F" w14:paraId="5A39D97D" w14:textId="77777777" w:rsidTr="0094767F">
        <w:tc>
          <w:tcPr>
            <w:tcW w:w="4111" w:type="dxa"/>
            <w:tcBorders>
              <w:bottom w:val="single" w:sz="4" w:space="0" w:color="E0301E"/>
            </w:tcBorders>
          </w:tcPr>
          <w:p w14:paraId="63D6C00E" w14:textId="77777777" w:rsidR="003C6DF7" w:rsidRPr="00EC326F" w:rsidRDefault="003C6DF7" w:rsidP="006C2660">
            <w:pPr>
              <w:keepNext/>
              <w:spacing w:before="40" w:after="40"/>
              <w:ind w:left="284"/>
              <w:rPr>
                <w:color w:val="000000" w:themeColor="text1"/>
                <w:sz w:val="16"/>
                <w:szCs w:val="18"/>
              </w:rPr>
            </w:pPr>
            <w:r w:rsidRPr="00EC326F">
              <w:rPr>
                <w:i/>
                <w:color w:val="000000" w:themeColor="text1"/>
                <w:sz w:val="16"/>
                <w:szCs w:val="18"/>
              </w:rPr>
              <w:t>plus</w:t>
            </w:r>
            <w:r w:rsidRPr="00EC326F">
              <w:rPr>
                <w:color w:val="000000" w:themeColor="text1"/>
                <w:sz w:val="16"/>
                <w:szCs w:val="18"/>
              </w:rPr>
              <w:t xml:space="preserve"> adjustment for discounting to 30 June 2017</w:t>
            </w:r>
          </w:p>
        </w:tc>
        <w:tc>
          <w:tcPr>
            <w:tcW w:w="1413" w:type="dxa"/>
            <w:tcBorders>
              <w:bottom w:val="single" w:sz="4" w:space="0" w:color="E0301E"/>
            </w:tcBorders>
          </w:tcPr>
          <w:p w14:paraId="4092C91B" w14:textId="77777777" w:rsidR="003C6DF7" w:rsidRPr="00EC326F" w:rsidRDefault="00097678" w:rsidP="006C2660">
            <w:pPr>
              <w:keepNext/>
              <w:spacing w:before="40" w:after="40"/>
              <w:jc w:val="center"/>
              <w:rPr>
                <w:color w:val="000000" w:themeColor="text1"/>
                <w:sz w:val="16"/>
                <w:szCs w:val="18"/>
              </w:rPr>
            </w:pPr>
            <w:r w:rsidRPr="00EC326F">
              <w:rPr>
                <w:color w:val="000000" w:themeColor="text1"/>
                <w:sz w:val="16"/>
                <w:szCs w:val="18"/>
              </w:rPr>
              <w:t>271</w:t>
            </w:r>
          </w:p>
        </w:tc>
      </w:tr>
      <w:tr w:rsidR="003C6DF7" w:rsidRPr="00EC326F" w14:paraId="142EC269" w14:textId="77777777" w:rsidTr="0094767F">
        <w:tc>
          <w:tcPr>
            <w:tcW w:w="4111" w:type="dxa"/>
            <w:tcBorders>
              <w:top w:val="single" w:sz="4" w:space="0" w:color="E0301E"/>
            </w:tcBorders>
            <w:shd w:val="clear" w:color="auto" w:fill="FFFFFF" w:themeFill="background1"/>
          </w:tcPr>
          <w:p w14:paraId="78597197" w14:textId="77777777" w:rsidR="003C6DF7" w:rsidRPr="00EC326F" w:rsidRDefault="003C6DF7" w:rsidP="006C2660">
            <w:pPr>
              <w:spacing w:before="40" w:after="40"/>
              <w:rPr>
                <w:color w:val="000000" w:themeColor="text1"/>
                <w:sz w:val="16"/>
                <w:szCs w:val="18"/>
              </w:rPr>
            </w:pPr>
            <w:r w:rsidRPr="00EC326F">
              <w:rPr>
                <w:color w:val="000000" w:themeColor="text1"/>
                <w:sz w:val="16"/>
                <w:szCs w:val="18"/>
              </w:rPr>
              <w:t>Expected lifetime cost at 30 June 2017</w:t>
            </w:r>
          </w:p>
        </w:tc>
        <w:tc>
          <w:tcPr>
            <w:tcW w:w="1413" w:type="dxa"/>
            <w:tcBorders>
              <w:top w:val="single" w:sz="4" w:space="0" w:color="E0301E"/>
            </w:tcBorders>
            <w:shd w:val="clear" w:color="auto" w:fill="FFFFFF" w:themeFill="background1"/>
          </w:tcPr>
          <w:p w14:paraId="1A679E40" w14:textId="580762C3" w:rsidR="003C6DF7" w:rsidRPr="00EC326F" w:rsidRDefault="00097678" w:rsidP="00895DD6">
            <w:pPr>
              <w:spacing w:before="40" w:after="40"/>
              <w:jc w:val="center"/>
              <w:rPr>
                <w:color w:val="000000" w:themeColor="text1"/>
                <w:sz w:val="16"/>
                <w:szCs w:val="18"/>
              </w:rPr>
            </w:pPr>
            <w:r w:rsidRPr="00EC326F">
              <w:rPr>
                <w:color w:val="000000" w:themeColor="text1"/>
                <w:sz w:val="16"/>
                <w:szCs w:val="18"/>
              </w:rPr>
              <w:t>4</w:t>
            </w:r>
            <w:r w:rsidR="003C6DF7" w:rsidRPr="00EC326F">
              <w:rPr>
                <w:color w:val="000000" w:themeColor="text1"/>
                <w:sz w:val="16"/>
                <w:szCs w:val="18"/>
              </w:rPr>
              <w:t>,</w:t>
            </w:r>
            <w:r w:rsidRPr="00EC326F">
              <w:rPr>
                <w:color w:val="000000" w:themeColor="text1"/>
                <w:sz w:val="16"/>
                <w:szCs w:val="18"/>
              </w:rPr>
              <w:t>66</w:t>
            </w:r>
            <w:r w:rsidR="00895DD6">
              <w:rPr>
                <w:color w:val="000000" w:themeColor="text1"/>
                <w:sz w:val="16"/>
                <w:szCs w:val="18"/>
              </w:rPr>
              <w:t>2</w:t>
            </w:r>
          </w:p>
        </w:tc>
      </w:tr>
    </w:tbl>
    <w:p w14:paraId="60E502B8" w14:textId="77777777" w:rsidR="003C6DF7" w:rsidRPr="00EC326F" w:rsidRDefault="006C2660" w:rsidP="003C6DF7">
      <w:pPr>
        <w:pStyle w:val="PwCNormal"/>
        <w:numPr>
          <w:ilvl w:val="0"/>
          <w:numId w:val="1"/>
        </w:numPr>
      </w:pPr>
      <w:r w:rsidRPr="00EC326F">
        <w:t xml:space="preserve">At </w:t>
      </w:r>
      <w:r w:rsidR="003C6DF7" w:rsidRPr="00EC326F">
        <w:t>30 June 201</w:t>
      </w:r>
      <w:r w:rsidRPr="00EC326F">
        <w:t>7</w:t>
      </w:r>
      <w:r w:rsidR="003C6DF7" w:rsidRPr="00EC326F">
        <w:t xml:space="preserve"> we will be able to reassess the lifetime cost for this subset of the population and explain the movements in the lifetime cost assessment. We will also be able to show the additional components of lifetime cost being added for new members of the population</w:t>
      </w:r>
      <w:r w:rsidR="00E60424" w:rsidRPr="00EC326F">
        <w:t>, including new birth and migrants</w:t>
      </w:r>
      <w:r w:rsidR="003C6DF7" w:rsidRPr="00EC326F">
        <w:t>.</w:t>
      </w:r>
    </w:p>
    <w:p w14:paraId="4CA63F1C" w14:textId="77777777" w:rsidR="009E3452" w:rsidRPr="00EC326F" w:rsidRDefault="009E3452" w:rsidP="00BF7DB8">
      <w:pPr>
        <w:pStyle w:val="Heading3"/>
      </w:pPr>
      <w:bookmarkStart w:id="438" w:name="_Toc455499465"/>
      <w:bookmarkStart w:id="439" w:name="_Toc455502486"/>
      <w:bookmarkStart w:id="440" w:name="_Toc493844277"/>
      <w:r w:rsidRPr="00EC326F">
        <w:lastRenderedPageBreak/>
        <w:t>Forecasts of other in</w:t>
      </w:r>
      <w:r w:rsidR="009A4951" w:rsidRPr="00EC326F">
        <w:t>formation</w:t>
      </w:r>
      <w:bookmarkEnd w:id="438"/>
      <w:bookmarkEnd w:id="439"/>
      <w:bookmarkEnd w:id="440"/>
    </w:p>
    <w:p w14:paraId="20CFEF17" w14:textId="77777777" w:rsidR="006A00AE" w:rsidRPr="00EC326F" w:rsidRDefault="006A00AE" w:rsidP="006A00AE">
      <w:pPr>
        <w:pStyle w:val="PwCNormal"/>
        <w:keepNext/>
        <w:numPr>
          <w:ilvl w:val="0"/>
          <w:numId w:val="1"/>
        </w:numPr>
      </w:pPr>
      <w:r w:rsidRPr="00EC326F">
        <w:t>The model output includes forecasts of information for the numbers of people in each class in future years, the future payment amounts and the numbers of people receiving payments in each payment category.</w:t>
      </w:r>
    </w:p>
    <w:p w14:paraId="6413F7A1" w14:textId="77777777" w:rsidR="006A00AE" w:rsidRPr="00EC326F" w:rsidRDefault="006A00AE" w:rsidP="006A00AE">
      <w:pPr>
        <w:pStyle w:val="Minorheading"/>
      </w:pPr>
      <w:r w:rsidRPr="00EC326F">
        <w:t>People in each class</w:t>
      </w:r>
    </w:p>
    <w:p w14:paraId="6D0FD71E" w14:textId="77777777" w:rsidR="006A00AE" w:rsidRPr="00EC326F" w:rsidRDefault="006A00AE" w:rsidP="006A00AE">
      <w:pPr>
        <w:pStyle w:val="PwCNormal"/>
        <w:keepNext/>
        <w:numPr>
          <w:ilvl w:val="0"/>
          <w:numId w:val="1"/>
        </w:numPr>
      </w:pPr>
      <w:r w:rsidRPr="00EC326F">
        <w:t>The chart below shows the expected numbers of people in each active class over the period June 2017 to June 2021. The actual numbers of people in each class for the year ending 30 June 2016 have also been included.</w:t>
      </w:r>
    </w:p>
    <w:p w14:paraId="13BC8EDD" w14:textId="77777777" w:rsidR="006A00AE" w:rsidRPr="00EC326F" w:rsidRDefault="006A00AE" w:rsidP="006A00AE">
      <w:pPr>
        <w:pStyle w:val="Caption"/>
      </w:pPr>
      <w:r w:rsidRPr="00EC326F">
        <w:t xml:space="preserve">Figure </w:t>
      </w:r>
      <w:r w:rsidRPr="00EC326F">
        <w:fldChar w:fldCharType="begin"/>
      </w:r>
      <w:r w:rsidRPr="00EC326F">
        <w:rPr>
          <w:bCs w:val="0"/>
        </w:rPr>
        <w:instrText xml:space="preserve"> SEQ Figure \* ARABIC </w:instrText>
      </w:r>
      <w:r w:rsidRPr="00EC326F">
        <w:fldChar w:fldCharType="separate"/>
      </w:r>
      <w:r w:rsidR="007A42DF">
        <w:rPr>
          <w:bCs w:val="0"/>
          <w:noProof/>
        </w:rPr>
        <w:t>103</w:t>
      </w:r>
      <w:r w:rsidRPr="00EC326F">
        <w:fldChar w:fldCharType="end"/>
      </w:r>
      <w:r w:rsidRPr="00EC326F">
        <w:t>: Actual and Projected numbers of people in each active welfare class</w:t>
      </w:r>
    </w:p>
    <w:p w14:paraId="43C17C97" w14:textId="77777777" w:rsidR="0066440E" w:rsidRPr="00EC326F" w:rsidRDefault="0066440E" w:rsidP="00851A26">
      <w:pPr>
        <w:pStyle w:val="PwCNormal"/>
        <w:numPr>
          <w:ilvl w:val="0"/>
          <w:numId w:val="0"/>
        </w:numPr>
      </w:pPr>
      <w:r w:rsidRPr="00EC326F">
        <w:rPr>
          <w:noProof/>
          <w:lang w:eastAsia="en-AU"/>
        </w:rPr>
        <w:drawing>
          <wp:inline distT="0" distB="0" distL="0" distR="0" wp14:anchorId="3F8A2D5C" wp14:editId="3511805B">
            <wp:extent cx="4869051" cy="2160000"/>
            <wp:effectExtent l="0" t="0" r="8255" b="0"/>
            <wp:docPr id="8" name="Picture 8" descr="This figure is a grouped column chart. The chart shows the projected number of individuals in each active welfare class for each financial year for the next 5 years. The vertical axis shows the number of individuals ranging from 0 to 3 million. The horizontal axis shows welfare class for active welfare classes 1 to 9." title=" Actual and Projected numbers of people in each active welfare cl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l="353" t="824" r="353" b="824"/>
                    <a:stretch/>
                  </pic:blipFill>
                  <pic:spPr bwMode="auto">
                    <a:xfrm>
                      <a:off x="0" y="0"/>
                      <a:ext cx="486905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0D5918E" w14:textId="77777777" w:rsidR="006A00AE" w:rsidRPr="00EC326F" w:rsidRDefault="006A00AE" w:rsidP="006A00AE">
      <w:pPr>
        <w:pStyle w:val="Sources"/>
      </w:pPr>
      <w:r w:rsidRPr="00EC326F">
        <w:t>Notes:</w:t>
      </w:r>
    </w:p>
    <w:p w14:paraId="4C3DF995" w14:textId="77777777" w:rsidR="006A00AE" w:rsidRPr="00EC326F" w:rsidRDefault="006A00AE" w:rsidP="001A4479">
      <w:pPr>
        <w:pStyle w:val="Sources"/>
        <w:numPr>
          <w:ilvl w:val="0"/>
          <w:numId w:val="31"/>
        </w:numPr>
      </w:pPr>
      <w:r w:rsidRPr="00EC326F">
        <w:t>As noted above the actual numbers will be slightly higher than this as the population is expected to grow through migration and births. Over this 5 year timeframe migration will have the bigger impact as most people only enter the payment system in their own right in their teenage years.</w:t>
      </w:r>
    </w:p>
    <w:p w14:paraId="009CB2DB" w14:textId="77777777" w:rsidR="006A00AE" w:rsidRPr="00EC326F" w:rsidRDefault="006A00AE" w:rsidP="001A4479">
      <w:pPr>
        <w:pStyle w:val="Sources"/>
        <w:numPr>
          <w:ilvl w:val="0"/>
          <w:numId w:val="31"/>
        </w:numPr>
        <w:ind w:left="709"/>
      </w:pPr>
      <w:r w:rsidRPr="00EC326F">
        <w:t>Consequently the Department should use this information with care and consider making adjustments for the undercount before using them for purposes such as planning or budgeting.</w:t>
      </w:r>
    </w:p>
    <w:p w14:paraId="16863A5A" w14:textId="77777777" w:rsidR="006A00AE" w:rsidRPr="00EC326F" w:rsidRDefault="006A00AE" w:rsidP="006A00AE">
      <w:pPr>
        <w:pStyle w:val="PwCNormal"/>
        <w:numPr>
          <w:ilvl w:val="0"/>
          <w:numId w:val="0"/>
        </w:numPr>
      </w:pPr>
      <w:r w:rsidRPr="00EC326F">
        <w:t>Many of the features of this chart reflect the demographic profile of the current Australian resident population:</w:t>
      </w:r>
    </w:p>
    <w:p w14:paraId="36794A6A" w14:textId="77777777" w:rsidR="006A00AE" w:rsidRPr="00EC326F" w:rsidRDefault="006A00AE" w:rsidP="001A4479">
      <w:pPr>
        <w:pStyle w:val="Bullet1"/>
        <w:numPr>
          <w:ilvl w:val="0"/>
          <w:numId w:val="30"/>
        </w:numPr>
      </w:pPr>
      <w:r w:rsidRPr="00EC326F">
        <w:t xml:space="preserve">The numbers of age pensioners will increase as the large numbers of people who are in their early 60s today move into retirement. The shape of the chart is stepped as a result of the increases in pension age and the changes to the pension asset test and taper rate both of which start to take effect from 2017. The projected number of age pensioners in 2017 is also impacted by allowances made for data maturity as described in </w:t>
      </w:r>
      <w:r w:rsidR="0011562A">
        <w:t>section</w:t>
      </w:r>
      <w:r w:rsidR="00580BD6">
        <w:t xml:space="preserve"> </w:t>
      </w:r>
      <w:r w:rsidR="00580BD6">
        <w:fldChar w:fldCharType="begin"/>
      </w:r>
      <w:r w:rsidR="00580BD6">
        <w:instrText xml:space="preserve"> REF _Ref466494253 \w \h </w:instrText>
      </w:r>
      <w:r w:rsidR="00580BD6">
        <w:fldChar w:fldCharType="separate"/>
      </w:r>
      <w:r w:rsidR="007A42DF">
        <w:t>3.1</w:t>
      </w:r>
      <w:r w:rsidR="00580BD6">
        <w:fldChar w:fldCharType="end"/>
      </w:r>
      <w:r w:rsidRPr="00EC326F">
        <w:t>.</w:t>
      </w:r>
    </w:p>
    <w:p w14:paraId="6628A0EE" w14:textId="77777777" w:rsidR="006A00AE" w:rsidRPr="00EC326F" w:rsidRDefault="006A00AE" w:rsidP="001A4479">
      <w:pPr>
        <w:pStyle w:val="Bullet1"/>
        <w:numPr>
          <w:ilvl w:val="0"/>
          <w:numId w:val="30"/>
        </w:numPr>
      </w:pPr>
      <w:r w:rsidRPr="00EC326F">
        <w:t xml:space="preserve">The number of people in the carer’s class has been growing from year to year and we expect this to continue in the future. As the population ages and there are </w:t>
      </w:r>
      <w:r w:rsidR="000D7DDD">
        <w:t>a higher number of</w:t>
      </w:r>
      <w:r w:rsidRPr="00EC326F">
        <w:t xml:space="preserve"> older people needing care, there may be more demand for this payment. Note also that this class includes a group of people over pension age who may be caring for ageing partners. </w:t>
      </w:r>
    </w:p>
    <w:p w14:paraId="3FB2B981" w14:textId="77777777" w:rsidR="006A00AE" w:rsidRPr="00EC326F" w:rsidRDefault="006A00AE" w:rsidP="001A4479">
      <w:pPr>
        <w:pStyle w:val="Bullet1"/>
        <w:numPr>
          <w:ilvl w:val="0"/>
          <w:numId w:val="30"/>
        </w:numPr>
      </w:pPr>
      <w:r w:rsidRPr="00EC326F">
        <w:t>The numbers of people studying are expected to reduce as there are fewer people in their late teens and early 20s today than was the case in the recent past.</w:t>
      </w:r>
    </w:p>
    <w:p w14:paraId="46836B0C" w14:textId="3BAFA0BB" w:rsidR="006A00AE" w:rsidRPr="00EC326F" w:rsidRDefault="006A00AE" w:rsidP="006A00AE">
      <w:pPr>
        <w:pStyle w:val="PwCNormal"/>
        <w:numPr>
          <w:ilvl w:val="0"/>
          <w:numId w:val="0"/>
        </w:numPr>
      </w:pPr>
      <w:r w:rsidRPr="00EC326F">
        <w:t xml:space="preserve">The number of people in the </w:t>
      </w:r>
      <w:r w:rsidR="00916C7F">
        <w:t>W</w:t>
      </w:r>
      <w:r w:rsidRPr="00EC326F">
        <w:t xml:space="preserve">orking </w:t>
      </w:r>
      <w:r w:rsidR="00916C7F">
        <w:t>A</w:t>
      </w:r>
      <w:r w:rsidRPr="00EC326F">
        <w:t>ge class is projected to be fairly stable over time. The change in projected numbers since the baseline valuation reflect lower than expected entries into the class from people outside the welfare system and the flow on impact to lower future class transition assumptions.</w:t>
      </w:r>
    </w:p>
    <w:p w14:paraId="3AAE7564" w14:textId="77777777" w:rsidR="003C6DF7" w:rsidRPr="002A0A1A" w:rsidRDefault="006A00AE" w:rsidP="006A00AE">
      <w:pPr>
        <w:pStyle w:val="PwCNormal"/>
        <w:numPr>
          <w:ilvl w:val="0"/>
          <w:numId w:val="0"/>
        </w:numPr>
      </w:pPr>
      <w:r w:rsidRPr="00EC326F">
        <w:t>There is a step increase in the number of people projected in 2017 for classes 1 and 9 reflecting allowances made for data maturity.</w:t>
      </w:r>
      <w:r w:rsidR="003C6DF7" w:rsidRPr="002A0A1A">
        <w:t xml:space="preserve"> </w:t>
      </w:r>
    </w:p>
    <w:p w14:paraId="51DA427C" w14:textId="77777777" w:rsidR="000D7A0A" w:rsidRPr="002A0A1A" w:rsidRDefault="000D7A0A" w:rsidP="00BF7434">
      <w:pPr>
        <w:pStyle w:val="PwCNormal"/>
        <w:numPr>
          <w:ilvl w:val="0"/>
          <w:numId w:val="0"/>
        </w:numPr>
        <w:rPr>
          <w:color w:val="FF0000"/>
        </w:rPr>
      </w:pPr>
    </w:p>
    <w:p w14:paraId="3D3581FD" w14:textId="77777777" w:rsidR="000D7A0A" w:rsidRPr="002A0A1A" w:rsidRDefault="000D7A0A" w:rsidP="00BF7434">
      <w:pPr>
        <w:pStyle w:val="PwCNormal"/>
        <w:numPr>
          <w:ilvl w:val="0"/>
          <w:numId w:val="0"/>
        </w:numPr>
        <w:sectPr w:rsidR="000D7A0A" w:rsidRPr="002A0A1A" w:rsidSect="00CC5ACB">
          <w:footerReference w:type="first" r:id="rId190"/>
          <w:pgSz w:w="11907" w:h="16840" w:code="9"/>
          <w:pgMar w:top="1588" w:right="1021" w:bottom="1418" w:left="1021" w:header="567" w:footer="567" w:gutter="0"/>
          <w:cols w:space="227"/>
          <w:docGrid w:linePitch="360"/>
        </w:sectPr>
      </w:pPr>
    </w:p>
    <w:p w14:paraId="48C892D0" w14:textId="77777777" w:rsidR="002F15B1" w:rsidRPr="00EC326F" w:rsidRDefault="002F15B1" w:rsidP="00BF7DB8">
      <w:pPr>
        <w:pStyle w:val="Heading2"/>
      </w:pPr>
      <w:bookmarkStart w:id="441" w:name="_Toc433971872"/>
      <w:bookmarkStart w:id="442" w:name="_Toc433971873"/>
      <w:bookmarkStart w:id="443" w:name="_Toc433971874"/>
      <w:bookmarkStart w:id="444" w:name="_Toc433971875"/>
      <w:bookmarkStart w:id="445" w:name="_Toc433971904"/>
      <w:bookmarkStart w:id="446" w:name="_Toc433971905"/>
      <w:bookmarkStart w:id="447" w:name="_Toc433971906"/>
      <w:bookmarkStart w:id="448" w:name="_Toc433971907"/>
      <w:bookmarkStart w:id="449" w:name="_Toc433971908"/>
      <w:bookmarkStart w:id="450" w:name="_Toc433971909"/>
      <w:bookmarkStart w:id="451" w:name="TOCAppendix"/>
      <w:bookmarkStart w:id="452" w:name="_Toc441667481"/>
      <w:bookmarkStart w:id="453" w:name="_Toc441682879"/>
      <w:bookmarkStart w:id="454" w:name="_Toc441667482"/>
      <w:bookmarkStart w:id="455" w:name="_Toc441682880"/>
      <w:bookmarkStart w:id="456" w:name="_Toc441667483"/>
      <w:bookmarkStart w:id="457" w:name="_Toc441682881"/>
      <w:bookmarkStart w:id="458" w:name="_Toc441312370"/>
      <w:bookmarkStart w:id="459" w:name="_Toc441337495"/>
      <w:bookmarkStart w:id="460" w:name="_Toc437690684"/>
      <w:bookmarkStart w:id="461" w:name="_Toc437704639"/>
      <w:bookmarkStart w:id="462" w:name="_Toc437858596"/>
      <w:bookmarkStart w:id="463" w:name="_Toc437864146"/>
      <w:bookmarkStart w:id="464" w:name="_Toc437881500"/>
      <w:bookmarkStart w:id="465" w:name="_Toc441312371"/>
      <w:bookmarkStart w:id="466" w:name="_Toc441337496"/>
      <w:bookmarkStart w:id="467" w:name="_Toc441312372"/>
      <w:bookmarkStart w:id="468" w:name="_Toc441337497"/>
      <w:bookmarkStart w:id="469" w:name="_Toc441312373"/>
      <w:bookmarkStart w:id="470" w:name="_Toc441337498"/>
      <w:bookmarkStart w:id="471" w:name="_Toc441312374"/>
      <w:bookmarkStart w:id="472" w:name="_Toc441337499"/>
      <w:bookmarkStart w:id="473" w:name="_Toc441312379"/>
      <w:bookmarkStart w:id="474" w:name="_Toc441337504"/>
      <w:bookmarkStart w:id="475" w:name="_Toc441312380"/>
      <w:bookmarkStart w:id="476" w:name="_Toc441337505"/>
      <w:bookmarkStart w:id="477" w:name="_Toc441312381"/>
      <w:bookmarkStart w:id="478" w:name="_Toc441337506"/>
      <w:bookmarkStart w:id="479" w:name="_Toc441312382"/>
      <w:bookmarkStart w:id="480" w:name="_Toc441337507"/>
      <w:bookmarkStart w:id="481" w:name="_Toc441312383"/>
      <w:bookmarkStart w:id="482" w:name="_Toc441337508"/>
      <w:bookmarkStart w:id="483" w:name="_Toc441312384"/>
      <w:bookmarkStart w:id="484" w:name="_Toc441337509"/>
      <w:bookmarkStart w:id="485" w:name="_Toc441312389"/>
      <w:bookmarkStart w:id="486" w:name="_Toc441337514"/>
      <w:bookmarkStart w:id="487" w:name="_Toc441312390"/>
      <w:bookmarkStart w:id="488" w:name="_Toc441337515"/>
      <w:bookmarkStart w:id="489" w:name="_Toc441312391"/>
      <w:bookmarkStart w:id="490" w:name="_Toc441337516"/>
      <w:bookmarkStart w:id="491" w:name="_Toc441312392"/>
      <w:bookmarkStart w:id="492" w:name="_Toc441337517"/>
      <w:bookmarkStart w:id="493" w:name="_Toc441312393"/>
      <w:bookmarkStart w:id="494" w:name="_Toc441337518"/>
      <w:bookmarkStart w:id="495" w:name="_Toc441312394"/>
      <w:bookmarkStart w:id="496" w:name="_Toc441337519"/>
      <w:bookmarkStart w:id="497" w:name="_Toc441312395"/>
      <w:bookmarkStart w:id="498" w:name="_Toc441337520"/>
      <w:bookmarkStart w:id="499" w:name="_Toc441312396"/>
      <w:bookmarkStart w:id="500" w:name="_Toc441337521"/>
      <w:bookmarkStart w:id="501" w:name="_Toc441312401"/>
      <w:bookmarkStart w:id="502" w:name="_Toc441337526"/>
      <w:bookmarkStart w:id="503" w:name="_Toc441312402"/>
      <w:bookmarkStart w:id="504" w:name="_Toc441337527"/>
      <w:bookmarkStart w:id="505" w:name="_Toc441312403"/>
      <w:bookmarkStart w:id="506" w:name="_Toc441337528"/>
      <w:bookmarkStart w:id="507" w:name="_Toc441312404"/>
      <w:bookmarkStart w:id="508" w:name="_Toc441337529"/>
      <w:bookmarkStart w:id="509" w:name="_Toc441312405"/>
      <w:bookmarkStart w:id="510" w:name="_Toc441337530"/>
      <w:bookmarkStart w:id="511" w:name="_Toc441312406"/>
      <w:bookmarkStart w:id="512" w:name="_Toc441337531"/>
      <w:bookmarkStart w:id="513" w:name="_Toc441312409"/>
      <w:bookmarkStart w:id="514" w:name="_Toc441337534"/>
      <w:bookmarkStart w:id="515" w:name="_Toc441312410"/>
      <w:bookmarkStart w:id="516" w:name="_Toc441337535"/>
      <w:bookmarkStart w:id="517" w:name="_Toc441312411"/>
      <w:bookmarkStart w:id="518" w:name="_Toc441337536"/>
      <w:bookmarkStart w:id="519" w:name="_Toc441312412"/>
      <w:bookmarkStart w:id="520" w:name="_Toc441337537"/>
      <w:bookmarkStart w:id="521" w:name="_Toc441312413"/>
      <w:bookmarkStart w:id="522" w:name="_Toc441337538"/>
      <w:bookmarkStart w:id="523" w:name="_Toc437599147"/>
      <w:bookmarkStart w:id="524" w:name="_Toc437690691"/>
      <w:bookmarkStart w:id="525" w:name="_Toc437704646"/>
      <w:bookmarkStart w:id="526" w:name="_Toc437858603"/>
      <w:bookmarkStart w:id="527" w:name="_Toc437864153"/>
      <w:bookmarkStart w:id="528" w:name="_Toc437881507"/>
      <w:bookmarkStart w:id="529" w:name="_Toc437599148"/>
      <w:bookmarkStart w:id="530" w:name="_Toc437690692"/>
      <w:bookmarkStart w:id="531" w:name="_Toc437704647"/>
      <w:bookmarkStart w:id="532" w:name="_Toc437858604"/>
      <w:bookmarkStart w:id="533" w:name="_Toc437864154"/>
      <w:bookmarkStart w:id="534" w:name="_Toc437881508"/>
      <w:bookmarkStart w:id="535" w:name="_Toc437599149"/>
      <w:bookmarkStart w:id="536" w:name="_Toc437690693"/>
      <w:bookmarkStart w:id="537" w:name="_Toc437704648"/>
      <w:bookmarkStart w:id="538" w:name="_Toc437858605"/>
      <w:bookmarkStart w:id="539" w:name="_Toc437864155"/>
      <w:bookmarkStart w:id="540" w:name="_Toc437881509"/>
      <w:bookmarkStart w:id="541" w:name="_Toc441312414"/>
      <w:bookmarkStart w:id="542" w:name="_Toc441337539"/>
      <w:bookmarkStart w:id="543" w:name="_Toc441312415"/>
      <w:bookmarkStart w:id="544" w:name="_Toc441337540"/>
      <w:bookmarkStart w:id="545" w:name="_Toc441312416"/>
      <w:bookmarkStart w:id="546" w:name="_Toc441337541"/>
      <w:bookmarkStart w:id="547" w:name="_Toc441312421"/>
      <w:bookmarkStart w:id="548" w:name="_Toc441337546"/>
      <w:bookmarkStart w:id="549" w:name="_Toc441312422"/>
      <w:bookmarkStart w:id="550" w:name="_Toc441337547"/>
      <w:bookmarkStart w:id="551" w:name="_Toc441312423"/>
      <w:bookmarkStart w:id="552" w:name="_Toc441337548"/>
      <w:bookmarkStart w:id="553" w:name="_Toc441312424"/>
      <w:bookmarkStart w:id="554" w:name="_Toc441337549"/>
      <w:bookmarkStart w:id="555" w:name="_Toc437519378"/>
      <w:bookmarkStart w:id="556" w:name="_Toc437521829"/>
      <w:bookmarkStart w:id="557" w:name="_Toc437524864"/>
      <w:bookmarkStart w:id="558" w:name="_Toc437536253"/>
      <w:bookmarkStart w:id="559" w:name="_Toc437599151"/>
      <w:bookmarkStart w:id="560" w:name="_Toc437690695"/>
      <w:bookmarkStart w:id="561" w:name="_Toc437704650"/>
      <w:bookmarkStart w:id="562" w:name="_Toc437858607"/>
      <w:bookmarkStart w:id="563" w:name="_Toc437864157"/>
      <w:bookmarkStart w:id="564" w:name="_Toc437881511"/>
      <w:bookmarkStart w:id="565" w:name="_Toc441312425"/>
      <w:bookmarkStart w:id="566" w:name="_Toc441337550"/>
      <w:bookmarkStart w:id="567" w:name="_Toc441312426"/>
      <w:bookmarkStart w:id="568" w:name="_Toc441337551"/>
      <w:bookmarkStart w:id="569" w:name="_Toc441312427"/>
      <w:bookmarkStart w:id="570" w:name="_Toc441337552"/>
      <w:bookmarkStart w:id="571" w:name="_Toc441312428"/>
      <w:bookmarkStart w:id="572" w:name="_Toc441337553"/>
      <w:bookmarkStart w:id="573" w:name="_Toc441312429"/>
      <w:bookmarkStart w:id="574" w:name="_Toc441337554"/>
      <w:bookmarkStart w:id="575" w:name="_Toc441312430"/>
      <w:bookmarkStart w:id="576" w:name="_Toc441337555"/>
      <w:bookmarkStart w:id="577" w:name="_Toc441312431"/>
      <w:bookmarkStart w:id="578" w:name="_Toc441337556"/>
      <w:bookmarkStart w:id="579" w:name="_Toc441312432"/>
      <w:bookmarkStart w:id="580" w:name="_Toc441337557"/>
      <w:bookmarkStart w:id="581" w:name="_Toc441312433"/>
      <w:bookmarkStart w:id="582" w:name="_Toc441337558"/>
      <w:bookmarkStart w:id="583" w:name="_Toc441312434"/>
      <w:bookmarkStart w:id="584" w:name="_Toc441337559"/>
      <w:bookmarkStart w:id="585" w:name="_Toc441312435"/>
      <w:bookmarkStart w:id="586" w:name="_Toc441337560"/>
      <w:bookmarkStart w:id="587" w:name="_Toc441312436"/>
      <w:bookmarkStart w:id="588" w:name="_Toc441337561"/>
      <w:bookmarkStart w:id="589" w:name="_Toc441312437"/>
      <w:bookmarkStart w:id="590" w:name="_Toc441337562"/>
      <w:bookmarkStart w:id="591" w:name="_Toc441312438"/>
      <w:bookmarkStart w:id="592" w:name="_Toc441337563"/>
      <w:bookmarkStart w:id="593" w:name="_Toc441312439"/>
      <w:bookmarkStart w:id="594" w:name="_Toc441337564"/>
      <w:bookmarkStart w:id="595" w:name="_Toc441312440"/>
      <w:bookmarkStart w:id="596" w:name="_Toc441337565"/>
      <w:bookmarkStart w:id="597" w:name="_Toc441312441"/>
      <w:bookmarkStart w:id="598" w:name="_Toc441337566"/>
      <w:bookmarkStart w:id="599" w:name="_Toc441312442"/>
      <w:bookmarkStart w:id="600" w:name="_Toc441337567"/>
      <w:bookmarkStart w:id="601" w:name="_Toc441312443"/>
      <w:bookmarkStart w:id="602" w:name="_Toc441337568"/>
      <w:bookmarkStart w:id="603" w:name="_Toc441312448"/>
      <w:bookmarkStart w:id="604" w:name="_Toc441337573"/>
      <w:bookmarkStart w:id="605" w:name="_Toc441312449"/>
      <w:bookmarkStart w:id="606" w:name="_Toc441337574"/>
      <w:bookmarkStart w:id="607" w:name="_Toc441312450"/>
      <w:bookmarkStart w:id="608" w:name="_Toc441337575"/>
      <w:bookmarkStart w:id="609" w:name="_Toc441312451"/>
      <w:bookmarkStart w:id="610" w:name="_Toc441337576"/>
      <w:bookmarkStart w:id="611" w:name="_Toc441312452"/>
      <w:bookmarkStart w:id="612" w:name="_Toc441337577"/>
      <w:bookmarkStart w:id="613" w:name="_Toc441312453"/>
      <w:bookmarkStart w:id="614" w:name="_Toc441337578"/>
      <w:bookmarkStart w:id="615" w:name="_Toc441312454"/>
      <w:bookmarkStart w:id="616" w:name="_Toc441337579"/>
      <w:bookmarkStart w:id="617" w:name="_Toc441312455"/>
      <w:bookmarkStart w:id="618" w:name="_Toc441337580"/>
      <w:bookmarkStart w:id="619" w:name="_Toc441312456"/>
      <w:bookmarkStart w:id="620" w:name="_Toc441337581"/>
      <w:bookmarkStart w:id="621" w:name="_Toc441312457"/>
      <w:bookmarkStart w:id="622" w:name="_Toc441337582"/>
      <w:bookmarkStart w:id="623" w:name="_Toc441312458"/>
      <w:bookmarkStart w:id="624" w:name="_Toc441337583"/>
      <w:bookmarkStart w:id="625" w:name="_Toc441312459"/>
      <w:bookmarkStart w:id="626" w:name="_Toc441337584"/>
      <w:bookmarkStart w:id="627" w:name="_Toc441312460"/>
      <w:bookmarkStart w:id="628" w:name="_Toc441337585"/>
      <w:bookmarkStart w:id="629" w:name="_Toc441312461"/>
      <w:bookmarkStart w:id="630" w:name="_Toc441337586"/>
      <w:bookmarkStart w:id="631" w:name="_Toc441312469"/>
      <w:bookmarkStart w:id="632" w:name="_Toc441337594"/>
      <w:bookmarkStart w:id="633" w:name="_Toc441312480"/>
      <w:bookmarkStart w:id="634" w:name="_Toc441337605"/>
      <w:bookmarkStart w:id="635" w:name="_Toc441312491"/>
      <w:bookmarkStart w:id="636" w:name="_Toc441337616"/>
      <w:bookmarkStart w:id="637" w:name="_Toc441312495"/>
      <w:bookmarkStart w:id="638" w:name="_Toc441337620"/>
      <w:bookmarkStart w:id="639" w:name="_Toc441312496"/>
      <w:bookmarkStart w:id="640" w:name="_Toc441337621"/>
      <w:bookmarkStart w:id="641" w:name="_Toc441312497"/>
      <w:bookmarkStart w:id="642" w:name="_Toc441337622"/>
      <w:bookmarkStart w:id="643" w:name="_Toc441312498"/>
      <w:bookmarkStart w:id="644" w:name="_Toc441337623"/>
      <w:bookmarkStart w:id="645" w:name="_Toc441312508"/>
      <w:bookmarkStart w:id="646" w:name="_Toc441337633"/>
      <w:bookmarkStart w:id="647" w:name="_Toc441312509"/>
      <w:bookmarkStart w:id="648" w:name="_Toc441337634"/>
      <w:bookmarkStart w:id="649" w:name="_Toc441312510"/>
      <w:bookmarkStart w:id="650" w:name="_Toc441337635"/>
      <w:bookmarkStart w:id="651" w:name="_Toc441312511"/>
      <w:bookmarkStart w:id="652" w:name="_Toc441337636"/>
      <w:bookmarkStart w:id="653" w:name="_Toc441312512"/>
      <w:bookmarkStart w:id="654" w:name="_Toc441337637"/>
      <w:bookmarkStart w:id="655" w:name="_Toc441312513"/>
      <w:bookmarkStart w:id="656" w:name="_Toc441337638"/>
      <w:bookmarkStart w:id="657" w:name="_Toc441312526"/>
      <w:bookmarkStart w:id="658" w:name="_Toc441337651"/>
      <w:bookmarkStart w:id="659" w:name="_Toc441312527"/>
      <w:bookmarkStart w:id="660" w:name="_Toc441337652"/>
      <w:bookmarkStart w:id="661" w:name="_Toc441312528"/>
      <w:bookmarkStart w:id="662" w:name="_Toc441337653"/>
      <w:bookmarkStart w:id="663" w:name="_Toc441312529"/>
      <w:bookmarkStart w:id="664" w:name="_Toc441337654"/>
      <w:bookmarkStart w:id="665" w:name="_Toc441312530"/>
      <w:bookmarkStart w:id="666" w:name="_Toc441337655"/>
      <w:bookmarkStart w:id="667" w:name="_Toc441312532"/>
      <w:bookmarkStart w:id="668" w:name="_Toc441337657"/>
      <w:bookmarkStart w:id="669" w:name="_Toc441312533"/>
      <w:bookmarkStart w:id="670" w:name="_Toc441337658"/>
      <w:bookmarkStart w:id="671" w:name="_Toc441312534"/>
      <w:bookmarkStart w:id="672" w:name="_Toc441337659"/>
      <w:bookmarkStart w:id="673" w:name="_Toc441312535"/>
      <w:bookmarkStart w:id="674" w:name="_Toc441337660"/>
      <w:bookmarkStart w:id="675" w:name="_Toc441312536"/>
      <w:bookmarkStart w:id="676" w:name="_Toc441337661"/>
      <w:bookmarkStart w:id="677" w:name="_Toc441312537"/>
      <w:bookmarkStart w:id="678" w:name="_Toc441337662"/>
      <w:bookmarkStart w:id="679" w:name="_Toc441312538"/>
      <w:bookmarkStart w:id="680" w:name="_Toc441337663"/>
      <w:bookmarkStart w:id="681" w:name="_Toc441312539"/>
      <w:bookmarkStart w:id="682" w:name="_Toc441337664"/>
      <w:bookmarkStart w:id="683" w:name="_Toc441312540"/>
      <w:bookmarkStart w:id="684" w:name="_Toc441337665"/>
      <w:bookmarkStart w:id="685" w:name="_Toc441312541"/>
      <w:bookmarkStart w:id="686" w:name="_Toc441337666"/>
      <w:bookmarkStart w:id="687" w:name="_Toc441312542"/>
      <w:bookmarkStart w:id="688" w:name="_Toc441337667"/>
      <w:bookmarkStart w:id="689" w:name="_Toc441312543"/>
      <w:bookmarkStart w:id="690" w:name="_Toc441337668"/>
      <w:bookmarkStart w:id="691" w:name="_Toc441312565"/>
      <w:bookmarkStart w:id="692" w:name="_Toc441337690"/>
      <w:bookmarkStart w:id="693" w:name="_Toc441312566"/>
      <w:bookmarkStart w:id="694" w:name="_Toc441337691"/>
      <w:bookmarkStart w:id="695" w:name="_Toc441312567"/>
      <w:bookmarkStart w:id="696" w:name="_Toc441337692"/>
      <w:bookmarkStart w:id="697" w:name="_Toc441312568"/>
      <w:bookmarkStart w:id="698" w:name="_Toc441337693"/>
      <w:bookmarkStart w:id="699" w:name="_Toc441312569"/>
      <w:bookmarkStart w:id="700" w:name="_Toc441337694"/>
      <w:bookmarkStart w:id="701" w:name="_Toc441312570"/>
      <w:bookmarkStart w:id="702" w:name="_Toc441337695"/>
      <w:bookmarkStart w:id="703" w:name="_Toc441312571"/>
      <w:bookmarkStart w:id="704" w:name="_Toc441337696"/>
      <w:bookmarkStart w:id="705" w:name="_Toc441312572"/>
      <w:bookmarkStart w:id="706" w:name="_Toc441337697"/>
      <w:bookmarkStart w:id="707" w:name="_Toc441312573"/>
      <w:bookmarkStart w:id="708" w:name="_Toc441337698"/>
      <w:bookmarkStart w:id="709" w:name="_Toc441312574"/>
      <w:bookmarkStart w:id="710" w:name="_Toc441337699"/>
      <w:bookmarkStart w:id="711" w:name="_Toc441312575"/>
      <w:bookmarkStart w:id="712" w:name="_Toc441337700"/>
      <w:bookmarkStart w:id="713" w:name="_Toc441312576"/>
      <w:bookmarkStart w:id="714" w:name="_Toc441337701"/>
      <w:bookmarkStart w:id="715" w:name="_Toc441312577"/>
      <w:bookmarkStart w:id="716" w:name="_Toc441337702"/>
      <w:bookmarkStart w:id="717" w:name="_Toc441312578"/>
      <w:bookmarkStart w:id="718" w:name="_Toc441337703"/>
      <w:bookmarkStart w:id="719" w:name="_Toc441312579"/>
      <w:bookmarkStart w:id="720" w:name="_Toc441337704"/>
      <w:bookmarkStart w:id="721" w:name="_Toc441312580"/>
      <w:bookmarkStart w:id="722" w:name="_Toc441337705"/>
      <w:bookmarkStart w:id="723" w:name="_Toc441312581"/>
      <w:bookmarkStart w:id="724" w:name="_Toc441337706"/>
      <w:bookmarkStart w:id="725" w:name="_Toc441312582"/>
      <w:bookmarkStart w:id="726" w:name="_Toc441337707"/>
      <w:bookmarkStart w:id="727" w:name="_Toc441312604"/>
      <w:bookmarkStart w:id="728" w:name="_Toc441337729"/>
      <w:bookmarkStart w:id="729" w:name="_Toc441312605"/>
      <w:bookmarkStart w:id="730" w:name="_Toc441337730"/>
      <w:bookmarkStart w:id="731" w:name="_Toc441312606"/>
      <w:bookmarkStart w:id="732" w:name="_Toc441337731"/>
      <w:bookmarkStart w:id="733" w:name="_Toc441312607"/>
      <w:bookmarkStart w:id="734" w:name="_Toc441337732"/>
      <w:bookmarkStart w:id="735" w:name="_Toc441312608"/>
      <w:bookmarkStart w:id="736" w:name="_Toc441337733"/>
      <w:bookmarkStart w:id="737" w:name="_Toc441312609"/>
      <w:bookmarkStart w:id="738" w:name="_Toc441337734"/>
      <w:bookmarkStart w:id="739" w:name="_Toc441312610"/>
      <w:bookmarkStart w:id="740" w:name="_Toc441337735"/>
      <w:bookmarkStart w:id="741" w:name="_Toc441312611"/>
      <w:bookmarkStart w:id="742" w:name="_Toc441337736"/>
      <w:bookmarkStart w:id="743" w:name="_Toc441312612"/>
      <w:bookmarkStart w:id="744" w:name="_Toc441337737"/>
      <w:bookmarkStart w:id="745" w:name="_Toc441667484"/>
      <w:bookmarkStart w:id="746" w:name="_Toc441682882"/>
      <w:bookmarkStart w:id="747" w:name="_Toc441667485"/>
      <w:bookmarkStart w:id="748" w:name="_Toc441682883"/>
      <w:bookmarkStart w:id="749" w:name="_Ref466494850"/>
      <w:bookmarkStart w:id="750" w:name="_Toc493844278"/>
      <w:bookmarkStart w:id="751" w:name="_Toc455499467"/>
      <w:bookmarkStart w:id="752" w:name="_Toc455502488"/>
      <w:bookmarkStart w:id="753" w:name="_Toc150158830"/>
      <w:bookmarkStart w:id="754" w:name="_Toc152054531"/>
      <w:bookmarkStart w:id="755" w:name="_Toc175455170"/>
      <w:bookmarkStart w:id="756" w:name="_Toc188929763"/>
      <w:bookmarkStart w:id="757" w:name="_Toc190831168"/>
      <w:bookmarkStart w:id="758" w:name="_Toc190831919"/>
      <w:bookmarkStart w:id="759" w:name="_Toc222740491"/>
      <w:bookmarkStart w:id="760" w:name="_Toc222797936"/>
      <w:bookmarkStart w:id="761" w:name="_Toc222812200"/>
      <w:bookmarkStart w:id="762" w:name="_Toc222812227"/>
      <w:bookmarkStart w:id="763" w:name="_Toc222812328"/>
      <w:bookmarkStart w:id="764" w:name="_Toc222812365"/>
      <w:bookmarkStart w:id="765" w:name="_Toc225761846"/>
      <w:bookmarkStart w:id="766" w:name="_Toc225761870"/>
      <w:bookmarkStart w:id="767" w:name="_Toc225761910"/>
      <w:bookmarkStart w:id="768" w:name="_Toc225761938"/>
      <w:bookmarkStart w:id="769" w:name="_Toc225761943"/>
      <w:bookmarkStart w:id="770" w:name="_Toc225761966"/>
      <w:bookmarkStart w:id="771" w:name="_Toc225761994"/>
      <w:bookmarkStart w:id="772" w:name="_Toc225762001"/>
      <w:bookmarkStart w:id="773" w:name="_Toc225762006"/>
      <w:bookmarkStart w:id="774" w:name="_Toc225762012"/>
      <w:bookmarkStart w:id="775" w:name="_Toc225762175"/>
      <w:bookmarkStart w:id="776" w:name="_Toc225762181"/>
      <w:bookmarkStart w:id="777" w:name="_Toc225762203"/>
      <w:bookmarkStart w:id="778" w:name="_Toc225763053"/>
      <w:bookmarkStart w:id="779" w:name="_Toc225910585"/>
      <w:bookmarkStart w:id="780" w:name="_Toc225910639"/>
      <w:bookmarkStart w:id="781" w:name="_Toc225910665"/>
      <w:bookmarkStart w:id="782" w:name="_Toc225910695"/>
      <w:bookmarkStart w:id="783" w:name="_Toc225911504"/>
      <w:bookmarkStart w:id="784" w:name="_Toc225911520"/>
      <w:bookmarkStart w:id="785" w:name="_Toc225912405"/>
      <w:bookmarkStart w:id="786" w:name="_Toc225912871"/>
      <w:bookmarkStart w:id="787" w:name="_Toc225913057"/>
      <w:bookmarkStart w:id="788" w:name="_Toc225913091"/>
      <w:bookmarkStart w:id="789" w:name="_Toc225913280"/>
      <w:bookmarkEnd w:id="6"/>
      <w:bookmarkEnd w:id="7"/>
      <w:bookmarkEnd w:id="8"/>
      <w:bookmarkEnd w:id="9"/>
      <w:bookmarkEnd w:id="10"/>
      <w:bookmarkEnd w:id="11"/>
      <w:bookmarkEnd w:id="12"/>
      <w:bookmarkEnd w:id="13"/>
      <w:bookmarkEnd w:id="14"/>
      <w:bookmarkEnd w:id="15"/>
      <w:bookmarkEnd w:id="16"/>
      <w:bookmarkEnd w:id="17"/>
      <w:bookmarkEnd w:id="18"/>
      <w:bookmarkEnd w:id="253"/>
      <w:bookmarkEnd w:id="254"/>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EC326F">
        <w:lastRenderedPageBreak/>
        <w:t>Groups of interest</w:t>
      </w:r>
      <w:bookmarkEnd w:id="749"/>
      <w:bookmarkEnd w:id="750"/>
    </w:p>
    <w:p w14:paraId="51B50F7A" w14:textId="77777777" w:rsidR="00021020" w:rsidRPr="00EC326F" w:rsidRDefault="00021020" w:rsidP="00021020">
      <w:pPr>
        <w:pStyle w:val="Heading3"/>
      </w:pPr>
      <w:bookmarkStart w:id="790" w:name="_Toc455499471"/>
      <w:bookmarkStart w:id="791" w:name="_Toc455502492"/>
      <w:bookmarkStart w:id="792" w:name="_Toc493844279"/>
      <w:r w:rsidRPr="00EC326F">
        <w:t>Introduction</w:t>
      </w:r>
      <w:bookmarkEnd w:id="790"/>
      <w:bookmarkEnd w:id="791"/>
      <w:bookmarkEnd w:id="792"/>
    </w:p>
    <w:p w14:paraId="2A1F93F6" w14:textId="77777777" w:rsidR="00FC6ECC" w:rsidRPr="00EC326F" w:rsidRDefault="00FC6ECC" w:rsidP="00FC6ECC">
      <w:pPr>
        <w:pStyle w:val="PwCNormal"/>
        <w:numPr>
          <w:ilvl w:val="0"/>
          <w:numId w:val="1"/>
        </w:numPr>
      </w:pPr>
      <w:r w:rsidRPr="00EC326F">
        <w:t xml:space="preserve">An important purpose of the actuarial valuation is to identify “groups of interest”, which have relatively high lifetime costs, but where, with more effective policy settings or interventions, those costs could be reduced and the lifetime wellbeing of the people in the group improved. These groups will effectively be candidates for the application of the investment approach. </w:t>
      </w:r>
    </w:p>
    <w:p w14:paraId="187C19A3" w14:textId="77777777" w:rsidR="00FC6ECC" w:rsidRPr="00EC326F" w:rsidRDefault="00FC6ECC" w:rsidP="00FC6ECC">
      <w:pPr>
        <w:pStyle w:val="PwCNormal"/>
        <w:numPr>
          <w:ilvl w:val="0"/>
          <w:numId w:val="1"/>
        </w:numPr>
      </w:pPr>
      <w:r w:rsidRPr="00EC326F">
        <w:t>The intention of the investment approach is to direct funding towards evidence based policy interventions which increase the chances of sustained employment and self-reliance. Over time, this may include ceasing policy settings or interventions that are shown not to reduce the lifetime costs of welfare for particular groups; introducing or strengthening policy settings or interventions that encourage self-reliance for particular groups; or investing in more tailored and effective policy settings or interventions for individuals and families who are identified as being most at risk of long-term welfare dependency.</w:t>
      </w:r>
    </w:p>
    <w:p w14:paraId="6BF050D0" w14:textId="77777777" w:rsidR="00FC6ECC" w:rsidRPr="00EC326F" w:rsidRDefault="00FC6ECC" w:rsidP="0042514D">
      <w:pPr>
        <w:pStyle w:val="PwCNormal"/>
        <w:numPr>
          <w:ilvl w:val="0"/>
          <w:numId w:val="0"/>
        </w:numPr>
      </w:pPr>
      <w:r w:rsidRPr="00EC326F">
        <w:t>In this section we provide an update on the groups of interest work undertaken for the baseline valuation and discuss the development of further groups of interest.</w:t>
      </w:r>
    </w:p>
    <w:p w14:paraId="7D592A27" w14:textId="77777777" w:rsidR="00FC6ECC" w:rsidRPr="00EC326F" w:rsidRDefault="00FC6ECC" w:rsidP="00FC6ECC">
      <w:pPr>
        <w:pStyle w:val="Heading3"/>
      </w:pPr>
      <w:bookmarkStart w:id="793" w:name="_Toc493844280"/>
      <w:r w:rsidRPr="00EC326F">
        <w:t>Baseline valuation groups of interest</w:t>
      </w:r>
      <w:bookmarkEnd w:id="793"/>
    </w:p>
    <w:p w14:paraId="60B31E44" w14:textId="77777777" w:rsidR="00FC6ECC" w:rsidRPr="00EC326F" w:rsidRDefault="00FC6ECC" w:rsidP="00FC6ECC">
      <w:pPr>
        <w:pStyle w:val="PwCNormal"/>
        <w:numPr>
          <w:ilvl w:val="0"/>
          <w:numId w:val="1"/>
        </w:numPr>
      </w:pPr>
      <w:r w:rsidRPr="00EC326F">
        <w:t xml:space="preserve">The way in which the groups were identified and described in the baseline valuation </w:t>
      </w:r>
      <w:r w:rsidR="000012FE">
        <w:t xml:space="preserve">was </w:t>
      </w:r>
      <w:r w:rsidRPr="00EC326F">
        <w:t>informed by the model structure and data, which effectively provide a sorting mechanism to facilitate system-wide thinking. This included dimensions such as age, gender, class</w:t>
      </w:r>
      <w:r w:rsidR="000012FE">
        <w:t>,</w:t>
      </w:r>
      <w:r w:rsidRPr="00EC326F">
        <w:t xml:space="preserve"> family situation, highest educational attainment, and some other factors, such as the duration of a group in a particular class.</w:t>
      </w:r>
    </w:p>
    <w:p w14:paraId="529CF988" w14:textId="77777777" w:rsidR="00FC6ECC" w:rsidRPr="00EC326F" w:rsidRDefault="00FC6ECC" w:rsidP="00FC6ECC">
      <w:pPr>
        <w:pStyle w:val="PwCNormal"/>
        <w:numPr>
          <w:ilvl w:val="0"/>
          <w:numId w:val="1"/>
        </w:numPr>
      </w:pPr>
      <w:r w:rsidRPr="00EC326F">
        <w:t>The groups of interest identified referenced the following framework which provides a structure to the overarching objective of assisting people with the capacity to work, to do so.</w:t>
      </w:r>
    </w:p>
    <w:p w14:paraId="6B1DC6A6" w14:textId="77777777" w:rsidR="00FC6ECC" w:rsidRDefault="00FC6ECC" w:rsidP="00FC6ECC">
      <w:pPr>
        <w:pStyle w:val="Caption"/>
      </w:pPr>
      <w:r w:rsidRPr="00EC326F">
        <w:t xml:space="preserve">Figure </w:t>
      </w:r>
      <w:fldSimple w:instr=" SEQ Figure \* ARABIC ">
        <w:r w:rsidR="007A42DF">
          <w:rPr>
            <w:noProof/>
          </w:rPr>
          <w:t>104</w:t>
        </w:r>
      </w:fldSimple>
      <w:r w:rsidRPr="00EC326F">
        <w:t>: Intervention framework</w:t>
      </w:r>
    </w:p>
    <w:p w14:paraId="15F3035B" w14:textId="39861669" w:rsidR="00BA2944" w:rsidRPr="00BA2944" w:rsidRDefault="00BA2944" w:rsidP="00BA2944">
      <w:bookmarkStart w:id="794" w:name="_GoBack"/>
      <w:r w:rsidRPr="00BA2944">
        <w:rPr>
          <w:noProof/>
          <w:lang w:eastAsia="en-AU"/>
        </w:rPr>
        <w:drawing>
          <wp:inline distT="0" distB="0" distL="0" distR="0" wp14:anchorId="2B862DD4" wp14:editId="75658152">
            <wp:extent cx="6264275" cy="3239967"/>
            <wp:effectExtent l="0" t="0" r="3175" b="0"/>
            <wp:docPr id="57" name="Picture 57" descr="This figure is a diagram showing the intervention framework. &#10;&#10;The diagram covers the following four points for possible intervention frameworks.&#10;&#10;The first point is prevention. Prevention can be used to keep people from entering the system by encouraging at risk groups of people to become or remain self-reliant.&#10;&#10;The second point is early intervention. Early intervention can be used to encourage people who are able, to quickly regain independence through effective triage and early support.&#10;&#10;The third point is intervention at critical stages. Intervention at critical stages can prevent people from transitioning between payment types by providing effective support at critical stages.&#10;&#10;The fourth point is intervention for long term welfare recipients. Intervention for long term welfare recipients can be used to identify and support long term welfare recipients who have capacity to reduce their dependence on the system, to do so.&#10;" title="Interven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264275" cy="3239967"/>
                    </a:xfrm>
                    <a:prstGeom prst="rect">
                      <a:avLst/>
                    </a:prstGeom>
                    <a:noFill/>
                    <a:ln>
                      <a:noFill/>
                    </a:ln>
                  </pic:spPr>
                </pic:pic>
              </a:graphicData>
            </a:graphic>
          </wp:inline>
        </w:drawing>
      </w:r>
      <w:bookmarkEnd w:id="794"/>
    </w:p>
    <w:p w14:paraId="6089492A" w14:textId="77777777" w:rsidR="00BA2944" w:rsidRDefault="00BA2944" w:rsidP="00FC6ECC">
      <w:pPr>
        <w:pStyle w:val="PwCNormal"/>
        <w:numPr>
          <w:ilvl w:val="0"/>
          <w:numId w:val="0"/>
        </w:numPr>
      </w:pPr>
    </w:p>
    <w:p w14:paraId="31847168" w14:textId="77777777" w:rsidR="00FC6ECC" w:rsidRPr="00EC326F" w:rsidRDefault="00FC6ECC" w:rsidP="00FC6ECC">
      <w:pPr>
        <w:pStyle w:val="PwCNormal"/>
        <w:numPr>
          <w:ilvl w:val="0"/>
          <w:numId w:val="0"/>
        </w:numPr>
      </w:pPr>
      <w:r w:rsidRPr="00EC326F">
        <w:t>The baseline valuation report provided a number of illustrative examples of potential groups of interest. These were presented as a straw man with the aim of facilitating further discussion and to assist the Department with their thinking on group prioritisation.</w:t>
      </w:r>
    </w:p>
    <w:p w14:paraId="40FF6039" w14:textId="77777777" w:rsidR="00FC6ECC" w:rsidRPr="00EC326F" w:rsidRDefault="00FC6ECC" w:rsidP="00FC6ECC">
      <w:pPr>
        <w:pStyle w:val="PwCNormal-keepwithnext"/>
        <w:numPr>
          <w:ilvl w:val="0"/>
          <w:numId w:val="1"/>
        </w:numPr>
      </w:pPr>
      <w:r w:rsidRPr="00EC326F">
        <w:lastRenderedPageBreak/>
        <w:t>The examples presented were as follows:</w:t>
      </w:r>
    </w:p>
    <w:p w14:paraId="201B4273" w14:textId="77777777" w:rsidR="00FC6ECC" w:rsidRPr="00EC326F" w:rsidRDefault="00FC6ECC" w:rsidP="00FC6ECC">
      <w:pPr>
        <w:pStyle w:val="Caption"/>
      </w:pPr>
      <w:r w:rsidRPr="00EC326F">
        <w:t xml:space="preserve">Table </w:t>
      </w:r>
      <w:fldSimple w:instr=" SEQ Table \* ARABIC ">
        <w:r w:rsidR="007A42DF">
          <w:rPr>
            <w:noProof/>
          </w:rPr>
          <w:t>51</w:t>
        </w:r>
      </w:fldSimple>
      <w:r w:rsidRPr="00EC326F">
        <w:t>: Illustrative examples of potential groups of interest</w:t>
      </w:r>
    </w:p>
    <w:tbl>
      <w:tblPr>
        <w:tblStyle w:val="ListTable3-Accent61"/>
        <w:tblW w:w="0" w:type="auto"/>
        <w:tblInd w:w="108" w:type="dxa"/>
        <w:tblLook w:val="04A0" w:firstRow="1" w:lastRow="0" w:firstColumn="1" w:lastColumn="0" w:noHBand="0" w:noVBand="1"/>
        <w:tblCaption w:val=" Illustrative examples of potential groups of interest&#10;"/>
        <w:tblDescription w:val="This table displays illustrative examples of the invention framework shown in Figure 104 based on potential groups of interest.&#10;&#10;The left most column lists elements of the intervention framework shown in figure 104. The second column lists examples relevant to specific framework domain.&#10;&#10;The first framework element is ‘Prevention’. Examples provided include;&#10;•  Post age 55 entry into working age income support&#10;• Exits within previous 3 years&#10;• Teenage entry into studying income support&#10;&#10;The second framework element is “Early Invention”. Examples provided include;&#10;• Young carers entering between ages 15 and 24&#10;• Young parents&#10;&#10;The third framework element listed is “Intervention at Critical stages”. The relevant examples are;&#10;• Parents transitioning into working age payments&#10;• Students who transition to working age payments&#10;• Working age to disability support pension transitions&#10;• Older people entering carer payment (those over pension age)&#10;&#10;The final framework element listed is “Intervention for long term welfare recipients”. No particular groups were identified in the baseline report, however this would be relevant for any long term income support recipients&#10;"/>
      </w:tblPr>
      <w:tblGrid>
        <w:gridCol w:w="3828"/>
        <w:gridCol w:w="5670"/>
      </w:tblGrid>
      <w:tr w:rsidR="00FC6ECC" w:rsidRPr="00EC326F" w14:paraId="774E2CA7"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50D10427" w14:textId="77777777" w:rsidR="00FC6ECC" w:rsidRPr="00EC326F" w:rsidRDefault="00FC6ECC" w:rsidP="0042514D">
            <w:pPr>
              <w:pStyle w:val="TableColumnHeadingSmall"/>
            </w:pPr>
            <w:r w:rsidRPr="00EC326F">
              <w:t>Framework domain</w:t>
            </w:r>
          </w:p>
        </w:tc>
        <w:tc>
          <w:tcPr>
            <w:tcW w:w="5670" w:type="dxa"/>
          </w:tcPr>
          <w:p w14:paraId="7D9925DB" w14:textId="77777777" w:rsidR="00FC6ECC" w:rsidRPr="00EC326F" w:rsidRDefault="00FC6ECC" w:rsidP="0042514D">
            <w:pPr>
              <w:pStyle w:val="TableColumnHeadingSmall"/>
              <w:cnfStyle w:val="100000000000" w:firstRow="1" w:lastRow="0" w:firstColumn="0" w:lastColumn="0" w:oddVBand="0" w:evenVBand="0" w:oddHBand="0" w:evenHBand="0" w:firstRowFirstColumn="0" w:firstRowLastColumn="0" w:lastRowFirstColumn="0" w:lastRowLastColumn="0"/>
            </w:pPr>
            <w:r w:rsidRPr="00EC326F">
              <w:t>Examples</w:t>
            </w:r>
          </w:p>
        </w:tc>
      </w:tr>
      <w:tr w:rsidR="00FC6ECC" w:rsidRPr="00EC326F" w14:paraId="42D62E56" w14:textId="77777777" w:rsidTr="0042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D140AAB" w14:textId="77777777" w:rsidR="00FC6ECC" w:rsidRPr="00EC326F" w:rsidRDefault="00FC6ECC" w:rsidP="0042514D">
            <w:pPr>
              <w:pStyle w:val="TableTextSmall"/>
            </w:pPr>
            <w:r w:rsidRPr="00EC326F">
              <w:t>Prevention</w:t>
            </w:r>
          </w:p>
        </w:tc>
        <w:tc>
          <w:tcPr>
            <w:tcW w:w="5670" w:type="dxa"/>
          </w:tcPr>
          <w:p w14:paraId="54E9E94F" w14:textId="77777777" w:rsidR="00FC6ECC" w:rsidRPr="00EC326F" w:rsidRDefault="00FC6ECC" w:rsidP="0042514D">
            <w:pPr>
              <w:pStyle w:val="TableBullet1Small"/>
              <w:cnfStyle w:val="000000100000" w:firstRow="0" w:lastRow="0" w:firstColumn="0" w:lastColumn="0" w:oddVBand="0" w:evenVBand="0" w:oddHBand="1" w:evenHBand="0" w:firstRowFirstColumn="0" w:firstRowLastColumn="0" w:lastRowFirstColumn="0" w:lastRowLastColumn="0"/>
            </w:pPr>
            <w:r w:rsidRPr="00EC326F">
              <w:t>Post age 55 entry into working age income support</w:t>
            </w:r>
          </w:p>
          <w:p w14:paraId="2CA85577" w14:textId="77777777" w:rsidR="00FC6ECC" w:rsidRPr="00EC326F" w:rsidRDefault="00FC6ECC" w:rsidP="0042514D">
            <w:pPr>
              <w:pStyle w:val="TableBullet1Small"/>
              <w:cnfStyle w:val="000000100000" w:firstRow="0" w:lastRow="0" w:firstColumn="0" w:lastColumn="0" w:oddVBand="0" w:evenVBand="0" w:oddHBand="1" w:evenHBand="0" w:firstRowFirstColumn="0" w:firstRowLastColumn="0" w:lastRowFirstColumn="0" w:lastRowLastColumn="0"/>
            </w:pPr>
            <w:r w:rsidRPr="00EC326F">
              <w:t>Exits within previous 3 years</w:t>
            </w:r>
          </w:p>
          <w:p w14:paraId="50E380EF" w14:textId="77777777" w:rsidR="00FC6ECC" w:rsidRPr="00EC326F" w:rsidRDefault="00FC6ECC" w:rsidP="0042514D">
            <w:pPr>
              <w:pStyle w:val="TableBullet1Small"/>
              <w:cnfStyle w:val="000000100000" w:firstRow="0" w:lastRow="0" w:firstColumn="0" w:lastColumn="0" w:oddVBand="0" w:evenVBand="0" w:oddHBand="1" w:evenHBand="0" w:firstRowFirstColumn="0" w:firstRowLastColumn="0" w:lastRowFirstColumn="0" w:lastRowLastColumn="0"/>
            </w:pPr>
            <w:r w:rsidRPr="00EC326F">
              <w:t>Teenage entry into studying income support</w:t>
            </w:r>
          </w:p>
        </w:tc>
      </w:tr>
      <w:tr w:rsidR="00FC6ECC" w:rsidRPr="00EC326F" w14:paraId="3B60C291" w14:textId="77777777" w:rsidTr="0042514D">
        <w:tc>
          <w:tcPr>
            <w:cnfStyle w:val="001000000000" w:firstRow="0" w:lastRow="0" w:firstColumn="1" w:lastColumn="0" w:oddVBand="0" w:evenVBand="0" w:oddHBand="0" w:evenHBand="0" w:firstRowFirstColumn="0" w:firstRowLastColumn="0" w:lastRowFirstColumn="0" w:lastRowLastColumn="0"/>
            <w:tcW w:w="3828" w:type="dxa"/>
          </w:tcPr>
          <w:p w14:paraId="2DBC6718" w14:textId="77777777" w:rsidR="00FC6ECC" w:rsidRPr="00EC326F" w:rsidRDefault="00FC6ECC" w:rsidP="0042514D">
            <w:pPr>
              <w:pStyle w:val="TableTextSmall"/>
            </w:pPr>
            <w:r w:rsidRPr="00EC326F">
              <w:t>Early Intervention</w:t>
            </w:r>
          </w:p>
        </w:tc>
        <w:tc>
          <w:tcPr>
            <w:tcW w:w="5670" w:type="dxa"/>
          </w:tcPr>
          <w:p w14:paraId="2FCBD2FF" w14:textId="77777777" w:rsidR="00FC6ECC" w:rsidRPr="00EC326F" w:rsidRDefault="00FC6ECC" w:rsidP="0042514D">
            <w:pPr>
              <w:pStyle w:val="TableBullet1Small"/>
              <w:cnfStyle w:val="000000000000" w:firstRow="0" w:lastRow="0" w:firstColumn="0" w:lastColumn="0" w:oddVBand="0" w:evenVBand="0" w:oddHBand="0" w:evenHBand="0" w:firstRowFirstColumn="0" w:firstRowLastColumn="0" w:lastRowFirstColumn="0" w:lastRowLastColumn="0"/>
            </w:pPr>
            <w:r w:rsidRPr="00EC326F">
              <w:t>Young carers entering between ages 15 and 24</w:t>
            </w:r>
          </w:p>
          <w:p w14:paraId="396A3ADB" w14:textId="77777777" w:rsidR="00FC6ECC" w:rsidRPr="00EC326F" w:rsidRDefault="00FC6ECC" w:rsidP="0042514D">
            <w:pPr>
              <w:pStyle w:val="TableBullet1Small"/>
              <w:cnfStyle w:val="000000000000" w:firstRow="0" w:lastRow="0" w:firstColumn="0" w:lastColumn="0" w:oddVBand="0" w:evenVBand="0" w:oddHBand="0" w:evenHBand="0" w:firstRowFirstColumn="0" w:firstRowLastColumn="0" w:lastRowFirstColumn="0" w:lastRowLastColumn="0"/>
            </w:pPr>
            <w:r w:rsidRPr="00EC326F">
              <w:t>Young parents</w:t>
            </w:r>
          </w:p>
        </w:tc>
      </w:tr>
      <w:tr w:rsidR="00FC6ECC" w:rsidRPr="00EC326F" w14:paraId="6CBE31DD" w14:textId="77777777" w:rsidTr="0042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A151ACF" w14:textId="77777777" w:rsidR="00FC6ECC" w:rsidRPr="00EC326F" w:rsidRDefault="00FC6ECC" w:rsidP="0042514D">
            <w:pPr>
              <w:pStyle w:val="TableTextSmall"/>
            </w:pPr>
            <w:r w:rsidRPr="00EC326F">
              <w:t>Intervention at Critical stages</w:t>
            </w:r>
          </w:p>
        </w:tc>
        <w:tc>
          <w:tcPr>
            <w:tcW w:w="5670" w:type="dxa"/>
          </w:tcPr>
          <w:p w14:paraId="66B21A6A" w14:textId="77777777" w:rsidR="00FC6ECC" w:rsidRPr="00EC326F" w:rsidRDefault="00FC6ECC" w:rsidP="0042514D">
            <w:pPr>
              <w:pStyle w:val="TableBullet1Small"/>
              <w:cnfStyle w:val="000000100000" w:firstRow="0" w:lastRow="0" w:firstColumn="0" w:lastColumn="0" w:oddVBand="0" w:evenVBand="0" w:oddHBand="1" w:evenHBand="0" w:firstRowFirstColumn="0" w:firstRowLastColumn="0" w:lastRowFirstColumn="0" w:lastRowLastColumn="0"/>
            </w:pPr>
            <w:r w:rsidRPr="00EC326F">
              <w:t>Parents transitioning into working age payments</w:t>
            </w:r>
          </w:p>
          <w:p w14:paraId="59AC3C95" w14:textId="77777777" w:rsidR="00FC6ECC" w:rsidRPr="00EC326F" w:rsidRDefault="00FC6ECC" w:rsidP="0042514D">
            <w:pPr>
              <w:pStyle w:val="TableBullet1Small"/>
              <w:cnfStyle w:val="000000100000" w:firstRow="0" w:lastRow="0" w:firstColumn="0" w:lastColumn="0" w:oddVBand="0" w:evenVBand="0" w:oddHBand="1" w:evenHBand="0" w:firstRowFirstColumn="0" w:firstRowLastColumn="0" w:lastRowFirstColumn="0" w:lastRowLastColumn="0"/>
            </w:pPr>
            <w:r w:rsidRPr="00EC326F">
              <w:t>Students who transition to working age payments</w:t>
            </w:r>
          </w:p>
          <w:p w14:paraId="3F9D056F" w14:textId="77777777" w:rsidR="00FC6ECC" w:rsidRPr="00EC326F" w:rsidRDefault="00FC6ECC" w:rsidP="0042514D">
            <w:pPr>
              <w:pStyle w:val="TableBullet1Small"/>
              <w:cnfStyle w:val="000000100000" w:firstRow="0" w:lastRow="0" w:firstColumn="0" w:lastColumn="0" w:oddVBand="0" w:evenVBand="0" w:oddHBand="1" w:evenHBand="0" w:firstRowFirstColumn="0" w:firstRowLastColumn="0" w:lastRowFirstColumn="0" w:lastRowLastColumn="0"/>
            </w:pPr>
            <w:r w:rsidRPr="00EC326F">
              <w:t>Working age to disability support pension transitions</w:t>
            </w:r>
          </w:p>
          <w:p w14:paraId="05E63CFC" w14:textId="77777777" w:rsidR="00FC6ECC" w:rsidRPr="00EC326F" w:rsidRDefault="00FC6ECC" w:rsidP="0042514D">
            <w:pPr>
              <w:pStyle w:val="TableBullet1Small"/>
              <w:cnfStyle w:val="000000100000" w:firstRow="0" w:lastRow="0" w:firstColumn="0" w:lastColumn="0" w:oddVBand="0" w:evenVBand="0" w:oddHBand="1" w:evenHBand="0" w:firstRowFirstColumn="0" w:firstRowLastColumn="0" w:lastRowFirstColumn="0" w:lastRowLastColumn="0"/>
            </w:pPr>
            <w:r w:rsidRPr="00EC326F">
              <w:t>Older people entering carer payment (those over pension age)</w:t>
            </w:r>
          </w:p>
        </w:tc>
      </w:tr>
      <w:tr w:rsidR="00FC6ECC" w:rsidRPr="00EC326F" w14:paraId="2CF25C28" w14:textId="77777777" w:rsidTr="0042514D">
        <w:tc>
          <w:tcPr>
            <w:cnfStyle w:val="001000000000" w:firstRow="0" w:lastRow="0" w:firstColumn="1" w:lastColumn="0" w:oddVBand="0" w:evenVBand="0" w:oddHBand="0" w:evenHBand="0" w:firstRowFirstColumn="0" w:firstRowLastColumn="0" w:lastRowFirstColumn="0" w:lastRowLastColumn="0"/>
            <w:tcW w:w="3828" w:type="dxa"/>
          </w:tcPr>
          <w:p w14:paraId="578BCC77" w14:textId="77777777" w:rsidR="00FC6ECC" w:rsidRPr="00EC326F" w:rsidRDefault="00FC6ECC" w:rsidP="0042514D">
            <w:pPr>
              <w:pStyle w:val="TableTextSmall"/>
            </w:pPr>
            <w:r w:rsidRPr="00EC326F">
              <w:t>Intervention for long term welfare recipients</w:t>
            </w:r>
          </w:p>
        </w:tc>
        <w:tc>
          <w:tcPr>
            <w:tcW w:w="5670" w:type="dxa"/>
          </w:tcPr>
          <w:p w14:paraId="292FE1B3" w14:textId="77777777" w:rsidR="00FC6ECC" w:rsidRPr="00EC326F" w:rsidRDefault="00FC6ECC" w:rsidP="0042514D">
            <w:pPr>
              <w:pStyle w:val="TableTextSmall"/>
              <w:cnfStyle w:val="000000000000" w:firstRow="0" w:lastRow="0" w:firstColumn="0" w:lastColumn="0" w:oddVBand="0" w:evenVBand="0" w:oddHBand="0" w:evenHBand="0" w:firstRowFirstColumn="0" w:firstRowLastColumn="0" w:lastRowFirstColumn="0" w:lastRowLastColumn="0"/>
            </w:pPr>
            <w:r w:rsidRPr="00EC326F">
              <w:t>No particular groups were identified in the baseline report, however this would be relevant for any long term income support recipients</w:t>
            </w:r>
          </w:p>
        </w:tc>
      </w:tr>
    </w:tbl>
    <w:p w14:paraId="68C632FC" w14:textId="77777777" w:rsidR="00FC6ECC" w:rsidRPr="00EC326F" w:rsidRDefault="00FC6ECC" w:rsidP="00FC6ECC">
      <w:pPr>
        <w:pStyle w:val="PwCNormal-Single"/>
      </w:pPr>
    </w:p>
    <w:p w14:paraId="169EE031" w14:textId="77777777" w:rsidR="00FC6ECC" w:rsidRPr="00EC326F" w:rsidRDefault="00FC6ECC" w:rsidP="00FC6ECC">
      <w:pPr>
        <w:pStyle w:val="PwCNormal"/>
        <w:numPr>
          <w:ilvl w:val="0"/>
          <w:numId w:val="0"/>
        </w:numPr>
      </w:pPr>
      <w:r w:rsidRPr="00EC326F">
        <w:t>Following the baseline valuation the Department undertook further work and identified three initial groups of interest:</w:t>
      </w:r>
    </w:p>
    <w:p w14:paraId="680B67D4" w14:textId="77777777" w:rsidR="00FC6ECC" w:rsidRPr="00EC326F" w:rsidRDefault="00FC6ECC" w:rsidP="00FC6ECC">
      <w:pPr>
        <w:pStyle w:val="ListBullet"/>
      </w:pPr>
      <w:r w:rsidRPr="00EC326F">
        <w:t>Young parents</w:t>
      </w:r>
    </w:p>
    <w:p w14:paraId="189B1A6B" w14:textId="77777777" w:rsidR="00FC6ECC" w:rsidRPr="00EC326F" w:rsidRDefault="00FC6ECC" w:rsidP="00FC6ECC">
      <w:pPr>
        <w:pStyle w:val="ListBullet"/>
      </w:pPr>
      <w:r w:rsidRPr="00EC326F">
        <w:t>Young carers</w:t>
      </w:r>
    </w:p>
    <w:p w14:paraId="11512BA7" w14:textId="77777777" w:rsidR="00FC6ECC" w:rsidRPr="00EC326F" w:rsidRDefault="00FC6ECC" w:rsidP="00FC6ECC">
      <w:pPr>
        <w:pStyle w:val="ListBullet"/>
      </w:pPr>
      <w:r w:rsidRPr="00EC326F">
        <w:t>Students transitioning to working age</w:t>
      </w:r>
    </w:p>
    <w:p w14:paraId="720462A8" w14:textId="77777777" w:rsidR="00FC6ECC" w:rsidRPr="00EC326F" w:rsidRDefault="00FC6ECC" w:rsidP="00FC6ECC">
      <w:pPr>
        <w:pStyle w:val="PwCNormal"/>
        <w:numPr>
          <w:ilvl w:val="0"/>
          <w:numId w:val="0"/>
        </w:numPr>
      </w:pPr>
      <w:r w:rsidRPr="00EC326F">
        <w:t>The work to develop, test and implement interventions for these groups is outside of the scope of this actuarial report.</w:t>
      </w:r>
    </w:p>
    <w:p w14:paraId="2D49C1B1" w14:textId="77777777" w:rsidR="00FC6ECC" w:rsidRPr="00EC326F" w:rsidRDefault="00FC6ECC" w:rsidP="00FC6ECC">
      <w:pPr>
        <w:pStyle w:val="Heading3"/>
      </w:pPr>
      <w:bookmarkStart w:id="795" w:name="_Toc493844281"/>
      <w:r w:rsidRPr="00EC326F">
        <w:t>Update on initial groups of interest</w:t>
      </w:r>
      <w:bookmarkEnd w:id="795"/>
    </w:p>
    <w:p w14:paraId="0198641E" w14:textId="77777777" w:rsidR="00D9776D" w:rsidRPr="00EC326F" w:rsidRDefault="00D9776D" w:rsidP="00D9776D">
      <w:pPr>
        <w:pStyle w:val="Heading4"/>
      </w:pPr>
      <w:r w:rsidRPr="00EC326F">
        <w:t>Young parents</w:t>
      </w:r>
    </w:p>
    <w:p w14:paraId="4E458AF2" w14:textId="77777777" w:rsidR="00D9776D" w:rsidRPr="00EC326F" w:rsidRDefault="00D9776D" w:rsidP="00D9776D">
      <w:pPr>
        <w:pStyle w:val="PwCNormal"/>
        <w:numPr>
          <w:ilvl w:val="0"/>
          <w:numId w:val="0"/>
        </w:numPr>
      </w:pPr>
      <w:r w:rsidRPr="00EC326F">
        <w:t>The baseline valuation demonstrated that young parents aged 18 and under are particularly vulnerable to welfare dependency. There were 4,370 young people who were receiving a parenting payment during 2014-15.</w:t>
      </w:r>
    </w:p>
    <w:p w14:paraId="5CF03AA8" w14:textId="77777777" w:rsidR="00D9776D" w:rsidRPr="00EC326F" w:rsidRDefault="00D9776D" w:rsidP="00D9776D">
      <w:pPr>
        <w:pStyle w:val="PwCNormal"/>
        <w:numPr>
          <w:ilvl w:val="0"/>
          <w:numId w:val="0"/>
        </w:numPr>
      </w:pPr>
      <w:r w:rsidRPr="00EC326F">
        <w:t>The table below provides a summary of key statistics for this group and the equivalent group identified at 30 June 2016 based on the payment experience over the 2015-16 year.</w:t>
      </w:r>
    </w:p>
    <w:p w14:paraId="0707350C" w14:textId="77777777" w:rsidR="00D9776D" w:rsidRPr="00EC326F" w:rsidRDefault="00FC6ECC" w:rsidP="00D9776D">
      <w:pPr>
        <w:pStyle w:val="Caption"/>
      </w:pPr>
      <w:r w:rsidRPr="00EC326F">
        <w:t xml:space="preserve">Table </w:t>
      </w:r>
      <w:fldSimple w:instr=" SEQ Table \* ARABIC ">
        <w:r w:rsidR="007A42DF">
          <w:rPr>
            <w:noProof/>
          </w:rPr>
          <w:t>52</w:t>
        </w:r>
      </w:fldSimple>
      <w:r w:rsidRPr="00EC326F">
        <w:t>: Summary of key statistics for young parents</w:t>
      </w:r>
    </w:p>
    <w:tbl>
      <w:tblPr>
        <w:tblStyle w:val="ListTable3-Accent61"/>
        <w:tblW w:w="9923" w:type="dxa"/>
        <w:tblInd w:w="108" w:type="dxa"/>
        <w:tblLook w:val="04A0" w:firstRow="1" w:lastRow="0" w:firstColumn="1" w:lastColumn="0" w:noHBand="0" w:noVBand="1"/>
        <w:tblCaption w:val=" Summary of key statistics for young parents&#10;"/>
        <w:tblDescription w:val="This table summaries and compares the Jun15 and Jun16 key statistics for the young parents group of interest. &#10;&#10;The key statistics provided for 2015 and 2016 are; number of people, average lifetime cost, expected outcomes in 10 years’ time, Expected outcomes in 20 years’ time, expected outcomes over remainder of future lifetime, and proportion with employment earnings over last year. &#10;&#10;In the 2015 valuation there were 4,370 people in this group of interest compared to 3,760 in the 2016 valuation.&#10;&#10;The average lifetime cost for this group of interest was $547,000 under the 2015 valuation and $626,000 in the 2016 valuation. &#10;&#10;In the 2015 valuation, the expected outcomes for this group of interest in 10 years’ time were:&#10;• 72% still receiving income support&#10;• 23% receiving other payments&#10;• 5% not receiving welfare&#10;&#10;In the 2016 valuation, the expected outcomes for this group of interest in 10 years’ time were:&#10;• 79% still receiving income support&#10;• 16% receiving other payments&#10;• 5% not receiving welfare&#10;&#10;In the 2015 valuation, the expected outcomes for this group of interest in 20 years’ time were:&#10;• 43% still receiving income support &#10;• 39% receiving other payments&#10;• 18% not receiving welfare&#10;&#10;In the 2016 valuation, the expected outcomes for this group of interest in 20 years’ time were:&#10;• 57% still receiving income support&#10;• 24% receiving other payments&#10;• 19% not receiving welfare&#10;&#10;In the 2015 valuation, the expected outcomes for this group of interest over the remainder of their future lifetime were:&#10;• 28 years receiving income support payments (excl. Age Pension)&#10;• 9 years receiving non-income support payments only&#10;• 16 years not receiving welfare&#10;• 18 years receiving Age Pension&#10;&#10;In the 2016 valuation, the expected outcomes for this group of interest over the remainder of their future lifetime were:&#10;• 31 years receiving income support payments (excl. Age Pension)&#10;• 7 years receiving non-income support payments only&#10;• 16 years not receiving welfare&#10;• 17 years receiving Age Pension&#10;&#10;The proportion of this group of interest with employment earnings over the last year was 6% in the 2016 valuation. This statistic was not available in the 2015 valuation.&#10;"/>
      </w:tblPr>
      <w:tblGrid>
        <w:gridCol w:w="2127"/>
        <w:gridCol w:w="3898"/>
        <w:gridCol w:w="3898"/>
      </w:tblGrid>
      <w:tr w:rsidR="00D9776D" w:rsidRPr="00EC326F" w14:paraId="67BDA87F" w14:textId="77777777" w:rsidTr="007C24C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tcPr>
          <w:p w14:paraId="3A8AC40F" w14:textId="77777777" w:rsidR="00D9776D" w:rsidRPr="00EC326F" w:rsidRDefault="00D9776D" w:rsidP="007C24C8">
            <w:pPr>
              <w:pStyle w:val="TableColumnHeadingSmall"/>
            </w:pPr>
            <w:r w:rsidRPr="00EC326F">
              <w:t>Key statistic</w:t>
            </w:r>
          </w:p>
        </w:tc>
        <w:tc>
          <w:tcPr>
            <w:tcW w:w="3898" w:type="dxa"/>
          </w:tcPr>
          <w:p w14:paraId="78903DDA" w14:textId="77777777" w:rsidR="00D9776D" w:rsidRPr="00EC326F" w:rsidRDefault="00D9776D" w:rsidP="007C24C8">
            <w:pPr>
              <w:pStyle w:val="TableColumnHeadingSmall"/>
              <w:cnfStyle w:val="100000000000" w:firstRow="1" w:lastRow="0" w:firstColumn="0" w:lastColumn="0" w:oddVBand="0" w:evenVBand="0" w:oddHBand="0" w:evenHBand="0" w:firstRowFirstColumn="0" w:firstRowLastColumn="0" w:lastRowFirstColumn="0" w:lastRowLastColumn="0"/>
            </w:pPr>
            <w:r w:rsidRPr="00EC326F">
              <w:t>2015 valuation</w:t>
            </w:r>
          </w:p>
        </w:tc>
        <w:tc>
          <w:tcPr>
            <w:tcW w:w="3898" w:type="dxa"/>
          </w:tcPr>
          <w:p w14:paraId="50A1BC32" w14:textId="77777777" w:rsidR="00D9776D" w:rsidRPr="00EC326F" w:rsidRDefault="00D9776D" w:rsidP="007C24C8">
            <w:pPr>
              <w:pStyle w:val="TableColumnHeadingSmall"/>
              <w:cnfStyle w:val="100000000000" w:firstRow="1" w:lastRow="0" w:firstColumn="0" w:lastColumn="0" w:oddVBand="0" w:evenVBand="0" w:oddHBand="0" w:evenHBand="0" w:firstRowFirstColumn="0" w:firstRowLastColumn="0" w:lastRowFirstColumn="0" w:lastRowLastColumn="0"/>
            </w:pPr>
            <w:r w:rsidRPr="00EC326F">
              <w:t>2016 valuation</w:t>
            </w:r>
          </w:p>
        </w:tc>
      </w:tr>
      <w:tr w:rsidR="00D9776D" w:rsidRPr="00EC326F" w14:paraId="4578F486" w14:textId="77777777" w:rsidTr="007C24C8">
        <w:trPr>
          <w:cnfStyle w:val="000000100000" w:firstRow="0" w:lastRow="0" w:firstColumn="0" w:lastColumn="0" w:oddVBand="0" w:evenVBand="0" w:oddHBand="1" w:evenHBand="0" w:firstRowFirstColumn="0" w:firstRowLastColumn="0" w:lastRowFirstColumn="0" w:lastRowLastColumn="0"/>
          <w:cantSplit/>
          <w:trHeight w:val="462"/>
        </w:trPr>
        <w:tc>
          <w:tcPr>
            <w:cnfStyle w:val="001000000000" w:firstRow="0" w:lastRow="0" w:firstColumn="1" w:lastColumn="0" w:oddVBand="0" w:evenVBand="0" w:oddHBand="0" w:evenHBand="0" w:firstRowFirstColumn="0" w:firstRowLastColumn="0" w:lastRowFirstColumn="0" w:lastRowLastColumn="0"/>
            <w:tcW w:w="2127" w:type="dxa"/>
          </w:tcPr>
          <w:p w14:paraId="71F60446" w14:textId="77777777" w:rsidR="00D9776D" w:rsidRPr="00EC326F" w:rsidRDefault="00D9776D" w:rsidP="007C24C8">
            <w:pPr>
              <w:pStyle w:val="TableTextSmall"/>
            </w:pPr>
            <w:r w:rsidRPr="00EC326F">
              <w:t>Number of people</w:t>
            </w:r>
          </w:p>
        </w:tc>
        <w:tc>
          <w:tcPr>
            <w:tcW w:w="3898" w:type="dxa"/>
            <w:vAlign w:val="center"/>
          </w:tcPr>
          <w:p w14:paraId="060EE01A" w14:textId="77777777" w:rsidR="00D9776D" w:rsidRPr="00EC326F" w:rsidRDefault="00D9776D" w:rsidP="007C24C8">
            <w:pP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4,370</w:t>
            </w:r>
          </w:p>
        </w:tc>
        <w:tc>
          <w:tcPr>
            <w:tcW w:w="3898" w:type="dxa"/>
            <w:vAlign w:val="center"/>
          </w:tcPr>
          <w:p w14:paraId="03B803DD" w14:textId="77777777" w:rsidR="00D9776D" w:rsidRPr="00EC326F" w:rsidRDefault="00D9776D" w:rsidP="007C24C8">
            <w:pP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3,760</w:t>
            </w:r>
          </w:p>
        </w:tc>
      </w:tr>
      <w:tr w:rsidR="00D9776D" w:rsidRPr="00EC326F" w14:paraId="5034DFD4" w14:textId="77777777" w:rsidTr="007C24C8">
        <w:trPr>
          <w:cantSplit/>
        </w:trPr>
        <w:tc>
          <w:tcPr>
            <w:cnfStyle w:val="001000000000" w:firstRow="0" w:lastRow="0" w:firstColumn="1" w:lastColumn="0" w:oddVBand="0" w:evenVBand="0" w:oddHBand="0" w:evenHBand="0" w:firstRowFirstColumn="0" w:firstRowLastColumn="0" w:lastRowFirstColumn="0" w:lastRowLastColumn="0"/>
            <w:tcW w:w="2127" w:type="dxa"/>
          </w:tcPr>
          <w:p w14:paraId="4C499E35" w14:textId="77777777" w:rsidR="00D9776D" w:rsidRPr="00EC326F" w:rsidRDefault="00D9776D" w:rsidP="007C24C8">
            <w:pPr>
              <w:pStyle w:val="TableTextSmall"/>
            </w:pPr>
            <w:r w:rsidRPr="00EC326F">
              <w:t>Average lifetime cost</w:t>
            </w:r>
          </w:p>
        </w:tc>
        <w:tc>
          <w:tcPr>
            <w:tcW w:w="3898" w:type="dxa"/>
            <w:vAlign w:val="center"/>
          </w:tcPr>
          <w:p w14:paraId="3F4735D0" w14:textId="77777777" w:rsidR="00D9776D" w:rsidRPr="00EC326F" w:rsidRDefault="00D9776D" w:rsidP="007C24C8">
            <w:pPr>
              <w:cnfStyle w:val="000000000000" w:firstRow="0" w:lastRow="0" w:firstColumn="0" w:lastColumn="0" w:oddVBand="0" w:evenVBand="0" w:oddHBand="0" w:evenHBand="0" w:firstRowFirstColumn="0" w:firstRowLastColumn="0" w:lastRowFirstColumn="0" w:lastRowLastColumn="0"/>
              <w:rPr>
                <w:sz w:val="16"/>
                <w:szCs w:val="16"/>
                <w:highlight w:val="green"/>
              </w:rPr>
            </w:pPr>
            <w:r w:rsidRPr="00EC326F">
              <w:rPr>
                <w:sz w:val="16"/>
                <w:szCs w:val="16"/>
              </w:rPr>
              <w:t>$547,000</w:t>
            </w:r>
          </w:p>
        </w:tc>
        <w:tc>
          <w:tcPr>
            <w:tcW w:w="3898" w:type="dxa"/>
            <w:vAlign w:val="center"/>
          </w:tcPr>
          <w:p w14:paraId="29E84F3F" w14:textId="28BC81D6" w:rsidR="00D9776D" w:rsidRPr="00EC326F" w:rsidRDefault="00D9776D" w:rsidP="00DD6CBE">
            <w:pP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$6</w:t>
            </w:r>
            <w:r w:rsidR="00DD6CBE">
              <w:rPr>
                <w:sz w:val="16"/>
                <w:szCs w:val="16"/>
              </w:rPr>
              <w:t>48</w:t>
            </w:r>
            <w:r w:rsidRPr="00EC326F">
              <w:rPr>
                <w:sz w:val="16"/>
                <w:szCs w:val="16"/>
              </w:rPr>
              <w:t>,000</w:t>
            </w:r>
          </w:p>
        </w:tc>
      </w:tr>
      <w:tr w:rsidR="00D9776D" w:rsidRPr="00EC326F" w14:paraId="1D64F0DF" w14:textId="77777777" w:rsidTr="007C24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177BADD9" w14:textId="77777777" w:rsidR="00D9776D" w:rsidRPr="00EC326F" w:rsidRDefault="00D9776D" w:rsidP="007C24C8">
            <w:pPr>
              <w:pStyle w:val="TableTextSmall"/>
            </w:pPr>
            <w:r w:rsidRPr="00EC326F">
              <w:t>Expected outcomes in 10 years</w:t>
            </w:r>
            <w:r w:rsidR="00945A3A">
              <w:t>’</w:t>
            </w:r>
            <w:r w:rsidRPr="00EC326F">
              <w:t xml:space="preserve"> time</w:t>
            </w:r>
          </w:p>
        </w:tc>
        <w:tc>
          <w:tcPr>
            <w:tcW w:w="3898" w:type="dxa"/>
          </w:tcPr>
          <w:p w14:paraId="7EC90B89"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72% still receiving income support</w:t>
            </w:r>
          </w:p>
          <w:p w14:paraId="01CC7F55"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23% receiving other payments</w:t>
            </w:r>
          </w:p>
          <w:p w14:paraId="1D3D9D66"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5% not receiving welfare</w:t>
            </w:r>
          </w:p>
        </w:tc>
        <w:tc>
          <w:tcPr>
            <w:tcW w:w="3898" w:type="dxa"/>
          </w:tcPr>
          <w:p w14:paraId="5FCC0A67"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79% still receiving income support</w:t>
            </w:r>
          </w:p>
          <w:p w14:paraId="31B7F2AD"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16% receiving other payments</w:t>
            </w:r>
          </w:p>
          <w:p w14:paraId="78E5A7D8"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5% not receiving welfare</w:t>
            </w:r>
          </w:p>
        </w:tc>
      </w:tr>
      <w:tr w:rsidR="00D9776D" w:rsidRPr="00EC326F" w14:paraId="4CD32696" w14:textId="77777777" w:rsidTr="007C24C8">
        <w:trPr>
          <w:cantSplit/>
        </w:trPr>
        <w:tc>
          <w:tcPr>
            <w:cnfStyle w:val="001000000000" w:firstRow="0" w:lastRow="0" w:firstColumn="1" w:lastColumn="0" w:oddVBand="0" w:evenVBand="0" w:oddHBand="0" w:evenHBand="0" w:firstRowFirstColumn="0" w:firstRowLastColumn="0" w:lastRowFirstColumn="0" w:lastRowLastColumn="0"/>
            <w:tcW w:w="2127" w:type="dxa"/>
          </w:tcPr>
          <w:p w14:paraId="447967F7" w14:textId="77777777" w:rsidR="00D9776D" w:rsidRPr="00EC326F" w:rsidRDefault="00D9776D" w:rsidP="007C24C8">
            <w:pPr>
              <w:pStyle w:val="TableTextSmall"/>
            </w:pPr>
            <w:r w:rsidRPr="00EC326F">
              <w:t>Expected outcomes in 20 years</w:t>
            </w:r>
            <w:r w:rsidR="00945A3A">
              <w:t>’</w:t>
            </w:r>
            <w:r w:rsidRPr="00EC326F">
              <w:t xml:space="preserve"> time</w:t>
            </w:r>
          </w:p>
        </w:tc>
        <w:tc>
          <w:tcPr>
            <w:tcW w:w="3898" w:type="dxa"/>
          </w:tcPr>
          <w:p w14:paraId="0096371E"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 xml:space="preserve">43% still receiving income support </w:t>
            </w:r>
          </w:p>
          <w:p w14:paraId="1DCD18D9"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39% receiving other payments</w:t>
            </w:r>
          </w:p>
          <w:p w14:paraId="603EF0FB"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18% not receiving welfare</w:t>
            </w:r>
          </w:p>
        </w:tc>
        <w:tc>
          <w:tcPr>
            <w:tcW w:w="3898" w:type="dxa"/>
          </w:tcPr>
          <w:p w14:paraId="69AFC2B5"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57% still receiving income support</w:t>
            </w:r>
          </w:p>
          <w:p w14:paraId="16CD831B"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24% receiving other payments</w:t>
            </w:r>
          </w:p>
          <w:p w14:paraId="652B651E"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19% not receiving welfare</w:t>
            </w:r>
          </w:p>
        </w:tc>
      </w:tr>
      <w:tr w:rsidR="00D9776D" w:rsidRPr="00EC326F" w14:paraId="0F7A2C21" w14:textId="77777777" w:rsidTr="007C24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5B7C178A" w14:textId="77777777" w:rsidR="00D9776D" w:rsidRPr="00EC326F" w:rsidRDefault="00D9776D" w:rsidP="007C24C8">
            <w:pPr>
              <w:pStyle w:val="TableTextSmall"/>
            </w:pPr>
            <w:r w:rsidRPr="00EC326F">
              <w:t>Expected outcomes over remainder of future lifetime</w:t>
            </w:r>
          </w:p>
        </w:tc>
        <w:tc>
          <w:tcPr>
            <w:tcW w:w="3898" w:type="dxa"/>
          </w:tcPr>
          <w:p w14:paraId="429FFB2D"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pPr>
            <w:r w:rsidRPr="00EC326F">
              <w:t>28 years receiving income support payments (excl. Age Pension)</w:t>
            </w:r>
          </w:p>
          <w:p w14:paraId="0E73B25C"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pPr>
            <w:r w:rsidRPr="00EC326F">
              <w:t>9 years receiving non-income support payments only</w:t>
            </w:r>
          </w:p>
          <w:p w14:paraId="078E3211"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pPr>
            <w:r w:rsidRPr="00EC326F">
              <w:t>16 years not receiving welfare</w:t>
            </w:r>
          </w:p>
          <w:p w14:paraId="752363F4"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pPr>
            <w:r w:rsidRPr="00EC326F">
              <w:t>18 years receiving Age Pension</w:t>
            </w:r>
          </w:p>
        </w:tc>
        <w:tc>
          <w:tcPr>
            <w:tcW w:w="3898" w:type="dxa"/>
          </w:tcPr>
          <w:p w14:paraId="69BE872B"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31 years receiving income support payments (excl. Age Pension)</w:t>
            </w:r>
          </w:p>
          <w:p w14:paraId="4D545C74"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7 years receiving non-income support payments only</w:t>
            </w:r>
          </w:p>
          <w:p w14:paraId="386BB432"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16 years not receiving welfare</w:t>
            </w:r>
          </w:p>
          <w:p w14:paraId="16ECA4C7"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17 years receiving Age Pension</w:t>
            </w:r>
          </w:p>
        </w:tc>
      </w:tr>
      <w:tr w:rsidR="00D9776D" w:rsidRPr="00EC326F" w14:paraId="4E6FB8EF" w14:textId="77777777" w:rsidTr="007C24C8">
        <w:trPr>
          <w:cantSplit/>
        </w:trPr>
        <w:tc>
          <w:tcPr>
            <w:cnfStyle w:val="001000000000" w:firstRow="0" w:lastRow="0" w:firstColumn="1" w:lastColumn="0" w:oddVBand="0" w:evenVBand="0" w:oddHBand="0" w:evenHBand="0" w:firstRowFirstColumn="0" w:firstRowLastColumn="0" w:lastRowFirstColumn="0" w:lastRowLastColumn="0"/>
            <w:tcW w:w="2127" w:type="dxa"/>
          </w:tcPr>
          <w:p w14:paraId="5CFBAC8D" w14:textId="77777777" w:rsidR="00D9776D" w:rsidRPr="00EC326F" w:rsidRDefault="00D9776D" w:rsidP="007C24C8">
            <w:pPr>
              <w:pStyle w:val="TableTextSmall"/>
            </w:pPr>
            <w:r w:rsidRPr="00EC326F">
              <w:t>Proportion with employment earnings over last year</w:t>
            </w:r>
          </w:p>
        </w:tc>
        <w:tc>
          <w:tcPr>
            <w:tcW w:w="3898" w:type="dxa"/>
          </w:tcPr>
          <w:p w14:paraId="3E1790C3"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i/>
              </w:rPr>
            </w:pPr>
            <w:r w:rsidRPr="00EC326F">
              <w:rPr>
                <w:i/>
              </w:rPr>
              <w:t>Not available (this information was not considered in the baseline valuation)</w:t>
            </w:r>
          </w:p>
        </w:tc>
        <w:tc>
          <w:tcPr>
            <w:tcW w:w="3898" w:type="dxa"/>
          </w:tcPr>
          <w:p w14:paraId="29196621"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6%</w:t>
            </w:r>
          </w:p>
        </w:tc>
      </w:tr>
    </w:tbl>
    <w:p w14:paraId="2F168476" w14:textId="2E64B6CC" w:rsidR="00F4243C" w:rsidRPr="00EC326F" w:rsidRDefault="00F4243C" w:rsidP="00F4243C">
      <w:pPr>
        <w:pStyle w:val="Sources"/>
      </w:pPr>
      <w:r w:rsidRPr="00EC326F">
        <w:t xml:space="preserve">Note that </w:t>
      </w:r>
      <w:r>
        <w:t>the expected outcomes may not sum to 100% due to rounding</w:t>
      </w:r>
      <w:r w:rsidRPr="00EC326F">
        <w:t>.</w:t>
      </w:r>
    </w:p>
    <w:p w14:paraId="0DE48254" w14:textId="77777777" w:rsidR="003D6B51" w:rsidRDefault="00D9776D" w:rsidP="00D9776D">
      <w:pPr>
        <w:pStyle w:val="PwCNormal"/>
        <w:numPr>
          <w:ilvl w:val="0"/>
          <w:numId w:val="1"/>
        </w:numPr>
      </w:pPr>
      <w:r w:rsidRPr="00EC326F">
        <w:lastRenderedPageBreak/>
        <w:t xml:space="preserve">There were 3,760 young people who were receiving a parenting payment in 2016, a smaller number than in 2015. </w:t>
      </w:r>
      <w:r w:rsidR="003D6B51">
        <w:t>This will be because some of the original group are now over age 18 and the number of new young parents is less than those that left.</w:t>
      </w:r>
    </w:p>
    <w:p w14:paraId="126893BB" w14:textId="4946E228" w:rsidR="00D9776D" w:rsidRPr="00EC326F" w:rsidRDefault="00D9776D" w:rsidP="00D9776D">
      <w:pPr>
        <w:pStyle w:val="PwCNormal"/>
        <w:numPr>
          <w:ilvl w:val="0"/>
          <w:numId w:val="1"/>
        </w:numPr>
      </w:pPr>
      <w:r w:rsidRPr="00EC326F">
        <w:t>An updated assessment of the average lifetime cost for this Young Parents group is $6</w:t>
      </w:r>
      <w:r w:rsidR="00DD6CBE">
        <w:t>48</w:t>
      </w:r>
      <w:r w:rsidRPr="00EC326F">
        <w:t>,000, which is around 1</w:t>
      </w:r>
      <w:r w:rsidR="00DD6CBE">
        <w:t>8</w:t>
      </w:r>
      <w:r w:rsidRPr="00EC326F">
        <w:t xml:space="preserve">% higher than the assessed lifetime cost at the baseline valuation. </w:t>
      </w:r>
    </w:p>
    <w:p w14:paraId="50F81DC9" w14:textId="77777777" w:rsidR="00D9776D" w:rsidRPr="00EC326F" w:rsidRDefault="00D9776D" w:rsidP="00D9776D">
      <w:pPr>
        <w:pStyle w:val="PwCNormal"/>
        <w:numPr>
          <w:ilvl w:val="0"/>
          <w:numId w:val="0"/>
        </w:numPr>
      </w:pPr>
      <w:r w:rsidRPr="00EC326F">
        <w:t>Whilst the updated statistics differ somewhat from those developed from the baseline valuation analysis they confirm the overall conclusions of the baseline analysis: that this group is expected to have high lifetime cost and spend a large proportion of their future lifetimes receiving some form of income support.</w:t>
      </w:r>
    </w:p>
    <w:p w14:paraId="599B9257" w14:textId="1DB4D660" w:rsidR="00D9776D" w:rsidRPr="00EC326F" w:rsidRDefault="00D9776D" w:rsidP="00D9776D">
      <w:pPr>
        <w:pStyle w:val="PwCNormal"/>
        <w:numPr>
          <w:ilvl w:val="0"/>
          <w:numId w:val="0"/>
        </w:numPr>
      </w:pPr>
      <w:r w:rsidRPr="00EC326F">
        <w:t xml:space="preserve">This increase is consistent with the general increase in average lifetime cost seen for the </w:t>
      </w:r>
      <w:r w:rsidR="00916C7F">
        <w:t>Parent</w:t>
      </w:r>
      <w:r w:rsidR="00A53A6E">
        <w:t>ing</w:t>
      </w:r>
      <w:r w:rsidRPr="00EC326F">
        <w:t xml:space="preserve"> class and is of somewhat greater magnitude given the younger average age of this group. The increase is largely a result </w:t>
      </w:r>
      <w:r w:rsidR="000012FE">
        <w:t xml:space="preserve">of </w:t>
      </w:r>
      <w:r w:rsidRPr="00EC326F">
        <w:t xml:space="preserve">the modelling refinements we have made to improve the possible granularity of examining the average lifetime cost and future welfare usage outputs. </w:t>
      </w:r>
    </w:p>
    <w:p w14:paraId="404A0A24" w14:textId="3D90DDA4" w:rsidR="00D9776D" w:rsidRPr="00EC326F" w:rsidRDefault="00D9776D" w:rsidP="00D9776D">
      <w:pPr>
        <w:pStyle w:val="PwCNormal"/>
        <w:numPr>
          <w:ilvl w:val="0"/>
          <w:numId w:val="0"/>
        </w:numPr>
      </w:pPr>
      <w:r w:rsidRPr="00EC326F">
        <w:t>In particular, the inclusion of the employment earnings indicator is serving to differentiate the expected outcomes for this group compared to those for other young parents. This is because only 6% of the Young Parents group reported any employment earnings in the 2016 financial year, compared to 35% across all people receiving parenting payments. The effect of this is twofold: firstly this group is expected to have higher annual payment amounts as they are more likely to be receiving the full rate of payment; and secondly, this group is more likely to continue on Working Age payments after their eligibility for parenting payments cease</w:t>
      </w:r>
      <w:r w:rsidR="000012FE">
        <w:t xml:space="preserve">, </w:t>
      </w:r>
      <w:r w:rsidRPr="00EC326F">
        <w:t xml:space="preserve">ultimately spending more years receiving income support than other people in the </w:t>
      </w:r>
      <w:r w:rsidR="00916C7F">
        <w:t>P</w:t>
      </w:r>
      <w:r w:rsidRPr="00EC326F">
        <w:t>aren</w:t>
      </w:r>
      <w:r w:rsidR="0062685D">
        <w:t>t</w:t>
      </w:r>
      <w:r w:rsidR="00CF6E42">
        <w:t>ing</w:t>
      </w:r>
      <w:r w:rsidRPr="00EC326F">
        <w:t xml:space="preserve"> class. This is shown in the updated assessment with an increase to the expected number of future years receiving income support payments.</w:t>
      </w:r>
    </w:p>
    <w:p w14:paraId="7373EE8D" w14:textId="77777777" w:rsidR="00D9776D" w:rsidRPr="00EC326F" w:rsidRDefault="00D9776D" w:rsidP="00D9776D">
      <w:pPr>
        <w:pStyle w:val="Minorheading"/>
      </w:pPr>
      <w:r w:rsidRPr="00EC326F">
        <w:t>What has happened to the 2015 group of interest?</w:t>
      </w:r>
    </w:p>
    <w:p w14:paraId="41939181" w14:textId="77777777" w:rsidR="00D9776D" w:rsidRPr="00EC326F" w:rsidRDefault="00D9776D" w:rsidP="00D9776D">
      <w:pPr>
        <w:pStyle w:val="PwCNormal"/>
        <w:numPr>
          <w:ilvl w:val="0"/>
          <w:numId w:val="0"/>
        </w:numPr>
      </w:pPr>
      <w:r w:rsidRPr="00EC326F">
        <w:t>It is interesting to consider the experience of the approximately 4,370 young parents that were identified in the baseline valuation. The table below provides a summary of the expected and actual proportion of the original group who are in each class at 30 June 2016.</w:t>
      </w:r>
    </w:p>
    <w:p w14:paraId="5541EC7C" w14:textId="4938E620" w:rsidR="00D9776D" w:rsidRPr="00EC326F" w:rsidRDefault="00FC6ECC" w:rsidP="00D9776D">
      <w:pPr>
        <w:pStyle w:val="Caption"/>
      </w:pPr>
      <w:r w:rsidRPr="00EC326F">
        <w:t xml:space="preserve">Table </w:t>
      </w:r>
      <w:fldSimple w:instr=" SEQ Table \* ARABIC ">
        <w:r w:rsidR="007A42DF">
          <w:rPr>
            <w:noProof/>
          </w:rPr>
          <w:t>53</w:t>
        </w:r>
      </w:fldSimple>
      <w:r w:rsidRPr="00EC326F">
        <w:t>: Summary of expected an</w:t>
      </w:r>
      <w:r w:rsidR="005E52F3">
        <w:t>d</w:t>
      </w:r>
      <w:r w:rsidRPr="00EC326F">
        <w:t xml:space="preserve"> actual class movements for young parents</w:t>
      </w:r>
      <w:r w:rsidR="00D9776D" w:rsidRPr="00EC326F">
        <w:t xml:space="preserve"> (as % of cohort)</w:t>
      </w:r>
    </w:p>
    <w:tbl>
      <w:tblPr>
        <w:tblStyle w:val="ListTable3-Accent61"/>
        <w:tblW w:w="9757" w:type="dxa"/>
        <w:tblInd w:w="108" w:type="dxa"/>
        <w:tblLayout w:type="fixed"/>
        <w:tblLook w:val="04A0" w:firstRow="1" w:lastRow="0" w:firstColumn="1" w:lastColumn="0" w:noHBand="0" w:noVBand="1"/>
        <w:tblCaption w:val=" Summary of expected and actual class movements for young parents (as % of cohort)&#10;"/>
        <w:tblDescription w:val="This table is a summary of the expected and actual proportion of the young parents group of interest who are in each class at 30 June 2016. &#10;&#10;There are three rows of data; expected % of the original cohort in each welfare class, actual % of the original cohort in each welfare class and the difference between actual and expected. &#10;&#10;There are 11 columns, one for each of welfare classes 1 to 11; 1- studying, 2- working age, 3- parents, 4 -carers, 5 - disability support, 6 - pension age, 7 - non-income support family, 8-  non-income support carer, 9 - non-income support other, 10 - previous welfare recipient, and 11- dead.&#10;&#10;The expected % of the original cohort in classes 1 to 11 is; 1%, 4%, 94%, &lt;1%, &lt;1%, &lt;1%, 1%, &lt;1%, &lt;1%, &lt;1% and &lt;1% respectively.&#10;&#10;The actual % of the original cohort in classes 1 to 11 is; 1%, 5%, 93%, &lt;1%, &lt;1%, &lt;1%, 1%, &lt;1%, &lt;1%, &lt;1% and &lt;1% respectively.&#10;&#10;The difference between actual and expected for classes 1 to 11 is; &lt;1%, 1%, -1%, &lt;1%, &lt;1%, &lt;1%, &lt;1%, &lt;1%, &lt;1%, &lt;1% and &lt;1% respectively.&#10;&#10;The features of the data in this tables are described further in the accompanying text within the report.&#10;"/>
      </w:tblPr>
      <w:tblGrid>
        <w:gridCol w:w="1560"/>
        <w:gridCol w:w="745"/>
        <w:gridCol w:w="745"/>
        <w:gridCol w:w="745"/>
        <w:gridCol w:w="745"/>
        <w:gridCol w:w="745"/>
        <w:gridCol w:w="746"/>
        <w:gridCol w:w="745"/>
        <w:gridCol w:w="745"/>
        <w:gridCol w:w="745"/>
        <w:gridCol w:w="745"/>
        <w:gridCol w:w="746"/>
      </w:tblGrid>
      <w:tr w:rsidR="00D9776D" w:rsidRPr="00EC326F" w14:paraId="3FEC69F6"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0" w:type="dxa"/>
          </w:tcPr>
          <w:p w14:paraId="5D1A3D18" w14:textId="77777777" w:rsidR="00D9776D" w:rsidRPr="00EC326F" w:rsidRDefault="00D9776D" w:rsidP="007C24C8">
            <w:pPr>
              <w:pStyle w:val="TableColumnHeadingSmall"/>
              <w:ind w:right="-108"/>
            </w:pPr>
            <w:r w:rsidRPr="00EC326F">
              <w:t>Class at June 2016</w:t>
            </w:r>
          </w:p>
        </w:tc>
        <w:tc>
          <w:tcPr>
            <w:tcW w:w="745" w:type="dxa"/>
            <w:vAlign w:val="center"/>
          </w:tcPr>
          <w:p w14:paraId="52A698B6"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1</w:t>
            </w:r>
          </w:p>
        </w:tc>
        <w:tc>
          <w:tcPr>
            <w:tcW w:w="745" w:type="dxa"/>
            <w:vAlign w:val="center"/>
          </w:tcPr>
          <w:p w14:paraId="5C3D5389"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2</w:t>
            </w:r>
          </w:p>
        </w:tc>
        <w:tc>
          <w:tcPr>
            <w:tcW w:w="745" w:type="dxa"/>
            <w:vAlign w:val="center"/>
          </w:tcPr>
          <w:p w14:paraId="37BA8B4F"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3</w:t>
            </w:r>
          </w:p>
        </w:tc>
        <w:tc>
          <w:tcPr>
            <w:tcW w:w="745" w:type="dxa"/>
            <w:vAlign w:val="center"/>
          </w:tcPr>
          <w:p w14:paraId="0A7F15B1"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4</w:t>
            </w:r>
          </w:p>
        </w:tc>
        <w:tc>
          <w:tcPr>
            <w:tcW w:w="745" w:type="dxa"/>
            <w:vAlign w:val="center"/>
          </w:tcPr>
          <w:p w14:paraId="486FDF6C"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5</w:t>
            </w:r>
          </w:p>
        </w:tc>
        <w:tc>
          <w:tcPr>
            <w:tcW w:w="746" w:type="dxa"/>
            <w:vAlign w:val="center"/>
          </w:tcPr>
          <w:p w14:paraId="06DB0DF3"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6</w:t>
            </w:r>
          </w:p>
        </w:tc>
        <w:tc>
          <w:tcPr>
            <w:tcW w:w="745" w:type="dxa"/>
            <w:vAlign w:val="center"/>
          </w:tcPr>
          <w:p w14:paraId="1CB2E358"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7</w:t>
            </w:r>
          </w:p>
        </w:tc>
        <w:tc>
          <w:tcPr>
            <w:tcW w:w="745" w:type="dxa"/>
            <w:vAlign w:val="center"/>
          </w:tcPr>
          <w:p w14:paraId="15C86610"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8</w:t>
            </w:r>
          </w:p>
        </w:tc>
        <w:tc>
          <w:tcPr>
            <w:tcW w:w="745" w:type="dxa"/>
            <w:vAlign w:val="center"/>
          </w:tcPr>
          <w:p w14:paraId="4400250A"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9</w:t>
            </w:r>
          </w:p>
        </w:tc>
        <w:tc>
          <w:tcPr>
            <w:tcW w:w="745" w:type="dxa"/>
            <w:vAlign w:val="center"/>
          </w:tcPr>
          <w:p w14:paraId="5499D76F"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10</w:t>
            </w:r>
          </w:p>
        </w:tc>
        <w:tc>
          <w:tcPr>
            <w:tcW w:w="746" w:type="dxa"/>
            <w:vAlign w:val="center"/>
          </w:tcPr>
          <w:p w14:paraId="2CEA9F42"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11</w:t>
            </w:r>
          </w:p>
        </w:tc>
      </w:tr>
      <w:tr w:rsidR="00D9776D" w:rsidRPr="00EC326F" w14:paraId="0F863F78" w14:textId="77777777" w:rsidTr="007C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BA9EB0A" w14:textId="77777777" w:rsidR="00D9776D" w:rsidRPr="00EC326F" w:rsidRDefault="00D9776D" w:rsidP="007C24C8">
            <w:pPr>
              <w:pStyle w:val="TableTextSmall"/>
            </w:pPr>
            <w:r w:rsidRPr="00EC326F">
              <w:t>Expected %</w:t>
            </w:r>
          </w:p>
        </w:tc>
        <w:tc>
          <w:tcPr>
            <w:tcW w:w="745" w:type="dxa"/>
            <w:shd w:val="clear" w:color="auto" w:fill="auto"/>
            <w:vAlign w:val="center"/>
          </w:tcPr>
          <w:p w14:paraId="70AAD551"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w:t>
            </w:r>
          </w:p>
        </w:tc>
        <w:tc>
          <w:tcPr>
            <w:tcW w:w="745" w:type="dxa"/>
            <w:shd w:val="clear" w:color="auto" w:fill="F7DCE1" w:themeFill="accent4" w:themeFillTint="33"/>
            <w:vAlign w:val="center"/>
          </w:tcPr>
          <w:p w14:paraId="64C679D6"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w:t>
            </w:r>
          </w:p>
        </w:tc>
        <w:tc>
          <w:tcPr>
            <w:tcW w:w="745" w:type="dxa"/>
            <w:shd w:val="clear" w:color="auto" w:fill="F7DCE1" w:themeFill="accent4" w:themeFillTint="33"/>
            <w:vAlign w:val="center"/>
          </w:tcPr>
          <w:p w14:paraId="2D3CF8DC"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94%</w:t>
            </w:r>
          </w:p>
        </w:tc>
        <w:tc>
          <w:tcPr>
            <w:tcW w:w="745" w:type="dxa"/>
            <w:shd w:val="clear" w:color="auto" w:fill="auto"/>
            <w:vAlign w:val="center"/>
          </w:tcPr>
          <w:p w14:paraId="1723DBE7"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5" w:type="dxa"/>
            <w:vAlign w:val="center"/>
          </w:tcPr>
          <w:p w14:paraId="55B7E770"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6" w:type="dxa"/>
            <w:vAlign w:val="center"/>
          </w:tcPr>
          <w:p w14:paraId="0B368836"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5" w:type="dxa"/>
            <w:vAlign w:val="center"/>
          </w:tcPr>
          <w:p w14:paraId="46142EE6"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w:t>
            </w:r>
          </w:p>
        </w:tc>
        <w:tc>
          <w:tcPr>
            <w:tcW w:w="745" w:type="dxa"/>
            <w:vAlign w:val="center"/>
          </w:tcPr>
          <w:p w14:paraId="0F57F8A3"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5" w:type="dxa"/>
            <w:vAlign w:val="center"/>
          </w:tcPr>
          <w:p w14:paraId="3CEA38D7"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5" w:type="dxa"/>
            <w:vAlign w:val="center"/>
          </w:tcPr>
          <w:p w14:paraId="00936FB8"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6" w:type="dxa"/>
            <w:vAlign w:val="center"/>
          </w:tcPr>
          <w:p w14:paraId="333190A1"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r>
      <w:tr w:rsidR="00D9776D" w:rsidRPr="00EC326F" w14:paraId="6DD1B9B5" w14:textId="77777777" w:rsidTr="007C24C8">
        <w:tc>
          <w:tcPr>
            <w:cnfStyle w:val="001000000000" w:firstRow="0" w:lastRow="0" w:firstColumn="1" w:lastColumn="0" w:oddVBand="0" w:evenVBand="0" w:oddHBand="0" w:evenHBand="0" w:firstRowFirstColumn="0" w:firstRowLastColumn="0" w:lastRowFirstColumn="0" w:lastRowLastColumn="0"/>
            <w:tcW w:w="1560" w:type="dxa"/>
          </w:tcPr>
          <w:p w14:paraId="2C3D8871" w14:textId="77777777" w:rsidR="00D9776D" w:rsidRPr="00EC326F" w:rsidRDefault="00D9776D" w:rsidP="007C24C8">
            <w:pPr>
              <w:pStyle w:val="TableTextSmall"/>
            </w:pPr>
            <w:r w:rsidRPr="00EC326F">
              <w:t>Actual %</w:t>
            </w:r>
          </w:p>
        </w:tc>
        <w:tc>
          <w:tcPr>
            <w:tcW w:w="745" w:type="dxa"/>
            <w:shd w:val="clear" w:color="auto" w:fill="auto"/>
            <w:vAlign w:val="center"/>
          </w:tcPr>
          <w:p w14:paraId="4FA82ED4" w14:textId="77777777" w:rsidR="00D9776D" w:rsidRPr="00EC326F" w:rsidRDefault="00D9776D" w:rsidP="007C24C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w:t>
            </w:r>
          </w:p>
        </w:tc>
        <w:tc>
          <w:tcPr>
            <w:tcW w:w="745" w:type="dxa"/>
            <w:shd w:val="clear" w:color="auto" w:fill="F7DCE1" w:themeFill="accent4" w:themeFillTint="33"/>
            <w:vAlign w:val="center"/>
          </w:tcPr>
          <w:p w14:paraId="0219600F" w14:textId="77777777" w:rsidR="00D9776D" w:rsidRPr="00EC326F" w:rsidRDefault="00D9776D" w:rsidP="007C24C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5%</w:t>
            </w:r>
          </w:p>
        </w:tc>
        <w:tc>
          <w:tcPr>
            <w:tcW w:w="745" w:type="dxa"/>
            <w:shd w:val="clear" w:color="auto" w:fill="F7DCE1" w:themeFill="accent4" w:themeFillTint="33"/>
            <w:vAlign w:val="center"/>
          </w:tcPr>
          <w:p w14:paraId="2286E3F0" w14:textId="77777777" w:rsidR="00D9776D" w:rsidRPr="00EC326F" w:rsidRDefault="00D9776D" w:rsidP="007C24C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93%</w:t>
            </w:r>
          </w:p>
        </w:tc>
        <w:tc>
          <w:tcPr>
            <w:tcW w:w="745" w:type="dxa"/>
            <w:shd w:val="clear" w:color="auto" w:fill="auto"/>
            <w:vAlign w:val="center"/>
          </w:tcPr>
          <w:p w14:paraId="2BE3226B" w14:textId="77777777" w:rsidR="00D9776D" w:rsidRPr="00EC326F" w:rsidRDefault="00D9776D" w:rsidP="007C24C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&lt;1%</w:t>
            </w:r>
          </w:p>
        </w:tc>
        <w:tc>
          <w:tcPr>
            <w:tcW w:w="745" w:type="dxa"/>
            <w:vAlign w:val="center"/>
          </w:tcPr>
          <w:p w14:paraId="43AC1E24" w14:textId="77777777" w:rsidR="00D9776D" w:rsidRPr="00EC326F" w:rsidRDefault="00D9776D" w:rsidP="007C24C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&lt;1%</w:t>
            </w:r>
          </w:p>
        </w:tc>
        <w:tc>
          <w:tcPr>
            <w:tcW w:w="746" w:type="dxa"/>
            <w:vAlign w:val="center"/>
          </w:tcPr>
          <w:p w14:paraId="3D0D188E" w14:textId="77777777" w:rsidR="00D9776D" w:rsidRPr="00EC326F" w:rsidRDefault="00D9776D" w:rsidP="007C24C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&lt;1%</w:t>
            </w:r>
          </w:p>
        </w:tc>
        <w:tc>
          <w:tcPr>
            <w:tcW w:w="745" w:type="dxa"/>
            <w:vAlign w:val="center"/>
          </w:tcPr>
          <w:p w14:paraId="3A73D262" w14:textId="77777777" w:rsidR="00D9776D" w:rsidRPr="00EC326F" w:rsidRDefault="00D9776D" w:rsidP="007C24C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w:t>
            </w:r>
          </w:p>
        </w:tc>
        <w:tc>
          <w:tcPr>
            <w:tcW w:w="745" w:type="dxa"/>
            <w:vAlign w:val="center"/>
          </w:tcPr>
          <w:p w14:paraId="085AC86E" w14:textId="77777777" w:rsidR="00D9776D" w:rsidRPr="00EC326F" w:rsidRDefault="00D9776D" w:rsidP="007C24C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&lt;1%</w:t>
            </w:r>
          </w:p>
        </w:tc>
        <w:tc>
          <w:tcPr>
            <w:tcW w:w="745" w:type="dxa"/>
            <w:vAlign w:val="center"/>
          </w:tcPr>
          <w:p w14:paraId="1DC7DABC" w14:textId="77777777" w:rsidR="00D9776D" w:rsidRPr="00EC326F" w:rsidRDefault="00D9776D" w:rsidP="007C24C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&lt;1%</w:t>
            </w:r>
          </w:p>
        </w:tc>
        <w:tc>
          <w:tcPr>
            <w:tcW w:w="745" w:type="dxa"/>
            <w:vAlign w:val="center"/>
          </w:tcPr>
          <w:p w14:paraId="171F2FAC" w14:textId="77777777" w:rsidR="00D9776D" w:rsidRPr="00EC326F" w:rsidRDefault="00D9776D" w:rsidP="007C24C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&lt;1%</w:t>
            </w:r>
          </w:p>
        </w:tc>
        <w:tc>
          <w:tcPr>
            <w:tcW w:w="746" w:type="dxa"/>
            <w:vAlign w:val="center"/>
          </w:tcPr>
          <w:p w14:paraId="22749701" w14:textId="77777777" w:rsidR="00D9776D" w:rsidRPr="00EC326F" w:rsidRDefault="00D9776D" w:rsidP="007C24C8">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&lt;1%</w:t>
            </w:r>
          </w:p>
        </w:tc>
      </w:tr>
      <w:tr w:rsidR="00D9776D" w:rsidRPr="00EC326F" w14:paraId="09129AC7" w14:textId="77777777" w:rsidTr="007C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21CE4560" w14:textId="77777777" w:rsidR="00D9776D" w:rsidRPr="00EC326F" w:rsidRDefault="00D9776D" w:rsidP="007C24C8">
            <w:pPr>
              <w:pStyle w:val="TableTextSmall"/>
            </w:pPr>
            <w:r w:rsidRPr="00EC326F">
              <w:t>Difference</w:t>
            </w:r>
          </w:p>
        </w:tc>
        <w:tc>
          <w:tcPr>
            <w:tcW w:w="745" w:type="dxa"/>
            <w:shd w:val="clear" w:color="auto" w:fill="auto"/>
            <w:vAlign w:val="center"/>
          </w:tcPr>
          <w:p w14:paraId="014827A8"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5" w:type="dxa"/>
            <w:shd w:val="clear" w:color="auto" w:fill="F7DCE1" w:themeFill="accent4" w:themeFillTint="33"/>
            <w:vAlign w:val="center"/>
          </w:tcPr>
          <w:p w14:paraId="4825F8DA"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w:t>
            </w:r>
          </w:p>
        </w:tc>
        <w:tc>
          <w:tcPr>
            <w:tcW w:w="745" w:type="dxa"/>
            <w:shd w:val="clear" w:color="auto" w:fill="F7DCE1" w:themeFill="accent4" w:themeFillTint="33"/>
            <w:vAlign w:val="center"/>
          </w:tcPr>
          <w:p w14:paraId="73C88C19"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w:t>
            </w:r>
          </w:p>
        </w:tc>
        <w:tc>
          <w:tcPr>
            <w:tcW w:w="745" w:type="dxa"/>
            <w:shd w:val="clear" w:color="auto" w:fill="auto"/>
            <w:vAlign w:val="center"/>
          </w:tcPr>
          <w:p w14:paraId="6FB39CA1"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5" w:type="dxa"/>
            <w:shd w:val="clear" w:color="auto" w:fill="auto"/>
            <w:vAlign w:val="center"/>
          </w:tcPr>
          <w:p w14:paraId="588CCEF0"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6" w:type="dxa"/>
            <w:shd w:val="clear" w:color="auto" w:fill="auto"/>
            <w:vAlign w:val="center"/>
          </w:tcPr>
          <w:p w14:paraId="2CEBB02B"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5" w:type="dxa"/>
            <w:shd w:val="clear" w:color="auto" w:fill="auto"/>
            <w:vAlign w:val="center"/>
          </w:tcPr>
          <w:p w14:paraId="68D2396F"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5" w:type="dxa"/>
            <w:shd w:val="clear" w:color="auto" w:fill="auto"/>
            <w:vAlign w:val="center"/>
          </w:tcPr>
          <w:p w14:paraId="63F25307"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5" w:type="dxa"/>
            <w:shd w:val="clear" w:color="auto" w:fill="auto"/>
            <w:vAlign w:val="center"/>
          </w:tcPr>
          <w:p w14:paraId="62682F79"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5" w:type="dxa"/>
            <w:shd w:val="clear" w:color="auto" w:fill="auto"/>
            <w:vAlign w:val="center"/>
          </w:tcPr>
          <w:p w14:paraId="51F21F6E"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c>
          <w:tcPr>
            <w:tcW w:w="746" w:type="dxa"/>
            <w:shd w:val="clear" w:color="auto" w:fill="auto"/>
            <w:vAlign w:val="center"/>
          </w:tcPr>
          <w:p w14:paraId="50AC9D12" w14:textId="77777777" w:rsidR="00D9776D" w:rsidRPr="00EC326F" w:rsidRDefault="00D9776D" w:rsidP="007C24C8">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&lt;1%</w:t>
            </w:r>
          </w:p>
        </w:tc>
      </w:tr>
    </w:tbl>
    <w:p w14:paraId="29C8729A" w14:textId="77777777" w:rsidR="00D9776D" w:rsidRPr="00EC326F" w:rsidRDefault="00D9776D" w:rsidP="00D9776D">
      <w:pPr>
        <w:pStyle w:val="PwCNormal"/>
        <w:numPr>
          <w:ilvl w:val="0"/>
          <w:numId w:val="0"/>
        </w:numPr>
      </w:pPr>
      <w:r w:rsidRPr="00EC326F">
        <w:t xml:space="preserve">Of the young parents identified in 2015, the majority have remained on parenting payments in 2016 as expected. A slightly higher than expected percentage of these people transitioned to the Working Age class, and this may be partially due to employment earnings not being considered in the baseline valuation. </w:t>
      </w:r>
    </w:p>
    <w:p w14:paraId="09E13B2A" w14:textId="77777777" w:rsidR="00D9776D" w:rsidRPr="00EC326F" w:rsidRDefault="00D9776D" w:rsidP="00D9776D">
      <w:pPr>
        <w:pStyle w:val="PwCNormal"/>
        <w:numPr>
          <w:ilvl w:val="0"/>
          <w:numId w:val="1"/>
        </w:numPr>
      </w:pPr>
      <w:r w:rsidRPr="00EC326F">
        <w:t>These figures have been rounded and some figures may also be impacted by data maturity, including natural delays in the assessment of certain payment classes.</w:t>
      </w:r>
    </w:p>
    <w:p w14:paraId="20A77D19" w14:textId="77777777" w:rsidR="00FC6ECC" w:rsidRPr="00EC326F" w:rsidRDefault="00FC6ECC" w:rsidP="00FC6ECC">
      <w:pPr>
        <w:pStyle w:val="Heading4"/>
      </w:pPr>
      <w:r w:rsidRPr="00EC326F">
        <w:t>Young carers</w:t>
      </w:r>
    </w:p>
    <w:p w14:paraId="5476DC75" w14:textId="77777777" w:rsidR="00D9776D" w:rsidRPr="00EC326F" w:rsidRDefault="00D9776D" w:rsidP="00D9776D">
      <w:pPr>
        <w:pStyle w:val="PwCNormal"/>
        <w:numPr>
          <w:ilvl w:val="0"/>
          <w:numId w:val="0"/>
        </w:numPr>
      </w:pPr>
      <w:r w:rsidRPr="00EC326F">
        <w:t>The baseline valuation demonstrated that young carers are also very vulnerable to welfare dependency. There were around 11,200 young people aged 24 and under who were receiving a Carer payment during 2014</w:t>
      </w:r>
      <w:r w:rsidRPr="00EC326F">
        <w:noBreakHyphen/>
        <w:t>15. This group does not consider the people who receive only carer allowances and carer supplements, as these people are in the Carer non income support class.</w:t>
      </w:r>
    </w:p>
    <w:p w14:paraId="6EF44D11" w14:textId="77777777" w:rsidR="00D9776D" w:rsidRPr="00EC326F" w:rsidRDefault="00D9776D" w:rsidP="00D9776D">
      <w:pPr>
        <w:pStyle w:val="PwCNormal"/>
        <w:numPr>
          <w:ilvl w:val="0"/>
          <w:numId w:val="0"/>
        </w:numPr>
      </w:pPr>
      <w:r w:rsidRPr="00EC326F">
        <w:t>The table below provides a summary of key statistics for this group and the equivalent group identified at 30 June 2016 based on the payment experience over the 2015-16 year.</w:t>
      </w:r>
    </w:p>
    <w:p w14:paraId="2D3D79D7" w14:textId="77777777" w:rsidR="00D9776D" w:rsidRPr="00EC326F" w:rsidRDefault="003129D2" w:rsidP="00D9776D">
      <w:pPr>
        <w:pStyle w:val="Caption"/>
      </w:pPr>
      <w:r w:rsidRPr="00EC326F">
        <w:t xml:space="preserve">Table </w:t>
      </w:r>
      <w:fldSimple w:instr=" SEQ Table \* ARABIC ">
        <w:r w:rsidR="007A42DF">
          <w:rPr>
            <w:noProof/>
          </w:rPr>
          <w:t>54</w:t>
        </w:r>
      </w:fldSimple>
      <w:r w:rsidRPr="00EC326F">
        <w:t>: Summary of key statistics for young carers</w:t>
      </w:r>
      <w:r w:rsidR="00D9776D" w:rsidRPr="00EC326F">
        <w:t xml:space="preserve"> </w:t>
      </w:r>
    </w:p>
    <w:tbl>
      <w:tblPr>
        <w:tblStyle w:val="ListTable3-Accent61"/>
        <w:tblW w:w="9781" w:type="dxa"/>
        <w:tblInd w:w="108" w:type="dxa"/>
        <w:tblLook w:val="04A0" w:firstRow="1" w:lastRow="0" w:firstColumn="1" w:lastColumn="0" w:noHBand="0" w:noVBand="1"/>
        <w:tblCaption w:val=" Summary of key statistics for young carers "/>
        <w:tblDescription w:val="This table summaries and compares the Jun15 and Jun16 key statistics for the young carers group of interest. &#10;&#10;The key statistics provided for 2015 and 2016 are; number of people, average lifetime cost, expected outcomes in 10 years’ time, Expected outcomes in 20 years’ time, expected outcomes over remainder of future lifetime, proportion with employment earnings over last year, and care recipient relationship proportions. &#10;&#10;In the 2015 valuation there were 11,200 people in this group of interest compared to 10,470 in the 2016 valuation.&#10;&#10;The average lifetime cost for this group of interest was $464,000 under the 2015 valuation and $468,000 in the 2016 valuation. &#10;&#10;In the 2015 valuation, the expected outcomes for this group of interest in 10 years’ time were:&#10;• 61% still receiving income support&#10;• 12% receiving other payments&#10;• 27% not receiving welfare&#10;&#10;In the 2016 valuation, the expected outcomes for this group of interest in 10 years’ time were:&#10;• 63% still receiving income support&#10;• 12% receiving other payments&#10;• 26% not receiving welfare&#10;&#10;In the 2015 valuation, the expected outcomes for this group of interest in 20 years’ time were:&#10;• 48% still receiving income support &#10;• 18% receiving other payments&#10;• 34% not receiving welfare&#10;&#10;In the 2016 valuation, the expected outcomes for this group of interest in 20 years’ time were:&#10;• 48% still receiving income support&#10;• 16% receiving other payments&#10;• 36% not receiving welfare&#10;&#10;In the 2015 valuation, the expected outcomes for this group of interest over the remainder of their future lifetime were:&#10;• 25 years receiving income support payments (excl. Age Pension)&#10;• 5 years receiving non-income support payments only&#10;• 20 years not receiving welfare&#10;• 17 years receiving Age Pension&#10;&#10;In the 2016 valuation, the expected outcomes for this group of interest over the remainder of their future lifetime were:&#10;• 25 years receiving income support payments (excl. Age Pension)&#10;• 5 years receiving non-income support payments only&#10;• 20 years not receiving welfare&#10;• 17 years receiving Age Pension&#10;&#10;The proportion of this group of interest with employment earnings over the last year was 18% in the 2016 valuation. This statistic was not available in the 2015 valuation. &#10;&#10;In the 2016 valuation, the care recipient relationship proportions were:&#10;• 60% caring for a parent&#10;• 4% caring for a child&#10;• 4% caring for a partner&#10;• 32% caring for other relations&#10;This statistic was not available for the 2015 valuation.&#10;&#10;The key features of this table are discussed in the accompanying text within the report.&#10;"/>
      </w:tblPr>
      <w:tblGrid>
        <w:gridCol w:w="2127"/>
        <w:gridCol w:w="3827"/>
        <w:gridCol w:w="3827"/>
      </w:tblGrid>
      <w:tr w:rsidR="00D9776D" w:rsidRPr="00EC326F" w14:paraId="4B62FB44" w14:textId="77777777" w:rsidTr="00BA29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tcPr>
          <w:p w14:paraId="2A77FFE7" w14:textId="045EAFE6" w:rsidR="00D9776D" w:rsidRPr="00EC326F" w:rsidRDefault="00D9776D" w:rsidP="007C24C8">
            <w:pPr>
              <w:pStyle w:val="TableColumnHeadingSmall"/>
            </w:pPr>
            <w:r w:rsidRPr="00EC326F">
              <w:t>Key statistic</w:t>
            </w:r>
          </w:p>
        </w:tc>
        <w:tc>
          <w:tcPr>
            <w:tcW w:w="3827" w:type="dxa"/>
          </w:tcPr>
          <w:p w14:paraId="58A10FBE" w14:textId="77777777" w:rsidR="00D9776D" w:rsidRPr="00EC326F" w:rsidRDefault="00D9776D" w:rsidP="007C24C8">
            <w:pPr>
              <w:pStyle w:val="TableColumnHeadingSmall"/>
              <w:cnfStyle w:val="100000000000" w:firstRow="1" w:lastRow="0" w:firstColumn="0" w:lastColumn="0" w:oddVBand="0" w:evenVBand="0" w:oddHBand="0" w:evenHBand="0" w:firstRowFirstColumn="0" w:firstRowLastColumn="0" w:lastRowFirstColumn="0" w:lastRowLastColumn="0"/>
            </w:pPr>
            <w:r w:rsidRPr="00EC326F">
              <w:t>2015 valuation</w:t>
            </w:r>
          </w:p>
        </w:tc>
        <w:tc>
          <w:tcPr>
            <w:tcW w:w="3827" w:type="dxa"/>
          </w:tcPr>
          <w:p w14:paraId="35E5C929" w14:textId="77777777" w:rsidR="00D9776D" w:rsidRPr="00EC326F" w:rsidRDefault="00D9776D" w:rsidP="007C24C8">
            <w:pPr>
              <w:pStyle w:val="TableColumnHeadingSmall"/>
              <w:cnfStyle w:val="100000000000" w:firstRow="1" w:lastRow="0" w:firstColumn="0" w:lastColumn="0" w:oddVBand="0" w:evenVBand="0" w:oddHBand="0" w:evenHBand="0" w:firstRowFirstColumn="0" w:firstRowLastColumn="0" w:lastRowFirstColumn="0" w:lastRowLastColumn="0"/>
            </w:pPr>
            <w:r w:rsidRPr="00EC326F">
              <w:t>2016 valuation</w:t>
            </w:r>
          </w:p>
        </w:tc>
      </w:tr>
      <w:tr w:rsidR="00D9776D" w:rsidRPr="00EC326F" w14:paraId="0B2BEE7D" w14:textId="77777777" w:rsidTr="00BA2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F4E4395" w14:textId="77777777" w:rsidR="00D9776D" w:rsidRPr="00EC326F" w:rsidRDefault="00D9776D" w:rsidP="007C24C8">
            <w:pPr>
              <w:pStyle w:val="TableTextSmall"/>
            </w:pPr>
            <w:r w:rsidRPr="00EC326F">
              <w:t>Number of people</w:t>
            </w:r>
          </w:p>
        </w:tc>
        <w:tc>
          <w:tcPr>
            <w:tcW w:w="3827" w:type="dxa"/>
            <w:vAlign w:val="center"/>
          </w:tcPr>
          <w:p w14:paraId="688389D6" w14:textId="77777777" w:rsidR="00D9776D" w:rsidRPr="00EC326F" w:rsidRDefault="00D9776D" w:rsidP="007C24C8">
            <w:pP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11,200</w:t>
            </w:r>
          </w:p>
        </w:tc>
        <w:tc>
          <w:tcPr>
            <w:tcW w:w="3827" w:type="dxa"/>
            <w:vAlign w:val="center"/>
          </w:tcPr>
          <w:p w14:paraId="194BC75D" w14:textId="77777777" w:rsidR="00D9776D" w:rsidRPr="00EC326F" w:rsidRDefault="00D9776D" w:rsidP="007C24C8">
            <w:pP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10,470</w:t>
            </w:r>
          </w:p>
        </w:tc>
      </w:tr>
      <w:tr w:rsidR="00D9776D" w:rsidRPr="00EC326F" w14:paraId="31D14E81" w14:textId="77777777" w:rsidTr="00BA2944">
        <w:tc>
          <w:tcPr>
            <w:cnfStyle w:val="001000000000" w:firstRow="0" w:lastRow="0" w:firstColumn="1" w:lastColumn="0" w:oddVBand="0" w:evenVBand="0" w:oddHBand="0" w:evenHBand="0" w:firstRowFirstColumn="0" w:firstRowLastColumn="0" w:lastRowFirstColumn="0" w:lastRowLastColumn="0"/>
            <w:tcW w:w="2127" w:type="dxa"/>
          </w:tcPr>
          <w:p w14:paraId="2F68F1A0" w14:textId="77777777" w:rsidR="00D9776D" w:rsidRPr="00EC326F" w:rsidRDefault="00D9776D" w:rsidP="007C24C8">
            <w:pPr>
              <w:pStyle w:val="TableTextSmall"/>
            </w:pPr>
            <w:r w:rsidRPr="00EC326F">
              <w:t>Average lifetime cost</w:t>
            </w:r>
          </w:p>
        </w:tc>
        <w:tc>
          <w:tcPr>
            <w:tcW w:w="3827" w:type="dxa"/>
            <w:vAlign w:val="center"/>
          </w:tcPr>
          <w:p w14:paraId="680A5426" w14:textId="77777777" w:rsidR="00D9776D" w:rsidRPr="00EC326F" w:rsidRDefault="00D9776D" w:rsidP="007C24C8">
            <w:pP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$464,000</w:t>
            </w:r>
          </w:p>
        </w:tc>
        <w:tc>
          <w:tcPr>
            <w:tcW w:w="3827" w:type="dxa"/>
            <w:vAlign w:val="center"/>
          </w:tcPr>
          <w:p w14:paraId="6F4B2B84" w14:textId="37C180FB" w:rsidR="00D9776D" w:rsidRPr="00EC326F" w:rsidRDefault="00D9776D" w:rsidP="00DD6CBE">
            <w:pP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$4</w:t>
            </w:r>
            <w:r w:rsidR="00DD6CBE">
              <w:rPr>
                <w:sz w:val="16"/>
                <w:szCs w:val="16"/>
              </w:rPr>
              <w:t>82</w:t>
            </w:r>
            <w:r w:rsidRPr="00EC326F">
              <w:rPr>
                <w:sz w:val="16"/>
                <w:szCs w:val="16"/>
              </w:rPr>
              <w:t>,000</w:t>
            </w:r>
          </w:p>
        </w:tc>
      </w:tr>
      <w:tr w:rsidR="00D9776D" w:rsidRPr="00EC326F" w14:paraId="6D6A6AF0" w14:textId="77777777" w:rsidTr="00BA2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5BD85E7" w14:textId="77777777" w:rsidR="00D9776D" w:rsidRPr="00EC326F" w:rsidRDefault="00D9776D" w:rsidP="007C24C8">
            <w:pPr>
              <w:pStyle w:val="TableTextSmall"/>
            </w:pPr>
            <w:r w:rsidRPr="00EC326F">
              <w:t>Expected outcomes in 10 years</w:t>
            </w:r>
            <w:r w:rsidR="00945A3A">
              <w:t>’</w:t>
            </w:r>
            <w:r w:rsidRPr="00EC326F">
              <w:t xml:space="preserve"> time</w:t>
            </w:r>
          </w:p>
        </w:tc>
        <w:tc>
          <w:tcPr>
            <w:tcW w:w="3827" w:type="dxa"/>
          </w:tcPr>
          <w:p w14:paraId="12C6BCFF"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61% still receiving income support</w:t>
            </w:r>
          </w:p>
          <w:p w14:paraId="6D4D4073"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12% receiving other payments</w:t>
            </w:r>
          </w:p>
          <w:p w14:paraId="47AE765C"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27% not receiving welfare</w:t>
            </w:r>
          </w:p>
        </w:tc>
        <w:tc>
          <w:tcPr>
            <w:tcW w:w="3827" w:type="dxa"/>
          </w:tcPr>
          <w:p w14:paraId="0AFF878F"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63% still receiving income support</w:t>
            </w:r>
          </w:p>
          <w:p w14:paraId="08002E27"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 xml:space="preserve">12% receiving other payments </w:t>
            </w:r>
          </w:p>
          <w:p w14:paraId="09F7404C" w14:textId="349303FB" w:rsidR="00D9776D" w:rsidRPr="00EC326F" w:rsidRDefault="00D9776D" w:rsidP="008A5C59">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2</w:t>
            </w:r>
            <w:r w:rsidR="008A5C59">
              <w:rPr>
                <w:szCs w:val="16"/>
              </w:rPr>
              <w:t>6</w:t>
            </w:r>
            <w:r w:rsidRPr="00EC326F">
              <w:rPr>
                <w:szCs w:val="16"/>
              </w:rPr>
              <w:t>% not receiving welfare</w:t>
            </w:r>
          </w:p>
        </w:tc>
      </w:tr>
      <w:tr w:rsidR="00D9776D" w:rsidRPr="00EC326F" w14:paraId="1B4D99CA" w14:textId="77777777" w:rsidTr="00BA2944">
        <w:tc>
          <w:tcPr>
            <w:cnfStyle w:val="001000000000" w:firstRow="0" w:lastRow="0" w:firstColumn="1" w:lastColumn="0" w:oddVBand="0" w:evenVBand="0" w:oddHBand="0" w:evenHBand="0" w:firstRowFirstColumn="0" w:firstRowLastColumn="0" w:lastRowFirstColumn="0" w:lastRowLastColumn="0"/>
            <w:tcW w:w="2127" w:type="dxa"/>
          </w:tcPr>
          <w:p w14:paraId="26957665" w14:textId="77777777" w:rsidR="00D9776D" w:rsidRPr="00EC326F" w:rsidRDefault="00D9776D" w:rsidP="007C24C8">
            <w:pPr>
              <w:pStyle w:val="TableTextSmall"/>
            </w:pPr>
            <w:r w:rsidRPr="00EC326F">
              <w:lastRenderedPageBreak/>
              <w:t>Expected outcomes in 20 years</w:t>
            </w:r>
            <w:r w:rsidR="00945A3A">
              <w:t>’</w:t>
            </w:r>
            <w:r w:rsidRPr="00EC326F">
              <w:t xml:space="preserve"> time</w:t>
            </w:r>
          </w:p>
        </w:tc>
        <w:tc>
          <w:tcPr>
            <w:tcW w:w="3827" w:type="dxa"/>
          </w:tcPr>
          <w:p w14:paraId="4EEBC83F"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48% still receiving income support</w:t>
            </w:r>
          </w:p>
          <w:p w14:paraId="466E04A2"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18% receiving other payments</w:t>
            </w:r>
          </w:p>
          <w:p w14:paraId="05B49C56"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34% not receiving welfare</w:t>
            </w:r>
          </w:p>
        </w:tc>
        <w:tc>
          <w:tcPr>
            <w:tcW w:w="3827" w:type="dxa"/>
          </w:tcPr>
          <w:p w14:paraId="7CDE4EC7"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48% still receiving income support</w:t>
            </w:r>
          </w:p>
          <w:p w14:paraId="778129B1"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16% receiving other payments</w:t>
            </w:r>
          </w:p>
          <w:p w14:paraId="31295FD1"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36% not receiving welfare</w:t>
            </w:r>
          </w:p>
        </w:tc>
      </w:tr>
      <w:tr w:rsidR="00D9776D" w:rsidRPr="00EC326F" w14:paraId="4C9AABA8" w14:textId="77777777" w:rsidTr="00BA2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B118B17" w14:textId="77777777" w:rsidR="00D9776D" w:rsidRPr="00EC326F" w:rsidRDefault="00D9776D" w:rsidP="007C24C8">
            <w:pPr>
              <w:pStyle w:val="TableTextSmall"/>
            </w:pPr>
            <w:r w:rsidRPr="00EC326F">
              <w:t>Expected outcomes over remainder of future lifetime</w:t>
            </w:r>
          </w:p>
        </w:tc>
        <w:tc>
          <w:tcPr>
            <w:tcW w:w="3827" w:type="dxa"/>
          </w:tcPr>
          <w:p w14:paraId="3B11A761"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pPr>
            <w:r w:rsidRPr="00EC326F">
              <w:t>25 years receiving income support payments (excl. Age Pension)</w:t>
            </w:r>
          </w:p>
          <w:p w14:paraId="2F4F0CA8"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pPr>
            <w:r w:rsidRPr="00EC326F">
              <w:t>5 years receiving non-income support payments only</w:t>
            </w:r>
          </w:p>
          <w:p w14:paraId="06A54966"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pPr>
            <w:r w:rsidRPr="00EC326F">
              <w:t>20 years not receiving welfare</w:t>
            </w:r>
          </w:p>
          <w:p w14:paraId="0DFD82A8"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pPr>
            <w:r w:rsidRPr="00EC326F">
              <w:t>17 years receiving Age Pension</w:t>
            </w:r>
          </w:p>
        </w:tc>
        <w:tc>
          <w:tcPr>
            <w:tcW w:w="3827" w:type="dxa"/>
          </w:tcPr>
          <w:p w14:paraId="518A2E23"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25 years receiving income support payments (excl. Age Pension)</w:t>
            </w:r>
          </w:p>
          <w:p w14:paraId="3D18DD04"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5 years receiving non-income support payments only</w:t>
            </w:r>
          </w:p>
          <w:p w14:paraId="7DE3B64B"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20 years not receiving welfare</w:t>
            </w:r>
          </w:p>
          <w:p w14:paraId="23D56544"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17 years receiving Age Pension</w:t>
            </w:r>
          </w:p>
        </w:tc>
      </w:tr>
      <w:tr w:rsidR="00D9776D" w:rsidRPr="00EC326F" w14:paraId="2DC9FDF4" w14:textId="77777777" w:rsidTr="00BA2944">
        <w:tc>
          <w:tcPr>
            <w:cnfStyle w:val="001000000000" w:firstRow="0" w:lastRow="0" w:firstColumn="1" w:lastColumn="0" w:oddVBand="0" w:evenVBand="0" w:oddHBand="0" w:evenHBand="0" w:firstRowFirstColumn="0" w:firstRowLastColumn="0" w:lastRowFirstColumn="0" w:lastRowLastColumn="0"/>
            <w:tcW w:w="2127" w:type="dxa"/>
          </w:tcPr>
          <w:p w14:paraId="64B83095" w14:textId="77777777" w:rsidR="00D9776D" w:rsidRPr="00EC326F" w:rsidRDefault="00D9776D" w:rsidP="007C24C8">
            <w:pPr>
              <w:pStyle w:val="TableTextSmall"/>
            </w:pPr>
            <w:r w:rsidRPr="00EC326F">
              <w:t>Proportion with employment earnings over last year</w:t>
            </w:r>
          </w:p>
        </w:tc>
        <w:tc>
          <w:tcPr>
            <w:tcW w:w="3827" w:type="dxa"/>
          </w:tcPr>
          <w:p w14:paraId="092CBB32"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pPr>
            <w:r w:rsidRPr="00EC326F">
              <w:t>Not available (this information was not considered in the baseline valuation)</w:t>
            </w:r>
          </w:p>
        </w:tc>
        <w:tc>
          <w:tcPr>
            <w:tcW w:w="3827" w:type="dxa"/>
          </w:tcPr>
          <w:p w14:paraId="14161255" w14:textId="77777777" w:rsidR="00D9776D" w:rsidRPr="00EC326F" w:rsidRDefault="00D9776D" w:rsidP="007C24C8">
            <w:pPr>
              <w:pStyle w:val="TableTextSmall"/>
              <w:cnfStyle w:val="000000000000" w:firstRow="0" w:lastRow="0" w:firstColumn="0" w:lastColumn="0" w:oddVBand="0" w:evenVBand="0" w:oddHBand="0" w:evenHBand="0" w:firstRowFirstColumn="0" w:firstRowLastColumn="0" w:lastRowFirstColumn="0" w:lastRowLastColumn="0"/>
              <w:rPr>
                <w:szCs w:val="16"/>
              </w:rPr>
            </w:pPr>
            <w:r w:rsidRPr="00EC326F">
              <w:rPr>
                <w:szCs w:val="16"/>
              </w:rPr>
              <w:t>18%</w:t>
            </w:r>
          </w:p>
        </w:tc>
      </w:tr>
      <w:tr w:rsidR="00D9776D" w:rsidRPr="00EC326F" w14:paraId="455EF5D2" w14:textId="77777777" w:rsidTr="00BA2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9204086" w14:textId="157DDBE7" w:rsidR="00D9776D" w:rsidRPr="00EC326F" w:rsidRDefault="00A82D43" w:rsidP="007C24C8">
            <w:pPr>
              <w:pStyle w:val="TableTextSmall"/>
            </w:pPr>
            <w:r>
              <w:t>Care recipient</w:t>
            </w:r>
            <w:r w:rsidRPr="00EC326F">
              <w:t xml:space="preserve"> </w:t>
            </w:r>
            <w:r w:rsidR="00D9776D" w:rsidRPr="00EC326F">
              <w:t>relationship proportions</w:t>
            </w:r>
          </w:p>
        </w:tc>
        <w:tc>
          <w:tcPr>
            <w:tcW w:w="3827" w:type="dxa"/>
          </w:tcPr>
          <w:p w14:paraId="25582814"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pPr>
            <w:r w:rsidRPr="00EC326F">
              <w:t>Not available (this information was not considered in the baseline valuation)</w:t>
            </w:r>
          </w:p>
        </w:tc>
        <w:tc>
          <w:tcPr>
            <w:tcW w:w="3827" w:type="dxa"/>
            <w:vAlign w:val="center"/>
          </w:tcPr>
          <w:p w14:paraId="4206411C" w14:textId="77777777" w:rsidR="00D9776D" w:rsidRPr="00EC326F" w:rsidRDefault="00D9776D" w:rsidP="007C24C8">
            <w:pPr>
              <w:pStyle w:val="TableTextSmall"/>
              <w:cnfStyle w:val="000000100000" w:firstRow="0" w:lastRow="0" w:firstColumn="0" w:lastColumn="0" w:oddVBand="0" w:evenVBand="0" w:oddHBand="1" w:evenHBand="0" w:firstRowFirstColumn="0" w:firstRowLastColumn="0" w:lastRowFirstColumn="0" w:lastRowLastColumn="0"/>
            </w:pPr>
            <w:r w:rsidRPr="00EC326F">
              <w:t>For these young carers:</w:t>
            </w:r>
          </w:p>
          <w:p w14:paraId="04FCB1B5" w14:textId="77777777" w:rsidR="00D9776D" w:rsidRPr="00EC326F" w:rsidRDefault="00D9776D" w:rsidP="007C24C8">
            <w:pPr>
              <w:pStyle w:val="TableBullet1Small"/>
              <w:cnfStyle w:val="000000100000" w:firstRow="0" w:lastRow="0" w:firstColumn="0" w:lastColumn="0" w:oddVBand="0" w:evenVBand="0" w:oddHBand="1" w:evenHBand="0" w:firstRowFirstColumn="0" w:firstRowLastColumn="0" w:lastRowFirstColumn="0" w:lastRowLastColumn="0"/>
            </w:pPr>
            <w:r w:rsidRPr="00EC326F">
              <w:t xml:space="preserve">60% caring for a parent </w:t>
            </w:r>
          </w:p>
          <w:p w14:paraId="6D3A1AC2" w14:textId="77777777" w:rsidR="00D9776D" w:rsidRPr="00EC326F" w:rsidRDefault="00D9776D" w:rsidP="007C24C8">
            <w:pPr>
              <w:pStyle w:val="TableBullet1Small"/>
              <w:cnfStyle w:val="000000100000" w:firstRow="0" w:lastRow="0" w:firstColumn="0" w:lastColumn="0" w:oddVBand="0" w:evenVBand="0" w:oddHBand="1" w:evenHBand="0" w:firstRowFirstColumn="0" w:firstRowLastColumn="0" w:lastRowFirstColumn="0" w:lastRowLastColumn="0"/>
            </w:pPr>
            <w:r w:rsidRPr="00EC326F">
              <w:t>4% caring for a child</w:t>
            </w:r>
          </w:p>
          <w:p w14:paraId="6921728B" w14:textId="77777777" w:rsidR="00D9776D" w:rsidRPr="00EC326F" w:rsidRDefault="00D9776D" w:rsidP="007C24C8">
            <w:pPr>
              <w:pStyle w:val="TableBullet1Small"/>
              <w:cnfStyle w:val="000000100000" w:firstRow="0" w:lastRow="0" w:firstColumn="0" w:lastColumn="0" w:oddVBand="0" w:evenVBand="0" w:oddHBand="1" w:evenHBand="0" w:firstRowFirstColumn="0" w:firstRowLastColumn="0" w:lastRowFirstColumn="0" w:lastRowLastColumn="0"/>
            </w:pPr>
            <w:r w:rsidRPr="00EC326F">
              <w:t>4% caring for a partner</w:t>
            </w:r>
          </w:p>
          <w:p w14:paraId="43343841" w14:textId="77777777" w:rsidR="00D9776D" w:rsidRPr="00EC326F" w:rsidRDefault="00D9776D" w:rsidP="007C24C8">
            <w:pPr>
              <w:pStyle w:val="TableBullet1Small"/>
              <w:cnfStyle w:val="000000100000" w:firstRow="0" w:lastRow="0" w:firstColumn="0" w:lastColumn="0" w:oddVBand="0" w:evenVBand="0" w:oddHBand="1" w:evenHBand="0" w:firstRowFirstColumn="0" w:firstRowLastColumn="0" w:lastRowFirstColumn="0" w:lastRowLastColumn="0"/>
            </w:pPr>
            <w:r w:rsidRPr="00EC326F">
              <w:t>32% caring for other relations</w:t>
            </w:r>
          </w:p>
        </w:tc>
      </w:tr>
    </w:tbl>
    <w:p w14:paraId="67095BD1" w14:textId="070C8A94" w:rsidR="00F4243C" w:rsidRPr="00EC326F" w:rsidRDefault="00F4243C" w:rsidP="00F4243C">
      <w:pPr>
        <w:pStyle w:val="Sources"/>
      </w:pPr>
      <w:r w:rsidRPr="00EC326F">
        <w:t xml:space="preserve">Note that </w:t>
      </w:r>
      <w:r>
        <w:t>the expected outcomes may not sum to 100% due to rounding</w:t>
      </w:r>
      <w:r w:rsidRPr="00EC326F">
        <w:t>.</w:t>
      </w:r>
    </w:p>
    <w:p w14:paraId="6D145BA8" w14:textId="77777777" w:rsidR="00D9776D" w:rsidRPr="00EC326F" w:rsidRDefault="00D9776D" w:rsidP="00D9776D">
      <w:pPr>
        <w:pStyle w:val="PwCNormal"/>
        <w:numPr>
          <w:ilvl w:val="0"/>
          <w:numId w:val="1"/>
        </w:numPr>
      </w:pPr>
      <w:r w:rsidRPr="00EC326F">
        <w:t>There were 10,470 young people who were receiving a carer payment in 2016, again a lower number than in 2015.</w:t>
      </w:r>
    </w:p>
    <w:p w14:paraId="410D2A1A" w14:textId="62A85550" w:rsidR="00D9776D" w:rsidRPr="00EC326F" w:rsidRDefault="00D9776D" w:rsidP="00D9776D">
      <w:pPr>
        <w:pStyle w:val="PwCNormal"/>
        <w:numPr>
          <w:ilvl w:val="0"/>
          <w:numId w:val="1"/>
        </w:numPr>
      </w:pPr>
      <w:r w:rsidRPr="00EC326F">
        <w:t>An updated assessment of the average lifetime cost for this Young Carers cohort is $</w:t>
      </w:r>
      <w:r w:rsidR="00093B4E" w:rsidRPr="00EC326F">
        <w:t>4</w:t>
      </w:r>
      <w:r w:rsidR="00DD6CBE">
        <w:t>82</w:t>
      </w:r>
      <w:r w:rsidRPr="00EC326F">
        <w:t xml:space="preserve">,000, which is </w:t>
      </w:r>
      <w:r w:rsidR="00DD6CBE">
        <w:t xml:space="preserve">4% higher than </w:t>
      </w:r>
      <w:r w:rsidRPr="00EC326F">
        <w:t xml:space="preserve">the assessed cost at the baseline valuation. Although the model has also been refined for the </w:t>
      </w:r>
      <w:r w:rsidR="00916C7F">
        <w:t>C</w:t>
      </w:r>
      <w:r w:rsidRPr="00EC326F">
        <w:t>arers class the average outcomes expected for this group of young carers are similar to those developed in the baseline analysis, with the expectations of the future welfare system utilisation similar between both assessments. This is likely to be as the group has a more similar risk profile to the class average, for instance 18% of the group have some employment earnings which is fairly consistent with the proportion for all carers.</w:t>
      </w:r>
    </w:p>
    <w:p w14:paraId="3114FAD7" w14:textId="4FDB716D" w:rsidR="00D9776D" w:rsidRPr="00EC326F" w:rsidRDefault="00D9776D" w:rsidP="00D9776D">
      <w:pPr>
        <w:pStyle w:val="PwCNormal"/>
        <w:numPr>
          <w:ilvl w:val="0"/>
          <w:numId w:val="1"/>
        </w:numPr>
      </w:pPr>
      <w:r w:rsidRPr="00EC326F">
        <w:t xml:space="preserve">At this valuation, we have incorporated several new variables about the </w:t>
      </w:r>
      <w:r w:rsidR="00A82D43">
        <w:t>care recipient</w:t>
      </w:r>
      <w:r w:rsidRPr="00EC326F">
        <w:t xml:space="preserve">, such as the age of the </w:t>
      </w:r>
      <w:r w:rsidR="00A82D43">
        <w:t>care recipient</w:t>
      </w:r>
      <w:r w:rsidR="00A82D43" w:rsidRPr="00EC326F">
        <w:t xml:space="preserve"> </w:t>
      </w:r>
      <w:r w:rsidRPr="00EC326F">
        <w:t xml:space="preserve">and their relationship to the carer. The majority of the Young Carer cohort is caring for an older parent or an individual other than their child, parent or partner. </w:t>
      </w:r>
    </w:p>
    <w:p w14:paraId="0CE7EA51" w14:textId="77777777" w:rsidR="00D9776D" w:rsidRPr="00EC326F" w:rsidRDefault="00D9776D" w:rsidP="00D9776D">
      <w:pPr>
        <w:pStyle w:val="Minorheading"/>
      </w:pPr>
      <w:r w:rsidRPr="00EC326F">
        <w:t>What has happened to the 2015 group of interest?</w:t>
      </w:r>
    </w:p>
    <w:p w14:paraId="3814E198" w14:textId="77777777" w:rsidR="00D9776D" w:rsidRPr="00EC326F" w:rsidRDefault="00D9776D" w:rsidP="00D9776D">
      <w:pPr>
        <w:pStyle w:val="PwCNormal"/>
        <w:numPr>
          <w:ilvl w:val="0"/>
          <w:numId w:val="0"/>
        </w:numPr>
      </w:pPr>
      <w:r w:rsidRPr="00EC326F">
        <w:t>It is interesting to consider the experience of the approximately 11,200 young carers that were identified in the baseline valuation. The table below provides a summary of the expected and actual numbers of the original group who are in each class.</w:t>
      </w:r>
    </w:p>
    <w:p w14:paraId="141F5897" w14:textId="26E1423A" w:rsidR="00D9776D" w:rsidRPr="00EC326F" w:rsidRDefault="003129D2" w:rsidP="00D9776D">
      <w:pPr>
        <w:pStyle w:val="Caption"/>
      </w:pPr>
      <w:r w:rsidRPr="00EC326F">
        <w:t xml:space="preserve">Table </w:t>
      </w:r>
      <w:fldSimple w:instr=" SEQ Table \* ARABIC ">
        <w:r w:rsidR="007A42DF">
          <w:rPr>
            <w:noProof/>
          </w:rPr>
          <w:t>55</w:t>
        </w:r>
      </w:fldSimple>
      <w:r w:rsidRPr="00EC326F">
        <w:t>: Summary of expected an</w:t>
      </w:r>
      <w:r w:rsidR="005E52F3">
        <w:t>d</w:t>
      </w:r>
      <w:r w:rsidRPr="00EC326F">
        <w:t xml:space="preserve"> actual class movements for young </w:t>
      </w:r>
      <w:r w:rsidR="00C3170D" w:rsidRPr="00EC326F">
        <w:t>carers</w:t>
      </w:r>
      <w:r w:rsidR="00D9776D" w:rsidRPr="00EC326F">
        <w:t xml:space="preserve"> (as % of cohort)</w:t>
      </w:r>
    </w:p>
    <w:tbl>
      <w:tblPr>
        <w:tblStyle w:val="ListTable3-Accent61"/>
        <w:tblW w:w="9532" w:type="dxa"/>
        <w:tblInd w:w="108" w:type="dxa"/>
        <w:tblLayout w:type="fixed"/>
        <w:tblLook w:val="04A0" w:firstRow="1" w:lastRow="0" w:firstColumn="1" w:lastColumn="0" w:noHBand="0" w:noVBand="1"/>
        <w:tblCaption w:val=" Summary of expected and actual class movements for young carers (as % of cohort)&#10;"/>
        <w:tblDescription w:val="This table is a summary of the expected and actual proportion of the young carers group of interest who are in each class at 30 June 2016. &#10;&#10;There are three rows of data; expected % of the original cohort in each welfare class, actual % of the original cohort in each welfare class and the difference between actual and expected. &#10;&#10;There are 11 columns, one for each of welfare classes 1 to 11; 1- studying, 2- working age, 3- parents, 4 -carers, 5 - disability support, 6 - pension age, 7 - non-income support family, 8-  non-income support carer, 9 - non-income support other, 10 - previous welfare recipient, and 11- dead.&#10;&#10;The expected % of the original cohort in classes 1 to 11 is; 1%, 8%, 2%, 82%, &lt;1%, &lt;1%, &lt;1%, 1% &lt;1%, 4% and &lt;1% respectively.&#10;&#10;The actual % of the original cohort in classes 1 to 11 is; 2%, 9%, 3%, 80%, &lt;1%, &lt;1%, &lt;1%, 2%, &lt;1%, 5% and &lt;1% respectively.&#10;&#10;The difference between actual and expected for classes 1 to 11 is; &lt;1%, &lt;1%, &lt;1%, -2%, &lt;1%, &lt;1% &lt;1%, 1%, &lt;1%, 1% and &lt;1% respectively.&#10;&#10;The features of the data in this tables are described further in the accompanying text within the report.&#10;"/>
      </w:tblPr>
      <w:tblGrid>
        <w:gridCol w:w="1584"/>
        <w:gridCol w:w="722"/>
        <w:gridCol w:w="723"/>
        <w:gridCol w:w="722"/>
        <w:gridCol w:w="723"/>
        <w:gridCol w:w="722"/>
        <w:gridCol w:w="723"/>
        <w:gridCol w:w="722"/>
        <w:gridCol w:w="723"/>
        <w:gridCol w:w="722"/>
        <w:gridCol w:w="723"/>
        <w:gridCol w:w="723"/>
      </w:tblGrid>
      <w:tr w:rsidR="00D9776D" w:rsidRPr="00EC326F" w14:paraId="5BC0DE62"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84" w:type="dxa"/>
          </w:tcPr>
          <w:p w14:paraId="11966091" w14:textId="77777777" w:rsidR="00D9776D" w:rsidRPr="00EC326F" w:rsidRDefault="00D9776D" w:rsidP="007C24C8">
            <w:pPr>
              <w:pStyle w:val="TableColumnHeadingSmall"/>
              <w:ind w:right="-198"/>
            </w:pPr>
            <w:r w:rsidRPr="00EC326F">
              <w:t>Class at June 2016</w:t>
            </w:r>
          </w:p>
        </w:tc>
        <w:tc>
          <w:tcPr>
            <w:tcW w:w="722" w:type="dxa"/>
          </w:tcPr>
          <w:p w14:paraId="510347A2"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1</w:t>
            </w:r>
          </w:p>
        </w:tc>
        <w:tc>
          <w:tcPr>
            <w:tcW w:w="723" w:type="dxa"/>
          </w:tcPr>
          <w:p w14:paraId="05DFEB18"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2</w:t>
            </w:r>
          </w:p>
        </w:tc>
        <w:tc>
          <w:tcPr>
            <w:tcW w:w="722" w:type="dxa"/>
          </w:tcPr>
          <w:p w14:paraId="7A4AB801"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3</w:t>
            </w:r>
          </w:p>
        </w:tc>
        <w:tc>
          <w:tcPr>
            <w:tcW w:w="723" w:type="dxa"/>
          </w:tcPr>
          <w:p w14:paraId="1F81F8B9"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4</w:t>
            </w:r>
          </w:p>
        </w:tc>
        <w:tc>
          <w:tcPr>
            <w:tcW w:w="722" w:type="dxa"/>
          </w:tcPr>
          <w:p w14:paraId="582F9C82"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5</w:t>
            </w:r>
          </w:p>
        </w:tc>
        <w:tc>
          <w:tcPr>
            <w:tcW w:w="723" w:type="dxa"/>
          </w:tcPr>
          <w:p w14:paraId="3594161F"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6</w:t>
            </w:r>
          </w:p>
        </w:tc>
        <w:tc>
          <w:tcPr>
            <w:tcW w:w="722" w:type="dxa"/>
          </w:tcPr>
          <w:p w14:paraId="0D217683"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7</w:t>
            </w:r>
          </w:p>
        </w:tc>
        <w:tc>
          <w:tcPr>
            <w:tcW w:w="723" w:type="dxa"/>
          </w:tcPr>
          <w:p w14:paraId="57CC2B7F"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8</w:t>
            </w:r>
          </w:p>
        </w:tc>
        <w:tc>
          <w:tcPr>
            <w:tcW w:w="722" w:type="dxa"/>
          </w:tcPr>
          <w:p w14:paraId="4EAD91E9"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9</w:t>
            </w:r>
          </w:p>
        </w:tc>
        <w:tc>
          <w:tcPr>
            <w:tcW w:w="723" w:type="dxa"/>
          </w:tcPr>
          <w:p w14:paraId="73C36B43"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10</w:t>
            </w:r>
          </w:p>
        </w:tc>
        <w:tc>
          <w:tcPr>
            <w:tcW w:w="723" w:type="dxa"/>
          </w:tcPr>
          <w:p w14:paraId="2AF6DE74" w14:textId="77777777" w:rsidR="00D9776D" w:rsidRPr="00EC326F" w:rsidRDefault="00D9776D" w:rsidP="007C24C8">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11</w:t>
            </w:r>
          </w:p>
        </w:tc>
      </w:tr>
      <w:tr w:rsidR="00D9776D" w:rsidRPr="00EC326F" w14:paraId="4D720EF7" w14:textId="77777777" w:rsidTr="007C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11203211" w14:textId="77777777" w:rsidR="00D9776D" w:rsidRPr="00EC326F" w:rsidRDefault="00D9776D" w:rsidP="007C24C8">
            <w:pPr>
              <w:pStyle w:val="TableTextSmall"/>
            </w:pPr>
            <w:r w:rsidRPr="00EC326F">
              <w:t>Expected %</w:t>
            </w:r>
          </w:p>
        </w:tc>
        <w:tc>
          <w:tcPr>
            <w:tcW w:w="722" w:type="dxa"/>
            <w:vAlign w:val="center"/>
          </w:tcPr>
          <w:p w14:paraId="1B2D6F33"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1%</w:t>
            </w:r>
          </w:p>
        </w:tc>
        <w:tc>
          <w:tcPr>
            <w:tcW w:w="723" w:type="dxa"/>
            <w:vAlign w:val="center"/>
          </w:tcPr>
          <w:p w14:paraId="390FB3C5"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8%</w:t>
            </w:r>
          </w:p>
        </w:tc>
        <w:tc>
          <w:tcPr>
            <w:tcW w:w="722" w:type="dxa"/>
            <w:vAlign w:val="center"/>
          </w:tcPr>
          <w:p w14:paraId="2A7067E8"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2%</w:t>
            </w:r>
          </w:p>
        </w:tc>
        <w:tc>
          <w:tcPr>
            <w:tcW w:w="723" w:type="dxa"/>
            <w:shd w:val="clear" w:color="auto" w:fill="F0BAC3" w:themeFill="accent4" w:themeFillTint="66"/>
            <w:vAlign w:val="center"/>
          </w:tcPr>
          <w:p w14:paraId="354EF2DE"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82%</w:t>
            </w:r>
          </w:p>
        </w:tc>
        <w:tc>
          <w:tcPr>
            <w:tcW w:w="722" w:type="dxa"/>
            <w:vAlign w:val="center"/>
          </w:tcPr>
          <w:p w14:paraId="30C80258"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3" w:type="dxa"/>
            <w:vAlign w:val="center"/>
          </w:tcPr>
          <w:p w14:paraId="040EBFB1"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2" w:type="dxa"/>
            <w:vAlign w:val="center"/>
          </w:tcPr>
          <w:p w14:paraId="44DC94FC"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3" w:type="dxa"/>
            <w:vAlign w:val="center"/>
          </w:tcPr>
          <w:p w14:paraId="5D4C5D6A"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1%</w:t>
            </w:r>
          </w:p>
        </w:tc>
        <w:tc>
          <w:tcPr>
            <w:tcW w:w="722" w:type="dxa"/>
            <w:vAlign w:val="center"/>
          </w:tcPr>
          <w:p w14:paraId="55A88B7D"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3" w:type="dxa"/>
            <w:vAlign w:val="center"/>
          </w:tcPr>
          <w:p w14:paraId="3DFC2E66"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4%</w:t>
            </w:r>
          </w:p>
        </w:tc>
        <w:tc>
          <w:tcPr>
            <w:tcW w:w="723" w:type="dxa"/>
            <w:vAlign w:val="center"/>
          </w:tcPr>
          <w:p w14:paraId="0E8CDFCA"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r>
      <w:tr w:rsidR="00D9776D" w:rsidRPr="00EC326F" w14:paraId="35C89C7E" w14:textId="77777777" w:rsidTr="007C24C8">
        <w:tc>
          <w:tcPr>
            <w:cnfStyle w:val="001000000000" w:firstRow="0" w:lastRow="0" w:firstColumn="1" w:lastColumn="0" w:oddVBand="0" w:evenVBand="0" w:oddHBand="0" w:evenHBand="0" w:firstRowFirstColumn="0" w:firstRowLastColumn="0" w:lastRowFirstColumn="0" w:lastRowLastColumn="0"/>
            <w:tcW w:w="1584" w:type="dxa"/>
          </w:tcPr>
          <w:p w14:paraId="2BB4F79E" w14:textId="77777777" w:rsidR="00D9776D" w:rsidRPr="00EC326F" w:rsidRDefault="00D9776D" w:rsidP="007C24C8">
            <w:pPr>
              <w:pStyle w:val="TableTextSmall"/>
            </w:pPr>
            <w:r w:rsidRPr="00EC326F">
              <w:t>Actual %</w:t>
            </w:r>
          </w:p>
        </w:tc>
        <w:tc>
          <w:tcPr>
            <w:tcW w:w="722" w:type="dxa"/>
            <w:vAlign w:val="center"/>
          </w:tcPr>
          <w:p w14:paraId="588C32BA" w14:textId="77777777" w:rsidR="00D9776D" w:rsidRPr="00EC326F" w:rsidRDefault="00D9776D" w:rsidP="007C24C8">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2%</w:t>
            </w:r>
          </w:p>
        </w:tc>
        <w:tc>
          <w:tcPr>
            <w:tcW w:w="723" w:type="dxa"/>
            <w:vAlign w:val="center"/>
          </w:tcPr>
          <w:p w14:paraId="1582EA9B" w14:textId="77777777" w:rsidR="00D9776D" w:rsidRPr="00EC326F" w:rsidRDefault="00D9776D" w:rsidP="007C24C8">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9%</w:t>
            </w:r>
          </w:p>
        </w:tc>
        <w:tc>
          <w:tcPr>
            <w:tcW w:w="722" w:type="dxa"/>
            <w:vAlign w:val="center"/>
          </w:tcPr>
          <w:p w14:paraId="5A6EF866" w14:textId="77777777" w:rsidR="00D9776D" w:rsidRPr="00EC326F" w:rsidRDefault="00D9776D" w:rsidP="007C24C8">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3%</w:t>
            </w:r>
          </w:p>
        </w:tc>
        <w:tc>
          <w:tcPr>
            <w:tcW w:w="723" w:type="dxa"/>
            <w:shd w:val="clear" w:color="auto" w:fill="F0BAC3" w:themeFill="accent4" w:themeFillTint="66"/>
            <w:vAlign w:val="center"/>
          </w:tcPr>
          <w:p w14:paraId="6E3C54D1" w14:textId="77777777" w:rsidR="00D9776D" w:rsidRPr="00EC326F" w:rsidRDefault="00D9776D" w:rsidP="007C24C8">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80%</w:t>
            </w:r>
          </w:p>
        </w:tc>
        <w:tc>
          <w:tcPr>
            <w:tcW w:w="722" w:type="dxa"/>
            <w:vAlign w:val="center"/>
          </w:tcPr>
          <w:p w14:paraId="1B8EC81E" w14:textId="77777777" w:rsidR="00D9776D" w:rsidRPr="00EC326F" w:rsidRDefault="00D9776D" w:rsidP="007C24C8">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&lt;1%</w:t>
            </w:r>
          </w:p>
        </w:tc>
        <w:tc>
          <w:tcPr>
            <w:tcW w:w="723" w:type="dxa"/>
            <w:vAlign w:val="center"/>
          </w:tcPr>
          <w:p w14:paraId="4F9FF9D8" w14:textId="77777777" w:rsidR="00D9776D" w:rsidRPr="00EC326F" w:rsidRDefault="00D9776D" w:rsidP="007C24C8">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&lt;1%</w:t>
            </w:r>
          </w:p>
        </w:tc>
        <w:tc>
          <w:tcPr>
            <w:tcW w:w="722" w:type="dxa"/>
            <w:vAlign w:val="center"/>
          </w:tcPr>
          <w:p w14:paraId="4740B03B" w14:textId="77777777" w:rsidR="00D9776D" w:rsidRPr="00EC326F" w:rsidRDefault="00D9776D" w:rsidP="007C24C8">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&lt;1%</w:t>
            </w:r>
          </w:p>
        </w:tc>
        <w:tc>
          <w:tcPr>
            <w:tcW w:w="723" w:type="dxa"/>
            <w:vAlign w:val="center"/>
          </w:tcPr>
          <w:p w14:paraId="17B59C55" w14:textId="77777777" w:rsidR="00D9776D" w:rsidRPr="00EC326F" w:rsidRDefault="00D9776D" w:rsidP="007C24C8">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2%</w:t>
            </w:r>
          </w:p>
        </w:tc>
        <w:tc>
          <w:tcPr>
            <w:tcW w:w="722" w:type="dxa"/>
            <w:vAlign w:val="center"/>
          </w:tcPr>
          <w:p w14:paraId="2D3B14A3" w14:textId="77777777" w:rsidR="00D9776D" w:rsidRPr="00EC326F" w:rsidRDefault="00D9776D" w:rsidP="007C24C8">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&lt;1%</w:t>
            </w:r>
          </w:p>
        </w:tc>
        <w:tc>
          <w:tcPr>
            <w:tcW w:w="723" w:type="dxa"/>
            <w:vAlign w:val="center"/>
          </w:tcPr>
          <w:p w14:paraId="4E938E0D" w14:textId="77777777" w:rsidR="00D9776D" w:rsidRPr="00EC326F" w:rsidRDefault="00D9776D" w:rsidP="007C24C8">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5%</w:t>
            </w:r>
          </w:p>
        </w:tc>
        <w:tc>
          <w:tcPr>
            <w:tcW w:w="723" w:type="dxa"/>
            <w:vAlign w:val="center"/>
          </w:tcPr>
          <w:p w14:paraId="0DBD6497" w14:textId="77777777" w:rsidR="00D9776D" w:rsidRPr="00EC326F" w:rsidRDefault="00D9776D" w:rsidP="007C24C8">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&lt;1%</w:t>
            </w:r>
          </w:p>
        </w:tc>
      </w:tr>
      <w:tr w:rsidR="00D9776D" w:rsidRPr="00EC326F" w14:paraId="31488452" w14:textId="77777777" w:rsidTr="007C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shd w:val="clear" w:color="auto" w:fill="auto"/>
          </w:tcPr>
          <w:p w14:paraId="6C286AFB" w14:textId="77777777" w:rsidR="00D9776D" w:rsidRPr="00EC326F" w:rsidRDefault="00D9776D" w:rsidP="007C24C8">
            <w:pPr>
              <w:pStyle w:val="TableTextSmall"/>
            </w:pPr>
            <w:r w:rsidRPr="00EC326F">
              <w:t>Difference</w:t>
            </w:r>
          </w:p>
        </w:tc>
        <w:tc>
          <w:tcPr>
            <w:tcW w:w="722" w:type="dxa"/>
            <w:shd w:val="clear" w:color="auto" w:fill="auto"/>
            <w:vAlign w:val="center"/>
          </w:tcPr>
          <w:p w14:paraId="659D1DE3"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3" w:type="dxa"/>
            <w:shd w:val="clear" w:color="auto" w:fill="auto"/>
            <w:vAlign w:val="center"/>
          </w:tcPr>
          <w:p w14:paraId="57906D4C"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2" w:type="dxa"/>
            <w:shd w:val="clear" w:color="auto" w:fill="auto"/>
            <w:vAlign w:val="center"/>
          </w:tcPr>
          <w:p w14:paraId="5ABDE2A9"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3" w:type="dxa"/>
            <w:shd w:val="clear" w:color="auto" w:fill="F0BAC3" w:themeFill="accent4" w:themeFillTint="66"/>
            <w:vAlign w:val="center"/>
          </w:tcPr>
          <w:p w14:paraId="41AD565F"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-2%</w:t>
            </w:r>
          </w:p>
        </w:tc>
        <w:tc>
          <w:tcPr>
            <w:tcW w:w="722" w:type="dxa"/>
            <w:shd w:val="clear" w:color="auto" w:fill="auto"/>
            <w:vAlign w:val="center"/>
          </w:tcPr>
          <w:p w14:paraId="31D74059"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3" w:type="dxa"/>
            <w:shd w:val="clear" w:color="auto" w:fill="auto"/>
            <w:vAlign w:val="center"/>
          </w:tcPr>
          <w:p w14:paraId="29CC54E6"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2" w:type="dxa"/>
            <w:shd w:val="clear" w:color="auto" w:fill="auto"/>
            <w:vAlign w:val="center"/>
          </w:tcPr>
          <w:p w14:paraId="1EE1C8BC"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3" w:type="dxa"/>
            <w:shd w:val="clear" w:color="auto" w:fill="auto"/>
            <w:vAlign w:val="center"/>
          </w:tcPr>
          <w:p w14:paraId="56DE8B38"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1%</w:t>
            </w:r>
          </w:p>
        </w:tc>
        <w:tc>
          <w:tcPr>
            <w:tcW w:w="722" w:type="dxa"/>
            <w:shd w:val="clear" w:color="auto" w:fill="auto"/>
            <w:vAlign w:val="center"/>
          </w:tcPr>
          <w:p w14:paraId="328FC2A7"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3" w:type="dxa"/>
            <w:shd w:val="clear" w:color="auto" w:fill="auto"/>
            <w:vAlign w:val="center"/>
          </w:tcPr>
          <w:p w14:paraId="502B5C4E"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1%</w:t>
            </w:r>
          </w:p>
        </w:tc>
        <w:tc>
          <w:tcPr>
            <w:tcW w:w="723" w:type="dxa"/>
            <w:shd w:val="clear" w:color="auto" w:fill="auto"/>
            <w:vAlign w:val="center"/>
          </w:tcPr>
          <w:p w14:paraId="2A80FBCC" w14:textId="77777777" w:rsidR="00D9776D" w:rsidRPr="00EC326F" w:rsidRDefault="00D9776D" w:rsidP="007C24C8">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r>
    </w:tbl>
    <w:p w14:paraId="46091501" w14:textId="77777777" w:rsidR="00D9776D" w:rsidRPr="00EC326F" w:rsidRDefault="00D9776D" w:rsidP="00D9776D">
      <w:pPr>
        <w:pStyle w:val="PwCNormal"/>
        <w:numPr>
          <w:ilvl w:val="0"/>
          <w:numId w:val="1"/>
        </w:numPr>
      </w:pPr>
      <w:r w:rsidRPr="00EC326F">
        <w:t xml:space="preserve">Of the Young Carers cohort identified in 2015, the majority remained on carer payments in 2016 as was expected, although the proportion of people moving to other income support classes, the carer non income support class and exiting are all slightly higher than expected. </w:t>
      </w:r>
    </w:p>
    <w:p w14:paraId="6577B1AF" w14:textId="77777777" w:rsidR="00D9776D" w:rsidRPr="00EC326F" w:rsidRDefault="00D9776D" w:rsidP="00D9776D">
      <w:pPr>
        <w:pStyle w:val="PwCNormal"/>
        <w:numPr>
          <w:ilvl w:val="0"/>
          <w:numId w:val="1"/>
        </w:numPr>
      </w:pPr>
      <w:r w:rsidRPr="00EC326F">
        <w:t xml:space="preserve">These figures have been rounded and some figures may also be impacted by data maturity, including natural delays in the assessment of certain payment classes such as carer payments. </w:t>
      </w:r>
    </w:p>
    <w:p w14:paraId="3BE87D1D" w14:textId="77777777" w:rsidR="00FC6ECC" w:rsidRPr="00EC326F" w:rsidRDefault="00C3170D" w:rsidP="00FC6ECC">
      <w:pPr>
        <w:pStyle w:val="Heading4"/>
      </w:pPr>
      <w:r w:rsidRPr="00EC326F">
        <w:t>S</w:t>
      </w:r>
      <w:r w:rsidR="00FC6ECC" w:rsidRPr="00EC326F">
        <w:t>tudents transitioning to working age</w:t>
      </w:r>
    </w:p>
    <w:p w14:paraId="611482A5" w14:textId="77777777" w:rsidR="00FC6ECC" w:rsidRPr="00EC326F" w:rsidRDefault="00C3170D" w:rsidP="00B419D1">
      <w:pPr>
        <w:pStyle w:val="PwCNormal"/>
        <w:numPr>
          <w:ilvl w:val="0"/>
          <w:numId w:val="0"/>
        </w:numPr>
      </w:pPr>
      <w:r w:rsidRPr="00EC326F">
        <w:t xml:space="preserve">In 2014-2015, there were 392,000 people receiving studying payments. The majority of people receive studying income support payments for some years and then exit. However a proportion transition to other income support payments. It was estimated that in 10 years, around 25 per cent of those students will be receiving some type of income support payments. </w:t>
      </w:r>
    </w:p>
    <w:p w14:paraId="6AE4EE39" w14:textId="77777777" w:rsidR="00D9776D" w:rsidRPr="00EC326F" w:rsidRDefault="00D9776D" w:rsidP="00D9776D">
      <w:pPr>
        <w:pStyle w:val="PwCNormal"/>
        <w:numPr>
          <w:ilvl w:val="0"/>
          <w:numId w:val="1"/>
        </w:numPr>
      </w:pPr>
      <w:r w:rsidRPr="00EC326F">
        <w:t xml:space="preserve">Additional Departmental analysis shows that since 2003 there were around 13,400 vocational and university students who started receiving a student payment aged 17 to 19 and experienced a 12 month period of </w:t>
      </w:r>
      <w:r w:rsidRPr="00EC326F">
        <w:lastRenderedPageBreak/>
        <w:t>dependence on unemployment payments immediately after stopping study. Of these former students, 6,600 were still receiving working age payments in 2014</w:t>
      </w:r>
      <w:r w:rsidRPr="00EC326F">
        <w:noBreakHyphen/>
        <w:t>2015. This group are expected to have a higher expected future lifetime cost than other students and has been identified as a group of interest.</w:t>
      </w:r>
    </w:p>
    <w:p w14:paraId="6B93EB54" w14:textId="675D769D" w:rsidR="00EB7B97" w:rsidRPr="00EC326F" w:rsidRDefault="00EB7B97" w:rsidP="00EB7B97">
      <w:pPr>
        <w:pStyle w:val="PwCNormal"/>
        <w:numPr>
          <w:ilvl w:val="0"/>
          <w:numId w:val="0"/>
        </w:numPr>
      </w:pPr>
      <w:r w:rsidRPr="00EC326F">
        <w:t xml:space="preserve">The table below provides a summary of key statistics for this group and the equivalent group identified </w:t>
      </w:r>
      <w:r>
        <w:t xml:space="preserve">by the Department </w:t>
      </w:r>
      <w:r w:rsidRPr="00EC326F">
        <w:t>at 30 June 2016 based on the payment experience over the 2015-16 year.</w:t>
      </w:r>
    </w:p>
    <w:p w14:paraId="3D580840" w14:textId="77777777" w:rsidR="00C3170D" w:rsidRPr="008A5C59" w:rsidRDefault="00C3170D" w:rsidP="00C3170D">
      <w:pPr>
        <w:pStyle w:val="Caption"/>
      </w:pPr>
      <w:r w:rsidRPr="008A5C59">
        <w:t xml:space="preserve">Table </w:t>
      </w:r>
      <w:fldSimple w:instr=" SEQ Table \* ARABIC ">
        <w:r w:rsidR="007A42DF">
          <w:rPr>
            <w:noProof/>
          </w:rPr>
          <w:t>56</w:t>
        </w:r>
      </w:fldSimple>
      <w:r w:rsidRPr="008A5C59">
        <w:t>: Summary of key statistics for</w:t>
      </w:r>
      <w:r w:rsidR="008A5C59" w:rsidRPr="008A5C59">
        <w:t xml:space="preserve"> previous</w:t>
      </w:r>
      <w:r w:rsidRPr="008A5C59">
        <w:t xml:space="preserve"> young students who have transitioned to working age </w:t>
      </w:r>
    </w:p>
    <w:tbl>
      <w:tblPr>
        <w:tblStyle w:val="ListTable3-Accent61"/>
        <w:tblW w:w="9781" w:type="dxa"/>
        <w:tblInd w:w="108" w:type="dxa"/>
        <w:tblLook w:val="04A0" w:firstRow="1" w:lastRow="0" w:firstColumn="1" w:lastColumn="0" w:noHBand="0" w:noVBand="1"/>
        <w:tblCaption w:val=" Summary of key statistics for previous young students who have transitioned to working age &#10;"/>
        <w:tblDescription w:val="This table summaries and compares the Jun15 and Jun16 key statistics for the young students who have transitioned to working age group of interest. &#10;&#10;The key statistics provided for 2015 and 2016 are; number of people, average lifetime cost, expected outcomes in 10 years’ time, Expected outcomes in 20 years’ time, expected outcomes over remainder of future lifetime, and proportion with employment earnings over last year. &#10;&#10;In the 2015 valuation there were 6,600 people in this group of interest compared to 7,160 in the 2016 valuation.&#10;&#10;The average lifetime cost for this group of interest was $304,000 in the 2015 valuation and $271,000 in the 2016 valuation. &#10;&#10;In the 2015 valuation, the expected outcomes for this group of interest in 10 years’ time were:&#10;• 44% still receiving income support&#10;• 14% receiving other payments&#10;• 42% not receiving welfare&#10;&#10;In the 2016 valuation, the expected outcomes for this group of interest in 10 years’ time were:&#10;• 39% still receiving income support&#10;• 13% receiving other payments&#10;• 47% not receiving welfare&#10;&#10;In the 2015 valuation, the expected outcomes for this group of interest in 20 years’ time were:&#10;• 36% still receiving income support &#10;• 15% receiving other payments&#10;• 50% not receiving welfare&#10;&#10;In the 2016 valuation, the expected outcomes for this group of interest in 20 years’ time were:&#10;• 30% still receiving income support&#10;• 14% receiving other payments&#10;• 56% not receiving welfare&#10;&#10;In the 2015 valuation, the expected outcomes for this group of interest over the remainder of their future lifetime were:&#10;• 19 years receiving income support payments (excl. Age Pension)&#10;• 4 years receiving non-income support payments only&#10;• 24 years not receiving welfare&#10;• 17 years receiving Age Pension&#10;&#10;In the 2016 valuation, the expected outcomes for this group of interest over the remainder of their future lifetime were:&#10;• 16 years receiving income support payments (excl. Age Pension)&#10;• 5 years receiving non-income support payments only&#10;• 26 years not receiving welfare&#10;• 17 years receiving Age Pension&#10;&#10;The proportion of this group of interest with employment earnings over the last year was 58% in the 2016 valuation. This statistic was not available in the 2015 valuation.&#10;"/>
      </w:tblPr>
      <w:tblGrid>
        <w:gridCol w:w="2127"/>
        <w:gridCol w:w="3827"/>
        <w:gridCol w:w="3827"/>
      </w:tblGrid>
      <w:tr w:rsidR="008A5C59" w:rsidRPr="00EC326F" w14:paraId="6AC33CA9" w14:textId="77777777" w:rsidTr="008A5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tcPr>
          <w:p w14:paraId="75415783" w14:textId="77777777" w:rsidR="008A5C59" w:rsidRPr="00EC326F" w:rsidRDefault="008A5C59" w:rsidP="008A5C59">
            <w:pPr>
              <w:pStyle w:val="TableColumnHeadingSmall"/>
            </w:pPr>
            <w:r w:rsidRPr="00EC326F">
              <w:t>Key statistic</w:t>
            </w:r>
          </w:p>
        </w:tc>
        <w:tc>
          <w:tcPr>
            <w:tcW w:w="3827" w:type="dxa"/>
          </w:tcPr>
          <w:p w14:paraId="66C73BBE" w14:textId="77777777" w:rsidR="008A5C59" w:rsidRPr="00EC326F" w:rsidRDefault="008A5C59" w:rsidP="008A5C59">
            <w:pPr>
              <w:pStyle w:val="TableColumnHeadingSmall"/>
              <w:cnfStyle w:val="100000000000" w:firstRow="1" w:lastRow="0" w:firstColumn="0" w:lastColumn="0" w:oddVBand="0" w:evenVBand="0" w:oddHBand="0" w:evenHBand="0" w:firstRowFirstColumn="0" w:firstRowLastColumn="0" w:lastRowFirstColumn="0" w:lastRowLastColumn="0"/>
            </w:pPr>
            <w:r w:rsidRPr="00EC326F">
              <w:t>2015 valuation</w:t>
            </w:r>
          </w:p>
        </w:tc>
        <w:tc>
          <w:tcPr>
            <w:tcW w:w="3827" w:type="dxa"/>
          </w:tcPr>
          <w:p w14:paraId="044BCB4F" w14:textId="77777777" w:rsidR="008A5C59" w:rsidRPr="00EC326F" w:rsidRDefault="008A5C59" w:rsidP="008A5C59">
            <w:pPr>
              <w:pStyle w:val="TableColumnHeadingSmall"/>
              <w:cnfStyle w:val="100000000000" w:firstRow="1" w:lastRow="0" w:firstColumn="0" w:lastColumn="0" w:oddVBand="0" w:evenVBand="0" w:oddHBand="0" w:evenHBand="0" w:firstRowFirstColumn="0" w:firstRowLastColumn="0" w:lastRowFirstColumn="0" w:lastRowLastColumn="0"/>
            </w:pPr>
            <w:r w:rsidRPr="00EC326F">
              <w:t>2016 valuation</w:t>
            </w:r>
          </w:p>
        </w:tc>
      </w:tr>
      <w:tr w:rsidR="008A5C59" w:rsidRPr="00EC326F" w14:paraId="7D67A8CF" w14:textId="77777777" w:rsidTr="008A5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EFB0A9E" w14:textId="77777777" w:rsidR="008A5C59" w:rsidRPr="00EC326F" w:rsidRDefault="008A5C59" w:rsidP="008A5C59">
            <w:pPr>
              <w:pStyle w:val="TableTextSmall"/>
            </w:pPr>
            <w:r w:rsidRPr="00EC326F">
              <w:t>Number of people</w:t>
            </w:r>
          </w:p>
        </w:tc>
        <w:tc>
          <w:tcPr>
            <w:tcW w:w="3827" w:type="dxa"/>
            <w:vAlign w:val="center"/>
          </w:tcPr>
          <w:p w14:paraId="5FD32677" w14:textId="77777777" w:rsidR="008A5C59" w:rsidRPr="00EC326F" w:rsidRDefault="008A5C59" w:rsidP="008A5C5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6,6</w:t>
            </w:r>
            <w:r w:rsidRPr="00EC326F">
              <w:rPr>
                <w:sz w:val="16"/>
                <w:szCs w:val="16"/>
              </w:rPr>
              <w:t>00</w:t>
            </w:r>
          </w:p>
        </w:tc>
        <w:tc>
          <w:tcPr>
            <w:tcW w:w="3827" w:type="dxa"/>
            <w:vAlign w:val="center"/>
          </w:tcPr>
          <w:p w14:paraId="42777F9E" w14:textId="77777777" w:rsidR="008A5C59" w:rsidRPr="00EC326F" w:rsidRDefault="008A5C59" w:rsidP="008A5C5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w:t>
            </w:r>
            <w:r w:rsidRPr="00EC326F">
              <w:rPr>
                <w:sz w:val="16"/>
                <w:szCs w:val="16"/>
              </w:rPr>
              <w:t>,</w:t>
            </w:r>
            <w:r>
              <w:rPr>
                <w:sz w:val="16"/>
                <w:szCs w:val="16"/>
              </w:rPr>
              <w:t>16</w:t>
            </w:r>
            <w:r w:rsidRPr="00EC326F">
              <w:rPr>
                <w:sz w:val="16"/>
                <w:szCs w:val="16"/>
              </w:rPr>
              <w:t>0</w:t>
            </w:r>
          </w:p>
        </w:tc>
      </w:tr>
      <w:tr w:rsidR="008A5C59" w:rsidRPr="00EC326F" w14:paraId="45EB4361" w14:textId="77777777" w:rsidTr="008A5C59">
        <w:tc>
          <w:tcPr>
            <w:cnfStyle w:val="001000000000" w:firstRow="0" w:lastRow="0" w:firstColumn="1" w:lastColumn="0" w:oddVBand="0" w:evenVBand="0" w:oddHBand="0" w:evenHBand="0" w:firstRowFirstColumn="0" w:firstRowLastColumn="0" w:lastRowFirstColumn="0" w:lastRowLastColumn="0"/>
            <w:tcW w:w="2127" w:type="dxa"/>
          </w:tcPr>
          <w:p w14:paraId="0CC41A4B" w14:textId="77777777" w:rsidR="008A5C59" w:rsidRPr="00EC326F" w:rsidRDefault="008A5C59" w:rsidP="008A5C59">
            <w:pPr>
              <w:pStyle w:val="TableTextSmall"/>
            </w:pPr>
            <w:r w:rsidRPr="00EC326F">
              <w:t>Average lifetime cost</w:t>
            </w:r>
          </w:p>
        </w:tc>
        <w:tc>
          <w:tcPr>
            <w:tcW w:w="3827" w:type="dxa"/>
            <w:vAlign w:val="center"/>
          </w:tcPr>
          <w:p w14:paraId="5A3163EB" w14:textId="77777777" w:rsidR="008A5C59" w:rsidRPr="00EC326F" w:rsidRDefault="008A5C59" w:rsidP="008A5C59">
            <w:pP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w:t>
            </w:r>
            <w:r>
              <w:rPr>
                <w:sz w:val="16"/>
                <w:szCs w:val="16"/>
              </w:rPr>
              <w:t>30</w:t>
            </w:r>
            <w:r w:rsidRPr="00EC326F">
              <w:rPr>
                <w:sz w:val="16"/>
                <w:szCs w:val="16"/>
              </w:rPr>
              <w:t>4,000</w:t>
            </w:r>
          </w:p>
        </w:tc>
        <w:tc>
          <w:tcPr>
            <w:tcW w:w="3827" w:type="dxa"/>
            <w:vAlign w:val="center"/>
          </w:tcPr>
          <w:p w14:paraId="33D322D0" w14:textId="309B4FEB" w:rsidR="008A5C59" w:rsidRPr="00EC326F" w:rsidRDefault="008A5C59" w:rsidP="00DD6CB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r w:rsidR="00DD6CBE">
              <w:rPr>
                <w:sz w:val="16"/>
                <w:szCs w:val="16"/>
              </w:rPr>
              <w:t>82</w:t>
            </w:r>
            <w:r w:rsidRPr="00EC326F">
              <w:rPr>
                <w:sz w:val="16"/>
                <w:szCs w:val="16"/>
              </w:rPr>
              <w:t>,000</w:t>
            </w:r>
          </w:p>
        </w:tc>
      </w:tr>
      <w:tr w:rsidR="008A5C59" w:rsidRPr="00EC326F" w14:paraId="5780AF04" w14:textId="77777777" w:rsidTr="008A5C5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6D84B475" w14:textId="77777777" w:rsidR="008A5C59" w:rsidRPr="00EC326F" w:rsidRDefault="008A5C59" w:rsidP="008A5C59">
            <w:pPr>
              <w:pStyle w:val="TableTextSmall"/>
            </w:pPr>
            <w:r w:rsidRPr="00EC326F">
              <w:t>Expected outcomes in 10 years</w:t>
            </w:r>
            <w:r>
              <w:t>’</w:t>
            </w:r>
            <w:r w:rsidRPr="00EC326F">
              <w:t xml:space="preserve"> time</w:t>
            </w:r>
          </w:p>
        </w:tc>
        <w:tc>
          <w:tcPr>
            <w:tcW w:w="3827" w:type="dxa"/>
          </w:tcPr>
          <w:p w14:paraId="170BCCA4"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rPr>
                <w:szCs w:val="16"/>
              </w:rPr>
            </w:pPr>
            <w:r>
              <w:rPr>
                <w:szCs w:val="16"/>
              </w:rPr>
              <w:t>44</w:t>
            </w:r>
            <w:r w:rsidRPr="00EC326F">
              <w:rPr>
                <w:szCs w:val="16"/>
              </w:rPr>
              <w:t>% still receiving income support</w:t>
            </w:r>
          </w:p>
          <w:p w14:paraId="3AB664DA"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rPr>
                <w:szCs w:val="16"/>
              </w:rPr>
            </w:pPr>
            <w:r>
              <w:rPr>
                <w:szCs w:val="16"/>
              </w:rPr>
              <w:t>14</w:t>
            </w:r>
            <w:r w:rsidRPr="00EC326F">
              <w:rPr>
                <w:szCs w:val="16"/>
              </w:rPr>
              <w:t>% receiving other payments</w:t>
            </w:r>
          </w:p>
          <w:p w14:paraId="0247DEA8"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rPr>
                <w:szCs w:val="16"/>
              </w:rPr>
            </w:pPr>
            <w:r>
              <w:rPr>
                <w:szCs w:val="16"/>
              </w:rPr>
              <w:t>42</w:t>
            </w:r>
            <w:r w:rsidRPr="00EC326F">
              <w:rPr>
                <w:szCs w:val="16"/>
              </w:rPr>
              <w:t>% not receiving welfare</w:t>
            </w:r>
          </w:p>
        </w:tc>
        <w:tc>
          <w:tcPr>
            <w:tcW w:w="3827" w:type="dxa"/>
          </w:tcPr>
          <w:p w14:paraId="1A35963F"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rPr>
                <w:szCs w:val="16"/>
              </w:rPr>
            </w:pPr>
            <w:r>
              <w:rPr>
                <w:szCs w:val="16"/>
              </w:rPr>
              <w:t>39</w:t>
            </w:r>
            <w:r w:rsidRPr="00EC326F">
              <w:rPr>
                <w:szCs w:val="16"/>
              </w:rPr>
              <w:t>% still receiving income support</w:t>
            </w:r>
          </w:p>
          <w:p w14:paraId="14D19FBF"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1</w:t>
            </w:r>
            <w:r>
              <w:rPr>
                <w:szCs w:val="16"/>
              </w:rPr>
              <w:t>3</w:t>
            </w:r>
            <w:r w:rsidRPr="00EC326F">
              <w:rPr>
                <w:szCs w:val="16"/>
              </w:rPr>
              <w:t xml:space="preserve">% receiving other payments </w:t>
            </w:r>
          </w:p>
          <w:p w14:paraId="48EA16FC"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rPr>
                <w:szCs w:val="16"/>
              </w:rPr>
            </w:pPr>
            <w:r>
              <w:rPr>
                <w:szCs w:val="16"/>
              </w:rPr>
              <w:t>47</w:t>
            </w:r>
            <w:r w:rsidRPr="00EC326F">
              <w:rPr>
                <w:szCs w:val="16"/>
              </w:rPr>
              <w:t>% not receiving welfare</w:t>
            </w:r>
          </w:p>
        </w:tc>
      </w:tr>
      <w:tr w:rsidR="008A5C59" w:rsidRPr="00EC326F" w14:paraId="2132E184" w14:textId="77777777" w:rsidTr="008A5C59">
        <w:trPr>
          <w:cantSplit/>
        </w:trPr>
        <w:tc>
          <w:tcPr>
            <w:cnfStyle w:val="001000000000" w:firstRow="0" w:lastRow="0" w:firstColumn="1" w:lastColumn="0" w:oddVBand="0" w:evenVBand="0" w:oddHBand="0" w:evenHBand="0" w:firstRowFirstColumn="0" w:firstRowLastColumn="0" w:lastRowFirstColumn="0" w:lastRowLastColumn="0"/>
            <w:tcW w:w="2127" w:type="dxa"/>
          </w:tcPr>
          <w:p w14:paraId="7EC714C0" w14:textId="77777777" w:rsidR="008A5C59" w:rsidRPr="00EC326F" w:rsidRDefault="008A5C59" w:rsidP="008A5C59">
            <w:pPr>
              <w:pStyle w:val="TableTextSmall"/>
            </w:pPr>
            <w:r w:rsidRPr="00EC326F">
              <w:t>Expected outcomes in 20 years</w:t>
            </w:r>
            <w:r>
              <w:t>’</w:t>
            </w:r>
            <w:r w:rsidRPr="00EC326F">
              <w:t xml:space="preserve"> time</w:t>
            </w:r>
          </w:p>
        </w:tc>
        <w:tc>
          <w:tcPr>
            <w:tcW w:w="3827" w:type="dxa"/>
          </w:tcPr>
          <w:p w14:paraId="367403F5" w14:textId="77777777" w:rsidR="008A5C59" w:rsidRPr="00EC326F" w:rsidRDefault="008A5C59" w:rsidP="008A5C59">
            <w:pPr>
              <w:pStyle w:val="TableTextSmall"/>
              <w:cnfStyle w:val="000000000000" w:firstRow="0" w:lastRow="0" w:firstColumn="0" w:lastColumn="0" w:oddVBand="0" w:evenVBand="0" w:oddHBand="0" w:evenHBand="0" w:firstRowFirstColumn="0" w:firstRowLastColumn="0" w:lastRowFirstColumn="0" w:lastRowLastColumn="0"/>
              <w:rPr>
                <w:szCs w:val="16"/>
              </w:rPr>
            </w:pPr>
            <w:r>
              <w:rPr>
                <w:szCs w:val="16"/>
              </w:rPr>
              <w:t>36</w:t>
            </w:r>
            <w:r w:rsidRPr="00EC326F">
              <w:rPr>
                <w:szCs w:val="16"/>
              </w:rPr>
              <w:t>% still receiving income support</w:t>
            </w:r>
          </w:p>
          <w:p w14:paraId="1BC8B1BC" w14:textId="77777777" w:rsidR="008A5C59" w:rsidRPr="00EC326F" w:rsidRDefault="008A5C59" w:rsidP="008A5C59">
            <w:pPr>
              <w:pStyle w:val="TableTextSmall"/>
              <w:cnfStyle w:val="000000000000" w:firstRow="0" w:lastRow="0" w:firstColumn="0" w:lastColumn="0" w:oddVBand="0" w:evenVBand="0" w:oddHBand="0" w:evenHBand="0" w:firstRowFirstColumn="0" w:firstRowLastColumn="0" w:lastRowFirstColumn="0" w:lastRowLastColumn="0"/>
              <w:rPr>
                <w:szCs w:val="16"/>
              </w:rPr>
            </w:pPr>
            <w:r>
              <w:rPr>
                <w:szCs w:val="16"/>
              </w:rPr>
              <w:t>15</w:t>
            </w:r>
            <w:r w:rsidRPr="00EC326F">
              <w:rPr>
                <w:szCs w:val="16"/>
              </w:rPr>
              <w:t>% receiving other payments</w:t>
            </w:r>
          </w:p>
          <w:p w14:paraId="7D574A11" w14:textId="77777777" w:rsidR="008A5C59" w:rsidRPr="00EC326F" w:rsidRDefault="008A5C59" w:rsidP="008A5C59">
            <w:pPr>
              <w:pStyle w:val="TableTextSmall"/>
              <w:cnfStyle w:val="000000000000" w:firstRow="0" w:lastRow="0" w:firstColumn="0" w:lastColumn="0" w:oddVBand="0" w:evenVBand="0" w:oddHBand="0" w:evenHBand="0" w:firstRowFirstColumn="0" w:firstRowLastColumn="0" w:lastRowFirstColumn="0" w:lastRowLastColumn="0"/>
              <w:rPr>
                <w:szCs w:val="16"/>
              </w:rPr>
            </w:pPr>
            <w:r>
              <w:rPr>
                <w:szCs w:val="16"/>
              </w:rPr>
              <w:t>50</w:t>
            </w:r>
            <w:r w:rsidRPr="00EC326F">
              <w:rPr>
                <w:szCs w:val="16"/>
              </w:rPr>
              <w:t>% not receiving welfare</w:t>
            </w:r>
          </w:p>
        </w:tc>
        <w:tc>
          <w:tcPr>
            <w:tcW w:w="3827" w:type="dxa"/>
          </w:tcPr>
          <w:p w14:paraId="18C1670A" w14:textId="77777777" w:rsidR="008A5C59" w:rsidRPr="00EC326F" w:rsidRDefault="008A5C59" w:rsidP="008A5C59">
            <w:pPr>
              <w:pStyle w:val="TableTextSmall"/>
              <w:cnfStyle w:val="000000000000" w:firstRow="0" w:lastRow="0" w:firstColumn="0" w:lastColumn="0" w:oddVBand="0" w:evenVBand="0" w:oddHBand="0" w:evenHBand="0" w:firstRowFirstColumn="0" w:firstRowLastColumn="0" w:lastRowFirstColumn="0" w:lastRowLastColumn="0"/>
              <w:rPr>
                <w:szCs w:val="16"/>
              </w:rPr>
            </w:pPr>
            <w:r>
              <w:rPr>
                <w:szCs w:val="16"/>
              </w:rPr>
              <w:t>30</w:t>
            </w:r>
            <w:r w:rsidRPr="00EC326F">
              <w:rPr>
                <w:szCs w:val="16"/>
              </w:rPr>
              <w:t>% still receiving income support</w:t>
            </w:r>
          </w:p>
          <w:p w14:paraId="4E9A9DA9" w14:textId="77777777" w:rsidR="008A5C59" w:rsidRPr="00EC326F" w:rsidRDefault="008A5C59" w:rsidP="008A5C59">
            <w:pPr>
              <w:pStyle w:val="TableTextSmall"/>
              <w:cnfStyle w:val="000000000000" w:firstRow="0" w:lastRow="0" w:firstColumn="0" w:lastColumn="0" w:oddVBand="0" w:evenVBand="0" w:oddHBand="0" w:evenHBand="0" w:firstRowFirstColumn="0" w:firstRowLastColumn="0" w:lastRowFirstColumn="0" w:lastRowLastColumn="0"/>
              <w:rPr>
                <w:szCs w:val="16"/>
              </w:rPr>
            </w:pPr>
            <w:r>
              <w:rPr>
                <w:szCs w:val="16"/>
              </w:rPr>
              <w:t>14</w:t>
            </w:r>
            <w:r w:rsidRPr="00EC326F">
              <w:rPr>
                <w:szCs w:val="16"/>
              </w:rPr>
              <w:t>% receiving other payments</w:t>
            </w:r>
          </w:p>
          <w:p w14:paraId="1C9F2A9F" w14:textId="77777777" w:rsidR="008A5C59" w:rsidRPr="00EC326F" w:rsidRDefault="008A5C59" w:rsidP="008A5C59">
            <w:pPr>
              <w:pStyle w:val="TableTextSmall"/>
              <w:cnfStyle w:val="000000000000" w:firstRow="0" w:lastRow="0" w:firstColumn="0" w:lastColumn="0" w:oddVBand="0" w:evenVBand="0" w:oddHBand="0" w:evenHBand="0" w:firstRowFirstColumn="0" w:firstRowLastColumn="0" w:lastRowFirstColumn="0" w:lastRowLastColumn="0"/>
              <w:rPr>
                <w:szCs w:val="16"/>
              </w:rPr>
            </w:pPr>
            <w:r>
              <w:rPr>
                <w:szCs w:val="16"/>
              </w:rPr>
              <w:t>56</w:t>
            </w:r>
            <w:r w:rsidRPr="00EC326F">
              <w:rPr>
                <w:szCs w:val="16"/>
              </w:rPr>
              <w:t>% not receiving welfare</w:t>
            </w:r>
          </w:p>
        </w:tc>
      </w:tr>
      <w:tr w:rsidR="008A5C59" w:rsidRPr="00EC326F" w14:paraId="63B161D8" w14:textId="77777777" w:rsidTr="008A5C5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380250EE" w14:textId="77777777" w:rsidR="008A5C59" w:rsidRPr="00EC326F" w:rsidRDefault="008A5C59" w:rsidP="008A5C59">
            <w:pPr>
              <w:pStyle w:val="TableTextSmall"/>
            </w:pPr>
            <w:r w:rsidRPr="00EC326F">
              <w:t>Expected outcomes over remainder of future lifetime</w:t>
            </w:r>
          </w:p>
        </w:tc>
        <w:tc>
          <w:tcPr>
            <w:tcW w:w="3827" w:type="dxa"/>
          </w:tcPr>
          <w:p w14:paraId="4BE79B58"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pPr>
            <w:r>
              <w:t>19</w:t>
            </w:r>
            <w:r w:rsidRPr="00EC326F">
              <w:t xml:space="preserve"> years receiving income support payments (excl. Age Pension)</w:t>
            </w:r>
          </w:p>
          <w:p w14:paraId="0F3F537E"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pPr>
            <w:r>
              <w:t>4</w:t>
            </w:r>
            <w:r w:rsidRPr="00EC326F">
              <w:t xml:space="preserve"> years receiving non-income support payments only</w:t>
            </w:r>
          </w:p>
          <w:p w14:paraId="0B72B80F"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pPr>
            <w:r w:rsidRPr="00EC326F">
              <w:t>2</w:t>
            </w:r>
            <w:r>
              <w:t>4</w:t>
            </w:r>
            <w:r w:rsidRPr="00EC326F">
              <w:t xml:space="preserve"> years not receiving welfare</w:t>
            </w:r>
          </w:p>
          <w:p w14:paraId="4B0BBC2A"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pPr>
            <w:r w:rsidRPr="00EC326F">
              <w:t>17 years receiving Age Pension</w:t>
            </w:r>
          </w:p>
        </w:tc>
        <w:tc>
          <w:tcPr>
            <w:tcW w:w="3827" w:type="dxa"/>
          </w:tcPr>
          <w:p w14:paraId="1C3E7140"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rPr>
                <w:szCs w:val="16"/>
              </w:rPr>
            </w:pPr>
            <w:r>
              <w:rPr>
                <w:szCs w:val="16"/>
              </w:rPr>
              <w:t>16</w:t>
            </w:r>
            <w:r w:rsidRPr="00EC326F">
              <w:rPr>
                <w:szCs w:val="16"/>
              </w:rPr>
              <w:t xml:space="preserve"> years receiving income support payments (excl. Age Pension)</w:t>
            </w:r>
          </w:p>
          <w:p w14:paraId="228B5D7F"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5 years receiving non-income support payments only</w:t>
            </w:r>
          </w:p>
          <w:p w14:paraId="578EA248"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2</w:t>
            </w:r>
            <w:r>
              <w:rPr>
                <w:szCs w:val="16"/>
              </w:rPr>
              <w:t>6</w:t>
            </w:r>
            <w:r w:rsidRPr="00EC326F">
              <w:rPr>
                <w:szCs w:val="16"/>
              </w:rPr>
              <w:t xml:space="preserve"> years not receiving welfare</w:t>
            </w:r>
          </w:p>
          <w:p w14:paraId="15F4997F" w14:textId="77777777" w:rsidR="008A5C59" w:rsidRPr="00EC326F" w:rsidRDefault="008A5C59" w:rsidP="008A5C59">
            <w:pPr>
              <w:pStyle w:val="TableTextSmall"/>
              <w:cnfStyle w:val="000000100000" w:firstRow="0" w:lastRow="0" w:firstColumn="0" w:lastColumn="0" w:oddVBand="0" w:evenVBand="0" w:oddHBand="1" w:evenHBand="0" w:firstRowFirstColumn="0" w:firstRowLastColumn="0" w:lastRowFirstColumn="0" w:lastRowLastColumn="0"/>
              <w:rPr>
                <w:szCs w:val="16"/>
              </w:rPr>
            </w:pPr>
            <w:r w:rsidRPr="00EC326F">
              <w:rPr>
                <w:szCs w:val="16"/>
              </w:rPr>
              <w:t>17 years receiving Age Pension</w:t>
            </w:r>
          </w:p>
        </w:tc>
      </w:tr>
      <w:tr w:rsidR="008A5C59" w:rsidRPr="00EC326F" w14:paraId="6A27C8BE" w14:textId="77777777" w:rsidTr="008A5C59">
        <w:trPr>
          <w:cantSplit/>
        </w:trPr>
        <w:tc>
          <w:tcPr>
            <w:cnfStyle w:val="001000000000" w:firstRow="0" w:lastRow="0" w:firstColumn="1" w:lastColumn="0" w:oddVBand="0" w:evenVBand="0" w:oddHBand="0" w:evenHBand="0" w:firstRowFirstColumn="0" w:firstRowLastColumn="0" w:lastRowFirstColumn="0" w:lastRowLastColumn="0"/>
            <w:tcW w:w="2127" w:type="dxa"/>
          </w:tcPr>
          <w:p w14:paraId="27038AF7" w14:textId="77777777" w:rsidR="008A5C59" w:rsidRPr="00EC326F" w:rsidRDefault="008A5C59" w:rsidP="008A5C59">
            <w:pPr>
              <w:pStyle w:val="TableTextSmall"/>
            </w:pPr>
            <w:r w:rsidRPr="00EC326F">
              <w:t>Proportion with employment earnings over last year</w:t>
            </w:r>
          </w:p>
        </w:tc>
        <w:tc>
          <w:tcPr>
            <w:tcW w:w="3827" w:type="dxa"/>
          </w:tcPr>
          <w:p w14:paraId="4DF6E3FF" w14:textId="77777777" w:rsidR="008A5C59" w:rsidRPr="00EC326F" w:rsidRDefault="008A5C59" w:rsidP="008A5C59">
            <w:pPr>
              <w:pStyle w:val="TableTextSmall"/>
              <w:cnfStyle w:val="000000000000" w:firstRow="0" w:lastRow="0" w:firstColumn="0" w:lastColumn="0" w:oddVBand="0" w:evenVBand="0" w:oddHBand="0" w:evenHBand="0" w:firstRowFirstColumn="0" w:firstRowLastColumn="0" w:lastRowFirstColumn="0" w:lastRowLastColumn="0"/>
            </w:pPr>
            <w:r w:rsidRPr="00EC326F">
              <w:t>Not available (this information was not considered in the baseline valuation)</w:t>
            </w:r>
          </w:p>
        </w:tc>
        <w:tc>
          <w:tcPr>
            <w:tcW w:w="3827" w:type="dxa"/>
          </w:tcPr>
          <w:p w14:paraId="1395854E" w14:textId="77777777" w:rsidR="008A5C59" w:rsidRPr="00EC326F" w:rsidRDefault="008A5C59" w:rsidP="008A5C59">
            <w:pPr>
              <w:pStyle w:val="TableTextSmall"/>
              <w:cnfStyle w:val="000000000000" w:firstRow="0" w:lastRow="0" w:firstColumn="0" w:lastColumn="0" w:oddVBand="0" w:evenVBand="0" w:oddHBand="0" w:evenHBand="0" w:firstRowFirstColumn="0" w:firstRowLastColumn="0" w:lastRowFirstColumn="0" w:lastRowLastColumn="0"/>
              <w:rPr>
                <w:szCs w:val="16"/>
              </w:rPr>
            </w:pPr>
            <w:r>
              <w:rPr>
                <w:szCs w:val="16"/>
              </w:rPr>
              <w:t>5</w:t>
            </w:r>
            <w:r w:rsidRPr="00EC326F">
              <w:rPr>
                <w:szCs w:val="16"/>
              </w:rPr>
              <w:t>8%</w:t>
            </w:r>
          </w:p>
        </w:tc>
      </w:tr>
    </w:tbl>
    <w:p w14:paraId="134CFED6" w14:textId="079C4865" w:rsidR="00F4243C" w:rsidRPr="00EC326F" w:rsidRDefault="00F4243C" w:rsidP="00F4243C">
      <w:pPr>
        <w:pStyle w:val="Sources"/>
      </w:pPr>
      <w:r w:rsidRPr="00EC326F">
        <w:t xml:space="preserve">Note that </w:t>
      </w:r>
      <w:r>
        <w:t>the expected outcomes may not sum to 100% due to rounding</w:t>
      </w:r>
      <w:r w:rsidRPr="00EC326F">
        <w:t>.</w:t>
      </w:r>
    </w:p>
    <w:p w14:paraId="0BD91B1B" w14:textId="77777777" w:rsidR="00EB7B97" w:rsidRPr="00BF1D7A" w:rsidRDefault="00BF1D7A" w:rsidP="00EB7B97">
      <w:pPr>
        <w:pStyle w:val="PwCNormal"/>
      </w:pPr>
      <w:r w:rsidRPr="00BF1D7A">
        <w:t>There were 7</w:t>
      </w:r>
      <w:r w:rsidR="00EB7B97" w:rsidRPr="00BF1D7A">
        <w:t>,</w:t>
      </w:r>
      <w:r w:rsidRPr="00BF1D7A">
        <w:t>16</w:t>
      </w:r>
      <w:r w:rsidR="00EB7B97" w:rsidRPr="00BF1D7A">
        <w:t xml:space="preserve">0 people </w:t>
      </w:r>
      <w:r w:rsidRPr="00BF1D7A">
        <w:t xml:space="preserve">identified by the Department </w:t>
      </w:r>
      <w:r w:rsidR="00EB7B97" w:rsidRPr="00BF1D7A">
        <w:t xml:space="preserve">in 2016, </w:t>
      </w:r>
      <w:r w:rsidRPr="00BF1D7A">
        <w:t>high</w:t>
      </w:r>
      <w:r w:rsidR="00EB7B97" w:rsidRPr="00BF1D7A">
        <w:t>er than in 2015.</w:t>
      </w:r>
    </w:p>
    <w:p w14:paraId="22F1999A" w14:textId="62693C62" w:rsidR="00BF1D7A" w:rsidRPr="00BF1D7A" w:rsidRDefault="00EB7B97" w:rsidP="00BF1D7A">
      <w:pPr>
        <w:pStyle w:val="PwCNormal"/>
        <w:rPr>
          <w:highlight w:val="yellow"/>
        </w:rPr>
      </w:pPr>
      <w:r w:rsidRPr="00BF1D7A">
        <w:t>An updated assessment of the average lifetime cost for this cohort is $</w:t>
      </w:r>
      <w:r w:rsidR="00BF1D7A" w:rsidRPr="00BF1D7A">
        <w:t>2</w:t>
      </w:r>
      <w:r w:rsidR="00DD6CBE">
        <w:t>82</w:t>
      </w:r>
      <w:r w:rsidRPr="00BF1D7A">
        <w:t xml:space="preserve">,000, which is </w:t>
      </w:r>
      <w:r w:rsidR="00BF1D7A">
        <w:t>$</w:t>
      </w:r>
      <w:r w:rsidR="00DD6CBE">
        <w:t>22</w:t>
      </w:r>
      <w:r w:rsidR="00BF1D7A">
        <w:t>,000</w:t>
      </w:r>
      <w:r w:rsidR="00BF1D7A" w:rsidRPr="00BF1D7A">
        <w:t xml:space="preserve"> lower than </w:t>
      </w:r>
      <w:r w:rsidRPr="00BF1D7A">
        <w:t xml:space="preserve">the assessed cost at the baseline valuation. </w:t>
      </w:r>
      <w:r w:rsidR="00BF1D7A">
        <w:t>This reduction is driven by a</w:t>
      </w:r>
      <w:r w:rsidR="00BF1D7A" w:rsidRPr="00BF1D7A">
        <w:t>n increase in exits from</w:t>
      </w:r>
      <w:r w:rsidR="00BF1D7A">
        <w:t xml:space="preserve"> the</w:t>
      </w:r>
      <w:r w:rsidR="00BF1D7A" w:rsidRPr="00BF1D7A">
        <w:t xml:space="preserve"> </w:t>
      </w:r>
      <w:r w:rsidR="00916C7F">
        <w:t>W</w:t>
      </w:r>
      <w:r w:rsidR="00BF1D7A" w:rsidRPr="00BF1D7A">
        <w:t xml:space="preserve">orking </w:t>
      </w:r>
      <w:r w:rsidR="00916C7F">
        <w:t>A</w:t>
      </w:r>
      <w:r w:rsidR="00BF1D7A" w:rsidRPr="00BF1D7A">
        <w:t xml:space="preserve">ge </w:t>
      </w:r>
      <w:r w:rsidR="00FC1A1B">
        <w:t>c</w:t>
      </w:r>
      <w:r w:rsidR="00BF1D7A">
        <w:t>lass</w:t>
      </w:r>
      <w:r w:rsidR="00FC1A1B">
        <w:t xml:space="preserve">, and a decrease in entries to the </w:t>
      </w:r>
      <w:r w:rsidR="00916C7F">
        <w:t>W</w:t>
      </w:r>
      <w:r w:rsidR="00FC1A1B">
        <w:t xml:space="preserve">orking </w:t>
      </w:r>
      <w:r w:rsidR="00916C7F">
        <w:t>A</w:t>
      </w:r>
      <w:r w:rsidR="00FC1A1B">
        <w:t>ge class from classes 10 and 12,</w:t>
      </w:r>
      <w:r w:rsidR="00BF1D7A">
        <w:t xml:space="preserve"> </w:t>
      </w:r>
      <w:r w:rsidR="00BF1D7A" w:rsidRPr="00BF1D7A">
        <w:t xml:space="preserve">as </w:t>
      </w:r>
      <w:r w:rsidR="00BF1D7A">
        <w:t xml:space="preserve">a result of the implementation of the economics adjustments module (section </w:t>
      </w:r>
      <w:r w:rsidR="00BF1D7A">
        <w:fldChar w:fldCharType="begin"/>
      </w:r>
      <w:r w:rsidR="00BF1D7A">
        <w:instrText xml:space="preserve"> REF _Ref466195980 \r \h </w:instrText>
      </w:r>
      <w:r w:rsidR="00BF1D7A">
        <w:fldChar w:fldCharType="separate"/>
      </w:r>
      <w:r w:rsidR="007A42DF">
        <w:t>4.5</w:t>
      </w:r>
      <w:r w:rsidR="00BF1D7A">
        <w:fldChar w:fldCharType="end"/>
      </w:r>
      <w:r w:rsidR="00BF1D7A">
        <w:t>)</w:t>
      </w:r>
      <w:r w:rsidR="00FC1A1B">
        <w:t>. This module has aligned the projections with the Treasury outlook for unemployment, resulting in more</w:t>
      </w:r>
      <w:r w:rsidR="00BF1D7A" w:rsidRPr="00BF1D7A">
        <w:t xml:space="preserve"> people </w:t>
      </w:r>
      <w:r w:rsidR="00FC1A1B">
        <w:t>being</w:t>
      </w:r>
      <w:r w:rsidR="00BF1D7A" w:rsidRPr="00BF1D7A">
        <w:t xml:space="preserve"> assumed to find employment and hence cease requiring income support</w:t>
      </w:r>
      <w:r w:rsidR="00FC1A1B">
        <w:t xml:space="preserve"> in future years. The effect of this module is more substantial on this cohort due to their relatively younger age than the overall </w:t>
      </w:r>
      <w:r w:rsidR="00916C7F">
        <w:t>W</w:t>
      </w:r>
      <w:r w:rsidR="00FC1A1B">
        <w:t xml:space="preserve">orking </w:t>
      </w:r>
      <w:r w:rsidR="00916C7F">
        <w:t>A</w:t>
      </w:r>
      <w:r w:rsidR="00FC1A1B">
        <w:t>ge class.</w:t>
      </w:r>
    </w:p>
    <w:p w14:paraId="299E64AA" w14:textId="7E061C51" w:rsidR="00EB7B97" w:rsidRPr="00831B9E" w:rsidRDefault="00EB7B97" w:rsidP="00EB7B97">
      <w:pPr>
        <w:pStyle w:val="PwCNormal"/>
      </w:pPr>
      <w:r w:rsidRPr="00831B9E">
        <w:t xml:space="preserve">At this valuation, we have </w:t>
      </w:r>
      <w:r w:rsidR="00FC1A1B" w:rsidRPr="00831B9E">
        <w:t xml:space="preserve">also </w:t>
      </w:r>
      <w:r w:rsidRPr="00831B9E">
        <w:t xml:space="preserve">incorporated </w:t>
      </w:r>
      <w:r w:rsidR="00FC1A1B" w:rsidRPr="00831B9E">
        <w:t>a new variable</w:t>
      </w:r>
      <w:r w:rsidRPr="00831B9E">
        <w:t xml:space="preserve"> </w:t>
      </w:r>
      <w:r w:rsidR="00FC1A1B" w:rsidRPr="00831B9E">
        <w:t>regarding</w:t>
      </w:r>
      <w:r w:rsidRPr="00831B9E">
        <w:t xml:space="preserve"> the </w:t>
      </w:r>
      <w:r w:rsidR="00FC1A1B" w:rsidRPr="00831B9E">
        <w:t>earnings of income-support recipients</w:t>
      </w:r>
      <w:r w:rsidRPr="00831B9E">
        <w:t xml:space="preserve">. </w:t>
      </w:r>
      <w:r w:rsidR="00FC1A1B" w:rsidRPr="00831B9E">
        <w:t>T</w:t>
      </w:r>
      <w:r w:rsidRPr="00831B9E">
        <w:t xml:space="preserve">he </w:t>
      </w:r>
      <w:r w:rsidR="00FC1A1B" w:rsidRPr="00831B9E">
        <w:t xml:space="preserve">proportion of this cohort with earnings is 7% higher than </w:t>
      </w:r>
      <w:r w:rsidR="007A42DF">
        <w:t xml:space="preserve">the average for </w:t>
      </w:r>
      <w:r w:rsidR="00FC1A1B" w:rsidRPr="00831B9E">
        <w:t>working age recipients aged 21-32 (the same age range of this cohort)</w:t>
      </w:r>
      <w:r w:rsidRPr="00831B9E">
        <w:t xml:space="preserve">. </w:t>
      </w:r>
      <w:r w:rsidR="00831B9E">
        <w:t xml:space="preserve">The slightly higher earnings of this cohort </w:t>
      </w:r>
      <w:r w:rsidR="006152F1">
        <w:t>contributes</w:t>
      </w:r>
      <w:r w:rsidR="00831B9E">
        <w:t xml:space="preserve"> to </w:t>
      </w:r>
      <w:r w:rsidR="006152F1">
        <w:t xml:space="preserve">a </w:t>
      </w:r>
      <w:r w:rsidR="00831B9E">
        <w:t xml:space="preserve">lower average lifetime cost relative to equivalently aged people in the </w:t>
      </w:r>
      <w:r w:rsidR="00916C7F">
        <w:t>W</w:t>
      </w:r>
      <w:r w:rsidR="00831B9E">
        <w:t xml:space="preserve">orking </w:t>
      </w:r>
      <w:r w:rsidR="00916C7F">
        <w:t>A</w:t>
      </w:r>
      <w:r w:rsidR="00831B9E">
        <w:t>ge class</w:t>
      </w:r>
      <w:r w:rsidR="006152F1">
        <w:t xml:space="preserve"> ($279,000)</w:t>
      </w:r>
      <w:r w:rsidR="00831B9E">
        <w:t>.</w:t>
      </w:r>
    </w:p>
    <w:p w14:paraId="0647E005" w14:textId="77777777" w:rsidR="00C3170D" w:rsidRPr="00EC326F" w:rsidRDefault="00C3170D" w:rsidP="00C3170D">
      <w:pPr>
        <w:pStyle w:val="Minorheading"/>
      </w:pPr>
      <w:r w:rsidRPr="00EC326F">
        <w:t>What has happened to the 2015 group of interest?</w:t>
      </w:r>
    </w:p>
    <w:p w14:paraId="0E69C176" w14:textId="2AB6746D" w:rsidR="00C3170D" w:rsidRPr="00EB7B97" w:rsidRDefault="00C3170D" w:rsidP="00C3170D">
      <w:pPr>
        <w:pStyle w:val="Caption"/>
      </w:pPr>
      <w:r w:rsidRPr="00EB7B97">
        <w:t xml:space="preserve">Table </w:t>
      </w:r>
      <w:fldSimple w:instr=" SEQ Table \* ARABIC ">
        <w:r w:rsidR="007A42DF">
          <w:rPr>
            <w:noProof/>
          </w:rPr>
          <w:t>57</w:t>
        </w:r>
      </w:fldSimple>
      <w:r w:rsidRPr="00EB7B97">
        <w:t>: Summary of expected an</w:t>
      </w:r>
      <w:r w:rsidR="005E52F3">
        <w:t>d</w:t>
      </w:r>
      <w:r w:rsidRPr="00EB7B97">
        <w:t xml:space="preserve"> actual class movements for </w:t>
      </w:r>
      <w:r w:rsidR="00EB7B97" w:rsidRPr="00EB7B97">
        <w:t xml:space="preserve">previous </w:t>
      </w:r>
      <w:r w:rsidRPr="00EB7B97">
        <w:t>young students who had transitioned to working age</w:t>
      </w:r>
      <w:r w:rsidR="00D9776D" w:rsidRPr="00EB7B97">
        <w:t xml:space="preserve"> (as % of cohort)</w:t>
      </w:r>
    </w:p>
    <w:tbl>
      <w:tblPr>
        <w:tblStyle w:val="ListTable3-Accent61"/>
        <w:tblW w:w="9532" w:type="dxa"/>
        <w:tblInd w:w="108" w:type="dxa"/>
        <w:tblLayout w:type="fixed"/>
        <w:tblLook w:val="04A0" w:firstRow="1" w:lastRow="0" w:firstColumn="1" w:lastColumn="0" w:noHBand="0" w:noVBand="1"/>
        <w:tblCaption w:val=" Summary of expected and actual class movements for previous young students who had transitioned to working age (as % of cohort)&#10;"/>
        <w:tblDescription w:val="This table lists figures for the expected and actual class movements for previous young students who had transitioned to working age (as a % of cohort). &#10;&#10;There are three rows of data; expected % of the original cohort in each welfare class, actual % of the original cohort in each welfare class and the difference between actual and expected. &#10;&#10;There are 11 columns, one for each welfare class 1 to 11: 1 – studying, 2 – working age, 3 – parents, 4 – carers, 5 – disability support, 6 – pension, 7 – non IS family,  8 – non IS carer, 9 – non IS other, 10 – previous welfare recipient, and 11 – dead.&#10;&#10;The majority of people are expected to and actually do transition to Class 2. The largest difference was in Class 2, with 3% fewer people transitioning to the class than expected. Class 1 and 10 both had 2% more people transition into those classes than expected. The other classes had a less than 1% difference between actual and expected.&#10;"/>
      </w:tblPr>
      <w:tblGrid>
        <w:gridCol w:w="1584"/>
        <w:gridCol w:w="722"/>
        <w:gridCol w:w="723"/>
        <w:gridCol w:w="722"/>
        <w:gridCol w:w="723"/>
        <w:gridCol w:w="722"/>
        <w:gridCol w:w="723"/>
        <w:gridCol w:w="722"/>
        <w:gridCol w:w="723"/>
        <w:gridCol w:w="722"/>
        <w:gridCol w:w="723"/>
        <w:gridCol w:w="723"/>
      </w:tblGrid>
      <w:tr w:rsidR="008A5C59" w:rsidRPr="00EC326F" w14:paraId="0532BAFE"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84" w:type="dxa"/>
          </w:tcPr>
          <w:p w14:paraId="0A2F94B3" w14:textId="77777777" w:rsidR="008A5C59" w:rsidRPr="00EC326F" w:rsidRDefault="008A5C59" w:rsidP="008A5C59">
            <w:pPr>
              <w:pStyle w:val="TableColumnHeadingSmall"/>
              <w:ind w:right="-198"/>
            </w:pPr>
            <w:r w:rsidRPr="00EC326F">
              <w:t>Class at June 2016</w:t>
            </w:r>
          </w:p>
        </w:tc>
        <w:tc>
          <w:tcPr>
            <w:tcW w:w="722" w:type="dxa"/>
          </w:tcPr>
          <w:p w14:paraId="5E685FC8" w14:textId="77777777" w:rsidR="008A5C59" w:rsidRPr="00EC326F" w:rsidRDefault="008A5C59" w:rsidP="008A5C59">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1</w:t>
            </w:r>
          </w:p>
        </w:tc>
        <w:tc>
          <w:tcPr>
            <w:tcW w:w="723" w:type="dxa"/>
          </w:tcPr>
          <w:p w14:paraId="652F63CE" w14:textId="77777777" w:rsidR="008A5C59" w:rsidRPr="00EC326F" w:rsidRDefault="008A5C59" w:rsidP="008A5C59">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2</w:t>
            </w:r>
          </w:p>
        </w:tc>
        <w:tc>
          <w:tcPr>
            <w:tcW w:w="722" w:type="dxa"/>
          </w:tcPr>
          <w:p w14:paraId="6614C21B" w14:textId="77777777" w:rsidR="008A5C59" w:rsidRPr="00EC326F" w:rsidRDefault="008A5C59" w:rsidP="008A5C59">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3</w:t>
            </w:r>
          </w:p>
        </w:tc>
        <w:tc>
          <w:tcPr>
            <w:tcW w:w="723" w:type="dxa"/>
          </w:tcPr>
          <w:p w14:paraId="456771B5" w14:textId="77777777" w:rsidR="008A5C59" w:rsidRPr="00EC326F" w:rsidRDefault="008A5C59" w:rsidP="008A5C59">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4</w:t>
            </w:r>
          </w:p>
        </w:tc>
        <w:tc>
          <w:tcPr>
            <w:tcW w:w="722" w:type="dxa"/>
          </w:tcPr>
          <w:p w14:paraId="2C81F5CF" w14:textId="77777777" w:rsidR="008A5C59" w:rsidRPr="00EC326F" w:rsidRDefault="008A5C59" w:rsidP="008A5C59">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5</w:t>
            </w:r>
          </w:p>
        </w:tc>
        <w:tc>
          <w:tcPr>
            <w:tcW w:w="723" w:type="dxa"/>
          </w:tcPr>
          <w:p w14:paraId="10BFE3DD" w14:textId="77777777" w:rsidR="008A5C59" w:rsidRPr="00EC326F" w:rsidRDefault="008A5C59" w:rsidP="008A5C59">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6</w:t>
            </w:r>
          </w:p>
        </w:tc>
        <w:tc>
          <w:tcPr>
            <w:tcW w:w="722" w:type="dxa"/>
          </w:tcPr>
          <w:p w14:paraId="2C954AB6" w14:textId="77777777" w:rsidR="008A5C59" w:rsidRPr="00EC326F" w:rsidRDefault="008A5C59" w:rsidP="008A5C59">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7</w:t>
            </w:r>
          </w:p>
        </w:tc>
        <w:tc>
          <w:tcPr>
            <w:tcW w:w="723" w:type="dxa"/>
          </w:tcPr>
          <w:p w14:paraId="765FEF25" w14:textId="77777777" w:rsidR="008A5C59" w:rsidRPr="00EC326F" w:rsidRDefault="008A5C59" w:rsidP="008A5C59">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8</w:t>
            </w:r>
          </w:p>
        </w:tc>
        <w:tc>
          <w:tcPr>
            <w:tcW w:w="722" w:type="dxa"/>
          </w:tcPr>
          <w:p w14:paraId="59666623" w14:textId="77777777" w:rsidR="008A5C59" w:rsidRPr="00EC326F" w:rsidRDefault="008A5C59" w:rsidP="008A5C59">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9</w:t>
            </w:r>
          </w:p>
        </w:tc>
        <w:tc>
          <w:tcPr>
            <w:tcW w:w="723" w:type="dxa"/>
          </w:tcPr>
          <w:p w14:paraId="486924C1" w14:textId="77777777" w:rsidR="008A5C59" w:rsidRPr="00EC326F" w:rsidRDefault="008A5C59" w:rsidP="008A5C59">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10</w:t>
            </w:r>
          </w:p>
        </w:tc>
        <w:tc>
          <w:tcPr>
            <w:tcW w:w="723" w:type="dxa"/>
          </w:tcPr>
          <w:p w14:paraId="04B3EA5E" w14:textId="77777777" w:rsidR="008A5C59" w:rsidRPr="00EC326F" w:rsidRDefault="008A5C59" w:rsidP="008A5C59">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EC326F">
              <w:t>11</w:t>
            </w:r>
          </w:p>
        </w:tc>
      </w:tr>
      <w:tr w:rsidR="00EB7B97" w:rsidRPr="00EC326F" w14:paraId="5D3FB17C" w14:textId="77777777" w:rsidTr="00744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063C6783" w14:textId="77777777" w:rsidR="00EB7B97" w:rsidRPr="00EC326F" w:rsidRDefault="00EB7B97" w:rsidP="008A5C59">
            <w:pPr>
              <w:pStyle w:val="TableTextSmall"/>
            </w:pPr>
            <w:r w:rsidRPr="00EC326F">
              <w:t>Expected %</w:t>
            </w:r>
          </w:p>
        </w:tc>
        <w:tc>
          <w:tcPr>
            <w:tcW w:w="722" w:type="dxa"/>
            <w:shd w:val="clear" w:color="auto" w:fill="F0BAC3" w:themeFill="accent4" w:themeFillTint="66"/>
            <w:vAlign w:val="center"/>
          </w:tcPr>
          <w:p w14:paraId="565BB9C5"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4%</w:t>
            </w:r>
          </w:p>
        </w:tc>
        <w:tc>
          <w:tcPr>
            <w:tcW w:w="723" w:type="dxa"/>
            <w:shd w:val="clear" w:color="auto" w:fill="F0BAC3" w:themeFill="accent4" w:themeFillTint="66"/>
            <w:vAlign w:val="center"/>
          </w:tcPr>
          <w:p w14:paraId="17F2A8B7"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73%</w:t>
            </w:r>
          </w:p>
        </w:tc>
        <w:tc>
          <w:tcPr>
            <w:tcW w:w="722" w:type="dxa"/>
            <w:vAlign w:val="center"/>
          </w:tcPr>
          <w:p w14:paraId="533F2868"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3%</w:t>
            </w:r>
          </w:p>
        </w:tc>
        <w:tc>
          <w:tcPr>
            <w:tcW w:w="723" w:type="dxa"/>
            <w:shd w:val="clear" w:color="auto" w:fill="auto"/>
            <w:vAlign w:val="center"/>
          </w:tcPr>
          <w:p w14:paraId="38FDF2E7"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1%</w:t>
            </w:r>
          </w:p>
        </w:tc>
        <w:tc>
          <w:tcPr>
            <w:tcW w:w="722" w:type="dxa"/>
            <w:vAlign w:val="center"/>
          </w:tcPr>
          <w:p w14:paraId="015C4896"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1%</w:t>
            </w:r>
          </w:p>
        </w:tc>
        <w:tc>
          <w:tcPr>
            <w:tcW w:w="723" w:type="dxa"/>
            <w:vAlign w:val="center"/>
          </w:tcPr>
          <w:p w14:paraId="4C594C9A"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&lt;1%</w:t>
            </w:r>
          </w:p>
        </w:tc>
        <w:tc>
          <w:tcPr>
            <w:tcW w:w="722" w:type="dxa"/>
            <w:vAlign w:val="center"/>
          </w:tcPr>
          <w:p w14:paraId="18DC8CEF"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&lt;1%</w:t>
            </w:r>
          </w:p>
        </w:tc>
        <w:tc>
          <w:tcPr>
            <w:tcW w:w="723" w:type="dxa"/>
            <w:vAlign w:val="center"/>
          </w:tcPr>
          <w:p w14:paraId="60177BB9"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&lt;1%</w:t>
            </w:r>
          </w:p>
        </w:tc>
        <w:tc>
          <w:tcPr>
            <w:tcW w:w="722" w:type="dxa"/>
            <w:vAlign w:val="center"/>
          </w:tcPr>
          <w:p w14:paraId="7FF24C4F"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1%</w:t>
            </w:r>
          </w:p>
        </w:tc>
        <w:tc>
          <w:tcPr>
            <w:tcW w:w="723" w:type="dxa"/>
            <w:shd w:val="clear" w:color="auto" w:fill="F0BAC3" w:themeFill="accent4" w:themeFillTint="66"/>
            <w:vAlign w:val="center"/>
          </w:tcPr>
          <w:p w14:paraId="0D666651"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18%</w:t>
            </w:r>
          </w:p>
        </w:tc>
        <w:tc>
          <w:tcPr>
            <w:tcW w:w="723" w:type="dxa"/>
            <w:vAlign w:val="center"/>
          </w:tcPr>
          <w:p w14:paraId="2C6FEF65"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r>
      <w:tr w:rsidR="00EB7B97" w:rsidRPr="00EC326F" w14:paraId="55C4D3BD" w14:textId="77777777" w:rsidTr="00744519">
        <w:tc>
          <w:tcPr>
            <w:cnfStyle w:val="001000000000" w:firstRow="0" w:lastRow="0" w:firstColumn="1" w:lastColumn="0" w:oddVBand="0" w:evenVBand="0" w:oddHBand="0" w:evenHBand="0" w:firstRowFirstColumn="0" w:firstRowLastColumn="0" w:lastRowFirstColumn="0" w:lastRowLastColumn="0"/>
            <w:tcW w:w="1584" w:type="dxa"/>
          </w:tcPr>
          <w:p w14:paraId="6F88B9EF" w14:textId="77777777" w:rsidR="00EB7B97" w:rsidRPr="00EC326F" w:rsidRDefault="00EB7B97" w:rsidP="008A5C59">
            <w:pPr>
              <w:pStyle w:val="TableTextSmall"/>
            </w:pPr>
            <w:r w:rsidRPr="00EC326F">
              <w:t>Actual %</w:t>
            </w:r>
          </w:p>
        </w:tc>
        <w:tc>
          <w:tcPr>
            <w:tcW w:w="722" w:type="dxa"/>
            <w:shd w:val="clear" w:color="auto" w:fill="F0BAC3" w:themeFill="accent4" w:themeFillTint="66"/>
            <w:vAlign w:val="center"/>
          </w:tcPr>
          <w:p w14:paraId="6B52087F" w14:textId="77777777" w:rsidR="00EB7B97" w:rsidRPr="00EC326F" w:rsidRDefault="00EB7B97" w:rsidP="00EB7B9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B7B97">
              <w:rPr>
                <w:sz w:val="16"/>
                <w:szCs w:val="16"/>
              </w:rPr>
              <w:t>6%</w:t>
            </w:r>
          </w:p>
        </w:tc>
        <w:tc>
          <w:tcPr>
            <w:tcW w:w="723" w:type="dxa"/>
            <w:shd w:val="clear" w:color="auto" w:fill="F0BAC3" w:themeFill="accent4" w:themeFillTint="66"/>
            <w:vAlign w:val="center"/>
          </w:tcPr>
          <w:p w14:paraId="451CE7F2" w14:textId="77777777" w:rsidR="00EB7B97" w:rsidRPr="00EC326F" w:rsidRDefault="00EB7B97" w:rsidP="00EB7B9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B7B97">
              <w:rPr>
                <w:sz w:val="16"/>
                <w:szCs w:val="16"/>
              </w:rPr>
              <w:t>69%</w:t>
            </w:r>
          </w:p>
        </w:tc>
        <w:tc>
          <w:tcPr>
            <w:tcW w:w="722" w:type="dxa"/>
            <w:vAlign w:val="center"/>
          </w:tcPr>
          <w:p w14:paraId="00FB19D7" w14:textId="77777777" w:rsidR="00EB7B97" w:rsidRPr="00EC326F" w:rsidRDefault="00EB7B97" w:rsidP="00EB7B9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B7B97">
              <w:rPr>
                <w:sz w:val="16"/>
                <w:szCs w:val="16"/>
              </w:rPr>
              <w:t>3%</w:t>
            </w:r>
          </w:p>
        </w:tc>
        <w:tc>
          <w:tcPr>
            <w:tcW w:w="723" w:type="dxa"/>
            <w:shd w:val="clear" w:color="auto" w:fill="auto"/>
            <w:vAlign w:val="center"/>
          </w:tcPr>
          <w:p w14:paraId="3C1B084D" w14:textId="77777777" w:rsidR="00EB7B97" w:rsidRPr="00EC326F" w:rsidRDefault="00EB7B97" w:rsidP="00EB7B9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B7B97">
              <w:rPr>
                <w:sz w:val="16"/>
                <w:szCs w:val="16"/>
              </w:rPr>
              <w:t>1%</w:t>
            </w:r>
          </w:p>
        </w:tc>
        <w:tc>
          <w:tcPr>
            <w:tcW w:w="722" w:type="dxa"/>
            <w:vAlign w:val="center"/>
          </w:tcPr>
          <w:p w14:paraId="741A387A" w14:textId="77777777" w:rsidR="00EB7B97" w:rsidRPr="00EC326F" w:rsidRDefault="00EB7B97" w:rsidP="00EB7B9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B7B97">
              <w:rPr>
                <w:sz w:val="16"/>
                <w:szCs w:val="16"/>
              </w:rPr>
              <w:t>1%</w:t>
            </w:r>
          </w:p>
        </w:tc>
        <w:tc>
          <w:tcPr>
            <w:tcW w:w="723" w:type="dxa"/>
            <w:vAlign w:val="center"/>
          </w:tcPr>
          <w:p w14:paraId="2CF5A911" w14:textId="77777777" w:rsidR="00EB7B97" w:rsidRPr="00EC326F" w:rsidRDefault="00EB7B97" w:rsidP="00EB7B9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B7B97">
              <w:rPr>
                <w:sz w:val="16"/>
                <w:szCs w:val="16"/>
              </w:rPr>
              <w:t>&lt;1%</w:t>
            </w:r>
          </w:p>
        </w:tc>
        <w:tc>
          <w:tcPr>
            <w:tcW w:w="722" w:type="dxa"/>
            <w:vAlign w:val="center"/>
          </w:tcPr>
          <w:p w14:paraId="6763B7AE" w14:textId="77777777" w:rsidR="00EB7B97" w:rsidRPr="00EC326F" w:rsidRDefault="00EB7B97" w:rsidP="00EB7B9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B7B97">
              <w:rPr>
                <w:sz w:val="16"/>
                <w:szCs w:val="16"/>
              </w:rPr>
              <w:t>&lt;1%</w:t>
            </w:r>
          </w:p>
        </w:tc>
        <w:tc>
          <w:tcPr>
            <w:tcW w:w="723" w:type="dxa"/>
            <w:vAlign w:val="center"/>
          </w:tcPr>
          <w:p w14:paraId="778A8B7D" w14:textId="77777777" w:rsidR="00EB7B97" w:rsidRPr="00EC326F" w:rsidRDefault="00EB7B97" w:rsidP="00EB7B9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B7B97">
              <w:rPr>
                <w:sz w:val="16"/>
                <w:szCs w:val="16"/>
              </w:rPr>
              <w:t>&lt;1%</w:t>
            </w:r>
          </w:p>
        </w:tc>
        <w:tc>
          <w:tcPr>
            <w:tcW w:w="722" w:type="dxa"/>
            <w:vAlign w:val="center"/>
          </w:tcPr>
          <w:p w14:paraId="19162F3A" w14:textId="77777777" w:rsidR="00EB7B97" w:rsidRPr="00EC326F" w:rsidRDefault="00EB7B97" w:rsidP="00EB7B9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B7B97">
              <w:rPr>
                <w:sz w:val="16"/>
                <w:szCs w:val="16"/>
              </w:rPr>
              <w:t>1%</w:t>
            </w:r>
          </w:p>
        </w:tc>
        <w:tc>
          <w:tcPr>
            <w:tcW w:w="723" w:type="dxa"/>
            <w:shd w:val="clear" w:color="auto" w:fill="F0BAC3" w:themeFill="accent4" w:themeFillTint="66"/>
            <w:vAlign w:val="center"/>
          </w:tcPr>
          <w:p w14:paraId="031E7E72" w14:textId="77777777" w:rsidR="00EB7B97" w:rsidRPr="00EC326F" w:rsidRDefault="00EB7B97" w:rsidP="00EB7B9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B7B97">
              <w:rPr>
                <w:sz w:val="16"/>
                <w:szCs w:val="16"/>
              </w:rPr>
              <w:t>20%</w:t>
            </w:r>
          </w:p>
        </w:tc>
        <w:tc>
          <w:tcPr>
            <w:tcW w:w="723" w:type="dxa"/>
            <w:vAlign w:val="center"/>
          </w:tcPr>
          <w:p w14:paraId="43E57BA2" w14:textId="77777777" w:rsidR="00EB7B97" w:rsidRPr="00EC326F" w:rsidRDefault="00EB7B97" w:rsidP="00EB7B9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C326F">
              <w:rPr>
                <w:sz w:val="16"/>
                <w:szCs w:val="16"/>
              </w:rPr>
              <w:t>&lt;1%</w:t>
            </w:r>
          </w:p>
        </w:tc>
      </w:tr>
      <w:tr w:rsidR="00EB7B97" w:rsidRPr="00EC326F" w14:paraId="36A1BBC6" w14:textId="77777777" w:rsidTr="00744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shd w:val="clear" w:color="auto" w:fill="auto"/>
          </w:tcPr>
          <w:p w14:paraId="7AFBDAFD" w14:textId="77777777" w:rsidR="00EB7B97" w:rsidRPr="00EC326F" w:rsidRDefault="00EB7B97" w:rsidP="008A5C59">
            <w:pPr>
              <w:pStyle w:val="TableTextSmall"/>
            </w:pPr>
            <w:r w:rsidRPr="00EC326F">
              <w:t>Difference</w:t>
            </w:r>
          </w:p>
        </w:tc>
        <w:tc>
          <w:tcPr>
            <w:tcW w:w="722" w:type="dxa"/>
            <w:shd w:val="clear" w:color="auto" w:fill="F0BAC3" w:themeFill="accent4" w:themeFillTint="66"/>
            <w:vAlign w:val="center"/>
          </w:tcPr>
          <w:p w14:paraId="2B0D1A3E"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2%</w:t>
            </w:r>
          </w:p>
        </w:tc>
        <w:tc>
          <w:tcPr>
            <w:tcW w:w="723" w:type="dxa"/>
            <w:shd w:val="clear" w:color="auto" w:fill="F0BAC3" w:themeFill="accent4" w:themeFillTint="66"/>
            <w:vAlign w:val="center"/>
          </w:tcPr>
          <w:p w14:paraId="30B47997"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-3%</w:t>
            </w:r>
          </w:p>
        </w:tc>
        <w:tc>
          <w:tcPr>
            <w:tcW w:w="722" w:type="dxa"/>
            <w:shd w:val="clear" w:color="auto" w:fill="auto"/>
            <w:vAlign w:val="center"/>
          </w:tcPr>
          <w:p w14:paraId="16A9711F"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3" w:type="dxa"/>
            <w:shd w:val="clear" w:color="auto" w:fill="auto"/>
            <w:vAlign w:val="center"/>
          </w:tcPr>
          <w:p w14:paraId="7D656EE0"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c>
          <w:tcPr>
            <w:tcW w:w="722" w:type="dxa"/>
            <w:shd w:val="clear" w:color="auto" w:fill="auto"/>
            <w:vAlign w:val="center"/>
          </w:tcPr>
          <w:p w14:paraId="375B858E"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&lt;1%</w:t>
            </w:r>
          </w:p>
        </w:tc>
        <w:tc>
          <w:tcPr>
            <w:tcW w:w="723" w:type="dxa"/>
            <w:shd w:val="clear" w:color="auto" w:fill="auto"/>
            <w:vAlign w:val="center"/>
          </w:tcPr>
          <w:p w14:paraId="4D1F6DEE"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&lt;1%</w:t>
            </w:r>
          </w:p>
        </w:tc>
        <w:tc>
          <w:tcPr>
            <w:tcW w:w="722" w:type="dxa"/>
            <w:shd w:val="clear" w:color="auto" w:fill="auto"/>
            <w:vAlign w:val="center"/>
          </w:tcPr>
          <w:p w14:paraId="49C91907"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&lt;1%</w:t>
            </w:r>
          </w:p>
        </w:tc>
        <w:tc>
          <w:tcPr>
            <w:tcW w:w="723" w:type="dxa"/>
            <w:shd w:val="clear" w:color="auto" w:fill="auto"/>
            <w:vAlign w:val="center"/>
          </w:tcPr>
          <w:p w14:paraId="42D20C04"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&lt;1%</w:t>
            </w:r>
          </w:p>
        </w:tc>
        <w:tc>
          <w:tcPr>
            <w:tcW w:w="722" w:type="dxa"/>
            <w:shd w:val="clear" w:color="auto" w:fill="auto"/>
            <w:vAlign w:val="center"/>
          </w:tcPr>
          <w:p w14:paraId="0F23D391"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&lt;1%</w:t>
            </w:r>
          </w:p>
        </w:tc>
        <w:tc>
          <w:tcPr>
            <w:tcW w:w="723" w:type="dxa"/>
            <w:shd w:val="clear" w:color="auto" w:fill="F0BAC3" w:themeFill="accent4" w:themeFillTint="66"/>
            <w:vAlign w:val="center"/>
          </w:tcPr>
          <w:p w14:paraId="6C781A8B"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B7B97">
              <w:rPr>
                <w:sz w:val="16"/>
                <w:szCs w:val="16"/>
              </w:rPr>
              <w:t>2%</w:t>
            </w:r>
          </w:p>
        </w:tc>
        <w:tc>
          <w:tcPr>
            <w:tcW w:w="723" w:type="dxa"/>
            <w:shd w:val="clear" w:color="auto" w:fill="auto"/>
            <w:vAlign w:val="center"/>
          </w:tcPr>
          <w:p w14:paraId="569F4187" w14:textId="77777777" w:rsidR="00EB7B97" w:rsidRPr="00EC326F" w:rsidRDefault="00EB7B97" w:rsidP="00EB7B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C326F">
              <w:rPr>
                <w:sz w:val="16"/>
                <w:szCs w:val="16"/>
              </w:rPr>
              <w:t>&lt;1%</w:t>
            </w:r>
          </w:p>
        </w:tc>
      </w:tr>
    </w:tbl>
    <w:p w14:paraId="1909AAE4" w14:textId="4177ACDD" w:rsidR="00EB7B97" w:rsidRPr="00EC326F" w:rsidRDefault="00EB7B97" w:rsidP="00EB7B97">
      <w:pPr>
        <w:pStyle w:val="PwCNormal"/>
      </w:pPr>
      <w:r w:rsidRPr="00EC326F">
        <w:t xml:space="preserve">Of the </w:t>
      </w:r>
      <w:r w:rsidRPr="00EB7B97">
        <w:t xml:space="preserve">previous young students who had transitioned to </w:t>
      </w:r>
      <w:r w:rsidR="009E7639">
        <w:t xml:space="preserve">the </w:t>
      </w:r>
      <w:r w:rsidRPr="00EB7B97">
        <w:t xml:space="preserve">working age </w:t>
      </w:r>
      <w:r w:rsidRPr="00EC326F">
        <w:t xml:space="preserve">cohort identified in 2015, the majority remained on </w:t>
      </w:r>
      <w:r>
        <w:t>working age</w:t>
      </w:r>
      <w:r w:rsidRPr="00EC326F">
        <w:t xml:space="preserve"> payments in 2016 as was expected</w:t>
      </w:r>
      <w:r>
        <w:t xml:space="preserve">. However, the </w:t>
      </w:r>
      <w:r w:rsidRPr="00EC326F">
        <w:t xml:space="preserve">proportion </w:t>
      </w:r>
      <w:r>
        <w:t xml:space="preserve">remaining was slightly lower (3%) than expected with more </w:t>
      </w:r>
      <w:r w:rsidRPr="00EC326F">
        <w:t xml:space="preserve">people </w:t>
      </w:r>
      <w:r>
        <w:t xml:space="preserve">returning to studying payments and exiting the system </w:t>
      </w:r>
      <w:r w:rsidRPr="00EC326F">
        <w:t xml:space="preserve">than expected. </w:t>
      </w:r>
    </w:p>
    <w:p w14:paraId="22ED9FDB" w14:textId="77777777" w:rsidR="00EB7B97" w:rsidRPr="00EC326F" w:rsidRDefault="00EB7B97" w:rsidP="00EB7B97">
      <w:pPr>
        <w:pStyle w:val="PwCNormal"/>
        <w:numPr>
          <w:ilvl w:val="0"/>
          <w:numId w:val="1"/>
        </w:numPr>
      </w:pPr>
      <w:r w:rsidRPr="00EC326F">
        <w:t>These figures have been rounded and some figures may also be impacted by data maturity, including natural delays in the assessment of certain payment classes</w:t>
      </w:r>
      <w:r w:rsidR="006152F1">
        <w:t xml:space="preserve">. </w:t>
      </w:r>
    </w:p>
    <w:p w14:paraId="3C4C84C6" w14:textId="77777777" w:rsidR="00FC6ECC" w:rsidRPr="00EC326F" w:rsidRDefault="00FC6ECC" w:rsidP="00FC6ECC">
      <w:pPr>
        <w:pStyle w:val="Heading3"/>
      </w:pPr>
      <w:bookmarkStart w:id="796" w:name="_Toc493844282"/>
      <w:r w:rsidRPr="00EC326F">
        <w:lastRenderedPageBreak/>
        <w:t>Further groups of interest</w:t>
      </w:r>
      <w:bookmarkEnd w:id="796"/>
    </w:p>
    <w:p w14:paraId="5E8E6BE8" w14:textId="77777777" w:rsidR="007F7D51" w:rsidRPr="00EC326F" w:rsidRDefault="007F7D51" w:rsidP="001A4479">
      <w:pPr>
        <w:pStyle w:val="PwCNormal"/>
        <w:numPr>
          <w:ilvl w:val="0"/>
          <w:numId w:val="37"/>
        </w:numPr>
        <w:rPr>
          <w:snapToGrid/>
        </w:rPr>
      </w:pPr>
      <w:r w:rsidRPr="00EC326F">
        <w:t xml:space="preserve">The groups of interest identified through the baseline valuation are not exhaustive and it is anticipated that further groups of interest will be identified subsequent to the 2016 valuation. </w:t>
      </w:r>
    </w:p>
    <w:p w14:paraId="18CE842B" w14:textId="77777777" w:rsidR="007F7D51" w:rsidRPr="00EC326F" w:rsidRDefault="007F7D51" w:rsidP="007F7D51">
      <w:pPr>
        <w:pStyle w:val="PwCNormal"/>
        <w:keepNext/>
        <w:numPr>
          <w:ilvl w:val="0"/>
          <w:numId w:val="0"/>
        </w:numPr>
      </w:pPr>
      <w:r w:rsidRPr="00EC326F">
        <w:t xml:space="preserve">To support the development </w:t>
      </w:r>
      <w:r w:rsidR="000012FE">
        <w:t xml:space="preserve">of </w:t>
      </w:r>
      <w:r w:rsidRPr="00EC326F">
        <w:t>these groups PwC will be working in conjunction with the Department to use the model to explore the population results more fully. However, any model, however sophisticated, is only ever able to be a simplified representation of complex real life situations, and it will therefore always be helpful to consider other sources of information in conjunction with the information produced by the model. This may include further insights developed from historical analysis; and information drawn from other sources, such as research and social policy experts</w:t>
      </w:r>
      <w:r w:rsidR="00853BCC" w:rsidRPr="00EC326F">
        <w:t>.</w:t>
      </w:r>
    </w:p>
    <w:p w14:paraId="45B113C7" w14:textId="4965C3AA" w:rsidR="00853BCC" w:rsidRPr="00EC326F" w:rsidRDefault="00853BCC" w:rsidP="00853BCC">
      <w:pPr>
        <w:pStyle w:val="PwCNormal"/>
        <w:numPr>
          <w:ilvl w:val="0"/>
          <w:numId w:val="1"/>
        </w:numPr>
      </w:pPr>
      <w:r w:rsidRPr="00EC326F">
        <w:t>The introduction of</w:t>
      </w:r>
      <w:r w:rsidR="004E079F" w:rsidRPr="00EC326F">
        <w:t xml:space="preserve"> new</w:t>
      </w:r>
      <w:r w:rsidRPr="00EC326F">
        <w:t xml:space="preserve"> </w:t>
      </w:r>
      <w:r w:rsidR="004E079F" w:rsidRPr="00EC326F">
        <w:t>class characteristic</w:t>
      </w:r>
      <w:r w:rsidRPr="00EC326F">
        <w:t xml:space="preserve"> variables into the model provides the ability to further distinguish which groups of people are more likely to have high future welfare dependence. For instance, the payment type and employment earnings indicator can be used to develop information about which groups of students are more likely to transition from studying to other forms of welfare support over their lifetime (with high lifetime </w:t>
      </w:r>
      <w:r w:rsidR="00F70462">
        <w:t>cost), rather than exiting the S</w:t>
      </w:r>
      <w:r w:rsidRPr="00EC326F">
        <w:t xml:space="preserve">tudying class and remaining out of the system for the remainder of their lifetime (with low lifetime cost). </w:t>
      </w:r>
    </w:p>
    <w:p w14:paraId="35508EF0" w14:textId="77777777" w:rsidR="00D9776D" w:rsidRPr="00EC326F" w:rsidRDefault="00D9776D" w:rsidP="00D9776D">
      <w:pPr>
        <w:pStyle w:val="PwCNormal"/>
        <w:numPr>
          <w:ilvl w:val="0"/>
          <w:numId w:val="1"/>
        </w:numPr>
      </w:pPr>
      <w:r w:rsidRPr="00EC326F">
        <w:t>The statistical analysis which underpins the risk based assumptions demonstrated that all the additional class characteristic variables had some significance in differentiating people’s likely outcomes. In particular, the employment earnings indicator provides additional insights with those people without employment earnings expected to have a higher future lifetime cost than those with earnings - as seen in the Young Parents cohort.</w:t>
      </w:r>
    </w:p>
    <w:p w14:paraId="6E885843" w14:textId="77777777" w:rsidR="00853BCC" w:rsidRPr="00EC326F" w:rsidRDefault="00853BCC" w:rsidP="00853BCC">
      <w:pPr>
        <w:pStyle w:val="PwCNormal"/>
        <w:numPr>
          <w:ilvl w:val="0"/>
          <w:numId w:val="1"/>
        </w:numPr>
      </w:pPr>
      <w:r w:rsidRPr="00EC326F">
        <w:t xml:space="preserve">The valuation model is able to be run for any group of people of sufficient size and homogeneity and the model outputs include a range of charts that are available by age, gender and other characteristics. This enables the expected experience for any group to be examined in more detail. </w:t>
      </w:r>
    </w:p>
    <w:p w14:paraId="7FAF02B0" w14:textId="77777777" w:rsidR="00853BCC" w:rsidRPr="00EC326F" w:rsidRDefault="00853BCC" w:rsidP="00853BCC">
      <w:pPr>
        <w:pStyle w:val="PwCNormal"/>
      </w:pPr>
      <w:r w:rsidRPr="00EC326F">
        <w:t xml:space="preserve">As part of this valuation report we have examined each class in more detail with the results and relevant charts being shown in </w:t>
      </w:r>
      <w:r w:rsidR="0011562A">
        <w:t>section</w:t>
      </w:r>
      <w:r w:rsidRPr="00EC326F">
        <w:t>s</w:t>
      </w:r>
      <w:r w:rsidR="00580BD6">
        <w:t xml:space="preserve"> </w:t>
      </w:r>
      <w:r w:rsidR="00580BD6">
        <w:fldChar w:fldCharType="begin"/>
      </w:r>
      <w:r w:rsidR="00580BD6">
        <w:instrText xml:space="preserve"> REF _Ref437277121 \w \h </w:instrText>
      </w:r>
      <w:r w:rsidR="00580BD6">
        <w:fldChar w:fldCharType="separate"/>
      </w:r>
      <w:r w:rsidR="007A42DF">
        <w:t>8</w:t>
      </w:r>
      <w:r w:rsidR="00580BD6">
        <w:fldChar w:fldCharType="end"/>
      </w:r>
      <w:r w:rsidR="00580BD6">
        <w:t>,</w:t>
      </w:r>
      <w:r w:rsidRPr="00EC326F">
        <w:t xml:space="preserve"> </w:t>
      </w:r>
      <w:r w:rsidR="00580BD6">
        <w:fldChar w:fldCharType="begin"/>
      </w:r>
      <w:r w:rsidR="00580BD6">
        <w:instrText xml:space="preserve"> REF _Ref466373125 \w \h </w:instrText>
      </w:r>
      <w:r w:rsidR="00580BD6">
        <w:fldChar w:fldCharType="separate"/>
      </w:r>
      <w:r w:rsidR="007A42DF">
        <w:t>9</w:t>
      </w:r>
      <w:r w:rsidR="00580BD6">
        <w:fldChar w:fldCharType="end"/>
      </w:r>
      <w:r w:rsidR="00580BD6">
        <w:t xml:space="preserve"> and </w:t>
      </w:r>
      <w:r w:rsidR="00580BD6">
        <w:fldChar w:fldCharType="begin"/>
      </w:r>
      <w:r w:rsidR="00580BD6">
        <w:instrText xml:space="preserve"> REF _Ref466494284 \w \h </w:instrText>
      </w:r>
      <w:r w:rsidR="00580BD6">
        <w:fldChar w:fldCharType="separate"/>
      </w:r>
      <w:r w:rsidR="007A42DF">
        <w:t>10</w:t>
      </w:r>
      <w:r w:rsidR="00580BD6">
        <w:fldChar w:fldCharType="end"/>
      </w:r>
      <w:r w:rsidRPr="00EC326F">
        <w:t xml:space="preserve">. We anticipate that the Department will build on this analysis over the coming months and use the valuation model to explore the outcomes for further potential groups of interest. </w:t>
      </w:r>
    </w:p>
    <w:p w14:paraId="78071FFB" w14:textId="77777777" w:rsidR="007F7D51" w:rsidRPr="002A0A1A" w:rsidRDefault="007F7D51" w:rsidP="007F7D51">
      <w:pPr>
        <w:pStyle w:val="PwCNormal"/>
        <w:numPr>
          <w:ilvl w:val="0"/>
          <w:numId w:val="0"/>
        </w:numPr>
      </w:pPr>
      <w:r w:rsidRPr="00EC326F">
        <w:t xml:space="preserve">Ultimately, any further groups of interest will be selected by the Department. </w:t>
      </w:r>
    </w:p>
    <w:p w14:paraId="4462DEBD" w14:textId="77777777" w:rsidR="002F15B1" w:rsidRPr="002A0A1A" w:rsidRDefault="002F15B1" w:rsidP="002F15B1">
      <w:pPr>
        <w:pStyle w:val="PwCNormal"/>
        <w:numPr>
          <w:ilvl w:val="0"/>
          <w:numId w:val="0"/>
        </w:numPr>
      </w:pPr>
    </w:p>
    <w:p w14:paraId="2007CA8F" w14:textId="77777777" w:rsidR="002F15B1" w:rsidRPr="002A0A1A" w:rsidRDefault="002F15B1" w:rsidP="002F15B1">
      <w:pPr>
        <w:pStyle w:val="PwCNormal"/>
        <w:numPr>
          <w:ilvl w:val="0"/>
          <w:numId w:val="0"/>
        </w:numPr>
        <w:sectPr w:rsidR="002F15B1" w:rsidRPr="002A0A1A" w:rsidSect="00CC5ACB">
          <w:footerReference w:type="first" r:id="rId192"/>
          <w:pgSz w:w="11907" w:h="16840" w:code="9"/>
          <w:pgMar w:top="1588" w:right="1021" w:bottom="1418" w:left="1021" w:header="567" w:footer="567" w:gutter="0"/>
          <w:cols w:space="227"/>
          <w:docGrid w:linePitch="360"/>
        </w:sectPr>
      </w:pPr>
    </w:p>
    <w:p w14:paraId="65F297E1" w14:textId="77777777" w:rsidR="00BF7DB8" w:rsidRPr="00EC326F" w:rsidRDefault="0042514D" w:rsidP="00BF7DB8">
      <w:pPr>
        <w:pStyle w:val="Heading2"/>
      </w:pPr>
      <w:bookmarkStart w:id="797" w:name="_Ref466494919"/>
      <w:bookmarkStart w:id="798" w:name="_Toc493844283"/>
      <w:r w:rsidRPr="00EC326F">
        <w:lastRenderedPageBreak/>
        <w:t>Additional insights</w:t>
      </w:r>
      <w:bookmarkEnd w:id="797"/>
      <w:bookmarkEnd w:id="798"/>
    </w:p>
    <w:p w14:paraId="26B97AF7" w14:textId="77777777" w:rsidR="000974E7" w:rsidRPr="002A0A1A" w:rsidRDefault="000974E7" w:rsidP="000974E7">
      <w:pPr>
        <w:pStyle w:val="PwCNormal"/>
        <w:numPr>
          <w:ilvl w:val="0"/>
          <w:numId w:val="1"/>
        </w:numPr>
      </w:pPr>
      <w:r w:rsidRPr="00EC326F">
        <w:t>In addition to the results provided in the sections above, helpful information and insights can be gleaned from the statistical analysis underlying the model, the model outputs themselves and from exploration of the historical data. A number of these are discussed below.</w:t>
      </w:r>
    </w:p>
    <w:p w14:paraId="34AF229C" w14:textId="77777777" w:rsidR="000974E7" w:rsidRPr="00EC326F" w:rsidRDefault="000974E7" w:rsidP="000974E7">
      <w:pPr>
        <w:pStyle w:val="Heading3"/>
      </w:pPr>
      <w:bookmarkStart w:id="799" w:name="_Ref466371109"/>
      <w:bookmarkStart w:id="800" w:name="_Toc493844284"/>
      <w:r w:rsidRPr="00EC326F">
        <w:t>Welfare system utilisation</w:t>
      </w:r>
      <w:bookmarkEnd w:id="799"/>
      <w:bookmarkEnd w:id="800"/>
    </w:p>
    <w:p w14:paraId="3DCF7C16" w14:textId="34410929" w:rsidR="000974E7" w:rsidRPr="00EC326F" w:rsidRDefault="000974E7" w:rsidP="000974E7">
      <w:pPr>
        <w:pStyle w:val="PwCNormal"/>
        <w:numPr>
          <w:ilvl w:val="0"/>
          <w:numId w:val="0"/>
        </w:numPr>
      </w:pPr>
      <w:r w:rsidRPr="00EC326F">
        <w:t xml:space="preserve">Earlier in this </w:t>
      </w:r>
      <w:r w:rsidRPr="00580BD6">
        <w:t>report (</w:t>
      </w:r>
      <w:r w:rsidR="00580BD6">
        <w:fldChar w:fldCharType="begin"/>
      </w:r>
      <w:r w:rsidR="00580BD6">
        <w:instrText xml:space="preserve"> REF _Ref466494380 \h </w:instrText>
      </w:r>
      <w:r w:rsidR="00580BD6">
        <w:fldChar w:fldCharType="separate"/>
      </w:r>
      <w:r w:rsidR="007A42DF" w:rsidRPr="00EC326F">
        <w:t xml:space="preserve">Figure </w:t>
      </w:r>
      <w:r w:rsidR="007A42DF">
        <w:rPr>
          <w:noProof/>
        </w:rPr>
        <w:t>22</w:t>
      </w:r>
      <w:r w:rsidR="00580BD6">
        <w:fldChar w:fldCharType="end"/>
      </w:r>
      <w:r w:rsidRPr="00580BD6">
        <w:t>) we</w:t>
      </w:r>
      <w:r w:rsidRPr="00EC326F">
        <w:t xml:space="preserve"> provided an illustration of the shape of the Australian resident population by age and gender and their welfare system utilisation. In this analysis we explore this further, through considering how the utilisation varies for different groups of people within the population.</w:t>
      </w:r>
    </w:p>
    <w:p w14:paraId="5BD8216C" w14:textId="77777777" w:rsidR="00F36F13" w:rsidRPr="00EC326F" w:rsidRDefault="00F36F13" w:rsidP="00F36F13">
      <w:pPr>
        <w:pStyle w:val="PwCNormal"/>
        <w:numPr>
          <w:ilvl w:val="0"/>
          <w:numId w:val="0"/>
        </w:numPr>
      </w:pPr>
      <w:r w:rsidRPr="00EC326F">
        <w:t>For clarity, we have focused on the groups of people in the income support classes and grouped all the non-income support classes together. The figure below shows the overall welfare system utilisation for people in different age bands.</w:t>
      </w:r>
    </w:p>
    <w:p w14:paraId="0D870660" w14:textId="77777777" w:rsidR="00F36F13" w:rsidRPr="002A0A1A" w:rsidRDefault="00F36F13" w:rsidP="00F36F13">
      <w:pPr>
        <w:pStyle w:val="Caption"/>
      </w:pPr>
      <w:r w:rsidRPr="00EC326F">
        <w:t xml:space="preserve">Figure </w:t>
      </w:r>
      <w:fldSimple w:instr=" SEQ Figure \* ARABIC ">
        <w:r w:rsidR="007A42DF">
          <w:rPr>
            <w:noProof/>
          </w:rPr>
          <w:t>105</w:t>
        </w:r>
      </w:fldSimple>
      <w:r w:rsidRPr="00EC326F">
        <w:t>: Welfare utilisation by age band – whole population</w:t>
      </w:r>
    </w:p>
    <w:p w14:paraId="100C580F" w14:textId="77777777" w:rsidR="00F36F13" w:rsidRPr="00EC326F" w:rsidRDefault="00F36F13" w:rsidP="00F36F13">
      <w:pPr>
        <w:pStyle w:val="PwCNormal"/>
        <w:numPr>
          <w:ilvl w:val="0"/>
          <w:numId w:val="0"/>
        </w:numPr>
      </w:pPr>
      <w:r w:rsidRPr="00EC326F">
        <w:rPr>
          <w:noProof/>
          <w:lang w:eastAsia="en-AU"/>
        </w:rPr>
        <w:drawing>
          <wp:inline distT="0" distB="0" distL="0" distR="0" wp14:anchorId="031B38DC" wp14:editId="13A0A599">
            <wp:extent cx="5400000" cy="1939592"/>
            <wp:effectExtent l="0" t="0" r="0" b="3810"/>
            <wp:docPr id="3129" name="Picture 3129" descr="This figure is a stacked bar chart. The chart shows welfare utilisation for the whole population, by age band and class. The vertical axis shows welfare utilisation ranging from 0% to 100%. The horizontal axis shows age bands 0 to 14, then 5 year age bands starting with 15 to 19 through to 70 to 74 and a final age band of 75 to 109.&#10;&#10;The columns for each age band are split by class: 1 Studying, 2 Working Age, 3 Parents, 4 Carers, 5 Disability Support, 6 Pension age, and Non Income Support.&#10;&#10;The key features of this chart are discussed in the accompanying text within the report.&#10;" title=" Welfare utilisation by age band – whole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400000" cy="1939592"/>
                    </a:xfrm>
                    <a:prstGeom prst="rect">
                      <a:avLst/>
                    </a:prstGeom>
                    <a:noFill/>
                    <a:ln>
                      <a:noFill/>
                    </a:ln>
                  </pic:spPr>
                </pic:pic>
              </a:graphicData>
            </a:graphic>
          </wp:inline>
        </w:drawing>
      </w:r>
    </w:p>
    <w:p w14:paraId="449B005B" w14:textId="6E8A6E67" w:rsidR="00F36F13" w:rsidRPr="00EC326F" w:rsidRDefault="00F36F13" w:rsidP="00F36F13">
      <w:pPr>
        <w:pStyle w:val="PwCNormal"/>
        <w:numPr>
          <w:ilvl w:val="0"/>
          <w:numId w:val="0"/>
        </w:numPr>
      </w:pPr>
      <w:r w:rsidRPr="00EC326F">
        <w:t xml:space="preserve">Unsurprisingly, the age bands with highest utilisation are those above retirement age with around 70% of people being in an income support class, predominantly the </w:t>
      </w:r>
      <w:r w:rsidR="005E2656">
        <w:t>A</w:t>
      </w:r>
      <w:r w:rsidRPr="00EC326F">
        <w:t xml:space="preserve">ge </w:t>
      </w:r>
      <w:r w:rsidR="005E2656">
        <w:t>P</w:t>
      </w:r>
      <w:r w:rsidRPr="00EC326F">
        <w:t>ension class.</w:t>
      </w:r>
    </w:p>
    <w:p w14:paraId="096972C9" w14:textId="77777777" w:rsidR="00F36F13" w:rsidRPr="00EC326F" w:rsidRDefault="00F36F13" w:rsidP="00F36F13">
      <w:pPr>
        <w:pStyle w:val="PwCNormal"/>
        <w:numPr>
          <w:ilvl w:val="0"/>
          <w:numId w:val="0"/>
        </w:numPr>
      </w:pPr>
      <w:r w:rsidRPr="00EC326F">
        <w:t>For those people below retirement age, there is an initial peak for ages 20 to 24 when around 30% of the population are in one of the income support classes, with the studying and working ages classes being those most used by people in this age group. The utilisation then falls to 17% to 20% for people in the age range 25 to 59 before increasing to 25% for those aged 60 and above.</w:t>
      </w:r>
    </w:p>
    <w:p w14:paraId="2D6546B0" w14:textId="77777777" w:rsidR="00F36F13" w:rsidRPr="00EC326F" w:rsidRDefault="00F36F13" w:rsidP="00F36F13">
      <w:pPr>
        <w:pStyle w:val="PwCNormal"/>
        <w:numPr>
          <w:ilvl w:val="0"/>
          <w:numId w:val="0"/>
        </w:numPr>
      </w:pPr>
      <w:r w:rsidRPr="00EC326F">
        <w:t>Within this pre-retirement age range people of all ages utilise working age payments; younger people are more likely to be receiving studying or parenting payments and older people are more likely to be receiving carer payment or the disability support pension. It is interesting to note that 9% of people aged 55 to 59 and 12% of people aged 60 to 64 are disability support pension recipients.</w:t>
      </w:r>
    </w:p>
    <w:p w14:paraId="21559439" w14:textId="77777777" w:rsidR="00F36F13" w:rsidRPr="00EC326F" w:rsidRDefault="00F36F13" w:rsidP="00F36F13">
      <w:pPr>
        <w:pStyle w:val="PwCNormal"/>
        <w:numPr>
          <w:ilvl w:val="0"/>
          <w:numId w:val="0"/>
        </w:numPr>
      </w:pPr>
      <w:r w:rsidRPr="00EC326F">
        <w:t>We can also see groups of people receiving non income support payments</w:t>
      </w:r>
      <w:r w:rsidR="00C910AE" w:rsidRPr="00EC326F">
        <w:t>, especially</w:t>
      </w:r>
      <w:r w:rsidRPr="00EC326F">
        <w:t xml:space="preserve"> over the age range 25 to 55; as most of these payments are FTB and child care this is in line with expectations. 25% to 30% of people are receiving these payment types at ages 35 to 44.</w:t>
      </w:r>
    </w:p>
    <w:p w14:paraId="6B2410B7" w14:textId="77777777" w:rsidR="00F36F13" w:rsidRPr="00EC326F" w:rsidRDefault="00F36F13" w:rsidP="00F36F13">
      <w:pPr>
        <w:pStyle w:val="PwCNormal"/>
        <w:numPr>
          <w:ilvl w:val="0"/>
          <w:numId w:val="0"/>
        </w:numPr>
      </w:pPr>
      <w:r w:rsidRPr="00EC326F">
        <w:t>This population level utilisation information provides a benchmark to which different groups within the population can be compared.</w:t>
      </w:r>
    </w:p>
    <w:p w14:paraId="61A23DA8" w14:textId="77777777" w:rsidR="00F36F13" w:rsidRPr="00EC326F" w:rsidRDefault="00F36F13" w:rsidP="00F36F13">
      <w:pPr>
        <w:pStyle w:val="Heading4"/>
      </w:pPr>
      <w:r w:rsidRPr="00EC326F">
        <w:t>Indigenous utilisation</w:t>
      </w:r>
    </w:p>
    <w:p w14:paraId="28243591" w14:textId="3E092BC2" w:rsidR="00F36F13" w:rsidRPr="00EC326F" w:rsidRDefault="00F36F13" w:rsidP="00F36F13">
      <w:pPr>
        <w:pStyle w:val="PwCNormal"/>
        <w:numPr>
          <w:ilvl w:val="0"/>
          <w:numId w:val="1"/>
        </w:numPr>
      </w:pPr>
      <w:r w:rsidRPr="00EC326F">
        <w:t xml:space="preserve">The chart below provides the equivalent information for the </w:t>
      </w:r>
      <w:r w:rsidR="00B36672">
        <w:t>I</w:t>
      </w:r>
      <w:r w:rsidRPr="00EC326F">
        <w:t>ndigenous population. Note that the data variable which captures this information is a self-reported variable both within the administrative data and the data underpinning the development of the overall population. It is therefore subject to a degree of uncertainty.</w:t>
      </w:r>
    </w:p>
    <w:p w14:paraId="1027C5DC" w14:textId="00E07E5B" w:rsidR="00F36F13" w:rsidRPr="002A0A1A" w:rsidRDefault="00F36F13" w:rsidP="00F36F13">
      <w:pPr>
        <w:pStyle w:val="Caption"/>
      </w:pPr>
      <w:r w:rsidRPr="00EC326F">
        <w:lastRenderedPageBreak/>
        <w:t xml:space="preserve">Figure </w:t>
      </w:r>
      <w:fldSimple w:instr=" SEQ Figure \* ARABIC ">
        <w:r w:rsidR="007A42DF">
          <w:rPr>
            <w:noProof/>
          </w:rPr>
          <w:t>106</w:t>
        </w:r>
      </w:fldSimple>
      <w:r w:rsidRPr="00EC326F">
        <w:t xml:space="preserve">: Welfare utilisation by age band – </w:t>
      </w:r>
      <w:r w:rsidR="00B36672">
        <w:t>I</w:t>
      </w:r>
      <w:r w:rsidRPr="00EC326F">
        <w:t>ndigenous people</w:t>
      </w:r>
    </w:p>
    <w:p w14:paraId="60DE35A7" w14:textId="77777777" w:rsidR="00F36F13" w:rsidRPr="00EC326F" w:rsidRDefault="00F36F13" w:rsidP="00F36F13">
      <w:pPr>
        <w:pStyle w:val="PwCNormal"/>
        <w:numPr>
          <w:ilvl w:val="0"/>
          <w:numId w:val="0"/>
        </w:numPr>
      </w:pPr>
      <w:r w:rsidRPr="00EC326F">
        <w:rPr>
          <w:noProof/>
          <w:lang w:eastAsia="en-AU"/>
        </w:rPr>
        <w:drawing>
          <wp:inline distT="0" distB="0" distL="0" distR="0" wp14:anchorId="10342F9B" wp14:editId="33ACFDBD">
            <wp:extent cx="5400000" cy="1939592"/>
            <wp:effectExtent l="0" t="0" r="0" b="3810"/>
            <wp:docPr id="1" name="Picture 1" descr="This figure is a stacked bar chart. The chart shows welfare utilisation for Indigenous people, by age band and class. The vertical axis shows welfare utilisation ranging from 0% to 100%. The horizontal axis shows age bands 0 to 14, then 5 year age bands starting with 15 to 19 through to 70 to 74 and a final age band of 75 to 109.&#10;&#10;The columns for each age band are split by class: 1 Studying, 2 Working Age, 3 Parents, 4 Carers, 5 Disability Support, 6 Pension age, and Non Income Support.&#10;&#10;The key features of this chart are discussed in the accompanying text within the report.&#10;" title=" Welfare utilisation by age band – Indigenous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400000" cy="1939592"/>
                    </a:xfrm>
                    <a:prstGeom prst="rect">
                      <a:avLst/>
                    </a:prstGeom>
                    <a:noFill/>
                    <a:ln>
                      <a:noFill/>
                    </a:ln>
                  </pic:spPr>
                </pic:pic>
              </a:graphicData>
            </a:graphic>
          </wp:inline>
        </w:drawing>
      </w:r>
    </w:p>
    <w:p w14:paraId="47BD325E" w14:textId="3F5C2A79" w:rsidR="00F36F13" w:rsidRPr="00EC326F" w:rsidRDefault="00F36F13" w:rsidP="00F36F13">
      <w:pPr>
        <w:pStyle w:val="PwCNormal"/>
        <w:numPr>
          <w:ilvl w:val="0"/>
          <w:numId w:val="0"/>
        </w:numPr>
      </w:pPr>
      <w:r w:rsidRPr="00EC326F">
        <w:t xml:space="preserve">The welfare utilisation is much higher for </w:t>
      </w:r>
      <w:r w:rsidR="00B36672">
        <w:t>I</w:t>
      </w:r>
      <w:r w:rsidRPr="00EC326F">
        <w:t>ndigenous people than the population average with over 60% of 20 to 29 year olds receiving some income support payments and around 50% of people over the age range 30 to 64. This is around three times higher than the overall population average.</w:t>
      </w:r>
    </w:p>
    <w:p w14:paraId="40420CCD" w14:textId="77777777" w:rsidR="00F36F13" w:rsidRPr="00EC326F" w:rsidRDefault="00F36F13" w:rsidP="00F36F13">
      <w:pPr>
        <w:pStyle w:val="PwCNormal"/>
        <w:numPr>
          <w:ilvl w:val="0"/>
          <w:numId w:val="0"/>
        </w:numPr>
      </w:pPr>
      <w:r w:rsidRPr="00EC326F">
        <w:t xml:space="preserve">The greater utilisation is present across all the main income support payment types. In particular there is much greater use of parenting payment for people aged 15 to 29, while the usage of working age and the disability support pension is higher throughout all pre-retirement ages. Although the proportion of people studying at higher ages is relatively small, there is also much greater use of studying payments over the age range 45 to 64 than for other groups of the population. </w:t>
      </w:r>
    </w:p>
    <w:p w14:paraId="40F1E758" w14:textId="77777777" w:rsidR="00F36F13" w:rsidRPr="00EC326F" w:rsidRDefault="00F36F13" w:rsidP="00F36F13">
      <w:pPr>
        <w:pStyle w:val="Heading4"/>
      </w:pPr>
      <w:r w:rsidRPr="00EC326F">
        <w:t>Utilisation for single people vs. partnered people</w:t>
      </w:r>
    </w:p>
    <w:p w14:paraId="1B44F0C4" w14:textId="77777777" w:rsidR="00F36F13" w:rsidRPr="00EC326F" w:rsidRDefault="00F36F13" w:rsidP="00F36F13">
      <w:pPr>
        <w:pStyle w:val="PwCNormal"/>
        <w:numPr>
          <w:ilvl w:val="0"/>
          <w:numId w:val="1"/>
        </w:numPr>
      </w:pPr>
      <w:r w:rsidRPr="00EC326F">
        <w:t>The following two charts provide a comparison of the welfare utilisation for single vs. partnered people.</w:t>
      </w:r>
    </w:p>
    <w:p w14:paraId="3ED541DB" w14:textId="77777777" w:rsidR="00F36F13" w:rsidRPr="002A0A1A" w:rsidRDefault="00F36F13" w:rsidP="00F36F13">
      <w:pPr>
        <w:pStyle w:val="Caption"/>
      </w:pPr>
      <w:r w:rsidRPr="00EC326F">
        <w:t xml:space="preserve">Figure </w:t>
      </w:r>
      <w:fldSimple w:instr=" SEQ Figure \* ARABIC ">
        <w:r w:rsidR="007A42DF">
          <w:rPr>
            <w:noProof/>
          </w:rPr>
          <w:t>107</w:t>
        </w:r>
      </w:fldSimple>
      <w:r w:rsidRPr="00EC326F">
        <w:t>: Welfare utilisation by age band – single people</w:t>
      </w:r>
    </w:p>
    <w:p w14:paraId="164C404F" w14:textId="77777777" w:rsidR="00F36F13" w:rsidRPr="00EC326F" w:rsidRDefault="00F36F13" w:rsidP="00F36F13">
      <w:pPr>
        <w:pStyle w:val="PwCNormal"/>
        <w:numPr>
          <w:ilvl w:val="0"/>
          <w:numId w:val="0"/>
        </w:numPr>
      </w:pPr>
      <w:r w:rsidRPr="00EC326F">
        <w:rPr>
          <w:noProof/>
          <w:lang w:eastAsia="en-AU"/>
        </w:rPr>
        <w:drawing>
          <wp:inline distT="0" distB="0" distL="0" distR="0" wp14:anchorId="1F62160D" wp14:editId="0CAEDB91">
            <wp:extent cx="5400000" cy="1939592"/>
            <wp:effectExtent l="0" t="0" r="0" b="3810"/>
            <wp:docPr id="3145" name="Picture 3145" descr="This figure is a stacked bar chart. The chart shows welfare utilisation for single people, by age band and class. The vertical axis shows welfare utilisation ranging from 0% to 100%. The horizontal axis shows age bands 0 to 14, then 5 year age bands starting with 15 to 19 through to 70 to 74 and a final age band of 75 to 109.&#10;&#10;The columns for each age band are split by class: 1 Studying, 2 Working Age, 3 Parents, 4 Carers, 5 Disability Support, 6 Pension age, and Non Income Support.&#10;&#10;The key features of this chart are discussed in the accompanying text within the report.&#10;" title=" Welfare utilisation by age band – single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400000" cy="1939592"/>
                    </a:xfrm>
                    <a:prstGeom prst="rect">
                      <a:avLst/>
                    </a:prstGeom>
                    <a:noFill/>
                    <a:ln>
                      <a:noFill/>
                    </a:ln>
                  </pic:spPr>
                </pic:pic>
              </a:graphicData>
            </a:graphic>
          </wp:inline>
        </w:drawing>
      </w:r>
    </w:p>
    <w:p w14:paraId="064BD0B3" w14:textId="77777777" w:rsidR="00F36F13" w:rsidRPr="002A0A1A" w:rsidRDefault="00F36F13" w:rsidP="00F36F13">
      <w:pPr>
        <w:pStyle w:val="Caption"/>
      </w:pPr>
      <w:r w:rsidRPr="00EC326F">
        <w:t xml:space="preserve">Figure </w:t>
      </w:r>
      <w:fldSimple w:instr=" SEQ Figure \* ARABIC ">
        <w:r w:rsidR="007A42DF">
          <w:rPr>
            <w:noProof/>
          </w:rPr>
          <w:t>108</w:t>
        </w:r>
      </w:fldSimple>
      <w:r w:rsidRPr="00EC326F">
        <w:t>: Welfare utilisation by age band – partnered people</w:t>
      </w:r>
    </w:p>
    <w:p w14:paraId="259206C5" w14:textId="77777777" w:rsidR="00F36F13" w:rsidRPr="00EC326F" w:rsidRDefault="00F36F13" w:rsidP="00F36F13">
      <w:pPr>
        <w:pStyle w:val="PwCNormal"/>
        <w:numPr>
          <w:ilvl w:val="0"/>
          <w:numId w:val="0"/>
        </w:numPr>
      </w:pPr>
      <w:r w:rsidRPr="00EC326F">
        <w:rPr>
          <w:noProof/>
          <w:lang w:eastAsia="en-AU"/>
        </w:rPr>
        <w:drawing>
          <wp:inline distT="0" distB="0" distL="0" distR="0" wp14:anchorId="193CD14C" wp14:editId="425178B4">
            <wp:extent cx="5400000" cy="1939592"/>
            <wp:effectExtent l="0" t="0" r="0" b="3810"/>
            <wp:docPr id="19" name="Picture 19" descr="This figure is a stacked bar chart. The chart shows welfare utilisation for partnered people, by age band and class. The vertical axis shows welfare utilisation ranging from 0% to 100%. The horizontal axis shows age bands 0 to 14, then 5 year age bands starting with 15 to 19 through to 70 to 74 and a final age band of 75 to 109.&#10;&#10;The columns for each age band are split by class: 1 Studying, 2 Working Age, 3 Parents, 4 Carers, 5 Disability Support, 6 Pension age, and Non Income Support.&#10;&#10;The key features of this chart are discussed in the accompanying text within the report.&#10;" title=" Welfare utilisation by age band – partnered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400000" cy="1939592"/>
                    </a:xfrm>
                    <a:prstGeom prst="rect">
                      <a:avLst/>
                    </a:prstGeom>
                    <a:noFill/>
                    <a:ln>
                      <a:noFill/>
                    </a:ln>
                  </pic:spPr>
                </pic:pic>
              </a:graphicData>
            </a:graphic>
          </wp:inline>
        </w:drawing>
      </w:r>
    </w:p>
    <w:p w14:paraId="6E1A7FB1" w14:textId="77777777" w:rsidR="00F36F13" w:rsidRPr="00EC326F" w:rsidRDefault="00F36F13" w:rsidP="00F36F13">
      <w:pPr>
        <w:pStyle w:val="PwCNormal"/>
        <w:numPr>
          <w:ilvl w:val="0"/>
          <w:numId w:val="0"/>
        </w:numPr>
      </w:pPr>
      <w:r w:rsidRPr="00EC326F">
        <w:lastRenderedPageBreak/>
        <w:t>For people below retirement age, we can see that single people are much more likely to access income support payments. There are likely to be a number of underlying causes for this. For example, people with severe disabilities are more likely to need support and, perhaps, more likely to remain single over the course of their lives. However, the most notable difference is for working age payment recipients with only 2% to 4% of partnered people aged 25 to 55 receiving these payments compared to 14% to 20% of single people.</w:t>
      </w:r>
    </w:p>
    <w:p w14:paraId="09A19820" w14:textId="50947D73" w:rsidR="00F36F13" w:rsidRPr="002A0A1A" w:rsidRDefault="007E512F" w:rsidP="00F36F13">
      <w:pPr>
        <w:pStyle w:val="PwCNormal"/>
        <w:numPr>
          <w:ilvl w:val="0"/>
          <w:numId w:val="0"/>
        </w:numPr>
      </w:pPr>
      <w:r>
        <w:t>For m</w:t>
      </w:r>
      <w:r w:rsidR="00A76A90">
        <w:t>ost</w:t>
      </w:r>
      <w:r>
        <w:t xml:space="preserve"> income support payments, the combined income of partnered people </w:t>
      </w:r>
      <w:r w:rsidR="00C77F09">
        <w:t>influences</w:t>
      </w:r>
      <w:r>
        <w:t xml:space="preserve"> their payment eligibility. As can be seen in Figure</w:t>
      </w:r>
      <w:r w:rsidR="009E7639">
        <w:t>s</w:t>
      </w:r>
      <w:r>
        <w:t xml:space="preserve"> 107 and 108, a higher proportion </w:t>
      </w:r>
      <w:r w:rsidR="009E7639">
        <w:t xml:space="preserve">of </w:t>
      </w:r>
      <w:r>
        <w:t xml:space="preserve">single people tend to receive income support payments whilst a higher proportion of partnered people access supplements. </w:t>
      </w:r>
      <w:r w:rsidR="00F36F13" w:rsidRPr="00EC326F">
        <w:t xml:space="preserve">For </w:t>
      </w:r>
      <w:r>
        <w:t xml:space="preserve">example, for </w:t>
      </w:r>
      <w:r w:rsidR="00F36F13" w:rsidRPr="00EC326F">
        <w:t>people age 65 to 74</w:t>
      </w:r>
      <w:r>
        <w:t xml:space="preserve"> </w:t>
      </w:r>
      <w:r w:rsidR="00F36F13" w:rsidRPr="00EC326F">
        <w:t>we can see that single people are more likely to receive the age pension and partnered people are more likely to be receiving supplementary payments only. However, the</w:t>
      </w:r>
      <w:r w:rsidR="00364886">
        <w:t xml:space="preserve"> </w:t>
      </w:r>
      <w:r w:rsidR="00F36F13" w:rsidRPr="00EC326F">
        <w:t>difference</w:t>
      </w:r>
      <w:r w:rsidR="00364886">
        <w:t xml:space="preserve"> is less</w:t>
      </w:r>
      <w:r w:rsidR="00F36F13" w:rsidRPr="00EC326F">
        <w:t xml:space="preserve"> for those </w:t>
      </w:r>
      <w:r w:rsidR="00364886">
        <w:t xml:space="preserve">over </w:t>
      </w:r>
      <w:r w:rsidR="00F36F13" w:rsidRPr="00EC326F">
        <w:t xml:space="preserve">age 75. </w:t>
      </w:r>
    </w:p>
    <w:p w14:paraId="1755A99E" w14:textId="77777777" w:rsidR="00F36F13" w:rsidRPr="00EC326F" w:rsidRDefault="00F36F13" w:rsidP="00F36F13">
      <w:pPr>
        <w:pStyle w:val="Heading4"/>
      </w:pPr>
      <w:r w:rsidRPr="00EC326F">
        <w:t>Utilisation for people with and without children</w:t>
      </w:r>
    </w:p>
    <w:p w14:paraId="4C58C965" w14:textId="77777777" w:rsidR="00F36F13" w:rsidRPr="00EC326F" w:rsidRDefault="00F36F13" w:rsidP="00F36F13">
      <w:pPr>
        <w:pStyle w:val="PwCNormal"/>
        <w:numPr>
          <w:ilvl w:val="0"/>
          <w:numId w:val="1"/>
        </w:numPr>
      </w:pPr>
      <w:r w:rsidRPr="00EC326F">
        <w:t>This final comparison compares the welfare utilisation of people with and without children. This information is somewhat uncertain as child information is known to be only partially complete within the administrative data for older people who have not recently received any child related payments and also for people who have not accessed the welfare system. Nonetheless, the differences between the two population groups are stark, as can be seen from the following two charts.</w:t>
      </w:r>
    </w:p>
    <w:p w14:paraId="05330DF9" w14:textId="77777777" w:rsidR="00F36F13" w:rsidRPr="002A0A1A" w:rsidRDefault="00F36F13" w:rsidP="00F36F13">
      <w:pPr>
        <w:pStyle w:val="Caption"/>
      </w:pPr>
      <w:r w:rsidRPr="00EC326F">
        <w:t xml:space="preserve">Figure </w:t>
      </w:r>
      <w:fldSimple w:instr=" SEQ Figure \* ARABIC ">
        <w:r w:rsidR="007A42DF">
          <w:rPr>
            <w:noProof/>
          </w:rPr>
          <w:t>109</w:t>
        </w:r>
      </w:fldSimple>
      <w:r w:rsidRPr="00EC326F">
        <w:t>: Welfare utilisation by age band – people with children</w:t>
      </w:r>
    </w:p>
    <w:p w14:paraId="12ABBA9D" w14:textId="77777777" w:rsidR="00F36F13" w:rsidRPr="00EC326F" w:rsidRDefault="00F36F13" w:rsidP="00F36F13">
      <w:r w:rsidRPr="00EC326F">
        <w:rPr>
          <w:noProof/>
          <w:lang w:eastAsia="en-AU"/>
        </w:rPr>
        <w:drawing>
          <wp:inline distT="0" distB="0" distL="0" distR="0" wp14:anchorId="306F21D1" wp14:editId="5306E579">
            <wp:extent cx="5813184" cy="2088000"/>
            <wp:effectExtent l="0" t="0" r="0" b="7620"/>
            <wp:docPr id="125" name="Picture 125" descr="This figure is a stacked bar chart. The chart shows welfare utilisation for people with children, by age band and class. The vertical axis shows welfare utilisation ranging from 0% to 100%. The horizontal axis shows age bands 0 to 14, then 5 year age bands starting with 15 to 19 through to 70 to 74 and a final age band of 75 to 109.&#10;&#10;The columns for each age band are split by class: 1 Studying, 2 Working Age, 3 Parents, 4 Carers, 5 Disability Support, 6 Pension age, and Non Income Support.&#10;&#10;The key features of this chart are discussed in the accompanying text within the report.&#10;" title=" Welfare utilisation by age band – people with child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813184" cy="2088000"/>
                    </a:xfrm>
                    <a:prstGeom prst="rect">
                      <a:avLst/>
                    </a:prstGeom>
                    <a:noFill/>
                    <a:ln>
                      <a:noFill/>
                    </a:ln>
                  </pic:spPr>
                </pic:pic>
              </a:graphicData>
            </a:graphic>
          </wp:inline>
        </w:drawing>
      </w:r>
    </w:p>
    <w:p w14:paraId="6122D281" w14:textId="77777777" w:rsidR="00F36F13" w:rsidRPr="002A0A1A" w:rsidRDefault="00F36F13" w:rsidP="00F36F13">
      <w:pPr>
        <w:pStyle w:val="Caption"/>
      </w:pPr>
      <w:r w:rsidRPr="00EC326F">
        <w:t xml:space="preserve">Figure </w:t>
      </w:r>
      <w:fldSimple w:instr=" SEQ Figure \* ARABIC ">
        <w:r w:rsidR="007A42DF">
          <w:rPr>
            <w:noProof/>
          </w:rPr>
          <w:t>110</w:t>
        </w:r>
      </w:fldSimple>
      <w:r w:rsidRPr="00EC326F">
        <w:t xml:space="preserve">: Welfare utilisation by age band – people without children </w:t>
      </w:r>
      <w:r w:rsidRPr="00EC326F">
        <w:rPr>
          <w:noProof/>
          <w:lang w:eastAsia="en-AU"/>
        </w:rPr>
        <w:drawing>
          <wp:inline distT="0" distB="0" distL="0" distR="0" wp14:anchorId="35DA6B0E" wp14:editId="69824C9A">
            <wp:extent cx="5813184" cy="2088000"/>
            <wp:effectExtent l="0" t="0" r="0" b="7620"/>
            <wp:docPr id="401" name="Picture 401" descr="This figure is a stacked bar chart. The chart shows welfare utilisation for people without children, by age band and class. The vertical axis shows welfare utilisation ranging from 0% to 100%. The horizontal axis shows age bands 0 to 14, then 5 year age bands starting with 15 to 19 through to 70 to 74 and a final age band of 75 to 109.&#10;&#10;The columns for each age band are split by class: 1 Studying, 2 Working Age, 3 Parents, 4 Carers, 5 Disability Support, 6 Pension age, and Non Income Support.&#10;&#10;The key features of this chart are discussed in the accompanying text within the report.&#10;" title=" Welfare utilisation by age band – people without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813184" cy="2088000"/>
                    </a:xfrm>
                    <a:prstGeom prst="rect">
                      <a:avLst/>
                    </a:prstGeom>
                    <a:noFill/>
                    <a:ln>
                      <a:noFill/>
                    </a:ln>
                  </pic:spPr>
                </pic:pic>
              </a:graphicData>
            </a:graphic>
          </wp:inline>
        </w:drawing>
      </w:r>
    </w:p>
    <w:p w14:paraId="0FF284EB" w14:textId="77777777" w:rsidR="00F36F13" w:rsidRPr="00EC326F" w:rsidRDefault="00F36F13" w:rsidP="00F36F13">
      <w:pPr>
        <w:pStyle w:val="PwCNormal"/>
        <w:numPr>
          <w:ilvl w:val="0"/>
          <w:numId w:val="0"/>
        </w:numPr>
      </w:pPr>
      <w:r w:rsidRPr="00EC326F">
        <w:t xml:space="preserve">In many ways this reflects the design of the payment system: Parenting Payment, FTB and child care payments are provided to assist people as they look after children. Further, there is a greater chance of people with children needing to access Carer payment. Conversely, more people without children are receiving studying payments and, at younger ages, disability support pension.  </w:t>
      </w:r>
    </w:p>
    <w:p w14:paraId="65E1EDFB" w14:textId="77777777" w:rsidR="00F36F13" w:rsidRPr="00EC326F" w:rsidRDefault="00F36F13" w:rsidP="00F36F13">
      <w:pPr>
        <w:pStyle w:val="PwCNormal"/>
        <w:numPr>
          <w:ilvl w:val="0"/>
          <w:numId w:val="0"/>
        </w:numPr>
      </w:pPr>
      <w:r w:rsidRPr="00EC326F">
        <w:t>In the higher ages (around age 50 and above), the charts show that people with children are more likely to receive income support (including working age payments, carer payments, disability support and age pension). This is interesting but less intuitive, and may simply be reflecting the incomplete nature of the children data, as people utilising the welfare system are more likely to have their dependent children recorded.</w:t>
      </w:r>
    </w:p>
    <w:p w14:paraId="2773A262" w14:textId="77777777" w:rsidR="000974E7" w:rsidRPr="00EC326F" w:rsidRDefault="000974E7" w:rsidP="000974E7">
      <w:pPr>
        <w:pStyle w:val="Heading3"/>
      </w:pPr>
      <w:bookmarkStart w:id="801" w:name="_Toc493844285"/>
      <w:r w:rsidRPr="00EC326F">
        <w:lastRenderedPageBreak/>
        <w:t>Geographic information</w:t>
      </w:r>
      <w:bookmarkEnd w:id="801"/>
    </w:p>
    <w:p w14:paraId="1A29482B" w14:textId="6B9D8775" w:rsidR="00F36F13" w:rsidRPr="00EC326F" w:rsidRDefault="00F36F13" w:rsidP="00F36F13">
      <w:pPr>
        <w:pStyle w:val="PwCNormal"/>
        <w:numPr>
          <w:ilvl w:val="0"/>
          <w:numId w:val="0"/>
        </w:numPr>
      </w:pPr>
      <w:r w:rsidRPr="00EC326F">
        <w:t xml:space="preserve">We have undertaken an initial analysis of the extent to which welfare utilisation varies by location and by the </w:t>
      </w:r>
      <w:r w:rsidR="00C910AE" w:rsidRPr="00EC326F">
        <w:t>S</w:t>
      </w:r>
      <w:r w:rsidRPr="00EC326F">
        <w:t>ocio-</w:t>
      </w:r>
      <w:r w:rsidR="00C910AE" w:rsidRPr="00EC326F">
        <w:t>Economic I</w:t>
      </w:r>
      <w:r w:rsidRPr="00EC326F">
        <w:t xml:space="preserve">ndex </w:t>
      </w:r>
      <w:r w:rsidR="00C910AE" w:rsidRPr="00EC326F">
        <w:t>For</w:t>
      </w:r>
      <w:r w:rsidRPr="00EC326F">
        <w:t xml:space="preserve"> </w:t>
      </w:r>
      <w:r w:rsidR="00C910AE" w:rsidRPr="00EC326F">
        <w:t>A</w:t>
      </w:r>
      <w:r w:rsidRPr="00EC326F">
        <w:t xml:space="preserve">rea (SEIFA). </w:t>
      </w:r>
      <w:r w:rsidR="00C910AE" w:rsidRPr="00EC326F">
        <w:t xml:space="preserve">SEIFA is developed by the ABS </w:t>
      </w:r>
      <w:r w:rsidR="002A349E">
        <w:t xml:space="preserve">based on the Australian Statistical Geography Standard Remoteness Structure </w:t>
      </w:r>
      <w:r w:rsidR="00C910AE" w:rsidRPr="00EC326F">
        <w:t xml:space="preserve">and ranks areas within Australia by relative socio-economic advantage and disadvantage with the index based on information drawn from the Census. </w:t>
      </w:r>
      <w:r w:rsidR="004005DC">
        <w:t xml:space="preserve">A lower SEIFA quintile indicates that an area is relatively disadvantaged compared to an area with a higher SEIFA quintile. Our </w:t>
      </w:r>
      <w:r w:rsidRPr="00EC326F">
        <w:t xml:space="preserve">analysis draws on the location information in the data with </w:t>
      </w:r>
      <w:r w:rsidR="00C910AE" w:rsidRPr="00EC326F">
        <w:t xml:space="preserve">people in </w:t>
      </w:r>
      <w:r w:rsidRPr="00EC326F">
        <w:t>each location being assigned to both a location category and a SEIFA quintile.</w:t>
      </w:r>
    </w:p>
    <w:p w14:paraId="1AC879E7" w14:textId="156275D0" w:rsidR="002A349E" w:rsidRPr="00EC326F" w:rsidRDefault="00C910AE" w:rsidP="001874CF">
      <w:pPr>
        <w:pStyle w:val="PwCNormal"/>
        <w:numPr>
          <w:ilvl w:val="0"/>
          <w:numId w:val="0"/>
        </w:numPr>
      </w:pPr>
      <w:r w:rsidRPr="00EC326F" w:rsidDel="004005DC">
        <w:t xml:space="preserve">Note that the current valuation model does not explicitly consider location in developing the lifetime cost assessments. Hence the information </w:t>
      </w:r>
      <w:r w:rsidR="001874CF" w:rsidRPr="00EC326F" w:rsidDel="004005DC">
        <w:t xml:space="preserve">developed for each location is a reflection of the current welfare utilisation for the population and their demographic and past welfare utilisation characteristics of people which impact the expected future welfare utilisation and cost. </w:t>
      </w:r>
      <w:r w:rsidRPr="00EC326F" w:rsidDel="004005DC">
        <w:t xml:space="preserve">The variation in results </w:t>
      </w:r>
      <w:r w:rsidR="001874CF" w:rsidRPr="00EC326F" w:rsidDel="004005DC">
        <w:t>illustrates</w:t>
      </w:r>
      <w:r w:rsidRPr="00EC326F" w:rsidDel="004005DC">
        <w:t xml:space="preserve"> the extent to which the current model is indirectly allowing for geographic location and socio-economic index as factors in predicting welfare usage.</w:t>
      </w:r>
    </w:p>
    <w:p w14:paraId="08EE7D66" w14:textId="1867C169" w:rsidR="00F36F13" w:rsidRPr="00EC326F" w:rsidRDefault="00F36F13" w:rsidP="00F36F13">
      <w:pPr>
        <w:pStyle w:val="PwCNormal"/>
        <w:numPr>
          <w:ilvl w:val="0"/>
          <w:numId w:val="0"/>
        </w:numPr>
      </w:pPr>
      <w:r w:rsidRPr="00EC326F">
        <w:t xml:space="preserve">The tables below summarise the numbers of people in each combination of these categories and </w:t>
      </w:r>
      <w:r w:rsidR="00C910AE" w:rsidRPr="00EC326F">
        <w:t xml:space="preserve">provides </w:t>
      </w:r>
      <w:r w:rsidRPr="00EC326F">
        <w:t xml:space="preserve">two indicators which summarise aspects of welfare utilisation: the proportion of the population in one of the income support classes and the average lifetime cost for </w:t>
      </w:r>
      <w:r w:rsidR="00AC6E4B" w:rsidRPr="00EC326F">
        <w:t xml:space="preserve">these </w:t>
      </w:r>
      <w:r w:rsidRPr="00EC326F">
        <w:t>people.</w:t>
      </w:r>
    </w:p>
    <w:p w14:paraId="404D6B00" w14:textId="77777777" w:rsidR="00F36F13" w:rsidRDefault="00F36F13" w:rsidP="00F36F13">
      <w:pPr>
        <w:pStyle w:val="Caption"/>
      </w:pPr>
      <w:r w:rsidRPr="00EC326F">
        <w:t xml:space="preserve">Table </w:t>
      </w:r>
      <w:fldSimple w:instr=" SEQ Table \* ARABIC ">
        <w:r w:rsidR="007A42DF">
          <w:rPr>
            <w:noProof/>
          </w:rPr>
          <w:t>58</w:t>
        </w:r>
      </w:fldSimple>
      <w:r w:rsidRPr="00EC326F">
        <w:t xml:space="preserve">: </w:t>
      </w:r>
      <w:r w:rsidR="00AC6E4B" w:rsidRPr="00EC326F">
        <w:t>Australian resident p</w:t>
      </w:r>
      <w:r w:rsidRPr="00EC326F">
        <w:t>opulation by location category and SEIFA quintile (</w:t>
      </w:r>
      <w:r w:rsidR="00551020" w:rsidRPr="00EC326F">
        <w:t>millions</w:t>
      </w:r>
      <w:r w:rsidRPr="00EC326F">
        <w:t>)</w:t>
      </w:r>
    </w:p>
    <w:tbl>
      <w:tblPr>
        <w:tblW w:w="9781" w:type="dxa"/>
        <w:tblInd w:w="108" w:type="dxa"/>
        <w:tblLayout w:type="fixed"/>
        <w:tblLook w:val="04A0" w:firstRow="1" w:lastRow="0" w:firstColumn="1" w:lastColumn="0" w:noHBand="0" w:noVBand="1"/>
        <w:tblCaption w:val=" Australian resident population by location category and SEIFA quintile (millions)"/>
        <w:tblDescription w:val="This table lists figures for the Australian resident population by location category and SEIFA quintile (in millions).&#10;&#10;The columns show the SEIFA quintile: 0-20%, 20-40%, 40-60%, 60-80%, 80-100% and total. The rows show the location category: major cities of Australia, inner regional Australia, outer regional Australia, remote Australia and Total.&#10;&#10;The majority of Australians live in major cities of Australia (17 million) while more Australians are in the highest SEIFA quintile than any other (5.5 million). The majority of Australians in the highest SEIFA quintile live in major cities of Australia (5.2 million)&#10;"/>
      </w:tblPr>
      <w:tblGrid>
        <w:gridCol w:w="2436"/>
        <w:gridCol w:w="1224"/>
        <w:gridCol w:w="1224"/>
        <w:gridCol w:w="1353"/>
        <w:gridCol w:w="1095"/>
        <w:gridCol w:w="1224"/>
        <w:gridCol w:w="1225"/>
      </w:tblGrid>
      <w:tr w:rsidR="005A6F29" w:rsidRPr="00EC326F" w14:paraId="118BDDA7" w14:textId="77777777" w:rsidTr="005A6F29">
        <w:trPr>
          <w:trHeight w:val="300"/>
          <w:tblHeader/>
        </w:trPr>
        <w:tc>
          <w:tcPr>
            <w:tcW w:w="2436" w:type="dxa"/>
            <w:tcBorders>
              <w:top w:val="nil"/>
              <w:left w:val="nil"/>
              <w:bottom w:val="nil"/>
              <w:right w:val="nil"/>
            </w:tcBorders>
            <w:shd w:val="clear" w:color="000000" w:fill="E0301E"/>
            <w:noWrap/>
            <w:vAlign w:val="bottom"/>
          </w:tcPr>
          <w:p w14:paraId="26898820" w14:textId="77777777" w:rsidR="005A6F29" w:rsidRPr="00D70BB9" w:rsidRDefault="005A6F29" w:rsidP="00420601">
            <w:pPr>
              <w:pStyle w:val="TableTextSmall"/>
              <w:rPr>
                <w:rFonts w:asciiTheme="majorHAnsi" w:hAnsiTheme="majorHAnsi"/>
                <w:b/>
                <w:bCs/>
                <w:snapToGrid/>
                <w:color w:val="FFFFFF" w:themeColor="background1"/>
                <w:lang w:eastAsia="en-AU"/>
              </w:rPr>
            </w:pPr>
          </w:p>
        </w:tc>
        <w:tc>
          <w:tcPr>
            <w:tcW w:w="1224" w:type="dxa"/>
            <w:tcBorders>
              <w:top w:val="nil"/>
              <w:left w:val="nil"/>
              <w:bottom w:val="nil"/>
              <w:right w:val="nil"/>
            </w:tcBorders>
            <w:shd w:val="clear" w:color="000000" w:fill="E0301E"/>
            <w:noWrap/>
            <w:vAlign w:val="bottom"/>
          </w:tcPr>
          <w:p w14:paraId="0537F3C4" w14:textId="77777777" w:rsidR="005A6F29" w:rsidRPr="00D70BB9" w:rsidRDefault="005A6F29" w:rsidP="00420601">
            <w:pPr>
              <w:pStyle w:val="TableTextSmall"/>
              <w:rPr>
                <w:rFonts w:asciiTheme="majorHAnsi" w:hAnsiTheme="majorHAnsi"/>
                <w:b/>
                <w:bCs/>
                <w:snapToGrid/>
                <w:color w:val="FFFFFF" w:themeColor="background1"/>
                <w:lang w:eastAsia="en-AU"/>
              </w:rPr>
            </w:pPr>
          </w:p>
        </w:tc>
        <w:tc>
          <w:tcPr>
            <w:tcW w:w="1224" w:type="dxa"/>
            <w:tcBorders>
              <w:top w:val="nil"/>
              <w:left w:val="nil"/>
              <w:bottom w:val="nil"/>
              <w:right w:val="nil"/>
            </w:tcBorders>
            <w:shd w:val="clear" w:color="000000" w:fill="E0301E"/>
            <w:noWrap/>
            <w:vAlign w:val="bottom"/>
          </w:tcPr>
          <w:p w14:paraId="4E8F6C43" w14:textId="77777777" w:rsidR="005A6F29" w:rsidRPr="00D70BB9" w:rsidRDefault="005A6F29" w:rsidP="00420601">
            <w:pPr>
              <w:pStyle w:val="TableTextSmall"/>
              <w:rPr>
                <w:rFonts w:asciiTheme="majorHAnsi" w:hAnsiTheme="majorHAnsi"/>
                <w:b/>
                <w:bCs/>
                <w:snapToGrid/>
                <w:color w:val="FFFFFF" w:themeColor="background1"/>
                <w:lang w:eastAsia="en-AU"/>
              </w:rPr>
            </w:pPr>
          </w:p>
        </w:tc>
        <w:tc>
          <w:tcPr>
            <w:tcW w:w="1353" w:type="dxa"/>
            <w:tcBorders>
              <w:top w:val="nil"/>
              <w:left w:val="nil"/>
              <w:bottom w:val="nil"/>
              <w:right w:val="nil"/>
            </w:tcBorders>
            <w:shd w:val="clear" w:color="000000" w:fill="E0301E"/>
            <w:noWrap/>
            <w:vAlign w:val="bottom"/>
          </w:tcPr>
          <w:p w14:paraId="6F3919CF" w14:textId="77777777" w:rsidR="005A6F29" w:rsidRPr="00D70BB9" w:rsidRDefault="005A6F29" w:rsidP="00420601">
            <w:pPr>
              <w:pStyle w:val="TableTextSmall"/>
              <w:rPr>
                <w:rFonts w:asciiTheme="majorHAnsi" w:hAnsiTheme="majorHAnsi"/>
                <w:b/>
                <w:bCs/>
                <w:snapToGrid/>
                <w:color w:val="FFFFFF" w:themeColor="background1"/>
                <w:lang w:eastAsia="en-AU"/>
              </w:rPr>
            </w:pPr>
            <w:r w:rsidRPr="00D70BB9">
              <w:rPr>
                <w:rFonts w:asciiTheme="majorHAnsi" w:hAnsiTheme="majorHAnsi"/>
                <w:b/>
                <w:bCs/>
                <w:snapToGrid/>
                <w:color w:val="FFFFFF" w:themeColor="background1"/>
                <w:lang w:eastAsia="en-AU"/>
              </w:rPr>
              <w:t>SEIFA quintile</w:t>
            </w:r>
          </w:p>
        </w:tc>
        <w:tc>
          <w:tcPr>
            <w:tcW w:w="1095" w:type="dxa"/>
            <w:tcBorders>
              <w:top w:val="nil"/>
              <w:left w:val="nil"/>
              <w:bottom w:val="nil"/>
              <w:right w:val="nil"/>
            </w:tcBorders>
            <w:shd w:val="clear" w:color="000000" w:fill="E0301E"/>
            <w:noWrap/>
            <w:vAlign w:val="bottom"/>
          </w:tcPr>
          <w:p w14:paraId="7CA0015F" w14:textId="77777777" w:rsidR="005A6F29" w:rsidRPr="00D70BB9" w:rsidRDefault="005A6F29" w:rsidP="00420601">
            <w:pPr>
              <w:pStyle w:val="TableTextSmall"/>
              <w:rPr>
                <w:rFonts w:asciiTheme="majorHAnsi" w:hAnsiTheme="majorHAnsi"/>
                <w:b/>
                <w:bCs/>
                <w:snapToGrid/>
                <w:color w:val="FFFFFF" w:themeColor="background1"/>
                <w:lang w:eastAsia="en-AU"/>
              </w:rPr>
            </w:pPr>
          </w:p>
        </w:tc>
        <w:tc>
          <w:tcPr>
            <w:tcW w:w="1224" w:type="dxa"/>
            <w:tcBorders>
              <w:top w:val="nil"/>
              <w:left w:val="nil"/>
              <w:bottom w:val="nil"/>
              <w:right w:val="nil"/>
            </w:tcBorders>
            <w:shd w:val="clear" w:color="000000" w:fill="E0301E"/>
            <w:noWrap/>
            <w:vAlign w:val="bottom"/>
          </w:tcPr>
          <w:p w14:paraId="21619E5D" w14:textId="77777777" w:rsidR="005A6F29" w:rsidRPr="00D70BB9" w:rsidRDefault="005A6F29" w:rsidP="00420601">
            <w:pPr>
              <w:pStyle w:val="TableTextSmall"/>
              <w:rPr>
                <w:rFonts w:asciiTheme="majorHAnsi" w:hAnsiTheme="majorHAnsi"/>
                <w:b/>
                <w:bCs/>
                <w:snapToGrid/>
                <w:color w:val="FFFFFF" w:themeColor="background1"/>
                <w:lang w:eastAsia="en-AU"/>
              </w:rPr>
            </w:pPr>
          </w:p>
        </w:tc>
        <w:tc>
          <w:tcPr>
            <w:tcW w:w="1225" w:type="dxa"/>
            <w:tcBorders>
              <w:top w:val="nil"/>
              <w:left w:val="nil"/>
              <w:bottom w:val="nil"/>
              <w:right w:val="nil"/>
            </w:tcBorders>
            <w:shd w:val="clear" w:color="000000" w:fill="E0301E"/>
            <w:noWrap/>
            <w:vAlign w:val="bottom"/>
          </w:tcPr>
          <w:p w14:paraId="39050B36" w14:textId="77777777" w:rsidR="005A6F29" w:rsidRPr="00D70BB9" w:rsidRDefault="005A6F29" w:rsidP="00420601">
            <w:pPr>
              <w:pStyle w:val="TableTextSmall"/>
              <w:rPr>
                <w:rFonts w:asciiTheme="majorHAnsi" w:hAnsiTheme="majorHAnsi"/>
                <w:b/>
                <w:bCs/>
                <w:snapToGrid/>
                <w:color w:val="FFFFFF" w:themeColor="background1"/>
                <w:lang w:eastAsia="en-AU"/>
              </w:rPr>
            </w:pPr>
          </w:p>
        </w:tc>
      </w:tr>
      <w:tr w:rsidR="005A6F29" w:rsidRPr="00EC326F" w14:paraId="77E6AAC1" w14:textId="77777777" w:rsidTr="005A6F29">
        <w:trPr>
          <w:trHeight w:val="300"/>
          <w:tblHeader/>
        </w:trPr>
        <w:tc>
          <w:tcPr>
            <w:tcW w:w="2436" w:type="dxa"/>
            <w:tcBorders>
              <w:top w:val="nil"/>
              <w:left w:val="nil"/>
              <w:bottom w:val="nil"/>
              <w:right w:val="nil"/>
            </w:tcBorders>
            <w:shd w:val="clear" w:color="000000" w:fill="E0301E"/>
            <w:noWrap/>
            <w:vAlign w:val="bottom"/>
            <w:hideMark/>
          </w:tcPr>
          <w:p w14:paraId="3DC30AA3" w14:textId="77777777" w:rsidR="005A6F29" w:rsidRPr="00EC326F" w:rsidRDefault="005A6F29" w:rsidP="00420601">
            <w:pPr>
              <w:pStyle w:val="TableTextSmall"/>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Location category</w:t>
            </w:r>
          </w:p>
        </w:tc>
        <w:tc>
          <w:tcPr>
            <w:tcW w:w="1224" w:type="dxa"/>
            <w:tcBorders>
              <w:top w:val="nil"/>
              <w:left w:val="nil"/>
              <w:bottom w:val="nil"/>
              <w:right w:val="nil"/>
            </w:tcBorders>
            <w:shd w:val="clear" w:color="000000" w:fill="E0301E"/>
            <w:noWrap/>
            <w:vAlign w:val="bottom"/>
            <w:hideMark/>
          </w:tcPr>
          <w:p w14:paraId="7E7BE72D"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0-20%</w:t>
            </w:r>
          </w:p>
        </w:tc>
        <w:tc>
          <w:tcPr>
            <w:tcW w:w="1224" w:type="dxa"/>
            <w:tcBorders>
              <w:top w:val="nil"/>
              <w:left w:val="nil"/>
              <w:bottom w:val="nil"/>
              <w:right w:val="nil"/>
            </w:tcBorders>
            <w:shd w:val="clear" w:color="000000" w:fill="E0301E"/>
            <w:noWrap/>
            <w:vAlign w:val="bottom"/>
            <w:hideMark/>
          </w:tcPr>
          <w:p w14:paraId="7260B2FD"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20-40%</w:t>
            </w:r>
          </w:p>
        </w:tc>
        <w:tc>
          <w:tcPr>
            <w:tcW w:w="1353" w:type="dxa"/>
            <w:tcBorders>
              <w:top w:val="nil"/>
              <w:left w:val="nil"/>
              <w:bottom w:val="nil"/>
              <w:right w:val="nil"/>
            </w:tcBorders>
            <w:shd w:val="clear" w:color="000000" w:fill="E0301E"/>
            <w:noWrap/>
            <w:vAlign w:val="bottom"/>
            <w:hideMark/>
          </w:tcPr>
          <w:p w14:paraId="02BF87AE"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40-60%</w:t>
            </w:r>
          </w:p>
        </w:tc>
        <w:tc>
          <w:tcPr>
            <w:tcW w:w="1095" w:type="dxa"/>
            <w:tcBorders>
              <w:top w:val="nil"/>
              <w:left w:val="nil"/>
              <w:bottom w:val="nil"/>
              <w:right w:val="nil"/>
            </w:tcBorders>
            <w:shd w:val="clear" w:color="000000" w:fill="E0301E"/>
            <w:noWrap/>
            <w:vAlign w:val="bottom"/>
            <w:hideMark/>
          </w:tcPr>
          <w:p w14:paraId="08C4C3C1"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60-80%</w:t>
            </w:r>
          </w:p>
        </w:tc>
        <w:tc>
          <w:tcPr>
            <w:tcW w:w="1224" w:type="dxa"/>
            <w:tcBorders>
              <w:top w:val="nil"/>
              <w:left w:val="nil"/>
              <w:bottom w:val="nil"/>
              <w:right w:val="nil"/>
            </w:tcBorders>
            <w:shd w:val="clear" w:color="000000" w:fill="E0301E"/>
            <w:noWrap/>
            <w:vAlign w:val="bottom"/>
            <w:hideMark/>
          </w:tcPr>
          <w:p w14:paraId="7F9676AA"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80-100%</w:t>
            </w:r>
          </w:p>
        </w:tc>
        <w:tc>
          <w:tcPr>
            <w:tcW w:w="1225" w:type="dxa"/>
            <w:tcBorders>
              <w:top w:val="nil"/>
              <w:left w:val="nil"/>
              <w:bottom w:val="nil"/>
              <w:right w:val="nil"/>
            </w:tcBorders>
            <w:shd w:val="clear" w:color="000000" w:fill="E0301E"/>
            <w:noWrap/>
            <w:vAlign w:val="bottom"/>
            <w:hideMark/>
          </w:tcPr>
          <w:p w14:paraId="4A534764"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Total</w:t>
            </w:r>
          </w:p>
        </w:tc>
      </w:tr>
      <w:tr w:rsidR="005A6F29" w:rsidRPr="00EC326F" w14:paraId="5CE65D81" w14:textId="77777777" w:rsidTr="00420601">
        <w:trPr>
          <w:trHeight w:val="300"/>
        </w:trPr>
        <w:tc>
          <w:tcPr>
            <w:tcW w:w="2436" w:type="dxa"/>
            <w:tcBorders>
              <w:top w:val="nil"/>
              <w:left w:val="single" w:sz="4" w:space="0" w:color="E0301E"/>
              <w:bottom w:val="single" w:sz="4" w:space="0" w:color="E0301E"/>
              <w:right w:val="nil"/>
            </w:tcBorders>
            <w:shd w:val="clear" w:color="auto" w:fill="auto"/>
            <w:noWrap/>
            <w:vAlign w:val="bottom"/>
            <w:hideMark/>
          </w:tcPr>
          <w:p w14:paraId="6731AFBD" w14:textId="77777777" w:rsidR="005A6F29" w:rsidRPr="00EC326F" w:rsidRDefault="005A6F29" w:rsidP="00420601">
            <w:pPr>
              <w:pStyle w:val="TableTextSmall"/>
              <w:rPr>
                <w:b/>
              </w:rPr>
            </w:pPr>
            <w:r w:rsidRPr="00EC326F">
              <w:rPr>
                <w:b/>
              </w:rPr>
              <w:t>Major Cities of Australia</w:t>
            </w:r>
          </w:p>
        </w:tc>
        <w:tc>
          <w:tcPr>
            <w:tcW w:w="1224" w:type="dxa"/>
            <w:tcBorders>
              <w:top w:val="nil"/>
              <w:left w:val="nil"/>
              <w:bottom w:val="single" w:sz="4" w:space="0" w:color="E0301E"/>
              <w:right w:val="nil"/>
            </w:tcBorders>
            <w:shd w:val="clear" w:color="auto" w:fill="auto"/>
            <w:noWrap/>
            <w:vAlign w:val="bottom"/>
            <w:hideMark/>
          </w:tcPr>
          <w:p w14:paraId="782FC8CA" w14:textId="77777777" w:rsidR="005A6F29" w:rsidRPr="00EC326F" w:rsidRDefault="005A6F29" w:rsidP="00420601">
            <w:pPr>
              <w:pStyle w:val="TableTextSmall"/>
              <w:jc w:val="center"/>
            </w:pPr>
            <w:r w:rsidRPr="00EC326F">
              <w:t>2.1</w:t>
            </w:r>
          </w:p>
        </w:tc>
        <w:tc>
          <w:tcPr>
            <w:tcW w:w="1224" w:type="dxa"/>
            <w:tcBorders>
              <w:top w:val="nil"/>
              <w:left w:val="nil"/>
              <w:bottom w:val="single" w:sz="4" w:space="0" w:color="E0301E"/>
              <w:right w:val="nil"/>
            </w:tcBorders>
            <w:shd w:val="clear" w:color="auto" w:fill="auto"/>
            <w:noWrap/>
            <w:vAlign w:val="bottom"/>
            <w:hideMark/>
          </w:tcPr>
          <w:p w14:paraId="5C36D322" w14:textId="77777777" w:rsidR="005A6F29" w:rsidRPr="00EC326F" w:rsidRDefault="005A6F29" w:rsidP="00420601">
            <w:pPr>
              <w:pStyle w:val="TableTextSmall"/>
              <w:jc w:val="center"/>
            </w:pPr>
            <w:r w:rsidRPr="00EC326F">
              <w:t>2.2</w:t>
            </w:r>
          </w:p>
        </w:tc>
        <w:tc>
          <w:tcPr>
            <w:tcW w:w="1353" w:type="dxa"/>
            <w:tcBorders>
              <w:top w:val="nil"/>
              <w:left w:val="nil"/>
              <w:bottom w:val="single" w:sz="4" w:space="0" w:color="E0301E"/>
              <w:right w:val="nil"/>
            </w:tcBorders>
            <w:shd w:val="clear" w:color="auto" w:fill="auto"/>
            <w:noWrap/>
            <w:vAlign w:val="bottom"/>
            <w:hideMark/>
          </w:tcPr>
          <w:p w14:paraId="3E4EB2F7" w14:textId="77777777" w:rsidR="005A6F29" w:rsidRPr="00EC326F" w:rsidRDefault="005A6F29" w:rsidP="00420601">
            <w:pPr>
              <w:pStyle w:val="TableTextSmall"/>
              <w:jc w:val="center"/>
            </w:pPr>
            <w:r w:rsidRPr="00EC326F">
              <w:t>3.4</w:t>
            </w:r>
          </w:p>
        </w:tc>
        <w:tc>
          <w:tcPr>
            <w:tcW w:w="1095" w:type="dxa"/>
            <w:tcBorders>
              <w:top w:val="nil"/>
              <w:left w:val="nil"/>
              <w:bottom w:val="single" w:sz="4" w:space="0" w:color="E0301E"/>
              <w:right w:val="nil"/>
            </w:tcBorders>
            <w:shd w:val="clear" w:color="auto" w:fill="auto"/>
            <w:noWrap/>
            <w:vAlign w:val="bottom"/>
            <w:hideMark/>
          </w:tcPr>
          <w:p w14:paraId="6C3491FB" w14:textId="77777777" w:rsidR="005A6F29" w:rsidRPr="00EC326F" w:rsidRDefault="005A6F29" w:rsidP="00420601">
            <w:pPr>
              <w:pStyle w:val="TableTextSmall"/>
              <w:jc w:val="center"/>
            </w:pPr>
            <w:r w:rsidRPr="00EC326F">
              <w:t>4.1</w:t>
            </w:r>
          </w:p>
        </w:tc>
        <w:tc>
          <w:tcPr>
            <w:tcW w:w="1224" w:type="dxa"/>
            <w:tcBorders>
              <w:top w:val="nil"/>
              <w:left w:val="nil"/>
              <w:bottom w:val="single" w:sz="4" w:space="0" w:color="E0301E"/>
              <w:right w:val="nil"/>
            </w:tcBorders>
            <w:shd w:val="clear" w:color="auto" w:fill="auto"/>
            <w:noWrap/>
            <w:vAlign w:val="bottom"/>
            <w:hideMark/>
          </w:tcPr>
          <w:p w14:paraId="37D14BBC" w14:textId="77777777" w:rsidR="005A6F29" w:rsidRPr="00EC326F" w:rsidRDefault="005A6F29" w:rsidP="00420601">
            <w:pPr>
              <w:pStyle w:val="TableTextSmall"/>
              <w:jc w:val="center"/>
            </w:pPr>
            <w:r w:rsidRPr="00EC326F">
              <w:t>5.2</w:t>
            </w:r>
          </w:p>
        </w:tc>
        <w:tc>
          <w:tcPr>
            <w:tcW w:w="1225" w:type="dxa"/>
            <w:tcBorders>
              <w:top w:val="nil"/>
              <w:left w:val="nil"/>
              <w:bottom w:val="single" w:sz="4" w:space="0" w:color="E0301E"/>
              <w:right w:val="single" w:sz="4" w:space="0" w:color="E0301E"/>
            </w:tcBorders>
            <w:shd w:val="clear" w:color="auto" w:fill="auto"/>
            <w:noWrap/>
            <w:vAlign w:val="bottom"/>
            <w:hideMark/>
          </w:tcPr>
          <w:p w14:paraId="73534762" w14:textId="77777777" w:rsidR="005A6F29" w:rsidRPr="00EC326F" w:rsidRDefault="005A6F29" w:rsidP="00420601">
            <w:pPr>
              <w:pStyle w:val="TableTextSmall"/>
              <w:jc w:val="center"/>
              <w:rPr>
                <w:b/>
              </w:rPr>
            </w:pPr>
            <w:r w:rsidRPr="00EC326F">
              <w:rPr>
                <w:b/>
              </w:rPr>
              <w:t>17.0</w:t>
            </w:r>
          </w:p>
        </w:tc>
      </w:tr>
      <w:tr w:rsidR="005A6F29" w:rsidRPr="00EC326F" w14:paraId="4056D51A" w14:textId="77777777" w:rsidTr="00420601">
        <w:trPr>
          <w:trHeight w:val="300"/>
        </w:trPr>
        <w:tc>
          <w:tcPr>
            <w:tcW w:w="2436" w:type="dxa"/>
            <w:tcBorders>
              <w:top w:val="nil"/>
              <w:left w:val="single" w:sz="4" w:space="0" w:color="E0301E"/>
              <w:bottom w:val="single" w:sz="4" w:space="0" w:color="E0301E"/>
              <w:right w:val="nil"/>
            </w:tcBorders>
            <w:shd w:val="clear" w:color="auto" w:fill="auto"/>
            <w:noWrap/>
            <w:vAlign w:val="bottom"/>
            <w:hideMark/>
          </w:tcPr>
          <w:p w14:paraId="0C9E1514" w14:textId="77777777" w:rsidR="005A6F29" w:rsidRPr="00EC326F" w:rsidRDefault="005A6F29" w:rsidP="00420601">
            <w:pPr>
              <w:pStyle w:val="TableTextSmall"/>
              <w:rPr>
                <w:b/>
              </w:rPr>
            </w:pPr>
            <w:r w:rsidRPr="00EC326F">
              <w:rPr>
                <w:b/>
              </w:rPr>
              <w:t>Inner Regional Australia</w:t>
            </w:r>
          </w:p>
        </w:tc>
        <w:tc>
          <w:tcPr>
            <w:tcW w:w="1224" w:type="dxa"/>
            <w:tcBorders>
              <w:top w:val="single" w:sz="4" w:space="0" w:color="E0301E"/>
              <w:left w:val="nil"/>
              <w:bottom w:val="single" w:sz="4" w:space="0" w:color="E0301E"/>
              <w:right w:val="nil"/>
            </w:tcBorders>
            <w:shd w:val="clear" w:color="auto" w:fill="auto"/>
            <w:noWrap/>
            <w:vAlign w:val="bottom"/>
            <w:hideMark/>
          </w:tcPr>
          <w:p w14:paraId="279B535E" w14:textId="77777777" w:rsidR="005A6F29" w:rsidRPr="00EC326F" w:rsidRDefault="005A6F29" w:rsidP="00420601">
            <w:pPr>
              <w:pStyle w:val="TableTextSmall"/>
              <w:jc w:val="center"/>
            </w:pPr>
            <w:r w:rsidRPr="00EC326F">
              <w:t>1.2</w:t>
            </w:r>
          </w:p>
        </w:tc>
        <w:tc>
          <w:tcPr>
            <w:tcW w:w="1224" w:type="dxa"/>
            <w:tcBorders>
              <w:top w:val="single" w:sz="4" w:space="0" w:color="E0301E"/>
              <w:left w:val="nil"/>
              <w:bottom w:val="single" w:sz="4" w:space="0" w:color="E0301E"/>
              <w:right w:val="nil"/>
            </w:tcBorders>
            <w:shd w:val="clear" w:color="auto" w:fill="auto"/>
            <w:noWrap/>
            <w:vAlign w:val="bottom"/>
            <w:hideMark/>
          </w:tcPr>
          <w:p w14:paraId="0CDA1258" w14:textId="77777777" w:rsidR="005A6F29" w:rsidRPr="00EC326F" w:rsidRDefault="005A6F29" w:rsidP="00420601">
            <w:pPr>
              <w:pStyle w:val="TableTextSmall"/>
              <w:jc w:val="center"/>
            </w:pPr>
            <w:r w:rsidRPr="00EC326F">
              <w:t>1.3</w:t>
            </w:r>
          </w:p>
        </w:tc>
        <w:tc>
          <w:tcPr>
            <w:tcW w:w="1353" w:type="dxa"/>
            <w:tcBorders>
              <w:top w:val="single" w:sz="4" w:space="0" w:color="E0301E"/>
              <w:left w:val="nil"/>
              <w:bottom w:val="single" w:sz="4" w:space="0" w:color="E0301E"/>
              <w:right w:val="nil"/>
            </w:tcBorders>
            <w:shd w:val="clear" w:color="auto" w:fill="auto"/>
            <w:noWrap/>
            <w:vAlign w:val="bottom"/>
            <w:hideMark/>
          </w:tcPr>
          <w:p w14:paraId="24FE819A" w14:textId="77777777" w:rsidR="005A6F29" w:rsidRPr="00EC326F" w:rsidRDefault="005A6F29" w:rsidP="00420601">
            <w:pPr>
              <w:pStyle w:val="TableTextSmall"/>
              <w:jc w:val="center"/>
            </w:pPr>
            <w:r w:rsidRPr="00EC326F">
              <w:t>1.2</w:t>
            </w:r>
          </w:p>
        </w:tc>
        <w:tc>
          <w:tcPr>
            <w:tcW w:w="1095" w:type="dxa"/>
            <w:tcBorders>
              <w:top w:val="single" w:sz="4" w:space="0" w:color="E0301E"/>
              <w:left w:val="nil"/>
              <w:bottom w:val="single" w:sz="4" w:space="0" w:color="E0301E"/>
              <w:right w:val="nil"/>
            </w:tcBorders>
            <w:shd w:val="clear" w:color="auto" w:fill="auto"/>
            <w:noWrap/>
            <w:vAlign w:val="bottom"/>
            <w:hideMark/>
          </w:tcPr>
          <w:p w14:paraId="52BEBD4C" w14:textId="77777777" w:rsidR="005A6F29" w:rsidRPr="00EC326F" w:rsidRDefault="005A6F29" w:rsidP="00420601">
            <w:pPr>
              <w:pStyle w:val="TableTextSmall"/>
              <w:jc w:val="center"/>
            </w:pPr>
            <w:r w:rsidRPr="00EC326F">
              <w:t>0.6</w:t>
            </w:r>
          </w:p>
        </w:tc>
        <w:tc>
          <w:tcPr>
            <w:tcW w:w="1224" w:type="dxa"/>
            <w:tcBorders>
              <w:top w:val="single" w:sz="4" w:space="0" w:color="E0301E"/>
              <w:left w:val="nil"/>
              <w:bottom w:val="single" w:sz="4" w:space="0" w:color="E0301E"/>
              <w:right w:val="nil"/>
            </w:tcBorders>
            <w:shd w:val="clear" w:color="auto" w:fill="auto"/>
            <w:noWrap/>
            <w:vAlign w:val="bottom"/>
            <w:hideMark/>
          </w:tcPr>
          <w:p w14:paraId="7A70E9F7" w14:textId="77777777" w:rsidR="005A6F29" w:rsidRPr="00EC326F" w:rsidRDefault="005A6F29" w:rsidP="00420601">
            <w:pPr>
              <w:pStyle w:val="TableTextSmall"/>
              <w:jc w:val="center"/>
            </w:pPr>
            <w:r w:rsidRPr="00EC326F">
              <w:t>0.2</w:t>
            </w:r>
          </w:p>
        </w:tc>
        <w:tc>
          <w:tcPr>
            <w:tcW w:w="1225" w:type="dxa"/>
            <w:tcBorders>
              <w:top w:val="single" w:sz="4" w:space="0" w:color="E0301E"/>
              <w:left w:val="nil"/>
              <w:bottom w:val="single" w:sz="4" w:space="0" w:color="E0301E"/>
              <w:right w:val="single" w:sz="4" w:space="0" w:color="E0301E"/>
            </w:tcBorders>
            <w:shd w:val="clear" w:color="auto" w:fill="auto"/>
            <w:noWrap/>
            <w:vAlign w:val="bottom"/>
            <w:hideMark/>
          </w:tcPr>
          <w:p w14:paraId="58CCB55F" w14:textId="77777777" w:rsidR="005A6F29" w:rsidRPr="00EC326F" w:rsidRDefault="005A6F29" w:rsidP="00420601">
            <w:pPr>
              <w:pStyle w:val="TableTextSmall"/>
              <w:jc w:val="center"/>
              <w:rPr>
                <w:b/>
              </w:rPr>
            </w:pPr>
            <w:r w:rsidRPr="00EC326F">
              <w:rPr>
                <w:b/>
              </w:rPr>
              <w:t>4.4</w:t>
            </w:r>
          </w:p>
        </w:tc>
      </w:tr>
      <w:tr w:rsidR="005A6F29" w:rsidRPr="00EC326F" w14:paraId="2107C4B4" w14:textId="77777777" w:rsidTr="00420601">
        <w:trPr>
          <w:trHeight w:val="300"/>
        </w:trPr>
        <w:tc>
          <w:tcPr>
            <w:tcW w:w="2436" w:type="dxa"/>
            <w:tcBorders>
              <w:top w:val="nil"/>
              <w:left w:val="single" w:sz="4" w:space="0" w:color="E0301E"/>
              <w:bottom w:val="single" w:sz="4" w:space="0" w:color="E0301E"/>
              <w:right w:val="nil"/>
            </w:tcBorders>
            <w:shd w:val="clear" w:color="auto" w:fill="auto"/>
            <w:noWrap/>
            <w:vAlign w:val="bottom"/>
            <w:hideMark/>
          </w:tcPr>
          <w:p w14:paraId="5E3A2D3F" w14:textId="77777777" w:rsidR="005A6F29" w:rsidRPr="00EC326F" w:rsidRDefault="005A6F29" w:rsidP="00420601">
            <w:pPr>
              <w:pStyle w:val="TableTextSmall"/>
              <w:rPr>
                <w:b/>
              </w:rPr>
            </w:pPr>
            <w:r w:rsidRPr="00EC326F">
              <w:rPr>
                <w:b/>
              </w:rPr>
              <w:t>Outer Regional Australia</w:t>
            </w:r>
          </w:p>
        </w:tc>
        <w:tc>
          <w:tcPr>
            <w:tcW w:w="1224" w:type="dxa"/>
            <w:tcBorders>
              <w:top w:val="single" w:sz="4" w:space="0" w:color="E0301E"/>
              <w:left w:val="nil"/>
              <w:bottom w:val="single" w:sz="4" w:space="0" w:color="E0301E"/>
              <w:right w:val="nil"/>
            </w:tcBorders>
            <w:shd w:val="clear" w:color="auto" w:fill="auto"/>
            <w:noWrap/>
            <w:vAlign w:val="bottom"/>
            <w:hideMark/>
          </w:tcPr>
          <w:p w14:paraId="78E6ABD1" w14:textId="77777777" w:rsidR="005A6F29" w:rsidRPr="00EC326F" w:rsidRDefault="005A6F29" w:rsidP="00420601">
            <w:pPr>
              <w:pStyle w:val="TableTextSmall"/>
              <w:jc w:val="center"/>
            </w:pPr>
            <w:r w:rsidRPr="00EC326F">
              <w:t>0.7</w:t>
            </w:r>
          </w:p>
        </w:tc>
        <w:tc>
          <w:tcPr>
            <w:tcW w:w="1224" w:type="dxa"/>
            <w:tcBorders>
              <w:top w:val="single" w:sz="4" w:space="0" w:color="E0301E"/>
              <w:left w:val="nil"/>
              <w:bottom w:val="single" w:sz="4" w:space="0" w:color="E0301E"/>
              <w:right w:val="nil"/>
            </w:tcBorders>
            <w:shd w:val="clear" w:color="auto" w:fill="auto"/>
            <w:noWrap/>
            <w:vAlign w:val="bottom"/>
            <w:hideMark/>
          </w:tcPr>
          <w:p w14:paraId="445A5A46" w14:textId="77777777" w:rsidR="005A6F29" w:rsidRPr="00EC326F" w:rsidRDefault="005A6F29" w:rsidP="00420601">
            <w:pPr>
              <w:pStyle w:val="TableTextSmall"/>
              <w:jc w:val="center"/>
            </w:pPr>
            <w:r w:rsidRPr="00EC326F">
              <w:t>0.7</w:t>
            </w:r>
          </w:p>
        </w:tc>
        <w:tc>
          <w:tcPr>
            <w:tcW w:w="1353" w:type="dxa"/>
            <w:tcBorders>
              <w:top w:val="single" w:sz="4" w:space="0" w:color="E0301E"/>
              <w:left w:val="nil"/>
              <w:bottom w:val="single" w:sz="4" w:space="0" w:color="E0301E"/>
              <w:right w:val="nil"/>
            </w:tcBorders>
            <w:shd w:val="clear" w:color="auto" w:fill="auto"/>
            <w:noWrap/>
            <w:vAlign w:val="bottom"/>
            <w:hideMark/>
          </w:tcPr>
          <w:p w14:paraId="59461841" w14:textId="77777777" w:rsidR="005A6F29" w:rsidRPr="00EC326F" w:rsidRDefault="005A6F29" w:rsidP="00420601">
            <w:pPr>
              <w:pStyle w:val="TableTextSmall"/>
              <w:jc w:val="center"/>
            </w:pPr>
            <w:r w:rsidRPr="00EC326F">
              <w:t>0.4</w:t>
            </w:r>
          </w:p>
        </w:tc>
        <w:tc>
          <w:tcPr>
            <w:tcW w:w="1095" w:type="dxa"/>
            <w:tcBorders>
              <w:top w:val="single" w:sz="4" w:space="0" w:color="E0301E"/>
              <w:left w:val="nil"/>
              <w:bottom w:val="single" w:sz="4" w:space="0" w:color="E0301E"/>
              <w:right w:val="nil"/>
            </w:tcBorders>
            <w:shd w:val="clear" w:color="auto" w:fill="auto"/>
            <w:noWrap/>
            <w:vAlign w:val="bottom"/>
            <w:hideMark/>
          </w:tcPr>
          <w:p w14:paraId="711D53DF" w14:textId="77777777" w:rsidR="005A6F29" w:rsidRPr="00EC326F" w:rsidRDefault="005A6F29" w:rsidP="00420601">
            <w:pPr>
              <w:pStyle w:val="TableTextSmall"/>
              <w:jc w:val="center"/>
            </w:pPr>
            <w:r w:rsidRPr="00EC326F">
              <w:t>0.2</w:t>
            </w:r>
          </w:p>
        </w:tc>
        <w:tc>
          <w:tcPr>
            <w:tcW w:w="1224" w:type="dxa"/>
            <w:tcBorders>
              <w:top w:val="single" w:sz="4" w:space="0" w:color="E0301E"/>
              <w:left w:val="nil"/>
              <w:bottom w:val="single" w:sz="4" w:space="0" w:color="E0301E"/>
              <w:right w:val="nil"/>
            </w:tcBorders>
            <w:shd w:val="clear" w:color="auto" w:fill="auto"/>
            <w:noWrap/>
            <w:vAlign w:val="bottom"/>
            <w:hideMark/>
          </w:tcPr>
          <w:p w14:paraId="0D277F30" w14:textId="77777777" w:rsidR="005A6F29" w:rsidRPr="00EC326F" w:rsidRDefault="005A6F29" w:rsidP="00420601">
            <w:pPr>
              <w:pStyle w:val="TableTextSmall"/>
              <w:jc w:val="center"/>
            </w:pPr>
            <w:r w:rsidRPr="00EC326F">
              <w:t>0.1</w:t>
            </w:r>
          </w:p>
        </w:tc>
        <w:tc>
          <w:tcPr>
            <w:tcW w:w="1225" w:type="dxa"/>
            <w:tcBorders>
              <w:top w:val="single" w:sz="4" w:space="0" w:color="E0301E"/>
              <w:left w:val="nil"/>
              <w:bottom w:val="single" w:sz="4" w:space="0" w:color="E0301E"/>
              <w:right w:val="single" w:sz="4" w:space="0" w:color="E0301E"/>
            </w:tcBorders>
            <w:shd w:val="clear" w:color="auto" w:fill="auto"/>
            <w:noWrap/>
            <w:vAlign w:val="bottom"/>
            <w:hideMark/>
          </w:tcPr>
          <w:p w14:paraId="3F46FA94" w14:textId="77777777" w:rsidR="005A6F29" w:rsidRPr="00EC326F" w:rsidRDefault="005A6F29" w:rsidP="00420601">
            <w:pPr>
              <w:pStyle w:val="TableTextSmall"/>
              <w:jc w:val="center"/>
              <w:rPr>
                <w:b/>
              </w:rPr>
            </w:pPr>
            <w:r w:rsidRPr="00EC326F">
              <w:rPr>
                <w:b/>
              </w:rPr>
              <w:t>2.1</w:t>
            </w:r>
          </w:p>
        </w:tc>
      </w:tr>
      <w:tr w:rsidR="005A6F29" w:rsidRPr="00EC326F" w14:paraId="3239F550" w14:textId="77777777" w:rsidTr="00420601">
        <w:trPr>
          <w:trHeight w:val="300"/>
        </w:trPr>
        <w:tc>
          <w:tcPr>
            <w:tcW w:w="2436" w:type="dxa"/>
            <w:tcBorders>
              <w:top w:val="nil"/>
              <w:left w:val="single" w:sz="4" w:space="0" w:color="E0301E"/>
              <w:bottom w:val="single" w:sz="4" w:space="0" w:color="E0301E"/>
              <w:right w:val="nil"/>
            </w:tcBorders>
            <w:shd w:val="clear" w:color="auto" w:fill="auto"/>
            <w:noWrap/>
            <w:vAlign w:val="bottom"/>
            <w:hideMark/>
          </w:tcPr>
          <w:p w14:paraId="4211E510" w14:textId="77777777" w:rsidR="005A6F29" w:rsidRPr="00EC326F" w:rsidRDefault="005A6F29" w:rsidP="00420601">
            <w:pPr>
              <w:pStyle w:val="TableTextSmall"/>
              <w:rPr>
                <w:b/>
              </w:rPr>
            </w:pPr>
            <w:r w:rsidRPr="00EC326F">
              <w:rPr>
                <w:b/>
              </w:rPr>
              <w:t xml:space="preserve">Remote </w:t>
            </w:r>
            <w:r>
              <w:rPr>
                <w:b/>
              </w:rPr>
              <w:t xml:space="preserve">and Very Remote </w:t>
            </w:r>
            <w:r w:rsidRPr="00EC326F">
              <w:rPr>
                <w:b/>
              </w:rPr>
              <w:t>Australia</w:t>
            </w:r>
          </w:p>
        </w:tc>
        <w:tc>
          <w:tcPr>
            <w:tcW w:w="1224" w:type="dxa"/>
            <w:tcBorders>
              <w:top w:val="single" w:sz="4" w:space="0" w:color="E0301E"/>
              <w:left w:val="nil"/>
              <w:bottom w:val="single" w:sz="4" w:space="0" w:color="E0301E"/>
              <w:right w:val="nil"/>
            </w:tcBorders>
            <w:shd w:val="clear" w:color="auto" w:fill="auto"/>
            <w:noWrap/>
            <w:vAlign w:val="center"/>
            <w:hideMark/>
          </w:tcPr>
          <w:p w14:paraId="438D6F14" w14:textId="77777777" w:rsidR="005A6F29" w:rsidRPr="00EC326F" w:rsidRDefault="005A6F29" w:rsidP="00420601">
            <w:pPr>
              <w:pStyle w:val="TableTextSmall"/>
              <w:jc w:val="center"/>
            </w:pPr>
            <w:r w:rsidRPr="00EC326F">
              <w:t>0.2</w:t>
            </w:r>
          </w:p>
        </w:tc>
        <w:tc>
          <w:tcPr>
            <w:tcW w:w="1224" w:type="dxa"/>
            <w:tcBorders>
              <w:top w:val="single" w:sz="4" w:space="0" w:color="E0301E"/>
              <w:left w:val="nil"/>
              <w:bottom w:val="single" w:sz="4" w:space="0" w:color="E0301E"/>
              <w:right w:val="nil"/>
            </w:tcBorders>
            <w:shd w:val="clear" w:color="auto" w:fill="auto"/>
            <w:noWrap/>
            <w:vAlign w:val="center"/>
            <w:hideMark/>
          </w:tcPr>
          <w:p w14:paraId="23EB2B0F" w14:textId="77777777" w:rsidR="005A6F29" w:rsidRPr="00EC326F" w:rsidRDefault="005A6F29" w:rsidP="00420601">
            <w:pPr>
              <w:pStyle w:val="TableTextSmall"/>
              <w:jc w:val="center"/>
            </w:pPr>
            <w:r w:rsidRPr="00EC326F">
              <w:t>0.1</w:t>
            </w:r>
          </w:p>
        </w:tc>
        <w:tc>
          <w:tcPr>
            <w:tcW w:w="1353" w:type="dxa"/>
            <w:tcBorders>
              <w:top w:val="single" w:sz="4" w:space="0" w:color="E0301E"/>
              <w:left w:val="nil"/>
              <w:bottom w:val="single" w:sz="4" w:space="0" w:color="E0301E"/>
              <w:right w:val="nil"/>
            </w:tcBorders>
            <w:shd w:val="clear" w:color="auto" w:fill="auto"/>
            <w:noWrap/>
            <w:vAlign w:val="center"/>
            <w:hideMark/>
          </w:tcPr>
          <w:p w14:paraId="0FDF9B4B" w14:textId="77777777" w:rsidR="005A6F29" w:rsidRPr="00EC326F" w:rsidRDefault="005A6F29" w:rsidP="00420601">
            <w:pPr>
              <w:pStyle w:val="TableTextSmall"/>
              <w:jc w:val="center"/>
            </w:pPr>
            <w:r w:rsidRPr="00EC326F">
              <w:t>0.1</w:t>
            </w:r>
          </w:p>
        </w:tc>
        <w:tc>
          <w:tcPr>
            <w:tcW w:w="1095" w:type="dxa"/>
            <w:tcBorders>
              <w:top w:val="single" w:sz="4" w:space="0" w:color="E0301E"/>
              <w:left w:val="nil"/>
              <w:bottom w:val="single" w:sz="4" w:space="0" w:color="E0301E"/>
              <w:right w:val="nil"/>
            </w:tcBorders>
            <w:shd w:val="clear" w:color="auto" w:fill="auto"/>
            <w:noWrap/>
            <w:vAlign w:val="center"/>
            <w:hideMark/>
          </w:tcPr>
          <w:p w14:paraId="1055529B" w14:textId="77777777" w:rsidR="005A6F29" w:rsidRPr="00EC326F" w:rsidRDefault="005A6F29" w:rsidP="00420601">
            <w:pPr>
              <w:pStyle w:val="TableTextSmall"/>
              <w:jc w:val="center"/>
            </w:pPr>
            <w:r w:rsidRPr="00EC326F">
              <w:t>0.05</w:t>
            </w:r>
          </w:p>
        </w:tc>
        <w:tc>
          <w:tcPr>
            <w:tcW w:w="1224" w:type="dxa"/>
            <w:tcBorders>
              <w:top w:val="single" w:sz="4" w:space="0" w:color="E0301E"/>
              <w:left w:val="nil"/>
              <w:bottom w:val="single" w:sz="4" w:space="0" w:color="E0301E"/>
              <w:right w:val="nil"/>
            </w:tcBorders>
            <w:shd w:val="clear" w:color="auto" w:fill="auto"/>
            <w:noWrap/>
            <w:vAlign w:val="center"/>
            <w:hideMark/>
          </w:tcPr>
          <w:p w14:paraId="344ECD4A" w14:textId="77777777" w:rsidR="005A6F29" w:rsidRPr="00EC326F" w:rsidRDefault="005A6F29" w:rsidP="00420601">
            <w:pPr>
              <w:pStyle w:val="TableTextSmall"/>
              <w:jc w:val="center"/>
            </w:pPr>
            <w:r w:rsidRPr="00EC326F">
              <w:t>0.03</w:t>
            </w:r>
          </w:p>
        </w:tc>
        <w:tc>
          <w:tcPr>
            <w:tcW w:w="1225" w:type="dxa"/>
            <w:tcBorders>
              <w:top w:val="single" w:sz="4" w:space="0" w:color="E0301E"/>
              <w:left w:val="nil"/>
              <w:bottom w:val="single" w:sz="4" w:space="0" w:color="E0301E"/>
              <w:right w:val="single" w:sz="4" w:space="0" w:color="E0301E"/>
            </w:tcBorders>
            <w:shd w:val="clear" w:color="auto" w:fill="auto"/>
            <w:noWrap/>
            <w:vAlign w:val="center"/>
            <w:hideMark/>
          </w:tcPr>
          <w:p w14:paraId="4E266693" w14:textId="77777777" w:rsidR="005A6F29" w:rsidRPr="00EC326F" w:rsidRDefault="005A6F29" w:rsidP="00420601">
            <w:pPr>
              <w:pStyle w:val="TableTextSmall"/>
              <w:jc w:val="center"/>
              <w:rPr>
                <w:b/>
              </w:rPr>
            </w:pPr>
            <w:r w:rsidRPr="00EC326F">
              <w:rPr>
                <w:b/>
              </w:rPr>
              <w:t>0.6</w:t>
            </w:r>
          </w:p>
        </w:tc>
      </w:tr>
      <w:tr w:rsidR="005A6F29" w:rsidRPr="00EC326F" w14:paraId="5B15C5DA" w14:textId="77777777" w:rsidTr="00420601">
        <w:trPr>
          <w:trHeight w:val="300"/>
        </w:trPr>
        <w:tc>
          <w:tcPr>
            <w:tcW w:w="2436" w:type="dxa"/>
            <w:tcBorders>
              <w:top w:val="nil"/>
              <w:left w:val="single" w:sz="4" w:space="0" w:color="E0301E"/>
              <w:bottom w:val="single" w:sz="4" w:space="0" w:color="E0301E"/>
              <w:right w:val="nil"/>
            </w:tcBorders>
            <w:shd w:val="clear" w:color="auto" w:fill="auto"/>
            <w:noWrap/>
            <w:vAlign w:val="bottom"/>
            <w:hideMark/>
          </w:tcPr>
          <w:p w14:paraId="7484C4B8" w14:textId="77777777" w:rsidR="005A6F29" w:rsidRPr="00EC326F" w:rsidRDefault="005A6F29" w:rsidP="00420601">
            <w:pPr>
              <w:pStyle w:val="TableTextSmall"/>
              <w:rPr>
                <w:b/>
              </w:rPr>
            </w:pPr>
            <w:r w:rsidRPr="00EC326F">
              <w:rPr>
                <w:b/>
              </w:rPr>
              <w:t>Total</w:t>
            </w:r>
          </w:p>
        </w:tc>
        <w:tc>
          <w:tcPr>
            <w:tcW w:w="1224" w:type="dxa"/>
            <w:tcBorders>
              <w:top w:val="single" w:sz="4" w:space="0" w:color="E0301E"/>
              <w:left w:val="nil"/>
              <w:bottom w:val="single" w:sz="4" w:space="0" w:color="E0301E"/>
              <w:right w:val="nil"/>
            </w:tcBorders>
            <w:shd w:val="clear" w:color="auto" w:fill="auto"/>
            <w:noWrap/>
            <w:vAlign w:val="bottom"/>
            <w:hideMark/>
          </w:tcPr>
          <w:p w14:paraId="247BABB3" w14:textId="77777777" w:rsidR="005A6F29" w:rsidRPr="00EC326F" w:rsidRDefault="005A6F29" w:rsidP="00420601">
            <w:pPr>
              <w:pStyle w:val="TableTextSmall"/>
              <w:jc w:val="center"/>
              <w:rPr>
                <w:b/>
              </w:rPr>
            </w:pPr>
            <w:r w:rsidRPr="00EC326F">
              <w:rPr>
                <w:b/>
              </w:rPr>
              <w:t>4.2</w:t>
            </w:r>
          </w:p>
        </w:tc>
        <w:tc>
          <w:tcPr>
            <w:tcW w:w="1224" w:type="dxa"/>
            <w:tcBorders>
              <w:top w:val="single" w:sz="4" w:space="0" w:color="E0301E"/>
              <w:left w:val="nil"/>
              <w:bottom w:val="single" w:sz="4" w:space="0" w:color="E0301E"/>
              <w:right w:val="nil"/>
            </w:tcBorders>
            <w:shd w:val="clear" w:color="auto" w:fill="auto"/>
            <w:noWrap/>
            <w:vAlign w:val="bottom"/>
            <w:hideMark/>
          </w:tcPr>
          <w:p w14:paraId="3776B863" w14:textId="77777777" w:rsidR="005A6F29" w:rsidRPr="00EC326F" w:rsidRDefault="005A6F29" w:rsidP="00420601">
            <w:pPr>
              <w:pStyle w:val="TableTextSmall"/>
              <w:jc w:val="center"/>
              <w:rPr>
                <w:b/>
              </w:rPr>
            </w:pPr>
            <w:r w:rsidRPr="00EC326F">
              <w:rPr>
                <w:b/>
              </w:rPr>
              <w:t>4.3</w:t>
            </w:r>
          </w:p>
        </w:tc>
        <w:tc>
          <w:tcPr>
            <w:tcW w:w="1353" w:type="dxa"/>
            <w:tcBorders>
              <w:top w:val="single" w:sz="4" w:space="0" w:color="E0301E"/>
              <w:left w:val="nil"/>
              <w:bottom w:val="single" w:sz="4" w:space="0" w:color="E0301E"/>
              <w:right w:val="nil"/>
            </w:tcBorders>
            <w:shd w:val="clear" w:color="auto" w:fill="auto"/>
            <w:noWrap/>
            <w:vAlign w:val="bottom"/>
            <w:hideMark/>
          </w:tcPr>
          <w:p w14:paraId="608C76F1" w14:textId="77777777" w:rsidR="005A6F29" w:rsidRPr="00EC326F" w:rsidRDefault="005A6F29" w:rsidP="00420601">
            <w:pPr>
              <w:pStyle w:val="TableTextSmall"/>
              <w:jc w:val="center"/>
              <w:rPr>
                <w:b/>
              </w:rPr>
            </w:pPr>
            <w:r w:rsidRPr="00EC326F">
              <w:rPr>
                <w:b/>
              </w:rPr>
              <w:t>5.0</w:t>
            </w:r>
          </w:p>
        </w:tc>
        <w:tc>
          <w:tcPr>
            <w:tcW w:w="1095" w:type="dxa"/>
            <w:tcBorders>
              <w:top w:val="single" w:sz="4" w:space="0" w:color="E0301E"/>
              <w:left w:val="nil"/>
              <w:bottom w:val="single" w:sz="4" w:space="0" w:color="E0301E"/>
              <w:right w:val="nil"/>
            </w:tcBorders>
            <w:shd w:val="clear" w:color="auto" w:fill="auto"/>
            <w:noWrap/>
            <w:vAlign w:val="bottom"/>
            <w:hideMark/>
          </w:tcPr>
          <w:p w14:paraId="07BBF89C" w14:textId="77777777" w:rsidR="005A6F29" w:rsidRPr="00EC326F" w:rsidRDefault="005A6F29" w:rsidP="00420601">
            <w:pPr>
              <w:pStyle w:val="TableTextSmall"/>
              <w:jc w:val="center"/>
              <w:rPr>
                <w:b/>
              </w:rPr>
            </w:pPr>
            <w:r w:rsidRPr="00EC326F">
              <w:rPr>
                <w:b/>
              </w:rPr>
              <w:t>5.0</w:t>
            </w:r>
          </w:p>
        </w:tc>
        <w:tc>
          <w:tcPr>
            <w:tcW w:w="1224" w:type="dxa"/>
            <w:tcBorders>
              <w:top w:val="single" w:sz="4" w:space="0" w:color="E0301E"/>
              <w:left w:val="nil"/>
              <w:bottom w:val="single" w:sz="4" w:space="0" w:color="E0301E"/>
              <w:right w:val="nil"/>
            </w:tcBorders>
            <w:shd w:val="clear" w:color="auto" w:fill="auto"/>
            <w:noWrap/>
            <w:vAlign w:val="bottom"/>
            <w:hideMark/>
          </w:tcPr>
          <w:p w14:paraId="513D3237" w14:textId="77777777" w:rsidR="005A6F29" w:rsidRPr="00EC326F" w:rsidRDefault="005A6F29" w:rsidP="00420601">
            <w:pPr>
              <w:pStyle w:val="TableTextSmall"/>
              <w:jc w:val="center"/>
              <w:rPr>
                <w:b/>
              </w:rPr>
            </w:pPr>
            <w:r w:rsidRPr="00EC326F">
              <w:rPr>
                <w:b/>
              </w:rPr>
              <w:t>5.5</w:t>
            </w:r>
          </w:p>
        </w:tc>
        <w:tc>
          <w:tcPr>
            <w:tcW w:w="1225" w:type="dxa"/>
            <w:tcBorders>
              <w:top w:val="single" w:sz="4" w:space="0" w:color="E0301E"/>
              <w:left w:val="nil"/>
              <w:bottom w:val="single" w:sz="4" w:space="0" w:color="E0301E"/>
              <w:right w:val="single" w:sz="4" w:space="0" w:color="E0301E"/>
            </w:tcBorders>
            <w:shd w:val="clear" w:color="auto" w:fill="auto"/>
            <w:noWrap/>
            <w:vAlign w:val="bottom"/>
            <w:hideMark/>
          </w:tcPr>
          <w:p w14:paraId="33BC5501" w14:textId="77777777" w:rsidR="005A6F29" w:rsidRPr="00EC326F" w:rsidRDefault="005A6F29" w:rsidP="00420601">
            <w:pPr>
              <w:pStyle w:val="TableTextSmall"/>
              <w:jc w:val="center"/>
              <w:rPr>
                <w:b/>
              </w:rPr>
            </w:pPr>
            <w:r w:rsidRPr="00EC326F">
              <w:rPr>
                <w:b/>
              </w:rPr>
              <w:t>24.0</w:t>
            </w:r>
          </w:p>
        </w:tc>
      </w:tr>
    </w:tbl>
    <w:p w14:paraId="5D894929" w14:textId="77777777" w:rsidR="00F36F13" w:rsidRPr="00EC326F" w:rsidRDefault="00F36F13" w:rsidP="00F36F13">
      <w:pPr>
        <w:pStyle w:val="Sources"/>
      </w:pPr>
      <w:r w:rsidRPr="00EC326F">
        <w:t xml:space="preserve">Note that </w:t>
      </w:r>
      <w:r w:rsidR="00AC6E4B" w:rsidRPr="00EC326F">
        <w:t xml:space="preserve">people living overseas have been excluded and </w:t>
      </w:r>
      <w:r w:rsidRPr="00EC326F">
        <w:t>the total column does not equal the sum across the SEIFA quintiles due to the SEIFA quintile being missing for a small number of people in the data.</w:t>
      </w:r>
    </w:p>
    <w:p w14:paraId="76C88C46" w14:textId="77777777" w:rsidR="00F36F13" w:rsidRDefault="00F36F13" w:rsidP="00F36F13">
      <w:pPr>
        <w:pStyle w:val="Caption"/>
      </w:pPr>
      <w:r w:rsidRPr="00EC326F">
        <w:t xml:space="preserve">Table </w:t>
      </w:r>
      <w:fldSimple w:instr=" SEQ Table \* ARABIC ">
        <w:r w:rsidR="007A42DF">
          <w:rPr>
            <w:noProof/>
          </w:rPr>
          <w:t>59</w:t>
        </w:r>
      </w:fldSimple>
      <w:r w:rsidRPr="00EC326F">
        <w:t>: Income support utilisation by location category and SEIFA quintile</w:t>
      </w:r>
    </w:p>
    <w:tbl>
      <w:tblPr>
        <w:tblW w:w="9781" w:type="dxa"/>
        <w:tblInd w:w="108" w:type="dxa"/>
        <w:tblLayout w:type="fixed"/>
        <w:tblLook w:val="04A0" w:firstRow="1" w:lastRow="0" w:firstColumn="1" w:lastColumn="0" w:noHBand="0" w:noVBand="1"/>
        <w:tblCaption w:val="Income support utilisation by location category and SEIFA quintile"/>
        <w:tblDescription w:val="This table shows the proportion of the population who utilise one of the income support classes by location category and SEIFA quintile.&#10;&#10;The columns show the SEIFA quintile: 0-20%, 20-40%, 40-60%, 60-80%, 80-100% and total. The rows show the location category: major cities of Australia, inner regional Australia, outer regional Australia, remote Australia and Total.&#10;&#10;Overall, people in the lowest SEIFA quintile are more likely to be receiving income support payments (30% compared to 24% across the population). Income support utilisation decreases consistently across SEIFA quintiles with 18% in the highest quintile.  Utilisation does not increase consistently with remoteness.&#10;"/>
      </w:tblPr>
      <w:tblGrid>
        <w:gridCol w:w="2436"/>
        <w:gridCol w:w="1224"/>
        <w:gridCol w:w="1224"/>
        <w:gridCol w:w="1353"/>
        <w:gridCol w:w="1095"/>
        <w:gridCol w:w="1224"/>
        <w:gridCol w:w="1225"/>
      </w:tblGrid>
      <w:tr w:rsidR="005A6F29" w:rsidRPr="00EC326F" w14:paraId="672525EB" w14:textId="77777777" w:rsidTr="005A6F29">
        <w:trPr>
          <w:trHeight w:val="300"/>
          <w:tblHeader/>
        </w:trPr>
        <w:tc>
          <w:tcPr>
            <w:tcW w:w="2436" w:type="dxa"/>
            <w:tcBorders>
              <w:top w:val="nil"/>
              <w:left w:val="nil"/>
              <w:bottom w:val="nil"/>
              <w:right w:val="nil"/>
            </w:tcBorders>
            <w:shd w:val="clear" w:color="000000" w:fill="E0301E"/>
            <w:noWrap/>
            <w:vAlign w:val="bottom"/>
          </w:tcPr>
          <w:p w14:paraId="1B1AAE81" w14:textId="77777777" w:rsidR="005A6F29" w:rsidRPr="00EC326F" w:rsidRDefault="005A6F29" w:rsidP="00420601">
            <w:pPr>
              <w:pStyle w:val="TableTextSmall"/>
              <w:rPr>
                <w:rFonts w:asciiTheme="majorHAnsi" w:hAnsiTheme="majorHAnsi"/>
                <w:b/>
                <w:snapToGrid/>
                <w:color w:val="FFFFFF" w:themeColor="background1"/>
                <w:lang w:eastAsia="en-AU"/>
              </w:rPr>
            </w:pPr>
          </w:p>
        </w:tc>
        <w:tc>
          <w:tcPr>
            <w:tcW w:w="1224" w:type="dxa"/>
            <w:tcBorders>
              <w:top w:val="nil"/>
              <w:left w:val="nil"/>
              <w:bottom w:val="nil"/>
              <w:right w:val="nil"/>
            </w:tcBorders>
            <w:shd w:val="clear" w:color="000000" w:fill="E0301E"/>
            <w:noWrap/>
            <w:vAlign w:val="bottom"/>
          </w:tcPr>
          <w:p w14:paraId="69A53FFC" w14:textId="77777777" w:rsidR="005A6F29" w:rsidRPr="00EC326F" w:rsidRDefault="005A6F29" w:rsidP="00420601">
            <w:pPr>
              <w:pStyle w:val="TableTextSmall"/>
              <w:jc w:val="center"/>
              <w:rPr>
                <w:rFonts w:asciiTheme="majorHAnsi" w:hAnsiTheme="majorHAnsi"/>
                <w:b/>
                <w:snapToGrid/>
                <w:color w:val="FFFFFF" w:themeColor="background1"/>
                <w:lang w:eastAsia="en-AU"/>
              </w:rPr>
            </w:pPr>
          </w:p>
        </w:tc>
        <w:tc>
          <w:tcPr>
            <w:tcW w:w="1224" w:type="dxa"/>
            <w:tcBorders>
              <w:top w:val="nil"/>
              <w:left w:val="nil"/>
              <w:bottom w:val="nil"/>
              <w:right w:val="nil"/>
            </w:tcBorders>
            <w:shd w:val="clear" w:color="000000" w:fill="E0301E"/>
            <w:noWrap/>
            <w:vAlign w:val="bottom"/>
          </w:tcPr>
          <w:p w14:paraId="03949E70" w14:textId="77777777" w:rsidR="005A6F29" w:rsidRPr="00EC326F" w:rsidRDefault="005A6F29" w:rsidP="00420601">
            <w:pPr>
              <w:pStyle w:val="TableTextSmall"/>
              <w:jc w:val="center"/>
              <w:rPr>
                <w:rFonts w:asciiTheme="majorHAnsi" w:hAnsiTheme="majorHAnsi"/>
                <w:b/>
                <w:snapToGrid/>
                <w:color w:val="FFFFFF" w:themeColor="background1"/>
                <w:lang w:eastAsia="en-AU"/>
              </w:rPr>
            </w:pPr>
          </w:p>
        </w:tc>
        <w:tc>
          <w:tcPr>
            <w:tcW w:w="1353" w:type="dxa"/>
            <w:tcBorders>
              <w:top w:val="nil"/>
              <w:left w:val="nil"/>
              <w:bottom w:val="nil"/>
              <w:right w:val="nil"/>
            </w:tcBorders>
            <w:shd w:val="clear" w:color="000000" w:fill="E0301E"/>
            <w:noWrap/>
            <w:vAlign w:val="bottom"/>
          </w:tcPr>
          <w:p w14:paraId="778ED3C6"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SEIFA quintile</w:t>
            </w:r>
          </w:p>
        </w:tc>
        <w:tc>
          <w:tcPr>
            <w:tcW w:w="1095" w:type="dxa"/>
            <w:tcBorders>
              <w:top w:val="nil"/>
              <w:left w:val="nil"/>
              <w:bottom w:val="nil"/>
              <w:right w:val="nil"/>
            </w:tcBorders>
            <w:shd w:val="clear" w:color="000000" w:fill="E0301E"/>
            <w:noWrap/>
            <w:vAlign w:val="bottom"/>
          </w:tcPr>
          <w:p w14:paraId="3D5F4FC3" w14:textId="77777777" w:rsidR="005A6F29" w:rsidRPr="00EC326F" w:rsidRDefault="005A6F29" w:rsidP="00420601">
            <w:pPr>
              <w:pStyle w:val="TableTextSmall"/>
              <w:jc w:val="center"/>
              <w:rPr>
                <w:rFonts w:asciiTheme="majorHAnsi" w:hAnsiTheme="majorHAnsi"/>
                <w:b/>
                <w:snapToGrid/>
                <w:color w:val="FFFFFF" w:themeColor="background1"/>
                <w:lang w:eastAsia="en-AU"/>
              </w:rPr>
            </w:pPr>
          </w:p>
        </w:tc>
        <w:tc>
          <w:tcPr>
            <w:tcW w:w="1224" w:type="dxa"/>
            <w:tcBorders>
              <w:top w:val="nil"/>
              <w:left w:val="nil"/>
              <w:bottom w:val="nil"/>
              <w:right w:val="nil"/>
            </w:tcBorders>
            <w:shd w:val="clear" w:color="000000" w:fill="E0301E"/>
            <w:noWrap/>
            <w:vAlign w:val="bottom"/>
          </w:tcPr>
          <w:p w14:paraId="0C83B6FF" w14:textId="77777777" w:rsidR="005A6F29" w:rsidRPr="00EC326F" w:rsidRDefault="005A6F29" w:rsidP="00420601">
            <w:pPr>
              <w:pStyle w:val="TableTextSmall"/>
              <w:jc w:val="center"/>
              <w:rPr>
                <w:rFonts w:asciiTheme="majorHAnsi" w:hAnsiTheme="majorHAnsi"/>
                <w:b/>
                <w:snapToGrid/>
                <w:color w:val="FFFFFF" w:themeColor="background1"/>
                <w:lang w:eastAsia="en-AU"/>
              </w:rPr>
            </w:pPr>
          </w:p>
        </w:tc>
        <w:tc>
          <w:tcPr>
            <w:tcW w:w="1225" w:type="dxa"/>
            <w:tcBorders>
              <w:top w:val="nil"/>
              <w:left w:val="nil"/>
              <w:bottom w:val="nil"/>
              <w:right w:val="nil"/>
            </w:tcBorders>
            <w:shd w:val="clear" w:color="000000" w:fill="E0301E"/>
            <w:noWrap/>
            <w:vAlign w:val="bottom"/>
          </w:tcPr>
          <w:p w14:paraId="34100F3B" w14:textId="77777777" w:rsidR="005A6F29" w:rsidRPr="00EC326F" w:rsidRDefault="005A6F29" w:rsidP="00420601">
            <w:pPr>
              <w:pStyle w:val="TableTextSmall"/>
              <w:jc w:val="center"/>
              <w:rPr>
                <w:rFonts w:asciiTheme="majorHAnsi" w:hAnsiTheme="majorHAnsi"/>
                <w:b/>
                <w:snapToGrid/>
                <w:color w:val="FFFFFF" w:themeColor="background1"/>
                <w:lang w:eastAsia="en-AU"/>
              </w:rPr>
            </w:pPr>
          </w:p>
        </w:tc>
      </w:tr>
      <w:tr w:rsidR="005A6F29" w:rsidRPr="00EC326F" w14:paraId="51536400" w14:textId="77777777" w:rsidTr="005A6F29">
        <w:trPr>
          <w:trHeight w:val="300"/>
          <w:tblHeader/>
        </w:trPr>
        <w:tc>
          <w:tcPr>
            <w:tcW w:w="2436" w:type="dxa"/>
            <w:tcBorders>
              <w:top w:val="nil"/>
              <w:left w:val="nil"/>
              <w:bottom w:val="nil"/>
              <w:right w:val="nil"/>
            </w:tcBorders>
            <w:shd w:val="clear" w:color="000000" w:fill="E0301E"/>
            <w:noWrap/>
            <w:vAlign w:val="bottom"/>
            <w:hideMark/>
          </w:tcPr>
          <w:p w14:paraId="172CA042" w14:textId="77777777" w:rsidR="005A6F29" w:rsidRPr="00EC326F" w:rsidRDefault="005A6F29" w:rsidP="00420601">
            <w:pPr>
              <w:pStyle w:val="TableTextSmall"/>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Location category</w:t>
            </w:r>
          </w:p>
        </w:tc>
        <w:tc>
          <w:tcPr>
            <w:tcW w:w="1224" w:type="dxa"/>
            <w:tcBorders>
              <w:top w:val="nil"/>
              <w:left w:val="nil"/>
              <w:bottom w:val="nil"/>
              <w:right w:val="nil"/>
            </w:tcBorders>
            <w:shd w:val="clear" w:color="000000" w:fill="E0301E"/>
            <w:noWrap/>
            <w:vAlign w:val="bottom"/>
            <w:hideMark/>
          </w:tcPr>
          <w:p w14:paraId="260CCF6E"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0-20%</w:t>
            </w:r>
          </w:p>
        </w:tc>
        <w:tc>
          <w:tcPr>
            <w:tcW w:w="1224" w:type="dxa"/>
            <w:tcBorders>
              <w:top w:val="nil"/>
              <w:left w:val="nil"/>
              <w:bottom w:val="nil"/>
              <w:right w:val="nil"/>
            </w:tcBorders>
            <w:shd w:val="clear" w:color="000000" w:fill="E0301E"/>
            <w:noWrap/>
            <w:vAlign w:val="bottom"/>
            <w:hideMark/>
          </w:tcPr>
          <w:p w14:paraId="547E856D"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20-40%</w:t>
            </w:r>
          </w:p>
        </w:tc>
        <w:tc>
          <w:tcPr>
            <w:tcW w:w="1353" w:type="dxa"/>
            <w:tcBorders>
              <w:top w:val="nil"/>
              <w:left w:val="nil"/>
              <w:bottom w:val="nil"/>
              <w:right w:val="nil"/>
            </w:tcBorders>
            <w:shd w:val="clear" w:color="000000" w:fill="E0301E"/>
            <w:noWrap/>
            <w:vAlign w:val="bottom"/>
            <w:hideMark/>
          </w:tcPr>
          <w:p w14:paraId="14D197F8"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40-60%</w:t>
            </w:r>
          </w:p>
        </w:tc>
        <w:tc>
          <w:tcPr>
            <w:tcW w:w="1095" w:type="dxa"/>
            <w:tcBorders>
              <w:top w:val="nil"/>
              <w:left w:val="nil"/>
              <w:bottom w:val="nil"/>
              <w:right w:val="nil"/>
            </w:tcBorders>
            <w:shd w:val="clear" w:color="000000" w:fill="E0301E"/>
            <w:noWrap/>
            <w:vAlign w:val="bottom"/>
            <w:hideMark/>
          </w:tcPr>
          <w:p w14:paraId="47BFB1C0"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60-80%</w:t>
            </w:r>
          </w:p>
        </w:tc>
        <w:tc>
          <w:tcPr>
            <w:tcW w:w="1224" w:type="dxa"/>
            <w:tcBorders>
              <w:top w:val="nil"/>
              <w:left w:val="nil"/>
              <w:bottom w:val="nil"/>
              <w:right w:val="nil"/>
            </w:tcBorders>
            <w:shd w:val="clear" w:color="000000" w:fill="E0301E"/>
            <w:noWrap/>
            <w:vAlign w:val="bottom"/>
            <w:hideMark/>
          </w:tcPr>
          <w:p w14:paraId="2012F67B"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80-100%</w:t>
            </w:r>
          </w:p>
        </w:tc>
        <w:tc>
          <w:tcPr>
            <w:tcW w:w="1225" w:type="dxa"/>
            <w:tcBorders>
              <w:top w:val="nil"/>
              <w:left w:val="nil"/>
              <w:bottom w:val="nil"/>
              <w:right w:val="nil"/>
            </w:tcBorders>
            <w:shd w:val="clear" w:color="000000" w:fill="E0301E"/>
            <w:noWrap/>
            <w:vAlign w:val="bottom"/>
            <w:hideMark/>
          </w:tcPr>
          <w:p w14:paraId="12869D76" w14:textId="77777777" w:rsidR="005A6F29" w:rsidRPr="00EC326F" w:rsidRDefault="005A6F29"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Total</w:t>
            </w:r>
          </w:p>
        </w:tc>
      </w:tr>
      <w:tr w:rsidR="005A6F29" w:rsidRPr="00EC326F" w14:paraId="1F67EA4A" w14:textId="77777777" w:rsidTr="00420601">
        <w:trPr>
          <w:trHeight w:val="300"/>
        </w:trPr>
        <w:tc>
          <w:tcPr>
            <w:tcW w:w="2436" w:type="dxa"/>
            <w:tcBorders>
              <w:top w:val="nil"/>
              <w:left w:val="single" w:sz="4" w:space="0" w:color="E0301E"/>
              <w:bottom w:val="single" w:sz="4" w:space="0" w:color="E0301E"/>
              <w:right w:val="nil"/>
            </w:tcBorders>
            <w:shd w:val="clear" w:color="auto" w:fill="auto"/>
            <w:noWrap/>
            <w:vAlign w:val="bottom"/>
            <w:hideMark/>
          </w:tcPr>
          <w:p w14:paraId="07302D51" w14:textId="77777777" w:rsidR="005A6F29" w:rsidRPr="00EC326F" w:rsidRDefault="005A6F29" w:rsidP="00420601">
            <w:pPr>
              <w:pStyle w:val="TableTextSmall"/>
              <w:rPr>
                <w:b/>
              </w:rPr>
            </w:pPr>
            <w:r w:rsidRPr="00EC326F">
              <w:rPr>
                <w:b/>
              </w:rPr>
              <w:t>Major Cities of Australia</w:t>
            </w:r>
          </w:p>
        </w:tc>
        <w:tc>
          <w:tcPr>
            <w:tcW w:w="1224" w:type="dxa"/>
            <w:tcBorders>
              <w:top w:val="nil"/>
              <w:left w:val="nil"/>
              <w:bottom w:val="single" w:sz="4" w:space="0" w:color="E0301E"/>
              <w:right w:val="nil"/>
            </w:tcBorders>
            <w:shd w:val="clear" w:color="000000" w:fill="FA8A72"/>
            <w:noWrap/>
            <w:vAlign w:val="bottom"/>
            <w:hideMark/>
          </w:tcPr>
          <w:p w14:paraId="5E4743AE" w14:textId="77777777" w:rsidR="005A6F29" w:rsidRPr="00EC326F" w:rsidRDefault="005A6F29" w:rsidP="00420601">
            <w:pPr>
              <w:pStyle w:val="TableTextSmall"/>
              <w:jc w:val="center"/>
            </w:pPr>
            <w:r w:rsidRPr="00EC326F">
              <w:t>28%</w:t>
            </w:r>
          </w:p>
        </w:tc>
        <w:tc>
          <w:tcPr>
            <w:tcW w:w="1224" w:type="dxa"/>
            <w:tcBorders>
              <w:top w:val="nil"/>
              <w:left w:val="nil"/>
              <w:bottom w:val="single" w:sz="4" w:space="0" w:color="E0301E"/>
              <w:right w:val="nil"/>
            </w:tcBorders>
            <w:shd w:val="clear" w:color="000000" w:fill="FDBD7C"/>
            <w:noWrap/>
            <w:vAlign w:val="bottom"/>
            <w:hideMark/>
          </w:tcPr>
          <w:p w14:paraId="6EFC6072" w14:textId="77777777" w:rsidR="005A6F29" w:rsidRPr="00EC326F" w:rsidRDefault="005A6F29" w:rsidP="00420601">
            <w:pPr>
              <w:pStyle w:val="TableTextSmall"/>
              <w:jc w:val="center"/>
            </w:pPr>
            <w:r w:rsidRPr="00EC326F">
              <w:t>26%</w:t>
            </w:r>
          </w:p>
        </w:tc>
        <w:tc>
          <w:tcPr>
            <w:tcW w:w="1353" w:type="dxa"/>
            <w:tcBorders>
              <w:top w:val="nil"/>
              <w:left w:val="nil"/>
              <w:bottom w:val="single" w:sz="4" w:space="0" w:color="E0301E"/>
              <w:right w:val="nil"/>
            </w:tcBorders>
            <w:shd w:val="clear" w:color="000000" w:fill="F2E783"/>
            <w:noWrap/>
            <w:vAlign w:val="bottom"/>
            <w:hideMark/>
          </w:tcPr>
          <w:p w14:paraId="630CE761" w14:textId="77777777" w:rsidR="005A6F29" w:rsidRPr="00EC326F" w:rsidRDefault="005A6F29" w:rsidP="00420601">
            <w:pPr>
              <w:pStyle w:val="TableTextSmall"/>
              <w:jc w:val="center"/>
            </w:pPr>
            <w:r w:rsidRPr="00EC326F">
              <w:t>22%</w:t>
            </w:r>
          </w:p>
        </w:tc>
        <w:tc>
          <w:tcPr>
            <w:tcW w:w="1095" w:type="dxa"/>
            <w:tcBorders>
              <w:top w:val="nil"/>
              <w:left w:val="nil"/>
              <w:bottom w:val="single" w:sz="4" w:space="0" w:color="E0301E"/>
              <w:right w:val="nil"/>
            </w:tcBorders>
            <w:shd w:val="clear" w:color="000000" w:fill="DBE081"/>
            <w:noWrap/>
            <w:vAlign w:val="bottom"/>
            <w:hideMark/>
          </w:tcPr>
          <w:p w14:paraId="011558B9" w14:textId="77777777" w:rsidR="005A6F29" w:rsidRPr="00EC326F" w:rsidRDefault="005A6F29" w:rsidP="00420601">
            <w:pPr>
              <w:pStyle w:val="TableTextSmall"/>
              <w:jc w:val="center"/>
            </w:pPr>
            <w:r w:rsidRPr="00EC326F">
              <w:t>20%</w:t>
            </w:r>
          </w:p>
        </w:tc>
        <w:tc>
          <w:tcPr>
            <w:tcW w:w="1224" w:type="dxa"/>
            <w:tcBorders>
              <w:top w:val="nil"/>
              <w:left w:val="nil"/>
              <w:bottom w:val="single" w:sz="4" w:space="0" w:color="E0301E"/>
              <w:right w:val="nil"/>
            </w:tcBorders>
            <w:shd w:val="clear" w:color="000000" w:fill="CBDC81"/>
            <w:noWrap/>
            <w:vAlign w:val="bottom"/>
            <w:hideMark/>
          </w:tcPr>
          <w:p w14:paraId="2AF95493" w14:textId="77777777" w:rsidR="005A6F29" w:rsidRPr="00EC326F" w:rsidRDefault="005A6F29" w:rsidP="00420601">
            <w:pPr>
              <w:pStyle w:val="TableTextSmall"/>
              <w:jc w:val="center"/>
            </w:pPr>
            <w:r w:rsidRPr="00EC326F">
              <w:t>18%</w:t>
            </w:r>
          </w:p>
        </w:tc>
        <w:tc>
          <w:tcPr>
            <w:tcW w:w="1225" w:type="dxa"/>
            <w:tcBorders>
              <w:top w:val="nil"/>
              <w:left w:val="nil"/>
              <w:bottom w:val="single" w:sz="4" w:space="0" w:color="E0301E"/>
              <w:right w:val="single" w:sz="4" w:space="0" w:color="E0301E"/>
            </w:tcBorders>
            <w:shd w:val="clear" w:color="000000" w:fill="EBE582"/>
            <w:noWrap/>
            <w:vAlign w:val="bottom"/>
            <w:hideMark/>
          </w:tcPr>
          <w:p w14:paraId="3A2E5B0E" w14:textId="77777777" w:rsidR="005A6F29" w:rsidRPr="00EC326F" w:rsidRDefault="005A6F29" w:rsidP="00420601">
            <w:pPr>
              <w:pStyle w:val="TableTextSmall"/>
              <w:jc w:val="center"/>
              <w:rPr>
                <w:b/>
              </w:rPr>
            </w:pPr>
            <w:r w:rsidRPr="00EC326F">
              <w:rPr>
                <w:b/>
              </w:rPr>
              <w:t>22%</w:t>
            </w:r>
          </w:p>
        </w:tc>
      </w:tr>
      <w:tr w:rsidR="005A6F29" w:rsidRPr="00EC326F" w14:paraId="317DE0F2" w14:textId="77777777" w:rsidTr="00420601">
        <w:trPr>
          <w:trHeight w:val="300"/>
        </w:trPr>
        <w:tc>
          <w:tcPr>
            <w:tcW w:w="2436" w:type="dxa"/>
            <w:tcBorders>
              <w:top w:val="nil"/>
              <w:left w:val="single" w:sz="4" w:space="0" w:color="E0301E"/>
              <w:bottom w:val="single" w:sz="4" w:space="0" w:color="E0301E"/>
              <w:right w:val="nil"/>
            </w:tcBorders>
            <w:shd w:val="clear" w:color="auto" w:fill="auto"/>
            <w:noWrap/>
            <w:vAlign w:val="bottom"/>
            <w:hideMark/>
          </w:tcPr>
          <w:p w14:paraId="7093CB88" w14:textId="77777777" w:rsidR="005A6F29" w:rsidRPr="00EC326F" w:rsidRDefault="005A6F29" w:rsidP="00420601">
            <w:pPr>
              <w:pStyle w:val="TableTextSmall"/>
              <w:rPr>
                <w:b/>
              </w:rPr>
            </w:pPr>
            <w:r w:rsidRPr="00EC326F">
              <w:rPr>
                <w:b/>
              </w:rPr>
              <w:t>Inner Regional Australia</w:t>
            </w:r>
          </w:p>
        </w:tc>
        <w:tc>
          <w:tcPr>
            <w:tcW w:w="1224" w:type="dxa"/>
            <w:tcBorders>
              <w:top w:val="single" w:sz="4" w:space="0" w:color="E0301E"/>
              <w:left w:val="nil"/>
              <w:bottom w:val="single" w:sz="4" w:space="0" w:color="E0301E"/>
              <w:right w:val="nil"/>
            </w:tcBorders>
            <w:shd w:val="clear" w:color="000000" w:fill="F8696B"/>
            <w:noWrap/>
            <w:vAlign w:val="bottom"/>
            <w:hideMark/>
          </w:tcPr>
          <w:p w14:paraId="70F41883" w14:textId="77777777" w:rsidR="005A6F29" w:rsidRPr="00EC326F" w:rsidRDefault="005A6F29" w:rsidP="00420601">
            <w:pPr>
              <w:pStyle w:val="TableTextSmall"/>
              <w:jc w:val="center"/>
            </w:pPr>
            <w:r w:rsidRPr="00EC326F">
              <w:t>34%</w:t>
            </w:r>
          </w:p>
        </w:tc>
        <w:tc>
          <w:tcPr>
            <w:tcW w:w="1224" w:type="dxa"/>
            <w:tcBorders>
              <w:top w:val="single" w:sz="4" w:space="0" w:color="E0301E"/>
              <w:left w:val="nil"/>
              <w:bottom w:val="single" w:sz="4" w:space="0" w:color="E0301E"/>
              <w:right w:val="nil"/>
            </w:tcBorders>
            <w:shd w:val="clear" w:color="000000" w:fill="FA7F70"/>
            <w:noWrap/>
            <w:vAlign w:val="bottom"/>
            <w:hideMark/>
          </w:tcPr>
          <w:p w14:paraId="5F5D6062" w14:textId="77777777" w:rsidR="005A6F29" w:rsidRPr="00EC326F" w:rsidRDefault="005A6F29" w:rsidP="00420601">
            <w:pPr>
              <w:pStyle w:val="TableTextSmall"/>
              <w:jc w:val="center"/>
            </w:pPr>
            <w:r w:rsidRPr="00EC326F">
              <w:t>29%</w:t>
            </w:r>
          </w:p>
        </w:tc>
        <w:tc>
          <w:tcPr>
            <w:tcW w:w="1353" w:type="dxa"/>
            <w:tcBorders>
              <w:top w:val="single" w:sz="4" w:space="0" w:color="E0301E"/>
              <w:left w:val="nil"/>
              <w:bottom w:val="single" w:sz="4" w:space="0" w:color="E0301E"/>
              <w:right w:val="nil"/>
            </w:tcBorders>
            <w:shd w:val="clear" w:color="000000" w:fill="F96F6D"/>
            <w:noWrap/>
            <w:vAlign w:val="bottom"/>
            <w:hideMark/>
          </w:tcPr>
          <w:p w14:paraId="1C47871D" w14:textId="77777777" w:rsidR="005A6F29" w:rsidRPr="00EC326F" w:rsidRDefault="005A6F29" w:rsidP="00420601">
            <w:pPr>
              <w:pStyle w:val="TableTextSmall"/>
              <w:jc w:val="center"/>
            </w:pPr>
            <w:r w:rsidRPr="00EC326F">
              <w:t>29%</w:t>
            </w:r>
          </w:p>
        </w:tc>
        <w:tc>
          <w:tcPr>
            <w:tcW w:w="1095" w:type="dxa"/>
            <w:tcBorders>
              <w:top w:val="single" w:sz="4" w:space="0" w:color="E0301E"/>
              <w:left w:val="nil"/>
              <w:bottom w:val="single" w:sz="4" w:space="0" w:color="E0301E"/>
              <w:right w:val="nil"/>
            </w:tcBorders>
            <w:shd w:val="clear" w:color="000000" w:fill="FFE583"/>
            <w:noWrap/>
            <w:vAlign w:val="bottom"/>
            <w:hideMark/>
          </w:tcPr>
          <w:p w14:paraId="7F173282" w14:textId="77777777" w:rsidR="005A6F29" w:rsidRPr="00EC326F" w:rsidRDefault="005A6F29" w:rsidP="00420601">
            <w:pPr>
              <w:pStyle w:val="TableTextSmall"/>
              <w:jc w:val="center"/>
            </w:pPr>
            <w:r w:rsidRPr="00EC326F">
              <w:t>24%</w:t>
            </w:r>
          </w:p>
        </w:tc>
        <w:tc>
          <w:tcPr>
            <w:tcW w:w="1224" w:type="dxa"/>
            <w:tcBorders>
              <w:top w:val="single" w:sz="4" w:space="0" w:color="E0301E"/>
              <w:left w:val="nil"/>
              <w:bottom w:val="single" w:sz="4" w:space="0" w:color="E0301E"/>
              <w:right w:val="nil"/>
            </w:tcBorders>
            <w:shd w:val="clear" w:color="000000" w:fill="C6DA80"/>
            <w:noWrap/>
            <w:vAlign w:val="bottom"/>
            <w:hideMark/>
          </w:tcPr>
          <w:p w14:paraId="37F9904D" w14:textId="77777777" w:rsidR="005A6F29" w:rsidRPr="00EC326F" w:rsidRDefault="005A6F29" w:rsidP="00420601">
            <w:pPr>
              <w:pStyle w:val="TableTextSmall"/>
              <w:jc w:val="center"/>
            </w:pPr>
            <w:r w:rsidRPr="00EC326F">
              <w:t>17%</w:t>
            </w:r>
          </w:p>
        </w:tc>
        <w:tc>
          <w:tcPr>
            <w:tcW w:w="1225" w:type="dxa"/>
            <w:tcBorders>
              <w:top w:val="single" w:sz="4" w:space="0" w:color="E0301E"/>
              <w:left w:val="nil"/>
              <w:bottom w:val="single" w:sz="4" w:space="0" w:color="E0301E"/>
              <w:right w:val="single" w:sz="4" w:space="0" w:color="E0301E"/>
            </w:tcBorders>
            <w:shd w:val="clear" w:color="000000" w:fill="F9746E"/>
            <w:noWrap/>
            <w:vAlign w:val="bottom"/>
            <w:hideMark/>
          </w:tcPr>
          <w:p w14:paraId="7C21A32D" w14:textId="77777777" w:rsidR="005A6F29" w:rsidRPr="00EC326F" w:rsidRDefault="005A6F29" w:rsidP="00420601">
            <w:pPr>
              <w:pStyle w:val="TableTextSmall"/>
              <w:jc w:val="center"/>
              <w:rPr>
                <w:b/>
              </w:rPr>
            </w:pPr>
            <w:r w:rsidRPr="00EC326F">
              <w:rPr>
                <w:b/>
              </w:rPr>
              <w:t>29%</w:t>
            </w:r>
          </w:p>
        </w:tc>
      </w:tr>
      <w:tr w:rsidR="005A6F29" w:rsidRPr="00EC326F" w14:paraId="1AAB4FB3" w14:textId="77777777" w:rsidTr="00420601">
        <w:trPr>
          <w:trHeight w:val="300"/>
        </w:trPr>
        <w:tc>
          <w:tcPr>
            <w:tcW w:w="2436" w:type="dxa"/>
            <w:tcBorders>
              <w:top w:val="nil"/>
              <w:left w:val="single" w:sz="4" w:space="0" w:color="E0301E"/>
              <w:bottom w:val="single" w:sz="4" w:space="0" w:color="E0301E"/>
              <w:right w:val="nil"/>
            </w:tcBorders>
            <w:shd w:val="clear" w:color="auto" w:fill="auto"/>
            <w:noWrap/>
            <w:vAlign w:val="bottom"/>
            <w:hideMark/>
          </w:tcPr>
          <w:p w14:paraId="452B7776" w14:textId="77777777" w:rsidR="005A6F29" w:rsidRPr="00EC326F" w:rsidRDefault="005A6F29" w:rsidP="00420601">
            <w:pPr>
              <w:pStyle w:val="TableTextSmall"/>
              <w:rPr>
                <w:b/>
              </w:rPr>
            </w:pPr>
            <w:r w:rsidRPr="00EC326F">
              <w:rPr>
                <w:b/>
              </w:rPr>
              <w:t>Outer Regional Australia</w:t>
            </w:r>
          </w:p>
        </w:tc>
        <w:tc>
          <w:tcPr>
            <w:tcW w:w="1224" w:type="dxa"/>
            <w:tcBorders>
              <w:top w:val="single" w:sz="4" w:space="0" w:color="E0301E"/>
              <w:left w:val="nil"/>
              <w:bottom w:val="single" w:sz="4" w:space="0" w:color="E0301E"/>
              <w:right w:val="nil"/>
            </w:tcBorders>
            <w:shd w:val="clear" w:color="000000" w:fill="F8696B"/>
            <w:noWrap/>
            <w:vAlign w:val="bottom"/>
            <w:hideMark/>
          </w:tcPr>
          <w:p w14:paraId="2F92B1A6" w14:textId="77777777" w:rsidR="005A6F29" w:rsidRPr="00EC326F" w:rsidRDefault="005A6F29" w:rsidP="00420601">
            <w:pPr>
              <w:pStyle w:val="TableTextSmall"/>
              <w:jc w:val="center"/>
            </w:pPr>
            <w:r w:rsidRPr="00EC326F">
              <w:t>32%</w:t>
            </w:r>
          </w:p>
        </w:tc>
        <w:tc>
          <w:tcPr>
            <w:tcW w:w="1224" w:type="dxa"/>
            <w:tcBorders>
              <w:top w:val="single" w:sz="4" w:space="0" w:color="E0301E"/>
              <w:left w:val="nil"/>
              <w:bottom w:val="single" w:sz="4" w:space="0" w:color="E0301E"/>
              <w:right w:val="nil"/>
            </w:tcBorders>
            <w:shd w:val="clear" w:color="000000" w:fill="FDBD7C"/>
            <w:noWrap/>
            <w:vAlign w:val="bottom"/>
            <w:hideMark/>
          </w:tcPr>
          <w:p w14:paraId="29B60798" w14:textId="77777777" w:rsidR="005A6F29" w:rsidRPr="00EC326F" w:rsidRDefault="005A6F29" w:rsidP="00420601">
            <w:pPr>
              <w:pStyle w:val="TableTextSmall"/>
              <w:jc w:val="center"/>
            </w:pPr>
            <w:r w:rsidRPr="00EC326F">
              <w:t>26%</w:t>
            </w:r>
          </w:p>
        </w:tc>
        <w:tc>
          <w:tcPr>
            <w:tcW w:w="1353" w:type="dxa"/>
            <w:tcBorders>
              <w:top w:val="single" w:sz="4" w:space="0" w:color="E0301E"/>
              <w:left w:val="nil"/>
              <w:bottom w:val="single" w:sz="4" w:space="0" w:color="E0301E"/>
              <w:right w:val="nil"/>
            </w:tcBorders>
            <w:shd w:val="clear" w:color="000000" w:fill="FB9975"/>
            <w:noWrap/>
            <w:vAlign w:val="bottom"/>
            <w:hideMark/>
          </w:tcPr>
          <w:p w14:paraId="474E2756" w14:textId="77777777" w:rsidR="005A6F29" w:rsidRPr="00EC326F" w:rsidRDefault="005A6F29" w:rsidP="00420601">
            <w:pPr>
              <w:pStyle w:val="TableTextSmall"/>
              <w:jc w:val="center"/>
            </w:pPr>
            <w:r w:rsidRPr="00EC326F">
              <w:t>28%</w:t>
            </w:r>
          </w:p>
        </w:tc>
        <w:tc>
          <w:tcPr>
            <w:tcW w:w="1095" w:type="dxa"/>
            <w:tcBorders>
              <w:top w:val="single" w:sz="4" w:space="0" w:color="E0301E"/>
              <w:left w:val="nil"/>
              <w:bottom w:val="single" w:sz="4" w:space="0" w:color="E0301E"/>
              <w:right w:val="nil"/>
            </w:tcBorders>
            <w:shd w:val="clear" w:color="000000" w:fill="FDC27C"/>
            <w:noWrap/>
            <w:vAlign w:val="bottom"/>
            <w:hideMark/>
          </w:tcPr>
          <w:p w14:paraId="1C47F545" w14:textId="77777777" w:rsidR="005A6F29" w:rsidRPr="00EC326F" w:rsidRDefault="005A6F29" w:rsidP="00420601">
            <w:pPr>
              <w:pStyle w:val="TableTextSmall"/>
              <w:jc w:val="center"/>
            </w:pPr>
            <w:r w:rsidRPr="00EC326F">
              <w:t>26%</w:t>
            </w:r>
          </w:p>
        </w:tc>
        <w:tc>
          <w:tcPr>
            <w:tcW w:w="1224" w:type="dxa"/>
            <w:tcBorders>
              <w:top w:val="single" w:sz="4" w:space="0" w:color="E0301E"/>
              <w:left w:val="nil"/>
              <w:bottom w:val="single" w:sz="4" w:space="0" w:color="E0301E"/>
              <w:right w:val="nil"/>
            </w:tcBorders>
            <w:shd w:val="clear" w:color="000000" w:fill="91CB7D"/>
            <w:noWrap/>
            <w:vAlign w:val="bottom"/>
            <w:hideMark/>
          </w:tcPr>
          <w:p w14:paraId="0F99288B" w14:textId="77777777" w:rsidR="005A6F29" w:rsidRPr="00EC326F" w:rsidRDefault="005A6F29" w:rsidP="00420601">
            <w:pPr>
              <w:pStyle w:val="TableTextSmall"/>
              <w:jc w:val="center"/>
            </w:pPr>
            <w:r w:rsidRPr="00EC326F">
              <w:t>11%</w:t>
            </w:r>
          </w:p>
        </w:tc>
        <w:tc>
          <w:tcPr>
            <w:tcW w:w="1225" w:type="dxa"/>
            <w:tcBorders>
              <w:top w:val="single" w:sz="4" w:space="0" w:color="E0301E"/>
              <w:left w:val="nil"/>
              <w:bottom w:val="single" w:sz="4" w:space="0" w:color="E0301E"/>
              <w:right w:val="single" w:sz="4" w:space="0" w:color="E0301E"/>
            </w:tcBorders>
            <w:shd w:val="clear" w:color="000000" w:fill="FB9874"/>
            <w:noWrap/>
            <w:vAlign w:val="bottom"/>
            <w:hideMark/>
          </w:tcPr>
          <w:p w14:paraId="01B5131F" w14:textId="77777777" w:rsidR="005A6F29" w:rsidRPr="00EC326F" w:rsidRDefault="005A6F29" w:rsidP="00420601">
            <w:pPr>
              <w:pStyle w:val="TableTextSmall"/>
              <w:jc w:val="center"/>
              <w:rPr>
                <w:b/>
              </w:rPr>
            </w:pPr>
            <w:r w:rsidRPr="00EC326F">
              <w:rPr>
                <w:b/>
              </w:rPr>
              <w:t>28%</w:t>
            </w:r>
          </w:p>
        </w:tc>
      </w:tr>
      <w:tr w:rsidR="005A6F29" w:rsidRPr="00EC326F" w14:paraId="1C67F4A5" w14:textId="77777777" w:rsidTr="00420601">
        <w:trPr>
          <w:trHeight w:val="300"/>
        </w:trPr>
        <w:tc>
          <w:tcPr>
            <w:tcW w:w="2436" w:type="dxa"/>
            <w:tcBorders>
              <w:top w:val="nil"/>
              <w:left w:val="single" w:sz="4" w:space="0" w:color="E0301E"/>
              <w:bottom w:val="single" w:sz="4" w:space="0" w:color="E0301E"/>
              <w:right w:val="nil"/>
            </w:tcBorders>
            <w:shd w:val="clear" w:color="auto" w:fill="auto"/>
            <w:noWrap/>
            <w:vAlign w:val="bottom"/>
            <w:hideMark/>
          </w:tcPr>
          <w:p w14:paraId="391D4BCA" w14:textId="77777777" w:rsidR="005A6F29" w:rsidRPr="00EC326F" w:rsidRDefault="005A6F29" w:rsidP="00420601">
            <w:pPr>
              <w:pStyle w:val="TableTextSmall"/>
              <w:rPr>
                <w:b/>
              </w:rPr>
            </w:pPr>
            <w:r w:rsidRPr="00EC326F">
              <w:rPr>
                <w:b/>
              </w:rPr>
              <w:t xml:space="preserve">Remote </w:t>
            </w:r>
            <w:r>
              <w:rPr>
                <w:b/>
              </w:rPr>
              <w:t xml:space="preserve">and Very Remote </w:t>
            </w:r>
            <w:r w:rsidRPr="00EC326F">
              <w:rPr>
                <w:b/>
              </w:rPr>
              <w:t>Australia</w:t>
            </w:r>
          </w:p>
        </w:tc>
        <w:tc>
          <w:tcPr>
            <w:tcW w:w="1224" w:type="dxa"/>
            <w:tcBorders>
              <w:top w:val="single" w:sz="4" w:space="0" w:color="E0301E"/>
              <w:left w:val="nil"/>
              <w:bottom w:val="single" w:sz="4" w:space="0" w:color="E0301E"/>
              <w:right w:val="nil"/>
            </w:tcBorders>
            <w:shd w:val="clear" w:color="000000" w:fill="FA8270"/>
            <w:noWrap/>
            <w:vAlign w:val="center"/>
            <w:hideMark/>
          </w:tcPr>
          <w:p w14:paraId="33F152FC" w14:textId="77777777" w:rsidR="005A6F29" w:rsidRPr="00EC326F" w:rsidRDefault="005A6F29" w:rsidP="00420601">
            <w:pPr>
              <w:pStyle w:val="TableTextSmall"/>
              <w:jc w:val="center"/>
            </w:pPr>
            <w:r w:rsidRPr="00EC326F">
              <w:t>29%</w:t>
            </w:r>
          </w:p>
        </w:tc>
        <w:tc>
          <w:tcPr>
            <w:tcW w:w="1224" w:type="dxa"/>
            <w:tcBorders>
              <w:top w:val="single" w:sz="4" w:space="0" w:color="E0301E"/>
              <w:left w:val="nil"/>
              <w:bottom w:val="single" w:sz="4" w:space="0" w:color="E0301E"/>
              <w:right w:val="nil"/>
            </w:tcBorders>
            <w:shd w:val="clear" w:color="000000" w:fill="F5E883"/>
            <w:noWrap/>
            <w:vAlign w:val="center"/>
            <w:hideMark/>
          </w:tcPr>
          <w:p w14:paraId="4C0955C7" w14:textId="77777777" w:rsidR="005A6F29" w:rsidRPr="00EC326F" w:rsidRDefault="005A6F29" w:rsidP="00420601">
            <w:pPr>
              <w:pStyle w:val="TableTextSmall"/>
              <w:jc w:val="center"/>
            </w:pPr>
            <w:r w:rsidRPr="00EC326F">
              <w:t>23%</w:t>
            </w:r>
          </w:p>
        </w:tc>
        <w:tc>
          <w:tcPr>
            <w:tcW w:w="1353" w:type="dxa"/>
            <w:tcBorders>
              <w:top w:val="single" w:sz="4" w:space="0" w:color="E0301E"/>
              <w:left w:val="nil"/>
              <w:bottom w:val="single" w:sz="4" w:space="0" w:color="E0301E"/>
              <w:right w:val="nil"/>
            </w:tcBorders>
            <w:shd w:val="clear" w:color="000000" w:fill="9CCE7E"/>
            <w:noWrap/>
            <w:vAlign w:val="center"/>
            <w:hideMark/>
          </w:tcPr>
          <w:p w14:paraId="1D2C9108" w14:textId="77777777" w:rsidR="005A6F29" w:rsidRPr="00EC326F" w:rsidRDefault="005A6F29" w:rsidP="00420601">
            <w:pPr>
              <w:pStyle w:val="TableTextSmall"/>
              <w:jc w:val="center"/>
            </w:pPr>
            <w:r w:rsidRPr="00EC326F">
              <w:t>12%</w:t>
            </w:r>
          </w:p>
        </w:tc>
        <w:tc>
          <w:tcPr>
            <w:tcW w:w="1095" w:type="dxa"/>
            <w:tcBorders>
              <w:top w:val="single" w:sz="4" w:space="0" w:color="E0301E"/>
              <w:left w:val="nil"/>
              <w:bottom w:val="single" w:sz="4" w:space="0" w:color="E0301E"/>
              <w:right w:val="nil"/>
            </w:tcBorders>
            <w:shd w:val="clear" w:color="000000" w:fill="F3E783"/>
            <w:noWrap/>
            <w:vAlign w:val="center"/>
            <w:hideMark/>
          </w:tcPr>
          <w:p w14:paraId="51C49C4C" w14:textId="77777777" w:rsidR="005A6F29" w:rsidRPr="00EC326F" w:rsidRDefault="005A6F29" w:rsidP="00420601">
            <w:pPr>
              <w:pStyle w:val="TableTextSmall"/>
              <w:jc w:val="center"/>
            </w:pPr>
            <w:r w:rsidRPr="00EC326F">
              <w:t>22%</w:t>
            </w:r>
          </w:p>
        </w:tc>
        <w:tc>
          <w:tcPr>
            <w:tcW w:w="1224" w:type="dxa"/>
            <w:tcBorders>
              <w:top w:val="single" w:sz="4" w:space="0" w:color="E0301E"/>
              <w:left w:val="nil"/>
              <w:bottom w:val="single" w:sz="4" w:space="0" w:color="E0301E"/>
              <w:right w:val="nil"/>
            </w:tcBorders>
            <w:shd w:val="clear" w:color="000000" w:fill="83C77C"/>
            <w:noWrap/>
            <w:vAlign w:val="center"/>
            <w:hideMark/>
          </w:tcPr>
          <w:p w14:paraId="7EACF8E1" w14:textId="77777777" w:rsidR="005A6F29" w:rsidRPr="00EC326F" w:rsidRDefault="005A6F29" w:rsidP="00420601">
            <w:pPr>
              <w:pStyle w:val="TableTextSmall"/>
              <w:jc w:val="center"/>
            </w:pPr>
            <w:r w:rsidRPr="00EC326F">
              <w:t>10%</w:t>
            </w:r>
          </w:p>
        </w:tc>
        <w:tc>
          <w:tcPr>
            <w:tcW w:w="1225" w:type="dxa"/>
            <w:tcBorders>
              <w:top w:val="single" w:sz="4" w:space="0" w:color="E0301E"/>
              <w:left w:val="nil"/>
              <w:bottom w:val="single" w:sz="4" w:space="0" w:color="E0301E"/>
              <w:right w:val="single" w:sz="4" w:space="0" w:color="E0301E"/>
            </w:tcBorders>
            <w:shd w:val="clear" w:color="000000" w:fill="F2E783"/>
            <w:noWrap/>
            <w:vAlign w:val="center"/>
            <w:hideMark/>
          </w:tcPr>
          <w:p w14:paraId="4CD4D7CF" w14:textId="77777777" w:rsidR="005A6F29" w:rsidRPr="00EC326F" w:rsidRDefault="005A6F29" w:rsidP="00420601">
            <w:pPr>
              <w:pStyle w:val="TableTextSmall"/>
              <w:jc w:val="center"/>
              <w:rPr>
                <w:b/>
              </w:rPr>
            </w:pPr>
            <w:r w:rsidRPr="00EC326F">
              <w:rPr>
                <w:b/>
              </w:rPr>
              <w:t>22%</w:t>
            </w:r>
          </w:p>
        </w:tc>
      </w:tr>
      <w:tr w:rsidR="005A6F29" w:rsidRPr="00EC326F" w14:paraId="2C4DA70D" w14:textId="77777777" w:rsidTr="00420601">
        <w:trPr>
          <w:trHeight w:val="300"/>
        </w:trPr>
        <w:tc>
          <w:tcPr>
            <w:tcW w:w="2436" w:type="dxa"/>
            <w:tcBorders>
              <w:top w:val="nil"/>
              <w:left w:val="single" w:sz="4" w:space="0" w:color="E0301E"/>
              <w:bottom w:val="single" w:sz="4" w:space="0" w:color="E0301E"/>
              <w:right w:val="nil"/>
            </w:tcBorders>
            <w:shd w:val="clear" w:color="auto" w:fill="auto"/>
            <w:noWrap/>
            <w:vAlign w:val="bottom"/>
            <w:hideMark/>
          </w:tcPr>
          <w:p w14:paraId="5B212C9D" w14:textId="77777777" w:rsidR="005A6F29" w:rsidRPr="00EC326F" w:rsidRDefault="005A6F29" w:rsidP="00420601">
            <w:pPr>
              <w:pStyle w:val="TableTextSmall"/>
              <w:rPr>
                <w:b/>
              </w:rPr>
            </w:pPr>
            <w:r w:rsidRPr="00EC326F">
              <w:rPr>
                <w:b/>
              </w:rPr>
              <w:t>Total</w:t>
            </w:r>
          </w:p>
        </w:tc>
        <w:tc>
          <w:tcPr>
            <w:tcW w:w="1224" w:type="dxa"/>
            <w:tcBorders>
              <w:top w:val="single" w:sz="4" w:space="0" w:color="E0301E"/>
              <w:left w:val="nil"/>
              <w:bottom w:val="single" w:sz="4" w:space="0" w:color="E0301E"/>
              <w:right w:val="nil"/>
            </w:tcBorders>
            <w:shd w:val="clear" w:color="000000" w:fill="F8696B"/>
            <w:noWrap/>
            <w:vAlign w:val="bottom"/>
            <w:hideMark/>
          </w:tcPr>
          <w:p w14:paraId="22B9789A" w14:textId="77777777" w:rsidR="005A6F29" w:rsidRPr="00EC326F" w:rsidRDefault="005A6F29" w:rsidP="00420601">
            <w:pPr>
              <w:pStyle w:val="TableTextSmall"/>
              <w:jc w:val="center"/>
              <w:rPr>
                <w:b/>
              </w:rPr>
            </w:pPr>
            <w:r w:rsidRPr="00EC326F">
              <w:rPr>
                <w:b/>
              </w:rPr>
              <w:t>30%</w:t>
            </w:r>
          </w:p>
        </w:tc>
        <w:tc>
          <w:tcPr>
            <w:tcW w:w="1224" w:type="dxa"/>
            <w:tcBorders>
              <w:top w:val="single" w:sz="4" w:space="0" w:color="E0301E"/>
              <w:left w:val="nil"/>
              <w:bottom w:val="single" w:sz="4" w:space="0" w:color="E0301E"/>
              <w:right w:val="nil"/>
            </w:tcBorders>
            <w:shd w:val="clear" w:color="000000" w:fill="FCAD78"/>
            <w:noWrap/>
            <w:vAlign w:val="bottom"/>
            <w:hideMark/>
          </w:tcPr>
          <w:p w14:paraId="40545F32" w14:textId="77777777" w:rsidR="005A6F29" w:rsidRPr="00EC326F" w:rsidRDefault="005A6F29" w:rsidP="00420601">
            <w:pPr>
              <w:pStyle w:val="TableTextSmall"/>
              <w:jc w:val="center"/>
              <w:rPr>
                <w:b/>
              </w:rPr>
            </w:pPr>
            <w:r w:rsidRPr="00EC326F">
              <w:rPr>
                <w:b/>
              </w:rPr>
              <w:t>27%</w:t>
            </w:r>
          </w:p>
        </w:tc>
        <w:tc>
          <w:tcPr>
            <w:tcW w:w="1353" w:type="dxa"/>
            <w:tcBorders>
              <w:top w:val="single" w:sz="4" w:space="0" w:color="E0301E"/>
              <w:left w:val="nil"/>
              <w:bottom w:val="single" w:sz="4" w:space="0" w:color="E0301E"/>
              <w:right w:val="nil"/>
            </w:tcBorders>
            <w:shd w:val="clear" w:color="000000" w:fill="FFE483"/>
            <w:noWrap/>
            <w:vAlign w:val="bottom"/>
            <w:hideMark/>
          </w:tcPr>
          <w:p w14:paraId="7FD4E44A" w14:textId="77777777" w:rsidR="005A6F29" w:rsidRPr="00EC326F" w:rsidRDefault="005A6F29" w:rsidP="00420601">
            <w:pPr>
              <w:pStyle w:val="TableTextSmall"/>
              <w:jc w:val="center"/>
              <w:rPr>
                <w:b/>
              </w:rPr>
            </w:pPr>
            <w:r w:rsidRPr="00EC326F">
              <w:rPr>
                <w:b/>
              </w:rPr>
              <w:t>24%</w:t>
            </w:r>
          </w:p>
        </w:tc>
        <w:tc>
          <w:tcPr>
            <w:tcW w:w="1095" w:type="dxa"/>
            <w:tcBorders>
              <w:top w:val="single" w:sz="4" w:space="0" w:color="E0301E"/>
              <w:left w:val="nil"/>
              <w:bottom w:val="single" w:sz="4" w:space="0" w:color="E0301E"/>
              <w:right w:val="nil"/>
            </w:tcBorders>
            <w:shd w:val="clear" w:color="000000" w:fill="E2E282"/>
            <w:noWrap/>
            <w:vAlign w:val="bottom"/>
            <w:hideMark/>
          </w:tcPr>
          <w:p w14:paraId="2546F700" w14:textId="77777777" w:rsidR="005A6F29" w:rsidRPr="00EC326F" w:rsidRDefault="005A6F29" w:rsidP="00420601">
            <w:pPr>
              <w:pStyle w:val="TableTextSmall"/>
              <w:jc w:val="center"/>
              <w:rPr>
                <w:b/>
              </w:rPr>
            </w:pPr>
            <w:r w:rsidRPr="00EC326F">
              <w:rPr>
                <w:b/>
              </w:rPr>
              <w:t>21%</w:t>
            </w:r>
          </w:p>
        </w:tc>
        <w:tc>
          <w:tcPr>
            <w:tcW w:w="1224" w:type="dxa"/>
            <w:tcBorders>
              <w:top w:val="single" w:sz="4" w:space="0" w:color="E0301E"/>
              <w:left w:val="nil"/>
              <w:bottom w:val="single" w:sz="4" w:space="0" w:color="E0301E"/>
              <w:right w:val="nil"/>
            </w:tcBorders>
            <w:shd w:val="clear" w:color="000000" w:fill="CADB80"/>
            <w:noWrap/>
            <w:vAlign w:val="bottom"/>
            <w:hideMark/>
          </w:tcPr>
          <w:p w14:paraId="2E7E8841" w14:textId="77777777" w:rsidR="005A6F29" w:rsidRPr="00EC326F" w:rsidRDefault="005A6F29" w:rsidP="00420601">
            <w:pPr>
              <w:pStyle w:val="TableTextSmall"/>
              <w:jc w:val="center"/>
              <w:rPr>
                <w:b/>
              </w:rPr>
            </w:pPr>
            <w:r w:rsidRPr="00EC326F">
              <w:rPr>
                <w:b/>
              </w:rPr>
              <w:t>18%</w:t>
            </w:r>
          </w:p>
        </w:tc>
        <w:tc>
          <w:tcPr>
            <w:tcW w:w="1225" w:type="dxa"/>
            <w:tcBorders>
              <w:top w:val="single" w:sz="4" w:space="0" w:color="E0301E"/>
              <w:left w:val="nil"/>
              <w:bottom w:val="single" w:sz="4" w:space="0" w:color="E0301E"/>
              <w:right w:val="single" w:sz="4" w:space="0" w:color="E0301E"/>
            </w:tcBorders>
            <w:shd w:val="clear" w:color="000000" w:fill="FFEB84"/>
            <w:noWrap/>
            <w:vAlign w:val="bottom"/>
            <w:hideMark/>
          </w:tcPr>
          <w:p w14:paraId="473DE381" w14:textId="77777777" w:rsidR="005A6F29" w:rsidRPr="00EC326F" w:rsidRDefault="005A6F29" w:rsidP="00420601">
            <w:pPr>
              <w:pStyle w:val="TableTextSmall"/>
              <w:jc w:val="center"/>
              <w:rPr>
                <w:b/>
              </w:rPr>
            </w:pPr>
            <w:r w:rsidRPr="00EC326F">
              <w:rPr>
                <w:b/>
              </w:rPr>
              <w:t>24%</w:t>
            </w:r>
          </w:p>
        </w:tc>
      </w:tr>
    </w:tbl>
    <w:p w14:paraId="3BE0A9EB" w14:textId="41B9451D" w:rsidR="00D50C23" w:rsidRDefault="00F36F13" w:rsidP="00D50C23">
      <w:pPr>
        <w:pStyle w:val="Caption"/>
      </w:pPr>
      <w:r w:rsidRPr="00EC326F">
        <w:t xml:space="preserve">Table </w:t>
      </w:r>
      <w:fldSimple w:instr=" SEQ Table \* ARABIC ">
        <w:r w:rsidR="007A42DF">
          <w:rPr>
            <w:noProof/>
          </w:rPr>
          <w:t>60</w:t>
        </w:r>
      </w:fldSimple>
      <w:r w:rsidRPr="00EC326F">
        <w:t xml:space="preserve">: Average lifetime cost </w:t>
      </w:r>
      <w:r w:rsidR="00AC6E4B" w:rsidRPr="00EC326F">
        <w:t xml:space="preserve">for people in income support classes </w:t>
      </w:r>
      <w:r w:rsidRPr="00EC326F">
        <w:t>by location category and SEIFA quintile ($’000)</w:t>
      </w:r>
    </w:p>
    <w:tbl>
      <w:tblPr>
        <w:tblW w:w="9781" w:type="dxa"/>
        <w:tblInd w:w="108" w:type="dxa"/>
        <w:tblLayout w:type="fixed"/>
        <w:tblLook w:val="04A0" w:firstRow="1" w:lastRow="0" w:firstColumn="1" w:lastColumn="0" w:noHBand="0" w:noVBand="1"/>
        <w:tblCaption w:val="Average lifetime cost for people in income support classes by location category and SEIFA quintile ($’000)"/>
        <w:tblDescription w:val="This table shows the average lifetime cost for the population who utilise one of the income support classes by location category and SEIFA quintile.&#10;&#10;The columns show the SEIFA quintile: 0-20%, 20-40%, 40-60%, 60-80%, 80-100% and total. The rows show the location category: major cities of Australia, inner regional Australia, outer regional Australia, remote Australia and Total.&#10;&#10;Average lifetime cost is highest for those in the lowest SEIFA quintile ($319,000) and this reduces consistently across quintiles with an average lifetime cost of $260,000 for the highest quintile. The average lifetime costs for people living in Major Cities is $288,000 and this increases with increaseing remoteness - the average lifetime cost for people living in Remote and Very Remote Australia is $341,000.&#10;"/>
      </w:tblPr>
      <w:tblGrid>
        <w:gridCol w:w="2436"/>
        <w:gridCol w:w="1224"/>
        <w:gridCol w:w="1224"/>
        <w:gridCol w:w="1353"/>
        <w:gridCol w:w="1095"/>
        <w:gridCol w:w="1224"/>
        <w:gridCol w:w="1225"/>
      </w:tblGrid>
      <w:tr w:rsidR="00D50C23" w:rsidRPr="00EC326F" w14:paraId="16D073CC" w14:textId="77777777" w:rsidTr="00D50C23">
        <w:trPr>
          <w:trHeight w:val="300"/>
          <w:tblHeader/>
        </w:trPr>
        <w:tc>
          <w:tcPr>
            <w:tcW w:w="2436" w:type="dxa"/>
            <w:tcBorders>
              <w:top w:val="nil"/>
              <w:left w:val="nil"/>
              <w:bottom w:val="nil"/>
              <w:right w:val="nil"/>
            </w:tcBorders>
            <w:shd w:val="clear" w:color="000000" w:fill="E0301E"/>
            <w:noWrap/>
            <w:vAlign w:val="bottom"/>
          </w:tcPr>
          <w:p w14:paraId="7BFAEBA9" w14:textId="77777777" w:rsidR="00D50C23" w:rsidRPr="00EC326F" w:rsidRDefault="00D50C23" w:rsidP="00420601">
            <w:pPr>
              <w:pStyle w:val="TableTextSmall"/>
              <w:rPr>
                <w:rFonts w:asciiTheme="majorHAnsi" w:hAnsiTheme="majorHAnsi"/>
                <w:b/>
                <w:snapToGrid/>
                <w:color w:val="FFFFFF" w:themeColor="background1"/>
                <w:lang w:eastAsia="en-AU"/>
              </w:rPr>
            </w:pPr>
          </w:p>
        </w:tc>
        <w:tc>
          <w:tcPr>
            <w:tcW w:w="1224" w:type="dxa"/>
            <w:tcBorders>
              <w:top w:val="nil"/>
              <w:left w:val="nil"/>
              <w:bottom w:val="nil"/>
              <w:right w:val="nil"/>
            </w:tcBorders>
            <w:shd w:val="clear" w:color="000000" w:fill="E0301E"/>
            <w:noWrap/>
            <w:vAlign w:val="bottom"/>
          </w:tcPr>
          <w:p w14:paraId="642FA82E" w14:textId="77777777" w:rsidR="00D50C23" w:rsidRPr="00EC326F" w:rsidRDefault="00D50C23" w:rsidP="00420601">
            <w:pPr>
              <w:pStyle w:val="TableTextSmall"/>
              <w:jc w:val="center"/>
              <w:rPr>
                <w:rFonts w:asciiTheme="majorHAnsi" w:hAnsiTheme="majorHAnsi"/>
                <w:b/>
                <w:snapToGrid/>
                <w:color w:val="FFFFFF" w:themeColor="background1"/>
                <w:lang w:eastAsia="en-AU"/>
              </w:rPr>
            </w:pPr>
          </w:p>
        </w:tc>
        <w:tc>
          <w:tcPr>
            <w:tcW w:w="1224" w:type="dxa"/>
            <w:tcBorders>
              <w:top w:val="nil"/>
              <w:left w:val="nil"/>
              <w:bottom w:val="nil"/>
              <w:right w:val="nil"/>
            </w:tcBorders>
            <w:shd w:val="clear" w:color="000000" w:fill="E0301E"/>
            <w:noWrap/>
            <w:vAlign w:val="bottom"/>
          </w:tcPr>
          <w:p w14:paraId="1353DB3C" w14:textId="77777777" w:rsidR="00D50C23" w:rsidRPr="00EC326F" w:rsidRDefault="00D50C23" w:rsidP="00420601">
            <w:pPr>
              <w:pStyle w:val="TableTextSmall"/>
              <w:jc w:val="center"/>
              <w:rPr>
                <w:rFonts w:asciiTheme="majorHAnsi" w:hAnsiTheme="majorHAnsi"/>
                <w:b/>
                <w:snapToGrid/>
                <w:color w:val="FFFFFF" w:themeColor="background1"/>
                <w:lang w:eastAsia="en-AU"/>
              </w:rPr>
            </w:pPr>
          </w:p>
        </w:tc>
        <w:tc>
          <w:tcPr>
            <w:tcW w:w="1353" w:type="dxa"/>
            <w:tcBorders>
              <w:top w:val="nil"/>
              <w:left w:val="nil"/>
              <w:bottom w:val="nil"/>
              <w:right w:val="nil"/>
            </w:tcBorders>
            <w:shd w:val="clear" w:color="000000" w:fill="E0301E"/>
            <w:noWrap/>
            <w:vAlign w:val="bottom"/>
          </w:tcPr>
          <w:p w14:paraId="130E3D34" w14:textId="77777777" w:rsidR="00D50C23" w:rsidRPr="00EC326F" w:rsidRDefault="00D50C23"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SEIFA quintile</w:t>
            </w:r>
          </w:p>
        </w:tc>
        <w:tc>
          <w:tcPr>
            <w:tcW w:w="1095" w:type="dxa"/>
            <w:tcBorders>
              <w:top w:val="nil"/>
              <w:left w:val="nil"/>
              <w:bottom w:val="nil"/>
              <w:right w:val="nil"/>
            </w:tcBorders>
            <w:shd w:val="clear" w:color="000000" w:fill="E0301E"/>
            <w:noWrap/>
            <w:vAlign w:val="bottom"/>
          </w:tcPr>
          <w:p w14:paraId="244EB468" w14:textId="77777777" w:rsidR="00D50C23" w:rsidRPr="00EC326F" w:rsidRDefault="00D50C23" w:rsidP="00420601">
            <w:pPr>
              <w:pStyle w:val="TableTextSmall"/>
              <w:jc w:val="center"/>
              <w:rPr>
                <w:rFonts w:asciiTheme="majorHAnsi" w:hAnsiTheme="majorHAnsi"/>
                <w:b/>
                <w:snapToGrid/>
                <w:color w:val="FFFFFF" w:themeColor="background1"/>
                <w:lang w:eastAsia="en-AU"/>
              </w:rPr>
            </w:pPr>
          </w:p>
        </w:tc>
        <w:tc>
          <w:tcPr>
            <w:tcW w:w="1224" w:type="dxa"/>
            <w:tcBorders>
              <w:top w:val="nil"/>
              <w:left w:val="nil"/>
              <w:bottom w:val="nil"/>
              <w:right w:val="nil"/>
            </w:tcBorders>
            <w:shd w:val="clear" w:color="000000" w:fill="E0301E"/>
            <w:noWrap/>
            <w:vAlign w:val="bottom"/>
          </w:tcPr>
          <w:p w14:paraId="7A6BBC50" w14:textId="77777777" w:rsidR="00D50C23" w:rsidRPr="00EC326F" w:rsidRDefault="00D50C23" w:rsidP="00420601">
            <w:pPr>
              <w:pStyle w:val="TableTextSmall"/>
              <w:jc w:val="center"/>
              <w:rPr>
                <w:rFonts w:asciiTheme="majorHAnsi" w:hAnsiTheme="majorHAnsi"/>
                <w:b/>
                <w:snapToGrid/>
                <w:color w:val="FFFFFF" w:themeColor="background1"/>
                <w:lang w:eastAsia="en-AU"/>
              </w:rPr>
            </w:pPr>
          </w:p>
        </w:tc>
        <w:tc>
          <w:tcPr>
            <w:tcW w:w="1225" w:type="dxa"/>
            <w:tcBorders>
              <w:top w:val="nil"/>
              <w:left w:val="nil"/>
              <w:bottom w:val="nil"/>
              <w:right w:val="nil"/>
            </w:tcBorders>
            <w:shd w:val="clear" w:color="000000" w:fill="E0301E"/>
            <w:noWrap/>
            <w:vAlign w:val="bottom"/>
          </w:tcPr>
          <w:p w14:paraId="122454A8" w14:textId="77777777" w:rsidR="00D50C23" w:rsidRPr="00EC326F" w:rsidRDefault="00D50C23" w:rsidP="00420601">
            <w:pPr>
              <w:pStyle w:val="TableTextSmall"/>
              <w:jc w:val="center"/>
              <w:rPr>
                <w:rFonts w:asciiTheme="majorHAnsi" w:hAnsiTheme="majorHAnsi"/>
                <w:b/>
                <w:snapToGrid/>
                <w:color w:val="FFFFFF" w:themeColor="background1"/>
                <w:lang w:eastAsia="en-AU"/>
              </w:rPr>
            </w:pPr>
          </w:p>
        </w:tc>
      </w:tr>
      <w:tr w:rsidR="00D50C23" w:rsidRPr="00EC326F" w14:paraId="383FAB1F" w14:textId="77777777" w:rsidTr="00D50C23">
        <w:trPr>
          <w:trHeight w:val="300"/>
          <w:tblHeader/>
        </w:trPr>
        <w:tc>
          <w:tcPr>
            <w:tcW w:w="2436" w:type="dxa"/>
            <w:tcBorders>
              <w:top w:val="nil"/>
              <w:left w:val="nil"/>
              <w:bottom w:val="nil"/>
              <w:right w:val="nil"/>
            </w:tcBorders>
            <w:shd w:val="clear" w:color="000000" w:fill="E0301E"/>
            <w:noWrap/>
            <w:vAlign w:val="bottom"/>
            <w:hideMark/>
          </w:tcPr>
          <w:p w14:paraId="55F70684" w14:textId="77777777" w:rsidR="00D50C23" w:rsidRPr="00EC326F" w:rsidRDefault="00D50C23" w:rsidP="00420601">
            <w:pPr>
              <w:pStyle w:val="TableTextSmall"/>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Location category</w:t>
            </w:r>
          </w:p>
        </w:tc>
        <w:tc>
          <w:tcPr>
            <w:tcW w:w="1224" w:type="dxa"/>
            <w:tcBorders>
              <w:top w:val="nil"/>
              <w:left w:val="nil"/>
              <w:bottom w:val="nil"/>
              <w:right w:val="nil"/>
            </w:tcBorders>
            <w:shd w:val="clear" w:color="000000" w:fill="E0301E"/>
            <w:noWrap/>
            <w:vAlign w:val="bottom"/>
            <w:hideMark/>
          </w:tcPr>
          <w:p w14:paraId="00C1D2A5" w14:textId="77777777" w:rsidR="00D50C23" w:rsidRPr="00EC326F" w:rsidRDefault="00D50C23"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0-20%</w:t>
            </w:r>
          </w:p>
        </w:tc>
        <w:tc>
          <w:tcPr>
            <w:tcW w:w="1224" w:type="dxa"/>
            <w:tcBorders>
              <w:top w:val="nil"/>
              <w:left w:val="nil"/>
              <w:bottom w:val="nil"/>
              <w:right w:val="nil"/>
            </w:tcBorders>
            <w:shd w:val="clear" w:color="000000" w:fill="E0301E"/>
            <w:noWrap/>
            <w:vAlign w:val="bottom"/>
            <w:hideMark/>
          </w:tcPr>
          <w:p w14:paraId="26BAAB81" w14:textId="77777777" w:rsidR="00D50C23" w:rsidRPr="00EC326F" w:rsidRDefault="00D50C23"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20-40%</w:t>
            </w:r>
          </w:p>
        </w:tc>
        <w:tc>
          <w:tcPr>
            <w:tcW w:w="1353" w:type="dxa"/>
            <w:tcBorders>
              <w:top w:val="nil"/>
              <w:left w:val="nil"/>
              <w:bottom w:val="nil"/>
              <w:right w:val="nil"/>
            </w:tcBorders>
            <w:shd w:val="clear" w:color="000000" w:fill="E0301E"/>
            <w:noWrap/>
            <w:vAlign w:val="bottom"/>
            <w:hideMark/>
          </w:tcPr>
          <w:p w14:paraId="62524A1B" w14:textId="77777777" w:rsidR="00D50C23" w:rsidRPr="00EC326F" w:rsidRDefault="00D50C23"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40-60%</w:t>
            </w:r>
          </w:p>
        </w:tc>
        <w:tc>
          <w:tcPr>
            <w:tcW w:w="1095" w:type="dxa"/>
            <w:tcBorders>
              <w:top w:val="nil"/>
              <w:left w:val="nil"/>
              <w:bottom w:val="nil"/>
              <w:right w:val="nil"/>
            </w:tcBorders>
            <w:shd w:val="clear" w:color="000000" w:fill="E0301E"/>
            <w:noWrap/>
            <w:vAlign w:val="bottom"/>
            <w:hideMark/>
          </w:tcPr>
          <w:p w14:paraId="09F1D5C6" w14:textId="77777777" w:rsidR="00D50C23" w:rsidRPr="00EC326F" w:rsidRDefault="00D50C23"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60-80%</w:t>
            </w:r>
          </w:p>
        </w:tc>
        <w:tc>
          <w:tcPr>
            <w:tcW w:w="1224" w:type="dxa"/>
            <w:tcBorders>
              <w:top w:val="nil"/>
              <w:left w:val="nil"/>
              <w:bottom w:val="nil"/>
              <w:right w:val="nil"/>
            </w:tcBorders>
            <w:shd w:val="clear" w:color="000000" w:fill="E0301E"/>
            <w:noWrap/>
            <w:vAlign w:val="bottom"/>
            <w:hideMark/>
          </w:tcPr>
          <w:p w14:paraId="1DA2D490" w14:textId="77777777" w:rsidR="00D50C23" w:rsidRPr="00EC326F" w:rsidRDefault="00D50C23"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80-100%</w:t>
            </w:r>
          </w:p>
        </w:tc>
        <w:tc>
          <w:tcPr>
            <w:tcW w:w="1225" w:type="dxa"/>
            <w:tcBorders>
              <w:top w:val="nil"/>
              <w:left w:val="nil"/>
              <w:bottom w:val="nil"/>
              <w:right w:val="nil"/>
            </w:tcBorders>
            <w:shd w:val="clear" w:color="000000" w:fill="E0301E"/>
            <w:noWrap/>
            <w:vAlign w:val="bottom"/>
            <w:hideMark/>
          </w:tcPr>
          <w:p w14:paraId="0AC164AB" w14:textId="77777777" w:rsidR="00D50C23" w:rsidRPr="00EC326F" w:rsidRDefault="00D50C23" w:rsidP="00420601">
            <w:pPr>
              <w:pStyle w:val="TableTextSmall"/>
              <w:jc w:val="center"/>
              <w:rPr>
                <w:rFonts w:asciiTheme="majorHAnsi" w:hAnsiTheme="majorHAnsi"/>
                <w:b/>
                <w:snapToGrid/>
                <w:color w:val="FFFFFF" w:themeColor="background1"/>
                <w:lang w:eastAsia="en-AU"/>
              </w:rPr>
            </w:pPr>
            <w:r w:rsidRPr="00EC326F">
              <w:rPr>
                <w:rFonts w:asciiTheme="majorHAnsi" w:hAnsiTheme="majorHAnsi"/>
                <w:b/>
                <w:snapToGrid/>
                <w:color w:val="FFFFFF" w:themeColor="background1"/>
                <w:lang w:eastAsia="en-AU"/>
              </w:rPr>
              <w:t>Total</w:t>
            </w:r>
          </w:p>
        </w:tc>
      </w:tr>
      <w:tr w:rsidR="00D50C23" w:rsidRPr="00EC326F" w14:paraId="3601DE09" w14:textId="77777777" w:rsidTr="00420601">
        <w:trPr>
          <w:trHeight w:val="315"/>
        </w:trPr>
        <w:tc>
          <w:tcPr>
            <w:tcW w:w="2436" w:type="dxa"/>
            <w:tcBorders>
              <w:top w:val="single" w:sz="4" w:space="0" w:color="E0301E"/>
              <w:left w:val="single" w:sz="4" w:space="0" w:color="E0301E"/>
              <w:bottom w:val="single" w:sz="4" w:space="0" w:color="E0301E"/>
              <w:right w:val="nil"/>
            </w:tcBorders>
            <w:shd w:val="clear" w:color="auto" w:fill="auto"/>
            <w:noWrap/>
            <w:vAlign w:val="bottom"/>
            <w:hideMark/>
          </w:tcPr>
          <w:p w14:paraId="7D94842C" w14:textId="77777777" w:rsidR="00D50C23" w:rsidRPr="00EC326F" w:rsidRDefault="00D50C23" w:rsidP="00420601">
            <w:pPr>
              <w:pStyle w:val="TableTextSmall"/>
              <w:rPr>
                <w:b/>
              </w:rPr>
            </w:pPr>
            <w:r w:rsidRPr="00EC326F">
              <w:rPr>
                <w:b/>
              </w:rPr>
              <w:t>Major Cities of Australia</w:t>
            </w:r>
          </w:p>
        </w:tc>
        <w:tc>
          <w:tcPr>
            <w:tcW w:w="1224" w:type="dxa"/>
            <w:tcBorders>
              <w:top w:val="single" w:sz="4" w:space="0" w:color="E0301E"/>
              <w:left w:val="nil"/>
              <w:bottom w:val="single" w:sz="4" w:space="0" w:color="E0301E"/>
              <w:right w:val="nil"/>
            </w:tcBorders>
            <w:shd w:val="clear" w:color="000000" w:fill="FB9374"/>
            <w:noWrap/>
            <w:vAlign w:val="bottom"/>
            <w:hideMark/>
          </w:tcPr>
          <w:p w14:paraId="459F89DD" w14:textId="77777777" w:rsidR="00D50C23" w:rsidRPr="00EC326F" w:rsidRDefault="00D50C23" w:rsidP="00420601">
            <w:pPr>
              <w:pStyle w:val="TableTextSmall"/>
              <w:jc w:val="center"/>
            </w:pPr>
            <w:r w:rsidRPr="00EC326F">
              <w:t>32</w:t>
            </w:r>
            <w:r>
              <w:t>1</w:t>
            </w:r>
          </w:p>
        </w:tc>
        <w:tc>
          <w:tcPr>
            <w:tcW w:w="1224" w:type="dxa"/>
            <w:tcBorders>
              <w:top w:val="single" w:sz="4" w:space="0" w:color="E0301E"/>
              <w:left w:val="nil"/>
              <w:bottom w:val="single" w:sz="4" w:space="0" w:color="E0301E"/>
              <w:right w:val="nil"/>
            </w:tcBorders>
            <w:shd w:val="clear" w:color="000000" w:fill="FDC17C"/>
            <w:noWrap/>
            <w:vAlign w:val="bottom"/>
            <w:hideMark/>
          </w:tcPr>
          <w:p w14:paraId="1478C31F" w14:textId="77777777" w:rsidR="00D50C23" w:rsidRPr="00EC326F" w:rsidRDefault="00D50C23" w:rsidP="00420601">
            <w:pPr>
              <w:pStyle w:val="TableTextSmall"/>
              <w:jc w:val="center"/>
            </w:pPr>
            <w:r w:rsidRPr="00EC326F">
              <w:t>306</w:t>
            </w:r>
          </w:p>
        </w:tc>
        <w:tc>
          <w:tcPr>
            <w:tcW w:w="1353" w:type="dxa"/>
            <w:tcBorders>
              <w:top w:val="single" w:sz="4" w:space="0" w:color="E0301E"/>
              <w:left w:val="nil"/>
              <w:bottom w:val="single" w:sz="4" w:space="0" w:color="E0301E"/>
              <w:right w:val="nil"/>
            </w:tcBorders>
            <w:shd w:val="clear" w:color="000000" w:fill="FFE984"/>
            <w:noWrap/>
            <w:vAlign w:val="bottom"/>
            <w:hideMark/>
          </w:tcPr>
          <w:p w14:paraId="77E23BF3" w14:textId="77777777" w:rsidR="00D50C23" w:rsidRPr="00EC326F" w:rsidRDefault="00D50C23" w:rsidP="00420601">
            <w:pPr>
              <w:pStyle w:val="TableTextSmall"/>
              <w:jc w:val="center"/>
            </w:pPr>
            <w:r w:rsidRPr="00EC326F">
              <w:t>293</w:t>
            </w:r>
          </w:p>
        </w:tc>
        <w:tc>
          <w:tcPr>
            <w:tcW w:w="1095" w:type="dxa"/>
            <w:tcBorders>
              <w:top w:val="single" w:sz="4" w:space="0" w:color="E0301E"/>
              <w:left w:val="nil"/>
              <w:bottom w:val="single" w:sz="4" w:space="0" w:color="E0301E"/>
              <w:right w:val="nil"/>
            </w:tcBorders>
            <w:shd w:val="clear" w:color="000000" w:fill="CEDC81"/>
            <w:noWrap/>
            <w:vAlign w:val="bottom"/>
            <w:hideMark/>
          </w:tcPr>
          <w:p w14:paraId="3D22C241" w14:textId="77777777" w:rsidR="00D50C23" w:rsidRPr="00EC326F" w:rsidRDefault="00D50C23" w:rsidP="00420601">
            <w:pPr>
              <w:pStyle w:val="TableTextSmall"/>
              <w:jc w:val="center"/>
            </w:pPr>
            <w:r w:rsidRPr="00EC326F">
              <w:t>278</w:t>
            </w:r>
          </w:p>
        </w:tc>
        <w:tc>
          <w:tcPr>
            <w:tcW w:w="1224" w:type="dxa"/>
            <w:tcBorders>
              <w:top w:val="single" w:sz="4" w:space="0" w:color="E0301E"/>
              <w:left w:val="nil"/>
              <w:bottom w:val="single" w:sz="4" w:space="0" w:color="E0301E"/>
              <w:right w:val="nil"/>
            </w:tcBorders>
            <w:shd w:val="clear" w:color="000000" w:fill="89C97D"/>
            <w:noWrap/>
            <w:vAlign w:val="bottom"/>
            <w:hideMark/>
          </w:tcPr>
          <w:p w14:paraId="7982FD85" w14:textId="77777777" w:rsidR="00D50C23" w:rsidRPr="00EC326F" w:rsidRDefault="00D50C23" w:rsidP="00420601">
            <w:pPr>
              <w:pStyle w:val="TableTextSmall"/>
              <w:jc w:val="center"/>
            </w:pPr>
            <w:r w:rsidRPr="00EC326F">
              <w:t>259</w:t>
            </w:r>
          </w:p>
        </w:tc>
        <w:tc>
          <w:tcPr>
            <w:tcW w:w="1225" w:type="dxa"/>
            <w:tcBorders>
              <w:top w:val="single" w:sz="4" w:space="0" w:color="E0301E"/>
              <w:left w:val="nil"/>
              <w:bottom w:val="single" w:sz="4" w:space="0" w:color="E0301E"/>
              <w:right w:val="single" w:sz="4" w:space="0" w:color="E0301E"/>
            </w:tcBorders>
            <w:shd w:val="clear" w:color="000000" w:fill="EFE683"/>
            <w:noWrap/>
            <w:vAlign w:val="bottom"/>
            <w:hideMark/>
          </w:tcPr>
          <w:p w14:paraId="3144C337" w14:textId="77777777" w:rsidR="00D50C23" w:rsidRPr="00EC326F" w:rsidRDefault="00D50C23" w:rsidP="00420601">
            <w:pPr>
              <w:pStyle w:val="TableTextSmall"/>
              <w:jc w:val="center"/>
              <w:rPr>
                <w:b/>
              </w:rPr>
            </w:pPr>
            <w:r w:rsidRPr="00EC326F">
              <w:rPr>
                <w:b/>
              </w:rPr>
              <w:t>288</w:t>
            </w:r>
          </w:p>
        </w:tc>
      </w:tr>
      <w:tr w:rsidR="00D50C23" w:rsidRPr="00EC326F" w14:paraId="273DA29C" w14:textId="77777777" w:rsidTr="00420601">
        <w:trPr>
          <w:trHeight w:val="315"/>
        </w:trPr>
        <w:tc>
          <w:tcPr>
            <w:tcW w:w="2436" w:type="dxa"/>
            <w:tcBorders>
              <w:top w:val="nil"/>
              <w:left w:val="single" w:sz="4" w:space="0" w:color="E0301E"/>
              <w:bottom w:val="single" w:sz="4" w:space="0" w:color="E0301E"/>
              <w:right w:val="nil"/>
            </w:tcBorders>
            <w:shd w:val="clear" w:color="auto" w:fill="auto"/>
            <w:noWrap/>
            <w:vAlign w:val="bottom"/>
            <w:hideMark/>
          </w:tcPr>
          <w:p w14:paraId="00AFDCEF" w14:textId="77777777" w:rsidR="00D50C23" w:rsidRPr="00EC326F" w:rsidRDefault="00D50C23" w:rsidP="00420601">
            <w:pPr>
              <w:pStyle w:val="TableTextSmall"/>
              <w:rPr>
                <w:b/>
              </w:rPr>
            </w:pPr>
            <w:r w:rsidRPr="00EC326F">
              <w:rPr>
                <w:b/>
              </w:rPr>
              <w:t>Inner Regional Australia</w:t>
            </w:r>
          </w:p>
        </w:tc>
        <w:tc>
          <w:tcPr>
            <w:tcW w:w="1224" w:type="dxa"/>
            <w:tcBorders>
              <w:top w:val="single" w:sz="4" w:space="0" w:color="E0301E"/>
              <w:left w:val="nil"/>
              <w:bottom w:val="single" w:sz="4" w:space="0" w:color="E0301E"/>
              <w:right w:val="nil"/>
            </w:tcBorders>
            <w:shd w:val="clear" w:color="000000" w:fill="FCAD79"/>
            <w:noWrap/>
            <w:vAlign w:val="bottom"/>
            <w:hideMark/>
          </w:tcPr>
          <w:p w14:paraId="75BB723F" w14:textId="77777777" w:rsidR="00D50C23" w:rsidRPr="00EC326F" w:rsidRDefault="00D50C23" w:rsidP="00420601">
            <w:pPr>
              <w:pStyle w:val="TableTextSmall"/>
              <w:jc w:val="center"/>
            </w:pPr>
            <w:r w:rsidRPr="00EC326F">
              <w:t>313</w:t>
            </w:r>
          </w:p>
        </w:tc>
        <w:tc>
          <w:tcPr>
            <w:tcW w:w="1224" w:type="dxa"/>
            <w:tcBorders>
              <w:top w:val="single" w:sz="4" w:space="0" w:color="E0301E"/>
              <w:left w:val="nil"/>
              <w:bottom w:val="single" w:sz="4" w:space="0" w:color="E0301E"/>
              <w:right w:val="nil"/>
            </w:tcBorders>
            <w:shd w:val="clear" w:color="000000" w:fill="FFDB81"/>
            <w:noWrap/>
            <w:vAlign w:val="bottom"/>
            <w:hideMark/>
          </w:tcPr>
          <w:p w14:paraId="331AC849" w14:textId="77777777" w:rsidR="00D50C23" w:rsidRPr="00EC326F" w:rsidRDefault="00D50C23" w:rsidP="00420601">
            <w:pPr>
              <w:pStyle w:val="TableTextSmall"/>
              <w:jc w:val="center"/>
            </w:pPr>
            <w:r w:rsidRPr="00EC326F">
              <w:t>298</w:t>
            </w:r>
          </w:p>
        </w:tc>
        <w:tc>
          <w:tcPr>
            <w:tcW w:w="1353" w:type="dxa"/>
            <w:tcBorders>
              <w:top w:val="single" w:sz="4" w:space="0" w:color="E0301E"/>
              <w:left w:val="nil"/>
              <w:bottom w:val="single" w:sz="4" w:space="0" w:color="E0301E"/>
              <w:right w:val="nil"/>
            </w:tcBorders>
            <w:shd w:val="clear" w:color="000000" w:fill="FFE483"/>
            <w:noWrap/>
            <w:vAlign w:val="bottom"/>
            <w:hideMark/>
          </w:tcPr>
          <w:p w14:paraId="25825F07" w14:textId="77777777" w:rsidR="00D50C23" w:rsidRPr="00EC326F" w:rsidRDefault="00D50C23" w:rsidP="00420601">
            <w:pPr>
              <w:pStyle w:val="TableTextSmall"/>
              <w:jc w:val="center"/>
            </w:pPr>
            <w:r w:rsidRPr="00EC326F">
              <w:t>295</w:t>
            </w:r>
          </w:p>
        </w:tc>
        <w:tc>
          <w:tcPr>
            <w:tcW w:w="1095" w:type="dxa"/>
            <w:tcBorders>
              <w:top w:val="single" w:sz="4" w:space="0" w:color="E0301E"/>
              <w:left w:val="nil"/>
              <w:bottom w:val="single" w:sz="4" w:space="0" w:color="E0301E"/>
              <w:right w:val="nil"/>
            </w:tcBorders>
            <w:shd w:val="clear" w:color="000000" w:fill="EEE683"/>
            <w:noWrap/>
            <w:vAlign w:val="bottom"/>
            <w:hideMark/>
          </w:tcPr>
          <w:p w14:paraId="15846676" w14:textId="77777777" w:rsidR="00D50C23" w:rsidRPr="00EC326F" w:rsidRDefault="00D50C23" w:rsidP="00420601">
            <w:pPr>
              <w:pStyle w:val="TableTextSmall"/>
              <w:jc w:val="center"/>
            </w:pPr>
            <w:r w:rsidRPr="00EC326F">
              <w:t>28</w:t>
            </w:r>
            <w:r>
              <w:t>6</w:t>
            </w:r>
          </w:p>
        </w:tc>
        <w:tc>
          <w:tcPr>
            <w:tcW w:w="1224" w:type="dxa"/>
            <w:tcBorders>
              <w:top w:val="single" w:sz="4" w:space="0" w:color="E0301E"/>
              <w:left w:val="nil"/>
              <w:bottom w:val="single" w:sz="4" w:space="0" w:color="E0301E"/>
              <w:right w:val="nil"/>
            </w:tcBorders>
            <w:shd w:val="clear" w:color="000000" w:fill="84C77C"/>
            <w:noWrap/>
            <w:vAlign w:val="bottom"/>
            <w:hideMark/>
          </w:tcPr>
          <w:p w14:paraId="135B8B52" w14:textId="77777777" w:rsidR="00D50C23" w:rsidRPr="00EC326F" w:rsidRDefault="00D50C23" w:rsidP="00420601">
            <w:pPr>
              <w:pStyle w:val="TableTextSmall"/>
              <w:jc w:val="center"/>
            </w:pPr>
            <w:r w:rsidRPr="00EC326F">
              <w:t>258</w:t>
            </w:r>
          </w:p>
        </w:tc>
        <w:tc>
          <w:tcPr>
            <w:tcW w:w="1225" w:type="dxa"/>
            <w:tcBorders>
              <w:top w:val="single" w:sz="4" w:space="0" w:color="E0301E"/>
              <w:left w:val="nil"/>
              <w:bottom w:val="single" w:sz="4" w:space="0" w:color="E0301E"/>
              <w:right w:val="single" w:sz="4" w:space="0" w:color="E0301E"/>
            </w:tcBorders>
            <w:shd w:val="clear" w:color="000000" w:fill="FED680"/>
            <w:noWrap/>
            <w:vAlign w:val="bottom"/>
            <w:hideMark/>
          </w:tcPr>
          <w:p w14:paraId="39FC8315" w14:textId="77777777" w:rsidR="00D50C23" w:rsidRPr="00EC326F" w:rsidRDefault="00D50C23" w:rsidP="00420601">
            <w:pPr>
              <w:pStyle w:val="TableTextSmall"/>
              <w:jc w:val="center"/>
              <w:rPr>
                <w:b/>
              </w:rPr>
            </w:pPr>
            <w:r w:rsidRPr="00EC326F">
              <w:rPr>
                <w:b/>
              </w:rPr>
              <w:t>299</w:t>
            </w:r>
          </w:p>
        </w:tc>
      </w:tr>
      <w:tr w:rsidR="00D50C23" w:rsidRPr="00EC326F" w14:paraId="5810A5F0" w14:textId="77777777" w:rsidTr="00420601">
        <w:trPr>
          <w:trHeight w:val="315"/>
        </w:trPr>
        <w:tc>
          <w:tcPr>
            <w:tcW w:w="2436" w:type="dxa"/>
            <w:tcBorders>
              <w:top w:val="nil"/>
              <w:left w:val="single" w:sz="4" w:space="0" w:color="E0301E"/>
              <w:bottom w:val="single" w:sz="4" w:space="0" w:color="E0301E"/>
              <w:right w:val="nil"/>
            </w:tcBorders>
            <w:shd w:val="clear" w:color="auto" w:fill="auto"/>
            <w:noWrap/>
            <w:vAlign w:val="bottom"/>
            <w:hideMark/>
          </w:tcPr>
          <w:p w14:paraId="0293F652" w14:textId="77777777" w:rsidR="00D50C23" w:rsidRPr="00EC326F" w:rsidRDefault="00D50C23" w:rsidP="00420601">
            <w:pPr>
              <w:pStyle w:val="TableTextSmall"/>
              <w:rPr>
                <w:b/>
              </w:rPr>
            </w:pPr>
            <w:r w:rsidRPr="00EC326F">
              <w:rPr>
                <w:b/>
              </w:rPr>
              <w:t>Outer Regional Australia</w:t>
            </w:r>
          </w:p>
        </w:tc>
        <w:tc>
          <w:tcPr>
            <w:tcW w:w="1224" w:type="dxa"/>
            <w:tcBorders>
              <w:top w:val="single" w:sz="4" w:space="0" w:color="E0301E"/>
              <w:left w:val="nil"/>
              <w:bottom w:val="single" w:sz="4" w:space="0" w:color="E0301E"/>
              <w:right w:val="nil"/>
            </w:tcBorders>
            <w:shd w:val="clear" w:color="000000" w:fill="FCB079"/>
            <w:noWrap/>
            <w:vAlign w:val="bottom"/>
            <w:hideMark/>
          </w:tcPr>
          <w:p w14:paraId="015D4B62" w14:textId="77777777" w:rsidR="00D50C23" w:rsidRPr="00EC326F" w:rsidRDefault="00D50C23" w:rsidP="00420601">
            <w:pPr>
              <w:pStyle w:val="TableTextSmall"/>
              <w:jc w:val="center"/>
            </w:pPr>
            <w:r w:rsidRPr="00EC326F">
              <w:t>312</w:t>
            </w:r>
          </w:p>
        </w:tc>
        <w:tc>
          <w:tcPr>
            <w:tcW w:w="1224" w:type="dxa"/>
            <w:tcBorders>
              <w:top w:val="single" w:sz="4" w:space="0" w:color="E0301E"/>
              <w:left w:val="nil"/>
              <w:bottom w:val="single" w:sz="4" w:space="0" w:color="E0301E"/>
              <w:right w:val="nil"/>
            </w:tcBorders>
            <w:shd w:val="clear" w:color="000000" w:fill="FEC87E"/>
            <w:noWrap/>
            <w:vAlign w:val="bottom"/>
            <w:hideMark/>
          </w:tcPr>
          <w:p w14:paraId="7321ACCB" w14:textId="77777777" w:rsidR="00D50C23" w:rsidRPr="00EC326F" w:rsidRDefault="00D50C23" w:rsidP="00420601">
            <w:pPr>
              <w:pStyle w:val="TableTextSmall"/>
              <w:jc w:val="center"/>
            </w:pPr>
            <w:r w:rsidRPr="00EC326F">
              <w:t>304</w:t>
            </w:r>
          </w:p>
        </w:tc>
        <w:tc>
          <w:tcPr>
            <w:tcW w:w="1353" w:type="dxa"/>
            <w:tcBorders>
              <w:top w:val="single" w:sz="4" w:space="0" w:color="E0301E"/>
              <w:left w:val="nil"/>
              <w:bottom w:val="single" w:sz="4" w:space="0" w:color="E0301E"/>
              <w:right w:val="nil"/>
            </w:tcBorders>
            <w:shd w:val="clear" w:color="000000" w:fill="FECB7E"/>
            <w:noWrap/>
            <w:vAlign w:val="bottom"/>
            <w:hideMark/>
          </w:tcPr>
          <w:p w14:paraId="6DEECF70" w14:textId="77777777" w:rsidR="00D50C23" w:rsidRPr="00EC326F" w:rsidRDefault="00D50C23" w:rsidP="00420601">
            <w:pPr>
              <w:pStyle w:val="TableTextSmall"/>
              <w:jc w:val="center"/>
            </w:pPr>
            <w:r w:rsidRPr="00EC326F">
              <w:t>30</w:t>
            </w:r>
            <w:r>
              <w:t>2</w:t>
            </w:r>
          </w:p>
        </w:tc>
        <w:tc>
          <w:tcPr>
            <w:tcW w:w="1095" w:type="dxa"/>
            <w:tcBorders>
              <w:top w:val="single" w:sz="4" w:space="0" w:color="E0301E"/>
              <w:left w:val="nil"/>
              <w:bottom w:val="single" w:sz="4" w:space="0" w:color="E0301E"/>
              <w:right w:val="nil"/>
            </w:tcBorders>
            <w:shd w:val="clear" w:color="000000" w:fill="FDB97B"/>
            <w:noWrap/>
            <w:vAlign w:val="bottom"/>
            <w:hideMark/>
          </w:tcPr>
          <w:p w14:paraId="7D98F7D7" w14:textId="77777777" w:rsidR="00D50C23" w:rsidRPr="00EC326F" w:rsidRDefault="00D50C23" w:rsidP="00420601">
            <w:pPr>
              <w:pStyle w:val="TableTextSmall"/>
              <w:jc w:val="center"/>
            </w:pPr>
            <w:r w:rsidRPr="00EC326F">
              <w:t>309</w:t>
            </w:r>
          </w:p>
        </w:tc>
        <w:tc>
          <w:tcPr>
            <w:tcW w:w="1224" w:type="dxa"/>
            <w:tcBorders>
              <w:top w:val="single" w:sz="4" w:space="0" w:color="E0301E"/>
              <w:left w:val="nil"/>
              <w:bottom w:val="single" w:sz="4" w:space="0" w:color="E0301E"/>
              <w:right w:val="nil"/>
            </w:tcBorders>
            <w:shd w:val="clear" w:color="000000" w:fill="FA8E73"/>
            <w:noWrap/>
            <w:vAlign w:val="bottom"/>
            <w:hideMark/>
          </w:tcPr>
          <w:p w14:paraId="7068F28E" w14:textId="77777777" w:rsidR="00D50C23" w:rsidRPr="00EC326F" w:rsidRDefault="00D50C23" w:rsidP="00420601">
            <w:pPr>
              <w:pStyle w:val="TableTextSmall"/>
              <w:jc w:val="center"/>
            </w:pPr>
            <w:r w:rsidRPr="00EC326F">
              <w:t>32</w:t>
            </w:r>
            <w:r>
              <w:t>4</w:t>
            </w:r>
          </w:p>
        </w:tc>
        <w:tc>
          <w:tcPr>
            <w:tcW w:w="1225" w:type="dxa"/>
            <w:tcBorders>
              <w:top w:val="single" w:sz="4" w:space="0" w:color="E0301E"/>
              <w:left w:val="nil"/>
              <w:bottom w:val="single" w:sz="4" w:space="0" w:color="E0301E"/>
              <w:right w:val="single" w:sz="4" w:space="0" w:color="E0301E"/>
            </w:tcBorders>
            <w:shd w:val="clear" w:color="000000" w:fill="FDBD7C"/>
            <w:noWrap/>
            <w:vAlign w:val="bottom"/>
            <w:hideMark/>
          </w:tcPr>
          <w:p w14:paraId="052E30BE" w14:textId="77777777" w:rsidR="00D50C23" w:rsidRPr="00EC326F" w:rsidRDefault="00D50C23" w:rsidP="00420601">
            <w:pPr>
              <w:pStyle w:val="TableTextSmall"/>
              <w:jc w:val="center"/>
              <w:rPr>
                <w:b/>
              </w:rPr>
            </w:pPr>
            <w:r w:rsidRPr="00EC326F">
              <w:rPr>
                <w:b/>
              </w:rPr>
              <w:t>30</w:t>
            </w:r>
            <w:r>
              <w:rPr>
                <w:b/>
              </w:rPr>
              <w:t>7</w:t>
            </w:r>
          </w:p>
        </w:tc>
      </w:tr>
      <w:tr w:rsidR="00D50C23" w:rsidRPr="00EC326F" w14:paraId="3AC24B74" w14:textId="77777777" w:rsidTr="00420601">
        <w:trPr>
          <w:trHeight w:val="315"/>
        </w:trPr>
        <w:tc>
          <w:tcPr>
            <w:tcW w:w="2436" w:type="dxa"/>
            <w:tcBorders>
              <w:top w:val="nil"/>
              <w:left w:val="single" w:sz="4" w:space="0" w:color="E0301E"/>
              <w:bottom w:val="single" w:sz="4" w:space="0" w:color="E0301E"/>
              <w:right w:val="nil"/>
            </w:tcBorders>
            <w:shd w:val="clear" w:color="auto" w:fill="auto"/>
            <w:noWrap/>
            <w:vAlign w:val="bottom"/>
            <w:hideMark/>
          </w:tcPr>
          <w:p w14:paraId="11BADBE1" w14:textId="77777777" w:rsidR="00D50C23" w:rsidRPr="00EC326F" w:rsidRDefault="00D50C23" w:rsidP="00420601">
            <w:pPr>
              <w:pStyle w:val="TableTextSmall"/>
              <w:rPr>
                <w:b/>
              </w:rPr>
            </w:pPr>
            <w:r w:rsidRPr="00EC326F">
              <w:rPr>
                <w:b/>
              </w:rPr>
              <w:t xml:space="preserve">Remote </w:t>
            </w:r>
            <w:r>
              <w:rPr>
                <w:b/>
              </w:rPr>
              <w:t xml:space="preserve">and Very Remote </w:t>
            </w:r>
            <w:r w:rsidRPr="00EC326F">
              <w:rPr>
                <w:b/>
              </w:rPr>
              <w:t>Australia</w:t>
            </w:r>
          </w:p>
        </w:tc>
        <w:tc>
          <w:tcPr>
            <w:tcW w:w="1224" w:type="dxa"/>
            <w:tcBorders>
              <w:top w:val="single" w:sz="4" w:space="0" w:color="E0301E"/>
              <w:left w:val="nil"/>
              <w:bottom w:val="single" w:sz="4" w:space="0" w:color="E0301E"/>
              <w:right w:val="nil"/>
            </w:tcBorders>
            <w:shd w:val="clear" w:color="000000" w:fill="F8696B"/>
            <w:noWrap/>
            <w:vAlign w:val="center"/>
            <w:hideMark/>
          </w:tcPr>
          <w:p w14:paraId="48920B99" w14:textId="77777777" w:rsidR="00D50C23" w:rsidRPr="00EC326F" w:rsidRDefault="00D50C23" w:rsidP="00420601">
            <w:pPr>
              <w:pStyle w:val="TableTextSmall"/>
              <w:jc w:val="center"/>
            </w:pPr>
            <w:r w:rsidRPr="00EC326F">
              <w:t>356</w:t>
            </w:r>
          </w:p>
        </w:tc>
        <w:tc>
          <w:tcPr>
            <w:tcW w:w="1224" w:type="dxa"/>
            <w:tcBorders>
              <w:top w:val="single" w:sz="4" w:space="0" w:color="E0301E"/>
              <w:left w:val="nil"/>
              <w:bottom w:val="single" w:sz="4" w:space="0" w:color="E0301E"/>
              <w:right w:val="nil"/>
            </w:tcBorders>
            <w:shd w:val="clear" w:color="000000" w:fill="FB9D75"/>
            <w:noWrap/>
            <w:vAlign w:val="center"/>
            <w:hideMark/>
          </w:tcPr>
          <w:p w14:paraId="25D3C3A7" w14:textId="77777777" w:rsidR="00D50C23" w:rsidRPr="00EC326F" w:rsidRDefault="00D50C23" w:rsidP="00420601">
            <w:pPr>
              <w:pStyle w:val="TableTextSmall"/>
              <w:jc w:val="center"/>
            </w:pPr>
            <w:r w:rsidRPr="00EC326F">
              <w:t>318</w:t>
            </w:r>
          </w:p>
        </w:tc>
        <w:tc>
          <w:tcPr>
            <w:tcW w:w="1353" w:type="dxa"/>
            <w:tcBorders>
              <w:top w:val="single" w:sz="4" w:space="0" w:color="E0301E"/>
              <w:left w:val="nil"/>
              <w:bottom w:val="single" w:sz="4" w:space="0" w:color="E0301E"/>
              <w:right w:val="nil"/>
            </w:tcBorders>
            <w:shd w:val="clear" w:color="000000" w:fill="FCAB78"/>
            <w:noWrap/>
            <w:vAlign w:val="center"/>
            <w:hideMark/>
          </w:tcPr>
          <w:p w14:paraId="480593B1" w14:textId="77777777" w:rsidR="00D50C23" w:rsidRPr="00EC326F" w:rsidRDefault="00D50C23" w:rsidP="00420601">
            <w:pPr>
              <w:pStyle w:val="TableTextSmall"/>
              <w:jc w:val="center"/>
            </w:pPr>
            <w:r w:rsidRPr="00EC326F">
              <w:t>314</w:t>
            </w:r>
          </w:p>
        </w:tc>
        <w:tc>
          <w:tcPr>
            <w:tcW w:w="1095" w:type="dxa"/>
            <w:tcBorders>
              <w:top w:val="single" w:sz="4" w:space="0" w:color="E0301E"/>
              <w:left w:val="nil"/>
              <w:bottom w:val="single" w:sz="4" w:space="0" w:color="E0301E"/>
              <w:right w:val="nil"/>
            </w:tcBorders>
            <w:shd w:val="clear" w:color="000000" w:fill="F8696B"/>
            <w:noWrap/>
            <w:vAlign w:val="center"/>
            <w:hideMark/>
          </w:tcPr>
          <w:p w14:paraId="18FFC5B8" w14:textId="77777777" w:rsidR="00D50C23" w:rsidRPr="00EC326F" w:rsidRDefault="00D50C23" w:rsidP="00420601">
            <w:pPr>
              <w:pStyle w:val="TableTextSmall"/>
              <w:jc w:val="center"/>
            </w:pPr>
            <w:r w:rsidRPr="00EC326F">
              <w:t>345</w:t>
            </w:r>
          </w:p>
        </w:tc>
        <w:tc>
          <w:tcPr>
            <w:tcW w:w="1224" w:type="dxa"/>
            <w:tcBorders>
              <w:top w:val="single" w:sz="4" w:space="0" w:color="E0301E"/>
              <w:left w:val="nil"/>
              <w:bottom w:val="single" w:sz="4" w:space="0" w:color="E0301E"/>
              <w:right w:val="nil"/>
            </w:tcBorders>
            <w:shd w:val="clear" w:color="000000" w:fill="F8696B"/>
            <w:noWrap/>
            <w:vAlign w:val="center"/>
            <w:hideMark/>
          </w:tcPr>
          <w:p w14:paraId="2750E436" w14:textId="77777777" w:rsidR="00D50C23" w:rsidRPr="00EC326F" w:rsidRDefault="00D50C23" w:rsidP="00420601">
            <w:pPr>
              <w:pStyle w:val="TableTextSmall"/>
              <w:jc w:val="center"/>
            </w:pPr>
            <w:r w:rsidRPr="00EC326F">
              <w:t>374</w:t>
            </w:r>
          </w:p>
        </w:tc>
        <w:tc>
          <w:tcPr>
            <w:tcW w:w="1225" w:type="dxa"/>
            <w:tcBorders>
              <w:top w:val="single" w:sz="4" w:space="0" w:color="E0301E"/>
              <w:left w:val="nil"/>
              <w:bottom w:val="single" w:sz="4" w:space="0" w:color="E0301E"/>
              <w:right w:val="single" w:sz="4" w:space="0" w:color="E0301E"/>
            </w:tcBorders>
            <w:shd w:val="clear" w:color="000000" w:fill="F8696B"/>
            <w:noWrap/>
            <w:vAlign w:val="center"/>
            <w:hideMark/>
          </w:tcPr>
          <w:p w14:paraId="654FA037" w14:textId="77777777" w:rsidR="00D50C23" w:rsidRPr="00EC326F" w:rsidRDefault="00D50C23" w:rsidP="00420601">
            <w:pPr>
              <w:pStyle w:val="TableTextSmall"/>
              <w:jc w:val="center"/>
              <w:rPr>
                <w:b/>
              </w:rPr>
            </w:pPr>
            <w:r w:rsidRPr="00EC326F">
              <w:rPr>
                <w:b/>
              </w:rPr>
              <w:t>341</w:t>
            </w:r>
          </w:p>
        </w:tc>
      </w:tr>
      <w:tr w:rsidR="00D50C23" w:rsidRPr="00EC326F" w14:paraId="16EC3D78" w14:textId="77777777" w:rsidTr="00420601">
        <w:trPr>
          <w:trHeight w:val="315"/>
        </w:trPr>
        <w:tc>
          <w:tcPr>
            <w:tcW w:w="2436" w:type="dxa"/>
            <w:tcBorders>
              <w:top w:val="nil"/>
              <w:left w:val="single" w:sz="4" w:space="0" w:color="E0301E"/>
              <w:bottom w:val="single" w:sz="4" w:space="0" w:color="E0301E"/>
              <w:right w:val="nil"/>
            </w:tcBorders>
            <w:shd w:val="clear" w:color="auto" w:fill="auto"/>
            <w:noWrap/>
            <w:vAlign w:val="bottom"/>
            <w:hideMark/>
          </w:tcPr>
          <w:p w14:paraId="4AD56314" w14:textId="77777777" w:rsidR="00D50C23" w:rsidRPr="00EC326F" w:rsidRDefault="00D50C23" w:rsidP="00420601">
            <w:pPr>
              <w:pStyle w:val="TableTextSmall"/>
              <w:rPr>
                <w:b/>
              </w:rPr>
            </w:pPr>
            <w:r w:rsidRPr="00EC326F">
              <w:rPr>
                <w:b/>
              </w:rPr>
              <w:t>Total</w:t>
            </w:r>
          </w:p>
        </w:tc>
        <w:tc>
          <w:tcPr>
            <w:tcW w:w="1224" w:type="dxa"/>
            <w:tcBorders>
              <w:top w:val="single" w:sz="4" w:space="0" w:color="E0301E"/>
              <w:left w:val="nil"/>
              <w:bottom w:val="single" w:sz="4" w:space="0" w:color="E0301E"/>
              <w:right w:val="nil"/>
            </w:tcBorders>
            <w:shd w:val="clear" w:color="000000" w:fill="FB9C75"/>
            <w:noWrap/>
            <w:vAlign w:val="bottom"/>
            <w:hideMark/>
          </w:tcPr>
          <w:p w14:paraId="7746CA1B" w14:textId="77777777" w:rsidR="00D50C23" w:rsidRPr="00EC326F" w:rsidRDefault="00D50C23" w:rsidP="00420601">
            <w:pPr>
              <w:pStyle w:val="TableTextSmall"/>
              <w:jc w:val="center"/>
              <w:rPr>
                <w:b/>
              </w:rPr>
            </w:pPr>
            <w:r w:rsidRPr="00EC326F">
              <w:rPr>
                <w:b/>
              </w:rPr>
              <w:t>319</w:t>
            </w:r>
          </w:p>
        </w:tc>
        <w:tc>
          <w:tcPr>
            <w:tcW w:w="1224" w:type="dxa"/>
            <w:tcBorders>
              <w:top w:val="single" w:sz="4" w:space="0" w:color="E0301E"/>
              <w:left w:val="nil"/>
              <w:bottom w:val="single" w:sz="4" w:space="0" w:color="E0301E"/>
              <w:right w:val="nil"/>
            </w:tcBorders>
            <w:shd w:val="clear" w:color="000000" w:fill="FEC97E"/>
            <w:noWrap/>
            <w:vAlign w:val="bottom"/>
            <w:hideMark/>
          </w:tcPr>
          <w:p w14:paraId="71C477D3" w14:textId="77777777" w:rsidR="00D50C23" w:rsidRPr="00EC326F" w:rsidRDefault="00D50C23" w:rsidP="00420601">
            <w:pPr>
              <w:pStyle w:val="TableTextSmall"/>
              <w:jc w:val="center"/>
              <w:rPr>
                <w:b/>
              </w:rPr>
            </w:pPr>
            <w:r w:rsidRPr="00EC326F">
              <w:rPr>
                <w:b/>
              </w:rPr>
              <w:t>304</w:t>
            </w:r>
          </w:p>
        </w:tc>
        <w:tc>
          <w:tcPr>
            <w:tcW w:w="1353" w:type="dxa"/>
            <w:tcBorders>
              <w:top w:val="single" w:sz="4" w:space="0" w:color="E0301E"/>
              <w:left w:val="nil"/>
              <w:bottom w:val="single" w:sz="4" w:space="0" w:color="E0301E"/>
              <w:right w:val="nil"/>
            </w:tcBorders>
            <w:shd w:val="clear" w:color="000000" w:fill="FFE583"/>
            <w:noWrap/>
            <w:vAlign w:val="bottom"/>
            <w:hideMark/>
          </w:tcPr>
          <w:p w14:paraId="1935C9F9" w14:textId="77777777" w:rsidR="00D50C23" w:rsidRPr="00EC326F" w:rsidRDefault="00D50C23" w:rsidP="00420601">
            <w:pPr>
              <w:pStyle w:val="TableTextSmall"/>
              <w:jc w:val="center"/>
              <w:rPr>
                <w:b/>
              </w:rPr>
            </w:pPr>
            <w:r w:rsidRPr="00EC326F">
              <w:rPr>
                <w:b/>
              </w:rPr>
              <w:t>294</w:t>
            </w:r>
          </w:p>
        </w:tc>
        <w:tc>
          <w:tcPr>
            <w:tcW w:w="1095" w:type="dxa"/>
            <w:tcBorders>
              <w:top w:val="single" w:sz="4" w:space="0" w:color="E0301E"/>
              <w:left w:val="nil"/>
              <w:bottom w:val="single" w:sz="4" w:space="0" w:color="E0301E"/>
              <w:right w:val="nil"/>
            </w:tcBorders>
            <w:shd w:val="clear" w:color="000000" w:fill="DBE081"/>
            <w:noWrap/>
            <w:vAlign w:val="bottom"/>
            <w:hideMark/>
          </w:tcPr>
          <w:p w14:paraId="3F9213B9" w14:textId="77777777" w:rsidR="00D50C23" w:rsidRPr="00EC326F" w:rsidRDefault="00D50C23" w:rsidP="00420601">
            <w:pPr>
              <w:pStyle w:val="TableTextSmall"/>
              <w:jc w:val="center"/>
              <w:rPr>
                <w:b/>
              </w:rPr>
            </w:pPr>
            <w:r w:rsidRPr="00EC326F">
              <w:rPr>
                <w:b/>
              </w:rPr>
              <w:t>282</w:t>
            </w:r>
          </w:p>
        </w:tc>
        <w:tc>
          <w:tcPr>
            <w:tcW w:w="1224" w:type="dxa"/>
            <w:tcBorders>
              <w:top w:val="single" w:sz="4" w:space="0" w:color="E0301E"/>
              <w:left w:val="nil"/>
              <w:bottom w:val="single" w:sz="4" w:space="0" w:color="E0301E"/>
              <w:right w:val="nil"/>
            </w:tcBorders>
            <w:shd w:val="clear" w:color="000000" w:fill="8CC97D"/>
            <w:noWrap/>
            <w:vAlign w:val="bottom"/>
            <w:hideMark/>
          </w:tcPr>
          <w:p w14:paraId="620B77DF" w14:textId="77777777" w:rsidR="00D50C23" w:rsidRPr="00EC326F" w:rsidRDefault="00D50C23" w:rsidP="00420601">
            <w:pPr>
              <w:pStyle w:val="TableTextSmall"/>
              <w:jc w:val="center"/>
              <w:rPr>
                <w:b/>
              </w:rPr>
            </w:pPr>
            <w:r w:rsidRPr="00EC326F">
              <w:rPr>
                <w:b/>
              </w:rPr>
              <w:t>260</w:t>
            </w:r>
          </w:p>
        </w:tc>
        <w:tc>
          <w:tcPr>
            <w:tcW w:w="1225" w:type="dxa"/>
            <w:tcBorders>
              <w:top w:val="single" w:sz="4" w:space="0" w:color="E0301E"/>
              <w:left w:val="nil"/>
              <w:bottom w:val="single" w:sz="4" w:space="0" w:color="E0301E"/>
              <w:right w:val="single" w:sz="4" w:space="0" w:color="E0301E"/>
            </w:tcBorders>
            <w:shd w:val="clear" w:color="000000" w:fill="FFEB84"/>
            <w:noWrap/>
            <w:vAlign w:val="bottom"/>
            <w:hideMark/>
          </w:tcPr>
          <w:p w14:paraId="6D0293C7" w14:textId="77777777" w:rsidR="00D50C23" w:rsidRPr="00EC326F" w:rsidRDefault="00D50C23" w:rsidP="00420601">
            <w:pPr>
              <w:pStyle w:val="TableTextSmall"/>
              <w:jc w:val="center"/>
              <w:rPr>
                <w:b/>
              </w:rPr>
            </w:pPr>
            <w:r w:rsidRPr="00EC326F">
              <w:rPr>
                <w:b/>
              </w:rPr>
              <w:t>292</w:t>
            </w:r>
          </w:p>
        </w:tc>
      </w:tr>
    </w:tbl>
    <w:p w14:paraId="1ECF289F" w14:textId="77777777" w:rsidR="00F36F13" w:rsidRPr="00EC326F" w:rsidRDefault="00F36F13" w:rsidP="00D60D12">
      <w:pPr>
        <w:pStyle w:val="PwCNormal-keepwithnext"/>
      </w:pPr>
      <w:r w:rsidRPr="00EC326F">
        <w:lastRenderedPageBreak/>
        <w:t>We make the following observations:</w:t>
      </w:r>
    </w:p>
    <w:p w14:paraId="0C561B14" w14:textId="2710BAD4" w:rsidR="002F7661" w:rsidRPr="00EC326F" w:rsidRDefault="002F7661" w:rsidP="002F7661">
      <w:pPr>
        <w:pStyle w:val="ListBullet"/>
      </w:pPr>
      <w:r w:rsidRPr="00EC326F">
        <w:t xml:space="preserve">There are only a small number of people in “Remote </w:t>
      </w:r>
      <w:r w:rsidR="00116A0C">
        <w:t xml:space="preserve">and Very Remote </w:t>
      </w:r>
      <w:r w:rsidRPr="00EC326F">
        <w:t xml:space="preserve">Australia”.  As such, results for </w:t>
      </w:r>
      <w:r w:rsidR="00116A0C">
        <w:t xml:space="preserve">this category </w:t>
      </w:r>
      <w:r w:rsidRPr="00EC326F">
        <w:t>may be influenced by the specific characteristics of a small number of regions.</w:t>
      </w:r>
    </w:p>
    <w:p w14:paraId="5E599466" w14:textId="77777777" w:rsidR="002F7661" w:rsidRPr="00EC326F" w:rsidRDefault="00F36F13" w:rsidP="00F36F13">
      <w:pPr>
        <w:pStyle w:val="ListBullet"/>
      </w:pPr>
      <w:r w:rsidRPr="00EC326F">
        <w:t xml:space="preserve">In general, people in lower SEIFA quintiles are more likely to be </w:t>
      </w:r>
      <w:r w:rsidR="001874CF" w:rsidRPr="00EC326F">
        <w:t>receiving</w:t>
      </w:r>
      <w:r w:rsidRPr="00EC326F">
        <w:t xml:space="preserve"> income support</w:t>
      </w:r>
      <w:r w:rsidR="001874CF" w:rsidRPr="00EC326F">
        <w:t xml:space="preserve"> payments</w:t>
      </w:r>
      <w:r w:rsidRPr="00EC326F">
        <w:t>. In the lowest SEIFA quintile, 3</w:t>
      </w:r>
      <w:r w:rsidR="00552677" w:rsidRPr="00EC326F">
        <w:t>0</w:t>
      </w:r>
      <w:r w:rsidRPr="00EC326F">
        <w:t>% of people are on income support; this compares with 18% in the highest quintile. This is not surprising, as income support is intended for those who have low income or wealth</w:t>
      </w:r>
      <w:r w:rsidR="001874CF" w:rsidRPr="00EC326F">
        <w:t xml:space="preserve"> and the eligibility requirements typically include income and asset tests</w:t>
      </w:r>
      <w:r w:rsidRPr="00EC326F">
        <w:t>.</w:t>
      </w:r>
      <w:r w:rsidR="002F7661" w:rsidRPr="00EC326F">
        <w:t xml:space="preserve"> </w:t>
      </w:r>
    </w:p>
    <w:p w14:paraId="2D9EE77F" w14:textId="77777777" w:rsidR="00F36F13" w:rsidRPr="00EC326F" w:rsidRDefault="002F7661" w:rsidP="00F36F13">
      <w:pPr>
        <w:pStyle w:val="ListBullet"/>
      </w:pPr>
      <w:r w:rsidRPr="00EC326F">
        <w:t xml:space="preserve">The proportion of people utilising income support does not </w:t>
      </w:r>
      <w:r w:rsidR="001874CF" w:rsidRPr="00EC326F">
        <w:t>consistently</w:t>
      </w:r>
      <w:r w:rsidRPr="00EC326F">
        <w:t xml:space="preserve"> increase by remoteness</w:t>
      </w:r>
      <w:r w:rsidR="001874CF" w:rsidRPr="00EC326F">
        <w:t>; regional locations have higher welfare utilisation than major cities, however remote areas have utilisation similar to the cities</w:t>
      </w:r>
      <w:r w:rsidRPr="00EC326F">
        <w:t>. The reasons for this are less clear, although</w:t>
      </w:r>
      <w:r w:rsidR="001874CF" w:rsidRPr="00EC326F">
        <w:t xml:space="preserve"> the populations in remote areas are small and so</w:t>
      </w:r>
      <w:r w:rsidRPr="00EC326F">
        <w:t xml:space="preserve"> it could be due to </w:t>
      </w:r>
      <w:r w:rsidR="001874CF" w:rsidRPr="00EC326F">
        <w:t>particular</w:t>
      </w:r>
      <w:r w:rsidRPr="00EC326F">
        <w:t xml:space="preserve"> industries operating in specific remote areas.</w:t>
      </w:r>
    </w:p>
    <w:p w14:paraId="23DDE43A" w14:textId="77777777" w:rsidR="00116A0C" w:rsidRDefault="00F36F13" w:rsidP="00F36F13">
      <w:pPr>
        <w:pStyle w:val="ListBullet"/>
      </w:pPr>
      <w:r w:rsidRPr="00EC326F">
        <w:t xml:space="preserve">People </w:t>
      </w:r>
      <w:r w:rsidR="00AC6E4B" w:rsidRPr="00EC326F">
        <w:t>in the income support classes who are living in locations with</w:t>
      </w:r>
      <w:r w:rsidRPr="00EC326F">
        <w:t xml:space="preserve"> lower SEIFA quintiles and/or living in more remote regions have a higher average lifetime cost. The average lifetime cost in the lowest SEIFA quintile is 23% higher than for the highest quintile, while the average lifetime cost for ‘Remote Australia’ is </w:t>
      </w:r>
      <w:r w:rsidR="00AC6E4B" w:rsidRPr="00EC326F">
        <w:t>18</w:t>
      </w:r>
      <w:r w:rsidRPr="00EC326F">
        <w:t>% higher than the average cost for ‘Major Cities’. This is most likely reflecting the higher likelihood of these people to remain on social welfare for longer.</w:t>
      </w:r>
    </w:p>
    <w:p w14:paraId="4423AFD4" w14:textId="5F739B61" w:rsidR="009D3857" w:rsidRDefault="00116A0C" w:rsidP="00F36F13">
      <w:pPr>
        <w:pStyle w:val="ListBullet"/>
      </w:pPr>
      <w:r>
        <w:t>For ‘Outer Regional Australia’ and “Remote and Very Remote Australia’, we note that the higher SEIFA quintiles have higher lifetime cost. The characteristics recorded for people in these areas suggest they will have a higher average lifetime cost, most likely as a result of greater persistency.</w:t>
      </w:r>
      <w:r w:rsidR="00AC6E4B" w:rsidRPr="00EC326F">
        <w:t xml:space="preserve"> </w:t>
      </w:r>
    </w:p>
    <w:p w14:paraId="281D36CD" w14:textId="77777777" w:rsidR="00F36F13" w:rsidRPr="00EC326F" w:rsidRDefault="009D3857" w:rsidP="009D3857">
      <w:pPr>
        <w:pStyle w:val="PwCNormal"/>
      </w:pPr>
      <w:r>
        <w:t>These results</w:t>
      </w:r>
      <w:r w:rsidR="00AC6E4B" w:rsidRPr="00EC326F">
        <w:t xml:space="preserve"> may also be influenced by the demographic mix of people in each location.</w:t>
      </w:r>
    </w:p>
    <w:p w14:paraId="03CC27B3" w14:textId="77777777" w:rsidR="000974E7" w:rsidRPr="00EC326F" w:rsidRDefault="000974E7" w:rsidP="000974E7">
      <w:pPr>
        <w:pStyle w:val="Heading3"/>
      </w:pPr>
      <w:bookmarkStart w:id="802" w:name="_Ref466371474"/>
      <w:bookmarkStart w:id="803" w:name="_Ref466418731"/>
      <w:bookmarkStart w:id="804" w:name="_Toc493844286"/>
      <w:r w:rsidRPr="00EC326F">
        <w:t>Medical condition profile for DSP recipients</w:t>
      </w:r>
      <w:bookmarkEnd w:id="802"/>
      <w:bookmarkEnd w:id="803"/>
      <w:bookmarkEnd w:id="804"/>
    </w:p>
    <w:p w14:paraId="4A1BAD9B" w14:textId="77777777" w:rsidR="00F36F13" w:rsidRPr="00EC326F" w:rsidRDefault="00F36F13" w:rsidP="00F36F13">
      <w:pPr>
        <w:pStyle w:val="PwCNormal"/>
        <w:numPr>
          <w:ilvl w:val="0"/>
          <w:numId w:val="0"/>
        </w:numPr>
      </w:pPr>
      <w:r w:rsidRPr="00EC326F">
        <w:t xml:space="preserve">In </w:t>
      </w:r>
      <w:r w:rsidR="0011562A">
        <w:t>section</w:t>
      </w:r>
      <w:r w:rsidR="002701A6" w:rsidRPr="00EC326F">
        <w:t xml:space="preserve"> </w:t>
      </w:r>
      <w:r w:rsidR="002701A6" w:rsidRPr="00EC326F">
        <w:fldChar w:fldCharType="begin"/>
      </w:r>
      <w:r w:rsidR="002701A6" w:rsidRPr="00EC326F">
        <w:instrText xml:space="preserve"> REF _Ref466371492 \r \h </w:instrText>
      </w:r>
      <w:r w:rsidR="002701A6" w:rsidRPr="00EC326F">
        <w:fldChar w:fldCharType="separate"/>
      </w:r>
      <w:r w:rsidR="007A42DF">
        <w:t>8.5</w:t>
      </w:r>
      <w:r w:rsidR="002701A6" w:rsidRPr="00EC326F">
        <w:fldChar w:fldCharType="end"/>
      </w:r>
      <w:r w:rsidRPr="00EC326F">
        <w:t xml:space="preserve"> we observed that the number of new entries to disability support pension had reduced significantly in recent years. This is likely to be as a result of a series of policy changes which have tightened the eligibility criteria for the Disability Support Pension. In this section we consider the medical condition profile of these new entrants and explore whether the profile has changed.</w:t>
      </w:r>
    </w:p>
    <w:p w14:paraId="22DFFA43" w14:textId="77777777" w:rsidR="00F36F13" w:rsidRPr="00EC326F" w:rsidRDefault="00F36F13" w:rsidP="00F36F13">
      <w:pPr>
        <w:pStyle w:val="PwCNormal"/>
        <w:numPr>
          <w:ilvl w:val="0"/>
          <w:numId w:val="0"/>
        </w:numPr>
      </w:pPr>
      <w:r w:rsidRPr="00EC326F">
        <w:t>The charts below show the numbers of male and female new entrants by primary medical condition:</w:t>
      </w:r>
    </w:p>
    <w:p w14:paraId="0590A5D9" w14:textId="77777777" w:rsidR="00F36F13" w:rsidRPr="00EC326F" w:rsidRDefault="00F36F13" w:rsidP="00F36F13">
      <w:pPr>
        <w:pStyle w:val="Caption"/>
      </w:pPr>
      <w:r w:rsidRPr="00EC326F">
        <w:t xml:space="preserve">Figure </w:t>
      </w:r>
      <w:r w:rsidRPr="00EC326F">
        <w:fldChar w:fldCharType="begin"/>
      </w:r>
      <w:r w:rsidRPr="00EC326F">
        <w:rPr>
          <w:bCs w:val="0"/>
        </w:rPr>
        <w:instrText xml:space="preserve"> SEQ Figure \* ARABIC </w:instrText>
      </w:r>
      <w:r w:rsidRPr="00EC326F">
        <w:fldChar w:fldCharType="separate"/>
      </w:r>
      <w:r w:rsidR="007A42DF">
        <w:rPr>
          <w:bCs w:val="0"/>
          <w:noProof/>
        </w:rPr>
        <w:t>111</w:t>
      </w:r>
      <w:r w:rsidRPr="00EC326F">
        <w:fldChar w:fldCharType="end"/>
      </w:r>
      <w:r w:rsidRPr="00EC326F">
        <w:t>: Number of new entrants to Disability Support Pension by primary medical 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 Number of new entrants to Disability Support Pension by primary medical condition&#10;"/>
        <w:tblDescription w:val="This figure consists of two stacked bar charts. The charts show the number of new entrants to Disability Support Pension by primary medical condition. The chart on the left shows this information for males, while the chart on the right shows females. The vertical axis shows the number of entrants ranging from 0 to 35,000. The horizontal axis shows financial years from 2012 to 2016.&#10;&#10;The columns for each year are split by primary medical condition: Acquired Brain Impairment, Cancer/Tumour, Congenital Anomalies &amp; Inherited Disorders, Intellectual/Learning, Musculo-Skeletal &amp; Connective Tissue, Nervous System, Poorly Defined Cause/Chronic Pain, Psychological/Psychiatric, Circulatory &amp; Respiratory System, and Other.&#10;&#10;The key features of these charts are discussed in the accompanying text within the report.&#10;"/>
      </w:tblPr>
      <w:tblGrid>
        <w:gridCol w:w="3794"/>
        <w:gridCol w:w="3969"/>
        <w:gridCol w:w="2318"/>
      </w:tblGrid>
      <w:tr w:rsidR="00F36F13" w:rsidRPr="00EC326F" w14:paraId="24532BBB" w14:textId="77777777" w:rsidTr="005D6CEC">
        <w:trPr>
          <w:tblHeader/>
        </w:trPr>
        <w:tc>
          <w:tcPr>
            <w:tcW w:w="3794" w:type="dxa"/>
          </w:tcPr>
          <w:p w14:paraId="19373094" w14:textId="77777777" w:rsidR="00F36F13" w:rsidRPr="00EC326F" w:rsidRDefault="00693075" w:rsidP="00210614">
            <w:pPr>
              <w:pStyle w:val="TableTextSmall"/>
            </w:pPr>
            <w:r w:rsidRPr="00693075">
              <w:rPr>
                <w:noProof/>
                <w:lang w:eastAsia="en-AU"/>
              </w:rPr>
              <w:drawing>
                <wp:inline distT="0" distB="0" distL="0" distR="0" wp14:anchorId="041E98C2" wp14:editId="1D0505A8">
                  <wp:extent cx="2340000" cy="1625345"/>
                  <wp:effectExtent l="0" t="0" r="3175" b="0"/>
                  <wp:docPr id="16" name="Picture 16" descr="This figure consists of two stacked bar charts. The charts show the number of new entrants to Disability Support Pension by primary medical condition. The chart on the left shows this information for males, while the chart on the right shows females. The vertical axis shows the number of entrants ranging from 0 to 35,000. The horizontal axis shows financial years from 2012 to 2016.&#10;&#10;The columns for each year are split by primary medical condition: Acquired Brain Impairment, Cancer/Tumour, Congenital Anomalies &amp; Inherited Disorders, Intellectual/Learning, Musculo-Skeletal &amp; Connective Tissue, Nervous System, Poorly Defined Cause/Chronic Pain, Psychological/Psychiatric, Circulatory &amp; Respiratory System, and Other.&#10;&#10;The key features of these charts are discussed in the accompanying text within the report.&#10;" title=" Number of new entrants to Disability Support Pension by primary medical cond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340000" cy="1625345"/>
                          </a:xfrm>
                          <a:prstGeom prst="rect">
                            <a:avLst/>
                          </a:prstGeom>
                          <a:noFill/>
                          <a:ln>
                            <a:noFill/>
                          </a:ln>
                        </pic:spPr>
                      </pic:pic>
                    </a:graphicData>
                  </a:graphic>
                </wp:inline>
              </w:drawing>
            </w:r>
          </w:p>
        </w:tc>
        <w:tc>
          <w:tcPr>
            <w:tcW w:w="3969" w:type="dxa"/>
          </w:tcPr>
          <w:p w14:paraId="754F60D3" w14:textId="77777777" w:rsidR="00F36F13" w:rsidRPr="00EC326F" w:rsidRDefault="00693075" w:rsidP="00210614">
            <w:pPr>
              <w:pStyle w:val="TableTextSmall"/>
            </w:pPr>
            <w:r w:rsidRPr="00693075">
              <w:rPr>
                <w:noProof/>
                <w:lang w:eastAsia="en-AU"/>
              </w:rPr>
              <w:drawing>
                <wp:inline distT="0" distB="0" distL="0" distR="0" wp14:anchorId="68493AC2" wp14:editId="22DBC447">
                  <wp:extent cx="2340000" cy="1638062"/>
                  <wp:effectExtent l="0" t="0" r="3175" b="635"/>
                  <wp:docPr id="15" name="Picture 15" descr="This figure consists of two stacked bar charts. The charts show the number of new entrants to Disability Support Pension by primary medical condition. The chart on the left shows this information for males, while the chart on the right shows females. The vertical axis shows the number of entrants ranging from 0 to 35,000. The horizontal axis shows financial years from 2012 to 2016.&#10;&#10;The columns for each year are split by primary medical condition: Acquired Brain Impairment, Cancer/Tumour, Congenital Anomalies &amp; Inherited Disorders, Intellectual/Learning, Musculo-Skeletal &amp; Connective Tissue, Nervous System, Poorly Defined Cause/Chronic Pain, Psychological/Psychiatric, Circulatory &amp; Respiratory System, and Other.&#10;&#10;The key features of these charts are discussed in the accompanying text within the report.&#10;" title=" Number of new entrants to Disability Support Pension by primary medical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340000" cy="1638062"/>
                          </a:xfrm>
                          <a:prstGeom prst="rect">
                            <a:avLst/>
                          </a:prstGeom>
                          <a:noFill/>
                          <a:ln>
                            <a:noFill/>
                          </a:ln>
                        </pic:spPr>
                      </pic:pic>
                    </a:graphicData>
                  </a:graphic>
                </wp:inline>
              </w:drawing>
            </w:r>
          </w:p>
        </w:tc>
        <w:tc>
          <w:tcPr>
            <w:tcW w:w="2318" w:type="dxa"/>
          </w:tcPr>
          <w:p w14:paraId="01426E4D" w14:textId="77777777" w:rsidR="00F36F13" w:rsidRPr="00EC326F" w:rsidRDefault="00F36F13" w:rsidP="00210614">
            <w:pPr>
              <w:pStyle w:val="TableTextSmall"/>
              <w:rPr>
                <w:lang w:eastAsia="en-AU"/>
              </w:rPr>
            </w:pPr>
          </w:p>
          <w:p w14:paraId="6C8E25F5" w14:textId="77777777" w:rsidR="00F36F13" w:rsidRPr="00EC326F" w:rsidDel="001F4313" w:rsidRDefault="00F36F13" w:rsidP="00210614">
            <w:pPr>
              <w:pStyle w:val="TableTextSmall"/>
              <w:rPr>
                <w:lang w:eastAsia="en-AU"/>
              </w:rPr>
            </w:pPr>
            <w:r w:rsidRPr="00EC326F">
              <w:rPr>
                <w:lang w:eastAsia="en-AU"/>
              </w:rPr>
              <w:t xml:space="preserve"> </w:t>
            </w:r>
            <w:r w:rsidR="00693075" w:rsidRPr="00693075">
              <w:rPr>
                <w:noProof/>
                <w:lang w:eastAsia="en-AU"/>
              </w:rPr>
              <w:drawing>
                <wp:inline distT="0" distB="0" distL="0" distR="0" wp14:anchorId="6B0AEB51" wp14:editId="2E866241">
                  <wp:extent cx="1426433" cy="1164566"/>
                  <wp:effectExtent l="0" t="0" r="2540" b="0"/>
                  <wp:docPr id="124" name="Picture 124" descr="Legend: Other, circulatory &amp; respiratory system, psychological/psychiatric, poorly defined cause / chronic pain, nervous system, musculo-skeletal &amp; connective tissue, intellectual/learning, congenital anomalies &amp; inherited disorders, cancer/tumour, acquired brain impairment" title="Legend for Fig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12259" t="5819" b="35435"/>
                          <a:stretch/>
                        </pic:blipFill>
                        <pic:spPr bwMode="auto">
                          <a:xfrm>
                            <a:off x="0" y="0"/>
                            <a:ext cx="1433422" cy="11702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C17063" w14:textId="77777777" w:rsidR="00F36F13" w:rsidRPr="00EC326F" w:rsidRDefault="00F36F13" w:rsidP="00F36F13">
      <w:pPr>
        <w:pStyle w:val="PwCNormal"/>
        <w:numPr>
          <w:ilvl w:val="0"/>
          <w:numId w:val="0"/>
        </w:numPr>
      </w:pPr>
      <w:r w:rsidRPr="00EC326F">
        <w:t>We make the following observations:</w:t>
      </w:r>
    </w:p>
    <w:p w14:paraId="09015C70" w14:textId="77777777" w:rsidR="00F36F13" w:rsidRPr="00EC326F" w:rsidRDefault="00F36F13" w:rsidP="00F36F13">
      <w:pPr>
        <w:pStyle w:val="ListBullet"/>
      </w:pPr>
      <w:r w:rsidRPr="00EC326F">
        <w:t>The number of new entries has been reducing steadily over the last few years, as shown by the columns decreasing in total.</w:t>
      </w:r>
    </w:p>
    <w:p w14:paraId="1443D955" w14:textId="77777777" w:rsidR="00F36F13" w:rsidRPr="00EC326F" w:rsidRDefault="00F36F13" w:rsidP="00F36F13">
      <w:pPr>
        <w:pStyle w:val="ListBullet"/>
      </w:pPr>
      <w:r w:rsidRPr="00EC326F">
        <w:t>The reduction in numbers has occurred for both genders and whilst there are some subtle differences in the mix of medical conditions the key features of the experience are similar for both genders.</w:t>
      </w:r>
    </w:p>
    <w:p w14:paraId="09F53E8A" w14:textId="77777777" w:rsidR="00F36F13" w:rsidRPr="00EC326F" w:rsidRDefault="00F36F13" w:rsidP="00F36F13">
      <w:pPr>
        <w:pStyle w:val="ListBullet"/>
      </w:pPr>
      <w:r w:rsidRPr="00EC326F">
        <w:t>There have been very few entries in the 2015/16 year. This has been discussed with the Department and could be at least partly a result of the natural delays that occurred between when an application is first lodged and when the claim assessment is completed.</w:t>
      </w:r>
    </w:p>
    <w:p w14:paraId="206CF180" w14:textId="77777777" w:rsidR="00F36F13" w:rsidRPr="00EC326F" w:rsidRDefault="00F36F13" w:rsidP="00F36F13">
      <w:pPr>
        <w:pStyle w:val="PwCNormal"/>
        <w:numPr>
          <w:ilvl w:val="0"/>
          <w:numId w:val="0"/>
        </w:numPr>
      </w:pPr>
      <w:r w:rsidRPr="00EC326F">
        <w:t xml:space="preserve">In addition, we can see that although there have been reductions in all medical condition categories, the profile of new Disability Support Pension recipients has also been changing with some conditions reducing by </w:t>
      </w:r>
      <w:r w:rsidRPr="00EC326F">
        <w:lastRenderedPageBreak/>
        <w:t>significantly more than others. The table below quantifies the reduction between the 2011-12 and 2014-15 years by medical condition.</w:t>
      </w:r>
    </w:p>
    <w:p w14:paraId="0E798C47" w14:textId="77777777" w:rsidR="00F36F13" w:rsidRPr="002A0A1A" w:rsidRDefault="00F36F13" w:rsidP="00F36F13">
      <w:pPr>
        <w:pStyle w:val="Caption"/>
      </w:pPr>
      <w:r w:rsidRPr="00EC326F">
        <w:t xml:space="preserve">Table </w:t>
      </w:r>
      <w:fldSimple w:instr=" SEQ Table \* ARABIC ">
        <w:r w:rsidR="007A42DF">
          <w:rPr>
            <w:noProof/>
          </w:rPr>
          <w:t>61</w:t>
        </w:r>
      </w:fldSimple>
      <w:r w:rsidRPr="00EC326F">
        <w:t>: Summary of changes in numbers of DSP entrants between 2011-12 and 2014-15</w:t>
      </w:r>
    </w:p>
    <w:tbl>
      <w:tblPr>
        <w:tblStyle w:val="ListTable3-Accent61"/>
        <w:tblW w:w="0" w:type="auto"/>
        <w:tblInd w:w="108" w:type="dxa"/>
        <w:tblLayout w:type="fixed"/>
        <w:tblLook w:val="04A0" w:firstRow="1" w:lastRow="0" w:firstColumn="1" w:lastColumn="0" w:noHBand="0" w:noVBand="1"/>
        <w:tblCaption w:val=" Summary of changes in numbers of DSP entrants between 2011-12 and 2014-15&#10;"/>
        <w:tblDescription w:val="This table lists the changes in numbers of DSP entrants between 2011-12 and 2014-15.&#10;&#10;The columns show the number of entrants in 2011-12, number of entrants in 2014-15 and the % change. The rows list the primary medical condition: acquired brain impairment, cancer/tumor, congenital anomalies &amp; inherited disorders, intellectual/learning, musculo-skeletal &amp; connective tissue, nervous system, poorly defined cause/chronic pain, psychological/psychiatric, circulatory &amp; respiratory system, and other.&#10;&#10;Each primary medical condition experienced a decrease in the number of entrants between the two periods. Musculo-skeletal &amp; connective tissue had the greatest change in entrants with a decrease of 49%.&#10;&#10;The key features of this table are discussed in the accompanying text within the report. &#10;"/>
      </w:tblPr>
      <w:tblGrid>
        <w:gridCol w:w="3969"/>
        <w:gridCol w:w="1181"/>
        <w:gridCol w:w="1181"/>
        <w:gridCol w:w="1182"/>
      </w:tblGrid>
      <w:tr w:rsidR="00F36F13" w:rsidRPr="00EC326F" w14:paraId="6D665ABD" w14:textId="77777777" w:rsidTr="0021061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tcPr>
          <w:p w14:paraId="68072BEC" w14:textId="77777777" w:rsidR="00F36F13" w:rsidRPr="00EC326F" w:rsidRDefault="00F36F13" w:rsidP="00210614">
            <w:pPr>
              <w:pStyle w:val="TableColumnHeadingSmall"/>
              <w:rPr>
                <w:b/>
              </w:rPr>
            </w:pPr>
            <w:r w:rsidRPr="00EC326F">
              <w:rPr>
                <w:b/>
              </w:rPr>
              <w:t>Primary Medical Condition</w:t>
            </w:r>
          </w:p>
        </w:tc>
        <w:tc>
          <w:tcPr>
            <w:tcW w:w="1181" w:type="dxa"/>
          </w:tcPr>
          <w:p w14:paraId="762CFC69" w14:textId="77777777" w:rsidR="00F36F13" w:rsidRPr="00EC326F" w:rsidRDefault="00F36F13" w:rsidP="00210614">
            <w:pPr>
              <w:pStyle w:val="TableColumnHeadingSmall"/>
              <w:jc w:val="center"/>
              <w:cnfStyle w:val="100000000000" w:firstRow="1" w:lastRow="0" w:firstColumn="0" w:lastColumn="0" w:oddVBand="0" w:evenVBand="0" w:oddHBand="0" w:evenHBand="0" w:firstRowFirstColumn="0" w:firstRowLastColumn="0" w:lastRowFirstColumn="0" w:lastRowLastColumn="0"/>
              <w:rPr>
                <w:b/>
              </w:rPr>
            </w:pPr>
            <w:r w:rsidRPr="00EC326F">
              <w:rPr>
                <w:b/>
              </w:rPr>
              <w:t>Entrants 2011-12</w:t>
            </w:r>
          </w:p>
        </w:tc>
        <w:tc>
          <w:tcPr>
            <w:tcW w:w="1181" w:type="dxa"/>
          </w:tcPr>
          <w:p w14:paraId="36DC35C4" w14:textId="77777777" w:rsidR="00F36F13" w:rsidRPr="00EC326F" w:rsidRDefault="00F36F13" w:rsidP="00210614">
            <w:pPr>
              <w:pStyle w:val="TableColumnHeadingSmall"/>
              <w:jc w:val="center"/>
              <w:cnfStyle w:val="100000000000" w:firstRow="1" w:lastRow="0" w:firstColumn="0" w:lastColumn="0" w:oddVBand="0" w:evenVBand="0" w:oddHBand="0" w:evenHBand="0" w:firstRowFirstColumn="0" w:firstRowLastColumn="0" w:lastRowFirstColumn="0" w:lastRowLastColumn="0"/>
              <w:rPr>
                <w:b/>
              </w:rPr>
            </w:pPr>
            <w:r w:rsidRPr="00EC326F">
              <w:rPr>
                <w:b/>
              </w:rPr>
              <w:t>Entrants 2014-15</w:t>
            </w:r>
          </w:p>
        </w:tc>
        <w:tc>
          <w:tcPr>
            <w:tcW w:w="1182" w:type="dxa"/>
          </w:tcPr>
          <w:p w14:paraId="39077027" w14:textId="77777777" w:rsidR="00F36F13" w:rsidRPr="00EC326F" w:rsidRDefault="00F36F13" w:rsidP="00210614">
            <w:pPr>
              <w:pStyle w:val="TableColumnHeadingSmall"/>
              <w:jc w:val="center"/>
              <w:cnfStyle w:val="100000000000" w:firstRow="1" w:lastRow="0" w:firstColumn="0" w:lastColumn="0" w:oddVBand="0" w:evenVBand="0" w:oddHBand="0" w:evenHBand="0" w:firstRowFirstColumn="0" w:firstRowLastColumn="0" w:lastRowFirstColumn="0" w:lastRowLastColumn="0"/>
              <w:rPr>
                <w:b/>
              </w:rPr>
            </w:pPr>
            <w:r w:rsidRPr="00EC326F">
              <w:rPr>
                <w:b/>
              </w:rPr>
              <w:t>% Change</w:t>
            </w:r>
          </w:p>
        </w:tc>
      </w:tr>
      <w:tr w:rsidR="00F36F13" w:rsidRPr="00EC326F" w14:paraId="09071F23" w14:textId="77777777" w:rsidTr="00210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AB3E4F2" w14:textId="77777777" w:rsidR="00F36F13" w:rsidRPr="009B58B4" w:rsidRDefault="00F36F13" w:rsidP="00210614">
            <w:pPr>
              <w:pStyle w:val="TableTextSmall"/>
              <w:keepNext/>
              <w:rPr>
                <w:b w:val="0"/>
              </w:rPr>
            </w:pPr>
            <w:r w:rsidRPr="009B58B4">
              <w:rPr>
                <w:b w:val="0"/>
              </w:rPr>
              <w:t>Acquired Brain Impairment</w:t>
            </w:r>
          </w:p>
        </w:tc>
        <w:tc>
          <w:tcPr>
            <w:tcW w:w="1181" w:type="dxa"/>
            <w:vAlign w:val="center"/>
          </w:tcPr>
          <w:p w14:paraId="3262DB20"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1,322</w:t>
            </w:r>
          </w:p>
        </w:tc>
        <w:tc>
          <w:tcPr>
            <w:tcW w:w="1181" w:type="dxa"/>
            <w:vAlign w:val="center"/>
          </w:tcPr>
          <w:p w14:paraId="157D31D8"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1,250</w:t>
            </w:r>
          </w:p>
        </w:tc>
        <w:tc>
          <w:tcPr>
            <w:tcW w:w="1182" w:type="dxa"/>
            <w:vAlign w:val="center"/>
          </w:tcPr>
          <w:p w14:paraId="7EEDEF6D"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w:t>
            </w:r>
          </w:p>
        </w:tc>
      </w:tr>
      <w:tr w:rsidR="00F36F13" w:rsidRPr="00EC326F" w14:paraId="31901261" w14:textId="77777777" w:rsidTr="00210614">
        <w:tc>
          <w:tcPr>
            <w:cnfStyle w:val="001000000000" w:firstRow="0" w:lastRow="0" w:firstColumn="1" w:lastColumn="0" w:oddVBand="0" w:evenVBand="0" w:oddHBand="0" w:evenHBand="0" w:firstRowFirstColumn="0" w:firstRowLastColumn="0" w:lastRowFirstColumn="0" w:lastRowLastColumn="0"/>
            <w:tcW w:w="3969" w:type="dxa"/>
          </w:tcPr>
          <w:p w14:paraId="714242FA" w14:textId="77777777" w:rsidR="00F36F13" w:rsidRPr="009B58B4" w:rsidRDefault="00F36F13" w:rsidP="00210614">
            <w:pPr>
              <w:pStyle w:val="TableTextSmall"/>
              <w:keepNext/>
              <w:rPr>
                <w:b w:val="0"/>
              </w:rPr>
            </w:pPr>
            <w:r w:rsidRPr="009B58B4">
              <w:rPr>
                <w:b w:val="0"/>
              </w:rPr>
              <w:t>Cancer/Tumour</w:t>
            </w:r>
          </w:p>
        </w:tc>
        <w:tc>
          <w:tcPr>
            <w:tcW w:w="1181" w:type="dxa"/>
            <w:vAlign w:val="center"/>
          </w:tcPr>
          <w:p w14:paraId="161052AE"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5,391</w:t>
            </w:r>
          </w:p>
        </w:tc>
        <w:tc>
          <w:tcPr>
            <w:tcW w:w="1181" w:type="dxa"/>
            <w:vAlign w:val="center"/>
          </w:tcPr>
          <w:p w14:paraId="0B409962"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5,145</w:t>
            </w:r>
          </w:p>
        </w:tc>
        <w:tc>
          <w:tcPr>
            <w:tcW w:w="1182" w:type="dxa"/>
            <w:vAlign w:val="center"/>
          </w:tcPr>
          <w:p w14:paraId="4848F29B"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-5%</w:t>
            </w:r>
          </w:p>
        </w:tc>
      </w:tr>
      <w:tr w:rsidR="00F36F13" w:rsidRPr="00EC326F" w14:paraId="2C4320D1" w14:textId="77777777" w:rsidTr="00210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F1DE68E" w14:textId="77777777" w:rsidR="00F36F13" w:rsidRPr="009B58B4" w:rsidRDefault="00F36F13" w:rsidP="00210614">
            <w:pPr>
              <w:pStyle w:val="TableTextSmall"/>
              <w:keepNext/>
              <w:rPr>
                <w:b w:val="0"/>
              </w:rPr>
            </w:pPr>
            <w:r w:rsidRPr="009B58B4">
              <w:rPr>
                <w:b w:val="0"/>
              </w:rPr>
              <w:t>Congenital Anomalies &amp; Inherited Disorders</w:t>
            </w:r>
          </w:p>
        </w:tc>
        <w:tc>
          <w:tcPr>
            <w:tcW w:w="1181" w:type="dxa"/>
            <w:vAlign w:val="center"/>
          </w:tcPr>
          <w:p w14:paraId="3922D531"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656</w:t>
            </w:r>
          </w:p>
        </w:tc>
        <w:tc>
          <w:tcPr>
            <w:tcW w:w="1181" w:type="dxa"/>
            <w:vAlign w:val="center"/>
          </w:tcPr>
          <w:p w14:paraId="0859792B"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577</w:t>
            </w:r>
          </w:p>
        </w:tc>
        <w:tc>
          <w:tcPr>
            <w:tcW w:w="1182" w:type="dxa"/>
            <w:vAlign w:val="center"/>
          </w:tcPr>
          <w:p w14:paraId="6B8A1B38"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-12%</w:t>
            </w:r>
          </w:p>
        </w:tc>
      </w:tr>
      <w:tr w:rsidR="00F36F13" w:rsidRPr="00EC326F" w14:paraId="1958FE86" w14:textId="77777777" w:rsidTr="00210614">
        <w:tc>
          <w:tcPr>
            <w:cnfStyle w:val="001000000000" w:firstRow="0" w:lastRow="0" w:firstColumn="1" w:lastColumn="0" w:oddVBand="0" w:evenVBand="0" w:oddHBand="0" w:evenHBand="0" w:firstRowFirstColumn="0" w:firstRowLastColumn="0" w:lastRowFirstColumn="0" w:lastRowLastColumn="0"/>
            <w:tcW w:w="3969" w:type="dxa"/>
          </w:tcPr>
          <w:p w14:paraId="264EB3F1" w14:textId="77777777" w:rsidR="00F36F13" w:rsidRPr="009B58B4" w:rsidRDefault="00F36F13" w:rsidP="00210614">
            <w:pPr>
              <w:pStyle w:val="TableTextSmall"/>
              <w:rPr>
                <w:b w:val="0"/>
              </w:rPr>
            </w:pPr>
            <w:r w:rsidRPr="009B58B4">
              <w:rPr>
                <w:b w:val="0"/>
              </w:rPr>
              <w:t>Intellectual/Learning</w:t>
            </w:r>
          </w:p>
        </w:tc>
        <w:tc>
          <w:tcPr>
            <w:tcW w:w="1181" w:type="dxa"/>
            <w:vAlign w:val="center"/>
          </w:tcPr>
          <w:p w14:paraId="3459D900"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4,720</w:t>
            </w:r>
          </w:p>
        </w:tc>
        <w:tc>
          <w:tcPr>
            <w:tcW w:w="1181" w:type="dxa"/>
            <w:vAlign w:val="center"/>
          </w:tcPr>
          <w:p w14:paraId="75E6B488"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4,021</w:t>
            </w:r>
          </w:p>
        </w:tc>
        <w:tc>
          <w:tcPr>
            <w:tcW w:w="1182" w:type="dxa"/>
            <w:vAlign w:val="center"/>
          </w:tcPr>
          <w:p w14:paraId="2EA8B5F3"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-15%</w:t>
            </w:r>
          </w:p>
        </w:tc>
      </w:tr>
      <w:tr w:rsidR="00F36F13" w:rsidRPr="00EC326F" w14:paraId="69C4BA02" w14:textId="77777777" w:rsidTr="00210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6292CF4" w14:textId="77777777" w:rsidR="00F36F13" w:rsidRPr="009B58B4" w:rsidRDefault="00F36F13" w:rsidP="00210614">
            <w:pPr>
              <w:pStyle w:val="TableTextSmall"/>
              <w:keepNext/>
              <w:rPr>
                <w:b w:val="0"/>
              </w:rPr>
            </w:pPr>
            <w:r w:rsidRPr="009B58B4">
              <w:rPr>
                <w:b w:val="0"/>
              </w:rPr>
              <w:t>Musculo-Skeletal &amp; Connective Tissue</w:t>
            </w:r>
          </w:p>
        </w:tc>
        <w:tc>
          <w:tcPr>
            <w:tcW w:w="1181" w:type="dxa"/>
            <w:vAlign w:val="center"/>
          </w:tcPr>
          <w:p w14:paraId="74AE510C"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13,596</w:t>
            </w:r>
          </w:p>
        </w:tc>
        <w:tc>
          <w:tcPr>
            <w:tcW w:w="1181" w:type="dxa"/>
            <w:vAlign w:val="center"/>
          </w:tcPr>
          <w:p w14:paraId="5E683357"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6,995</w:t>
            </w:r>
          </w:p>
        </w:tc>
        <w:tc>
          <w:tcPr>
            <w:tcW w:w="1182" w:type="dxa"/>
            <w:vAlign w:val="center"/>
          </w:tcPr>
          <w:p w14:paraId="5E8685B8"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-49%</w:t>
            </w:r>
          </w:p>
        </w:tc>
      </w:tr>
      <w:tr w:rsidR="00F36F13" w:rsidRPr="00EC326F" w14:paraId="442E2579" w14:textId="77777777" w:rsidTr="00210614">
        <w:tc>
          <w:tcPr>
            <w:cnfStyle w:val="001000000000" w:firstRow="0" w:lastRow="0" w:firstColumn="1" w:lastColumn="0" w:oddVBand="0" w:evenVBand="0" w:oddHBand="0" w:evenHBand="0" w:firstRowFirstColumn="0" w:firstRowLastColumn="0" w:lastRowFirstColumn="0" w:lastRowLastColumn="0"/>
            <w:tcW w:w="3969" w:type="dxa"/>
          </w:tcPr>
          <w:p w14:paraId="3B20DA95" w14:textId="77777777" w:rsidR="00F36F13" w:rsidRPr="009B58B4" w:rsidRDefault="00F36F13" w:rsidP="00210614">
            <w:pPr>
              <w:pStyle w:val="TableTextSmall"/>
              <w:keepNext/>
              <w:rPr>
                <w:b w:val="0"/>
              </w:rPr>
            </w:pPr>
            <w:r w:rsidRPr="009B58B4">
              <w:rPr>
                <w:b w:val="0"/>
              </w:rPr>
              <w:t>Nervous System</w:t>
            </w:r>
          </w:p>
        </w:tc>
        <w:tc>
          <w:tcPr>
            <w:tcW w:w="1181" w:type="dxa"/>
            <w:vAlign w:val="center"/>
          </w:tcPr>
          <w:p w14:paraId="766E69A1"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3,256</w:t>
            </w:r>
          </w:p>
        </w:tc>
        <w:tc>
          <w:tcPr>
            <w:tcW w:w="1181" w:type="dxa"/>
            <w:vAlign w:val="center"/>
          </w:tcPr>
          <w:p w14:paraId="04D74E16"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2,700</w:t>
            </w:r>
          </w:p>
        </w:tc>
        <w:tc>
          <w:tcPr>
            <w:tcW w:w="1182" w:type="dxa"/>
            <w:vAlign w:val="center"/>
          </w:tcPr>
          <w:p w14:paraId="52DB5A90"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-17%</w:t>
            </w:r>
          </w:p>
        </w:tc>
      </w:tr>
      <w:tr w:rsidR="00F36F13" w:rsidRPr="00EC326F" w14:paraId="318AEB9E" w14:textId="77777777" w:rsidTr="00210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96060A9" w14:textId="77777777" w:rsidR="00F36F13" w:rsidRPr="009B58B4" w:rsidRDefault="00F36F13" w:rsidP="00210614">
            <w:pPr>
              <w:pStyle w:val="TableTextSmall"/>
              <w:keepNext/>
              <w:rPr>
                <w:b w:val="0"/>
              </w:rPr>
            </w:pPr>
            <w:r w:rsidRPr="009B58B4">
              <w:rPr>
                <w:b w:val="0"/>
              </w:rPr>
              <w:t>Poorly Defined Cause / Chronic Pain</w:t>
            </w:r>
          </w:p>
        </w:tc>
        <w:tc>
          <w:tcPr>
            <w:tcW w:w="1181" w:type="dxa"/>
            <w:vAlign w:val="center"/>
          </w:tcPr>
          <w:p w14:paraId="4168F4BB"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2,113</w:t>
            </w:r>
          </w:p>
        </w:tc>
        <w:tc>
          <w:tcPr>
            <w:tcW w:w="1181" w:type="dxa"/>
            <w:vAlign w:val="center"/>
          </w:tcPr>
          <w:p w14:paraId="728192C1"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1,159</w:t>
            </w:r>
          </w:p>
        </w:tc>
        <w:tc>
          <w:tcPr>
            <w:tcW w:w="1182" w:type="dxa"/>
            <w:vAlign w:val="center"/>
          </w:tcPr>
          <w:p w14:paraId="6FE7FABC"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-45%</w:t>
            </w:r>
          </w:p>
        </w:tc>
      </w:tr>
      <w:tr w:rsidR="00F36F13" w:rsidRPr="00EC326F" w14:paraId="0AE68C74" w14:textId="77777777" w:rsidTr="00210614">
        <w:tc>
          <w:tcPr>
            <w:cnfStyle w:val="001000000000" w:firstRow="0" w:lastRow="0" w:firstColumn="1" w:lastColumn="0" w:oddVBand="0" w:evenVBand="0" w:oddHBand="0" w:evenHBand="0" w:firstRowFirstColumn="0" w:firstRowLastColumn="0" w:lastRowFirstColumn="0" w:lastRowLastColumn="0"/>
            <w:tcW w:w="3969" w:type="dxa"/>
          </w:tcPr>
          <w:p w14:paraId="397DE6D6" w14:textId="77777777" w:rsidR="00F36F13" w:rsidRPr="009B58B4" w:rsidRDefault="00F36F13" w:rsidP="00210614">
            <w:pPr>
              <w:pStyle w:val="TableTextSmall"/>
              <w:keepNext/>
              <w:rPr>
                <w:b w:val="0"/>
              </w:rPr>
            </w:pPr>
            <w:r w:rsidRPr="009B58B4">
              <w:rPr>
                <w:b w:val="0"/>
              </w:rPr>
              <w:t>Psychological/Psychiatric</w:t>
            </w:r>
          </w:p>
        </w:tc>
        <w:tc>
          <w:tcPr>
            <w:tcW w:w="1181" w:type="dxa"/>
            <w:vAlign w:val="center"/>
          </w:tcPr>
          <w:p w14:paraId="2E0D82CC"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18,557</w:t>
            </w:r>
          </w:p>
        </w:tc>
        <w:tc>
          <w:tcPr>
            <w:tcW w:w="1181" w:type="dxa"/>
            <w:vAlign w:val="center"/>
          </w:tcPr>
          <w:p w14:paraId="575FAAE4"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12,732</w:t>
            </w:r>
          </w:p>
        </w:tc>
        <w:tc>
          <w:tcPr>
            <w:tcW w:w="1182" w:type="dxa"/>
            <w:vAlign w:val="center"/>
          </w:tcPr>
          <w:p w14:paraId="0C2BE46B"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-31%</w:t>
            </w:r>
          </w:p>
        </w:tc>
      </w:tr>
      <w:tr w:rsidR="00F36F13" w:rsidRPr="00EC326F" w14:paraId="47895C44" w14:textId="77777777" w:rsidTr="00210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9A6FEBB" w14:textId="77777777" w:rsidR="00F36F13" w:rsidRPr="009B58B4" w:rsidRDefault="00F36F13" w:rsidP="00210614">
            <w:pPr>
              <w:pStyle w:val="TableTextSmall"/>
              <w:keepNext/>
              <w:rPr>
                <w:b w:val="0"/>
              </w:rPr>
            </w:pPr>
            <w:r w:rsidRPr="009B58B4">
              <w:rPr>
                <w:b w:val="0"/>
              </w:rPr>
              <w:t>Circulatory &amp; Respiratory System</w:t>
            </w:r>
          </w:p>
        </w:tc>
        <w:tc>
          <w:tcPr>
            <w:tcW w:w="1181" w:type="dxa"/>
            <w:vAlign w:val="center"/>
          </w:tcPr>
          <w:p w14:paraId="26871571"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4,892</w:t>
            </w:r>
          </w:p>
        </w:tc>
        <w:tc>
          <w:tcPr>
            <w:tcW w:w="1181" w:type="dxa"/>
            <w:vAlign w:val="center"/>
          </w:tcPr>
          <w:p w14:paraId="274E4ACC"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3,113</w:t>
            </w:r>
          </w:p>
        </w:tc>
        <w:tc>
          <w:tcPr>
            <w:tcW w:w="1182" w:type="dxa"/>
            <w:vAlign w:val="center"/>
          </w:tcPr>
          <w:p w14:paraId="0198372D" w14:textId="77777777" w:rsidR="00F36F13" w:rsidRPr="00EC326F" w:rsidRDefault="00F36F13" w:rsidP="00210614">
            <w:pPr>
              <w:pStyle w:val="TableTextSmall"/>
              <w:jc w:val="center"/>
              <w:cnfStyle w:val="000000100000" w:firstRow="0" w:lastRow="0" w:firstColumn="0" w:lastColumn="0" w:oddVBand="0" w:evenVBand="0" w:oddHBand="1" w:evenHBand="0" w:firstRowFirstColumn="0" w:firstRowLastColumn="0" w:lastRowFirstColumn="0" w:lastRowLastColumn="0"/>
            </w:pPr>
            <w:r w:rsidRPr="00EC326F">
              <w:t>-36%</w:t>
            </w:r>
          </w:p>
        </w:tc>
      </w:tr>
      <w:tr w:rsidR="00F36F13" w:rsidRPr="00EC326F" w14:paraId="74853EEF" w14:textId="77777777" w:rsidTr="00210614">
        <w:tc>
          <w:tcPr>
            <w:cnfStyle w:val="001000000000" w:firstRow="0" w:lastRow="0" w:firstColumn="1" w:lastColumn="0" w:oddVBand="0" w:evenVBand="0" w:oddHBand="0" w:evenHBand="0" w:firstRowFirstColumn="0" w:firstRowLastColumn="0" w:lastRowFirstColumn="0" w:lastRowLastColumn="0"/>
            <w:tcW w:w="3969" w:type="dxa"/>
          </w:tcPr>
          <w:p w14:paraId="7BA568E7" w14:textId="77777777" w:rsidR="00F36F13" w:rsidRPr="009B58B4" w:rsidRDefault="00F36F13" w:rsidP="00210614">
            <w:pPr>
              <w:pStyle w:val="TableTextSmall"/>
              <w:rPr>
                <w:b w:val="0"/>
              </w:rPr>
            </w:pPr>
            <w:r w:rsidRPr="009B58B4">
              <w:rPr>
                <w:b w:val="0"/>
              </w:rPr>
              <w:t>Other</w:t>
            </w:r>
          </w:p>
        </w:tc>
        <w:tc>
          <w:tcPr>
            <w:tcW w:w="1181" w:type="dxa"/>
            <w:vAlign w:val="center"/>
          </w:tcPr>
          <w:p w14:paraId="13B6672C"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5,391</w:t>
            </w:r>
          </w:p>
        </w:tc>
        <w:tc>
          <w:tcPr>
            <w:tcW w:w="1181" w:type="dxa"/>
            <w:vAlign w:val="center"/>
          </w:tcPr>
          <w:p w14:paraId="57A0C332"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5,145</w:t>
            </w:r>
          </w:p>
        </w:tc>
        <w:tc>
          <w:tcPr>
            <w:tcW w:w="1182" w:type="dxa"/>
            <w:vAlign w:val="center"/>
          </w:tcPr>
          <w:p w14:paraId="4D6D488E" w14:textId="77777777" w:rsidR="00F36F13" w:rsidRPr="00EC326F" w:rsidRDefault="00F36F13" w:rsidP="00210614">
            <w:pPr>
              <w:pStyle w:val="TableTextSmall"/>
              <w:jc w:val="center"/>
              <w:cnfStyle w:val="000000000000" w:firstRow="0" w:lastRow="0" w:firstColumn="0" w:lastColumn="0" w:oddVBand="0" w:evenVBand="0" w:oddHBand="0" w:evenHBand="0" w:firstRowFirstColumn="0" w:firstRowLastColumn="0" w:lastRowFirstColumn="0" w:lastRowLastColumn="0"/>
            </w:pPr>
            <w:r w:rsidRPr="00EC326F">
              <w:t>-5%</w:t>
            </w:r>
          </w:p>
        </w:tc>
      </w:tr>
    </w:tbl>
    <w:p w14:paraId="36CC3E60" w14:textId="77777777" w:rsidR="00F36F13" w:rsidRPr="00EC326F" w:rsidRDefault="00F36F13" w:rsidP="00F36F13">
      <w:pPr>
        <w:pStyle w:val="PwCNormal-keepwithnext"/>
        <w:numPr>
          <w:ilvl w:val="0"/>
          <w:numId w:val="1"/>
        </w:numPr>
      </w:pPr>
      <w:r w:rsidRPr="00EC326F">
        <w:t>We observe that:</w:t>
      </w:r>
    </w:p>
    <w:p w14:paraId="5481C3E9" w14:textId="77777777" w:rsidR="00F36F13" w:rsidRPr="00EC326F" w:rsidRDefault="00F36F13" w:rsidP="00F36F13">
      <w:pPr>
        <w:pStyle w:val="ListBullet"/>
      </w:pPr>
      <w:r w:rsidRPr="00EC326F">
        <w:t>The reduction in entries has been most significant for people with musculoskeletal and connective tissue disorders; poorly defined cause/chronic pain; circulatory and respiratory system disorders or psychological/psychiatric conditions</w:t>
      </w:r>
    </w:p>
    <w:p w14:paraId="1145B616" w14:textId="77777777" w:rsidR="00F36F13" w:rsidRPr="00EC326F" w:rsidRDefault="00F36F13" w:rsidP="00F36F13">
      <w:pPr>
        <w:pStyle w:val="ListBullet"/>
      </w:pPr>
      <w:r w:rsidRPr="00EC326F">
        <w:t>Conversely, the number of new entries from people with Cancer, Acquired Brain Impairment and Congenital Anomalies &amp; Inherited Disorders have only reduced a small amount.</w:t>
      </w:r>
    </w:p>
    <w:p w14:paraId="3A6727CF" w14:textId="77777777" w:rsidR="000974E7" w:rsidRPr="00EC326F" w:rsidRDefault="000974E7" w:rsidP="000974E7">
      <w:pPr>
        <w:pStyle w:val="Heading3"/>
      </w:pPr>
      <w:bookmarkStart w:id="805" w:name="_Toc493844287"/>
      <w:r w:rsidRPr="00EC326F">
        <w:t>Profile of carer payment recipients</w:t>
      </w:r>
      <w:bookmarkEnd w:id="805"/>
    </w:p>
    <w:p w14:paraId="226F046C" w14:textId="45BC7213" w:rsidR="00F36F13" w:rsidRPr="00EC326F" w:rsidRDefault="00F36F13" w:rsidP="00F36F13">
      <w:pPr>
        <w:pStyle w:val="PwCNormal"/>
        <w:numPr>
          <w:ilvl w:val="0"/>
          <w:numId w:val="0"/>
        </w:numPr>
      </w:pPr>
      <w:r w:rsidRPr="00EC326F">
        <w:t xml:space="preserve">The charts below show the proportion of men and women in the Carers class split by their relationship with their primary </w:t>
      </w:r>
      <w:r w:rsidR="00A82D43">
        <w:t>care recipient</w:t>
      </w:r>
      <w:r w:rsidRPr="00EC326F">
        <w:t xml:space="preserve">. The relationship descriptions refer to the identity of the carer, for example, “Child” means that the carer is a child of the </w:t>
      </w:r>
      <w:r w:rsidR="00A82D43">
        <w:t>care recipient</w:t>
      </w:r>
      <w:r w:rsidR="00A82D43" w:rsidRPr="00EC326F">
        <w:t xml:space="preserve"> </w:t>
      </w:r>
      <w:r w:rsidRPr="00EC326F">
        <w:t xml:space="preserve">(i.e. they </w:t>
      </w:r>
      <w:r w:rsidR="000012FE">
        <w:t xml:space="preserve">are </w:t>
      </w:r>
      <w:r w:rsidRPr="00EC326F">
        <w:t>caring for their parent).</w:t>
      </w:r>
    </w:p>
    <w:p w14:paraId="18095D02" w14:textId="69711C70" w:rsidR="00F36F13" w:rsidRPr="00EC326F" w:rsidRDefault="00F36F13" w:rsidP="00F36F13">
      <w:pPr>
        <w:pStyle w:val="Caption"/>
      </w:pPr>
      <w:r w:rsidRPr="00EC326F">
        <w:t xml:space="preserve">Figure </w:t>
      </w:r>
      <w:r w:rsidRPr="00EC326F">
        <w:fldChar w:fldCharType="begin"/>
      </w:r>
      <w:r w:rsidRPr="00EC326F">
        <w:rPr>
          <w:bCs w:val="0"/>
        </w:rPr>
        <w:instrText xml:space="preserve"> SEQ Figure \* ARABIC </w:instrText>
      </w:r>
      <w:r w:rsidRPr="00EC326F">
        <w:fldChar w:fldCharType="separate"/>
      </w:r>
      <w:r w:rsidR="007A42DF">
        <w:rPr>
          <w:bCs w:val="0"/>
          <w:noProof/>
        </w:rPr>
        <w:t>112</w:t>
      </w:r>
      <w:r w:rsidRPr="00EC326F">
        <w:fldChar w:fldCharType="end"/>
      </w:r>
      <w:r w:rsidRPr="00EC326F">
        <w:t xml:space="preserve">: Profile of carers by relationship with </w:t>
      </w:r>
      <w:r w:rsidR="00A82D43">
        <w:t>care recipient</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 Profile of carers by relationship with care recipient"/>
        <w:tblDescription w:val="The two charts in this figure are vertical bar charts. The charts show the proportion of men and women in the Carers class split by their relationship with their primary care recipient. The horizontal axis on each chart shows age from 15 to 80. The vertical axis shows the proportion of people from 0% to 100%. The total for each age is 100%. The bar for each age is split by the following relationships with primary care recipient: Child, Parent/Guardian, Partner/Spouse, Unrelated, and Other. The chart on the left shows this information for males while the chart on the right is for females.&#10;&#10;The charts show that the youngest carers tend to be children caring for their parents. This is true for both females and males. There are significantly more woman than men who are carers for children. A higher proportion of males than females are carers for their partner or spouse.&#10;&#10;The key features of these charts are discussed in the accompanying text within the report.&#10;"/>
      </w:tblPr>
      <w:tblGrid>
        <w:gridCol w:w="3936"/>
        <w:gridCol w:w="4110"/>
        <w:gridCol w:w="1843"/>
      </w:tblGrid>
      <w:tr w:rsidR="00F36F13" w:rsidRPr="00EC326F" w14:paraId="56A0F19E" w14:textId="77777777" w:rsidTr="00364886">
        <w:trPr>
          <w:tblHeader/>
        </w:trPr>
        <w:tc>
          <w:tcPr>
            <w:tcW w:w="3936" w:type="dxa"/>
          </w:tcPr>
          <w:p w14:paraId="3A41CAED" w14:textId="77777777" w:rsidR="00F36F13" w:rsidRPr="00EC326F" w:rsidRDefault="00F36F13" w:rsidP="00210614">
            <w:pPr>
              <w:pStyle w:val="TableTextSmall"/>
            </w:pPr>
            <w:r w:rsidRPr="00EC326F">
              <w:rPr>
                <w:noProof/>
                <w:lang w:eastAsia="en-AU"/>
              </w:rPr>
              <w:drawing>
                <wp:inline distT="0" distB="0" distL="0" distR="0" wp14:anchorId="1DDDB3FF" wp14:editId="535DDB47">
                  <wp:extent cx="2551149" cy="1908000"/>
                  <wp:effectExtent l="0" t="0" r="1905" b="0"/>
                  <wp:docPr id="414" name="Picture 414" descr="The two charts in this figure are vertical bar charts. The charts show the proportion of men and women in the Carers class split by their relationship with their primary care recipient. The horizontal axis on each chart shows age from 15 to 80. The vertical axis shows the proportion of people from 0% to 100%. The total for each age is 100%. The bar for each age is split by the following relationships with primary care recipient: Child, Parent/Guardian, Partner/Spouse, Unrelated, and Other. The chart on the left shows this information for males while the chart on the right is for females.&#10;&#10;The charts show that the youngest carers tend to be children caring for their parents. This is true for both females and males. There are significantly more woman than men who are carers for children. A higher proportion of males than females are carers for their partner or spouse.&#10;&#10;The key features of these charts are discussed in the accompanying text within the report.&#10;" title=" Profile of carers by relationship with care recip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551149" cy="1908000"/>
                          </a:xfrm>
                          <a:prstGeom prst="rect">
                            <a:avLst/>
                          </a:prstGeom>
                          <a:noFill/>
                          <a:ln>
                            <a:noFill/>
                          </a:ln>
                        </pic:spPr>
                      </pic:pic>
                    </a:graphicData>
                  </a:graphic>
                </wp:inline>
              </w:drawing>
            </w:r>
          </w:p>
        </w:tc>
        <w:tc>
          <w:tcPr>
            <w:tcW w:w="4110" w:type="dxa"/>
          </w:tcPr>
          <w:p w14:paraId="0912BE97" w14:textId="77777777" w:rsidR="00F36F13" w:rsidRPr="00EC326F" w:rsidRDefault="00F36F13" w:rsidP="00210614">
            <w:pPr>
              <w:pStyle w:val="TableTextSmall"/>
            </w:pPr>
            <w:r w:rsidRPr="00EC326F">
              <w:rPr>
                <w:noProof/>
                <w:lang w:eastAsia="en-AU"/>
              </w:rPr>
              <w:drawing>
                <wp:inline distT="0" distB="0" distL="0" distR="0" wp14:anchorId="3C0E2E78" wp14:editId="3EACEF1C">
                  <wp:extent cx="2550801" cy="1908000"/>
                  <wp:effectExtent l="0" t="0" r="1905" b="0"/>
                  <wp:docPr id="2061" name="Picture 2061" descr="The two charts in this figure are vertical bar charts. The charts show the proportion of men and women in the Carers class split by their relationship with their primary care recipient. The horizontal axis on each chart shows age from 15 to 80. The vertical axis shows the proportion of people from 0% to 100%. The total for each age is 100%. The bar for each age is split by the following relationships with primary care recipient: Child, Parent/Guardian, Partner/Spouse, Unrelated, and Other. The chart on the left shows this information for males while the chart on the right is for females.&#10;&#10;The charts show that the youngest carers tend to be children caring for their parents. This is true for both females and males. There are significantly more woman than men who are carers for children. A higher proportion of males than females are carers for their partner or spouse.&#10;&#10;The key features of these charts are discussed in the accompanying text within the report.&#10;" title=" Profile of carers by relationship with care recip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550801" cy="1908000"/>
                          </a:xfrm>
                          <a:prstGeom prst="rect">
                            <a:avLst/>
                          </a:prstGeom>
                          <a:noFill/>
                          <a:ln>
                            <a:noFill/>
                          </a:ln>
                        </pic:spPr>
                      </pic:pic>
                    </a:graphicData>
                  </a:graphic>
                </wp:inline>
              </w:drawing>
            </w:r>
          </w:p>
        </w:tc>
        <w:tc>
          <w:tcPr>
            <w:tcW w:w="1843" w:type="dxa"/>
          </w:tcPr>
          <w:p w14:paraId="2F266E30" w14:textId="77777777" w:rsidR="00F36F13" w:rsidRPr="00EC326F" w:rsidRDefault="00F36F13" w:rsidP="00210614">
            <w:pPr>
              <w:pStyle w:val="TableTextSmall"/>
              <w:rPr>
                <w:lang w:eastAsia="en-AU"/>
              </w:rPr>
            </w:pPr>
          </w:p>
          <w:p w14:paraId="705DFE47" w14:textId="77777777" w:rsidR="00F36F13" w:rsidRPr="00EC326F" w:rsidRDefault="00F36F13" w:rsidP="00210614">
            <w:pPr>
              <w:pStyle w:val="TableTextSmall"/>
              <w:rPr>
                <w:lang w:eastAsia="en-AU"/>
              </w:rPr>
            </w:pPr>
          </w:p>
          <w:p w14:paraId="60F0D7A3" w14:textId="77777777" w:rsidR="00F36F13" w:rsidRPr="00EC326F" w:rsidRDefault="00F36F13" w:rsidP="00210614">
            <w:pPr>
              <w:pStyle w:val="TableTextSmall"/>
              <w:rPr>
                <w:lang w:eastAsia="en-AU"/>
              </w:rPr>
            </w:pPr>
          </w:p>
          <w:p w14:paraId="128D6D25" w14:textId="77777777" w:rsidR="00F36F13" w:rsidRPr="00EC326F" w:rsidDel="001F4313" w:rsidRDefault="00F36F13" w:rsidP="00210614">
            <w:pPr>
              <w:pStyle w:val="TableTextSmall"/>
              <w:rPr>
                <w:lang w:eastAsia="en-AU"/>
              </w:rPr>
            </w:pPr>
            <w:r w:rsidRPr="00EC326F">
              <w:rPr>
                <w:noProof/>
                <w:lang w:eastAsia="en-AU"/>
              </w:rPr>
              <w:drawing>
                <wp:inline distT="0" distB="0" distL="0" distR="0" wp14:anchorId="7AE44909" wp14:editId="58C082AD">
                  <wp:extent cx="720000" cy="688696"/>
                  <wp:effectExtent l="0" t="0" r="4445" b="0"/>
                  <wp:docPr id="412" name="Picture 412" descr="Legend: Other, Unrelated, Partner/Spouse, Parent/Guardian, Child&#10;" title="Legend for Fig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l="24285" t="22043" r="10000" b="30646"/>
                          <a:stretch/>
                        </pic:blipFill>
                        <pic:spPr bwMode="auto">
                          <a:xfrm>
                            <a:off x="0" y="0"/>
                            <a:ext cx="720000" cy="6886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6217AE" w14:textId="77777777" w:rsidR="00F36F13" w:rsidRPr="00EC326F" w:rsidRDefault="00F36F13" w:rsidP="00F36F13">
      <w:pPr>
        <w:pStyle w:val="PwCNormal"/>
        <w:numPr>
          <w:ilvl w:val="0"/>
          <w:numId w:val="0"/>
        </w:numPr>
      </w:pPr>
      <w:r w:rsidRPr="00EC326F">
        <w:t>We observe the following:</w:t>
      </w:r>
    </w:p>
    <w:p w14:paraId="093373E3" w14:textId="77777777" w:rsidR="00F36F13" w:rsidRPr="00EC326F" w:rsidRDefault="00F36F13" w:rsidP="001A4479">
      <w:pPr>
        <w:pStyle w:val="Bullet1"/>
        <w:numPr>
          <w:ilvl w:val="0"/>
          <w:numId w:val="30"/>
        </w:numPr>
      </w:pPr>
      <w:r w:rsidRPr="00EC326F">
        <w:t>The trends by age are generally intuitive:</w:t>
      </w:r>
    </w:p>
    <w:p w14:paraId="15F180BE" w14:textId="77777777" w:rsidR="00F36F13" w:rsidRPr="00EC326F" w:rsidRDefault="00F36F13" w:rsidP="001A4479">
      <w:pPr>
        <w:pStyle w:val="Bullet1"/>
        <w:numPr>
          <w:ilvl w:val="1"/>
          <w:numId w:val="30"/>
        </w:numPr>
      </w:pPr>
      <w:r w:rsidRPr="00EC326F">
        <w:t>The youngest carers tend to be children caring for their parents;</w:t>
      </w:r>
    </w:p>
    <w:p w14:paraId="6CE4B21E" w14:textId="77777777" w:rsidR="00F36F13" w:rsidRPr="00EC326F" w:rsidRDefault="00F36F13" w:rsidP="001A4479">
      <w:pPr>
        <w:pStyle w:val="Bullet1"/>
        <w:numPr>
          <w:ilvl w:val="1"/>
          <w:numId w:val="30"/>
        </w:numPr>
      </w:pPr>
      <w:r w:rsidRPr="00EC326F">
        <w:t>Carers around the parenting age tend to be parents caring for their children; and</w:t>
      </w:r>
    </w:p>
    <w:p w14:paraId="1C92127A" w14:textId="77777777" w:rsidR="00F36F13" w:rsidRPr="00EC326F" w:rsidRDefault="00F36F13" w:rsidP="001A4479">
      <w:pPr>
        <w:pStyle w:val="Bullet1"/>
        <w:numPr>
          <w:ilvl w:val="1"/>
          <w:numId w:val="30"/>
        </w:numPr>
      </w:pPr>
      <w:r w:rsidRPr="00EC326F">
        <w:t>Older carers tend to be caring for their partner or spouse.</w:t>
      </w:r>
    </w:p>
    <w:p w14:paraId="2ADB8340" w14:textId="77777777" w:rsidR="00F36F13" w:rsidRPr="00EC326F" w:rsidRDefault="00F36F13" w:rsidP="001A4479">
      <w:pPr>
        <w:pStyle w:val="Bullet1"/>
        <w:numPr>
          <w:ilvl w:val="0"/>
          <w:numId w:val="30"/>
        </w:numPr>
      </w:pPr>
      <w:r w:rsidRPr="00EC326F">
        <w:t>There are significantly more women than men who are carers for children.</w:t>
      </w:r>
    </w:p>
    <w:p w14:paraId="4246F92E" w14:textId="1084BC7E" w:rsidR="00F36F13" w:rsidRPr="00EC326F" w:rsidRDefault="00F36F13" w:rsidP="00F36F13">
      <w:pPr>
        <w:pStyle w:val="PwCNormal"/>
        <w:numPr>
          <w:ilvl w:val="0"/>
          <w:numId w:val="0"/>
        </w:numPr>
      </w:pPr>
      <w:r w:rsidRPr="00EC326F">
        <w:t xml:space="preserve">The following chart shows the proportion of </w:t>
      </w:r>
      <w:r w:rsidR="00A82D43">
        <w:t>care recipient</w:t>
      </w:r>
      <w:r w:rsidR="00A82D43" w:rsidRPr="00EC326F">
        <w:t xml:space="preserve">s </w:t>
      </w:r>
      <w:r w:rsidRPr="00EC326F">
        <w:t xml:space="preserve">(who are being cared for by people in the Carers class) with each medical condition category by </w:t>
      </w:r>
      <w:r w:rsidR="00A82D43">
        <w:t>care recipient</w:t>
      </w:r>
      <w:r w:rsidR="00A82D43" w:rsidRPr="00EC326F">
        <w:t xml:space="preserve"> </w:t>
      </w:r>
      <w:r w:rsidRPr="00EC326F">
        <w:t>age.</w:t>
      </w:r>
    </w:p>
    <w:p w14:paraId="37D225C4" w14:textId="6479DA56" w:rsidR="00F36F13" w:rsidRPr="00EC326F" w:rsidRDefault="00F36F13" w:rsidP="00F36F13">
      <w:pPr>
        <w:pStyle w:val="Caption"/>
      </w:pPr>
      <w:r w:rsidRPr="00EC326F">
        <w:lastRenderedPageBreak/>
        <w:t xml:space="preserve">Figure </w:t>
      </w:r>
      <w:r w:rsidRPr="00EC326F">
        <w:fldChar w:fldCharType="begin"/>
      </w:r>
      <w:r w:rsidRPr="00EC326F">
        <w:rPr>
          <w:bCs w:val="0"/>
        </w:rPr>
        <w:instrText xml:space="preserve"> SEQ Figure \* ARABIC </w:instrText>
      </w:r>
      <w:r w:rsidRPr="00EC326F">
        <w:fldChar w:fldCharType="separate"/>
      </w:r>
      <w:r w:rsidR="007A42DF">
        <w:rPr>
          <w:bCs w:val="0"/>
          <w:noProof/>
        </w:rPr>
        <w:t>113</w:t>
      </w:r>
      <w:r w:rsidRPr="00EC326F">
        <w:fldChar w:fldCharType="end"/>
      </w:r>
      <w:r w:rsidRPr="00EC326F">
        <w:t xml:space="preserve">: Profile of primary </w:t>
      </w:r>
      <w:r w:rsidR="00A82D43">
        <w:t>care recipient</w:t>
      </w:r>
      <w:r w:rsidR="00A82D43" w:rsidRPr="00EC326F">
        <w:t xml:space="preserve"> </w:t>
      </w:r>
      <w:r w:rsidRPr="00EC326F">
        <w:t xml:space="preserve">medical condition by age of </w:t>
      </w:r>
      <w:r w:rsidR="00A82D43">
        <w:t>care recipient</w:t>
      </w:r>
    </w:p>
    <w:p w14:paraId="3EFFAEC8" w14:textId="31BA0D47" w:rsidR="00635B8C" w:rsidRPr="00EC326F" w:rsidRDefault="00635B8C" w:rsidP="00F36F13">
      <w:pPr>
        <w:pStyle w:val="PwCNormal"/>
        <w:numPr>
          <w:ilvl w:val="0"/>
          <w:numId w:val="0"/>
        </w:numPr>
      </w:pPr>
      <w:r w:rsidRPr="00635B8C">
        <w:rPr>
          <w:noProof/>
          <w:lang w:eastAsia="en-AU"/>
        </w:rPr>
        <w:drawing>
          <wp:inline distT="0" distB="0" distL="0" distR="0" wp14:anchorId="7BD58CA9" wp14:editId="67058A3A">
            <wp:extent cx="4874400" cy="2199600"/>
            <wp:effectExtent l="0" t="0" r="2540" b="0"/>
            <wp:docPr id="3" name="Picture 3" descr="This figure is a vertical bar chart. The chart shows the proportion of care recipients with each medical condition category by care recipient age. The vertical axis shows the proportion from 0% to 100%. The horizontal axis shows age by 10 year age bands from 0 to 109. The total for each age band is 100%. The bar for each graph is split by the primary medical conditions: Acquired Brain Impairment, Cancer/Tumour, Congenital Anomalies &amp; Inherited Disorders, Intellectual/Learning, Musculo-Skeletal &amp; Connective Tissue, Nervous System, Poorly Defined Cause/Chronic Pain, Psychological/Psychiatric, Circulatory &amp; Respiratory System, and Other.&#10;&#10;The chart shows that younger care recipients (29 and younger) are generally children with intellectual/learning disabilities or psychological/psychiatric disorder. The most common medical condition for those aged 40 and over is Musculo-Skeletal and Connective Tissue and Psychological/Psychiatric. The proportion of people with circulatory and respiratory system conditions is around 20% for people 70 and older.&#10;&#10;The key features of the chart are discussed in the accompanying text within the report.&#10;" title="Profile of primary care recipient medical condition by age of care recip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874400" cy="2199600"/>
                    </a:xfrm>
                    <a:prstGeom prst="rect">
                      <a:avLst/>
                    </a:prstGeom>
                    <a:noFill/>
                    <a:ln>
                      <a:noFill/>
                    </a:ln>
                  </pic:spPr>
                </pic:pic>
              </a:graphicData>
            </a:graphic>
          </wp:inline>
        </w:drawing>
      </w:r>
    </w:p>
    <w:p w14:paraId="4E8503B3" w14:textId="08D7774E" w:rsidR="00F36F13" w:rsidRPr="00EC326F" w:rsidRDefault="00F36F13" w:rsidP="00F36F13">
      <w:pPr>
        <w:pStyle w:val="PwCNormal"/>
        <w:numPr>
          <w:ilvl w:val="0"/>
          <w:numId w:val="0"/>
        </w:numPr>
      </w:pPr>
      <w:r w:rsidRPr="00EC326F">
        <w:t xml:space="preserve">Younger </w:t>
      </w:r>
      <w:r w:rsidR="00A82D43">
        <w:t>care recipient</w:t>
      </w:r>
      <w:r w:rsidR="00A82D43" w:rsidRPr="00EC326F">
        <w:t xml:space="preserve">s </w:t>
      </w:r>
      <w:r w:rsidRPr="00EC326F">
        <w:t xml:space="preserve">are generally children who have intellectual/learning disabilities or psychological/psychiatric disorder. Conversely, the most common medical conditions for older </w:t>
      </w:r>
      <w:r w:rsidR="00A82D43">
        <w:t>care recipient</w:t>
      </w:r>
      <w:r w:rsidR="00A82D43" w:rsidRPr="00EC326F">
        <w:t xml:space="preserve">s </w:t>
      </w:r>
      <w:r w:rsidRPr="00EC326F">
        <w:t>are circulatory and respiratory system and musculo-skeletal and connective tissue. These generally reflect the typical medical conditions requiring care during the natural ageing process.</w:t>
      </w:r>
    </w:p>
    <w:p w14:paraId="5FEBC00B" w14:textId="4D0890BA" w:rsidR="00F36F13" w:rsidRPr="00EC326F" w:rsidRDefault="00F36F13" w:rsidP="00F36F13">
      <w:pPr>
        <w:pStyle w:val="PwCNormal"/>
        <w:numPr>
          <w:ilvl w:val="0"/>
          <w:numId w:val="0"/>
        </w:numPr>
      </w:pPr>
      <w:r w:rsidRPr="00EC326F">
        <w:t xml:space="preserve">The following chart shows the profile of people who have entered the Carers class in recent years by their relationship with their primary </w:t>
      </w:r>
      <w:r w:rsidR="00A82D43">
        <w:t>care recipient</w:t>
      </w:r>
      <w:r w:rsidRPr="00EC326F">
        <w:t>.</w:t>
      </w:r>
    </w:p>
    <w:p w14:paraId="723353EA" w14:textId="5CA4FB8C" w:rsidR="00F36F13" w:rsidRPr="00EC326F" w:rsidRDefault="00F36F13" w:rsidP="00F36F13">
      <w:pPr>
        <w:pStyle w:val="Caption"/>
      </w:pPr>
      <w:r w:rsidRPr="00EC326F">
        <w:t xml:space="preserve">Figure </w:t>
      </w:r>
      <w:r w:rsidRPr="00EC326F">
        <w:fldChar w:fldCharType="begin"/>
      </w:r>
      <w:r w:rsidRPr="00EC326F">
        <w:rPr>
          <w:bCs w:val="0"/>
        </w:rPr>
        <w:instrText xml:space="preserve"> SEQ Figure \* ARABIC </w:instrText>
      </w:r>
      <w:r w:rsidRPr="00EC326F">
        <w:fldChar w:fldCharType="separate"/>
      </w:r>
      <w:r w:rsidR="007A42DF">
        <w:rPr>
          <w:bCs w:val="0"/>
          <w:noProof/>
        </w:rPr>
        <w:t>114</w:t>
      </w:r>
      <w:r w:rsidRPr="00EC326F">
        <w:fldChar w:fldCharType="end"/>
      </w:r>
      <w:r w:rsidRPr="00EC326F">
        <w:t xml:space="preserve">: Proportion of new entrants into Carers class by relationship to </w:t>
      </w:r>
      <w:r w:rsidR="00A82D43">
        <w:t>care recipient</w:t>
      </w:r>
    </w:p>
    <w:p w14:paraId="362723C1" w14:textId="77777777" w:rsidR="00F36F13" w:rsidRPr="00EC326F" w:rsidRDefault="00F36F13" w:rsidP="00F36F13">
      <w:pPr>
        <w:pStyle w:val="PwCNormal"/>
        <w:numPr>
          <w:ilvl w:val="0"/>
          <w:numId w:val="0"/>
        </w:numPr>
      </w:pPr>
      <w:r w:rsidRPr="00EC326F">
        <w:rPr>
          <w:noProof/>
          <w:lang w:eastAsia="en-AU"/>
        </w:rPr>
        <w:drawing>
          <wp:inline distT="0" distB="0" distL="0" distR="0" wp14:anchorId="4A288258" wp14:editId="58B3CE4D">
            <wp:extent cx="4320000" cy="2028977"/>
            <wp:effectExtent l="0" t="0" r="4445" b="9525"/>
            <wp:docPr id="2066" name="Picture 2066" descr="This figure is a stacked bar chart showing the proportion of new entrants into Carers class by relationship to care recipient. The vertical axis shows the proportion from 0% to 100%. The horizontal axis shows years from 2012 to 2016. The columns in the chart are split by relationship to care recipient: Child, Parent/Guardian, Partner/Spouse, Unrelated, and Other.&#10;&#10;The chart shows that the profile of new entrants has been relatively stable. There was a slightly lower proportion of new entrants with parent/guardian carers in 2012 than in later years (18% compared with 20% in 2016). The proportion of people with child carers increased slightly over time from 28% in 2012 to 30% in 2016.&#10;&#10;The key features of this chart are discussed in the accompanying text within the report.&#10;" title=" Proportion of new entrants into Carers class by relationship to care recip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320000" cy="2028977"/>
                    </a:xfrm>
                    <a:prstGeom prst="rect">
                      <a:avLst/>
                    </a:prstGeom>
                    <a:noFill/>
                    <a:ln>
                      <a:noFill/>
                    </a:ln>
                  </pic:spPr>
                </pic:pic>
              </a:graphicData>
            </a:graphic>
          </wp:inline>
        </w:drawing>
      </w:r>
    </w:p>
    <w:p w14:paraId="169384BF" w14:textId="77777777" w:rsidR="00BF7DB8" w:rsidRPr="002A0A1A" w:rsidRDefault="00F36F13" w:rsidP="00CC609E">
      <w:pPr>
        <w:pStyle w:val="PwCNormal"/>
        <w:numPr>
          <w:ilvl w:val="0"/>
          <w:numId w:val="0"/>
        </w:numPr>
      </w:pPr>
      <w:r w:rsidRPr="00EC326F">
        <w:t>From the chart above, we can see that the profile of new entrants has been relatively stable. This is despite some fluctuation in the total number of entrants into the Carers class. There is perhaps a small but steady increase in the proportion of child carers (i.e. people caring for their parents).</w:t>
      </w:r>
      <w:bookmarkStart w:id="806" w:name="_Toc437690700"/>
      <w:bookmarkStart w:id="807" w:name="_Toc437704655"/>
      <w:bookmarkStart w:id="808" w:name="_Toc437858613"/>
      <w:bookmarkStart w:id="809" w:name="_Toc437864163"/>
      <w:bookmarkStart w:id="810" w:name="_Toc437881517"/>
      <w:bookmarkStart w:id="811" w:name="_Toc437690701"/>
      <w:bookmarkStart w:id="812" w:name="_Toc437704656"/>
      <w:bookmarkStart w:id="813" w:name="_Toc437858614"/>
      <w:bookmarkStart w:id="814" w:name="_Toc437864164"/>
      <w:bookmarkStart w:id="815" w:name="_Toc437881518"/>
      <w:bookmarkEnd w:id="751"/>
      <w:bookmarkEnd w:id="752"/>
      <w:bookmarkEnd w:id="806"/>
      <w:bookmarkEnd w:id="807"/>
      <w:bookmarkEnd w:id="808"/>
      <w:bookmarkEnd w:id="809"/>
      <w:bookmarkEnd w:id="810"/>
      <w:bookmarkEnd w:id="811"/>
      <w:bookmarkEnd w:id="812"/>
      <w:bookmarkEnd w:id="813"/>
      <w:bookmarkEnd w:id="814"/>
      <w:bookmarkEnd w:id="815"/>
    </w:p>
    <w:p w14:paraId="345860DD" w14:textId="77777777" w:rsidR="00BF7DB8" w:rsidRPr="002A0A1A" w:rsidRDefault="00BF7DB8" w:rsidP="00BF7DB8">
      <w:pPr>
        <w:pStyle w:val="PwCNormal"/>
        <w:numPr>
          <w:ilvl w:val="0"/>
          <w:numId w:val="0"/>
        </w:numPr>
      </w:pPr>
    </w:p>
    <w:p w14:paraId="3D88D115" w14:textId="77777777" w:rsidR="001A577E" w:rsidRPr="002A0A1A" w:rsidRDefault="001A577E" w:rsidP="003D21C8">
      <w:pPr>
        <w:pStyle w:val="PwCNormal"/>
        <w:sectPr w:rsidR="001A577E" w:rsidRPr="002A0A1A" w:rsidSect="00CC5ACB">
          <w:pgSz w:w="11907" w:h="16840" w:code="9"/>
          <w:pgMar w:top="1588" w:right="1021" w:bottom="1418" w:left="1021" w:header="567" w:footer="567" w:gutter="0"/>
          <w:cols w:space="227"/>
          <w:docGrid w:linePitch="360"/>
        </w:sectPr>
      </w:pPr>
    </w:p>
    <w:p w14:paraId="44C9E174" w14:textId="267EAE56" w:rsidR="008A422D" w:rsidRPr="007604AC" w:rsidRDefault="000702F7" w:rsidP="007D75DA">
      <w:pPr>
        <w:pStyle w:val="AppendixPageTitle"/>
      </w:pPr>
      <w:r w:rsidRPr="007604AC">
        <w:rPr>
          <w:noProof/>
          <w:snapToGrid/>
          <w:lang w:eastAsia="en-AU"/>
        </w:rPr>
        <w:lastRenderedPageBreak/>
        <w:drawing>
          <wp:anchor distT="0" distB="0" distL="114300" distR="114300" simplePos="0" relativeHeight="251650048" behindDoc="0" locked="0" layoutInCell="1" allowOverlap="1" wp14:anchorId="70889053" wp14:editId="624B5EE0">
            <wp:simplePos x="0" y="0"/>
            <wp:positionH relativeFrom="column">
              <wp:posOffset>-495300</wp:posOffset>
            </wp:positionH>
            <wp:positionV relativeFrom="paragraph">
              <wp:posOffset>-863600</wp:posOffset>
            </wp:positionV>
            <wp:extent cx="7271385" cy="4579620"/>
            <wp:effectExtent l="0" t="0" r="5715" b="0"/>
            <wp:wrapNone/>
            <wp:docPr id="387" name="Picture 387" descr="A female student with a backpack, smiling and holding a folder." title="A female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cau\mel$\Data\IFS\Williams Lea\Client Work\127028556_Department of Social\127028556_DSS Proposal 4 Folder\Links\iStock_000020611316Large.jpg"/>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a:stretch/>
                  </pic:blipFill>
                  <pic:spPr bwMode="auto">
                    <a:xfrm>
                      <a:off x="0" y="0"/>
                      <a:ext cx="7271385" cy="4579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22D" w:rsidRPr="007604AC">
        <w:t>Appendices</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26A1DF0C" w14:textId="77777777" w:rsidR="00F85716" w:rsidRDefault="0037093B">
      <w:pPr>
        <w:pStyle w:val="TOC2"/>
        <w:tabs>
          <w:tab w:val="left" w:pos="4253"/>
        </w:tabs>
        <w:rPr>
          <w:rFonts w:eastAsiaTheme="minorEastAsia" w:cstheme="minorBidi"/>
          <w:b w:val="0"/>
          <w:snapToGrid/>
          <w:sz w:val="22"/>
          <w:szCs w:val="22"/>
          <w:lang w:eastAsia="en-AU"/>
        </w:rPr>
      </w:pPr>
      <w:r>
        <w:rPr>
          <w:b w:val="0"/>
          <w:highlight w:val="yellow"/>
        </w:rPr>
        <w:fldChar w:fldCharType="begin"/>
      </w:r>
      <w:r>
        <w:rPr>
          <w:b w:val="0"/>
          <w:highlight w:val="yellow"/>
        </w:rPr>
        <w:instrText xml:space="preserve"> TOC \t "Heading 2 Appendix,2" </w:instrText>
      </w:r>
      <w:r>
        <w:rPr>
          <w:b w:val="0"/>
          <w:highlight w:val="yellow"/>
        </w:rPr>
        <w:fldChar w:fldCharType="separate"/>
      </w:r>
      <w:r w:rsidR="00F85716">
        <w:t>Appendix A</w:t>
      </w:r>
      <w:r w:rsidR="00F85716">
        <w:rPr>
          <w:rFonts w:eastAsiaTheme="minorEastAsia" w:cstheme="minorBidi"/>
          <w:b w:val="0"/>
          <w:snapToGrid/>
          <w:sz w:val="22"/>
          <w:szCs w:val="22"/>
          <w:lang w:eastAsia="en-AU"/>
        </w:rPr>
        <w:tab/>
      </w:r>
      <w:r w:rsidR="00F85716">
        <w:t>Policy changes</w:t>
      </w:r>
      <w:r w:rsidR="00F85716">
        <w:tab/>
      </w:r>
      <w:r w:rsidR="00F85716">
        <w:fldChar w:fldCharType="begin"/>
      </w:r>
      <w:r w:rsidR="00F85716">
        <w:instrText xml:space="preserve"> PAGEREF _Toc475093847 \h </w:instrText>
      </w:r>
      <w:r w:rsidR="00F85716">
        <w:fldChar w:fldCharType="separate"/>
      </w:r>
      <w:r w:rsidR="00F85716">
        <w:t>172</w:t>
      </w:r>
      <w:r w:rsidR="00F85716">
        <w:fldChar w:fldCharType="end"/>
      </w:r>
    </w:p>
    <w:p w14:paraId="2AF69B67" w14:textId="77777777" w:rsidR="00F85716" w:rsidRDefault="00F85716">
      <w:pPr>
        <w:pStyle w:val="TOC2"/>
        <w:tabs>
          <w:tab w:val="left" w:pos="4253"/>
        </w:tabs>
        <w:rPr>
          <w:rFonts w:eastAsiaTheme="minorEastAsia" w:cstheme="minorBidi"/>
          <w:b w:val="0"/>
          <w:snapToGrid/>
          <w:sz w:val="22"/>
          <w:szCs w:val="22"/>
          <w:lang w:eastAsia="en-AU"/>
        </w:rPr>
      </w:pPr>
      <w:r>
        <w:t>Appendix B</w:t>
      </w:r>
      <w:r>
        <w:rPr>
          <w:rFonts w:eastAsiaTheme="minorEastAsia" w:cstheme="minorBidi"/>
          <w:b w:val="0"/>
          <w:snapToGrid/>
          <w:sz w:val="22"/>
          <w:szCs w:val="22"/>
          <w:lang w:eastAsia="en-AU"/>
        </w:rPr>
        <w:tab/>
      </w:r>
      <w:r>
        <w:t>Data</w:t>
      </w:r>
      <w:r>
        <w:tab/>
      </w:r>
      <w:r>
        <w:fldChar w:fldCharType="begin"/>
      </w:r>
      <w:r>
        <w:instrText xml:space="preserve"> PAGEREF _Toc475093848 \h </w:instrText>
      </w:r>
      <w:r>
        <w:fldChar w:fldCharType="separate"/>
      </w:r>
      <w:r>
        <w:t>175</w:t>
      </w:r>
      <w:r>
        <w:fldChar w:fldCharType="end"/>
      </w:r>
    </w:p>
    <w:p w14:paraId="51B49705" w14:textId="77777777" w:rsidR="00F85716" w:rsidRDefault="00F85716">
      <w:pPr>
        <w:pStyle w:val="TOC2"/>
        <w:tabs>
          <w:tab w:val="left" w:pos="4253"/>
        </w:tabs>
        <w:rPr>
          <w:rFonts w:eastAsiaTheme="minorEastAsia" w:cstheme="minorBidi"/>
          <w:b w:val="0"/>
          <w:snapToGrid/>
          <w:sz w:val="22"/>
          <w:szCs w:val="22"/>
          <w:lang w:eastAsia="en-AU"/>
        </w:rPr>
      </w:pPr>
      <w:r>
        <w:t>Appendix C</w:t>
      </w:r>
      <w:r>
        <w:rPr>
          <w:rFonts w:eastAsiaTheme="minorEastAsia" w:cstheme="minorBidi"/>
          <w:b w:val="0"/>
          <w:snapToGrid/>
          <w:sz w:val="22"/>
          <w:szCs w:val="22"/>
          <w:lang w:eastAsia="en-AU"/>
        </w:rPr>
        <w:tab/>
      </w:r>
      <w:r>
        <w:t>Model validation</w:t>
      </w:r>
      <w:r>
        <w:tab/>
      </w:r>
      <w:r>
        <w:fldChar w:fldCharType="begin"/>
      </w:r>
      <w:r>
        <w:instrText xml:space="preserve"> PAGEREF _Toc475093849 \h </w:instrText>
      </w:r>
      <w:r>
        <w:fldChar w:fldCharType="separate"/>
      </w:r>
      <w:r>
        <w:t>177</w:t>
      </w:r>
      <w:r>
        <w:fldChar w:fldCharType="end"/>
      </w:r>
    </w:p>
    <w:p w14:paraId="18127FC9" w14:textId="77777777" w:rsidR="00F85716" w:rsidRDefault="00F85716">
      <w:pPr>
        <w:pStyle w:val="TOC2"/>
        <w:tabs>
          <w:tab w:val="left" w:pos="4253"/>
        </w:tabs>
        <w:rPr>
          <w:rFonts w:eastAsiaTheme="minorEastAsia" w:cstheme="minorBidi"/>
          <w:b w:val="0"/>
          <w:snapToGrid/>
          <w:sz w:val="22"/>
          <w:szCs w:val="22"/>
          <w:lang w:eastAsia="en-AU"/>
        </w:rPr>
      </w:pPr>
      <w:r>
        <w:t>Appendix D</w:t>
      </w:r>
      <w:r>
        <w:rPr>
          <w:rFonts w:eastAsiaTheme="minorEastAsia" w:cstheme="minorBidi"/>
          <w:b w:val="0"/>
          <w:snapToGrid/>
          <w:sz w:val="22"/>
          <w:szCs w:val="22"/>
          <w:lang w:eastAsia="en-AU"/>
        </w:rPr>
        <w:tab/>
      </w:r>
      <w:r>
        <w:t>Model factors</w:t>
      </w:r>
      <w:r>
        <w:tab/>
      </w:r>
      <w:r>
        <w:fldChar w:fldCharType="begin"/>
      </w:r>
      <w:r>
        <w:instrText xml:space="preserve"> PAGEREF _Toc475093850 \h </w:instrText>
      </w:r>
      <w:r>
        <w:fldChar w:fldCharType="separate"/>
      </w:r>
      <w:r>
        <w:t>179</w:t>
      </w:r>
      <w:r>
        <w:fldChar w:fldCharType="end"/>
      </w:r>
    </w:p>
    <w:p w14:paraId="18BCFF77" w14:textId="77777777" w:rsidR="00F85716" w:rsidRDefault="00F85716">
      <w:pPr>
        <w:pStyle w:val="TOC2"/>
        <w:tabs>
          <w:tab w:val="left" w:pos="4253"/>
        </w:tabs>
        <w:rPr>
          <w:rFonts w:eastAsiaTheme="minorEastAsia" w:cstheme="minorBidi"/>
          <w:b w:val="0"/>
          <w:snapToGrid/>
          <w:sz w:val="22"/>
          <w:szCs w:val="22"/>
          <w:lang w:eastAsia="en-AU"/>
        </w:rPr>
      </w:pPr>
      <w:r>
        <w:t>Appendix E</w:t>
      </w:r>
      <w:r>
        <w:rPr>
          <w:rFonts w:eastAsiaTheme="minorEastAsia" w:cstheme="minorBidi"/>
          <w:b w:val="0"/>
          <w:snapToGrid/>
          <w:sz w:val="22"/>
          <w:szCs w:val="22"/>
          <w:lang w:eastAsia="en-AU"/>
        </w:rPr>
        <w:tab/>
      </w:r>
      <w:r>
        <w:t>Glossary</w:t>
      </w:r>
      <w:r>
        <w:tab/>
      </w:r>
      <w:r>
        <w:fldChar w:fldCharType="begin"/>
      </w:r>
      <w:r>
        <w:instrText xml:space="preserve"> PAGEREF _Toc475093851 \h </w:instrText>
      </w:r>
      <w:r>
        <w:fldChar w:fldCharType="separate"/>
      </w:r>
      <w:r>
        <w:t>188</w:t>
      </w:r>
      <w:r>
        <w:fldChar w:fldCharType="end"/>
      </w:r>
    </w:p>
    <w:p w14:paraId="411A4942" w14:textId="77777777" w:rsidR="008A422D" w:rsidRPr="002A0A1A" w:rsidRDefault="0037093B" w:rsidP="00124924">
      <w:pPr>
        <w:pStyle w:val="PwCNormal"/>
        <w:sectPr w:rsidR="008A422D" w:rsidRPr="002A0A1A" w:rsidSect="00AF5BE0">
          <w:headerReference w:type="first" r:id="rId208"/>
          <w:footerReference w:type="first" r:id="rId209"/>
          <w:type w:val="oddPage"/>
          <w:pgSz w:w="11907" w:h="16840" w:code="9"/>
          <w:pgMar w:top="1588" w:right="1021" w:bottom="1418" w:left="1021" w:header="567" w:footer="567" w:gutter="0"/>
          <w:cols w:space="227"/>
          <w:docGrid w:linePitch="360"/>
        </w:sectPr>
      </w:pPr>
      <w:r>
        <w:rPr>
          <w:b/>
          <w:noProof/>
          <w:color w:val="auto"/>
          <w:highlight w:val="yellow"/>
        </w:rPr>
        <w:fldChar w:fldCharType="end"/>
      </w:r>
    </w:p>
    <w:p w14:paraId="28794FB4" w14:textId="77777777" w:rsidR="006F727E" w:rsidRPr="0037093B" w:rsidRDefault="00261B4E" w:rsidP="0037093B">
      <w:pPr>
        <w:pStyle w:val="Heading2Appendix"/>
      </w:pPr>
      <w:bookmarkStart w:id="816" w:name="_Toc433971929"/>
      <w:bookmarkStart w:id="817" w:name="_Toc433971930"/>
      <w:bookmarkStart w:id="818" w:name="_Toc433972035"/>
      <w:bookmarkStart w:id="819" w:name="_Toc433972123"/>
      <w:bookmarkStart w:id="820" w:name="_Toc433972127"/>
      <w:bookmarkStart w:id="821" w:name="_Toc433972131"/>
      <w:bookmarkStart w:id="822" w:name="_Toc433972135"/>
      <w:bookmarkStart w:id="823" w:name="_Toc433972139"/>
      <w:bookmarkStart w:id="824" w:name="_Toc433670472"/>
      <w:bookmarkStart w:id="825" w:name="_Toc433670473"/>
      <w:bookmarkStart w:id="826" w:name="_Toc448305767"/>
      <w:bookmarkStart w:id="827" w:name="_Toc448305997"/>
      <w:bookmarkStart w:id="828" w:name="_Toc448305768"/>
      <w:bookmarkStart w:id="829" w:name="_Toc448305998"/>
      <w:bookmarkStart w:id="830" w:name="_Toc448305769"/>
      <w:bookmarkStart w:id="831" w:name="_Toc448305999"/>
      <w:bookmarkStart w:id="832" w:name="_Toc448305770"/>
      <w:bookmarkStart w:id="833" w:name="_Toc448306000"/>
      <w:bookmarkStart w:id="834" w:name="_Toc448305771"/>
      <w:bookmarkStart w:id="835" w:name="_Toc448306001"/>
      <w:bookmarkStart w:id="836" w:name="_Toc448305772"/>
      <w:bookmarkStart w:id="837" w:name="_Toc448306002"/>
      <w:bookmarkStart w:id="838" w:name="_Toc448305823"/>
      <w:bookmarkStart w:id="839" w:name="_Toc448306053"/>
      <w:bookmarkStart w:id="840" w:name="_Toc448305824"/>
      <w:bookmarkStart w:id="841" w:name="_Toc448306054"/>
      <w:bookmarkStart w:id="842" w:name="_Toc448305825"/>
      <w:bookmarkStart w:id="843" w:name="_Toc448306055"/>
      <w:bookmarkStart w:id="844" w:name="_Toc448305826"/>
      <w:bookmarkStart w:id="845" w:name="_Toc448306056"/>
      <w:bookmarkStart w:id="846" w:name="_Toc448305827"/>
      <w:bookmarkStart w:id="847" w:name="_Toc448306057"/>
      <w:bookmarkStart w:id="848" w:name="_Toc448305828"/>
      <w:bookmarkStart w:id="849" w:name="_Toc448306058"/>
      <w:bookmarkStart w:id="850" w:name="_Toc448305829"/>
      <w:bookmarkStart w:id="851" w:name="_Toc448306059"/>
      <w:bookmarkStart w:id="852" w:name="_Toc448305830"/>
      <w:bookmarkStart w:id="853" w:name="_Toc448306060"/>
      <w:bookmarkStart w:id="854" w:name="_Toc448305831"/>
      <w:bookmarkStart w:id="855" w:name="_Toc448306061"/>
      <w:bookmarkStart w:id="856" w:name="_Toc448305988"/>
      <w:bookmarkStart w:id="857" w:name="_Toc448306218"/>
      <w:bookmarkStart w:id="858" w:name="_Toc448305992"/>
      <w:bookmarkStart w:id="859" w:name="_Toc448306222"/>
      <w:bookmarkStart w:id="860" w:name="_Ref437259896"/>
      <w:bookmarkStart w:id="861" w:name="_Toc455499476"/>
      <w:bookmarkStart w:id="862" w:name="_Toc455502497"/>
      <w:bookmarkStart w:id="863" w:name="_Toc475093847"/>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sidRPr="0037093B">
        <w:lastRenderedPageBreak/>
        <w:t>P</w:t>
      </w:r>
      <w:r w:rsidR="00125F7E" w:rsidRPr="0037093B">
        <w:t>olicy changes</w:t>
      </w:r>
      <w:bookmarkEnd w:id="860"/>
      <w:bookmarkEnd w:id="861"/>
      <w:bookmarkEnd w:id="862"/>
      <w:bookmarkEnd w:id="863"/>
    </w:p>
    <w:p w14:paraId="50F3875A" w14:textId="77777777" w:rsidR="00DB35D1" w:rsidRDefault="00DB35D1" w:rsidP="001A4479">
      <w:pPr>
        <w:pStyle w:val="PwCNormal"/>
        <w:numPr>
          <w:ilvl w:val="0"/>
          <w:numId w:val="35"/>
        </w:numPr>
        <w:rPr>
          <w:snapToGrid/>
        </w:rPr>
      </w:pPr>
      <w:r>
        <w:t xml:space="preserve">In the course of analysing the data, we have considered policy changes that may have impacted the past experience, and where possible taken these into account in setting assumptions for the model. The following table summarises the most material policy changes we have considered, noting that this is not an exhaustive list as we are also aware of a large number of other policy changes. </w:t>
      </w:r>
    </w:p>
    <w:p w14:paraId="299C752B" w14:textId="77777777" w:rsidR="006E1381" w:rsidRDefault="00DB35D1" w:rsidP="001A4479">
      <w:pPr>
        <w:pStyle w:val="PwCNormal"/>
        <w:numPr>
          <w:ilvl w:val="0"/>
          <w:numId w:val="35"/>
        </w:numPr>
      </w:pPr>
      <w:r>
        <w:t>Our general approach to these has been to ask questions when we have observed discontinuities, features or trends in the experience, to determine if there are any policy changes that could explain these.</w:t>
      </w:r>
    </w:p>
    <w:p w14:paraId="7247B48E" w14:textId="77777777" w:rsidR="00110F8B" w:rsidRDefault="00110F8B" w:rsidP="00110F8B">
      <w:pPr>
        <w:pStyle w:val="Caption"/>
      </w:pPr>
      <w:r w:rsidRPr="006E1381">
        <w:t xml:space="preserve">Table </w:t>
      </w:r>
      <w:fldSimple w:instr=" SEQ Table \* ARABIC ">
        <w:r w:rsidR="007A42DF">
          <w:rPr>
            <w:noProof/>
          </w:rPr>
          <w:t>62</w:t>
        </w:r>
      </w:fldSimple>
      <w:r w:rsidRPr="006E1381">
        <w:t xml:space="preserve">: </w:t>
      </w:r>
      <w:r w:rsidR="00DB35D1">
        <w:t>Policy changes which have taken effect prior to the valuation date</w:t>
      </w:r>
    </w:p>
    <w:tbl>
      <w:tblPr>
        <w:tblStyle w:val="Tables-APBase"/>
        <w:tblW w:w="5000" w:type="pct"/>
        <w:tblBorders>
          <w:left w:val="none" w:sz="0" w:space="0" w:color="auto"/>
          <w:bottom w:val="single" w:sz="4" w:space="0" w:color="E0301E"/>
          <w:insideH w:val="single" w:sz="4" w:space="0" w:color="E0301E"/>
        </w:tblBorders>
        <w:tblLayout w:type="fixed"/>
        <w:tblLook w:val="04A0" w:firstRow="1" w:lastRow="0" w:firstColumn="1" w:lastColumn="0" w:noHBand="0" w:noVBand="1"/>
        <w:tblCaption w:val=" Policy changes which have taken effect prior to the valuation date"/>
        <w:tblDescription w:val="This table lists policy changes which may have impacted past experience. It has three columns: the amendment, the year it took effect, and a short description of the change and its impact. The original table lists the act in which they were introduced; these have been omitted here for readability.&#10;&#10;Changes to FTB income test, 2006. From 1 July 2006, the lower income threshold for Family Tax Benefit Part A was increased from $33,361 to $37,500. &#10;&#10;Welfare to Work and Other Measures, 2006. From 1 July 2006 there were multiple changes to the work test and eligibility for allowances for new and recent Disability Support Pension (DSP) applicants. The eligibility and activity requirements for Parenting Payment recipients changed. From 1 July 2006 Taper rates and income thresholds for many payments were altered. Changes were made to the qualification for Pensioner Education Supplement (PES). A higher rate of Mobility Allowance was made available for some people.&#10;&#10;Age Pension assets test taper rate, 2007. Age Pension 'assets test' taper rate halved. &#10;&#10;Secure and Sustainable Pension Reform package, 2009. There was a one-off increase to the rate of many pensions, and changed indexation arrangements. The Pension Supplement was introduced as part of reform package and took effect from 20 September 2009. The ‘income test’ taper rate increased. The Pension Bonus Scheme was closed to new registrations from 1 July 2014. The Commonwealth Seniors Health Card income test was modified. A Carer Supplement was introduced for Carer Payment recipients. Indexation was changed for certain FTB payments. This Act introduces a new Work Bonus into the social security law, which allows for a certain amount of employment income that is earned, derived or received in an instalment period by a pensioner who is of age pension age to be disregarded for the purposes of the income test.&#10;&#10;Training Incentives, 2009. The introduction of a training supplement was made available to recipients of Newstart Allowance and Parenting Payment.&#10;&#10;Carer Payment, 2009. Eligibility changed for individuals providing care for children with a disability.&#10;&#10;Parenting Payment transitional arrangement, 2011. Changed ability to access transitional arrangements.&#10;&#10;Work rule for Disability Support Pension, 2012. From 1 July 2012, all Disability Support Pension recipients can work up to 30 hours a week without having their payment suspended or cancelled. &#10;&#10;Changes to the eligibility criteria for Youth Allowance (other) and Newstart Allowance, 2012. The age of qualification and income free test for these payments changed.&#10;&#10;Clean Energy Advance (CEA), 2012. The Clean Energy Advance (CEA) was introduced in May 2012.&#10;&#10;Clean Energy Supplement and other measures, 2012-2013. From 1 July 2013, the normal payment indexing arrangements and the Clean Energy Supplement (CES) began to deliver assistance related to carbon pricing. In addition, amendments were introduced for the Low Income Supplement, Essential Medical Equipment Payment, Single Income Family Supplement and aged care.&#10;&#10;Family Tax Benefit and Youth Allowance, 2012. The maximum age limit for a young person to qualify as a dependent child for Family Tax Benefit Part A (FTB-A) changed from aged under 25 to aged 21. This change aligns with the age of independence recognised in Youth Allowance. As at 1 January 2012, a young person is considered independent for Youth Allowance purposes once they turn 22.&#10;&#10;Removal of grandfathering provisions and other measures, 2013. Grandfathering provisions for some Parenting Payment recipients were removed. For certain Newstart recipients there were changes to the eligibility for certain supplements and allowances, and to income taper rates.&#10;&#10;New Income Support Bonus, 2013. The Act creates a new Income Support Bonus to be paid to recipients of Newstart Allowance, Youth Allowance, Parenting Payment, Sickness Allowance, Austudy Payment, Special Benefit, ABSTUDY Living Allowance, Exceptional Circumstances Relief Payment, Transitional Farm Family Payment.&#10;&#10;Austudy, 2013. The maximum length of temporary absence was reduced.&#10;&#10;Age/study rules for children for family assistance payments, 2013. The maximum age of eligibility for FTB Part A is further reduced to 17 for children who have completed secondary education or a vocational equivalent. Children still in secondary study can continue to access FTB Part A until the end of the calendar year they turn 19. &#10;&#10;Child Care Rebate, 2013. The government changed the eligibility criteria for Jobs, Education and Training Child Care Fee Assistance (JETCCFA) program.&#10;From 1 July 2013 parents who were studying an enabling course (commonly referred to as bridging or foundation courses) may be eligible for Jobs, Education and Training Child Care Fee Assistance.&#10;Changes to the amount of JETCCFA subsidy could impact the amount of CCR that a child is entitled to. There were changes to JETCCFA eligibility and subsidy rules in 2013, 2014 and 2015.&#10;&#10;Austudy, 2014. The residence requirements changed for Austudy in Jan 2015 and temporary absence is no longer included.&#10;&#10;Disability Support Pension, various years. The tightening of eligibility criteria including, but not limited to, the 'Program of Support' rule in September 2011 and the revised Impairment Tables in January 2012.&#10;&#10;Disability Support Pension, 2014. From 1 July 2014, DSP recipients under age 35 years, granted between 1 January 2008 and 31 December 2011, are subject to review of their impairment (using the revised Impairment Tables) and capacity to work. People with a severe or manifest disability will not be reassessed. People who have some capacity to work now or in the future will be helped to do this through programmes, services and activities. Under this reform, recipients under 35 will have a participation plan which includes activities that will genuinely assist in labour market participation. These activities could include Work for the Dole, job search, work experience, education and training, and connection with Disability Employment Services.&#10;&#10;Seniors Supplement Cessation, 2014. The Budget 2014 – 15 measure on the cessation of the Seniors Supplement – Commonwealth Seniors Health Card holders commenced on 20 June 2015. The Seniors Supplement for Commonwealth Seniors Health Card (CSHC) holders will no longer be paid beyond the June 2014 quarterly payment. From this date CSHC holders will continue to receive only the Energy Supplement each quarter.&#10;&#10;Child Care Rebate (indexation), 2014. In the 2010-11 Budget, the Child Care Rebate annual cap was reduced to $7500 and indexation was paused for four years. This arrangement was due to cease on 30 June 2014. Under this measure, the pause in indexation will continue for the 2014-15, 2015-16 and 2016-17 financial years.&#10;For the income years 2014-15, 2015-16, 2016-17, CCR entitlement is&#10;calculated as 50% of out-of-pocket child care expenses up to a limit of&#10;$7,500 (capped) per child per year for approved child care. The annual indexation is paused for a further 3 income years. The first indexation of the $7,500 maximum limit is to occur on 1 July 2017.&#10;&#10;Energy Supplement (ES), 2014. In September 2014, The Energy Supplement (ES) replaced the CES and indexing was removed.&#10;&#10;Student Start-up Loan (SSL) replaced the Student Start-up Scholarship (SSS). Effective 2016, for new recipients of Youth Allowance, Austudy and ABSTUDY who are in higher education full-time, the Student Start-up Loan (SSL) replaced the Student Startup Scholarship (SSS). SSL is a $1,025 voluntary income  contingent loan that can be paid twice per year at the beginning of each semester. SSS will be grandfathered for pre 1 January 2016 recipients and they will continue to receive it until they leave the student payment.&#10;"/>
      </w:tblPr>
      <w:tblGrid>
        <w:gridCol w:w="3342"/>
        <w:gridCol w:w="888"/>
        <w:gridCol w:w="5851"/>
      </w:tblGrid>
      <w:tr w:rsidR="00103CDF" w:rsidRPr="00EC326F" w14:paraId="55CFC037" w14:textId="77777777" w:rsidTr="002C08A6">
        <w:trPr>
          <w:cnfStyle w:val="100000000000" w:firstRow="1" w:lastRow="0" w:firstColumn="0" w:lastColumn="0" w:oddVBand="0" w:evenVBand="0" w:oddHBand="0" w:evenHBand="0" w:firstRowFirstColumn="0" w:firstRowLastColumn="0" w:lastRowFirstColumn="0" w:lastRowLastColumn="0"/>
          <w:cantSplit/>
          <w:trHeight w:val="283"/>
        </w:trPr>
        <w:tc>
          <w:tcPr>
            <w:cnfStyle w:val="000000000100" w:firstRow="0" w:lastRow="0" w:firstColumn="0" w:lastColumn="0" w:oddVBand="0" w:evenVBand="0" w:oddHBand="0" w:evenHBand="0" w:firstRowFirstColumn="1" w:firstRowLastColumn="0" w:lastRowFirstColumn="0" w:lastRowLastColumn="0"/>
            <w:tcW w:w="3342" w:type="dxa"/>
            <w:shd w:val="clear" w:color="auto" w:fill="E0301E"/>
          </w:tcPr>
          <w:p w14:paraId="43E6A5CB" w14:textId="77777777" w:rsidR="00103CDF" w:rsidRPr="007604AC" w:rsidRDefault="00103CDF" w:rsidP="004C748D">
            <w:pPr>
              <w:pStyle w:val="TableColumnHeadingSmall"/>
            </w:pPr>
            <w:r w:rsidRPr="007604AC">
              <w:t>Amendment</w:t>
            </w:r>
          </w:p>
        </w:tc>
        <w:tc>
          <w:tcPr>
            <w:tcW w:w="888" w:type="dxa"/>
            <w:shd w:val="clear" w:color="auto" w:fill="E0301E"/>
          </w:tcPr>
          <w:p w14:paraId="0273407B" w14:textId="77777777" w:rsidR="00103CDF" w:rsidRPr="007604AC" w:rsidRDefault="00103CDF" w:rsidP="004C748D">
            <w:pPr>
              <w:pStyle w:val="TableColumnHeadingSmall"/>
              <w:cnfStyle w:val="100000000000" w:firstRow="1" w:lastRow="0" w:firstColumn="0" w:lastColumn="0" w:oddVBand="0" w:evenVBand="0" w:oddHBand="0" w:evenHBand="0" w:firstRowFirstColumn="0" w:firstRowLastColumn="0" w:lastRowFirstColumn="0" w:lastRowLastColumn="0"/>
            </w:pPr>
            <w:r w:rsidRPr="007604AC">
              <w:t>Year</w:t>
            </w:r>
            <w:r w:rsidR="00DB35D1">
              <w:t xml:space="preserve"> Effective</w:t>
            </w:r>
          </w:p>
        </w:tc>
        <w:tc>
          <w:tcPr>
            <w:tcW w:w="5851" w:type="dxa"/>
            <w:shd w:val="clear" w:color="auto" w:fill="E0301E"/>
          </w:tcPr>
          <w:p w14:paraId="1A7D5918" w14:textId="77777777" w:rsidR="00103CDF" w:rsidRPr="007604AC" w:rsidRDefault="00103CDF" w:rsidP="004C748D">
            <w:pPr>
              <w:pStyle w:val="TableColumnHeadingSmall"/>
              <w:cnfStyle w:val="100000000000" w:firstRow="1" w:lastRow="0" w:firstColumn="0" w:lastColumn="0" w:oddVBand="0" w:evenVBand="0" w:oddHBand="0" w:evenHBand="0" w:firstRowFirstColumn="0" w:firstRowLastColumn="0" w:lastRowFirstColumn="0" w:lastRowLastColumn="0"/>
            </w:pPr>
            <w:r w:rsidRPr="007604AC">
              <w:t>Description</w:t>
            </w:r>
          </w:p>
        </w:tc>
      </w:tr>
      <w:tr w:rsidR="00DB35D1" w:rsidRPr="00EC326F" w14:paraId="133361D9" w14:textId="77777777" w:rsidTr="002C08A6">
        <w:trPr>
          <w:cantSplit/>
          <w:trHeight w:val="926"/>
        </w:trPr>
        <w:tc>
          <w:tcPr>
            <w:tcW w:w="3342" w:type="dxa"/>
          </w:tcPr>
          <w:p w14:paraId="1E0DEE4D" w14:textId="77777777" w:rsidR="00DB35D1" w:rsidRDefault="00DB35D1" w:rsidP="00DB35D1">
            <w:pPr>
              <w:pStyle w:val="TableTextSmalltopic"/>
              <w:rPr>
                <w:snapToGrid/>
              </w:rPr>
            </w:pPr>
            <w:r>
              <w:t xml:space="preserve">Changes to FTB income test </w:t>
            </w:r>
          </w:p>
          <w:p w14:paraId="177BBE2A" w14:textId="77777777" w:rsidR="00DB35D1" w:rsidRDefault="00DB35D1" w:rsidP="00DB35D1">
            <w:pPr>
              <w:pStyle w:val="TableTextSmall"/>
            </w:pPr>
            <w:r>
              <w:t>Family Assistance, Social Security and Veterans' Affairs Legislation Amendment (2005 Budget and Other Measures) Act 2006</w:t>
            </w:r>
          </w:p>
        </w:tc>
        <w:tc>
          <w:tcPr>
            <w:tcW w:w="888" w:type="dxa"/>
          </w:tcPr>
          <w:p w14:paraId="013B21F6" w14:textId="77777777" w:rsidR="00DB35D1" w:rsidRDefault="00DB35D1" w:rsidP="00DB35D1">
            <w:pPr>
              <w:pStyle w:val="TableTextSmall"/>
            </w:pPr>
            <w:r>
              <w:t>2006</w:t>
            </w:r>
          </w:p>
        </w:tc>
        <w:tc>
          <w:tcPr>
            <w:tcW w:w="5851" w:type="dxa"/>
            <w:vAlign w:val="center"/>
          </w:tcPr>
          <w:p w14:paraId="54927F88" w14:textId="77777777" w:rsidR="00DB35D1" w:rsidRDefault="00DB35D1" w:rsidP="00DB35D1">
            <w:pPr>
              <w:pStyle w:val="TableTextSmall"/>
              <w:rPr>
                <w:b/>
              </w:rPr>
            </w:pPr>
            <w:r>
              <w:t xml:space="preserve">From 1 July 2006, the lower income threshold for Family Tax Benefit Part A was increased from $33,361 to $37,500. </w:t>
            </w:r>
          </w:p>
        </w:tc>
      </w:tr>
      <w:tr w:rsidR="00DB35D1" w:rsidRPr="00EC326F" w14:paraId="04A8505B" w14:textId="77777777" w:rsidTr="002C08A6">
        <w:trPr>
          <w:cantSplit/>
        </w:trPr>
        <w:tc>
          <w:tcPr>
            <w:tcW w:w="3342" w:type="dxa"/>
          </w:tcPr>
          <w:p w14:paraId="353D6DD1" w14:textId="77777777" w:rsidR="00DB35D1" w:rsidRDefault="00DB35D1" w:rsidP="00DB35D1">
            <w:pPr>
              <w:pStyle w:val="TableTextSmalltopic"/>
            </w:pPr>
            <w:r>
              <w:t>Welfare to Work and Other Measures</w:t>
            </w:r>
          </w:p>
          <w:p w14:paraId="10AAB64F" w14:textId="77777777" w:rsidR="00DB35D1" w:rsidRDefault="00DB35D1" w:rsidP="00DB35D1">
            <w:pPr>
              <w:pStyle w:val="TableTextSmall"/>
            </w:pPr>
            <w:r>
              <w:t>Employment and Workplace Relations Legislation Amendment (Welfare to Work and Other Measures) Act 2005</w:t>
            </w:r>
          </w:p>
        </w:tc>
        <w:tc>
          <w:tcPr>
            <w:tcW w:w="888" w:type="dxa"/>
          </w:tcPr>
          <w:p w14:paraId="00209DD7" w14:textId="77777777" w:rsidR="00DB35D1" w:rsidRDefault="00DB35D1" w:rsidP="00DB35D1">
            <w:pPr>
              <w:pStyle w:val="TableTextSmall"/>
            </w:pPr>
            <w:r>
              <w:t>2006</w:t>
            </w:r>
          </w:p>
        </w:tc>
        <w:tc>
          <w:tcPr>
            <w:tcW w:w="5851" w:type="dxa"/>
            <w:vAlign w:val="center"/>
          </w:tcPr>
          <w:p w14:paraId="7E53E9DD" w14:textId="77777777" w:rsidR="00DB35D1" w:rsidRDefault="00DB35D1" w:rsidP="00DB35D1">
            <w:pPr>
              <w:pStyle w:val="TableTextSmall"/>
            </w:pPr>
            <w:r>
              <w:t>From 1 July 2006 there were multiple changes to the work test and eligibility for allowances for new and recent Disability Support Pension (DSP) applicants.</w:t>
            </w:r>
          </w:p>
          <w:p w14:paraId="743FBC4B" w14:textId="77777777" w:rsidR="00DB35D1" w:rsidRDefault="00DB35D1" w:rsidP="00DB35D1">
            <w:pPr>
              <w:pStyle w:val="TableTextSmall"/>
            </w:pPr>
            <w:r>
              <w:t>The eligibility and activity requirements for Parenting Payment recipients changed.</w:t>
            </w:r>
          </w:p>
          <w:p w14:paraId="4C277EF5" w14:textId="77777777" w:rsidR="00DB35D1" w:rsidRDefault="00DB35D1" w:rsidP="00DB35D1">
            <w:pPr>
              <w:pStyle w:val="TableTextSmall"/>
            </w:pPr>
            <w:r>
              <w:t>From 1 July 2006 Taper rates and income thresholds for many payments were altered.</w:t>
            </w:r>
          </w:p>
          <w:p w14:paraId="223E64A2" w14:textId="77777777" w:rsidR="00DB35D1" w:rsidRDefault="00DB35D1" w:rsidP="00DB35D1">
            <w:pPr>
              <w:pStyle w:val="TableTextSmall"/>
            </w:pPr>
            <w:r>
              <w:t>Changes were made to the qualification for Pensioner Education Supplement (PES).</w:t>
            </w:r>
          </w:p>
          <w:p w14:paraId="4EA75658" w14:textId="77777777" w:rsidR="00DB35D1" w:rsidRDefault="00DB35D1" w:rsidP="00DB35D1">
            <w:pPr>
              <w:pStyle w:val="TableTextSmall"/>
            </w:pPr>
            <w:r>
              <w:t>A higher rate of Mobility Allowance was made available for some people.</w:t>
            </w:r>
          </w:p>
        </w:tc>
      </w:tr>
      <w:tr w:rsidR="00DB35D1" w:rsidRPr="00EC326F" w14:paraId="5D23FEB7" w14:textId="77777777" w:rsidTr="002C08A6">
        <w:trPr>
          <w:cantSplit/>
        </w:trPr>
        <w:tc>
          <w:tcPr>
            <w:tcW w:w="3342" w:type="dxa"/>
          </w:tcPr>
          <w:p w14:paraId="481F5321" w14:textId="77777777" w:rsidR="00DB35D1" w:rsidRDefault="00DB35D1" w:rsidP="00DB35D1">
            <w:pPr>
              <w:pStyle w:val="TableTextSmalltopic"/>
            </w:pPr>
            <w:r>
              <w:t>Age Pension assets test taper rate</w:t>
            </w:r>
          </w:p>
          <w:p w14:paraId="74C4E8EF" w14:textId="77777777" w:rsidR="00DB35D1" w:rsidRDefault="00DB35D1" w:rsidP="00DB35D1">
            <w:pPr>
              <w:pStyle w:val="TableTextSmall"/>
            </w:pPr>
            <w:r>
              <w:t>Tax Law Amendment (Simplified Superannuation) Act 2007</w:t>
            </w:r>
          </w:p>
        </w:tc>
        <w:tc>
          <w:tcPr>
            <w:tcW w:w="888" w:type="dxa"/>
          </w:tcPr>
          <w:p w14:paraId="412911C2" w14:textId="77777777" w:rsidR="00DB35D1" w:rsidRDefault="00DB35D1" w:rsidP="00DB35D1">
            <w:pPr>
              <w:pStyle w:val="TableTextSmall"/>
            </w:pPr>
            <w:r>
              <w:t>2007</w:t>
            </w:r>
          </w:p>
        </w:tc>
        <w:tc>
          <w:tcPr>
            <w:tcW w:w="5851" w:type="dxa"/>
            <w:vAlign w:val="center"/>
          </w:tcPr>
          <w:p w14:paraId="5F9B1FE8" w14:textId="77777777" w:rsidR="00DB35D1" w:rsidRDefault="00DB35D1" w:rsidP="00DB35D1">
            <w:pPr>
              <w:pStyle w:val="TableTextSmall"/>
            </w:pPr>
            <w:r>
              <w:t xml:space="preserve">Age Pension 'assets test' taper rate halved. </w:t>
            </w:r>
          </w:p>
        </w:tc>
      </w:tr>
      <w:tr w:rsidR="00DB35D1" w:rsidRPr="00EC326F" w14:paraId="137D9A8F" w14:textId="77777777" w:rsidTr="002C08A6">
        <w:trPr>
          <w:cantSplit/>
        </w:trPr>
        <w:tc>
          <w:tcPr>
            <w:tcW w:w="3342" w:type="dxa"/>
          </w:tcPr>
          <w:p w14:paraId="48EFA0DA" w14:textId="77777777" w:rsidR="00DB35D1" w:rsidRDefault="00DB35D1" w:rsidP="00DB35D1">
            <w:pPr>
              <w:pStyle w:val="TableTextSmalltopic"/>
            </w:pPr>
            <w:r>
              <w:t>Secure and Sustainable Pension Reform package</w:t>
            </w:r>
          </w:p>
          <w:p w14:paraId="2BFA9407" w14:textId="77777777" w:rsidR="00DB35D1" w:rsidRDefault="00DB35D1" w:rsidP="00DB35D1">
            <w:pPr>
              <w:pStyle w:val="TableTextSmall"/>
            </w:pPr>
            <w:r>
              <w:t>Social Security and Other Legislation Amendment (Pension Reform and Other 2009 Budget Measures) Act 2009</w:t>
            </w:r>
          </w:p>
          <w:p w14:paraId="470D994C" w14:textId="77777777" w:rsidR="00DB35D1" w:rsidRDefault="00DB35D1" w:rsidP="00DB35D1">
            <w:pPr>
              <w:pStyle w:val="TableTextSmall"/>
            </w:pPr>
          </w:p>
        </w:tc>
        <w:tc>
          <w:tcPr>
            <w:tcW w:w="888" w:type="dxa"/>
          </w:tcPr>
          <w:p w14:paraId="6FBEE0C2" w14:textId="77777777" w:rsidR="00DB35D1" w:rsidRDefault="00DB35D1" w:rsidP="00DB35D1">
            <w:pPr>
              <w:pStyle w:val="TableTextSmall"/>
            </w:pPr>
            <w:r>
              <w:t>2009</w:t>
            </w:r>
          </w:p>
        </w:tc>
        <w:tc>
          <w:tcPr>
            <w:tcW w:w="5851" w:type="dxa"/>
            <w:vAlign w:val="center"/>
          </w:tcPr>
          <w:p w14:paraId="08C15EC0" w14:textId="77777777" w:rsidR="00DB35D1" w:rsidRDefault="00DB35D1" w:rsidP="00DB35D1">
            <w:pPr>
              <w:pStyle w:val="TableTextSmall"/>
            </w:pPr>
            <w:r>
              <w:t>There was a one-off increase to the rate of many pensions, and changed indexation arrangements.</w:t>
            </w:r>
          </w:p>
          <w:p w14:paraId="7D5CB15B" w14:textId="77777777" w:rsidR="00DB35D1" w:rsidRDefault="00DB35D1" w:rsidP="00DB35D1">
            <w:pPr>
              <w:pStyle w:val="TableTextSmall"/>
              <w:rPr>
                <w:b/>
              </w:rPr>
            </w:pPr>
            <w:r>
              <w:t>The Pension Supplement was introduced as part of reform package and took effect from 20 September 2009.</w:t>
            </w:r>
          </w:p>
          <w:p w14:paraId="680CE671" w14:textId="77777777" w:rsidR="00DB35D1" w:rsidRDefault="00DB35D1" w:rsidP="00DB35D1">
            <w:pPr>
              <w:pStyle w:val="TableTextSmall"/>
            </w:pPr>
            <w:r>
              <w:t>The ‘income test’ taper rate increased.</w:t>
            </w:r>
          </w:p>
          <w:p w14:paraId="51F17CF4" w14:textId="77777777" w:rsidR="00DB35D1" w:rsidRDefault="00DB35D1" w:rsidP="00DB35D1">
            <w:pPr>
              <w:pStyle w:val="TableTextSmall"/>
            </w:pPr>
            <w:r>
              <w:t>The Pension Bonus Scheme was closed to new registrations from 1 July 2014.</w:t>
            </w:r>
          </w:p>
          <w:p w14:paraId="385378CE" w14:textId="77777777" w:rsidR="00DB35D1" w:rsidRDefault="00DB35D1" w:rsidP="00DB35D1">
            <w:pPr>
              <w:pStyle w:val="TableTextSmall"/>
            </w:pPr>
            <w:r>
              <w:t>The Commonwealth Seniors Health Card income test was modified.</w:t>
            </w:r>
          </w:p>
          <w:p w14:paraId="754E3A58" w14:textId="77777777" w:rsidR="00DB35D1" w:rsidRDefault="00DB35D1" w:rsidP="00DB35D1">
            <w:pPr>
              <w:pStyle w:val="TableTextSmall"/>
            </w:pPr>
            <w:r>
              <w:t>A Carer Supplement was introduced for Carer Payment recipients.</w:t>
            </w:r>
          </w:p>
          <w:p w14:paraId="5521350F" w14:textId="77777777" w:rsidR="00DB35D1" w:rsidRDefault="00DB35D1" w:rsidP="00DB35D1">
            <w:pPr>
              <w:pStyle w:val="TableTextSmall"/>
            </w:pPr>
            <w:r>
              <w:t>Indexation was changed for certain FTB payments.</w:t>
            </w:r>
          </w:p>
          <w:p w14:paraId="75FD5A49" w14:textId="77777777" w:rsidR="00DB35D1" w:rsidRDefault="00DB35D1" w:rsidP="00DB35D1">
            <w:pPr>
              <w:pStyle w:val="TableTextSmall"/>
            </w:pPr>
            <w:r>
              <w:t>This Act introduces a new Work Bonus into the social security law, which allows for a certain amount of employment income that is earned, derived or received in an instalment period by a pensioner who is of age pension age to be disregarded for the purposes of the income test.</w:t>
            </w:r>
          </w:p>
        </w:tc>
      </w:tr>
      <w:tr w:rsidR="00DB35D1" w:rsidRPr="00EC326F" w14:paraId="78A38814" w14:textId="77777777" w:rsidTr="002C08A6">
        <w:trPr>
          <w:cantSplit/>
        </w:trPr>
        <w:tc>
          <w:tcPr>
            <w:tcW w:w="3342" w:type="dxa"/>
          </w:tcPr>
          <w:p w14:paraId="549F1320" w14:textId="77777777" w:rsidR="00DB35D1" w:rsidRDefault="00DB35D1" w:rsidP="00DB35D1">
            <w:pPr>
              <w:pStyle w:val="TableTextSmalltopic"/>
            </w:pPr>
            <w:r>
              <w:t>Training Incentives</w:t>
            </w:r>
          </w:p>
          <w:p w14:paraId="75AD8EC9" w14:textId="77777777" w:rsidR="00DB35D1" w:rsidRDefault="00DB35D1" w:rsidP="00DB35D1">
            <w:pPr>
              <w:pStyle w:val="TableTextSmall"/>
            </w:pPr>
            <w:r>
              <w:t>Social Security Amendment (Training Incentives) Act 2009</w:t>
            </w:r>
          </w:p>
        </w:tc>
        <w:tc>
          <w:tcPr>
            <w:tcW w:w="888" w:type="dxa"/>
          </w:tcPr>
          <w:p w14:paraId="1E4B9EE5" w14:textId="77777777" w:rsidR="00DB35D1" w:rsidRDefault="00DB35D1" w:rsidP="00DB35D1">
            <w:pPr>
              <w:pStyle w:val="TableTextSmall"/>
            </w:pPr>
            <w:r>
              <w:t>2009</w:t>
            </w:r>
          </w:p>
        </w:tc>
        <w:tc>
          <w:tcPr>
            <w:tcW w:w="5851" w:type="dxa"/>
            <w:vAlign w:val="center"/>
          </w:tcPr>
          <w:p w14:paraId="561B83FE" w14:textId="77777777" w:rsidR="00DB35D1" w:rsidRDefault="00DB35D1" w:rsidP="00DB35D1">
            <w:pPr>
              <w:pStyle w:val="TableTextSmall"/>
              <w:rPr>
                <w:b/>
              </w:rPr>
            </w:pPr>
            <w:r>
              <w:t>The introduction of a training supplement was made available to recipients of Newstart Allowance and Parenting Payment.</w:t>
            </w:r>
          </w:p>
        </w:tc>
      </w:tr>
      <w:tr w:rsidR="00DB35D1" w:rsidRPr="00EC326F" w14:paraId="0EB4675B" w14:textId="77777777" w:rsidTr="002C08A6">
        <w:trPr>
          <w:cantSplit/>
        </w:trPr>
        <w:tc>
          <w:tcPr>
            <w:tcW w:w="3342" w:type="dxa"/>
          </w:tcPr>
          <w:p w14:paraId="34A85B2E" w14:textId="77777777" w:rsidR="00DB35D1" w:rsidRDefault="00DB35D1" w:rsidP="00DB35D1">
            <w:pPr>
              <w:pStyle w:val="TableTextSmalltopic"/>
            </w:pPr>
            <w:r>
              <w:t>Carer Payment</w:t>
            </w:r>
          </w:p>
          <w:p w14:paraId="39BECD8D" w14:textId="77777777" w:rsidR="00DB35D1" w:rsidRDefault="00DB35D1" w:rsidP="00DB35D1">
            <w:pPr>
              <w:pStyle w:val="TableTextSmall"/>
            </w:pPr>
            <w:r>
              <w:t>Social Security Legislation Amendment (Improved Support for Carers) Act 2009</w:t>
            </w:r>
          </w:p>
        </w:tc>
        <w:tc>
          <w:tcPr>
            <w:tcW w:w="888" w:type="dxa"/>
          </w:tcPr>
          <w:p w14:paraId="67E06BE4" w14:textId="77777777" w:rsidR="00DB35D1" w:rsidRDefault="00DB35D1" w:rsidP="00DB35D1">
            <w:pPr>
              <w:pStyle w:val="TableTextSmall"/>
            </w:pPr>
            <w:r>
              <w:t>2009</w:t>
            </w:r>
          </w:p>
        </w:tc>
        <w:tc>
          <w:tcPr>
            <w:tcW w:w="5851" w:type="dxa"/>
            <w:vAlign w:val="center"/>
          </w:tcPr>
          <w:p w14:paraId="27980995" w14:textId="77777777" w:rsidR="00DB35D1" w:rsidRDefault="00DB35D1" w:rsidP="00DB35D1">
            <w:pPr>
              <w:pStyle w:val="TableTextSmall"/>
              <w:rPr>
                <w:b/>
              </w:rPr>
            </w:pPr>
            <w:r>
              <w:t>Eligibility changed for individuals providing care for children with a disability.</w:t>
            </w:r>
          </w:p>
        </w:tc>
      </w:tr>
      <w:tr w:rsidR="00DB35D1" w:rsidRPr="00EC326F" w14:paraId="4580E20C" w14:textId="77777777" w:rsidTr="002C08A6">
        <w:trPr>
          <w:cantSplit/>
        </w:trPr>
        <w:tc>
          <w:tcPr>
            <w:tcW w:w="3342" w:type="dxa"/>
          </w:tcPr>
          <w:p w14:paraId="39EDD9D0" w14:textId="77777777" w:rsidR="00DB35D1" w:rsidRDefault="00DB35D1" w:rsidP="00DB35D1">
            <w:pPr>
              <w:pStyle w:val="TableTextSmalltopic"/>
            </w:pPr>
            <w:r>
              <w:t>Parenting Payment transitional arrangement</w:t>
            </w:r>
          </w:p>
          <w:p w14:paraId="74C9CC89" w14:textId="77777777" w:rsidR="00DB35D1" w:rsidRDefault="00DB35D1" w:rsidP="00DB35D1">
            <w:pPr>
              <w:pStyle w:val="TableTextSmall"/>
            </w:pPr>
            <w:r>
              <w:t>Social Security Amendment (Parenting Payment Transitional Arrangement) Act 2011</w:t>
            </w:r>
          </w:p>
        </w:tc>
        <w:tc>
          <w:tcPr>
            <w:tcW w:w="888" w:type="dxa"/>
          </w:tcPr>
          <w:p w14:paraId="7CB8AB03" w14:textId="77777777" w:rsidR="00DB35D1" w:rsidRDefault="00DB35D1" w:rsidP="00DB35D1">
            <w:pPr>
              <w:pStyle w:val="TableTextSmall"/>
            </w:pPr>
            <w:r>
              <w:t>2011</w:t>
            </w:r>
          </w:p>
        </w:tc>
        <w:tc>
          <w:tcPr>
            <w:tcW w:w="5851" w:type="dxa"/>
            <w:vAlign w:val="center"/>
          </w:tcPr>
          <w:p w14:paraId="53858D0C" w14:textId="77777777" w:rsidR="00DB35D1" w:rsidRDefault="00DB35D1" w:rsidP="00DB35D1">
            <w:pPr>
              <w:pStyle w:val="TableTextSmall"/>
            </w:pPr>
            <w:r>
              <w:t>Changed ability to access transitional arrangements.</w:t>
            </w:r>
          </w:p>
        </w:tc>
      </w:tr>
      <w:tr w:rsidR="00DB35D1" w:rsidRPr="00EC326F" w14:paraId="2EB5436D" w14:textId="77777777" w:rsidTr="002C08A6">
        <w:trPr>
          <w:cantSplit/>
        </w:trPr>
        <w:tc>
          <w:tcPr>
            <w:tcW w:w="3342" w:type="dxa"/>
          </w:tcPr>
          <w:p w14:paraId="7C6CB448" w14:textId="77777777" w:rsidR="00DB35D1" w:rsidRDefault="00DB35D1" w:rsidP="00DB35D1">
            <w:pPr>
              <w:pStyle w:val="TableTextSmalltopic"/>
            </w:pPr>
            <w:r>
              <w:t>Work rule for Disability Support Pension</w:t>
            </w:r>
          </w:p>
          <w:p w14:paraId="714D2AC2" w14:textId="77777777" w:rsidR="00DB35D1" w:rsidRDefault="00DB35D1" w:rsidP="00DB35D1">
            <w:pPr>
              <w:pStyle w:val="TableTextSmall"/>
            </w:pPr>
            <w:r>
              <w:t>Social Security and Other Legislation Amendment (Disability Support Pension Participation Reforms) Act 2012</w:t>
            </w:r>
          </w:p>
        </w:tc>
        <w:tc>
          <w:tcPr>
            <w:tcW w:w="888" w:type="dxa"/>
          </w:tcPr>
          <w:p w14:paraId="386E5761" w14:textId="77777777" w:rsidR="00DB35D1" w:rsidRDefault="00DB35D1" w:rsidP="00DB35D1">
            <w:pPr>
              <w:pStyle w:val="TableTextSmall"/>
            </w:pPr>
            <w:r>
              <w:t>2012</w:t>
            </w:r>
          </w:p>
        </w:tc>
        <w:tc>
          <w:tcPr>
            <w:tcW w:w="5851" w:type="dxa"/>
            <w:vAlign w:val="center"/>
          </w:tcPr>
          <w:p w14:paraId="7C1AE44C" w14:textId="77777777" w:rsidR="00DB35D1" w:rsidRDefault="00DB35D1" w:rsidP="00DB35D1">
            <w:pPr>
              <w:pStyle w:val="TableTextSmall"/>
              <w:rPr>
                <w:b/>
              </w:rPr>
            </w:pPr>
            <w:r>
              <w:t xml:space="preserve">From 1 July 2012, all Disability Support Pension recipients can work up to 30 hours a week without having their payment suspended or cancelled. </w:t>
            </w:r>
          </w:p>
        </w:tc>
      </w:tr>
      <w:tr w:rsidR="00DB35D1" w:rsidRPr="00EC326F" w14:paraId="54E9B975" w14:textId="77777777" w:rsidTr="002C08A6">
        <w:trPr>
          <w:cantSplit/>
        </w:trPr>
        <w:tc>
          <w:tcPr>
            <w:tcW w:w="3342" w:type="dxa"/>
          </w:tcPr>
          <w:p w14:paraId="7AE88456" w14:textId="77777777" w:rsidR="00DB35D1" w:rsidRDefault="00DB35D1" w:rsidP="00DB35D1">
            <w:pPr>
              <w:pStyle w:val="TableTextSmalltopic"/>
            </w:pPr>
            <w:r>
              <w:lastRenderedPageBreak/>
              <w:t>Changes to the eligibility criteria for Youth Allowance (other) and Newstart Allowance</w:t>
            </w:r>
          </w:p>
          <w:p w14:paraId="4529CBFB" w14:textId="77777777" w:rsidR="00DB35D1" w:rsidRDefault="00DB35D1" w:rsidP="00DB35D1">
            <w:pPr>
              <w:pStyle w:val="TableTextSmall"/>
            </w:pPr>
            <w:r>
              <w:t>Social Security and Other Legislation Amendment (Income Support and Other Measures) Act 2012</w:t>
            </w:r>
          </w:p>
        </w:tc>
        <w:tc>
          <w:tcPr>
            <w:tcW w:w="888" w:type="dxa"/>
          </w:tcPr>
          <w:p w14:paraId="6F833605" w14:textId="77777777" w:rsidR="00DB35D1" w:rsidRDefault="00DB35D1" w:rsidP="00DB35D1">
            <w:pPr>
              <w:pStyle w:val="TableTextSmall"/>
            </w:pPr>
            <w:r>
              <w:t>2012</w:t>
            </w:r>
          </w:p>
        </w:tc>
        <w:tc>
          <w:tcPr>
            <w:tcW w:w="5851" w:type="dxa"/>
            <w:vAlign w:val="center"/>
          </w:tcPr>
          <w:p w14:paraId="17BC55DB" w14:textId="77777777" w:rsidR="00DB35D1" w:rsidRDefault="00DB35D1" w:rsidP="00DB35D1">
            <w:pPr>
              <w:pStyle w:val="TableTextSmall"/>
            </w:pPr>
            <w:r>
              <w:t>The maximum age for youth allowance for non-students and the minimum qualification age for Newstart allowance increased from 21 to 22 years.</w:t>
            </w:r>
          </w:p>
          <w:p w14:paraId="2F3665BC" w14:textId="77777777" w:rsidR="00DB35D1" w:rsidRDefault="00DB35D1" w:rsidP="00DB35D1">
            <w:pPr>
              <w:pStyle w:val="TableTextSmall"/>
              <w:rPr>
                <w:b/>
                <w:highlight w:val="yellow"/>
              </w:rPr>
            </w:pPr>
            <w:r>
              <w:t>The income free area value was increased from $62 a fortnight to $143 a fortnight and the working credit limit value was increased from $1000 to $3500 for all youth allowance (other) recipients.</w:t>
            </w:r>
          </w:p>
        </w:tc>
      </w:tr>
      <w:tr w:rsidR="00DB35D1" w:rsidRPr="00EC326F" w14:paraId="072BFBB7" w14:textId="77777777" w:rsidTr="002C08A6">
        <w:trPr>
          <w:cantSplit/>
        </w:trPr>
        <w:tc>
          <w:tcPr>
            <w:tcW w:w="3342" w:type="dxa"/>
          </w:tcPr>
          <w:p w14:paraId="257CA761" w14:textId="77777777" w:rsidR="00DB35D1" w:rsidRDefault="00DB35D1" w:rsidP="00DB35D1">
            <w:pPr>
              <w:pStyle w:val="TableTextSmalltopic"/>
            </w:pPr>
            <w:r>
              <w:t>Clean Energy Advance (CEA)</w:t>
            </w:r>
          </w:p>
        </w:tc>
        <w:tc>
          <w:tcPr>
            <w:tcW w:w="888" w:type="dxa"/>
          </w:tcPr>
          <w:p w14:paraId="3A2E00F7" w14:textId="77777777" w:rsidR="00DB35D1" w:rsidRDefault="00DB35D1" w:rsidP="00DB35D1">
            <w:pPr>
              <w:pStyle w:val="TableTextSmall"/>
            </w:pPr>
            <w:r>
              <w:t>2012</w:t>
            </w:r>
          </w:p>
        </w:tc>
        <w:tc>
          <w:tcPr>
            <w:tcW w:w="5851" w:type="dxa"/>
            <w:vAlign w:val="center"/>
          </w:tcPr>
          <w:p w14:paraId="11E7DD93" w14:textId="77777777" w:rsidR="00DB35D1" w:rsidRDefault="00DB35D1" w:rsidP="00DB35D1">
            <w:pPr>
              <w:pStyle w:val="TableTextSmall"/>
            </w:pPr>
            <w:r>
              <w:t>The Clean Energy Advance (CEA) was introduced in May 2012.</w:t>
            </w:r>
          </w:p>
        </w:tc>
      </w:tr>
      <w:tr w:rsidR="00DB35D1" w:rsidRPr="00EC326F" w14:paraId="09924D40" w14:textId="77777777" w:rsidTr="002C08A6">
        <w:trPr>
          <w:cantSplit/>
        </w:trPr>
        <w:tc>
          <w:tcPr>
            <w:tcW w:w="3342" w:type="dxa"/>
          </w:tcPr>
          <w:p w14:paraId="3D644E82" w14:textId="77777777" w:rsidR="00DB35D1" w:rsidRDefault="00DB35D1" w:rsidP="00DB35D1">
            <w:pPr>
              <w:pStyle w:val="TableTextSmalltopic"/>
            </w:pPr>
            <w:r>
              <w:t xml:space="preserve">Clean Energy Supplement and other measures </w:t>
            </w:r>
          </w:p>
          <w:p w14:paraId="4C249F74" w14:textId="77777777" w:rsidR="00DB35D1" w:rsidRDefault="00DB35D1" w:rsidP="00DB35D1">
            <w:pPr>
              <w:pStyle w:val="TableTextSmall"/>
            </w:pPr>
            <w:r>
              <w:t>Clean Energy (Household Assistance Amendments) Act 2011</w:t>
            </w:r>
          </w:p>
          <w:p w14:paraId="3405F0E5" w14:textId="77777777" w:rsidR="00DB35D1" w:rsidRDefault="00DB35D1" w:rsidP="00DB35D1">
            <w:pPr>
              <w:pStyle w:val="TableTextSmall"/>
            </w:pPr>
          </w:p>
        </w:tc>
        <w:tc>
          <w:tcPr>
            <w:tcW w:w="888" w:type="dxa"/>
          </w:tcPr>
          <w:p w14:paraId="62F74D2B" w14:textId="77777777" w:rsidR="00DB35D1" w:rsidRDefault="00DB35D1" w:rsidP="00DB35D1">
            <w:pPr>
              <w:pStyle w:val="TableTextSmall"/>
            </w:pPr>
            <w:r>
              <w:t>2012-2013</w:t>
            </w:r>
          </w:p>
        </w:tc>
        <w:tc>
          <w:tcPr>
            <w:tcW w:w="5851" w:type="dxa"/>
            <w:vAlign w:val="center"/>
          </w:tcPr>
          <w:p w14:paraId="44584B81" w14:textId="77777777" w:rsidR="00DB35D1" w:rsidRDefault="00DB35D1" w:rsidP="00DB35D1">
            <w:pPr>
              <w:pStyle w:val="TableTextSmall"/>
            </w:pPr>
            <w:r>
              <w:t xml:space="preserve">From 1 July 2013, the normal payment indexing arrangements and the Clean Energy Supplement (CES) began to deliver assistance related to carbon pricing. </w:t>
            </w:r>
          </w:p>
          <w:p w14:paraId="0A556863" w14:textId="77777777" w:rsidR="00DB35D1" w:rsidRDefault="00DB35D1" w:rsidP="00DB35D1">
            <w:pPr>
              <w:pStyle w:val="TableTextSmall"/>
            </w:pPr>
            <w:r>
              <w:t>In addition, amendments were introduced for the Low Income Supplement, Essential Medical Equipment Payment, Single Income Family Supplement and aged care.</w:t>
            </w:r>
          </w:p>
        </w:tc>
      </w:tr>
      <w:tr w:rsidR="00DB35D1" w:rsidRPr="00EC326F" w14:paraId="630FB3DB" w14:textId="77777777" w:rsidTr="002C08A6">
        <w:trPr>
          <w:cantSplit/>
        </w:trPr>
        <w:tc>
          <w:tcPr>
            <w:tcW w:w="3342" w:type="dxa"/>
          </w:tcPr>
          <w:p w14:paraId="4CAA34F7" w14:textId="77777777" w:rsidR="00DB35D1" w:rsidRDefault="00DB35D1" w:rsidP="00DB35D1">
            <w:pPr>
              <w:pStyle w:val="TableTextSmalltopic"/>
            </w:pPr>
            <w:r>
              <w:t>Family Tax Benefit and Youth Allowance</w:t>
            </w:r>
          </w:p>
          <w:p w14:paraId="38BEC1B8" w14:textId="77777777" w:rsidR="00DB35D1" w:rsidRDefault="00DB35D1" w:rsidP="00DB35D1">
            <w:pPr>
              <w:pStyle w:val="TableTextSmalltopic"/>
              <w:rPr>
                <w:b w:val="0"/>
              </w:rPr>
            </w:pPr>
            <w:r>
              <w:rPr>
                <w:b w:val="0"/>
              </w:rPr>
              <w:t>Family Assistance and Other Legislation Amendment Act 2011</w:t>
            </w:r>
          </w:p>
        </w:tc>
        <w:tc>
          <w:tcPr>
            <w:tcW w:w="888" w:type="dxa"/>
          </w:tcPr>
          <w:p w14:paraId="091A8F75" w14:textId="77777777" w:rsidR="00DB35D1" w:rsidRDefault="00DB35D1" w:rsidP="00DB35D1">
            <w:pPr>
              <w:pStyle w:val="TableTextSmall"/>
            </w:pPr>
            <w:r>
              <w:t>2012</w:t>
            </w:r>
          </w:p>
        </w:tc>
        <w:tc>
          <w:tcPr>
            <w:tcW w:w="5851" w:type="dxa"/>
            <w:vAlign w:val="center"/>
          </w:tcPr>
          <w:p w14:paraId="5AFE2649" w14:textId="77777777" w:rsidR="00DB35D1" w:rsidRDefault="00DB35D1" w:rsidP="00DB35D1">
            <w:pPr>
              <w:pStyle w:val="TableTextSmall"/>
              <w:rPr>
                <w:b/>
              </w:rPr>
            </w:pPr>
            <w:r>
              <w:t>The maximum age limit for a young person to qualify as a dependent child for Family Tax Benefit Part A (FTB-A) changed from aged under 25 to aged 21. This change aligns with the age of independence recognised in Youth Allowance. As at 1 January 2012, a young person is considered independent for Youth Allowance purposes once they turn 22.</w:t>
            </w:r>
          </w:p>
        </w:tc>
      </w:tr>
      <w:tr w:rsidR="00DB35D1" w:rsidRPr="00EC326F" w14:paraId="6EAF21EA" w14:textId="77777777" w:rsidTr="002C08A6">
        <w:trPr>
          <w:cantSplit/>
        </w:trPr>
        <w:tc>
          <w:tcPr>
            <w:tcW w:w="3342" w:type="dxa"/>
          </w:tcPr>
          <w:p w14:paraId="6C73C3A1" w14:textId="77777777" w:rsidR="00DB35D1" w:rsidRDefault="00DB35D1" w:rsidP="00DB35D1">
            <w:pPr>
              <w:pStyle w:val="TableTextSmalltopic"/>
            </w:pPr>
            <w:r>
              <w:t>Removal of the grandfathering provisions and other measures</w:t>
            </w:r>
          </w:p>
          <w:p w14:paraId="3024E6FC" w14:textId="77777777" w:rsidR="00DB35D1" w:rsidRDefault="00DB35D1" w:rsidP="00DB35D1">
            <w:pPr>
              <w:pStyle w:val="TableTextSmall"/>
            </w:pPr>
            <w:r>
              <w:t xml:space="preserve">Social Security Legislation Amendment (Fair Incentives to Work) Act 2012 </w:t>
            </w:r>
          </w:p>
        </w:tc>
        <w:tc>
          <w:tcPr>
            <w:tcW w:w="888" w:type="dxa"/>
          </w:tcPr>
          <w:p w14:paraId="12BE0FD1" w14:textId="77777777" w:rsidR="00DB35D1" w:rsidRDefault="00DB35D1" w:rsidP="00DB35D1">
            <w:pPr>
              <w:pStyle w:val="TableTextSmall"/>
            </w:pPr>
            <w:r>
              <w:t>2013</w:t>
            </w:r>
          </w:p>
        </w:tc>
        <w:tc>
          <w:tcPr>
            <w:tcW w:w="5851" w:type="dxa"/>
            <w:vAlign w:val="center"/>
          </w:tcPr>
          <w:p w14:paraId="2071763B" w14:textId="77777777" w:rsidR="00DB35D1" w:rsidRDefault="00DB35D1" w:rsidP="00DB35D1">
            <w:pPr>
              <w:pStyle w:val="TableTextSmall"/>
            </w:pPr>
            <w:r>
              <w:t xml:space="preserve">Grandfathering provisions for some Parenting Payment recipients were removed. </w:t>
            </w:r>
          </w:p>
          <w:p w14:paraId="3BD17CD7" w14:textId="77777777" w:rsidR="00DB35D1" w:rsidRDefault="00DB35D1" w:rsidP="00DB35D1">
            <w:pPr>
              <w:pStyle w:val="TableTextSmall"/>
            </w:pPr>
            <w:r>
              <w:t>For certain Newstart recipients there were changes to the eligibility for certain supplements and allowances, and to income taper rates.</w:t>
            </w:r>
          </w:p>
        </w:tc>
      </w:tr>
      <w:tr w:rsidR="00DB35D1" w:rsidRPr="00EC326F" w14:paraId="08750838" w14:textId="77777777" w:rsidTr="002C08A6">
        <w:trPr>
          <w:cantSplit/>
        </w:trPr>
        <w:tc>
          <w:tcPr>
            <w:tcW w:w="3342" w:type="dxa"/>
          </w:tcPr>
          <w:p w14:paraId="4FB4F7BB" w14:textId="77777777" w:rsidR="00DB35D1" w:rsidRDefault="00DB35D1" w:rsidP="00DB35D1">
            <w:pPr>
              <w:pStyle w:val="TableTextSmalltopic"/>
            </w:pPr>
            <w:r>
              <w:t>New Income Support Bonus</w:t>
            </w:r>
          </w:p>
          <w:p w14:paraId="6C90A629" w14:textId="77777777" w:rsidR="00DB35D1" w:rsidRDefault="00DB35D1" w:rsidP="00DB35D1">
            <w:pPr>
              <w:pStyle w:val="TableTextSmall"/>
            </w:pPr>
            <w:r>
              <w:t>Social Security and Other Legislation Amendment (Income Support Bonus) Act 2013</w:t>
            </w:r>
          </w:p>
        </w:tc>
        <w:tc>
          <w:tcPr>
            <w:tcW w:w="888" w:type="dxa"/>
          </w:tcPr>
          <w:p w14:paraId="04435BF3" w14:textId="77777777" w:rsidR="00DB35D1" w:rsidRDefault="00DB35D1" w:rsidP="00DB35D1">
            <w:pPr>
              <w:pStyle w:val="TableTextSmall"/>
            </w:pPr>
            <w:r>
              <w:t>2013</w:t>
            </w:r>
          </w:p>
        </w:tc>
        <w:tc>
          <w:tcPr>
            <w:tcW w:w="5851" w:type="dxa"/>
            <w:vAlign w:val="center"/>
          </w:tcPr>
          <w:p w14:paraId="272B1FDE" w14:textId="77777777" w:rsidR="00DB35D1" w:rsidRDefault="00DB35D1" w:rsidP="00DB35D1">
            <w:pPr>
              <w:pStyle w:val="TableTextSmall"/>
            </w:pPr>
            <w:r>
              <w:t xml:space="preserve">The Act creates a new Income Support Bonus to be paid to recipients of </w:t>
            </w:r>
          </w:p>
          <w:p w14:paraId="3C725008" w14:textId="77777777" w:rsidR="00DB35D1" w:rsidRDefault="00DB35D1" w:rsidP="00DB35D1">
            <w:pPr>
              <w:pStyle w:val="TableTextSmall"/>
            </w:pPr>
            <w:r>
              <w:t>Newstart Allowance, Youth Allowance, Parenting Payment, Sickness Allowance, Austudy Payment, Special Benefit, ABSTUDY Living Allowance, Exceptional Circumstances Relief Payment, Transitional Farm Family Payment.</w:t>
            </w:r>
          </w:p>
        </w:tc>
      </w:tr>
      <w:tr w:rsidR="00DB35D1" w:rsidRPr="00EC326F" w14:paraId="6DBB1C86" w14:textId="77777777" w:rsidTr="002C08A6">
        <w:trPr>
          <w:cantSplit/>
        </w:trPr>
        <w:tc>
          <w:tcPr>
            <w:tcW w:w="3342" w:type="dxa"/>
          </w:tcPr>
          <w:p w14:paraId="0CC9007F" w14:textId="77777777" w:rsidR="00DB35D1" w:rsidRDefault="00DB35D1" w:rsidP="00DB35D1">
            <w:pPr>
              <w:pStyle w:val="TableTextSmalltopic"/>
            </w:pPr>
            <w:r>
              <w:t>Austudy</w:t>
            </w:r>
          </w:p>
        </w:tc>
        <w:tc>
          <w:tcPr>
            <w:tcW w:w="888" w:type="dxa"/>
          </w:tcPr>
          <w:p w14:paraId="1624CBCD" w14:textId="77777777" w:rsidR="00DB35D1" w:rsidRDefault="00DB35D1" w:rsidP="00DB35D1">
            <w:pPr>
              <w:pStyle w:val="TableTextSmall"/>
            </w:pPr>
            <w:r>
              <w:t>2013</w:t>
            </w:r>
          </w:p>
        </w:tc>
        <w:tc>
          <w:tcPr>
            <w:tcW w:w="5851" w:type="dxa"/>
            <w:vAlign w:val="center"/>
          </w:tcPr>
          <w:p w14:paraId="1CAB2BC6" w14:textId="77777777" w:rsidR="00DB35D1" w:rsidRDefault="00DB35D1" w:rsidP="00DB35D1">
            <w:pPr>
              <w:pStyle w:val="TableTextSmall"/>
            </w:pPr>
            <w:r>
              <w:t>The maximum length of temporary absence was reduced.</w:t>
            </w:r>
          </w:p>
        </w:tc>
      </w:tr>
      <w:tr w:rsidR="00DB35D1" w:rsidRPr="00EC326F" w14:paraId="4992EBAD" w14:textId="77777777" w:rsidTr="002C08A6">
        <w:trPr>
          <w:cantSplit/>
        </w:trPr>
        <w:tc>
          <w:tcPr>
            <w:tcW w:w="3342" w:type="dxa"/>
          </w:tcPr>
          <w:p w14:paraId="3E423977" w14:textId="77777777" w:rsidR="00DB35D1" w:rsidRDefault="00DB35D1" w:rsidP="00DB35D1">
            <w:pPr>
              <w:pStyle w:val="TableTextSmalltopic"/>
            </w:pPr>
            <w:r>
              <w:t>Age/study rules for children for family assistance payments</w:t>
            </w:r>
          </w:p>
          <w:p w14:paraId="0DA35C94" w14:textId="77777777" w:rsidR="00DB35D1" w:rsidRDefault="00DB35D1" w:rsidP="00DB35D1">
            <w:pPr>
              <w:pStyle w:val="TableTextSmall"/>
            </w:pPr>
            <w:r>
              <w:t>Social Security and Other Legislation Amendment (2012 Budget and Other Measures) Act 2012</w:t>
            </w:r>
          </w:p>
        </w:tc>
        <w:tc>
          <w:tcPr>
            <w:tcW w:w="888" w:type="dxa"/>
          </w:tcPr>
          <w:p w14:paraId="4F236525" w14:textId="77777777" w:rsidR="00DB35D1" w:rsidRDefault="00DB35D1" w:rsidP="00DB35D1">
            <w:pPr>
              <w:pStyle w:val="TableTextSmall"/>
            </w:pPr>
            <w:r>
              <w:t>2013</w:t>
            </w:r>
          </w:p>
        </w:tc>
        <w:tc>
          <w:tcPr>
            <w:tcW w:w="5851" w:type="dxa"/>
            <w:vAlign w:val="center"/>
          </w:tcPr>
          <w:p w14:paraId="1BEC0BF1" w14:textId="77777777" w:rsidR="00DB35D1" w:rsidRDefault="00DB35D1" w:rsidP="00DB35D1">
            <w:pPr>
              <w:pStyle w:val="TableTextSmall"/>
            </w:pPr>
            <w:r>
              <w:t xml:space="preserve">The maximum age of eligibility for FTB Part A is further reduced to 17 for children who have completed secondary education or a vocational equivalent. Children still in secondary study can continue to access FTB Part A until the end of the calendar year they turn 19. </w:t>
            </w:r>
          </w:p>
        </w:tc>
      </w:tr>
      <w:tr w:rsidR="00DB35D1" w:rsidRPr="00EC326F" w14:paraId="34BB18EE" w14:textId="77777777" w:rsidTr="002C08A6">
        <w:trPr>
          <w:cantSplit/>
        </w:trPr>
        <w:tc>
          <w:tcPr>
            <w:tcW w:w="3342" w:type="dxa"/>
          </w:tcPr>
          <w:p w14:paraId="24681E7F" w14:textId="77777777" w:rsidR="00DB35D1" w:rsidRDefault="00DB35D1" w:rsidP="00DB35D1">
            <w:pPr>
              <w:pStyle w:val="TableTextSmalltopic"/>
            </w:pPr>
            <w:r>
              <w:t>Child Care Rebate</w:t>
            </w:r>
          </w:p>
        </w:tc>
        <w:tc>
          <w:tcPr>
            <w:tcW w:w="888" w:type="dxa"/>
          </w:tcPr>
          <w:p w14:paraId="4966AF06" w14:textId="77777777" w:rsidR="00DB35D1" w:rsidRDefault="00DB35D1" w:rsidP="00DB35D1">
            <w:pPr>
              <w:pStyle w:val="TableTextSmall"/>
            </w:pPr>
            <w:r>
              <w:t>2013</w:t>
            </w:r>
          </w:p>
        </w:tc>
        <w:tc>
          <w:tcPr>
            <w:tcW w:w="5851" w:type="dxa"/>
            <w:vAlign w:val="center"/>
          </w:tcPr>
          <w:p w14:paraId="03555E90" w14:textId="77777777" w:rsidR="00DB35D1" w:rsidRDefault="00DB35D1" w:rsidP="00DB35D1">
            <w:pPr>
              <w:pStyle w:val="TableTextSmall"/>
              <w:rPr>
                <w:lang w:eastAsia="en-AU"/>
              </w:rPr>
            </w:pPr>
            <w:r>
              <w:rPr>
                <w:lang w:eastAsia="en-AU"/>
              </w:rPr>
              <w:t>The government changed the eligibility criteria for Jobs, Education and Training Child Care Fee Assistance (JETCCFA) program.</w:t>
            </w:r>
          </w:p>
          <w:p w14:paraId="7D196492" w14:textId="77777777" w:rsidR="00DB35D1" w:rsidRDefault="00DB35D1" w:rsidP="00DB35D1">
            <w:pPr>
              <w:pStyle w:val="TableTextSmall"/>
              <w:rPr>
                <w:lang w:eastAsia="en-AU"/>
              </w:rPr>
            </w:pPr>
            <w:r>
              <w:rPr>
                <w:lang w:eastAsia="en-AU"/>
              </w:rPr>
              <w:t>From 1 July 2013 parents who were studying an enabling course (commonly referred to as bridging or foundation courses) may be eligible for Jobs, Education and Training Child Care Fee Assistance.</w:t>
            </w:r>
          </w:p>
          <w:p w14:paraId="52341FF7" w14:textId="77777777" w:rsidR="00DB35D1" w:rsidRDefault="00DB35D1" w:rsidP="00DB35D1">
            <w:pPr>
              <w:pStyle w:val="TableTextSmall"/>
            </w:pPr>
            <w:r>
              <w:rPr>
                <w:lang w:eastAsia="en-AU"/>
              </w:rPr>
              <w:t>Changes to the amount of JETCCFA subsidy could impact the amount of CCR that a child is entitled to. There were changes to JETCCFA eligibility and subsidy rules in 2013, 2014 and 2015.</w:t>
            </w:r>
          </w:p>
        </w:tc>
      </w:tr>
      <w:tr w:rsidR="00DB35D1" w:rsidRPr="00EC326F" w14:paraId="4EA2A5D9" w14:textId="77777777" w:rsidTr="002C08A6">
        <w:trPr>
          <w:cantSplit/>
        </w:trPr>
        <w:tc>
          <w:tcPr>
            <w:tcW w:w="3342" w:type="dxa"/>
          </w:tcPr>
          <w:p w14:paraId="7701ABC9" w14:textId="77777777" w:rsidR="00DB35D1" w:rsidRDefault="00DB35D1" w:rsidP="00DB35D1">
            <w:pPr>
              <w:pStyle w:val="TableTextSmalltopic"/>
            </w:pPr>
            <w:r>
              <w:t>Disability Support Pension</w:t>
            </w:r>
          </w:p>
        </w:tc>
        <w:tc>
          <w:tcPr>
            <w:tcW w:w="888" w:type="dxa"/>
          </w:tcPr>
          <w:p w14:paraId="1628269F" w14:textId="77777777" w:rsidR="00DB35D1" w:rsidRDefault="00DB35D1" w:rsidP="00DB35D1">
            <w:pPr>
              <w:pStyle w:val="TableTextSmall"/>
            </w:pPr>
            <w:r>
              <w:t>Various</w:t>
            </w:r>
          </w:p>
          <w:p w14:paraId="1D5E6B1E" w14:textId="77777777" w:rsidR="00DB35D1" w:rsidRDefault="00DB35D1" w:rsidP="00DB35D1">
            <w:pPr>
              <w:pStyle w:val="TableTextSmall"/>
            </w:pPr>
          </w:p>
          <w:p w14:paraId="4A403112" w14:textId="77777777" w:rsidR="00DB35D1" w:rsidRDefault="00DB35D1" w:rsidP="00DB35D1">
            <w:pPr>
              <w:pStyle w:val="TableTextSmall"/>
            </w:pPr>
          </w:p>
          <w:p w14:paraId="1BA74AD8" w14:textId="77777777" w:rsidR="00DB35D1" w:rsidRDefault="00DB35D1" w:rsidP="00DB35D1">
            <w:pPr>
              <w:pStyle w:val="TableTextSmall"/>
            </w:pPr>
            <w:r>
              <w:t>2014</w:t>
            </w:r>
          </w:p>
        </w:tc>
        <w:tc>
          <w:tcPr>
            <w:tcW w:w="5851" w:type="dxa"/>
            <w:vAlign w:val="center"/>
          </w:tcPr>
          <w:p w14:paraId="7BEF08FF" w14:textId="77777777" w:rsidR="00DB35D1" w:rsidRDefault="00DB35D1" w:rsidP="00DB35D1">
            <w:pPr>
              <w:pStyle w:val="TableTextSmall"/>
            </w:pPr>
            <w:r>
              <w:t>The tightening of eligibility criteria including, but not limited to, the 'Program of Support' rule in September 2011 and the revised Impairment Tables in January 2012.</w:t>
            </w:r>
          </w:p>
          <w:p w14:paraId="1C39183F" w14:textId="77777777" w:rsidR="00DB35D1" w:rsidRDefault="00DB35D1" w:rsidP="00DB35D1">
            <w:pPr>
              <w:pStyle w:val="TableTextSmall"/>
            </w:pPr>
            <w:r>
              <w:t>From 1 July 2014, DSP recipients under age 35 years, granted between 1 January 2008 and 31 December 2011, are subject to review of their impairment (using the revised Impairment Tables) and capacity to work. People with a severe or manifest disability will not be reassessed.</w:t>
            </w:r>
          </w:p>
          <w:p w14:paraId="5563FB3B" w14:textId="77777777" w:rsidR="00DB35D1" w:rsidRDefault="00DB35D1" w:rsidP="00DB35D1">
            <w:pPr>
              <w:pStyle w:val="TableTextSmall"/>
            </w:pPr>
            <w:r>
              <w:t>People who have some capacity to work now or in the future will be helped to do this through programmes, services and activities.</w:t>
            </w:r>
          </w:p>
          <w:p w14:paraId="77A9F82C" w14:textId="77777777" w:rsidR="00DB35D1" w:rsidRDefault="00DB35D1" w:rsidP="00DB35D1">
            <w:pPr>
              <w:pStyle w:val="TableTextSmall"/>
            </w:pPr>
            <w:r>
              <w:t>Under this reform, recipients under 35 will have a participation plan which includes activities that will genuinely assist in labour market participation. These activities could include Work for the Dole, job search, work experience, education and training, and connection with Disability Employment Services.</w:t>
            </w:r>
          </w:p>
        </w:tc>
      </w:tr>
      <w:tr w:rsidR="00DB35D1" w:rsidRPr="00EC326F" w14:paraId="4103EA86" w14:textId="77777777" w:rsidTr="002C08A6">
        <w:trPr>
          <w:cantSplit/>
        </w:trPr>
        <w:tc>
          <w:tcPr>
            <w:tcW w:w="3342" w:type="dxa"/>
          </w:tcPr>
          <w:p w14:paraId="50C14508" w14:textId="77777777" w:rsidR="00DB35D1" w:rsidRDefault="00DB35D1" w:rsidP="00DB35D1">
            <w:pPr>
              <w:pStyle w:val="TableTextSmalltopic"/>
            </w:pPr>
            <w:r>
              <w:t>Seniors Supplement Cessation</w:t>
            </w:r>
          </w:p>
          <w:p w14:paraId="21821D86" w14:textId="77777777" w:rsidR="00DB35D1" w:rsidRDefault="00DB35D1" w:rsidP="00DB35D1">
            <w:pPr>
              <w:pStyle w:val="TableTextSmalltopic"/>
            </w:pPr>
            <w:r>
              <w:t>Social Services and Other Legislation Amendment (Seniors Supplement Cessation) Act 2014</w:t>
            </w:r>
          </w:p>
        </w:tc>
        <w:tc>
          <w:tcPr>
            <w:tcW w:w="888" w:type="dxa"/>
          </w:tcPr>
          <w:p w14:paraId="17B35A73" w14:textId="77777777" w:rsidR="00DB35D1" w:rsidRDefault="00DB35D1" w:rsidP="00DB35D1">
            <w:pPr>
              <w:pStyle w:val="TableTextSmall"/>
            </w:pPr>
            <w:r>
              <w:t>2014</w:t>
            </w:r>
          </w:p>
        </w:tc>
        <w:tc>
          <w:tcPr>
            <w:tcW w:w="5851" w:type="dxa"/>
            <w:vAlign w:val="center"/>
          </w:tcPr>
          <w:p w14:paraId="56A1AD2A" w14:textId="77777777" w:rsidR="00DB35D1" w:rsidRDefault="00DB35D1" w:rsidP="00DB35D1">
            <w:pPr>
              <w:pStyle w:val="TableTextSmall"/>
            </w:pPr>
            <w:r>
              <w:t>The Budget 2014 – 15 measure on the cessation of the Seniors Supplement – Commonwealth Seniors Health Card holders commenced on 20 June 2015.</w:t>
            </w:r>
          </w:p>
          <w:p w14:paraId="137D17BA" w14:textId="77777777" w:rsidR="00DB35D1" w:rsidRDefault="00DB35D1" w:rsidP="00DB35D1">
            <w:pPr>
              <w:pStyle w:val="TableTextSmall"/>
            </w:pPr>
            <w:r>
              <w:t>The Seniors Supplement for Commonwealth Seniors Health Card (CSHC) holders will no longer be paid beyond the June 2014 quarterly payment. From this date CSHC holders will continue to receive only the Energy Supplement each quarter.</w:t>
            </w:r>
          </w:p>
        </w:tc>
      </w:tr>
      <w:tr w:rsidR="00DB35D1" w:rsidRPr="00EC326F" w14:paraId="0FDA88F4" w14:textId="77777777" w:rsidTr="002C08A6">
        <w:trPr>
          <w:cantSplit/>
        </w:trPr>
        <w:tc>
          <w:tcPr>
            <w:tcW w:w="3342" w:type="dxa"/>
          </w:tcPr>
          <w:p w14:paraId="4E48FA1C" w14:textId="77777777" w:rsidR="00DB35D1" w:rsidRDefault="00DB35D1" w:rsidP="00DB35D1">
            <w:pPr>
              <w:pStyle w:val="TableTextSmalltopic"/>
            </w:pPr>
            <w:r>
              <w:lastRenderedPageBreak/>
              <w:t>Child Care Rebate (indexation)</w:t>
            </w:r>
          </w:p>
        </w:tc>
        <w:tc>
          <w:tcPr>
            <w:tcW w:w="888" w:type="dxa"/>
          </w:tcPr>
          <w:p w14:paraId="60AFDF6F" w14:textId="77777777" w:rsidR="00DB35D1" w:rsidRDefault="00DB35D1" w:rsidP="00DB35D1">
            <w:pPr>
              <w:pStyle w:val="TableTextSmall"/>
            </w:pPr>
            <w:r>
              <w:t>2014</w:t>
            </w:r>
          </w:p>
        </w:tc>
        <w:tc>
          <w:tcPr>
            <w:tcW w:w="5851" w:type="dxa"/>
            <w:vAlign w:val="center"/>
          </w:tcPr>
          <w:p w14:paraId="561B884E" w14:textId="77777777" w:rsidR="00DB35D1" w:rsidRDefault="00DB35D1" w:rsidP="00DB35D1">
            <w:pPr>
              <w:pStyle w:val="TableTextSmall"/>
            </w:pPr>
            <w:r>
              <w:t>In the 2010-11 Budget, the Child Care Rebate annual cap was reduced to $7500 and indexation was paused for four years. This arrangement was due to cease on 30 June 2014. Under this measure, the pause in indexation will continue for the 2014-15, 2015-16 and 2016-17 financial years.</w:t>
            </w:r>
          </w:p>
          <w:p w14:paraId="7948F026" w14:textId="77777777" w:rsidR="00DB35D1" w:rsidRDefault="00DB35D1" w:rsidP="00DB35D1">
            <w:pPr>
              <w:pStyle w:val="TableTextSmall"/>
            </w:pPr>
            <w:r>
              <w:t>For the income years 2014-15, 2015-16, 2016-17, CCR entitlement is</w:t>
            </w:r>
          </w:p>
          <w:p w14:paraId="7E31DD82" w14:textId="77777777" w:rsidR="00DB35D1" w:rsidRDefault="00DB35D1" w:rsidP="00DB35D1">
            <w:pPr>
              <w:pStyle w:val="TableTextSmall"/>
            </w:pPr>
            <w:r>
              <w:t>calculated as 50% of out-of-pocket child care expenses up to a limit of</w:t>
            </w:r>
          </w:p>
          <w:p w14:paraId="5A0BC03B" w14:textId="77777777" w:rsidR="00DB35D1" w:rsidRDefault="00DB35D1" w:rsidP="00DB35D1">
            <w:pPr>
              <w:pStyle w:val="TableTextSmall"/>
            </w:pPr>
            <w:r>
              <w:t>$7,500 (capped) per child per year for approved child care. The annual indexation is paused for a further 3 income years. The first indexation of the $7,500 maximum limit is to occur on 1 July 2017.</w:t>
            </w:r>
          </w:p>
        </w:tc>
      </w:tr>
      <w:tr w:rsidR="00DB35D1" w:rsidRPr="00EC326F" w14:paraId="1794D13F" w14:textId="77777777" w:rsidTr="002C08A6">
        <w:trPr>
          <w:cantSplit/>
        </w:trPr>
        <w:tc>
          <w:tcPr>
            <w:tcW w:w="3342" w:type="dxa"/>
          </w:tcPr>
          <w:p w14:paraId="4DC4B33C" w14:textId="77777777" w:rsidR="00DB35D1" w:rsidRDefault="00DB35D1" w:rsidP="00DB35D1">
            <w:pPr>
              <w:pStyle w:val="TableTextSmalltopic"/>
            </w:pPr>
            <w:r>
              <w:t>Energy Supplement (ES)</w:t>
            </w:r>
          </w:p>
          <w:p w14:paraId="0E1CE04A" w14:textId="77777777" w:rsidR="00DB35D1" w:rsidRDefault="00DB35D1" w:rsidP="00DB35D1">
            <w:pPr>
              <w:pStyle w:val="TableTextSmall"/>
            </w:pPr>
            <w:r>
              <w:t>Social Services and Other Legislation Amendment (2014 Budget Measures No. 6) Act 2014</w:t>
            </w:r>
          </w:p>
        </w:tc>
        <w:tc>
          <w:tcPr>
            <w:tcW w:w="888" w:type="dxa"/>
          </w:tcPr>
          <w:p w14:paraId="04D5220C" w14:textId="77777777" w:rsidR="00DB35D1" w:rsidRDefault="00DB35D1" w:rsidP="00DB35D1">
            <w:pPr>
              <w:pStyle w:val="TableTextSmall"/>
              <w:rPr>
                <w:highlight w:val="yellow"/>
              </w:rPr>
            </w:pPr>
            <w:r>
              <w:t>2014</w:t>
            </w:r>
          </w:p>
        </w:tc>
        <w:tc>
          <w:tcPr>
            <w:tcW w:w="5851" w:type="dxa"/>
            <w:vAlign w:val="center"/>
          </w:tcPr>
          <w:p w14:paraId="7F87CB72" w14:textId="77777777" w:rsidR="00DB35D1" w:rsidRDefault="00DB35D1" w:rsidP="00DB35D1">
            <w:pPr>
              <w:pStyle w:val="TableTextSmall"/>
              <w:rPr>
                <w:rFonts w:ascii="Arial" w:hAnsi="Arial"/>
                <w:color w:val="auto"/>
                <w:szCs w:val="16"/>
                <w:highlight w:val="yellow"/>
                <w:lang w:eastAsia="en-AU"/>
              </w:rPr>
            </w:pPr>
            <w:r>
              <w:t>In September 2014, The Energy Supplement (ES) replaced the CES and indexing was removed.</w:t>
            </w:r>
          </w:p>
        </w:tc>
      </w:tr>
      <w:tr w:rsidR="00892614" w:rsidRPr="00EC326F" w14:paraId="585A3EFA" w14:textId="77777777" w:rsidTr="002C08A6">
        <w:trPr>
          <w:cantSplit/>
        </w:trPr>
        <w:tc>
          <w:tcPr>
            <w:tcW w:w="3342" w:type="dxa"/>
          </w:tcPr>
          <w:p w14:paraId="4B2506D3" w14:textId="0BD13E8B" w:rsidR="00892614" w:rsidRPr="00B7511B" w:rsidRDefault="00892614" w:rsidP="00892614">
            <w:pPr>
              <w:pStyle w:val="TableTextSmalltopic"/>
              <w:rPr>
                <w:rFonts w:eastAsiaTheme="minorHAnsi"/>
              </w:rPr>
            </w:pPr>
            <w:r>
              <w:t>Austudy</w:t>
            </w:r>
          </w:p>
        </w:tc>
        <w:tc>
          <w:tcPr>
            <w:tcW w:w="888" w:type="dxa"/>
          </w:tcPr>
          <w:p w14:paraId="6683ADE8" w14:textId="5F74CF19" w:rsidR="00892614" w:rsidRDefault="00892614" w:rsidP="00892614">
            <w:pPr>
              <w:pStyle w:val="TableTextSmall"/>
            </w:pPr>
            <w:r>
              <w:t>2015</w:t>
            </w:r>
          </w:p>
        </w:tc>
        <w:tc>
          <w:tcPr>
            <w:tcW w:w="5851" w:type="dxa"/>
            <w:vAlign w:val="center"/>
          </w:tcPr>
          <w:p w14:paraId="64B394A4" w14:textId="737726C4" w:rsidR="00892614" w:rsidRPr="00E22D04" w:rsidRDefault="00892614" w:rsidP="00892614">
            <w:pPr>
              <w:pStyle w:val="TableTextSmall"/>
            </w:pPr>
            <w:r>
              <w:t>The residence requirements changed for Austudy in Jan 2015 and temporary absence is no longer included.</w:t>
            </w:r>
          </w:p>
        </w:tc>
      </w:tr>
      <w:tr w:rsidR="00892614" w:rsidRPr="00EC326F" w14:paraId="1F9B869C" w14:textId="77777777" w:rsidTr="002C08A6">
        <w:trPr>
          <w:cantSplit/>
        </w:trPr>
        <w:tc>
          <w:tcPr>
            <w:tcW w:w="3342" w:type="dxa"/>
          </w:tcPr>
          <w:p w14:paraId="7B06E669" w14:textId="77777777" w:rsidR="00892614" w:rsidRPr="00B7511B" w:rsidRDefault="00892614" w:rsidP="00892614">
            <w:pPr>
              <w:pStyle w:val="TableTextSmalltopic"/>
            </w:pPr>
            <w:r w:rsidRPr="00B7511B">
              <w:rPr>
                <w:rFonts w:eastAsiaTheme="minorHAnsi"/>
              </w:rPr>
              <w:t>Student Start-up Loan</w:t>
            </w:r>
          </w:p>
          <w:p w14:paraId="52C25343" w14:textId="77777777" w:rsidR="00892614" w:rsidRPr="00B7511B" w:rsidRDefault="00892614" w:rsidP="00892614">
            <w:pPr>
              <w:pStyle w:val="TableTextSmalltopic"/>
              <w:rPr>
                <w:rFonts w:eastAsiaTheme="minorHAnsi"/>
              </w:rPr>
            </w:pPr>
            <w:r w:rsidRPr="00B7511B">
              <w:rPr>
                <w:rFonts w:eastAsiaTheme="minorHAnsi"/>
              </w:rPr>
              <w:t>(SSL) replaced the</w:t>
            </w:r>
          </w:p>
          <w:p w14:paraId="04011AC5" w14:textId="77777777" w:rsidR="00892614" w:rsidRPr="00B7511B" w:rsidRDefault="00892614" w:rsidP="00892614">
            <w:pPr>
              <w:pStyle w:val="TableTextSmalltopic"/>
              <w:rPr>
                <w:rFonts w:eastAsiaTheme="minorHAnsi"/>
              </w:rPr>
            </w:pPr>
            <w:r w:rsidRPr="00B7511B">
              <w:rPr>
                <w:rFonts w:eastAsiaTheme="minorHAnsi"/>
              </w:rPr>
              <w:t>Student Start-up</w:t>
            </w:r>
          </w:p>
          <w:p w14:paraId="396C9A7C" w14:textId="77777777" w:rsidR="00892614" w:rsidRPr="00B7511B" w:rsidRDefault="00892614" w:rsidP="00892614">
            <w:pPr>
              <w:pStyle w:val="TableTextSmalltopic"/>
              <w:rPr>
                <w:rFonts w:eastAsiaTheme="minorHAnsi"/>
              </w:rPr>
            </w:pPr>
            <w:r w:rsidRPr="00B7511B">
              <w:rPr>
                <w:rFonts w:eastAsiaTheme="minorHAnsi"/>
              </w:rPr>
              <w:t>Scholarship (SSS)</w:t>
            </w:r>
            <w:r w:rsidRPr="00B7511B">
              <w:rPr>
                <w:rFonts w:eastAsiaTheme="minorHAnsi"/>
              </w:rPr>
              <w:br/>
              <w:t>Labor 2013-14 Budget</w:t>
            </w:r>
          </w:p>
          <w:p w14:paraId="166F5340" w14:textId="77777777" w:rsidR="00892614" w:rsidRDefault="00892614" w:rsidP="00892614">
            <w:pPr>
              <w:pStyle w:val="TableTextSmall"/>
              <w:rPr>
                <w:rFonts w:eastAsiaTheme="minorHAnsi"/>
              </w:rPr>
            </w:pPr>
            <w:r>
              <w:rPr>
                <w:rFonts w:eastAsiaTheme="minorHAnsi"/>
              </w:rPr>
              <w:t>Savings (Measures</w:t>
            </w:r>
          </w:p>
          <w:p w14:paraId="52C56BB3" w14:textId="47D98DAD" w:rsidR="00892614" w:rsidRDefault="00892614" w:rsidP="00892614">
            <w:pPr>
              <w:pStyle w:val="TableTextSmall"/>
            </w:pPr>
            <w:r>
              <w:rPr>
                <w:rFonts w:eastAsiaTheme="minorHAnsi"/>
              </w:rPr>
              <w:t>No. 2) Act 2015</w:t>
            </w:r>
          </w:p>
        </w:tc>
        <w:tc>
          <w:tcPr>
            <w:tcW w:w="888" w:type="dxa"/>
          </w:tcPr>
          <w:p w14:paraId="7AC18365" w14:textId="2DC79F9C" w:rsidR="00892614" w:rsidRDefault="00892614" w:rsidP="00892614">
            <w:pPr>
              <w:pStyle w:val="TableTextSmall"/>
            </w:pPr>
            <w:r>
              <w:t>2016</w:t>
            </w:r>
          </w:p>
        </w:tc>
        <w:tc>
          <w:tcPr>
            <w:tcW w:w="5851" w:type="dxa"/>
            <w:vAlign w:val="center"/>
          </w:tcPr>
          <w:p w14:paraId="1E767A62" w14:textId="15194689" w:rsidR="00892614" w:rsidRDefault="00892614" w:rsidP="00892614">
            <w:pPr>
              <w:pStyle w:val="TableTextSmall"/>
            </w:pPr>
            <w:r w:rsidRPr="00E22D04">
              <w:t>For new recipients of Youth Allowance, Austudy and</w:t>
            </w:r>
            <w:r>
              <w:t xml:space="preserve"> </w:t>
            </w:r>
            <w:r w:rsidRPr="00E22D04">
              <w:t>ABSTUDY who are in</w:t>
            </w:r>
            <w:r>
              <w:t xml:space="preserve"> </w:t>
            </w:r>
            <w:r w:rsidRPr="00E22D04">
              <w:t>higher education full-time</w:t>
            </w:r>
            <w:r>
              <w:t>,</w:t>
            </w:r>
            <w:r w:rsidRPr="00E22D04">
              <w:t xml:space="preserve"> the</w:t>
            </w:r>
            <w:r>
              <w:t xml:space="preserve"> </w:t>
            </w:r>
            <w:r w:rsidRPr="00E22D04">
              <w:t>Student Start-up Loan (SSL) replaced the</w:t>
            </w:r>
            <w:r>
              <w:t xml:space="preserve"> </w:t>
            </w:r>
            <w:r w:rsidRPr="00E22D04">
              <w:t>Student Startup</w:t>
            </w:r>
            <w:r>
              <w:t xml:space="preserve"> </w:t>
            </w:r>
            <w:r w:rsidRPr="00E22D04">
              <w:t>Scholarship (SSS).</w:t>
            </w:r>
            <w:r>
              <w:t xml:space="preserve"> </w:t>
            </w:r>
          </w:p>
          <w:p w14:paraId="6CDAC3EF" w14:textId="1148D5CB" w:rsidR="00892614" w:rsidRDefault="00892614" w:rsidP="00892614">
            <w:pPr>
              <w:pStyle w:val="TableTextSmall"/>
            </w:pPr>
            <w:r w:rsidRPr="00E22D04">
              <w:t xml:space="preserve">SSL is a $1,025 voluntary income </w:t>
            </w:r>
            <w:r>
              <w:t xml:space="preserve"> c</w:t>
            </w:r>
            <w:r w:rsidRPr="00E22D04">
              <w:t>ontingent loan that</w:t>
            </w:r>
            <w:r>
              <w:t xml:space="preserve"> </w:t>
            </w:r>
            <w:r w:rsidRPr="00E22D04">
              <w:t>can be paid twice per year at the beginning of each</w:t>
            </w:r>
            <w:r>
              <w:t xml:space="preserve"> </w:t>
            </w:r>
            <w:r w:rsidRPr="00E22D04">
              <w:t>semester.</w:t>
            </w:r>
            <w:r>
              <w:t xml:space="preserve"> </w:t>
            </w:r>
            <w:r w:rsidRPr="00E22D04">
              <w:t>SSS will be grandfather</w:t>
            </w:r>
            <w:r>
              <w:t>ed</w:t>
            </w:r>
            <w:r w:rsidRPr="00E22D04">
              <w:t xml:space="preserve"> for pre 1 January 2016</w:t>
            </w:r>
            <w:r>
              <w:t xml:space="preserve"> </w:t>
            </w:r>
            <w:r w:rsidRPr="00E22D04">
              <w:t>recipients and they will continue to receive it until they</w:t>
            </w:r>
            <w:r>
              <w:t xml:space="preserve"> </w:t>
            </w:r>
            <w:r w:rsidRPr="00E22D04">
              <w:t>leave the student payment.</w:t>
            </w:r>
          </w:p>
        </w:tc>
      </w:tr>
    </w:tbl>
    <w:p w14:paraId="434386BA" w14:textId="77777777" w:rsidR="006B08BA" w:rsidRPr="006B08BA" w:rsidRDefault="006B08BA" w:rsidP="00DB35D1">
      <w:pPr>
        <w:pStyle w:val="PwCNormal"/>
        <w:rPr>
          <w:snapToGrid/>
        </w:rPr>
      </w:pPr>
    </w:p>
    <w:p w14:paraId="432C290A" w14:textId="77777777" w:rsidR="00DB35D1" w:rsidRDefault="00DB35D1" w:rsidP="00DB35D1">
      <w:pPr>
        <w:pStyle w:val="PwCNormal"/>
        <w:rPr>
          <w:snapToGrid/>
        </w:rPr>
      </w:pPr>
      <w:r>
        <w:t>The following table contains the legislated future policy changes of which we are aware. These will take effect after the valuation date.</w:t>
      </w:r>
    </w:p>
    <w:p w14:paraId="102F4598" w14:textId="77777777" w:rsidR="00110F8B" w:rsidRPr="006E1381" w:rsidRDefault="00110F8B" w:rsidP="00110F8B">
      <w:pPr>
        <w:pStyle w:val="Caption"/>
      </w:pPr>
      <w:r w:rsidRPr="006E1381">
        <w:t xml:space="preserve">Table </w:t>
      </w:r>
      <w:fldSimple w:instr=" SEQ Table \* ARABIC ">
        <w:r w:rsidR="007A42DF">
          <w:rPr>
            <w:noProof/>
          </w:rPr>
          <w:t>63</w:t>
        </w:r>
      </w:fldSimple>
      <w:r w:rsidRPr="006E1381">
        <w:t xml:space="preserve">: </w:t>
      </w:r>
      <w:r w:rsidR="00DB35D1">
        <w:t>Policy changes which will take effect after the valuation date</w:t>
      </w:r>
    </w:p>
    <w:tbl>
      <w:tblPr>
        <w:tblStyle w:val="Tables-APBase"/>
        <w:tblW w:w="5000" w:type="pct"/>
        <w:tblBorders>
          <w:bottom w:val="single" w:sz="4" w:space="0" w:color="E0301E"/>
          <w:insideH w:val="single" w:sz="4" w:space="0" w:color="E0301E"/>
        </w:tblBorders>
        <w:tblLayout w:type="fixed"/>
        <w:tblLook w:val="04A0" w:firstRow="1" w:lastRow="0" w:firstColumn="1" w:lastColumn="0" w:noHBand="0" w:noVBand="1"/>
        <w:tblCaption w:val=" Policy changes which will take effect after the valuation date&#10;"/>
        <w:tblDescription w:val="This table lists future policy changes which may impact future experience. It is similar in layout to table 18, with three columns: the amendment, the year it was introduced, and a short description of the change and its impact. &#10;&#10;Repeal of the income support bonus and the schoolkids bonus, 2016. The final instalment of the Schoolkids Bonus will be paid in July 2016. The Income Support Bonus will continue until December 2016 with the last instalment paid in September 2016.&#10;&#10;Changes to assets test, 2017. Increases made to the assets test free areas for pensions and allowances. The Age Pension 'assets test' taper rate is doubled (reversing the 2007 change).&#10;&#10;Cessation of low income supplement, 2017. The low income supplement will cease on 30 June 2017.&#10;&#10;Changes to the parental means test, 2017. Treatment of Child Support maintenance income will be further reformed by applying a separate Maintenance Income Test, reducing payments for around 850 young people aged under 18. This test is similar to the one currently applying to Family Tax Benefit Part A.&#10;"/>
      </w:tblPr>
      <w:tblGrid>
        <w:gridCol w:w="3559"/>
        <w:gridCol w:w="873"/>
        <w:gridCol w:w="5649"/>
      </w:tblGrid>
      <w:tr w:rsidR="00103CDF" w:rsidRPr="00EC326F" w14:paraId="3258F601" w14:textId="77777777" w:rsidTr="0079063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65" w:type="pct"/>
            <w:shd w:val="clear" w:color="auto" w:fill="E0301E"/>
          </w:tcPr>
          <w:p w14:paraId="008D8D59" w14:textId="77777777" w:rsidR="00103CDF" w:rsidRPr="00DB35D1" w:rsidRDefault="00103CDF" w:rsidP="00DB35D1">
            <w:pPr>
              <w:pStyle w:val="TableColumnHeadingSmall"/>
            </w:pPr>
            <w:r w:rsidRPr="00DB35D1">
              <w:t>Amendment</w:t>
            </w:r>
          </w:p>
        </w:tc>
        <w:tc>
          <w:tcPr>
            <w:tcW w:w="433" w:type="pct"/>
            <w:shd w:val="clear" w:color="auto" w:fill="E0301E"/>
          </w:tcPr>
          <w:p w14:paraId="51743A7D" w14:textId="77777777" w:rsidR="00103CDF" w:rsidRPr="00DB35D1" w:rsidRDefault="00103CDF" w:rsidP="00DB35D1">
            <w:pPr>
              <w:pStyle w:val="TableColumnHeadingSmall"/>
              <w:cnfStyle w:val="100000000000" w:firstRow="1" w:lastRow="0" w:firstColumn="0" w:lastColumn="0" w:oddVBand="0" w:evenVBand="0" w:oddHBand="0" w:evenHBand="0" w:firstRowFirstColumn="0" w:firstRowLastColumn="0" w:lastRowFirstColumn="0" w:lastRowLastColumn="0"/>
            </w:pPr>
            <w:r w:rsidRPr="00DB35D1">
              <w:t>Year</w:t>
            </w:r>
          </w:p>
        </w:tc>
        <w:tc>
          <w:tcPr>
            <w:tcW w:w="2802" w:type="pct"/>
            <w:shd w:val="clear" w:color="auto" w:fill="E0301E"/>
          </w:tcPr>
          <w:p w14:paraId="72F4BF3A" w14:textId="77777777" w:rsidR="00103CDF" w:rsidRPr="00DB35D1" w:rsidRDefault="00103CDF" w:rsidP="00DB35D1">
            <w:pPr>
              <w:pStyle w:val="TableColumnHeadingSmall"/>
              <w:cnfStyle w:val="100000000000" w:firstRow="1" w:lastRow="0" w:firstColumn="0" w:lastColumn="0" w:oddVBand="0" w:evenVBand="0" w:oddHBand="0" w:evenHBand="0" w:firstRowFirstColumn="0" w:firstRowLastColumn="0" w:lastRowFirstColumn="0" w:lastRowLastColumn="0"/>
            </w:pPr>
            <w:r w:rsidRPr="00DB35D1">
              <w:t>Description</w:t>
            </w:r>
          </w:p>
        </w:tc>
      </w:tr>
      <w:tr w:rsidR="00DB35D1" w:rsidRPr="00EC326F" w14:paraId="5303E796" w14:textId="77777777" w:rsidTr="00790639">
        <w:tc>
          <w:tcPr>
            <w:tcW w:w="1765" w:type="pct"/>
          </w:tcPr>
          <w:p w14:paraId="19E2476D" w14:textId="77777777" w:rsidR="00DB35D1" w:rsidRDefault="00DB35D1" w:rsidP="00DB35D1">
            <w:pPr>
              <w:pStyle w:val="TableTextSmalltopic"/>
              <w:rPr>
                <w:snapToGrid/>
              </w:rPr>
            </w:pPr>
            <w:r>
              <w:t xml:space="preserve">Repeal of the income support bonus and the schoolkids bonus </w:t>
            </w:r>
          </w:p>
          <w:p w14:paraId="18DAE9E1" w14:textId="77777777" w:rsidR="00DB35D1" w:rsidRDefault="00DB35D1" w:rsidP="00DB35D1">
            <w:pPr>
              <w:pStyle w:val="TableTextSmall"/>
            </w:pPr>
            <w:r>
              <w:t xml:space="preserve">Minerals Resource Rent Tax Repeal and Other Measures Act 2014 </w:t>
            </w:r>
          </w:p>
        </w:tc>
        <w:tc>
          <w:tcPr>
            <w:tcW w:w="433" w:type="pct"/>
          </w:tcPr>
          <w:p w14:paraId="214B28F1" w14:textId="77777777" w:rsidR="00DB35D1" w:rsidRDefault="00DB35D1" w:rsidP="00DB35D1">
            <w:pPr>
              <w:pStyle w:val="TableTextSmall"/>
            </w:pPr>
            <w:r>
              <w:t>2016</w:t>
            </w:r>
          </w:p>
        </w:tc>
        <w:tc>
          <w:tcPr>
            <w:tcW w:w="2802" w:type="pct"/>
            <w:vAlign w:val="center"/>
          </w:tcPr>
          <w:p w14:paraId="5B6E74F9" w14:textId="77777777" w:rsidR="00DB35D1" w:rsidRDefault="00DB35D1" w:rsidP="00DB35D1">
            <w:pPr>
              <w:pStyle w:val="TableTextSmall"/>
            </w:pPr>
            <w:r>
              <w:t xml:space="preserve">The final instalment of the Schoolkids Bonus will be paid in July 2016. </w:t>
            </w:r>
          </w:p>
          <w:p w14:paraId="378A62FA" w14:textId="77777777" w:rsidR="00DB35D1" w:rsidRDefault="00DB35D1" w:rsidP="00DB35D1">
            <w:pPr>
              <w:pStyle w:val="TableTextSmall"/>
            </w:pPr>
            <w:r>
              <w:t>The Income Support Bonus will continue until December 2016 with the last instalment paid in September 2016.</w:t>
            </w:r>
          </w:p>
        </w:tc>
      </w:tr>
      <w:tr w:rsidR="00DB35D1" w:rsidRPr="00EC326F" w14:paraId="7337B5AC" w14:textId="77777777" w:rsidTr="00790639">
        <w:tc>
          <w:tcPr>
            <w:tcW w:w="1765" w:type="pct"/>
          </w:tcPr>
          <w:p w14:paraId="57D84C5E" w14:textId="77777777" w:rsidR="00DB35D1" w:rsidRDefault="00DB35D1" w:rsidP="00DB35D1">
            <w:pPr>
              <w:pStyle w:val="TableTextSmalltopic"/>
            </w:pPr>
            <w:r>
              <w:t>Changes to assets test</w:t>
            </w:r>
          </w:p>
          <w:p w14:paraId="1FF69B0D" w14:textId="77777777" w:rsidR="00DB35D1" w:rsidRDefault="00DB35D1" w:rsidP="00DB35D1">
            <w:pPr>
              <w:pStyle w:val="TableTextSmall"/>
              <w:rPr>
                <w:rFonts w:ascii="Arial" w:hAnsi="Arial"/>
                <w:b/>
                <w:bCs/>
                <w:color w:val="404040"/>
                <w:szCs w:val="16"/>
                <w:lang w:eastAsia="en-AU"/>
              </w:rPr>
            </w:pPr>
            <w:r>
              <w:t>Social Services Legislation Amendment (Fair and Sustainable Pensions) Act 2015</w:t>
            </w:r>
          </w:p>
        </w:tc>
        <w:tc>
          <w:tcPr>
            <w:tcW w:w="433" w:type="pct"/>
          </w:tcPr>
          <w:p w14:paraId="52A70096" w14:textId="77777777" w:rsidR="00DB35D1" w:rsidRDefault="00DB35D1" w:rsidP="00DB35D1">
            <w:pPr>
              <w:pStyle w:val="TableTextSmall"/>
            </w:pPr>
            <w:r>
              <w:t>2017</w:t>
            </w:r>
          </w:p>
        </w:tc>
        <w:tc>
          <w:tcPr>
            <w:tcW w:w="2802" w:type="pct"/>
            <w:vAlign w:val="center"/>
          </w:tcPr>
          <w:p w14:paraId="6BCE638A" w14:textId="77777777" w:rsidR="00DB35D1" w:rsidRDefault="00DB35D1" w:rsidP="00DB35D1">
            <w:pPr>
              <w:pStyle w:val="TableTextSmall"/>
            </w:pPr>
            <w:r>
              <w:t>From 1 January 2017, the pension assets test will be rebalanced. The assets test free areas will be increased to:</w:t>
            </w:r>
          </w:p>
          <w:p w14:paraId="67CD984C" w14:textId="77777777" w:rsidR="00DB35D1" w:rsidRDefault="00DB35D1" w:rsidP="001A4479">
            <w:pPr>
              <w:pStyle w:val="TableTextSmall"/>
              <w:numPr>
                <w:ilvl w:val="0"/>
                <w:numId w:val="47"/>
              </w:numPr>
            </w:pPr>
            <w:r>
              <w:t>$250,000 for a single homeowner (an increase of $48,000)</w:t>
            </w:r>
          </w:p>
          <w:p w14:paraId="55587C7E" w14:textId="77777777" w:rsidR="00DB35D1" w:rsidRDefault="00DB35D1" w:rsidP="001A4479">
            <w:pPr>
              <w:pStyle w:val="TableTextSmall"/>
              <w:numPr>
                <w:ilvl w:val="0"/>
                <w:numId w:val="47"/>
              </w:numPr>
            </w:pPr>
            <w:r>
              <w:t>$375,000 for a homeowner couple (an increase of $88,500)</w:t>
            </w:r>
          </w:p>
          <w:p w14:paraId="3EACC24B" w14:textId="77777777" w:rsidR="00DB35D1" w:rsidRDefault="00DB35D1" w:rsidP="001A4479">
            <w:pPr>
              <w:pStyle w:val="TableTextSmall"/>
              <w:numPr>
                <w:ilvl w:val="0"/>
                <w:numId w:val="47"/>
              </w:numPr>
            </w:pPr>
            <w:r>
              <w:t>$450,000 for a single non-homeowner (an increase of $101,500)</w:t>
            </w:r>
          </w:p>
          <w:p w14:paraId="04A68CE5" w14:textId="77777777" w:rsidR="00DB35D1" w:rsidRDefault="00DB35D1" w:rsidP="001A4479">
            <w:pPr>
              <w:pStyle w:val="TableTextSmall"/>
              <w:numPr>
                <w:ilvl w:val="0"/>
                <w:numId w:val="47"/>
              </w:numPr>
            </w:pPr>
            <w:r>
              <w:t>$575,000 for a non-homeowner couple (an increase of $142,000).</w:t>
            </w:r>
          </w:p>
          <w:p w14:paraId="0477D1E9" w14:textId="77777777" w:rsidR="00DB35D1" w:rsidRDefault="00DB35D1" w:rsidP="00DB35D1">
            <w:pPr>
              <w:pStyle w:val="TableTextSmall"/>
            </w:pPr>
            <w:r>
              <w:t>The assets test “taper” (or withdrawal) rate for assets above the new free areas will be increased to 3.00 per fortnight for each extra $1,000 in assessable assets (from the current rate of $1.50, reversing the 2007 change).</w:t>
            </w:r>
          </w:p>
          <w:p w14:paraId="03BC8B46" w14:textId="77777777" w:rsidR="00DB35D1" w:rsidRDefault="00DB35D1" w:rsidP="00DB35D1">
            <w:pPr>
              <w:pStyle w:val="TableTextSmall"/>
            </w:pPr>
            <w:r>
              <w:t>When announced in the 2015-16 Budget, the measure was to save $2.4 billion across the forward estimates, the majority of which would be related to the Age Pension.</w:t>
            </w:r>
          </w:p>
        </w:tc>
      </w:tr>
      <w:tr w:rsidR="00DB35D1" w:rsidRPr="00EC326F" w14:paraId="2ED69EDC" w14:textId="77777777" w:rsidTr="00790639">
        <w:tc>
          <w:tcPr>
            <w:tcW w:w="1765" w:type="pct"/>
          </w:tcPr>
          <w:p w14:paraId="3B417EFF" w14:textId="77777777" w:rsidR="00DB35D1" w:rsidRDefault="00DB35D1" w:rsidP="00DB35D1">
            <w:pPr>
              <w:pStyle w:val="TableTextSmalltopic"/>
              <w:rPr>
                <w:lang w:eastAsia="en-AU"/>
              </w:rPr>
            </w:pPr>
            <w:r>
              <w:rPr>
                <w:lang w:eastAsia="en-AU"/>
              </w:rPr>
              <w:t>Cessation of Low Income Supplement</w:t>
            </w:r>
          </w:p>
          <w:p w14:paraId="5AB1CBAF" w14:textId="77777777" w:rsidR="00DB35D1" w:rsidRDefault="00DB35D1" w:rsidP="00DB35D1">
            <w:pPr>
              <w:pStyle w:val="TableTextSmall"/>
            </w:pPr>
            <w:r>
              <w:rPr>
                <w:lang w:eastAsia="en-AU"/>
              </w:rPr>
              <w:t>Social Services Legislation Amendment (Low Income Supplement) Bill 2015</w:t>
            </w:r>
          </w:p>
        </w:tc>
        <w:tc>
          <w:tcPr>
            <w:tcW w:w="433" w:type="pct"/>
          </w:tcPr>
          <w:p w14:paraId="71DFEA9D" w14:textId="77777777" w:rsidR="00DB35D1" w:rsidRDefault="00DB35D1" w:rsidP="00DB35D1">
            <w:pPr>
              <w:pStyle w:val="TableTextSmall"/>
            </w:pPr>
            <w:r>
              <w:t>2017</w:t>
            </w:r>
          </w:p>
        </w:tc>
        <w:tc>
          <w:tcPr>
            <w:tcW w:w="2802" w:type="pct"/>
            <w:vAlign w:val="center"/>
          </w:tcPr>
          <w:p w14:paraId="36387469" w14:textId="77777777" w:rsidR="00DB35D1" w:rsidRDefault="00DB35D1" w:rsidP="00DB35D1">
            <w:pPr>
              <w:pStyle w:val="TableTextSmall"/>
              <w:rPr>
                <w:lang w:eastAsia="en-AU"/>
              </w:rPr>
            </w:pPr>
            <w:r>
              <w:rPr>
                <w:lang w:eastAsia="en-AU"/>
              </w:rPr>
              <w:t xml:space="preserve">The low </w:t>
            </w:r>
            <w:r>
              <w:t>income</w:t>
            </w:r>
            <w:r>
              <w:rPr>
                <w:lang w:eastAsia="en-AU"/>
              </w:rPr>
              <w:t xml:space="preserve"> supplement will cease on 30 June 2017.</w:t>
            </w:r>
          </w:p>
        </w:tc>
      </w:tr>
      <w:tr w:rsidR="00DB35D1" w:rsidRPr="00EC326F" w14:paraId="5DAF0136" w14:textId="77777777" w:rsidTr="00790639">
        <w:tc>
          <w:tcPr>
            <w:tcW w:w="1765" w:type="pct"/>
          </w:tcPr>
          <w:p w14:paraId="7A993908" w14:textId="77777777" w:rsidR="00DB35D1" w:rsidRDefault="00DB35D1" w:rsidP="00DB35D1">
            <w:pPr>
              <w:pStyle w:val="TableTextSmalltopic"/>
              <w:rPr>
                <w:lang w:eastAsia="en-AU"/>
              </w:rPr>
            </w:pPr>
            <w:r>
              <w:rPr>
                <w:lang w:eastAsia="en-AU"/>
              </w:rPr>
              <w:t>Changes to the parental means test</w:t>
            </w:r>
          </w:p>
          <w:p w14:paraId="632DE350" w14:textId="77777777" w:rsidR="00DB35D1" w:rsidRDefault="00DB35D1" w:rsidP="00DB35D1">
            <w:pPr>
              <w:pStyle w:val="TableTextSmall"/>
              <w:rPr>
                <w:b/>
              </w:rPr>
            </w:pPr>
            <w:r>
              <w:rPr>
                <w:lang w:eastAsia="en-AU"/>
              </w:rPr>
              <w:t>Social Services Legislation Amendment (More Generous Means Testing For Youth Payments) Act 2015</w:t>
            </w:r>
          </w:p>
        </w:tc>
        <w:tc>
          <w:tcPr>
            <w:tcW w:w="433" w:type="pct"/>
          </w:tcPr>
          <w:p w14:paraId="72765431" w14:textId="77777777" w:rsidR="00DB35D1" w:rsidRDefault="00DB35D1" w:rsidP="00DB35D1">
            <w:pPr>
              <w:pStyle w:val="TableTextSmall"/>
            </w:pPr>
            <w:r>
              <w:t>2017</w:t>
            </w:r>
          </w:p>
        </w:tc>
        <w:tc>
          <w:tcPr>
            <w:tcW w:w="2802" w:type="pct"/>
            <w:vAlign w:val="center"/>
          </w:tcPr>
          <w:p w14:paraId="4088DDBA" w14:textId="77777777" w:rsidR="00DB35D1" w:rsidRDefault="00DB35D1" w:rsidP="00DB35D1">
            <w:pPr>
              <w:pStyle w:val="TableTextSmall"/>
            </w:pPr>
            <w:r>
              <w:rPr>
                <w:lang w:eastAsia="en-AU"/>
              </w:rPr>
              <w:t>Treatment of Child Support maintenance income will be further reformed by applying a separate Maintenance Income Test, reducing payments for around 850 young people aged under 18. This test is similar to the one currently applying to Family Tax Benefit Part A.</w:t>
            </w:r>
          </w:p>
        </w:tc>
      </w:tr>
    </w:tbl>
    <w:p w14:paraId="1DCE49E3" w14:textId="77777777" w:rsidR="00103CDF" w:rsidRPr="002A0A1A" w:rsidRDefault="00103CDF" w:rsidP="004C748D">
      <w:pPr>
        <w:pStyle w:val="PwCNormal"/>
        <w:numPr>
          <w:ilvl w:val="0"/>
          <w:numId w:val="0"/>
        </w:numPr>
      </w:pPr>
    </w:p>
    <w:p w14:paraId="0DF55811" w14:textId="77777777" w:rsidR="003828AA" w:rsidRPr="002A0A1A" w:rsidRDefault="00FD1E73" w:rsidP="004C748D">
      <w:pPr>
        <w:pStyle w:val="PwCNormal"/>
        <w:numPr>
          <w:ilvl w:val="0"/>
          <w:numId w:val="0"/>
        </w:numPr>
      </w:pPr>
      <w:r w:rsidRPr="00EC326F">
        <w:rPr>
          <w:noProof/>
          <w:highlight w:val="yellow"/>
          <w:lang w:eastAsia="en-AU"/>
        </w:rPr>
        <w:drawing>
          <wp:anchor distT="0" distB="0" distL="114300" distR="114300" simplePos="0" relativeHeight="251664384" behindDoc="0" locked="0" layoutInCell="1" allowOverlap="1" wp14:anchorId="57AC52F0" wp14:editId="10C7B2FF">
            <wp:simplePos x="0" y="0"/>
            <wp:positionH relativeFrom="page">
              <wp:posOffset>4957445</wp:posOffset>
            </wp:positionH>
            <wp:positionV relativeFrom="page">
              <wp:posOffset>9331960</wp:posOffset>
            </wp:positionV>
            <wp:extent cx="2112645" cy="582930"/>
            <wp:effectExtent l="0" t="0" r="1905" b="7620"/>
            <wp:wrapNone/>
            <wp:docPr id="1115" name="Picture 1115" descr="A decorative background image of a person walking beside a tree and some houses."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12645" cy="58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04C69" w14:textId="77777777" w:rsidR="008F5ECB" w:rsidRPr="002A0A1A" w:rsidRDefault="008F5ECB" w:rsidP="004C748D">
      <w:pPr>
        <w:pStyle w:val="PwCNormal"/>
        <w:numPr>
          <w:ilvl w:val="0"/>
          <w:numId w:val="0"/>
        </w:numPr>
        <w:sectPr w:rsidR="008F5ECB" w:rsidRPr="002A0A1A" w:rsidSect="005714E3">
          <w:headerReference w:type="default" r:id="rId211"/>
          <w:headerReference w:type="first" r:id="rId212"/>
          <w:footerReference w:type="first" r:id="rId213"/>
          <w:pgSz w:w="11907" w:h="16840" w:code="9"/>
          <w:pgMar w:top="1588" w:right="1021" w:bottom="1418" w:left="1021" w:header="567" w:footer="567" w:gutter="0"/>
          <w:cols w:space="227"/>
          <w:titlePg/>
          <w:docGrid w:linePitch="360"/>
        </w:sectPr>
      </w:pPr>
    </w:p>
    <w:p w14:paraId="75C00F83" w14:textId="77777777" w:rsidR="008F5ECB" w:rsidRPr="00EC326F" w:rsidRDefault="005617D8" w:rsidP="0037093B">
      <w:pPr>
        <w:pStyle w:val="Heading2Appendix"/>
      </w:pPr>
      <w:bookmarkStart w:id="864" w:name="_Ref464480642"/>
      <w:bookmarkStart w:id="865" w:name="_Toc475093848"/>
      <w:r w:rsidRPr="00EC326F">
        <w:lastRenderedPageBreak/>
        <w:t>Data</w:t>
      </w:r>
      <w:bookmarkEnd w:id="864"/>
      <w:bookmarkEnd w:id="865"/>
    </w:p>
    <w:p w14:paraId="64201DB5" w14:textId="77777777" w:rsidR="005857F3" w:rsidRPr="00EC326F" w:rsidRDefault="005857F3" w:rsidP="005857F3">
      <w:pPr>
        <w:pStyle w:val="Heading4"/>
      </w:pPr>
      <w:r w:rsidRPr="00EC326F">
        <w:t>Source data sets</w:t>
      </w:r>
    </w:p>
    <w:p w14:paraId="3F20922E" w14:textId="77777777" w:rsidR="005857F3" w:rsidRPr="00EC326F" w:rsidRDefault="005857F3" w:rsidP="005857F3">
      <w:pPr>
        <w:pStyle w:val="PwCNormal-keepwithnext"/>
      </w:pPr>
      <w:r w:rsidRPr="00EC326F">
        <w:t>The source administrative data includes:</w:t>
      </w:r>
    </w:p>
    <w:p w14:paraId="5F94B7FD" w14:textId="77777777" w:rsidR="005857F3" w:rsidRPr="00EC326F" w:rsidRDefault="005857F3" w:rsidP="005857F3">
      <w:pPr>
        <w:pStyle w:val="Bullet1"/>
      </w:pPr>
      <w:r w:rsidRPr="00EC326F">
        <w:t>Entitlements data for regular payments, one-time payments and family tax benefit.</w:t>
      </w:r>
    </w:p>
    <w:p w14:paraId="67635779" w14:textId="77777777" w:rsidR="005857F3" w:rsidRPr="00EC326F" w:rsidRDefault="005857F3" w:rsidP="005857F3">
      <w:pPr>
        <w:pStyle w:val="Hangingindent1"/>
      </w:pPr>
      <w:r w:rsidRPr="00EC326F">
        <w:t>This information is captured on an episodic basis with records for each payment type provided to each person and details of the start date, end date and payment rates applying. These rates relate to the actual amounts that people were entitled to receive during the episode of entitlement, not the confirmed amounts that people did receive in the period. The payment types are identifiable through a combination of appropriation and payment type codes.</w:t>
      </w:r>
    </w:p>
    <w:p w14:paraId="691FB2BE" w14:textId="77777777" w:rsidR="005857F3" w:rsidRPr="00EC326F" w:rsidRDefault="005857F3" w:rsidP="005857F3">
      <w:pPr>
        <w:pStyle w:val="Bullet1"/>
      </w:pPr>
      <w:r w:rsidRPr="00EC326F">
        <w:t>Characteristics data for a large number of different characteristics.</w:t>
      </w:r>
    </w:p>
    <w:p w14:paraId="0019118C" w14:textId="77777777" w:rsidR="005857F3" w:rsidRPr="00EC326F" w:rsidRDefault="005857F3" w:rsidP="005857F3">
      <w:pPr>
        <w:pStyle w:val="Hangingindent1"/>
      </w:pPr>
      <w:r w:rsidRPr="00EC326F">
        <w:t>This information relates to the individual characteristics of payment recipients with data items being captured as relevant for each payment type. It is captured at the point of application for payments and updated as new information is received.</w:t>
      </w:r>
    </w:p>
    <w:p w14:paraId="5CC2D843" w14:textId="77777777" w:rsidR="005857F3" w:rsidRPr="00EC326F" w:rsidRDefault="005857F3" w:rsidP="005857F3">
      <w:pPr>
        <w:pStyle w:val="Heading4"/>
      </w:pPr>
      <w:r w:rsidRPr="00EC326F">
        <w:t>Manipulation of the data</w:t>
      </w:r>
    </w:p>
    <w:p w14:paraId="39EF6938" w14:textId="77777777" w:rsidR="005857F3" w:rsidRPr="00EC326F" w:rsidRDefault="005857F3" w:rsidP="005857F3">
      <w:pPr>
        <w:pStyle w:val="PwCNormal"/>
        <w:numPr>
          <w:ilvl w:val="0"/>
          <w:numId w:val="0"/>
        </w:numPr>
      </w:pPr>
      <w:r w:rsidRPr="00EC326F">
        <w:t xml:space="preserve">A number of the tables from the longitudinal administrative data have been used to construct a consolidated longitudinal modelling data set to support the actuarial analysis. This consists of one record for each person for each financial year during which they are in the payment system, and each financial year subsequent to their death or exit from the system. The records reflect the information for a financial year and contain: </w:t>
      </w:r>
    </w:p>
    <w:p w14:paraId="30A45985" w14:textId="77777777" w:rsidR="005857F3" w:rsidRPr="00EC326F" w:rsidRDefault="005857F3" w:rsidP="005857F3">
      <w:pPr>
        <w:pStyle w:val="Bullet1"/>
      </w:pPr>
      <w:r w:rsidRPr="00EC326F">
        <w:t xml:space="preserve">A unique but confidentialised identifier for each person </w:t>
      </w:r>
    </w:p>
    <w:p w14:paraId="2C0B046E" w14:textId="77777777" w:rsidR="005857F3" w:rsidRPr="00EC326F" w:rsidRDefault="005857F3" w:rsidP="005857F3">
      <w:pPr>
        <w:pStyle w:val="Bullet1"/>
      </w:pPr>
      <w:r w:rsidRPr="00EC326F">
        <w:t>Details of a number of static variables (e.g. date of birth) for the individual</w:t>
      </w:r>
    </w:p>
    <w:p w14:paraId="3DB5C3E2" w14:textId="77777777" w:rsidR="005857F3" w:rsidRPr="00EC326F" w:rsidRDefault="005857F3" w:rsidP="005857F3">
      <w:pPr>
        <w:pStyle w:val="Bullet1"/>
      </w:pPr>
      <w:r w:rsidRPr="00EC326F">
        <w:t>Details of a selected number of the individuals characteristics as at 30 June each year</w:t>
      </w:r>
    </w:p>
    <w:p w14:paraId="0128795E" w14:textId="77777777" w:rsidR="005857F3" w:rsidRPr="00EC326F" w:rsidRDefault="005857F3" w:rsidP="005857F3">
      <w:pPr>
        <w:pStyle w:val="Bullet1"/>
      </w:pPr>
      <w:r w:rsidRPr="00EC326F">
        <w:t>Details of the entitlements paid over the financial year mapped to the payment types proposed for modelling purposes</w:t>
      </w:r>
    </w:p>
    <w:p w14:paraId="08C4AA79" w14:textId="77777777" w:rsidR="005857F3" w:rsidRPr="00EC326F" w:rsidRDefault="005857F3" w:rsidP="005857F3">
      <w:pPr>
        <w:pStyle w:val="Bullet1"/>
      </w:pPr>
      <w:r w:rsidRPr="00EC326F">
        <w:t>A number of derived variables for use in modelling (e.g. model class, duration in class, age pension qualifying date).</w:t>
      </w:r>
    </w:p>
    <w:p w14:paraId="7BCC9495" w14:textId="77777777" w:rsidR="005857F3" w:rsidRPr="00EC326F" w:rsidRDefault="005857F3" w:rsidP="005857F3">
      <w:pPr>
        <w:pStyle w:val="PwCNormal"/>
      </w:pPr>
      <w:r w:rsidRPr="00EC326F">
        <w:t xml:space="preserve">This is the primary data source used to develop information for people </w:t>
      </w:r>
      <w:r w:rsidR="00C53432">
        <w:t xml:space="preserve">currently </w:t>
      </w:r>
      <w:r w:rsidRPr="00EC326F">
        <w:t>in receipt of Commonwealth welfare payments and for people who have recently exited the system.</w:t>
      </w:r>
    </w:p>
    <w:p w14:paraId="4ABC900E" w14:textId="34E2E2C9" w:rsidR="00FC7A76" w:rsidRPr="00FC7A76" w:rsidRDefault="00FC7A76" w:rsidP="00FC7A76">
      <w:pPr>
        <w:pStyle w:val="PwCNormal"/>
        <w:rPr>
          <w:snapToGrid/>
          <w:lang w:eastAsia="en-AU"/>
        </w:rPr>
      </w:pPr>
      <w:r w:rsidRPr="00FC7A76">
        <w:rPr>
          <w:snapToGrid/>
          <w:lang w:eastAsia="en-AU"/>
        </w:rPr>
        <w:t>In providing the data used in this project, the Department scrambled the personal identifier attached to each record as well as excluding certain information such as names, detailed address information, and Australian Business Numbers.</w:t>
      </w:r>
    </w:p>
    <w:p w14:paraId="5F5AEA5E" w14:textId="77777777" w:rsidR="005857F3" w:rsidRPr="00EC326F" w:rsidRDefault="005857F3" w:rsidP="005857F3">
      <w:pPr>
        <w:pStyle w:val="Minorheading"/>
      </w:pPr>
      <w:r w:rsidRPr="00EC326F">
        <w:t>Mapping of payment entitlements</w:t>
      </w:r>
    </w:p>
    <w:p w14:paraId="3DDDEF4A" w14:textId="77777777" w:rsidR="005857F3" w:rsidRPr="00EC326F" w:rsidRDefault="005857F3" w:rsidP="005857F3">
      <w:pPr>
        <w:pStyle w:val="PwCNormal"/>
      </w:pPr>
      <w:r w:rsidRPr="00EC326F">
        <w:t xml:space="preserve">The payment data provided by the Department includes information whose purpose is explained through a combination of 3 codes of which there are circa. </w:t>
      </w:r>
      <w:r w:rsidR="00C53432">
        <w:t>2,055</w:t>
      </w:r>
      <w:r w:rsidRPr="00EC326F">
        <w:t xml:space="preserve"> combinations.</w:t>
      </w:r>
    </w:p>
    <w:p w14:paraId="0631CD3E" w14:textId="77777777" w:rsidR="005857F3" w:rsidRPr="00EC326F" w:rsidRDefault="005857F3" w:rsidP="005857F3">
      <w:pPr>
        <w:pStyle w:val="PwCNormal"/>
      </w:pPr>
      <w:r w:rsidRPr="00EC326F">
        <w:t>PwC have worked together with the Department’s staff to map these codes into a number of payment types for consideration for modelling. There are around 100 payment types that were considered in this process.</w:t>
      </w:r>
    </w:p>
    <w:p w14:paraId="3F9B7174" w14:textId="77777777" w:rsidR="005857F3" w:rsidRPr="00EC326F" w:rsidRDefault="005857F3" w:rsidP="005857F3">
      <w:pPr>
        <w:pStyle w:val="Minorheading"/>
      </w:pPr>
      <w:r w:rsidRPr="00EC326F">
        <w:t>Data items included for baseline valuation</w:t>
      </w:r>
    </w:p>
    <w:p w14:paraId="495C563E" w14:textId="77777777" w:rsidR="005857F3" w:rsidRPr="00EC326F" w:rsidRDefault="005857F3" w:rsidP="005857F3">
      <w:pPr>
        <w:pStyle w:val="PwCNormal"/>
        <w:numPr>
          <w:ilvl w:val="0"/>
          <w:numId w:val="0"/>
        </w:numPr>
      </w:pPr>
      <w:r w:rsidRPr="00EC326F">
        <w:t xml:space="preserve">The construction of this longitudinal modelling dataset was a very substantial task in itself. The format of the source data was such that each variable included needed to be developed on a </w:t>
      </w:r>
      <w:r w:rsidR="008536E9" w:rsidRPr="00EC326F">
        <w:t>stand-alone</w:t>
      </w:r>
      <w:r w:rsidRPr="00EC326F">
        <w:t xml:space="preserve"> basis before being compiled into the main dataset. Variables also needed to be assessed for completeness and grouped into sensible levels for modelling.</w:t>
      </w:r>
    </w:p>
    <w:p w14:paraId="76655FF6" w14:textId="77777777" w:rsidR="005857F3" w:rsidRPr="00EC326F" w:rsidRDefault="005857F3" w:rsidP="005857F3">
      <w:pPr>
        <w:pStyle w:val="PwCNormal"/>
        <w:numPr>
          <w:ilvl w:val="0"/>
          <w:numId w:val="0"/>
        </w:numPr>
      </w:pPr>
      <w:r w:rsidRPr="00EC326F">
        <w:t xml:space="preserve">For the baseline valuation we focussed the data development on developing the entitlement data and a limited number of key characteristic variables which were identified as important for modelling purposes. </w:t>
      </w:r>
      <w:r w:rsidR="00C53432">
        <w:t>For the 2016 valuation, the Department controlled the data development and a few agreed variables were added to enhance the modelling.</w:t>
      </w:r>
    </w:p>
    <w:p w14:paraId="2A1F5F99" w14:textId="77777777" w:rsidR="005857F3" w:rsidRPr="00EC326F" w:rsidRDefault="005857F3" w:rsidP="005857F3">
      <w:pPr>
        <w:pStyle w:val="Heading4"/>
      </w:pPr>
      <w:bookmarkStart w:id="866" w:name="_Toc455499345"/>
      <w:bookmarkStart w:id="867" w:name="_Toc455502366"/>
      <w:bookmarkStart w:id="868" w:name="_Toc455503898"/>
      <w:r w:rsidRPr="00EC326F">
        <w:lastRenderedPageBreak/>
        <w:t>Reconciliation and validation of data</w:t>
      </w:r>
      <w:bookmarkEnd w:id="866"/>
      <w:bookmarkEnd w:id="867"/>
      <w:bookmarkEnd w:id="868"/>
    </w:p>
    <w:p w14:paraId="10A3348C" w14:textId="77777777" w:rsidR="005857F3" w:rsidRPr="00EC326F" w:rsidRDefault="005857F3" w:rsidP="005857F3">
      <w:pPr>
        <w:pStyle w:val="PwCNormal"/>
        <w:numPr>
          <w:ilvl w:val="0"/>
          <w:numId w:val="0"/>
        </w:numPr>
      </w:pPr>
      <w:r w:rsidRPr="00EC326F">
        <w:t xml:space="preserve">The information extracted from the administrative data suite has not been audited by PwC. </w:t>
      </w:r>
    </w:p>
    <w:p w14:paraId="602388AB" w14:textId="77777777" w:rsidR="005857F3" w:rsidRPr="00EC326F" w:rsidRDefault="005857F3" w:rsidP="005857F3">
      <w:pPr>
        <w:pStyle w:val="PwCNormal"/>
        <w:numPr>
          <w:ilvl w:val="0"/>
          <w:numId w:val="0"/>
        </w:numPr>
      </w:pPr>
      <w:r w:rsidRPr="00EC326F">
        <w:t xml:space="preserve">We have however undertaken a high level reconciliation of the payments and examined the information for internal consistency prior to its use. The reconciliation covered the last </w:t>
      </w:r>
      <w:r w:rsidR="00C53432">
        <w:t>five</w:t>
      </w:r>
      <w:r w:rsidRPr="00EC326F">
        <w:t xml:space="preserve"> years of payments and checked the payment information extracted against the Department’s financial reporting information. At an overall level the data reconciled within </w:t>
      </w:r>
      <w:r w:rsidR="00C53432">
        <w:t>0.5</w:t>
      </w:r>
      <w:r w:rsidRPr="00EC326F">
        <w:t>% for all years except 2015</w:t>
      </w:r>
      <w:r w:rsidR="00C53432">
        <w:t>/16</w:t>
      </w:r>
      <w:r w:rsidRPr="00EC326F">
        <w:t>. For 201</w:t>
      </w:r>
      <w:r w:rsidR="00C53432">
        <w:t>5</w:t>
      </w:r>
      <w:r w:rsidRPr="00EC326F">
        <w:t>/1</w:t>
      </w:r>
      <w:r w:rsidR="00C53432">
        <w:t>6</w:t>
      </w:r>
      <w:r w:rsidRPr="00EC326F">
        <w:t xml:space="preserve"> the majority of the difference is explained by timing differences related to the Family Tax Benefit.</w:t>
      </w:r>
    </w:p>
    <w:p w14:paraId="4E3EEF99" w14:textId="77777777" w:rsidR="005857F3" w:rsidRPr="00EC326F" w:rsidRDefault="00C53432" w:rsidP="005857F3">
      <w:pPr>
        <w:pStyle w:val="PwCNormal"/>
        <w:numPr>
          <w:ilvl w:val="0"/>
          <w:numId w:val="0"/>
        </w:numPr>
      </w:pPr>
      <w:r>
        <w:t>For the baseline valuation, we</w:t>
      </w:r>
      <w:r w:rsidR="005857F3" w:rsidRPr="00EC326F">
        <w:t xml:space="preserve"> worked with staff from the Department to perform quality assurance checks on the process of extracting and manipulating the data. Any issues identified through this process </w:t>
      </w:r>
      <w:r>
        <w:t>were</w:t>
      </w:r>
      <w:r w:rsidR="005857F3" w:rsidRPr="00EC326F">
        <w:t xml:space="preserve"> resolved prior to the data being used for developing the valuation results.</w:t>
      </w:r>
      <w:r w:rsidR="00332404" w:rsidRPr="00EC326F">
        <w:t xml:space="preserve"> </w:t>
      </w:r>
      <w:r>
        <w:t xml:space="preserve">We understand that the additional variables added into the 2016 dataset underwent a similar quality assurance process. </w:t>
      </w:r>
      <w:r w:rsidR="005857F3" w:rsidRPr="00EC326F">
        <w:t xml:space="preserve">The </w:t>
      </w:r>
      <w:r>
        <w:t>D</w:t>
      </w:r>
      <w:r w:rsidR="005857F3" w:rsidRPr="00EC326F">
        <w:t>epartment has indicated that it will undertake further validation and assurance work in relation to the ongoing validation of data.</w:t>
      </w:r>
    </w:p>
    <w:p w14:paraId="5F7A9480" w14:textId="77777777" w:rsidR="00332404" w:rsidRPr="00EC326F" w:rsidRDefault="00332404" w:rsidP="00332404">
      <w:pPr>
        <w:pStyle w:val="Heading4"/>
      </w:pPr>
      <w:bookmarkStart w:id="869" w:name="_Toc437456597"/>
      <w:bookmarkStart w:id="870" w:name="_Toc455499351"/>
      <w:bookmarkStart w:id="871" w:name="_Toc455502372"/>
      <w:r w:rsidRPr="00EC326F">
        <w:t>Data limitations</w:t>
      </w:r>
      <w:bookmarkEnd w:id="869"/>
      <w:bookmarkEnd w:id="870"/>
      <w:bookmarkEnd w:id="871"/>
    </w:p>
    <w:p w14:paraId="7C9FDD1F" w14:textId="77777777" w:rsidR="00332404" w:rsidRPr="00EC326F" w:rsidRDefault="00332404" w:rsidP="00332404">
      <w:pPr>
        <w:pStyle w:val="PwCNormal"/>
      </w:pPr>
      <w:r w:rsidRPr="00EC326F">
        <w:t>The data, though extensive, has a number of limitations, and we highlight below a number of important observations in this regard:</w:t>
      </w:r>
    </w:p>
    <w:p w14:paraId="1BF2DA50" w14:textId="77777777" w:rsidR="00332404" w:rsidRPr="00EC326F" w:rsidRDefault="00332404" w:rsidP="00332404">
      <w:pPr>
        <w:pStyle w:val="ListBullet"/>
      </w:pPr>
      <w:r w:rsidRPr="00EC326F">
        <w:t>Reliability:</w:t>
      </w:r>
    </w:p>
    <w:p w14:paraId="4EADDFD7" w14:textId="77777777" w:rsidR="00332404" w:rsidRPr="00EC326F" w:rsidRDefault="00332404" w:rsidP="00332404">
      <w:pPr>
        <w:pStyle w:val="ListBullet2"/>
      </w:pPr>
      <w:r w:rsidRPr="00EC326F">
        <w:t>The Department’s data is only updated when welfare recipients provide new information as part of the process of applying for payments, and various fields may therefore not be up to date.</w:t>
      </w:r>
    </w:p>
    <w:p w14:paraId="7F711E75" w14:textId="77777777" w:rsidR="00332404" w:rsidRPr="00EC326F" w:rsidRDefault="00332404" w:rsidP="00332404">
      <w:pPr>
        <w:pStyle w:val="ListBullet2"/>
      </w:pPr>
      <w:r w:rsidRPr="00EC326F">
        <w:t>Many of the variables are self-reported and as such may be subject to errors or issues arising from misunderstanding the information being sought.</w:t>
      </w:r>
    </w:p>
    <w:p w14:paraId="31AA692A" w14:textId="77777777" w:rsidR="00332404" w:rsidRPr="00EC326F" w:rsidRDefault="00332404" w:rsidP="00332404">
      <w:pPr>
        <w:pStyle w:val="ListBullet2"/>
      </w:pPr>
      <w:r w:rsidRPr="00EC326F">
        <w:t>As noted above, a subset of the Department’s data is known to be immaturely developed due to the ‘as known as’ date being 30 June 2016. Whilst the selected valuation methodology compensates for the major maturity issues, it is not possible to make adjustments to reflect all of the potential areas where the data matures. In particular there may be a small number of people who are not recorded within the current welfare recipient population who are later identified as having received an entitlement during the most recent year and hence falling within one of the current welfare recipient classes.</w:t>
      </w:r>
    </w:p>
    <w:p w14:paraId="71913111" w14:textId="77777777" w:rsidR="00332404" w:rsidRPr="00EC326F" w:rsidRDefault="00332404" w:rsidP="00332404">
      <w:pPr>
        <w:pStyle w:val="ListBullet"/>
        <w:keepNext/>
      </w:pPr>
      <w:r w:rsidRPr="00EC326F">
        <w:t>Completeness:</w:t>
      </w:r>
    </w:p>
    <w:p w14:paraId="6A145DF2" w14:textId="77777777" w:rsidR="00332404" w:rsidRPr="00EC326F" w:rsidRDefault="00332404" w:rsidP="00332404">
      <w:pPr>
        <w:pStyle w:val="ListBullet2"/>
      </w:pPr>
      <w:r w:rsidRPr="00EC326F">
        <w:t>Some variables are only available for subsets of the welfare recipient population as they are only relevant to certain payment types. As an example, level of educational attainment is only available for some welfare recipients.</w:t>
      </w:r>
    </w:p>
    <w:p w14:paraId="2A650806" w14:textId="17C02A44" w:rsidR="00332404" w:rsidRPr="00EC326F" w:rsidRDefault="00332404" w:rsidP="00332404">
      <w:pPr>
        <w:pStyle w:val="ListBullet2"/>
      </w:pPr>
      <w:r w:rsidRPr="00EC326F">
        <w:t xml:space="preserve">Other variables are missing, even where relevant, for example, </w:t>
      </w:r>
      <w:r w:rsidR="00B36672">
        <w:t>I</w:t>
      </w:r>
      <w:r w:rsidRPr="00EC326F">
        <w:t>ndigenous status.</w:t>
      </w:r>
    </w:p>
    <w:p w14:paraId="00F1925E" w14:textId="77777777" w:rsidR="00332404" w:rsidRPr="00EC326F" w:rsidRDefault="00332404" w:rsidP="00332404">
      <w:pPr>
        <w:pStyle w:val="ListBullet"/>
      </w:pPr>
      <w:r w:rsidRPr="00EC326F">
        <w:t xml:space="preserve">Limitations of Census CURF data: </w:t>
      </w:r>
    </w:p>
    <w:p w14:paraId="4E88DEDD" w14:textId="77777777" w:rsidR="00332404" w:rsidRPr="00EC326F" w:rsidRDefault="00332404" w:rsidP="00332404">
      <w:pPr>
        <w:pStyle w:val="ListBullet2"/>
      </w:pPr>
      <w:r w:rsidRPr="00EC326F">
        <w:t>This data contains a limited number of variables and some of these are defined in a broad way (e.g. age band rather than age). Whilst we have attempted to overcome these limitations through the modelling it would be preferable to have a greater level of detail in the source data.</w:t>
      </w:r>
    </w:p>
    <w:p w14:paraId="73DA9F65" w14:textId="77777777" w:rsidR="00332404" w:rsidRPr="00EC326F" w:rsidRDefault="00332404" w:rsidP="00332404">
      <w:pPr>
        <w:pStyle w:val="ListBullet"/>
      </w:pPr>
      <w:r w:rsidRPr="00EC326F">
        <w:t xml:space="preserve">Data information and controls: </w:t>
      </w:r>
    </w:p>
    <w:p w14:paraId="2521EC90" w14:textId="77777777" w:rsidR="00332404" w:rsidRPr="00EC326F" w:rsidRDefault="00332404" w:rsidP="00332404">
      <w:pPr>
        <w:pStyle w:val="ListBullet2"/>
      </w:pPr>
      <w:r w:rsidRPr="00EC326F">
        <w:t xml:space="preserve">The longitudinal data suite that has been developed recently to support this project and is still in its infancy. This means that there is a greater chance that features of the data are less well understood than would be the case if it had been established and in use for an extended period of time. </w:t>
      </w:r>
    </w:p>
    <w:p w14:paraId="217D285B" w14:textId="77777777" w:rsidR="00332404" w:rsidRPr="00EC326F" w:rsidRDefault="00332404" w:rsidP="00332404">
      <w:pPr>
        <w:pStyle w:val="ListBullet2"/>
      </w:pPr>
      <w:r w:rsidRPr="00EC326F">
        <w:t xml:space="preserve">We understand that the Department has mitigated this risk through independent validation of the coding of data extraction and upload processes. As noted above the PwC team has worked with staff from the Department to reconcile the data and undertake quality assurance checks on samples against source information. Notwithstanding, there remains an opportunity to develop more formal and comprehensive control processes for the longitudinal data suite. </w:t>
      </w:r>
    </w:p>
    <w:p w14:paraId="5981EEF1" w14:textId="77777777" w:rsidR="00332404" w:rsidRPr="00EC326F" w:rsidRDefault="00332404" w:rsidP="00332404">
      <w:pPr>
        <w:pStyle w:val="ListBullet2"/>
      </w:pPr>
      <w:r w:rsidRPr="00EC326F">
        <w:t>Over time, as the project progresses and as we continue to work closely with the Department, we will gradually develop a fuller understanding of the control processes supporting the extraction of data. This may lead to improvements being made to the information within the longitudinal data suite and our interpretation and use of it.</w:t>
      </w:r>
    </w:p>
    <w:p w14:paraId="68B8831E" w14:textId="77777777" w:rsidR="00021020" w:rsidRPr="00EC326F" w:rsidRDefault="00021020" w:rsidP="00021020">
      <w:pPr>
        <w:pStyle w:val="PwCNormal"/>
      </w:pPr>
    </w:p>
    <w:p w14:paraId="098B0180" w14:textId="77777777" w:rsidR="00021020" w:rsidRPr="00EC326F" w:rsidRDefault="00021020" w:rsidP="00021020">
      <w:pPr>
        <w:pStyle w:val="PwCNormal"/>
        <w:sectPr w:rsidR="00021020" w:rsidRPr="00EC326F" w:rsidSect="005714E3">
          <w:pgSz w:w="11907" w:h="16840" w:code="9"/>
          <w:pgMar w:top="1588" w:right="1021" w:bottom="1418" w:left="1021" w:header="567" w:footer="567" w:gutter="0"/>
          <w:cols w:space="227"/>
          <w:titlePg/>
          <w:docGrid w:linePitch="360"/>
        </w:sectPr>
      </w:pPr>
    </w:p>
    <w:p w14:paraId="34C538AF" w14:textId="77777777" w:rsidR="00021020" w:rsidRPr="00EC326F" w:rsidRDefault="00021020" w:rsidP="0037093B">
      <w:pPr>
        <w:pStyle w:val="Heading2Appendix"/>
      </w:pPr>
      <w:bookmarkStart w:id="872" w:name="_Toc475093849"/>
      <w:r w:rsidRPr="00EC326F">
        <w:lastRenderedPageBreak/>
        <w:t>Model validation</w:t>
      </w:r>
      <w:bookmarkEnd w:id="872"/>
    </w:p>
    <w:p w14:paraId="0D1C595C" w14:textId="77777777" w:rsidR="00621016" w:rsidRPr="00EC326F" w:rsidRDefault="00621016" w:rsidP="00621016">
      <w:pPr>
        <w:pStyle w:val="Heading4"/>
        <w:rPr>
          <w:snapToGrid/>
        </w:rPr>
      </w:pPr>
      <w:r w:rsidRPr="00EC326F">
        <w:t>Overview</w:t>
      </w:r>
    </w:p>
    <w:p w14:paraId="139CD25A" w14:textId="77777777" w:rsidR="00621016" w:rsidRPr="00EC326F" w:rsidRDefault="00621016" w:rsidP="001A4479">
      <w:pPr>
        <w:pStyle w:val="PwCNormal"/>
        <w:numPr>
          <w:ilvl w:val="0"/>
          <w:numId w:val="37"/>
        </w:numPr>
      </w:pPr>
      <w:r w:rsidRPr="00EC326F">
        <w:t>The core model was originally developed for the baseline valuation as at 30 June 2015. As the model is further developed and used, model validation will continue to be an essential role. Our approach to validating the model and mitigating the risks combines the use of an appropriate set of checks and the model use by a team with the appropriate skills and experience.</w:t>
      </w:r>
    </w:p>
    <w:p w14:paraId="023E7574" w14:textId="77777777" w:rsidR="00621016" w:rsidRPr="00EC326F" w:rsidRDefault="00621016" w:rsidP="001A4479">
      <w:pPr>
        <w:pStyle w:val="PwCNormal"/>
        <w:numPr>
          <w:ilvl w:val="0"/>
          <w:numId w:val="37"/>
        </w:numPr>
      </w:pPr>
      <w:r w:rsidRPr="00EC326F">
        <w:t xml:space="preserve">As this is the second year in which the model has been used, a reconciliation has been carried out between the June 2015 lifetime cost and the June 2016 lifetime cost and this is a further important validation. We discussed the results of this reconciliation in </w:t>
      </w:r>
      <w:r w:rsidR="0011562A">
        <w:t>section</w:t>
      </w:r>
      <w:r w:rsidR="00580BD6">
        <w:t xml:space="preserve"> </w:t>
      </w:r>
      <w:r w:rsidR="00580BD6">
        <w:fldChar w:fldCharType="begin"/>
      </w:r>
      <w:r w:rsidR="00580BD6">
        <w:instrText xml:space="preserve"> REF _Ref466494471 \w \h </w:instrText>
      </w:r>
      <w:r w:rsidR="00580BD6">
        <w:fldChar w:fldCharType="separate"/>
      </w:r>
      <w:r w:rsidR="007A42DF">
        <w:t>7.2</w:t>
      </w:r>
      <w:r w:rsidR="00580BD6">
        <w:fldChar w:fldCharType="end"/>
      </w:r>
      <w:r w:rsidRPr="00EC326F">
        <w:t xml:space="preserve">. We have also put a particular emphasis on the validation </w:t>
      </w:r>
      <w:r w:rsidR="00B03042">
        <w:t>of</w:t>
      </w:r>
      <w:r w:rsidRPr="00EC326F">
        <w:t xml:space="preserve"> areas in which the model has been refined, as this is a key area of risk.</w:t>
      </w:r>
    </w:p>
    <w:p w14:paraId="312CA3CE" w14:textId="77777777" w:rsidR="00621016" w:rsidRPr="00EC326F" w:rsidRDefault="00621016" w:rsidP="00621016">
      <w:pPr>
        <w:pStyle w:val="Heading4"/>
      </w:pPr>
      <w:r w:rsidRPr="00EC326F">
        <w:t>Model validation processes</w:t>
      </w:r>
    </w:p>
    <w:p w14:paraId="1894E650" w14:textId="77777777" w:rsidR="00621016" w:rsidRPr="00EC326F" w:rsidRDefault="00621016" w:rsidP="00621016">
      <w:pPr>
        <w:pStyle w:val="PwCNormal"/>
        <w:numPr>
          <w:ilvl w:val="0"/>
          <w:numId w:val="0"/>
        </w:numPr>
      </w:pPr>
      <w:r w:rsidRPr="00EC326F">
        <w:t xml:space="preserve">In developing the models we have mitigated the risks through first developing the methodology, then a simple version of the model with a simpler ‘foundation’ set of assumptions and finally the full risk based model. At each stage of work the analyses undertaken have been subject to PwC’s standard quality control processes which include review of all work products by a qualified actuary. All the elements of the method have also been discussed by the senior members of the project team and have been subject to review from PwC’s second partner and from senior members of staff from Data Analysis Australia. </w:t>
      </w:r>
    </w:p>
    <w:p w14:paraId="235458B1" w14:textId="77777777" w:rsidR="00621016" w:rsidRPr="00EC326F" w:rsidRDefault="00621016" w:rsidP="00621016">
      <w:pPr>
        <w:pStyle w:val="PwCNormal"/>
        <w:numPr>
          <w:ilvl w:val="0"/>
          <w:numId w:val="0"/>
        </w:numPr>
      </w:pPr>
      <w:r w:rsidRPr="00EC326F">
        <w:t xml:space="preserve">Throughout these stages we have discussed the emerging analyses and selected assumptions with the Department and where appropriate additional investigations have been undertaken by staff from either PwC or the Department to assist in understanding and interpreting the observed experience. </w:t>
      </w:r>
    </w:p>
    <w:p w14:paraId="75DB38AB" w14:textId="77777777" w:rsidR="00621016" w:rsidRPr="00EC326F" w:rsidRDefault="00621016" w:rsidP="00621016">
      <w:pPr>
        <w:pStyle w:val="PwCNormal"/>
        <w:numPr>
          <w:ilvl w:val="0"/>
          <w:numId w:val="0"/>
        </w:numPr>
      </w:pPr>
      <w:r w:rsidRPr="00EC326F">
        <w:t>The suite of computer programs used to implement all the statistical elements of the assumption development have been subject to technical review by both PwC staff and senior members of staff from Data Analysis Australia. A comprehensive set of checks has been used in developing the model assumptions and to validate the overall results. Firstly checks were used to validate each module and then to validate the overall model and results. Sensitivity checks have also been used in order to help understand and validate the model behaviour.</w:t>
      </w:r>
    </w:p>
    <w:p w14:paraId="7619E510" w14:textId="77777777" w:rsidR="00621016" w:rsidRPr="00EC326F" w:rsidRDefault="00621016" w:rsidP="00621016">
      <w:pPr>
        <w:pStyle w:val="PwCNormal"/>
        <w:numPr>
          <w:ilvl w:val="0"/>
          <w:numId w:val="0"/>
        </w:numPr>
      </w:pPr>
      <w:r w:rsidRPr="00EC326F">
        <w:t xml:space="preserve">A summary of the checks used is provided below.  </w:t>
      </w:r>
    </w:p>
    <w:p w14:paraId="5A759B36" w14:textId="77777777" w:rsidR="00621016" w:rsidRPr="00EC326F" w:rsidRDefault="00621016" w:rsidP="00621016">
      <w:pPr>
        <w:pStyle w:val="Caption"/>
        <w:spacing w:before="240"/>
      </w:pPr>
      <w:r w:rsidRPr="00EC326F">
        <w:t xml:space="preserve">Table </w:t>
      </w:r>
      <w:fldSimple w:instr=" SEQ Table \* ARABIC ">
        <w:r w:rsidR="007A42DF">
          <w:rPr>
            <w:noProof/>
          </w:rPr>
          <w:t>64</w:t>
        </w:r>
      </w:fldSimple>
      <w:r w:rsidRPr="00EC326F">
        <w:t>: Summary of model validation checks</w:t>
      </w:r>
    </w:p>
    <w:tbl>
      <w:tblPr>
        <w:tblStyle w:val="Tables-APBase"/>
        <w:tblW w:w="9464" w:type="dxa"/>
        <w:tblBorders>
          <w:top w:val="none" w:sz="0" w:space="0" w:color="auto"/>
          <w:left w:val="none" w:sz="0" w:space="0" w:color="auto"/>
          <w:bottom w:val="single" w:sz="4" w:space="0" w:color="E0301E"/>
          <w:right w:val="none" w:sz="0" w:space="0" w:color="auto"/>
          <w:insideH w:val="none" w:sz="0" w:space="0" w:color="auto"/>
          <w:insideV w:val="none" w:sz="0" w:space="0" w:color="auto"/>
        </w:tblBorders>
        <w:tblLook w:val="04A0" w:firstRow="1" w:lastRow="0" w:firstColumn="1" w:lastColumn="0" w:noHBand="0" w:noVBand="1"/>
        <w:tblCaption w:val="Summary of model validation checks"/>
        <w:tblDescription w:val="This table lists the validation checks that have been performed for each module.&#10;&#10;The first module is for population, which was checked on composition vs. demographic projections.&#10;&#10;The second module was for flow assumptions, and included projected deaths, partner status and education status by age, child numbers by parent and child number by age of child, projected payment type, employment earnings indicator, primary care recipient age, relationship to carers and medical condition category, number of adult care recipients and number of child care recipients, DSP medical condition category. &#10;&#10;The third module was for Welfare class movement. The assumptions were checked by testing the number and proportions of class and age, and the number of new entrants and exits by class. The risk-based model was also compared against the results from the simpler foundation model.&#10;&#10;The fourth module was payment category utilisation and size. Checks were conducted on selected payment utilisation and size assumptions for each payment category vs past experience as well as their combined effect vs. past experience and projections. As well, the risk-based model was tested against the foundation model. Statistical goodness of fit tests were also conducted.&#10;&#10;Indexation assumptions, the next module, had checks on the application of indexation assumptions.                                                                       &#10;                                                                                                              Finally, for the results module / overall model, there was a reconciliation of the movements in lifetime cost since the last valuation, a comparison of the foundation and risk based models with an examination of reasons for differences and sensitivity testing of key assumptions. "/>
      </w:tblPr>
      <w:tblGrid>
        <w:gridCol w:w="2376"/>
        <w:gridCol w:w="7088"/>
      </w:tblGrid>
      <w:tr w:rsidR="00621016" w:rsidRPr="00EC326F" w14:paraId="47B84413" w14:textId="77777777" w:rsidTr="00621016">
        <w:trPr>
          <w:cnfStyle w:val="100000000000" w:firstRow="1" w:lastRow="0" w:firstColumn="0" w:lastColumn="0" w:oddVBand="0" w:evenVBand="0" w:oddHBand="0" w:evenHBand="0" w:firstRowFirstColumn="0" w:firstRowLastColumn="0" w:lastRowFirstColumn="0" w:lastRowLastColumn="0"/>
          <w:trHeight w:val="304"/>
        </w:trPr>
        <w:tc>
          <w:tcPr>
            <w:cnfStyle w:val="000000000100" w:firstRow="0" w:lastRow="0" w:firstColumn="0" w:lastColumn="0" w:oddVBand="0" w:evenVBand="0" w:oddHBand="0" w:evenHBand="0" w:firstRowFirstColumn="1" w:firstRowLastColumn="0" w:lastRowFirstColumn="0" w:lastRowLastColumn="0"/>
            <w:tcW w:w="2376" w:type="dxa"/>
            <w:tcBorders>
              <w:top w:val="nil"/>
              <w:left w:val="nil"/>
              <w:bottom w:val="nil"/>
              <w:right w:val="nil"/>
            </w:tcBorders>
            <w:shd w:val="clear" w:color="auto" w:fill="E0301E"/>
            <w:hideMark/>
          </w:tcPr>
          <w:p w14:paraId="6CD03EF5" w14:textId="77777777" w:rsidR="00621016" w:rsidRPr="00EC326F" w:rsidRDefault="00621016">
            <w:pPr>
              <w:pStyle w:val="TableTextSmall"/>
              <w:keepNext/>
              <w:rPr>
                <w:b/>
                <w:color w:val="FFFFFF" w:themeColor="background1"/>
              </w:rPr>
            </w:pPr>
            <w:r w:rsidRPr="00EC326F">
              <w:rPr>
                <w:b/>
                <w:color w:val="FFFFFF" w:themeColor="background1"/>
              </w:rPr>
              <w:t>Module</w:t>
            </w:r>
          </w:p>
        </w:tc>
        <w:tc>
          <w:tcPr>
            <w:tcW w:w="7088" w:type="dxa"/>
            <w:tcBorders>
              <w:top w:val="nil"/>
              <w:left w:val="nil"/>
              <w:bottom w:val="nil"/>
              <w:right w:val="nil"/>
            </w:tcBorders>
            <w:shd w:val="clear" w:color="auto" w:fill="E0301E"/>
            <w:hideMark/>
          </w:tcPr>
          <w:p w14:paraId="0C0C1CC4" w14:textId="77777777" w:rsidR="00621016" w:rsidRPr="00EC326F" w:rsidRDefault="00621016">
            <w:pPr>
              <w:pStyle w:val="TableTextSmall"/>
              <w:keepNext/>
              <w:cnfStyle w:val="100000000000" w:firstRow="1" w:lastRow="0" w:firstColumn="0" w:lastColumn="0" w:oddVBand="0" w:evenVBand="0" w:oddHBand="0" w:evenHBand="0" w:firstRowFirstColumn="0" w:firstRowLastColumn="0" w:lastRowFirstColumn="0" w:lastRowLastColumn="0"/>
              <w:rPr>
                <w:color w:val="FFFFFF" w:themeColor="background1"/>
              </w:rPr>
            </w:pPr>
            <w:r w:rsidRPr="00EC326F">
              <w:rPr>
                <w:color w:val="FFFFFF" w:themeColor="background1"/>
              </w:rPr>
              <w:t>Description</w:t>
            </w:r>
          </w:p>
        </w:tc>
      </w:tr>
      <w:tr w:rsidR="00621016" w:rsidRPr="00EC326F" w14:paraId="6C9EF399" w14:textId="77777777" w:rsidTr="009B58B4">
        <w:trPr>
          <w:trHeight w:val="313"/>
        </w:trPr>
        <w:tc>
          <w:tcPr>
            <w:tcW w:w="2376" w:type="dxa"/>
            <w:tcBorders>
              <w:top w:val="nil"/>
              <w:left w:val="nil"/>
              <w:bottom w:val="single" w:sz="4" w:space="0" w:color="E0301E"/>
              <w:right w:val="nil"/>
            </w:tcBorders>
            <w:shd w:val="clear" w:color="auto" w:fill="auto"/>
            <w:hideMark/>
          </w:tcPr>
          <w:p w14:paraId="03186193" w14:textId="77777777" w:rsidR="00621016" w:rsidRPr="00EC326F" w:rsidRDefault="00621016">
            <w:pPr>
              <w:pStyle w:val="TableTextSmall"/>
              <w:keepNext/>
              <w:rPr>
                <w:b/>
              </w:rPr>
            </w:pPr>
            <w:r w:rsidRPr="00EC326F">
              <w:rPr>
                <w:b/>
              </w:rPr>
              <w:t>Population</w:t>
            </w:r>
          </w:p>
        </w:tc>
        <w:tc>
          <w:tcPr>
            <w:tcW w:w="7088" w:type="dxa"/>
            <w:tcBorders>
              <w:top w:val="nil"/>
              <w:left w:val="nil"/>
              <w:bottom w:val="single" w:sz="4" w:space="0" w:color="E0301E"/>
              <w:right w:val="nil"/>
            </w:tcBorders>
            <w:shd w:val="clear" w:color="auto" w:fill="auto"/>
            <w:vAlign w:val="center"/>
            <w:hideMark/>
          </w:tcPr>
          <w:p w14:paraId="5964019E" w14:textId="77777777" w:rsidR="00621016" w:rsidRPr="00EC326F" w:rsidRDefault="00621016">
            <w:pPr>
              <w:pStyle w:val="TableTextSmall"/>
              <w:keepNext/>
            </w:pPr>
            <w:r w:rsidRPr="00EC326F">
              <w:t>Check of composition vs. demographic projections</w:t>
            </w:r>
          </w:p>
        </w:tc>
      </w:tr>
      <w:tr w:rsidR="00621016" w:rsidRPr="00EC326F" w14:paraId="74714E88" w14:textId="77777777" w:rsidTr="009B58B4">
        <w:trPr>
          <w:trHeight w:val="313"/>
        </w:trPr>
        <w:tc>
          <w:tcPr>
            <w:tcW w:w="2376" w:type="dxa"/>
            <w:tcBorders>
              <w:top w:val="single" w:sz="4" w:space="0" w:color="E0301E"/>
              <w:left w:val="nil"/>
              <w:bottom w:val="nil"/>
              <w:right w:val="nil"/>
            </w:tcBorders>
            <w:shd w:val="clear" w:color="auto" w:fill="auto"/>
            <w:hideMark/>
          </w:tcPr>
          <w:p w14:paraId="28F42653" w14:textId="77777777" w:rsidR="00621016" w:rsidRPr="00EC326F" w:rsidRDefault="00621016">
            <w:pPr>
              <w:pStyle w:val="TableTextSmall"/>
              <w:keepNext/>
              <w:rPr>
                <w:b/>
              </w:rPr>
            </w:pPr>
            <w:r w:rsidRPr="00EC326F">
              <w:rPr>
                <w:b/>
              </w:rPr>
              <w:t>Flow assumptions</w:t>
            </w:r>
          </w:p>
        </w:tc>
        <w:tc>
          <w:tcPr>
            <w:tcW w:w="7088" w:type="dxa"/>
            <w:tcBorders>
              <w:top w:val="single" w:sz="4" w:space="0" w:color="E0301E"/>
              <w:left w:val="nil"/>
              <w:bottom w:val="single" w:sz="4" w:space="0" w:color="E0301E"/>
              <w:right w:val="nil"/>
            </w:tcBorders>
            <w:shd w:val="clear" w:color="auto" w:fill="auto"/>
            <w:vAlign w:val="center"/>
            <w:hideMark/>
          </w:tcPr>
          <w:p w14:paraId="396F0DCD" w14:textId="77777777" w:rsidR="00621016" w:rsidRPr="00EC326F" w:rsidRDefault="00621016">
            <w:pPr>
              <w:pStyle w:val="TableTextSmall"/>
              <w:keepNext/>
            </w:pPr>
            <w:r w:rsidRPr="00EC326F">
              <w:t>Check on projected deaths vs. demographic projections</w:t>
            </w:r>
          </w:p>
        </w:tc>
      </w:tr>
      <w:tr w:rsidR="00621016" w:rsidRPr="00EC326F" w14:paraId="7FFE8CC0" w14:textId="77777777" w:rsidTr="009B58B4">
        <w:trPr>
          <w:trHeight w:val="313"/>
        </w:trPr>
        <w:tc>
          <w:tcPr>
            <w:tcW w:w="2376" w:type="dxa"/>
            <w:tcBorders>
              <w:top w:val="nil"/>
              <w:left w:val="nil"/>
              <w:bottom w:val="nil"/>
              <w:right w:val="nil"/>
            </w:tcBorders>
            <w:shd w:val="clear" w:color="auto" w:fill="auto"/>
          </w:tcPr>
          <w:p w14:paraId="39DEA82D" w14:textId="77777777" w:rsidR="00621016" w:rsidRPr="00EC326F" w:rsidRDefault="00621016">
            <w:pPr>
              <w:pStyle w:val="TableTextSmall"/>
              <w:keepNext/>
              <w:rPr>
                <w:b/>
              </w:rPr>
            </w:pPr>
          </w:p>
        </w:tc>
        <w:tc>
          <w:tcPr>
            <w:tcW w:w="7088" w:type="dxa"/>
            <w:tcBorders>
              <w:top w:val="single" w:sz="4" w:space="0" w:color="E0301E"/>
              <w:left w:val="nil"/>
              <w:bottom w:val="single" w:sz="4" w:space="0" w:color="E0301E"/>
              <w:right w:val="nil"/>
            </w:tcBorders>
            <w:shd w:val="clear" w:color="auto" w:fill="auto"/>
            <w:vAlign w:val="center"/>
            <w:hideMark/>
          </w:tcPr>
          <w:p w14:paraId="2DE68810" w14:textId="77777777" w:rsidR="00621016" w:rsidRPr="00EC326F" w:rsidRDefault="00621016">
            <w:pPr>
              <w:pStyle w:val="TableTextSmall"/>
              <w:keepNext/>
            </w:pPr>
            <w:r w:rsidRPr="00EC326F">
              <w:t>Check on projected partner status profile by age</w:t>
            </w:r>
          </w:p>
        </w:tc>
      </w:tr>
      <w:tr w:rsidR="00621016" w:rsidRPr="00EC326F" w14:paraId="2BC460F1" w14:textId="77777777" w:rsidTr="009B58B4">
        <w:trPr>
          <w:trHeight w:val="313"/>
        </w:trPr>
        <w:tc>
          <w:tcPr>
            <w:tcW w:w="2376" w:type="dxa"/>
            <w:tcBorders>
              <w:top w:val="nil"/>
              <w:left w:val="nil"/>
              <w:bottom w:val="nil"/>
              <w:right w:val="nil"/>
            </w:tcBorders>
            <w:shd w:val="clear" w:color="auto" w:fill="auto"/>
          </w:tcPr>
          <w:p w14:paraId="636A91C4" w14:textId="77777777" w:rsidR="00621016" w:rsidRPr="00EC326F" w:rsidRDefault="00621016">
            <w:pPr>
              <w:pStyle w:val="TableTextSmall"/>
              <w:keepNext/>
              <w:rPr>
                <w:b/>
              </w:rPr>
            </w:pPr>
          </w:p>
        </w:tc>
        <w:tc>
          <w:tcPr>
            <w:tcW w:w="7088" w:type="dxa"/>
            <w:tcBorders>
              <w:top w:val="single" w:sz="4" w:space="0" w:color="E0301E"/>
              <w:left w:val="nil"/>
              <w:bottom w:val="single" w:sz="4" w:space="0" w:color="E0301E"/>
              <w:right w:val="nil"/>
            </w:tcBorders>
            <w:shd w:val="clear" w:color="auto" w:fill="auto"/>
            <w:vAlign w:val="center"/>
            <w:hideMark/>
          </w:tcPr>
          <w:p w14:paraId="0A66FB53" w14:textId="77777777" w:rsidR="00621016" w:rsidRPr="00EC326F" w:rsidRDefault="00621016">
            <w:pPr>
              <w:pStyle w:val="TableTextSmall"/>
              <w:keepNext/>
            </w:pPr>
            <w:r w:rsidRPr="00EC326F">
              <w:t>Check on projected education status profile by age</w:t>
            </w:r>
          </w:p>
        </w:tc>
      </w:tr>
      <w:tr w:rsidR="00621016" w:rsidRPr="00EC326F" w14:paraId="2E337779" w14:textId="77777777" w:rsidTr="009B58B4">
        <w:trPr>
          <w:trHeight w:val="313"/>
        </w:trPr>
        <w:tc>
          <w:tcPr>
            <w:tcW w:w="2376" w:type="dxa"/>
            <w:tcBorders>
              <w:top w:val="nil"/>
              <w:left w:val="nil"/>
              <w:bottom w:val="nil"/>
              <w:right w:val="nil"/>
            </w:tcBorders>
            <w:shd w:val="clear" w:color="auto" w:fill="auto"/>
          </w:tcPr>
          <w:p w14:paraId="27C7C376" w14:textId="77777777" w:rsidR="00621016" w:rsidRPr="00EC326F" w:rsidRDefault="00621016">
            <w:pPr>
              <w:pStyle w:val="TableTextSmall"/>
              <w:keepNext/>
              <w:rPr>
                <w:b/>
              </w:rPr>
            </w:pPr>
          </w:p>
        </w:tc>
        <w:tc>
          <w:tcPr>
            <w:tcW w:w="7088" w:type="dxa"/>
            <w:tcBorders>
              <w:top w:val="single" w:sz="4" w:space="0" w:color="E0301E"/>
              <w:left w:val="nil"/>
              <w:bottom w:val="single" w:sz="4" w:space="0" w:color="E0301E"/>
              <w:right w:val="nil"/>
            </w:tcBorders>
            <w:shd w:val="clear" w:color="auto" w:fill="auto"/>
            <w:vAlign w:val="center"/>
            <w:hideMark/>
          </w:tcPr>
          <w:p w14:paraId="35A24B67" w14:textId="77777777" w:rsidR="00621016" w:rsidRPr="00EC326F" w:rsidRDefault="00621016">
            <w:pPr>
              <w:pStyle w:val="TableTextSmall"/>
              <w:keepNext/>
            </w:pPr>
            <w:r w:rsidRPr="00EC326F">
              <w:t>Check on projected child numbers by parent</w:t>
            </w:r>
          </w:p>
        </w:tc>
      </w:tr>
      <w:tr w:rsidR="00621016" w:rsidRPr="00EC326F" w14:paraId="03424779" w14:textId="77777777" w:rsidTr="009B58B4">
        <w:trPr>
          <w:trHeight w:val="313"/>
        </w:trPr>
        <w:tc>
          <w:tcPr>
            <w:tcW w:w="2376" w:type="dxa"/>
            <w:tcBorders>
              <w:top w:val="nil"/>
              <w:left w:val="nil"/>
              <w:bottom w:val="nil"/>
              <w:right w:val="nil"/>
            </w:tcBorders>
            <w:shd w:val="clear" w:color="auto" w:fill="auto"/>
          </w:tcPr>
          <w:p w14:paraId="077B3A9F" w14:textId="77777777" w:rsidR="00621016" w:rsidRPr="00EC326F" w:rsidRDefault="00621016">
            <w:pPr>
              <w:pStyle w:val="TableTextSmall"/>
              <w:keepNext/>
              <w:rPr>
                <w:b/>
              </w:rPr>
            </w:pPr>
          </w:p>
        </w:tc>
        <w:tc>
          <w:tcPr>
            <w:tcW w:w="7088" w:type="dxa"/>
            <w:tcBorders>
              <w:top w:val="single" w:sz="4" w:space="0" w:color="E0301E"/>
              <w:left w:val="nil"/>
              <w:bottom w:val="single" w:sz="4" w:space="0" w:color="E0301E"/>
              <w:right w:val="nil"/>
            </w:tcBorders>
            <w:shd w:val="clear" w:color="auto" w:fill="auto"/>
            <w:vAlign w:val="center"/>
            <w:hideMark/>
          </w:tcPr>
          <w:p w14:paraId="1D849B30" w14:textId="77777777" w:rsidR="00621016" w:rsidRPr="00EC326F" w:rsidRDefault="00621016">
            <w:pPr>
              <w:pStyle w:val="TableTextSmall"/>
              <w:keepNext/>
            </w:pPr>
            <w:r w:rsidRPr="00EC326F">
              <w:t>Check on projected child numbers by age of child</w:t>
            </w:r>
          </w:p>
        </w:tc>
      </w:tr>
      <w:tr w:rsidR="00621016" w:rsidRPr="00EC326F" w14:paraId="3DB2EB19" w14:textId="77777777" w:rsidTr="009B58B4">
        <w:trPr>
          <w:trHeight w:val="313"/>
        </w:trPr>
        <w:tc>
          <w:tcPr>
            <w:tcW w:w="2376" w:type="dxa"/>
            <w:tcBorders>
              <w:top w:val="nil"/>
              <w:left w:val="nil"/>
              <w:bottom w:val="nil"/>
              <w:right w:val="nil"/>
            </w:tcBorders>
            <w:shd w:val="clear" w:color="auto" w:fill="auto"/>
          </w:tcPr>
          <w:p w14:paraId="20BCA7EE" w14:textId="77777777" w:rsidR="00621016" w:rsidRPr="00EC326F" w:rsidRDefault="00621016">
            <w:pPr>
              <w:pStyle w:val="TableTextSmall"/>
              <w:keepNext/>
              <w:rPr>
                <w:b/>
              </w:rPr>
            </w:pPr>
          </w:p>
        </w:tc>
        <w:tc>
          <w:tcPr>
            <w:tcW w:w="7088" w:type="dxa"/>
            <w:tcBorders>
              <w:top w:val="single" w:sz="4" w:space="0" w:color="E0301E"/>
              <w:left w:val="nil"/>
              <w:bottom w:val="single" w:sz="4" w:space="0" w:color="E0301E"/>
              <w:right w:val="nil"/>
            </w:tcBorders>
            <w:shd w:val="clear" w:color="auto" w:fill="auto"/>
            <w:vAlign w:val="center"/>
            <w:hideMark/>
          </w:tcPr>
          <w:p w14:paraId="00830712" w14:textId="77777777" w:rsidR="00621016" w:rsidRPr="00EC326F" w:rsidRDefault="00621016">
            <w:pPr>
              <w:pStyle w:val="TableTextSmall"/>
              <w:keepNext/>
            </w:pPr>
            <w:r w:rsidRPr="00EC326F">
              <w:t>Check on projected payment type (classes 1, 2, 3)</w:t>
            </w:r>
          </w:p>
        </w:tc>
      </w:tr>
      <w:tr w:rsidR="00621016" w:rsidRPr="00EC326F" w14:paraId="2A6E1CE0" w14:textId="77777777" w:rsidTr="009B58B4">
        <w:trPr>
          <w:trHeight w:val="313"/>
        </w:trPr>
        <w:tc>
          <w:tcPr>
            <w:tcW w:w="2376" w:type="dxa"/>
            <w:tcBorders>
              <w:top w:val="nil"/>
              <w:left w:val="nil"/>
              <w:bottom w:val="nil"/>
              <w:right w:val="nil"/>
            </w:tcBorders>
            <w:shd w:val="clear" w:color="auto" w:fill="auto"/>
          </w:tcPr>
          <w:p w14:paraId="13F1E259" w14:textId="77777777" w:rsidR="00621016" w:rsidRPr="00EC326F" w:rsidRDefault="00621016">
            <w:pPr>
              <w:pStyle w:val="TableTextSmall"/>
              <w:keepNext/>
              <w:rPr>
                <w:b/>
              </w:rPr>
            </w:pPr>
          </w:p>
        </w:tc>
        <w:tc>
          <w:tcPr>
            <w:tcW w:w="7088" w:type="dxa"/>
            <w:tcBorders>
              <w:top w:val="single" w:sz="4" w:space="0" w:color="E0301E"/>
              <w:left w:val="nil"/>
              <w:bottom w:val="single" w:sz="4" w:space="0" w:color="E0301E"/>
              <w:right w:val="nil"/>
            </w:tcBorders>
            <w:shd w:val="clear" w:color="auto" w:fill="auto"/>
            <w:vAlign w:val="center"/>
            <w:hideMark/>
          </w:tcPr>
          <w:p w14:paraId="41851B1E" w14:textId="77777777" w:rsidR="00621016" w:rsidRPr="00EC326F" w:rsidRDefault="00621016">
            <w:pPr>
              <w:pStyle w:val="TableTextSmall"/>
              <w:keepNext/>
            </w:pPr>
            <w:r w:rsidRPr="00EC326F">
              <w:t>Check on employment earnings indicator (classes 1-5)</w:t>
            </w:r>
          </w:p>
        </w:tc>
      </w:tr>
      <w:tr w:rsidR="00621016" w:rsidRPr="00EC326F" w14:paraId="77ED3CE3" w14:textId="77777777" w:rsidTr="009B58B4">
        <w:trPr>
          <w:trHeight w:val="313"/>
        </w:trPr>
        <w:tc>
          <w:tcPr>
            <w:tcW w:w="2376" w:type="dxa"/>
            <w:tcBorders>
              <w:top w:val="nil"/>
              <w:left w:val="nil"/>
              <w:bottom w:val="nil"/>
              <w:right w:val="nil"/>
            </w:tcBorders>
            <w:shd w:val="clear" w:color="auto" w:fill="auto"/>
          </w:tcPr>
          <w:p w14:paraId="5D568215"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shd w:val="clear" w:color="auto" w:fill="auto"/>
            <w:vAlign w:val="center"/>
            <w:hideMark/>
          </w:tcPr>
          <w:p w14:paraId="5AC94F1F" w14:textId="4200EAD9" w:rsidR="00621016" w:rsidRPr="00EC326F" w:rsidRDefault="00621016" w:rsidP="00A82D43">
            <w:pPr>
              <w:pStyle w:val="TableTextSmall"/>
            </w:pPr>
            <w:r w:rsidRPr="00EC326F">
              <w:t xml:space="preserve">Check on primary </w:t>
            </w:r>
            <w:r w:rsidR="00A82D43">
              <w:t>care recipient</w:t>
            </w:r>
            <w:r w:rsidR="00A82D43" w:rsidRPr="00EC326F">
              <w:t xml:space="preserve"> </w:t>
            </w:r>
            <w:r w:rsidRPr="00EC326F">
              <w:t>age, relationship to carers and medical condition category (class 4)</w:t>
            </w:r>
          </w:p>
        </w:tc>
      </w:tr>
      <w:tr w:rsidR="00621016" w:rsidRPr="00EC326F" w14:paraId="5B54630C" w14:textId="77777777" w:rsidTr="009B58B4">
        <w:trPr>
          <w:trHeight w:val="313"/>
        </w:trPr>
        <w:tc>
          <w:tcPr>
            <w:tcW w:w="2376" w:type="dxa"/>
            <w:tcBorders>
              <w:top w:val="nil"/>
              <w:left w:val="nil"/>
              <w:bottom w:val="nil"/>
              <w:right w:val="nil"/>
            </w:tcBorders>
            <w:shd w:val="clear" w:color="auto" w:fill="auto"/>
          </w:tcPr>
          <w:p w14:paraId="6345CE7E"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shd w:val="clear" w:color="auto" w:fill="auto"/>
            <w:vAlign w:val="center"/>
            <w:hideMark/>
          </w:tcPr>
          <w:p w14:paraId="080FA5B2" w14:textId="4D56CD67" w:rsidR="00621016" w:rsidRPr="00EC326F" w:rsidRDefault="00621016" w:rsidP="00A82D43">
            <w:pPr>
              <w:pStyle w:val="TableTextSmall"/>
            </w:pPr>
            <w:r w:rsidRPr="00EC326F">
              <w:t xml:space="preserve">Check on number of adult </w:t>
            </w:r>
            <w:r w:rsidR="00A82D43">
              <w:t>care recipient</w:t>
            </w:r>
            <w:r w:rsidR="00A82D43" w:rsidRPr="00EC326F">
              <w:t xml:space="preserve">s </w:t>
            </w:r>
            <w:r w:rsidRPr="00EC326F">
              <w:t xml:space="preserve">and number of child </w:t>
            </w:r>
            <w:r w:rsidR="00A82D43">
              <w:t>care recipient</w:t>
            </w:r>
            <w:r w:rsidR="00A82D43" w:rsidRPr="00EC326F">
              <w:t xml:space="preserve">s </w:t>
            </w:r>
            <w:r w:rsidRPr="00EC326F">
              <w:t>(class 8)</w:t>
            </w:r>
          </w:p>
        </w:tc>
      </w:tr>
      <w:tr w:rsidR="00621016" w:rsidRPr="00EC326F" w14:paraId="2321D1C4" w14:textId="77777777" w:rsidTr="009B58B4">
        <w:trPr>
          <w:trHeight w:val="313"/>
        </w:trPr>
        <w:tc>
          <w:tcPr>
            <w:tcW w:w="2376" w:type="dxa"/>
            <w:tcBorders>
              <w:top w:val="nil"/>
              <w:left w:val="nil"/>
              <w:bottom w:val="single" w:sz="4" w:space="0" w:color="E0301E"/>
              <w:right w:val="nil"/>
            </w:tcBorders>
            <w:shd w:val="clear" w:color="auto" w:fill="auto"/>
          </w:tcPr>
          <w:p w14:paraId="4F68A4D7"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shd w:val="clear" w:color="auto" w:fill="auto"/>
            <w:vAlign w:val="center"/>
            <w:hideMark/>
          </w:tcPr>
          <w:p w14:paraId="7C88B201" w14:textId="77777777" w:rsidR="00621016" w:rsidRPr="00EC326F" w:rsidRDefault="00621016">
            <w:pPr>
              <w:pStyle w:val="TableTextSmall"/>
            </w:pPr>
            <w:r w:rsidRPr="00EC326F">
              <w:t>Check on DSP medical condition category (class 5)</w:t>
            </w:r>
          </w:p>
        </w:tc>
      </w:tr>
      <w:tr w:rsidR="00621016" w:rsidRPr="00EC326F" w14:paraId="47560391" w14:textId="77777777" w:rsidTr="00621016">
        <w:trPr>
          <w:trHeight w:val="745"/>
        </w:trPr>
        <w:tc>
          <w:tcPr>
            <w:tcW w:w="2376" w:type="dxa"/>
            <w:tcBorders>
              <w:top w:val="single" w:sz="4" w:space="0" w:color="E0301E"/>
              <w:left w:val="nil"/>
              <w:bottom w:val="nil"/>
              <w:right w:val="nil"/>
            </w:tcBorders>
            <w:hideMark/>
          </w:tcPr>
          <w:p w14:paraId="63791A5A" w14:textId="77777777" w:rsidR="00621016" w:rsidRPr="00EC326F" w:rsidRDefault="00621016">
            <w:pPr>
              <w:pStyle w:val="TableTextSmall"/>
              <w:rPr>
                <w:b/>
              </w:rPr>
            </w:pPr>
            <w:r w:rsidRPr="00EC326F">
              <w:rPr>
                <w:b/>
              </w:rPr>
              <w:t>Welfare class movement assumptions</w:t>
            </w:r>
          </w:p>
        </w:tc>
        <w:tc>
          <w:tcPr>
            <w:tcW w:w="7088" w:type="dxa"/>
            <w:tcBorders>
              <w:top w:val="single" w:sz="4" w:space="0" w:color="E0301E"/>
              <w:left w:val="nil"/>
              <w:bottom w:val="single" w:sz="4" w:space="0" w:color="E0301E"/>
              <w:right w:val="nil"/>
            </w:tcBorders>
            <w:vAlign w:val="center"/>
            <w:hideMark/>
          </w:tcPr>
          <w:p w14:paraId="37F4D9D8" w14:textId="77777777" w:rsidR="00621016" w:rsidRPr="00EC326F" w:rsidRDefault="00621016">
            <w:pPr>
              <w:pStyle w:val="TableTextSmall"/>
            </w:pPr>
            <w:r w:rsidRPr="00EC326F">
              <w:t>Check on projected profiles of numbers and proportions of people by class and age</w:t>
            </w:r>
          </w:p>
        </w:tc>
      </w:tr>
      <w:tr w:rsidR="00621016" w:rsidRPr="00EC326F" w14:paraId="749D7BC8" w14:textId="77777777" w:rsidTr="00621016">
        <w:trPr>
          <w:trHeight w:val="313"/>
        </w:trPr>
        <w:tc>
          <w:tcPr>
            <w:tcW w:w="2376" w:type="dxa"/>
            <w:tcBorders>
              <w:top w:val="nil"/>
              <w:left w:val="nil"/>
              <w:bottom w:val="nil"/>
              <w:right w:val="nil"/>
            </w:tcBorders>
          </w:tcPr>
          <w:p w14:paraId="49D3B22F"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vAlign w:val="center"/>
            <w:hideMark/>
          </w:tcPr>
          <w:p w14:paraId="59678D1D" w14:textId="77777777" w:rsidR="00621016" w:rsidRPr="00EC326F" w:rsidRDefault="00621016">
            <w:pPr>
              <w:pStyle w:val="TableTextSmall"/>
            </w:pPr>
            <w:r w:rsidRPr="00EC326F">
              <w:t>Comparison of quality of fit vs. foundation assumptions</w:t>
            </w:r>
          </w:p>
        </w:tc>
      </w:tr>
      <w:tr w:rsidR="00621016" w:rsidRPr="00EC326F" w14:paraId="6B8ED0C0" w14:textId="77777777" w:rsidTr="00621016">
        <w:trPr>
          <w:trHeight w:val="313"/>
        </w:trPr>
        <w:tc>
          <w:tcPr>
            <w:tcW w:w="2376" w:type="dxa"/>
            <w:tcBorders>
              <w:top w:val="nil"/>
              <w:left w:val="nil"/>
              <w:bottom w:val="nil"/>
              <w:right w:val="nil"/>
            </w:tcBorders>
          </w:tcPr>
          <w:p w14:paraId="58A29739"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vAlign w:val="center"/>
            <w:hideMark/>
          </w:tcPr>
          <w:p w14:paraId="70905160" w14:textId="77777777" w:rsidR="00621016" w:rsidRPr="00EC326F" w:rsidRDefault="00621016">
            <w:pPr>
              <w:pStyle w:val="TableTextSmall"/>
            </w:pPr>
            <w:r w:rsidRPr="00EC326F">
              <w:t>Checks on projected numbers of new entrants by class</w:t>
            </w:r>
          </w:p>
        </w:tc>
      </w:tr>
      <w:tr w:rsidR="00621016" w:rsidRPr="00EC326F" w14:paraId="10B49DB1" w14:textId="77777777" w:rsidTr="00621016">
        <w:trPr>
          <w:trHeight w:val="313"/>
        </w:trPr>
        <w:tc>
          <w:tcPr>
            <w:tcW w:w="2376" w:type="dxa"/>
            <w:tcBorders>
              <w:top w:val="nil"/>
              <w:left w:val="nil"/>
              <w:bottom w:val="single" w:sz="4" w:space="0" w:color="E0301E"/>
              <w:right w:val="nil"/>
            </w:tcBorders>
          </w:tcPr>
          <w:p w14:paraId="60EB3FC6"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vAlign w:val="center"/>
            <w:hideMark/>
          </w:tcPr>
          <w:p w14:paraId="3BFA69AB" w14:textId="77777777" w:rsidR="00621016" w:rsidRPr="00EC326F" w:rsidRDefault="00621016">
            <w:pPr>
              <w:pStyle w:val="TableTextSmall"/>
            </w:pPr>
            <w:r w:rsidRPr="00EC326F">
              <w:t>Checks on projected numbers of exits by class</w:t>
            </w:r>
          </w:p>
        </w:tc>
      </w:tr>
      <w:tr w:rsidR="00621016" w:rsidRPr="00EC326F" w14:paraId="1A9532F6" w14:textId="77777777" w:rsidTr="009B58B4">
        <w:trPr>
          <w:trHeight w:val="745"/>
        </w:trPr>
        <w:tc>
          <w:tcPr>
            <w:tcW w:w="2376" w:type="dxa"/>
            <w:tcBorders>
              <w:top w:val="single" w:sz="4" w:space="0" w:color="E0301E"/>
              <w:left w:val="nil"/>
              <w:bottom w:val="nil"/>
              <w:right w:val="nil"/>
            </w:tcBorders>
            <w:shd w:val="clear" w:color="auto" w:fill="auto"/>
            <w:hideMark/>
          </w:tcPr>
          <w:p w14:paraId="7C12373C" w14:textId="77777777" w:rsidR="00621016" w:rsidRPr="00EC326F" w:rsidRDefault="00621016">
            <w:pPr>
              <w:pStyle w:val="TableTextSmall"/>
              <w:rPr>
                <w:b/>
              </w:rPr>
            </w:pPr>
            <w:r w:rsidRPr="00EC326F">
              <w:rPr>
                <w:b/>
              </w:rPr>
              <w:lastRenderedPageBreak/>
              <w:t>Payment category utilisation and size assumptions</w:t>
            </w:r>
          </w:p>
        </w:tc>
        <w:tc>
          <w:tcPr>
            <w:tcW w:w="7088" w:type="dxa"/>
            <w:tcBorders>
              <w:top w:val="single" w:sz="4" w:space="0" w:color="E0301E"/>
              <w:left w:val="nil"/>
              <w:bottom w:val="single" w:sz="4" w:space="0" w:color="E0301E"/>
              <w:right w:val="nil"/>
            </w:tcBorders>
            <w:shd w:val="clear" w:color="auto" w:fill="auto"/>
            <w:vAlign w:val="center"/>
            <w:hideMark/>
          </w:tcPr>
          <w:p w14:paraId="61DDF1E1" w14:textId="77777777" w:rsidR="00621016" w:rsidRPr="00EC326F" w:rsidRDefault="00621016">
            <w:pPr>
              <w:pStyle w:val="TableTextSmall"/>
            </w:pPr>
            <w:r w:rsidRPr="00EC326F">
              <w:t>Checks on selected payment utilisation assumptions for each payment category vs. past experience</w:t>
            </w:r>
          </w:p>
        </w:tc>
      </w:tr>
      <w:tr w:rsidR="00621016" w:rsidRPr="00EC326F" w14:paraId="000BABA6" w14:textId="77777777" w:rsidTr="009B58B4">
        <w:trPr>
          <w:trHeight w:val="529"/>
        </w:trPr>
        <w:tc>
          <w:tcPr>
            <w:tcW w:w="2376" w:type="dxa"/>
            <w:tcBorders>
              <w:top w:val="nil"/>
              <w:left w:val="nil"/>
              <w:bottom w:val="nil"/>
              <w:right w:val="nil"/>
            </w:tcBorders>
            <w:shd w:val="clear" w:color="auto" w:fill="auto"/>
          </w:tcPr>
          <w:p w14:paraId="68D0C242"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shd w:val="clear" w:color="auto" w:fill="auto"/>
            <w:vAlign w:val="center"/>
            <w:hideMark/>
          </w:tcPr>
          <w:p w14:paraId="2BB95557" w14:textId="77777777" w:rsidR="00621016" w:rsidRPr="00EC326F" w:rsidRDefault="00621016">
            <w:pPr>
              <w:pStyle w:val="TableTextSmall"/>
            </w:pPr>
            <w:r w:rsidRPr="00EC326F">
              <w:t>Checks on selected payment size assumptions for each payment category vs. past experience</w:t>
            </w:r>
          </w:p>
        </w:tc>
      </w:tr>
      <w:tr w:rsidR="00621016" w:rsidRPr="00EC326F" w14:paraId="062B7C5A" w14:textId="77777777" w:rsidTr="009B58B4">
        <w:trPr>
          <w:trHeight w:val="313"/>
        </w:trPr>
        <w:tc>
          <w:tcPr>
            <w:tcW w:w="2376" w:type="dxa"/>
            <w:tcBorders>
              <w:top w:val="nil"/>
              <w:left w:val="nil"/>
              <w:bottom w:val="nil"/>
              <w:right w:val="nil"/>
            </w:tcBorders>
            <w:shd w:val="clear" w:color="auto" w:fill="auto"/>
          </w:tcPr>
          <w:p w14:paraId="5AC4A5E4"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shd w:val="clear" w:color="auto" w:fill="auto"/>
            <w:vAlign w:val="center"/>
            <w:hideMark/>
          </w:tcPr>
          <w:p w14:paraId="451D0A93" w14:textId="77777777" w:rsidR="00621016" w:rsidRPr="00EC326F" w:rsidRDefault="00621016">
            <w:pPr>
              <w:pStyle w:val="TableTextSmall"/>
            </w:pPr>
            <w:r w:rsidRPr="00EC326F">
              <w:t>Statistical goodness of fit tests</w:t>
            </w:r>
          </w:p>
        </w:tc>
      </w:tr>
      <w:tr w:rsidR="00621016" w:rsidRPr="00EC326F" w14:paraId="583C6928" w14:textId="77777777" w:rsidTr="009B58B4">
        <w:trPr>
          <w:trHeight w:val="313"/>
        </w:trPr>
        <w:tc>
          <w:tcPr>
            <w:tcW w:w="2376" w:type="dxa"/>
            <w:tcBorders>
              <w:top w:val="nil"/>
              <w:left w:val="nil"/>
              <w:bottom w:val="nil"/>
              <w:right w:val="nil"/>
            </w:tcBorders>
            <w:shd w:val="clear" w:color="auto" w:fill="auto"/>
          </w:tcPr>
          <w:p w14:paraId="4D4E3F18"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shd w:val="clear" w:color="auto" w:fill="auto"/>
            <w:vAlign w:val="center"/>
            <w:hideMark/>
          </w:tcPr>
          <w:p w14:paraId="4DD7509D" w14:textId="77777777" w:rsidR="00621016" w:rsidRPr="00EC326F" w:rsidRDefault="00621016">
            <w:pPr>
              <w:pStyle w:val="TableTextSmall"/>
            </w:pPr>
            <w:r w:rsidRPr="00EC326F">
              <w:t>Comparison of quality of fit vs. foundation assumptions</w:t>
            </w:r>
          </w:p>
        </w:tc>
      </w:tr>
      <w:tr w:rsidR="00621016" w:rsidRPr="00EC326F" w14:paraId="7C762B16" w14:textId="77777777" w:rsidTr="009B58B4">
        <w:trPr>
          <w:trHeight w:val="529"/>
        </w:trPr>
        <w:tc>
          <w:tcPr>
            <w:tcW w:w="2376" w:type="dxa"/>
            <w:tcBorders>
              <w:top w:val="nil"/>
              <w:left w:val="nil"/>
              <w:bottom w:val="single" w:sz="4" w:space="0" w:color="E0301E"/>
              <w:right w:val="nil"/>
            </w:tcBorders>
            <w:shd w:val="clear" w:color="auto" w:fill="auto"/>
          </w:tcPr>
          <w:p w14:paraId="209B005F"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shd w:val="clear" w:color="auto" w:fill="auto"/>
            <w:vAlign w:val="center"/>
            <w:hideMark/>
          </w:tcPr>
          <w:p w14:paraId="7569F202" w14:textId="77777777" w:rsidR="00621016" w:rsidRPr="00EC326F" w:rsidRDefault="00621016">
            <w:pPr>
              <w:pStyle w:val="TableTextSmall"/>
            </w:pPr>
            <w:r w:rsidRPr="00EC326F">
              <w:t>Checks on combined effect of utilisation and size assumptions both vs. past experience and projected</w:t>
            </w:r>
          </w:p>
        </w:tc>
      </w:tr>
      <w:tr w:rsidR="00621016" w:rsidRPr="00EC326F" w14:paraId="72C007F8" w14:textId="77777777" w:rsidTr="00621016">
        <w:trPr>
          <w:trHeight w:val="529"/>
        </w:trPr>
        <w:tc>
          <w:tcPr>
            <w:tcW w:w="2376" w:type="dxa"/>
            <w:tcBorders>
              <w:top w:val="single" w:sz="4" w:space="0" w:color="E0301E"/>
              <w:left w:val="nil"/>
              <w:bottom w:val="single" w:sz="4" w:space="0" w:color="E0301E"/>
              <w:right w:val="nil"/>
            </w:tcBorders>
            <w:hideMark/>
          </w:tcPr>
          <w:p w14:paraId="5C5FEEA4" w14:textId="77777777" w:rsidR="00621016" w:rsidRPr="00EC326F" w:rsidRDefault="00621016">
            <w:pPr>
              <w:pStyle w:val="TableTextSmall"/>
              <w:rPr>
                <w:b/>
              </w:rPr>
            </w:pPr>
            <w:r w:rsidRPr="00EC326F">
              <w:rPr>
                <w:b/>
              </w:rPr>
              <w:t>Indexation assumptions</w:t>
            </w:r>
          </w:p>
        </w:tc>
        <w:tc>
          <w:tcPr>
            <w:tcW w:w="7088" w:type="dxa"/>
            <w:tcBorders>
              <w:top w:val="single" w:sz="4" w:space="0" w:color="E0301E"/>
              <w:left w:val="nil"/>
              <w:bottom w:val="single" w:sz="4" w:space="0" w:color="E0301E"/>
              <w:right w:val="nil"/>
            </w:tcBorders>
            <w:vAlign w:val="center"/>
            <w:hideMark/>
          </w:tcPr>
          <w:p w14:paraId="6752E8F6" w14:textId="77777777" w:rsidR="00621016" w:rsidRPr="00EC326F" w:rsidRDefault="00621016">
            <w:pPr>
              <w:pStyle w:val="TableTextSmall"/>
            </w:pPr>
            <w:r w:rsidRPr="00EC326F">
              <w:t>Checks on application of indexation assumptions</w:t>
            </w:r>
          </w:p>
        </w:tc>
      </w:tr>
      <w:tr w:rsidR="00621016" w:rsidRPr="00EC326F" w14:paraId="69E1273A" w14:textId="77777777" w:rsidTr="009B58B4">
        <w:trPr>
          <w:trHeight w:val="304"/>
        </w:trPr>
        <w:tc>
          <w:tcPr>
            <w:tcW w:w="2376" w:type="dxa"/>
            <w:tcBorders>
              <w:top w:val="single" w:sz="4" w:space="0" w:color="E0301E"/>
              <w:left w:val="nil"/>
              <w:bottom w:val="nil"/>
              <w:right w:val="nil"/>
            </w:tcBorders>
            <w:shd w:val="clear" w:color="auto" w:fill="auto"/>
            <w:hideMark/>
          </w:tcPr>
          <w:p w14:paraId="4BFEB6CB" w14:textId="77777777" w:rsidR="00621016" w:rsidRPr="00EC326F" w:rsidRDefault="00621016">
            <w:pPr>
              <w:pStyle w:val="TableTextSmall"/>
              <w:rPr>
                <w:b/>
              </w:rPr>
            </w:pPr>
            <w:r w:rsidRPr="00EC326F">
              <w:rPr>
                <w:b/>
              </w:rPr>
              <w:t>Results module / overall model</w:t>
            </w:r>
          </w:p>
        </w:tc>
        <w:tc>
          <w:tcPr>
            <w:tcW w:w="7088" w:type="dxa"/>
            <w:tcBorders>
              <w:top w:val="single" w:sz="4" w:space="0" w:color="E0301E"/>
              <w:left w:val="nil"/>
              <w:bottom w:val="single" w:sz="4" w:space="0" w:color="E0301E"/>
              <w:right w:val="nil"/>
            </w:tcBorders>
            <w:shd w:val="clear" w:color="auto" w:fill="auto"/>
            <w:vAlign w:val="center"/>
            <w:hideMark/>
          </w:tcPr>
          <w:p w14:paraId="05B773C6" w14:textId="77777777" w:rsidR="00621016" w:rsidRPr="00EC326F" w:rsidRDefault="00621016">
            <w:pPr>
              <w:rPr>
                <w:rFonts w:ascii="Arial" w:hAnsi="Arial"/>
                <w:color w:val="404040"/>
                <w:sz w:val="16"/>
                <w:szCs w:val="16"/>
              </w:rPr>
            </w:pPr>
            <w:r w:rsidRPr="00EC326F">
              <w:rPr>
                <w:rFonts w:ascii="Arial" w:hAnsi="Arial"/>
                <w:color w:val="404040"/>
                <w:sz w:val="16"/>
                <w:szCs w:val="16"/>
              </w:rPr>
              <w:t>Reconciliation of movements in lifetime cost from June 2015 to June 2016</w:t>
            </w:r>
          </w:p>
        </w:tc>
      </w:tr>
      <w:tr w:rsidR="00621016" w:rsidRPr="00EC326F" w14:paraId="7993ADDC" w14:textId="77777777" w:rsidTr="009B58B4">
        <w:trPr>
          <w:trHeight w:val="480"/>
        </w:trPr>
        <w:tc>
          <w:tcPr>
            <w:tcW w:w="2376" w:type="dxa"/>
            <w:tcBorders>
              <w:top w:val="nil"/>
              <w:left w:val="nil"/>
              <w:bottom w:val="nil"/>
              <w:right w:val="nil"/>
            </w:tcBorders>
            <w:shd w:val="clear" w:color="auto" w:fill="auto"/>
          </w:tcPr>
          <w:p w14:paraId="7DAAD407"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shd w:val="clear" w:color="auto" w:fill="auto"/>
            <w:vAlign w:val="center"/>
            <w:hideMark/>
          </w:tcPr>
          <w:p w14:paraId="1D950954" w14:textId="77777777" w:rsidR="00621016" w:rsidRPr="00EC326F" w:rsidRDefault="00621016">
            <w:pPr>
              <w:pStyle w:val="TableTextSmall"/>
              <w:spacing w:before="20" w:after="20"/>
            </w:pPr>
            <w:r w:rsidRPr="00EC326F">
              <w:t>Comparison between foundation and risk based models and examination of reasons for differences</w:t>
            </w:r>
          </w:p>
        </w:tc>
      </w:tr>
      <w:tr w:rsidR="00621016" w:rsidRPr="00EC326F" w14:paraId="0FF649D8" w14:textId="77777777" w:rsidTr="009B58B4">
        <w:trPr>
          <w:trHeight w:val="313"/>
        </w:trPr>
        <w:tc>
          <w:tcPr>
            <w:tcW w:w="2376" w:type="dxa"/>
            <w:tcBorders>
              <w:top w:val="nil"/>
              <w:left w:val="nil"/>
              <w:bottom w:val="single" w:sz="4" w:space="0" w:color="E0301E"/>
              <w:right w:val="nil"/>
            </w:tcBorders>
            <w:shd w:val="clear" w:color="auto" w:fill="auto"/>
          </w:tcPr>
          <w:p w14:paraId="3181C2AA" w14:textId="77777777" w:rsidR="00621016" w:rsidRPr="00EC326F" w:rsidRDefault="00621016">
            <w:pPr>
              <w:pStyle w:val="TableTextSmall"/>
              <w:rPr>
                <w:b/>
              </w:rPr>
            </w:pPr>
          </w:p>
        </w:tc>
        <w:tc>
          <w:tcPr>
            <w:tcW w:w="7088" w:type="dxa"/>
            <w:tcBorders>
              <w:top w:val="single" w:sz="4" w:space="0" w:color="E0301E"/>
              <w:left w:val="nil"/>
              <w:bottom w:val="single" w:sz="4" w:space="0" w:color="E0301E"/>
              <w:right w:val="nil"/>
            </w:tcBorders>
            <w:shd w:val="clear" w:color="auto" w:fill="auto"/>
            <w:vAlign w:val="center"/>
            <w:hideMark/>
          </w:tcPr>
          <w:p w14:paraId="5A15C368" w14:textId="77777777" w:rsidR="00621016" w:rsidRPr="00EC326F" w:rsidRDefault="00621016">
            <w:pPr>
              <w:pStyle w:val="TableTextSmall"/>
              <w:spacing w:before="20" w:after="20"/>
            </w:pPr>
            <w:r w:rsidRPr="00EC326F">
              <w:t>Sensitivity testing of key assumptions</w:t>
            </w:r>
          </w:p>
        </w:tc>
      </w:tr>
    </w:tbl>
    <w:p w14:paraId="767BADDF" w14:textId="77777777" w:rsidR="00621016" w:rsidRPr="001F61A3" w:rsidRDefault="00621016" w:rsidP="001A4479">
      <w:pPr>
        <w:pStyle w:val="PwCNormal"/>
        <w:numPr>
          <w:ilvl w:val="0"/>
          <w:numId w:val="37"/>
        </w:numPr>
      </w:pPr>
      <w:r w:rsidRPr="00EC326F">
        <w:t xml:space="preserve">All issues identified through these validation processes were investigated and responded to in selecting the final </w:t>
      </w:r>
      <w:r w:rsidRPr="001F61A3">
        <w:t xml:space="preserve">assumptions to use in the model. Where these assumptions differ at an overall level from past observed experience this was as intended and the differences can generally be explained by assumptions selected to reflect past or expected future changes in policy, eligibility criteria or payment levels. </w:t>
      </w:r>
    </w:p>
    <w:p w14:paraId="01CA2C04" w14:textId="77777777" w:rsidR="00621016" w:rsidRPr="001F61A3" w:rsidRDefault="00621016" w:rsidP="00621016">
      <w:pPr>
        <w:pStyle w:val="PwCNormal"/>
        <w:numPr>
          <w:ilvl w:val="0"/>
          <w:numId w:val="0"/>
        </w:numPr>
      </w:pPr>
      <w:r w:rsidRPr="001F61A3">
        <w:t xml:space="preserve">As a final quality control an independent PwC </w:t>
      </w:r>
      <w:r w:rsidR="001F61A3">
        <w:t>a</w:t>
      </w:r>
      <w:r w:rsidR="001F61A3" w:rsidRPr="001F61A3">
        <w:t>ctuary</w:t>
      </w:r>
      <w:r w:rsidRPr="001F61A3">
        <w:t xml:space="preserve"> performed an internal peer review of key elements of the model. </w:t>
      </w:r>
    </w:p>
    <w:p w14:paraId="44074D6D" w14:textId="77777777" w:rsidR="00621016" w:rsidRPr="00EC326F" w:rsidRDefault="00621016" w:rsidP="00621016">
      <w:pPr>
        <w:pStyle w:val="Heading4"/>
      </w:pPr>
      <w:r w:rsidRPr="001F61A3">
        <w:rPr>
          <w:noProof/>
          <w:lang w:eastAsia="en-AU"/>
        </w:rPr>
        <w:drawing>
          <wp:anchor distT="0" distB="0" distL="114300" distR="114300" simplePos="0" relativeHeight="251666432" behindDoc="0" locked="0" layoutInCell="1" allowOverlap="1" wp14:anchorId="7BE79C32" wp14:editId="257F2E62">
            <wp:simplePos x="0" y="0"/>
            <wp:positionH relativeFrom="page">
              <wp:posOffset>5104765</wp:posOffset>
            </wp:positionH>
            <wp:positionV relativeFrom="page">
              <wp:posOffset>7934960</wp:posOffset>
            </wp:positionV>
            <wp:extent cx="2028190" cy="2123440"/>
            <wp:effectExtent l="0" t="0" r="0" b="0"/>
            <wp:wrapNone/>
            <wp:docPr id="3098" name="Picture 3098" descr="Decorative image of a couple walking and holding hands."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corative image of a couple walking and holding hand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28190" cy="2123440"/>
                    </a:xfrm>
                    <a:prstGeom prst="rect">
                      <a:avLst/>
                    </a:prstGeom>
                    <a:noFill/>
                  </pic:spPr>
                </pic:pic>
              </a:graphicData>
            </a:graphic>
            <wp14:sizeRelH relativeFrom="page">
              <wp14:pctWidth>0</wp14:pctWidth>
            </wp14:sizeRelH>
            <wp14:sizeRelV relativeFrom="page">
              <wp14:pctHeight>0</wp14:pctHeight>
            </wp14:sizeRelV>
          </wp:anchor>
        </w:drawing>
      </w:r>
      <w:r w:rsidRPr="001F61A3">
        <w:t>External model validation</w:t>
      </w:r>
    </w:p>
    <w:p w14:paraId="67321C60" w14:textId="77777777" w:rsidR="00595D93" w:rsidRPr="00EC326F" w:rsidRDefault="00621016" w:rsidP="00595D93">
      <w:pPr>
        <w:pStyle w:val="PwCNormal"/>
        <w:numPr>
          <w:ilvl w:val="0"/>
          <w:numId w:val="0"/>
        </w:numPr>
      </w:pPr>
      <w:r w:rsidRPr="00EC326F">
        <w:t>The Department has also engaged the University of Queensland’s (UQ) Institute for Social Science Research (ISSR), in partnership with Deloitte, to validate the first two actuarial valuations in order to gain further assurance around this work.</w:t>
      </w:r>
      <w:r w:rsidR="003E4707">
        <w:t xml:space="preserve"> This work is in progress.</w:t>
      </w:r>
    </w:p>
    <w:p w14:paraId="08776E30" w14:textId="77777777" w:rsidR="0034389F" w:rsidRPr="002A0A1A" w:rsidRDefault="0034389F" w:rsidP="004C748D">
      <w:pPr>
        <w:pStyle w:val="PwCNormal"/>
        <w:numPr>
          <w:ilvl w:val="0"/>
          <w:numId w:val="0"/>
        </w:numPr>
      </w:pPr>
    </w:p>
    <w:p w14:paraId="68CADCB6" w14:textId="77777777" w:rsidR="00843CC2" w:rsidRPr="002A0A1A" w:rsidRDefault="00843CC2" w:rsidP="004C748D">
      <w:pPr>
        <w:pStyle w:val="PwCNormal"/>
        <w:numPr>
          <w:ilvl w:val="0"/>
          <w:numId w:val="0"/>
        </w:numPr>
        <w:sectPr w:rsidR="00843CC2" w:rsidRPr="002A0A1A" w:rsidSect="005714E3">
          <w:headerReference w:type="default" r:id="rId215"/>
          <w:pgSz w:w="11907" w:h="16840" w:code="9"/>
          <w:pgMar w:top="1588" w:right="1021" w:bottom="1418" w:left="1021" w:header="567" w:footer="567" w:gutter="0"/>
          <w:cols w:space="227"/>
          <w:titlePg/>
          <w:docGrid w:linePitch="360"/>
        </w:sectPr>
      </w:pPr>
    </w:p>
    <w:p w14:paraId="49821193" w14:textId="77777777" w:rsidR="0034389F" w:rsidRPr="00EC326F" w:rsidRDefault="0034389F" w:rsidP="0037093B">
      <w:pPr>
        <w:pStyle w:val="Heading2Appendix"/>
      </w:pPr>
      <w:bookmarkStart w:id="873" w:name="_Ref441823535"/>
      <w:bookmarkStart w:id="874" w:name="_Toc455499478"/>
      <w:bookmarkStart w:id="875" w:name="_Toc455502499"/>
      <w:bookmarkStart w:id="876" w:name="_Toc475093850"/>
      <w:r w:rsidRPr="00EC326F">
        <w:lastRenderedPageBreak/>
        <w:t>Model factors</w:t>
      </w:r>
      <w:bookmarkEnd w:id="873"/>
      <w:bookmarkEnd w:id="874"/>
      <w:bookmarkEnd w:id="875"/>
      <w:bookmarkEnd w:id="876"/>
    </w:p>
    <w:p w14:paraId="1DE91DFB" w14:textId="77777777" w:rsidR="001A4479" w:rsidRDefault="001A4479" w:rsidP="001A4479">
      <w:pPr>
        <w:pStyle w:val="PwCNormal"/>
        <w:numPr>
          <w:ilvl w:val="0"/>
          <w:numId w:val="0"/>
        </w:numPr>
        <w:rPr>
          <w:snapToGrid/>
        </w:rPr>
      </w:pPr>
      <w:r>
        <w:t>The tables below summarise the characteristics that are considered within each of the key sets of model assumptions.</w:t>
      </w:r>
    </w:p>
    <w:p w14:paraId="132FD70A" w14:textId="77777777" w:rsidR="00037542" w:rsidRPr="003860F1" w:rsidRDefault="00037542" w:rsidP="00037542">
      <w:pPr>
        <w:pStyle w:val="Majorheading"/>
      </w:pPr>
      <w:r w:rsidRPr="003860F1">
        <w:t>Flow assumptions</w:t>
      </w:r>
    </w:p>
    <w:p w14:paraId="2D595E98" w14:textId="77777777" w:rsidR="00037542" w:rsidRDefault="00037542" w:rsidP="00037542">
      <w:pPr>
        <w:pStyle w:val="Caption"/>
      </w:pPr>
      <w:r w:rsidRPr="003860F1">
        <w:t xml:space="preserve">Table </w:t>
      </w:r>
      <w:fldSimple w:instr=" SEQ Table \* ARABIC ">
        <w:r w:rsidR="007A42DF">
          <w:rPr>
            <w:noProof/>
          </w:rPr>
          <w:t>65</w:t>
        </w:r>
      </w:fldSimple>
      <w:r w:rsidRPr="003860F1">
        <w:t xml:space="preserve">: Factors considered in flow assumptions </w:t>
      </w:r>
    </w:p>
    <w:tbl>
      <w:tblPr>
        <w:tblW w:w="9544" w:type="dxa"/>
        <w:tblInd w:w="108" w:type="dxa"/>
        <w:tblBorders>
          <w:bottom w:val="single" w:sz="4" w:space="0" w:color="E0301E"/>
          <w:insideH w:val="single" w:sz="4" w:space="0" w:color="E0301E"/>
        </w:tblBorders>
        <w:tblLook w:val="04A0" w:firstRow="1" w:lastRow="0" w:firstColumn="1" w:lastColumn="0" w:noHBand="0" w:noVBand="1"/>
        <w:tblCaption w:val="Factors considered in flow assumptions"/>
        <w:tblDescription w:val="This table lists the characteristics used in the flow assumptions in the model. It has five columns reflecting the different flow assumptions – Mortality, Partnering status, Gaining children, Losing children and Education attainment. The left hand side lists 13 characteristics that are taken into account for one or more of these flow assumptions: age, gender, class, previous class, partner status, number of dependent children, age of dependent children, highest level of education attained, duration in current family situation/education level, duration in welfare class/system, place of birth/languages spoken, Indigenous status and primary medical condition.&#10;&#10;The mortality flow assumptions are influenced by age, gender, class, Indigenous status and Primary medical condition.&#10;&#10;For partnering status all of the characteristics except highest level of education attained and primary medical condition are considered.&#10;&#10;For gaining children all of the characteristics except duration in current family situation/education level, duration in welfare class/system and primary medical condition are considered.&#10;&#10;The losing children flow assumptions are influenced by age, gender, partner status and age of dependent children.&#10;&#10;Finally, for education attainment all of the characteristics except primary medical condition are considered.&#10;"/>
      </w:tblPr>
      <w:tblGrid>
        <w:gridCol w:w="4621"/>
        <w:gridCol w:w="960"/>
        <w:gridCol w:w="1017"/>
        <w:gridCol w:w="960"/>
        <w:gridCol w:w="961"/>
        <w:gridCol w:w="1025"/>
      </w:tblGrid>
      <w:tr w:rsidR="00037542" w:rsidRPr="00C20C66" w14:paraId="2CD6D4C9" w14:textId="77777777" w:rsidTr="00874C2C">
        <w:trPr>
          <w:trHeight w:val="554"/>
          <w:tblHeader/>
        </w:trPr>
        <w:tc>
          <w:tcPr>
            <w:tcW w:w="4736" w:type="dxa"/>
            <w:shd w:val="clear" w:color="000000" w:fill="E0301E"/>
            <w:vAlign w:val="center"/>
            <w:hideMark/>
          </w:tcPr>
          <w:p w14:paraId="588EBD64" w14:textId="77777777" w:rsidR="00037542" w:rsidRPr="00C20C66" w:rsidRDefault="00037542" w:rsidP="00037542">
            <w:pPr>
              <w:pStyle w:val="TableColumnHeadingSmall"/>
              <w:rPr>
                <w:snapToGrid/>
                <w:lang w:eastAsia="en-AU"/>
              </w:rPr>
            </w:pPr>
            <w:r w:rsidRPr="00C20C66">
              <w:rPr>
                <w:snapToGrid/>
                <w:lang w:eastAsia="en-AU"/>
              </w:rPr>
              <w:t>Individual Characteristics Used</w:t>
            </w:r>
          </w:p>
        </w:tc>
        <w:tc>
          <w:tcPr>
            <w:tcW w:w="960" w:type="dxa"/>
            <w:shd w:val="clear" w:color="000000" w:fill="E0301E"/>
            <w:vAlign w:val="center"/>
            <w:hideMark/>
          </w:tcPr>
          <w:p w14:paraId="77048CCD" w14:textId="77777777" w:rsidR="00037542" w:rsidRPr="00C20C66" w:rsidRDefault="00037542" w:rsidP="00037542">
            <w:pPr>
              <w:pStyle w:val="TableColumnHeadingSmall"/>
              <w:rPr>
                <w:snapToGrid/>
                <w:lang w:eastAsia="en-AU"/>
              </w:rPr>
            </w:pPr>
            <w:r w:rsidRPr="00C20C66">
              <w:rPr>
                <w:snapToGrid/>
                <w:lang w:eastAsia="en-AU"/>
              </w:rPr>
              <w:t>Mortality</w:t>
            </w:r>
          </w:p>
        </w:tc>
        <w:tc>
          <w:tcPr>
            <w:tcW w:w="960" w:type="dxa"/>
            <w:shd w:val="clear" w:color="000000" w:fill="E0301E"/>
            <w:vAlign w:val="center"/>
            <w:hideMark/>
          </w:tcPr>
          <w:p w14:paraId="049A8EC2" w14:textId="77777777" w:rsidR="00037542" w:rsidRPr="00C20C66" w:rsidRDefault="00037542" w:rsidP="00037542">
            <w:pPr>
              <w:pStyle w:val="TableColumnHeadingSmall"/>
              <w:rPr>
                <w:snapToGrid/>
                <w:lang w:eastAsia="en-AU"/>
              </w:rPr>
            </w:pPr>
            <w:r w:rsidRPr="00C20C66">
              <w:rPr>
                <w:snapToGrid/>
                <w:lang w:eastAsia="en-AU"/>
              </w:rPr>
              <w:t>Partnering status</w:t>
            </w:r>
          </w:p>
        </w:tc>
        <w:tc>
          <w:tcPr>
            <w:tcW w:w="960" w:type="dxa"/>
            <w:shd w:val="clear" w:color="000000" w:fill="E0301E"/>
            <w:vAlign w:val="center"/>
            <w:hideMark/>
          </w:tcPr>
          <w:p w14:paraId="38636CBD" w14:textId="77777777" w:rsidR="00037542" w:rsidRPr="00C20C66" w:rsidRDefault="00037542" w:rsidP="00037542">
            <w:pPr>
              <w:pStyle w:val="TableColumnHeadingSmall"/>
              <w:rPr>
                <w:snapToGrid/>
                <w:lang w:eastAsia="en-AU"/>
              </w:rPr>
            </w:pPr>
            <w:r w:rsidRPr="00C20C66">
              <w:rPr>
                <w:snapToGrid/>
                <w:lang w:eastAsia="en-AU"/>
              </w:rPr>
              <w:t>Gaining children</w:t>
            </w:r>
          </w:p>
        </w:tc>
        <w:tc>
          <w:tcPr>
            <w:tcW w:w="964" w:type="dxa"/>
            <w:shd w:val="clear" w:color="000000" w:fill="E0301E"/>
            <w:vAlign w:val="center"/>
          </w:tcPr>
          <w:p w14:paraId="594F5458" w14:textId="77777777" w:rsidR="00037542" w:rsidRPr="00C20C66" w:rsidRDefault="00037542" w:rsidP="00037542">
            <w:pPr>
              <w:pStyle w:val="TableColumnHeadingSmall"/>
              <w:rPr>
                <w:snapToGrid/>
                <w:lang w:eastAsia="en-AU"/>
              </w:rPr>
            </w:pPr>
            <w:r>
              <w:rPr>
                <w:snapToGrid/>
                <w:lang w:eastAsia="en-AU"/>
              </w:rPr>
              <w:t>Losing Children</w:t>
            </w:r>
          </w:p>
        </w:tc>
        <w:tc>
          <w:tcPr>
            <w:tcW w:w="964" w:type="dxa"/>
            <w:shd w:val="clear" w:color="000000" w:fill="E0301E"/>
            <w:vAlign w:val="center"/>
            <w:hideMark/>
          </w:tcPr>
          <w:p w14:paraId="53638AF6" w14:textId="77777777" w:rsidR="00037542" w:rsidRPr="00C20C66" w:rsidRDefault="00037542" w:rsidP="00037542">
            <w:pPr>
              <w:pStyle w:val="TableColumnHeadingSmall"/>
              <w:rPr>
                <w:snapToGrid/>
                <w:lang w:eastAsia="en-AU"/>
              </w:rPr>
            </w:pPr>
            <w:r w:rsidRPr="00C20C66">
              <w:rPr>
                <w:snapToGrid/>
                <w:lang w:eastAsia="en-AU"/>
              </w:rPr>
              <w:t>Education attainment</w:t>
            </w:r>
          </w:p>
        </w:tc>
      </w:tr>
      <w:tr w:rsidR="00037542" w:rsidRPr="00C20C66" w14:paraId="1F7A7F4B" w14:textId="77777777" w:rsidTr="00037542">
        <w:trPr>
          <w:trHeight w:val="300"/>
        </w:trPr>
        <w:tc>
          <w:tcPr>
            <w:tcW w:w="4736" w:type="dxa"/>
            <w:shd w:val="clear" w:color="auto" w:fill="auto"/>
            <w:vAlign w:val="center"/>
            <w:hideMark/>
          </w:tcPr>
          <w:p w14:paraId="48ADFF8E"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Age</w:t>
            </w:r>
          </w:p>
        </w:tc>
        <w:tc>
          <w:tcPr>
            <w:tcW w:w="960" w:type="dxa"/>
            <w:shd w:val="clear" w:color="auto" w:fill="auto"/>
            <w:noWrap/>
            <w:vAlign w:val="center"/>
            <w:hideMark/>
          </w:tcPr>
          <w:p w14:paraId="5631D0F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502965A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5F2E533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vAlign w:val="center"/>
          </w:tcPr>
          <w:p w14:paraId="0F3A8B9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shd w:val="clear" w:color="auto" w:fill="auto"/>
            <w:noWrap/>
            <w:vAlign w:val="center"/>
            <w:hideMark/>
          </w:tcPr>
          <w:p w14:paraId="540A054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53929854" w14:textId="77777777" w:rsidTr="00037542">
        <w:trPr>
          <w:trHeight w:val="300"/>
        </w:trPr>
        <w:tc>
          <w:tcPr>
            <w:tcW w:w="4736" w:type="dxa"/>
            <w:shd w:val="clear" w:color="auto" w:fill="auto"/>
            <w:vAlign w:val="center"/>
            <w:hideMark/>
          </w:tcPr>
          <w:p w14:paraId="397220AF"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Gender</w:t>
            </w:r>
          </w:p>
        </w:tc>
        <w:tc>
          <w:tcPr>
            <w:tcW w:w="960" w:type="dxa"/>
            <w:shd w:val="clear" w:color="auto" w:fill="auto"/>
            <w:noWrap/>
            <w:vAlign w:val="center"/>
            <w:hideMark/>
          </w:tcPr>
          <w:p w14:paraId="6A5CBB8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02922D3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3CDD594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vAlign w:val="center"/>
          </w:tcPr>
          <w:p w14:paraId="12B7629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shd w:val="clear" w:color="auto" w:fill="auto"/>
            <w:noWrap/>
            <w:vAlign w:val="center"/>
            <w:hideMark/>
          </w:tcPr>
          <w:p w14:paraId="204D611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378C3938" w14:textId="77777777" w:rsidTr="00037542">
        <w:trPr>
          <w:trHeight w:val="300"/>
        </w:trPr>
        <w:tc>
          <w:tcPr>
            <w:tcW w:w="4736" w:type="dxa"/>
            <w:shd w:val="clear" w:color="auto" w:fill="auto"/>
            <w:vAlign w:val="center"/>
            <w:hideMark/>
          </w:tcPr>
          <w:p w14:paraId="39EABAB6"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Class</w:t>
            </w:r>
          </w:p>
        </w:tc>
        <w:tc>
          <w:tcPr>
            <w:tcW w:w="960" w:type="dxa"/>
            <w:shd w:val="clear" w:color="auto" w:fill="auto"/>
            <w:noWrap/>
            <w:vAlign w:val="center"/>
            <w:hideMark/>
          </w:tcPr>
          <w:p w14:paraId="7D09BD0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79A6428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7A535F3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vAlign w:val="center"/>
          </w:tcPr>
          <w:p w14:paraId="6B783B3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shd w:val="clear" w:color="auto" w:fill="auto"/>
            <w:noWrap/>
            <w:vAlign w:val="center"/>
            <w:hideMark/>
          </w:tcPr>
          <w:p w14:paraId="7E84610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6D66C177" w14:textId="77777777" w:rsidTr="00037542">
        <w:trPr>
          <w:trHeight w:val="300"/>
        </w:trPr>
        <w:tc>
          <w:tcPr>
            <w:tcW w:w="4736" w:type="dxa"/>
            <w:shd w:val="clear" w:color="auto" w:fill="auto"/>
            <w:vAlign w:val="center"/>
            <w:hideMark/>
          </w:tcPr>
          <w:p w14:paraId="197BD8D0"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Previous class</w:t>
            </w:r>
          </w:p>
        </w:tc>
        <w:tc>
          <w:tcPr>
            <w:tcW w:w="960" w:type="dxa"/>
            <w:shd w:val="clear" w:color="auto" w:fill="auto"/>
            <w:noWrap/>
            <w:vAlign w:val="center"/>
            <w:hideMark/>
          </w:tcPr>
          <w:p w14:paraId="3F39514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0" w:type="dxa"/>
            <w:shd w:val="clear" w:color="auto" w:fill="auto"/>
            <w:noWrap/>
            <w:vAlign w:val="center"/>
            <w:hideMark/>
          </w:tcPr>
          <w:p w14:paraId="14EF964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46646C2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vAlign w:val="center"/>
          </w:tcPr>
          <w:p w14:paraId="15959F2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shd w:val="clear" w:color="auto" w:fill="auto"/>
            <w:noWrap/>
            <w:vAlign w:val="center"/>
            <w:hideMark/>
          </w:tcPr>
          <w:p w14:paraId="28089C7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0FFE7786" w14:textId="77777777" w:rsidTr="00037542">
        <w:trPr>
          <w:trHeight w:val="300"/>
        </w:trPr>
        <w:tc>
          <w:tcPr>
            <w:tcW w:w="4736" w:type="dxa"/>
            <w:shd w:val="clear" w:color="auto" w:fill="auto"/>
            <w:vAlign w:val="center"/>
            <w:hideMark/>
          </w:tcPr>
          <w:p w14:paraId="1A18DC55"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Partner status</w:t>
            </w:r>
          </w:p>
        </w:tc>
        <w:tc>
          <w:tcPr>
            <w:tcW w:w="960" w:type="dxa"/>
            <w:shd w:val="clear" w:color="auto" w:fill="auto"/>
            <w:noWrap/>
            <w:vAlign w:val="center"/>
            <w:hideMark/>
          </w:tcPr>
          <w:p w14:paraId="46C9642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0" w:type="dxa"/>
            <w:shd w:val="clear" w:color="auto" w:fill="auto"/>
            <w:noWrap/>
            <w:vAlign w:val="center"/>
            <w:hideMark/>
          </w:tcPr>
          <w:p w14:paraId="3713D34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0E9D43F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vAlign w:val="center"/>
          </w:tcPr>
          <w:p w14:paraId="4244B67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shd w:val="clear" w:color="auto" w:fill="auto"/>
            <w:noWrap/>
            <w:vAlign w:val="center"/>
            <w:hideMark/>
          </w:tcPr>
          <w:p w14:paraId="6118D05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14E46BDA" w14:textId="77777777" w:rsidTr="00037542">
        <w:trPr>
          <w:trHeight w:val="300"/>
        </w:trPr>
        <w:tc>
          <w:tcPr>
            <w:tcW w:w="4736" w:type="dxa"/>
            <w:shd w:val="clear" w:color="auto" w:fill="auto"/>
            <w:vAlign w:val="center"/>
            <w:hideMark/>
          </w:tcPr>
          <w:p w14:paraId="303C0D32"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Number of dependent children</w:t>
            </w:r>
          </w:p>
        </w:tc>
        <w:tc>
          <w:tcPr>
            <w:tcW w:w="960" w:type="dxa"/>
            <w:shd w:val="clear" w:color="auto" w:fill="auto"/>
            <w:noWrap/>
            <w:vAlign w:val="center"/>
            <w:hideMark/>
          </w:tcPr>
          <w:p w14:paraId="0AD315E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0" w:type="dxa"/>
            <w:shd w:val="clear" w:color="auto" w:fill="auto"/>
            <w:noWrap/>
            <w:vAlign w:val="center"/>
            <w:hideMark/>
          </w:tcPr>
          <w:p w14:paraId="5EFAFCA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5DBA868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vAlign w:val="center"/>
          </w:tcPr>
          <w:p w14:paraId="57C8B5C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shd w:val="clear" w:color="auto" w:fill="auto"/>
            <w:noWrap/>
            <w:vAlign w:val="center"/>
            <w:hideMark/>
          </w:tcPr>
          <w:p w14:paraId="49F3468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1F202A4F" w14:textId="77777777" w:rsidTr="00037542">
        <w:trPr>
          <w:trHeight w:val="300"/>
        </w:trPr>
        <w:tc>
          <w:tcPr>
            <w:tcW w:w="4736" w:type="dxa"/>
            <w:shd w:val="clear" w:color="auto" w:fill="auto"/>
            <w:vAlign w:val="center"/>
            <w:hideMark/>
          </w:tcPr>
          <w:p w14:paraId="1A0A4B63"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Age of dependent children</w:t>
            </w:r>
          </w:p>
        </w:tc>
        <w:tc>
          <w:tcPr>
            <w:tcW w:w="960" w:type="dxa"/>
            <w:shd w:val="clear" w:color="auto" w:fill="auto"/>
            <w:noWrap/>
            <w:vAlign w:val="center"/>
            <w:hideMark/>
          </w:tcPr>
          <w:p w14:paraId="17FAC97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0" w:type="dxa"/>
            <w:shd w:val="clear" w:color="auto" w:fill="auto"/>
            <w:noWrap/>
            <w:vAlign w:val="center"/>
            <w:hideMark/>
          </w:tcPr>
          <w:p w14:paraId="0B10A6E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18E0251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vAlign w:val="center"/>
          </w:tcPr>
          <w:p w14:paraId="69FAD0A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shd w:val="clear" w:color="auto" w:fill="auto"/>
            <w:noWrap/>
            <w:vAlign w:val="center"/>
            <w:hideMark/>
          </w:tcPr>
          <w:p w14:paraId="5623311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5974CD38" w14:textId="77777777" w:rsidTr="00037542">
        <w:trPr>
          <w:trHeight w:val="300"/>
        </w:trPr>
        <w:tc>
          <w:tcPr>
            <w:tcW w:w="4736" w:type="dxa"/>
            <w:shd w:val="clear" w:color="auto" w:fill="auto"/>
            <w:vAlign w:val="center"/>
            <w:hideMark/>
          </w:tcPr>
          <w:p w14:paraId="3003ED72"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Highest level of education attained</w:t>
            </w:r>
          </w:p>
        </w:tc>
        <w:tc>
          <w:tcPr>
            <w:tcW w:w="960" w:type="dxa"/>
            <w:shd w:val="clear" w:color="auto" w:fill="auto"/>
            <w:noWrap/>
            <w:vAlign w:val="center"/>
            <w:hideMark/>
          </w:tcPr>
          <w:p w14:paraId="21B8F29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0" w:type="dxa"/>
            <w:shd w:val="clear" w:color="auto" w:fill="auto"/>
            <w:noWrap/>
            <w:vAlign w:val="center"/>
            <w:hideMark/>
          </w:tcPr>
          <w:p w14:paraId="4F3FBCA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5B357A8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vAlign w:val="center"/>
          </w:tcPr>
          <w:p w14:paraId="2DA9A24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shd w:val="clear" w:color="auto" w:fill="auto"/>
            <w:noWrap/>
            <w:vAlign w:val="center"/>
            <w:hideMark/>
          </w:tcPr>
          <w:p w14:paraId="5FC3111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64DC8CB3" w14:textId="77777777" w:rsidTr="00037542">
        <w:trPr>
          <w:trHeight w:val="312"/>
        </w:trPr>
        <w:tc>
          <w:tcPr>
            <w:tcW w:w="4736" w:type="dxa"/>
            <w:shd w:val="clear" w:color="auto" w:fill="auto"/>
            <w:vAlign w:val="center"/>
            <w:hideMark/>
          </w:tcPr>
          <w:p w14:paraId="70F1B9F4"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Duration in current family situation / education level</w:t>
            </w:r>
          </w:p>
        </w:tc>
        <w:tc>
          <w:tcPr>
            <w:tcW w:w="960" w:type="dxa"/>
            <w:shd w:val="clear" w:color="auto" w:fill="auto"/>
            <w:noWrap/>
            <w:vAlign w:val="center"/>
            <w:hideMark/>
          </w:tcPr>
          <w:p w14:paraId="0477B2F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0" w:type="dxa"/>
            <w:shd w:val="clear" w:color="auto" w:fill="auto"/>
            <w:noWrap/>
            <w:vAlign w:val="center"/>
            <w:hideMark/>
          </w:tcPr>
          <w:p w14:paraId="7F1961C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0" w:type="dxa"/>
            <w:shd w:val="clear" w:color="auto" w:fill="auto"/>
            <w:noWrap/>
            <w:vAlign w:val="center"/>
            <w:hideMark/>
          </w:tcPr>
          <w:p w14:paraId="0BC9FEE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vAlign w:val="center"/>
          </w:tcPr>
          <w:p w14:paraId="5F444FC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shd w:val="clear" w:color="auto" w:fill="auto"/>
            <w:noWrap/>
            <w:vAlign w:val="center"/>
            <w:hideMark/>
          </w:tcPr>
          <w:p w14:paraId="5AB4CAF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146879DF" w14:textId="77777777" w:rsidTr="00037542">
        <w:trPr>
          <w:trHeight w:val="300"/>
        </w:trPr>
        <w:tc>
          <w:tcPr>
            <w:tcW w:w="4736" w:type="dxa"/>
            <w:shd w:val="clear" w:color="auto" w:fill="auto"/>
            <w:vAlign w:val="center"/>
            <w:hideMark/>
          </w:tcPr>
          <w:p w14:paraId="7C0E96BA"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Duration in welfare class / system</w:t>
            </w:r>
          </w:p>
        </w:tc>
        <w:tc>
          <w:tcPr>
            <w:tcW w:w="960" w:type="dxa"/>
            <w:shd w:val="clear" w:color="auto" w:fill="auto"/>
            <w:noWrap/>
            <w:vAlign w:val="center"/>
            <w:hideMark/>
          </w:tcPr>
          <w:p w14:paraId="56B9466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0" w:type="dxa"/>
            <w:shd w:val="clear" w:color="auto" w:fill="auto"/>
            <w:noWrap/>
            <w:vAlign w:val="center"/>
            <w:hideMark/>
          </w:tcPr>
          <w:p w14:paraId="1CCE6F0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36862D5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vAlign w:val="center"/>
          </w:tcPr>
          <w:p w14:paraId="54856B1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shd w:val="clear" w:color="auto" w:fill="auto"/>
            <w:noWrap/>
            <w:vAlign w:val="center"/>
            <w:hideMark/>
          </w:tcPr>
          <w:p w14:paraId="1D6A5C6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1B139FDD" w14:textId="77777777" w:rsidTr="00037542">
        <w:trPr>
          <w:trHeight w:val="300"/>
        </w:trPr>
        <w:tc>
          <w:tcPr>
            <w:tcW w:w="4736" w:type="dxa"/>
            <w:shd w:val="clear" w:color="auto" w:fill="auto"/>
            <w:vAlign w:val="center"/>
            <w:hideMark/>
          </w:tcPr>
          <w:p w14:paraId="0718234D"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Place of Birth / Languages Spoken</w:t>
            </w:r>
          </w:p>
        </w:tc>
        <w:tc>
          <w:tcPr>
            <w:tcW w:w="960" w:type="dxa"/>
            <w:shd w:val="clear" w:color="auto" w:fill="auto"/>
            <w:noWrap/>
            <w:vAlign w:val="center"/>
            <w:hideMark/>
          </w:tcPr>
          <w:p w14:paraId="440EF8C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0" w:type="dxa"/>
            <w:shd w:val="clear" w:color="auto" w:fill="auto"/>
            <w:noWrap/>
            <w:vAlign w:val="center"/>
            <w:hideMark/>
          </w:tcPr>
          <w:p w14:paraId="0D6B69F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6CCC5FD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vAlign w:val="center"/>
          </w:tcPr>
          <w:p w14:paraId="7785059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shd w:val="clear" w:color="auto" w:fill="auto"/>
            <w:noWrap/>
            <w:vAlign w:val="center"/>
            <w:hideMark/>
          </w:tcPr>
          <w:p w14:paraId="4534F12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5F01FDB7" w14:textId="77777777" w:rsidTr="00037542">
        <w:trPr>
          <w:trHeight w:val="300"/>
        </w:trPr>
        <w:tc>
          <w:tcPr>
            <w:tcW w:w="4736" w:type="dxa"/>
            <w:shd w:val="clear" w:color="auto" w:fill="auto"/>
            <w:vAlign w:val="center"/>
            <w:hideMark/>
          </w:tcPr>
          <w:p w14:paraId="5AE89416"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Indigenous status</w:t>
            </w:r>
          </w:p>
        </w:tc>
        <w:tc>
          <w:tcPr>
            <w:tcW w:w="960" w:type="dxa"/>
            <w:shd w:val="clear" w:color="auto" w:fill="auto"/>
            <w:noWrap/>
            <w:vAlign w:val="center"/>
            <w:hideMark/>
          </w:tcPr>
          <w:p w14:paraId="2785EFA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584897F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73FAA99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vAlign w:val="center"/>
          </w:tcPr>
          <w:p w14:paraId="7248A49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shd w:val="clear" w:color="auto" w:fill="auto"/>
            <w:noWrap/>
            <w:vAlign w:val="center"/>
            <w:hideMark/>
          </w:tcPr>
          <w:p w14:paraId="67DE878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20C66" w14:paraId="3C078416" w14:textId="77777777" w:rsidTr="00037542">
        <w:trPr>
          <w:trHeight w:val="300"/>
        </w:trPr>
        <w:tc>
          <w:tcPr>
            <w:tcW w:w="4736" w:type="dxa"/>
            <w:shd w:val="clear" w:color="auto" w:fill="auto"/>
            <w:vAlign w:val="center"/>
            <w:hideMark/>
          </w:tcPr>
          <w:p w14:paraId="6A6F2DBE"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Primary medical condition</w:t>
            </w:r>
          </w:p>
        </w:tc>
        <w:tc>
          <w:tcPr>
            <w:tcW w:w="960" w:type="dxa"/>
            <w:shd w:val="clear" w:color="auto" w:fill="auto"/>
            <w:noWrap/>
            <w:vAlign w:val="center"/>
            <w:hideMark/>
          </w:tcPr>
          <w:p w14:paraId="463AD12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0" w:type="dxa"/>
            <w:shd w:val="clear" w:color="auto" w:fill="auto"/>
            <w:noWrap/>
            <w:vAlign w:val="center"/>
            <w:hideMark/>
          </w:tcPr>
          <w:p w14:paraId="59778E8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0" w:type="dxa"/>
            <w:shd w:val="clear" w:color="auto" w:fill="auto"/>
            <w:noWrap/>
            <w:vAlign w:val="center"/>
            <w:hideMark/>
          </w:tcPr>
          <w:p w14:paraId="5AA4A3F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vAlign w:val="center"/>
          </w:tcPr>
          <w:p w14:paraId="793243E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64" w:type="dxa"/>
            <w:shd w:val="clear" w:color="auto" w:fill="auto"/>
            <w:noWrap/>
            <w:vAlign w:val="center"/>
            <w:hideMark/>
          </w:tcPr>
          <w:p w14:paraId="18637EE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bl>
    <w:p w14:paraId="07630D9F" w14:textId="77777777" w:rsidR="00037542" w:rsidRPr="008856B6" w:rsidRDefault="00037542" w:rsidP="00037542">
      <w:pPr>
        <w:pStyle w:val="Majorheading"/>
      </w:pPr>
      <w:r w:rsidRPr="008856B6">
        <w:t>Class movement assumptions</w:t>
      </w:r>
    </w:p>
    <w:p w14:paraId="7E0E4721" w14:textId="77777777" w:rsidR="00037542" w:rsidRDefault="00037542" w:rsidP="00037542">
      <w:pPr>
        <w:pStyle w:val="Caption"/>
      </w:pPr>
      <w:r w:rsidRPr="008856B6">
        <w:t xml:space="preserve">Table </w:t>
      </w:r>
      <w:fldSimple w:instr=" SEQ Table \* ARABIC ">
        <w:r w:rsidR="007A42DF">
          <w:rPr>
            <w:noProof/>
          </w:rPr>
          <w:t>66</w:t>
        </w:r>
      </w:fldSimple>
      <w:r w:rsidRPr="008856B6">
        <w:t>: Factors considered in class movement assumptions</w:t>
      </w:r>
      <w:r>
        <w:t xml:space="preserve"> for Classes 1-6</w:t>
      </w:r>
      <w:r w:rsidRPr="008856B6">
        <w:t xml:space="preserve"> </w:t>
      </w:r>
    </w:p>
    <w:tbl>
      <w:tblPr>
        <w:tblW w:w="9673" w:type="dxa"/>
        <w:tblInd w:w="108" w:type="dxa"/>
        <w:tblLook w:val="04A0" w:firstRow="1" w:lastRow="0" w:firstColumn="1" w:lastColumn="0" w:noHBand="0" w:noVBand="1"/>
        <w:tblCaption w:val="Factors considered in class movement assumptions for Classes 1-6 "/>
        <w:tblDescription w:val="This table lists the characteristics used in class movement assumptions for Classes 1 to 6, that is, the movement from one welfare class to another. Across the top are listed columns for the six welfare categories: studying, working age, parents, carers, disability support and pension age. The left hand side lists 16 characteristics that are taken into account for one or more of these class movement assumptions: age, gender, class, previous class, partner status, number of dependent children, age of dependent children, highest level of education attained, duration in welfare class/system, place of birth/languages spoken, Indigenous status, previous welfare utilization, earnings indicator, payment type, care recipient information and primary medical condition.&#10;&#10;For the studying welfare class, all factors are considered except place of birth/languages spoken, care recipient information and primary medical condition.&#10;&#10;For the working age class, all factors except Indigenous status, care recipient information and primary medical condition are considered.&#10; &#10;For the Parents class, all factors except highest level of education attained, Indigenous status, care recipient information and primary medical condition are considered.&#10;&#10;For the Carers class, all factors except highest level of education attained, payment type, care recipient information and primary medical condition are considered.&#10;&#10;The disability support class considers age, gender, class, previous class, partner status, duration in welfare class/system, place of birth/language spoken, previous welfare utilization, earnings indicator and primary medical condition.&#10;&#10;The pension age class movement assumptions consider only age, gender and class.&#10;"/>
      </w:tblPr>
      <w:tblGrid>
        <w:gridCol w:w="3427"/>
        <w:gridCol w:w="1041"/>
        <w:gridCol w:w="1041"/>
        <w:gridCol w:w="1041"/>
        <w:gridCol w:w="1041"/>
        <w:gridCol w:w="1041"/>
        <w:gridCol w:w="1041"/>
      </w:tblGrid>
      <w:tr w:rsidR="00037542" w:rsidRPr="00C20C66" w14:paraId="740536D9" w14:textId="77777777" w:rsidTr="005A6F29">
        <w:trPr>
          <w:trHeight w:val="450"/>
          <w:tblHeader/>
        </w:trPr>
        <w:tc>
          <w:tcPr>
            <w:tcW w:w="3427" w:type="dxa"/>
            <w:tcBorders>
              <w:left w:val="nil"/>
              <w:right w:val="nil"/>
            </w:tcBorders>
            <w:shd w:val="clear" w:color="000000" w:fill="E0301E"/>
            <w:vAlign w:val="center"/>
            <w:hideMark/>
          </w:tcPr>
          <w:p w14:paraId="36549791" w14:textId="44E19603" w:rsidR="00037542" w:rsidRPr="00C20C66" w:rsidRDefault="00083E99" w:rsidP="00037542">
            <w:pPr>
              <w:pStyle w:val="TableColumnHeadingSmall"/>
              <w:rPr>
                <w:snapToGrid/>
                <w:lang w:eastAsia="en-AU"/>
              </w:rPr>
            </w:pPr>
            <w:r>
              <w:rPr>
                <w:snapToGrid/>
                <w:lang w:eastAsia="en-AU"/>
              </w:rPr>
              <w:t>Individual Characteristics Used</w:t>
            </w:r>
          </w:p>
        </w:tc>
        <w:tc>
          <w:tcPr>
            <w:tcW w:w="1041" w:type="dxa"/>
            <w:tcBorders>
              <w:top w:val="nil"/>
              <w:left w:val="nil"/>
              <w:right w:val="nil"/>
            </w:tcBorders>
            <w:shd w:val="clear" w:color="000000" w:fill="E0301E"/>
            <w:hideMark/>
          </w:tcPr>
          <w:p w14:paraId="1224953A" w14:textId="1A69F89B" w:rsidR="00083E99" w:rsidRDefault="00083E99" w:rsidP="00037542">
            <w:pPr>
              <w:pStyle w:val="TableColumnHeadingSmall"/>
              <w:jc w:val="center"/>
              <w:rPr>
                <w:snapToGrid/>
                <w:lang w:eastAsia="en-AU"/>
              </w:rPr>
            </w:pPr>
            <w:r>
              <w:rPr>
                <w:snapToGrid/>
                <w:lang w:eastAsia="en-AU"/>
              </w:rPr>
              <w:t>1</w:t>
            </w:r>
          </w:p>
          <w:p w14:paraId="664755AA" w14:textId="207D89BF" w:rsidR="00037542" w:rsidRPr="00C20C66" w:rsidRDefault="00037542" w:rsidP="00037542">
            <w:pPr>
              <w:pStyle w:val="TableColumnHeadingSmall"/>
              <w:jc w:val="center"/>
              <w:rPr>
                <w:snapToGrid/>
                <w:lang w:eastAsia="en-AU"/>
              </w:rPr>
            </w:pPr>
            <w:r w:rsidRPr="00C20C66">
              <w:rPr>
                <w:snapToGrid/>
                <w:lang w:eastAsia="en-AU"/>
              </w:rPr>
              <w:t>Studying</w:t>
            </w:r>
          </w:p>
        </w:tc>
        <w:tc>
          <w:tcPr>
            <w:tcW w:w="1041" w:type="dxa"/>
            <w:tcBorders>
              <w:top w:val="nil"/>
              <w:left w:val="nil"/>
              <w:right w:val="nil"/>
            </w:tcBorders>
            <w:shd w:val="clear" w:color="000000" w:fill="E0301E"/>
            <w:hideMark/>
          </w:tcPr>
          <w:p w14:paraId="0D5831F2" w14:textId="77777777" w:rsidR="00083E99" w:rsidRDefault="00083E99" w:rsidP="00083E99">
            <w:pPr>
              <w:pStyle w:val="TableColumnHeadingSmall"/>
              <w:jc w:val="center"/>
              <w:rPr>
                <w:snapToGrid/>
                <w:lang w:eastAsia="en-AU"/>
              </w:rPr>
            </w:pPr>
            <w:r>
              <w:rPr>
                <w:snapToGrid/>
                <w:lang w:eastAsia="en-AU"/>
              </w:rPr>
              <w:t>2</w:t>
            </w:r>
          </w:p>
          <w:p w14:paraId="59AE393E" w14:textId="0B80C238" w:rsidR="00037542" w:rsidRPr="00C20C66" w:rsidRDefault="00037542" w:rsidP="00083E99">
            <w:pPr>
              <w:pStyle w:val="TableColumnHeadingSmall"/>
              <w:jc w:val="center"/>
              <w:rPr>
                <w:snapToGrid/>
                <w:lang w:eastAsia="en-AU"/>
              </w:rPr>
            </w:pPr>
            <w:r w:rsidRPr="00C20C66">
              <w:rPr>
                <w:snapToGrid/>
                <w:lang w:eastAsia="en-AU"/>
              </w:rPr>
              <w:t>Working Age</w:t>
            </w:r>
          </w:p>
        </w:tc>
        <w:tc>
          <w:tcPr>
            <w:tcW w:w="1041" w:type="dxa"/>
            <w:tcBorders>
              <w:top w:val="nil"/>
              <w:left w:val="nil"/>
              <w:right w:val="nil"/>
            </w:tcBorders>
            <w:shd w:val="clear" w:color="000000" w:fill="E0301E"/>
            <w:hideMark/>
          </w:tcPr>
          <w:p w14:paraId="4A18D40E" w14:textId="77777777" w:rsidR="00083E99" w:rsidRDefault="00083E99" w:rsidP="00083E99">
            <w:pPr>
              <w:pStyle w:val="TableColumnHeadingSmall"/>
              <w:jc w:val="center"/>
              <w:rPr>
                <w:snapToGrid/>
                <w:lang w:eastAsia="en-AU"/>
              </w:rPr>
            </w:pPr>
            <w:r>
              <w:rPr>
                <w:snapToGrid/>
                <w:lang w:eastAsia="en-AU"/>
              </w:rPr>
              <w:t>3</w:t>
            </w:r>
          </w:p>
          <w:p w14:paraId="0BD6DB3D" w14:textId="358C052A" w:rsidR="00037542" w:rsidRPr="00C20C66" w:rsidRDefault="00037542" w:rsidP="00083E99">
            <w:pPr>
              <w:pStyle w:val="TableColumnHeadingSmall"/>
              <w:jc w:val="center"/>
              <w:rPr>
                <w:snapToGrid/>
                <w:lang w:eastAsia="en-AU"/>
              </w:rPr>
            </w:pPr>
            <w:r w:rsidRPr="00C20C66">
              <w:rPr>
                <w:snapToGrid/>
                <w:lang w:eastAsia="en-AU"/>
              </w:rPr>
              <w:t>Parents</w:t>
            </w:r>
          </w:p>
        </w:tc>
        <w:tc>
          <w:tcPr>
            <w:tcW w:w="1041" w:type="dxa"/>
            <w:tcBorders>
              <w:top w:val="nil"/>
              <w:left w:val="nil"/>
              <w:right w:val="nil"/>
            </w:tcBorders>
            <w:shd w:val="clear" w:color="000000" w:fill="E0301E"/>
            <w:hideMark/>
          </w:tcPr>
          <w:p w14:paraId="5D921D15" w14:textId="77777777" w:rsidR="00083E99" w:rsidRDefault="00083E99" w:rsidP="00083E99">
            <w:pPr>
              <w:pStyle w:val="TableColumnHeadingSmall"/>
              <w:jc w:val="center"/>
              <w:rPr>
                <w:snapToGrid/>
                <w:lang w:eastAsia="en-AU"/>
              </w:rPr>
            </w:pPr>
            <w:r>
              <w:rPr>
                <w:snapToGrid/>
                <w:lang w:eastAsia="en-AU"/>
              </w:rPr>
              <w:t>4</w:t>
            </w:r>
          </w:p>
          <w:p w14:paraId="4CA57339" w14:textId="4972979A" w:rsidR="00037542" w:rsidRPr="00C20C66" w:rsidRDefault="00037542" w:rsidP="00083E99">
            <w:pPr>
              <w:pStyle w:val="TableColumnHeadingSmall"/>
              <w:jc w:val="center"/>
              <w:rPr>
                <w:snapToGrid/>
                <w:lang w:eastAsia="en-AU"/>
              </w:rPr>
            </w:pPr>
            <w:r w:rsidRPr="00C20C66">
              <w:rPr>
                <w:snapToGrid/>
                <w:lang w:eastAsia="en-AU"/>
              </w:rPr>
              <w:t>Carers</w:t>
            </w:r>
          </w:p>
        </w:tc>
        <w:tc>
          <w:tcPr>
            <w:tcW w:w="1041" w:type="dxa"/>
            <w:tcBorders>
              <w:top w:val="nil"/>
              <w:left w:val="nil"/>
              <w:right w:val="nil"/>
            </w:tcBorders>
            <w:shd w:val="clear" w:color="000000" w:fill="E0301E"/>
            <w:hideMark/>
          </w:tcPr>
          <w:p w14:paraId="478428DE" w14:textId="77777777" w:rsidR="00083E99" w:rsidRDefault="00083E99" w:rsidP="00083E99">
            <w:pPr>
              <w:pStyle w:val="TableColumnHeadingSmall"/>
              <w:jc w:val="center"/>
              <w:rPr>
                <w:snapToGrid/>
                <w:lang w:eastAsia="en-AU"/>
              </w:rPr>
            </w:pPr>
            <w:r>
              <w:rPr>
                <w:snapToGrid/>
                <w:lang w:eastAsia="en-AU"/>
              </w:rPr>
              <w:t>5</w:t>
            </w:r>
          </w:p>
          <w:p w14:paraId="0242372A" w14:textId="34209D33" w:rsidR="00037542" w:rsidRPr="00C20C66" w:rsidRDefault="00037542" w:rsidP="00083E99">
            <w:pPr>
              <w:pStyle w:val="TableColumnHeadingSmall"/>
              <w:jc w:val="center"/>
              <w:rPr>
                <w:snapToGrid/>
                <w:lang w:eastAsia="en-AU"/>
              </w:rPr>
            </w:pPr>
            <w:r w:rsidRPr="00C20C66">
              <w:rPr>
                <w:snapToGrid/>
                <w:lang w:eastAsia="en-AU"/>
              </w:rPr>
              <w:t>Disability Support</w:t>
            </w:r>
          </w:p>
        </w:tc>
        <w:tc>
          <w:tcPr>
            <w:tcW w:w="1041" w:type="dxa"/>
            <w:tcBorders>
              <w:top w:val="nil"/>
              <w:left w:val="nil"/>
              <w:right w:val="nil"/>
            </w:tcBorders>
            <w:shd w:val="clear" w:color="000000" w:fill="E0301E"/>
            <w:hideMark/>
          </w:tcPr>
          <w:p w14:paraId="0B79B929" w14:textId="77777777" w:rsidR="00083E99" w:rsidRDefault="00083E99" w:rsidP="00083E99">
            <w:pPr>
              <w:pStyle w:val="TableColumnHeadingSmall"/>
              <w:jc w:val="center"/>
              <w:rPr>
                <w:snapToGrid/>
                <w:lang w:eastAsia="en-AU"/>
              </w:rPr>
            </w:pPr>
            <w:r>
              <w:rPr>
                <w:snapToGrid/>
                <w:lang w:eastAsia="en-AU"/>
              </w:rPr>
              <w:t>6</w:t>
            </w:r>
          </w:p>
          <w:p w14:paraId="414AF77C" w14:textId="57C11F5A" w:rsidR="00037542" w:rsidRPr="00C20C66" w:rsidRDefault="00037542" w:rsidP="00083E99">
            <w:pPr>
              <w:pStyle w:val="TableColumnHeadingSmall"/>
              <w:jc w:val="center"/>
              <w:rPr>
                <w:snapToGrid/>
                <w:lang w:eastAsia="en-AU"/>
              </w:rPr>
            </w:pPr>
            <w:r w:rsidRPr="00C20C66">
              <w:rPr>
                <w:snapToGrid/>
                <w:lang w:eastAsia="en-AU"/>
              </w:rPr>
              <w:t>Pension Age</w:t>
            </w:r>
          </w:p>
        </w:tc>
      </w:tr>
      <w:tr w:rsidR="00037542" w:rsidRPr="00C36F20" w14:paraId="4B8B7DA6" w14:textId="77777777" w:rsidTr="00037542">
        <w:trPr>
          <w:trHeight w:hRule="exact" w:val="312"/>
        </w:trPr>
        <w:tc>
          <w:tcPr>
            <w:tcW w:w="3427" w:type="dxa"/>
            <w:tcBorders>
              <w:left w:val="nil"/>
              <w:bottom w:val="single" w:sz="4" w:space="0" w:color="E0301E"/>
              <w:right w:val="nil"/>
            </w:tcBorders>
            <w:shd w:val="clear" w:color="auto" w:fill="auto"/>
            <w:vAlign w:val="center"/>
            <w:hideMark/>
          </w:tcPr>
          <w:p w14:paraId="07161BC5"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Age</w:t>
            </w:r>
          </w:p>
        </w:tc>
        <w:tc>
          <w:tcPr>
            <w:tcW w:w="1041" w:type="dxa"/>
            <w:tcBorders>
              <w:left w:val="nil"/>
              <w:bottom w:val="single" w:sz="4" w:space="0" w:color="E0301E"/>
              <w:right w:val="nil"/>
            </w:tcBorders>
            <w:shd w:val="clear" w:color="auto" w:fill="auto"/>
            <w:noWrap/>
            <w:vAlign w:val="center"/>
            <w:hideMark/>
          </w:tcPr>
          <w:p w14:paraId="76340EA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left w:val="nil"/>
              <w:bottom w:val="single" w:sz="4" w:space="0" w:color="E0301E"/>
              <w:right w:val="nil"/>
            </w:tcBorders>
            <w:shd w:val="clear" w:color="auto" w:fill="auto"/>
            <w:noWrap/>
            <w:vAlign w:val="center"/>
            <w:hideMark/>
          </w:tcPr>
          <w:p w14:paraId="4622544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left w:val="nil"/>
              <w:bottom w:val="single" w:sz="4" w:space="0" w:color="E0301E"/>
              <w:right w:val="nil"/>
            </w:tcBorders>
            <w:shd w:val="clear" w:color="auto" w:fill="auto"/>
            <w:noWrap/>
            <w:vAlign w:val="center"/>
            <w:hideMark/>
          </w:tcPr>
          <w:p w14:paraId="2E08630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left w:val="nil"/>
              <w:bottom w:val="single" w:sz="4" w:space="0" w:color="E0301E"/>
              <w:right w:val="nil"/>
            </w:tcBorders>
            <w:shd w:val="clear" w:color="auto" w:fill="auto"/>
            <w:noWrap/>
            <w:vAlign w:val="center"/>
            <w:hideMark/>
          </w:tcPr>
          <w:p w14:paraId="12CC4D6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left w:val="nil"/>
              <w:bottom w:val="single" w:sz="4" w:space="0" w:color="E0301E"/>
              <w:right w:val="nil"/>
            </w:tcBorders>
            <w:shd w:val="clear" w:color="auto" w:fill="auto"/>
            <w:noWrap/>
            <w:vAlign w:val="center"/>
            <w:hideMark/>
          </w:tcPr>
          <w:p w14:paraId="42C228E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left w:val="nil"/>
              <w:bottom w:val="single" w:sz="4" w:space="0" w:color="E0301E"/>
              <w:right w:val="nil"/>
            </w:tcBorders>
            <w:shd w:val="clear" w:color="auto" w:fill="auto"/>
            <w:noWrap/>
            <w:vAlign w:val="center"/>
            <w:hideMark/>
          </w:tcPr>
          <w:p w14:paraId="2DA91B5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36F20" w14:paraId="669999D4"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4160325B"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Gender</w:t>
            </w:r>
          </w:p>
        </w:tc>
        <w:tc>
          <w:tcPr>
            <w:tcW w:w="1041" w:type="dxa"/>
            <w:tcBorders>
              <w:top w:val="single" w:sz="4" w:space="0" w:color="E0301E"/>
              <w:left w:val="nil"/>
              <w:bottom w:val="single" w:sz="4" w:space="0" w:color="E0301E"/>
              <w:right w:val="nil"/>
            </w:tcBorders>
            <w:shd w:val="clear" w:color="auto" w:fill="auto"/>
            <w:noWrap/>
            <w:vAlign w:val="center"/>
            <w:hideMark/>
          </w:tcPr>
          <w:p w14:paraId="227899D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07B36DB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09856C7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5E9FAAC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2E68B84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0271E63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36F20" w14:paraId="0C6A0D44"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2DAF4FA8"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Class</w:t>
            </w:r>
          </w:p>
        </w:tc>
        <w:tc>
          <w:tcPr>
            <w:tcW w:w="1041" w:type="dxa"/>
            <w:tcBorders>
              <w:top w:val="single" w:sz="4" w:space="0" w:color="E0301E"/>
              <w:left w:val="nil"/>
              <w:bottom w:val="single" w:sz="4" w:space="0" w:color="E0301E"/>
              <w:right w:val="nil"/>
            </w:tcBorders>
            <w:shd w:val="clear" w:color="auto" w:fill="auto"/>
            <w:noWrap/>
            <w:vAlign w:val="center"/>
            <w:hideMark/>
          </w:tcPr>
          <w:p w14:paraId="398FB14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588FE08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22A68E8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6AB70DA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0B93075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228CBE3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36F20" w14:paraId="09C0542E"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5B8B8F8A"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Previous class</w:t>
            </w:r>
          </w:p>
        </w:tc>
        <w:tc>
          <w:tcPr>
            <w:tcW w:w="1041" w:type="dxa"/>
            <w:tcBorders>
              <w:top w:val="single" w:sz="4" w:space="0" w:color="E0301E"/>
              <w:left w:val="nil"/>
              <w:bottom w:val="single" w:sz="4" w:space="0" w:color="E0301E"/>
              <w:right w:val="nil"/>
            </w:tcBorders>
            <w:shd w:val="clear" w:color="auto" w:fill="auto"/>
            <w:noWrap/>
            <w:vAlign w:val="center"/>
            <w:hideMark/>
          </w:tcPr>
          <w:p w14:paraId="140E96E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0EC0A3E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0F5C389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5FF4061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2F9AAF9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5C5025A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6CF62E9D"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326A0F26"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Partner status</w:t>
            </w:r>
          </w:p>
        </w:tc>
        <w:tc>
          <w:tcPr>
            <w:tcW w:w="1041" w:type="dxa"/>
            <w:tcBorders>
              <w:top w:val="single" w:sz="4" w:space="0" w:color="E0301E"/>
              <w:left w:val="nil"/>
              <w:bottom w:val="single" w:sz="4" w:space="0" w:color="E0301E"/>
              <w:right w:val="nil"/>
            </w:tcBorders>
            <w:shd w:val="clear" w:color="auto" w:fill="auto"/>
            <w:noWrap/>
            <w:vAlign w:val="center"/>
            <w:hideMark/>
          </w:tcPr>
          <w:p w14:paraId="29D4059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45E8259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75F6C54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16FA3FA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1969D3C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0BEF0DE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2943429E"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3B671DFE"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Number of dependent children</w:t>
            </w:r>
          </w:p>
        </w:tc>
        <w:tc>
          <w:tcPr>
            <w:tcW w:w="1041" w:type="dxa"/>
            <w:tcBorders>
              <w:top w:val="single" w:sz="4" w:space="0" w:color="E0301E"/>
              <w:left w:val="nil"/>
              <w:bottom w:val="single" w:sz="4" w:space="0" w:color="E0301E"/>
              <w:right w:val="nil"/>
            </w:tcBorders>
            <w:shd w:val="clear" w:color="auto" w:fill="auto"/>
            <w:noWrap/>
            <w:vAlign w:val="center"/>
            <w:hideMark/>
          </w:tcPr>
          <w:p w14:paraId="7DF674E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72EFEE1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798E452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620067D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449CD8F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503C02C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46B783D7"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145F7554"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Age of dependent children</w:t>
            </w:r>
          </w:p>
        </w:tc>
        <w:tc>
          <w:tcPr>
            <w:tcW w:w="1041" w:type="dxa"/>
            <w:tcBorders>
              <w:top w:val="single" w:sz="4" w:space="0" w:color="E0301E"/>
              <w:left w:val="nil"/>
              <w:bottom w:val="single" w:sz="4" w:space="0" w:color="E0301E"/>
              <w:right w:val="nil"/>
            </w:tcBorders>
            <w:shd w:val="clear" w:color="auto" w:fill="auto"/>
            <w:noWrap/>
            <w:vAlign w:val="center"/>
            <w:hideMark/>
          </w:tcPr>
          <w:p w14:paraId="2D24C76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77024A2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2DE3998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0F8698E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39A4B83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7F3C488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40FE2AF3"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0949A175"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Highest level of education attained</w:t>
            </w:r>
          </w:p>
        </w:tc>
        <w:tc>
          <w:tcPr>
            <w:tcW w:w="1041" w:type="dxa"/>
            <w:tcBorders>
              <w:top w:val="single" w:sz="4" w:space="0" w:color="E0301E"/>
              <w:left w:val="nil"/>
              <w:bottom w:val="single" w:sz="4" w:space="0" w:color="E0301E"/>
              <w:right w:val="nil"/>
            </w:tcBorders>
            <w:shd w:val="clear" w:color="auto" w:fill="auto"/>
            <w:noWrap/>
            <w:vAlign w:val="center"/>
            <w:hideMark/>
          </w:tcPr>
          <w:p w14:paraId="68C3AA8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35717FD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5E41440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08DC795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0D28F26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76E8186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5EB11F84"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71C270D6"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Duration in welfare class / system</w:t>
            </w:r>
          </w:p>
        </w:tc>
        <w:tc>
          <w:tcPr>
            <w:tcW w:w="1041" w:type="dxa"/>
            <w:tcBorders>
              <w:top w:val="single" w:sz="4" w:space="0" w:color="E0301E"/>
              <w:left w:val="nil"/>
              <w:bottom w:val="single" w:sz="4" w:space="0" w:color="E0301E"/>
              <w:right w:val="nil"/>
            </w:tcBorders>
            <w:shd w:val="clear" w:color="auto" w:fill="auto"/>
            <w:noWrap/>
            <w:vAlign w:val="center"/>
            <w:hideMark/>
          </w:tcPr>
          <w:p w14:paraId="4B6FA34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14D887A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51D8105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68F7C62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047A8DC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6C9D040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0A2B1BBC"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4C12FF2B"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Place of Birth / Languages Spoken</w:t>
            </w:r>
          </w:p>
        </w:tc>
        <w:tc>
          <w:tcPr>
            <w:tcW w:w="1041" w:type="dxa"/>
            <w:tcBorders>
              <w:top w:val="single" w:sz="4" w:space="0" w:color="E0301E"/>
              <w:left w:val="nil"/>
              <w:bottom w:val="single" w:sz="4" w:space="0" w:color="E0301E"/>
              <w:right w:val="nil"/>
            </w:tcBorders>
            <w:shd w:val="clear" w:color="auto" w:fill="auto"/>
            <w:noWrap/>
            <w:vAlign w:val="center"/>
            <w:hideMark/>
          </w:tcPr>
          <w:p w14:paraId="0FD3E3E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4EDAA8C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358992F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79D6E75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4474D80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518F869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5DCDECA5"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32D3BCB6"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Indigenous status</w:t>
            </w:r>
          </w:p>
        </w:tc>
        <w:tc>
          <w:tcPr>
            <w:tcW w:w="1041" w:type="dxa"/>
            <w:tcBorders>
              <w:top w:val="single" w:sz="4" w:space="0" w:color="E0301E"/>
              <w:left w:val="nil"/>
              <w:bottom w:val="single" w:sz="4" w:space="0" w:color="E0301E"/>
              <w:right w:val="nil"/>
            </w:tcBorders>
            <w:shd w:val="clear" w:color="auto" w:fill="auto"/>
            <w:noWrap/>
            <w:vAlign w:val="center"/>
            <w:hideMark/>
          </w:tcPr>
          <w:p w14:paraId="7FFB5B8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68F3E3F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6F7E9B4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671702D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78D530F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25C3A64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1A4EFEEB"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3FFC5866"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Previous welfare utilisation</w:t>
            </w:r>
          </w:p>
        </w:tc>
        <w:tc>
          <w:tcPr>
            <w:tcW w:w="1041" w:type="dxa"/>
            <w:tcBorders>
              <w:top w:val="single" w:sz="4" w:space="0" w:color="E0301E"/>
              <w:left w:val="nil"/>
              <w:bottom w:val="single" w:sz="4" w:space="0" w:color="E0301E"/>
              <w:right w:val="nil"/>
            </w:tcBorders>
            <w:shd w:val="clear" w:color="auto" w:fill="auto"/>
            <w:noWrap/>
            <w:vAlign w:val="center"/>
            <w:hideMark/>
          </w:tcPr>
          <w:p w14:paraId="4ED80E7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51AF6A5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518F11D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78ABA86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6C68BF6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0983A49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1AD00E36"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639635B7"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Earnings indicator</w:t>
            </w:r>
          </w:p>
        </w:tc>
        <w:tc>
          <w:tcPr>
            <w:tcW w:w="1041" w:type="dxa"/>
            <w:tcBorders>
              <w:top w:val="single" w:sz="4" w:space="0" w:color="E0301E"/>
              <w:left w:val="nil"/>
              <w:bottom w:val="single" w:sz="4" w:space="0" w:color="E0301E"/>
              <w:right w:val="nil"/>
            </w:tcBorders>
            <w:shd w:val="clear" w:color="auto" w:fill="auto"/>
            <w:noWrap/>
            <w:vAlign w:val="center"/>
            <w:hideMark/>
          </w:tcPr>
          <w:p w14:paraId="14979E1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1798FF2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6381150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6A102DD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09BB86D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7A2FE77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0062E14E"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3ABDEDD5"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Payment type</w:t>
            </w:r>
          </w:p>
        </w:tc>
        <w:tc>
          <w:tcPr>
            <w:tcW w:w="1041" w:type="dxa"/>
            <w:tcBorders>
              <w:top w:val="single" w:sz="4" w:space="0" w:color="E0301E"/>
              <w:left w:val="nil"/>
              <w:bottom w:val="single" w:sz="4" w:space="0" w:color="E0301E"/>
              <w:right w:val="nil"/>
            </w:tcBorders>
            <w:shd w:val="clear" w:color="auto" w:fill="auto"/>
            <w:noWrap/>
            <w:vAlign w:val="center"/>
            <w:hideMark/>
          </w:tcPr>
          <w:p w14:paraId="2359D16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47C3522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2B32A38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50B8C00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5AAB665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7C811DD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38C33C8E"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6C6A2E4C" w14:textId="1612B645" w:rsidR="00037542" w:rsidRPr="00C20C66" w:rsidRDefault="00A82D43" w:rsidP="00037542">
            <w:pPr>
              <w:kinsoku/>
              <w:overflowPunct/>
              <w:autoSpaceDE/>
              <w:autoSpaceDN/>
              <w:adjustRightInd/>
              <w:snapToGrid/>
              <w:rPr>
                <w:rFonts w:ascii="Arial" w:hAnsi="Arial"/>
                <w:snapToGrid/>
                <w:color w:val="000000"/>
                <w:sz w:val="16"/>
                <w:szCs w:val="16"/>
                <w:lang w:eastAsia="en-AU"/>
              </w:rPr>
            </w:pPr>
            <w:r>
              <w:rPr>
                <w:rFonts w:ascii="Arial" w:hAnsi="Arial"/>
                <w:snapToGrid/>
                <w:color w:val="000000"/>
                <w:sz w:val="16"/>
                <w:szCs w:val="16"/>
                <w:lang w:eastAsia="en-AU"/>
              </w:rPr>
              <w:t>Care recipient</w:t>
            </w:r>
            <w:r w:rsidRPr="00C20C66">
              <w:rPr>
                <w:rFonts w:ascii="Arial" w:hAnsi="Arial"/>
                <w:snapToGrid/>
                <w:color w:val="000000"/>
                <w:sz w:val="16"/>
                <w:szCs w:val="16"/>
                <w:lang w:eastAsia="en-AU"/>
              </w:rPr>
              <w:t xml:space="preserve"> </w:t>
            </w:r>
            <w:r w:rsidR="00037542">
              <w:rPr>
                <w:rFonts w:ascii="Arial" w:hAnsi="Arial"/>
                <w:snapToGrid/>
                <w:color w:val="000000"/>
                <w:sz w:val="16"/>
                <w:szCs w:val="16"/>
                <w:lang w:eastAsia="en-AU"/>
              </w:rPr>
              <w:t>information</w:t>
            </w:r>
          </w:p>
        </w:tc>
        <w:tc>
          <w:tcPr>
            <w:tcW w:w="1041" w:type="dxa"/>
            <w:tcBorders>
              <w:top w:val="single" w:sz="4" w:space="0" w:color="E0301E"/>
              <w:left w:val="nil"/>
              <w:bottom w:val="single" w:sz="4" w:space="0" w:color="E0301E"/>
              <w:right w:val="nil"/>
            </w:tcBorders>
            <w:shd w:val="clear" w:color="auto" w:fill="auto"/>
            <w:noWrap/>
            <w:vAlign w:val="center"/>
            <w:hideMark/>
          </w:tcPr>
          <w:p w14:paraId="407F05F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641462E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7D22AB5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3613A1F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2A3847B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4C24BF1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36F20" w14:paraId="255C6AEF" w14:textId="77777777" w:rsidTr="00037542">
        <w:trPr>
          <w:trHeight w:hRule="exact" w:val="312"/>
        </w:trPr>
        <w:tc>
          <w:tcPr>
            <w:tcW w:w="3427" w:type="dxa"/>
            <w:tcBorders>
              <w:top w:val="single" w:sz="4" w:space="0" w:color="E0301E"/>
              <w:left w:val="nil"/>
              <w:bottom w:val="single" w:sz="4" w:space="0" w:color="E0301E"/>
              <w:right w:val="nil"/>
            </w:tcBorders>
            <w:shd w:val="clear" w:color="auto" w:fill="auto"/>
            <w:vAlign w:val="center"/>
            <w:hideMark/>
          </w:tcPr>
          <w:p w14:paraId="34F6E8B5" w14:textId="77777777" w:rsidR="00037542" w:rsidRPr="00C20C66" w:rsidRDefault="00037542" w:rsidP="00037542">
            <w:pPr>
              <w:kinsoku/>
              <w:overflowPunct/>
              <w:autoSpaceDE/>
              <w:autoSpaceDN/>
              <w:adjustRightInd/>
              <w:snapToGrid/>
              <w:rPr>
                <w:rFonts w:ascii="Arial" w:hAnsi="Arial"/>
                <w:snapToGrid/>
                <w:color w:val="000000"/>
                <w:sz w:val="16"/>
                <w:szCs w:val="16"/>
                <w:lang w:eastAsia="en-AU"/>
              </w:rPr>
            </w:pPr>
            <w:r w:rsidRPr="00C20C66">
              <w:rPr>
                <w:rFonts w:ascii="Arial" w:hAnsi="Arial"/>
                <w:snapToGrid/>
                <w:color w:val="000000"/>
                <w:sz w:val="16"/>
                <w:szCs w:val="16"/>
                <w:lang w:eastAsia="en-AU"/>
              </w:rPr>
              <w:t>Primary medical condition</w:t>
            </w:r>
          </w:p>
        </w:tc>
        <w:tc>
          <w:tcPr>
            <w:tcW w:w="1041" w:type="dxa"/>
            <w:tcBorders>
              <w:top w:val="single" w:sz="4" w:space="0" w:color="E0301E"/>
              <w:left w:val="nil"/>
              <w:bottom w:val="single" w:sz="4" w:space="0" w:color="E0301E"/>
              <w:right w:val="nil"/>
            </w:tcBorders>
            <w:shd w:val="clear" w:color="auto" w:fill="auto"/>
            <w:noWrap/>
            <w:vAlign w:val="center"/>
            <w:hideMark/>
          </w:tcPr>
          <w:p w14:paraId="7F4A286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5AFD615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458C4A1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3203BF2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41" w:type="dxa"/>
            <w:tcBorders>
              <w:top w:val="single" w:sz="4" w:space="0" w:color="E0301E"/>
              <w:left w:val="nil"/>
              <w:bottom w:val="single" w:sz="4" w:space="0" w:color="E0301E"/>
              <w:right w:val="nil"/>
            </w:tcBorders>
            <w:shd w:val="clear" w:color="auto" w:fill="auto"/>
            <w:noWrap/>
            <w:vAlign w:val="center"/>
            <w:hideMark/>
          </w:tcPr>
          <w:p w14:paraId="54CA2B9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41" w:type="dxa"/>
            <w:tcBorders>
              <w:top w:val="single" w:sz="4" w:space="0" w:color="E0301E"/>
              <w:left w:val="nil"/>
              <w:bottom w:val="single" w:sz="4" w:space="0" w:color="E0301E"/>
              <w:right w:val="nil"/>
            </w:tcBorders>
            <w:shd w:val="clear" w:color="auto" w:fill="auto"/>
            <w:noWrap/>
            <w:vAlign w:val="center"/>
            <w:hideMark/>
          </w:tcPr>
          <w:p w14:paraId="6AF71E9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bl>
    <w:p w14:paraId="657F0699" w14:textId="77777777" w:rsidR="00037542" w:rsidRDefault="00037542" w:rsidP="00037542">
      <w:pPr>
        <w:pStyle w:val="Caption"/>
      </w:pPr>
      <w:r w:rsidRPr="008856B6">
        <w:lastRenderedPageBreak/>
        <w:t xml:space="preserve">Table </w:t>
      </w:r>
      <w:fldSimple w:instr=" SEQ Table \* ARABIC ">
        <w:r w:rsidR="007A42DF">
          <w:rPr>
            <w:noProof/>
          </w:rPr>
          <w:t>67</w:t>
        </w:r>
      </w:fldSimple>
      <w:r w:rsidRPr="008856B6">
        <w:t>: Factors considered in class movement assumptions</w:t>
      </w:r>
      <w:r>
        <w:t xml:space="preserve"> for Classes 7-12</w:t>
      </w:r>
      <w:r w:rsidRPr="008856B6">
        <w:t xml:space="preserve"> </w:t>
      </w:r>
    </w:p>
    <w:tbl>
      <w:tblPr>
        <w:tblW w:w="9666" w:type="dxa"/>
        <w:tblInd w:w="108" w:type="dxa"/>
        <w:tblLayout w:type="fixed"/>
        <w:tblCellMar>
          <w:left w:w="57" w:type="dxa"/>
          <w:right w:w="57" w:type="dxa"/>
        </w:tblCellMar>
        <w:tblLook w:val="04A0" w:firstRow="1" w:lastRow="0" w:firstColumn="1" w:lastColumn="0" w:noHBand="0" w:noVBand="1"/>
        <w:tblCaption w:val="Factors considered in class movement assumptions for Classes 7-12"/>
        <w:tblDescription w:val="This table lists the characteristics used in class movement assumptions for Classes 7 to 12, that is, the movement from one welfare class to another. Across the top are listed columns for the six welfare categories: non-income support family, non-income support carer, non-income support other, previous welfare recipients, deceased people and the rest of the population. The left hand side lists 12 characteristics that are taken into account for one or more of these class movement assumptions: age, gender, class, previous class, partner status, number of dependent children, age of dependent children, highest level of education attained, duration in welfare class/system, place of birth/languages spoken, Indigenous status and previous welfare utilization.&#10;&#10;The non-income support family and non-income support other class movement assumptions consider all characteristics except highest level of education attained.&#10; &#10;For the non-income carer class, all characteristics except highest level of education attained  and previous welfare utilization are considered.&#10;&#10;Previous welfare recipient class movement assumptions consider all characteristics except place of birth/languages spoken and previous welfare utilization.&#10;&#10;Deceased people are a final category, and so do not require class movement assumptions.&#10;&#10;Class movement assumptions for the rest of the population depend on age, gender, class, partner status, number and age of dependent children, highest level of education and Indigenous status."/>
      </w:tblPr>
      <w:tblGrid>
        <w:gridCol w:w="3105"/>
        <w:gridCol w:w="1093"/>
        <w:gridCol w:w="1094"/>
        <w:gridCol w:w="1093"/>
        <w:gridCol w:w="1094"/>
        <w:gridCol w:w="1093"/>
        <w:gridCol w:w="1094"/>
      </w:tblGrid>
      <w:tr w:rsidR="00037542" w:rsidRPr="00CB46A8" w14:paraId="7476D5F8" w14:textId="77777777" w:rsidTr="006061A5">
        <w:trPr>
          <w:trHeight w:val="450"/>
          <w:tblHeader/>
        </w:trPr>
        <w:tc>
          <w:tcPr>
            <w:tcW w:w="3105" w:type="dxa"/>
            <w:tcBorders>
              <w:left w:val="nil"/>
              <w:right w:val="nil"/>
            </w:tcBorders>
            <w:shd w:val="clear" w:color="000000" w:fill="E0301E"/>
            <w:vAlign w:val="center"/>
            <w:hideMark/>
          </w:tcPr>
          <w:p w14:paraId="2AE9E8C0" w14:textId="1A3C6E9A" w:rsidR="00037542" w:rsidRPr="00CB46A8" w:rsidRDefault="000143E9" w:rsidP="00037542">
            <w:pPr>
              <w:pStyle w:val="TableColumnHeadingSmall"/>
              <w:rPr>
                <w:snapToGrid/>
                <w:lang w:eastAsia="en-AU"/>
              </w:rPr>
            </w:pPr>
            <w:r>
              <w:rPr>
                <w:snapToGrid/>
                <w:lang w:eastAsia="en-AU"/>
              </w:rPr>
              <w:t>Individual Characteristics Used</w:t>
            </w:r>
          </w:p>
        </w:tc>
        <w:tc>
          <w:tcPr>
            <w:tcW w:w="1093" w:type="dxa"/>
            <w:tcBorders>
              <w:top w:val="nil"/>
              <w:left w:val="nil"/>
              <w:right w:val="nil"/>
            </w:tcBorders>
            <w:shd w:val="clear" w:color="000000" w:fill="E0301E"/>
            <w:vAlign w:val="center"/>
            <w:hideMark/>
          </w:tcPr>
          <w:p w14:paraId="4DC52E83" w14:textId="77777777" w:rsidR="000143E9" w:rsidRDefault="000143E9" w:rsidP="000143E9">
            <w:pPr>
              <w:pStyle w:val="TableColumnHeadingSmall"/>
              <w:jc w:val="center"/>
              <w:rPr>
                <w:snapToGrid/>
                <w:lang w:eastAsia="en-AU"/>
              </w:rPr>
            </w:pPr>
            <w:r>
              <w:rPr>
                <w:snapToGrid/>
                <w:lang w:eastAsia="en-AU"/>
              </w:rPr>
              <w:t>7</w:t>
            </w:r>
          </w:p>
          <w:p w14:paraId="6A92DA66" w14:textId="20963421" w:rsidR="00037542" w:rsidRPr="00CB46A8" w:rsidRDefault="00037542" w:rsidP="000143E9">
            <w:pPr>
              <w:pStyle w:val="TableColumnHeadingSmall"/>
              <w:jc w:val="center"/>
              <w:rPr>
                <w:snapToGrid/>
                <w:lang w:eastAsia="en-AU"/>
              </w:rPr>
            </w:pPr>
            <w:r w:rsidRPr="00CB46A8">
              <w:rPr>
                <w:snapToGrid/>
                <w:lang w:eastAsia="en-AU"/>
              </w:rPr>
              <w:t>Non-IS Family</w:t>
            </w:r>
          </w:p>
        </w:tc>
        <w:tc>
          <w:tcPr>
            <w:tcW w:w="1094" w:type="dxa"/>
            <w:tcBorders>
              <w:top w:val="nil"/>
              <w:left w:val="nil"/>
              <w:right w:val="nil"/>
            </w:tcBorders>
            <w:shd w:val="clear" w:color="000000" w:fill="E0301E"/>
            <w:vAlign w:val="center"/>
            <w:hideMark/>
          </w:tcPr>
          <w:p w14:paraId="3A8CE992" w14:textId="77777777" w:rsidR="000143E9" w:rsidRDefault="000143E9" w:rsidP="00037542">
            <w:pPr>
              <w:pStyle w:val="TableColumnHeadingSmall"/>
              <w:jc w:val="center"/>
              <w:rPr>
                <w:snapToGrid/>
                <w:lang w:eastAsia="en-AU"/>
              </w:rPr>
            </w:pPr>
            <w:r>
              <w:rPr>
                <w:snapToGrid/>
                <w:lang w:eastAsia="en-AU"/>
              </w:rPr>
              <w:t>8</w:t>
            </w:r>
          </w:p>
          <w:p w14:paraId="1ED1744A" w14:textId="77777777" w:rsidR="00037542" w:rsidRDefault="00037542" w:rsidP="00037542">
            <w:pPr>
              <w:pStyle w:val="TableColumnHeadingSmall"/>
              <w:jc w:val="center"/>
              <w:rPr>
                <w:snapToGrid/>
                <w:lang w:eastAsia="en-AU"/>
              </w:rPr>
            </w:pPr>
            <w:r w:rsidRPr="00CB46A8">
              <w:rPr>
                <w:snapToGrid/>
                <w:lang w:eastAsia="en-AU"/>
              </w:rPr>
              <w:t>Non-IS</w:t>
            </w:r>
          </w:p>
          <w:p w14:paraId="646710AC" w14:textId="77777777" w:rsidR="00037542" w:rsidRPr="00CB46A8" w:rsidRDefault="00037542" w:rsidP="00037542">
            <w:pPr>
              <w:pStyle w:val="TableColumnHeadingSmall"/>
              <w:jc w:val="center"/>
              <w:rPr>
                <w:snapToGrid/>
                <w:lang w:eastAsia="en-AU"/>
              </w:rPr>
            </w:pPr>
            <w:r w:rsidRPr="00CB46A8">
              <w:rPr>
                <w:snapToGrid/>
                <w:lang w:eastAsia="en-AU"/>
              </w:rPr>
              <w:t>Carer</w:t>
            </w:r>
          </w:p>
        </w:tc>
        <w:tc>
          <w:tcPr>
            <w:tcW w:w="1093" w:type="dxa"/>
            <w:tcBorders>
              <w:top w:val="nil"/>
              <w:left w:val="nil"/>
              <w:right w:val="nil"/>
            </w:tcBorders>
            <w:shd w:val="clear" w:color="000000" w:fill="E0301E"/>
            <w:vAlign w:val="center"/>
            <w:hideMark/>
          </w:tcPr>
          <w:p w14:paraId="3A380338" w14:textId="77777777" w:rsidR="000143E9" w:rsidRDefault="000143E9" w:rsidP="00037542">
            <w:pPr>
              <w:pStyle w:val="TableColumnHeadingSmall"/>
              <w:jc w:val="center"/>
              <w:rPr>
                <w:snapToGrid/>
                <w:lang w:eastAsia="en-AU"/>
              </w:rPr>
            </w:pPr>
            <w:r>
              <w:rPr>
                <w:snapToGrid/>
                <w:lang w:eastAsia="en-AU"/>
              </w:rPr>
              <w:t>9</w:t>
            </w:r>
          </w:p>
          <w:p w14:paraId="60F795DC" w14:textId="77777777" w:rsidR="00037542" w:rsidRDefault="00037542" w:rsidP="00037542">
            <w:pPr>
              <w:pStyle w:val="TableColumnHeadingSmall"/>
              <w:jc w:val="center"/>
              <w:rPr>
                <w:snapToGrid/>
                <w:lang w:eastAsia="en-AU"/>
              </w:rPr>
            </w:pPr>
            <w:r w:rsidRPr="00CB46A8">
              <w:rPr>
                <w:snapToGrid/>
                <w:lang w:eastAsia="en-AU"/>
              </w:rPr>
              <w:t>Non-IS</w:t>
            </w:r>
          </w:p>
          <w:p w14:paraId="153D1109" w14:textId="77777777" w:rsidR="00037542" w:rsidRPr="00CB46A8" w:rsidRDefault="00037542" w:rsidP="00037542">
            <w:pPr>
              <w:pStyle w:val="TableColumnHeadingSmall"/>
              <w:jc w:val="center"/>
              <w:rPr>
                <w:snapToGrid/>
                <w:lang w:eastAsia="en-AU"/>
              </w:rPr>
            </w:pPr>
            <w:r w:rsidRPr="00CB46A8">
              <w:rPr>
                <w:snapToGrid/>
                <w:lang w:eastAsia="en-AU"/>
              </w:rPr>
              <w:t>Other</w:t>
            </w:r>
          </w:p>
        </w:tc>
        <w:tc>
          <w:tcPr>
            <w:tcW w:w="1094" w:type="dxa"/>
            <w:tcBorders>
              <w:top w:val="nil"/>
              <w:left w:val="nil"/>
              <w:right w:val="nil"/>
            </w:tcBorders>
            <w:shd w:val="clear" w:color="000000" w:fill="E0301E"/>
            <w:vAlign w:val="center"/>
            <w:hideMark/>
          </w:tcPr>
          <w:p w14:paraId="509A7340" w14:textId="77777777" w:rsidR="000143E9" w:rsidRDefault="000143E9" w:rsidP="00037542">
            <w:pPr>
              <w:pStyle w:val="TableColumnHeadingSmall"/>
              <w:jc w:val="center"/>
              <w:rPr>
                <w:snapToGrid/>
                <w:lang w:eastAsia="en-AU"/>
              </w:rPr>
            </w:pPr>
            <w:r>
              <w:rPr>
                <w:snapToGrid/>
                <w:lang w:eastAsia="en-AU"/>
              </w:rPr>
              <w:t>10</w:t>
            </w:r>
          </w:p>
          <w:p w14:paraId="62C34043" w14:textId="35DD9196" w:rsidR="00037542" w:rsidRPr="00CB46A8" w:rsidRDefault="00037542" w:rsidP="000143E9">
            <w:pPr>
              <w:pStyle w:val="TableColumnHeadingSmall"/>
              <w:jc w:val="center"/>
              <w:rPr>
                <w:snapToGrid/>
                <w:lang w:eastAsia="en-AU"/>
              </w:rPr>
            </w:pPr>
            <w:r w:rsidRPr="00CB46A8">
              <w:rPr>
                <w:snapToGrid/>
                <w:lang w:eastAsia="en-AU"/>
              </w:rPr>
              <w:t>Prev Welf</w:t>
            </w:r>
            <w:r w:rsidR="000143E9">
              <w:rPr>
                <w:snapToGrid/>
                <w:lang w:eastAsia="en-AU"/>
              </w:rPr>
              <w:t xml:space="preserve">are </w:t>
            </w:r>
            <w:r w:rsidRPr="00CB46A8">
              <w:rPr>
                <w:snapToGrid/>
                <w:lang w:eastAsia="en-AU"/>
              </w:rPr>
              <w:t>Recipient</w:t>
            </w:r>
          </w:p>
        </w:tc>
        <w:tc>
          <w:tcPr>
            <w:tcW w:w="1093" w:type="dxa"/>
            <w:tcBorders>
              <w:top w:val="nil"/>
              <w:left w:val="nil"/>
              <w:right w:val="nil"/>
            </w:tcBorders>
            <w:shd w:val="clear" w:color="000000" w:fill="E0301E"/>
            <w:vAlign w:val="center"/>
            <w:hideMark/>
          </w:tcPr>
          <w:p w14:paraId="2ABAD7A9" w14:textId="77777777" w:rsidR="00EF34A2" w:rsidRDefault="000143E9" w:rsidP="00037542">
            <w:pPr>
              <w:pStyle w:val="TableColumnHeadingSmall"/>
              <w:jc w:val="center"/>
              <w:rPr>
                <w:snapToGrid/>
                <w:lang w:eastAsia="en-AU"/>
              </w:rPr>
            </w:pPr>
            <w:r>
              <w:rPr>
                <w:snapToGrid/>
                <w:lang w:eastAsia="en-AU"/>
              </w:rPr>
              <w:t>1</w:t>
            </w:r>
            <w:r w:rsidR="00EF34A2">
              <w:rPr>
                <w:snapToGrid/>
                <w:lang w:eastAsia="en-AU"/>
              </w:rPr>
              <w:t>1</w:t>
            </w:r>
          </w:p>
          <w:p w14:paraId="39B47093" w14:textId="77777777" w:rsidR="00037542" w:rsidRDefault="00037542" w:rsidP="00037542">
            <w:pPr>
              <w:pStyle w:val="TableColumnHeadingSmall"/>
              <w:jc w:val="center"/>
              <w:rPr>
                <w:snapToGrid/>
                <w:lang w:eastAsia="en-AU"/>
              </w:rPr>
            </w:pPr>
            <w:r w:rsidRPr="00CB46A8">
              <w:rPr>
                <w:snapToGrid/>
                <w:lang w:eastAsia="en-AU"/>
              </w:rPr>
              <w:t>Dead</w:t>
            </w:r>
          </w:p>
          <w:p w14:paraId="77853ACE" w14:textId="130F1A10" w:rsidR="00EF34A2" w:rsidRPr="00EF34A2" w:rsidRDefault="00EF34A2" w:rsidP="00EF34A2">
            <w:pPr>
              <w:pStyle w:val="TableTextSmall"/>
              <w:rPr>
                <w:lang w:eastAsia="en-AU"/>
              </w:rPr>
            </w:pPr>
          </w:p>
        </w:tc>
        <w:tc>
          <w:tcPr>
            <w:tcW w:w="1094" w:type="dxa"/>
            <w:tcBorders>
              <w:top w:val="nil"/>
              <w:left w:val="nil"/>
              <w:right w:val="nil"/>
            </w:tcBorders>
            <w:shd w:val="clear" w:color="000000" w:fill="E0301E"/>
            <w:vAlign w:val="center"/>
            <w:hideMark/>
          </w:tcPr>
          <w:p w14:paraId="69C71A4C" w14:textId="77777777" w:rsidR="000143E9" w:rsidRDefault="000143E9" w:rsidP="00037542">
            <w:pPr>
              <w:pStyle w:val="TableColumnHeadingSmall"/>
              <w:jc w:val="center"/>
              <w:rPr>
                <w:snapToGrid/>
                <w:lang w:eastAsia="en-AU"/>
              </w:rPr>
            </w:pPr>
            <w:r>
              <w:rPr>
                <w:snapToGrid/>
                <w:lang w:eastAsia="en-AU"/>
              </w:rPr>
              <w:t>12</w:t>
            </w:r>
          </w:p>
          <w:p w14:paraId="4D2DE353" w14:textId="77777777" w:rsidR="00037542" w:rsidRPr="00CB46A8" w:rsidRDefault="00037542" w:rsidP="00037542">
            <w:pPr>
              <w:pStyle w:val="TableColumnHeadingSmall"/>
              <w:jc w:val="center"/>
              <w:rPr>
                <w:snapToGrid/>
                <w:lang w:eastAsia="en-AU"/>
              </w:rPr>
            </w:pPr>
            <w:r w:rsidRPr="00CB46A8">
              <w:rPr>
                <w:snapToGrid/>
                <w:lang w:eastAsia="en-AU"/>
              </w:rPr>
              <w:t>Rest of Aust. Pop</w:t>
            </w:r>
          </w:p>
        </w:tc>
      </w:tr>
      <w:tr w:rsidR="00037542" w:rsidRPr="00CB46A8" w14:paraId="58EF9C12" w14:textId="77777777" w:rsidTr="00037542">
        <w:trPr>
          <w:trHeight w:hRule="exact" w:val="312"/>
        </w:trPr>
        <w:tc>
          <w:tcPr>
            <w:tcW w:w="3105" w:type="dxa"/>
            <w:tcBorders>
              <w:left w:val="nil"/>
              <w:bottom w:val="single" w:sz="4" w:space="0" w:color="E0301E"/>
              <w:right w:val="nil"/>
            </w:tcBorders>
            <w:shd w:val="clear" w:color="auto" w:fill="auto"/>
            <w:vAlign w:val="center"/>
            <w:hideMark/>
          </w:tcPr>
          <w:p w14:paraId="0DFB7DBD" w14:textId="5CF02F95" w:rsidR="00037542" w:rsidRPr="00CB46A8" w:rsidRDefault="00037542" w:rsidP="00037542">
            <w:pPr>
              <w:keepNext/>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Age</w:t>
            </w:r>
          </w:p>
        </w:tc>
        <w:tc>
          <w:tcPr>
            <w:tcW w:w="1093" w:type="dxa"/>
            <w:tcBorders>
              <w:left w:val="nil"/>
              <w:bottom w:val="single" w:sz="4" w:space="0" w:color="E0301E"/>
              <w:right w:val="nil"/>
            </w:tcBorders>
            <w:shd w:val="clear" w:color="auto" w:fill="auto"/>
            <w:noWrap/>
            <w:vAlign w:val="center"/>
            <w:hideMark/>
          </w:tcPr>
          <w:p w14:paraId="04136BD8"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left w:val="nil"/>
              <w:bottom w:val="single" w:sz="4" w:space="0" w:color="E0301E"/>
              <w:right w:val="nil"/>
            </w:tcBorders>
            <w:shd w:val="clear" w:color="auto" w:fill="auto"/>
            <w:noWrap/>
            <w:vAlign w:val="center"/>
            <w:hideMark/>
          </w:tcPr>
          <w:p w14:paraId="781CE913"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left w:val="nil"/>
              <w:bottom w:val="single" w:sz="4" w:space="0" w:color="E0301E"/>
              <w:right w:val="nil"/>
            </w:tcBorders>
            <w:shd w:val="clear" w:color="auto" w:fill="auto"/>
            <w:noWrap/>
            <w:vAlign w:val="center"/>
            <w:hideMark/>
          </w:tcPr>
          <w:p w14:paraId="0826732B"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left w:val="nil"/>
              <w:bottom w:val="single" w:sz="4" w:space="0" w:color="E0301E"/>
              <w:right w:val="nil"/>
            </w:tcBorders>
            <w:shd w:val="clear" w:color="auto" w:fill="auto"/>
            <w:noWrap/>
            <w:vAlign w:val="center"/>
            <w:hideMark/>
          </w:tcPr>
          <w:p w14:paraId="461CF670"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left w:val="nil"/>
              <w:bottom w:val="single" w:sz="4" w:space="0" w:color="E0301E"/>
              <w:right w:val="nil"/>
            </w:tcBorders>
            <w:shd w:val="clear" w:color="auto" w:fill="auto"/>
            <w:noWrap/>
            <w:vAlign w:val="center"/>
            <w:hideMark/>
          </w:tcPr>
          <w:p w14:paraId="6026FAE8"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left w:val="nil"/>
              <w:bottom w:val="single" w:sz="4" w:space="0" w:color="E0301E"/>
              <w:right w:val="nil"/>
            </w:tcBorders>
            <w:shd w:val="clear" w:color="auto" w:fill="auto"/>
            <w:noWrap/>
            <w:vAlign w:val="center"/>
            <w:hideMark/>
          </w:tcPr>
          <w:p w14:paraId="5274766A"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B46A8" w14:paraId="2DD83427" w14:textId="77777777" w:rsidTr="00037542">
        <w:trPr>
          <w:trHeight w:hRule="exact" w:val="312"/>
        </w:trPr>
        <w:tc>
          <w:tcPr>
            <w:tcW w:w="3105" w:type="dxa"/>
            <w:tcBorders>
              <w:top w:val="single" w:sz="4" w:space="0" w:color="E0301E"/>
              <w:left w:val="nil"/>
              <w:bottom w:val="single" w:sz="4" w:space="0" w:color="E0301E"/>
              <w:right w:val="nil"/>
            </w:tcBorders>
            <w:shd w:val="clear" w:color="auto" w:fill="auto"/>
            <w:vAlign w:val="center"/>
            <w:hideMark/>
          </w:tcPr>
          <w:p w14:paraId="7B433707" w14:textId="77777777" w:rsidR="00037542" w:rsidRPr="00CB46A8" w:rsidRDefault="00037542" w:rsidP="00037542">
            <w:pPr>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Gender</w:t>
            </w:r>
          </w:p>
        </w:tc>
        <w:tc>
          <w:tcPr>
            <w:tcW w:w="1093" w:type="dxa"/>
            <w:tcBorders>
              <w:top w:val="single" w:sz="4" w:space="0" w:color="E0301E"/>
              <w:left w:val="nil"/>
              <w:bottom w:val="single" w:sz="4" w:space="0" w:color="E0301E"/>
              <w:right w:val="nil"/>
            </w:tcBorders>
            <w:shd w:val="clear" w:color="auto" w:fill="auto"/>
            <w:noWrap/>
            <w:vAlign w:val="center"/>
            <w:hideMark/>
          </w:tcPr>
          <w:p w14:paraId="5CA2F53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72A6FC0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0B1E79D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2B35386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33C16E3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top w:val="single" w:sz="4" w:space="0" w:color="E0301E"/>
              <w:left w:val="nil"/>
              <w:bottom w:val="single" w:sz="4" w:space="0" w:color="E0301E"/>
              <w:right w:val="nil"/>
            </w:tcBorders>
            <w:shd w:val="clear" w:color="auto" w:fill="auto"/>
            <w:noWrap/>
            <w:vAlign w:val="center"/>
            <w:hideMark/>
          </w:tcPr>
          <w:p w14:paraId="1EAEAAB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B46A8" w14:paraId="0C2AC806" w14:textId="77777777" w:rsidTr="00037542">
        <w:trPr>
          <w:trHeight w:hRule="exact" w:val="312"/>
        </w:trPr>
        <w:tc>
          <w:tcPr>
            <w:tcW w:w="3105" w:type="dxa"/>
            <w:tcBorders>
              <w:top w:val="single" w:sz="4" w:space="0" w:color="E0301E"/>
              <w:left w:val="nil"/>
              <w:bottom w:val="single" w:sz="4" w:space="0" w:color="E0301E"/>
              <w:right w:val="nil"/>
            </w:tcBorders>
            <w:shd w:val="clear" w:color="auto" w:fill="auto"/>
            <w:vAlign w:val="center"/>
            <w:hideMark/>
          </w:tcPr>
          <w:p w14:paraId="5A5597CE" w14:textId="77777777" w:rsidR="00037542" w:rsidRPr="00CB46A8" w:rsidRDefault="00037542" w:rsidP="00037542">
            <w:pPr>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Class</w:t>
            </w:r>
          </w:p>
        </w:tc>
        <w:tc>
          <w:tcPr>
            <w:tcW w:w="1093" w:type="dxa"/>
            <w:tcBorders>
              <w:top w:val="single" w:sz="4" w:space="0" w:color="E0301E"/>
              <w:left w:val="nil"/>
              <w:bottom w:val="single" w:sz="4" w:space="0" w:color="E0301E"/>
              <w:right w:val="nil"/>
            </w:tcBorders>
            <w:shd w:val="clear" w:color="auto" w:fill="auto"/>
            <w:noWrap/>
            <w:vAlign w:val="center"/>
            <w:hideMark/>
          </w:tcPr>
          <w:p w14:paraId="20AD994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3EDEBBD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01D83E8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5FE2C52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19B3929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top w:val="single" w:sz="4" w:space="0" w:color="E0301E"/>
              <w:left w:val="nil"/>
              <w:bottom w:val="single" w:sz="4" w:space="0" w:color="E0301E"/>
              <w:right w:val="nil"/>
            </w:tcBorders>
            <w:shd w:val="clear" w:color="auto" w:fill="auto"/>
            <w:noWrap/>
            <w:vAlign w:val="center"/>
            <w:hideMark/>
          </w:tcPr>
          <w:p w14:paraId="190C692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B46A8" w14:paraId="2F84251E" w14:textId="77777777" w:rsidTr="00037542">
        <w:trPr>
          <w:trHeight w:hRule="exact" w:val="312"/>
        </w:trPr>
        <w:tc>
          <w:tcPr>
            <w:tcW w:w="3105" w:type="dxa"/>
            <w:tcBorders>
              <w:top w:val="single" w:sz="4" w:space="0" w:color="E0301E"/>
              <w:left w:val="nil"/>
              <w:bottom w:val="single" w:sz="4" w:space="0" w:color="E0301E"/>
              <w:right w:val="nil"/>
            </w:tcBorders>
            <w:shd w:val="clear" w:color="auto" w:fill="auto"/>
            <w:vAlign w:val="center"/>
            <w:hideMark/>
          </w:tcPr>
          <w:p w14:paraId="60485343" w14:textId="77777777" w:rsidR="00037542" w:rsidRPr="00CB46A8" w:rsidRDefault="00037542" w:rsidP="00037542">
            <w:pPr>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Previous class</w:t>
            </w:r>
          </w:p>
        </w:tc>
        <w:tc>
          <w:tcPr>
            <w:tcW w:w="1093" w:type="dxa"/>
            <w:tcBorders>
              <w:top w:val="single" w:sz="4" w:space="0" w:color="E0301E"/>
              <w:left w:val="nil"/>
              <w:bottom w:val="single" w:sz="4" w:space="0" w:color="E0301E"/>
              <w:right w:val="nil"/>
            </w:tcBorders>
            <w:shd w:val="clear" w:color="auto" w:fill="auto"/>
            <w:noWrap/>
            <w:vAlign w:val="center"/>
            <w:hideMark/>
          </w:tcPr>
          <w:p w14:paraId="51AF1D5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4604561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2F67638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2C62349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4E87888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top w:val="single" w:sz="4" w:space="0" w:color="E0301E"/>
              <w:left w:val="nil"/>
              <w:bottom w:val="single" w:sz="4" w:space="0" w:color="E0301E"/>
              <w:right w:val="nil"/>
            </w:tcBorders>
            <w:shd w:val="clear" w:color="auto" w:fill="auto"/>
            <w:noWrap/>
            <w:vAlign w:val="center"/>
            <w:hideMark/>
          </w:tcPr>
          <w:p w14:paraId="408E55F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B46A8" w14:paraId="472504BF" w14:textId="77777777" w:rsidTr="00037542">
        <w:trPr>
          <w:trHeight w:hRule="exact" w:val="312"/>
        </w:trPr>
        <w:tc>
          <w:tcPr>
            <w:tcW w:w="3105" w:type="dxa"/>
            <w:tcBorders>
              <w:top w:val="single" w:sz="4" w:space="0" w:color="E0301E"/>
              <w:left w:val="nil"/>
              <w:bottom w:val="single" w:sz="4" w:space="0" w:color="E0301E"/>
              <w:right w:val="nil"/>
            </w:tcBorders>
            <w:shd w:val="clear" w:color="auto" w:fill="auto"/>
            <w:vAlign w:val="center"/>
            <w:hideMark/>
          </w:tcPr>
          <w:p w14:paraId="7B90C191" w14:textId="77777777" w:rsidR="00037542" w:rsidRPr="00CB46A8" w:rsidRDefault="00037542" w:rsidP="00037542">
            <w:pPr>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Partner status</w:t>
            </w:r>
          </w:p>
        </w:tc>
        <w:tc>
          <w:tcPr>
            <w:tcW w:w="1093" w:type="dxa"/>
            <w:tcBorders>
              <w:top w:val="single" w:sz="4" w:space="0" w:color="E0301E"/>
              <w:left w:val="nil"/>
              <w:bottom w:val="single" w:sz="4" w:space="0" w:color="E0301E"/>
              <w:right w:val="nil"/>
            </w:tcBorders>
            <w:shd w:val="clear" w:color="auto" w:fill="auto"/>
            <w:noWrap/>
            <w:vAlign w:val="center"/>
            <w:hideMark/>
          </w:tcPr>
          <w:p w14:paraId="7B5ED76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007B654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18E88E2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2CA1A38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500BCDC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top w:val="single" w:sz="4" w:space="0" w:color="E0301E"/>
              <w:left w:val="nil"/>
              <w:bottom w:val="single" w:sz="4" w:space="0" w:color="E0301E"/>
              <w:right w:val="nil"/>
            </w:tcBorders>
            <w:shd w:val="clear" w:color="auto" w:fill="auto"/>
            <w:noWrap/>
            <w:vAlign w:val="center"/>
            <w:hideMark/>
          </w:tcPr>
          <w:p w14:paraId="6FE1DE9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B46A8" w14:paraId="136D9171" w14:textId="77777777" w:rsidTr="00037542">
        <w:trPr>
          <w:trHeight w:hRule="exact" w:val="312"/>
        </w:trPr>
        <w:tc>
          <w:tcPr>
            <w:tcW w:w="3105" w:type="dxa"/>
            <w:tcBorders>
              <w:top w:val="single" w:sz="4" w:space="0" w:color="E0301E"/>
              <w:left w:val="nil"/>
              <w:bottom w:val="single" w:sz="4" w:space="0" w:color="E0301E"/>
              <w:right w:val="nil"/>
            </w:tcBorders>
            <w:shd w:val="clear" w:color="auto" w:fill="auto"/>
            <w:vAlign w:val="center"/>
            <w:hideMark/>
          </w:tcPr>
          <w:p w14:paraId="7233EEB9" w14:textId="77777777" w:rsidR="00037542" w:rsidRPr="00CB46A8" w:rsidRDefault="00037542" w:rsidP="00037542">
            <w:pPr>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Number of dependent children</w:t>
            </w:r>
          </w:p>
        </w:tc>
        <w:tc>
          <w:tcPr>
            <w:tcW w:w="1093" w:type="dxa"/>
            <w:tcBorders>
              <w:top w:val="single" w:sz="4" w:space="0" w:color="E0301E"/>
              <w:left w:val="nil"/>
              <w:bottom w:val="single" w:sz="4" w:space="0" w:color="E0301E"/>
              <w:right w:val="nil"/>
            </w:tcBorders>
            <w:shd w:val="clear" w:color="auto" w:fill="auto"/>
            <w:noWrap/>
            <w:vAlign w:val="center"/>
            <w:hideMark/>
          </w:tcPr>
          <w:p w14:paraId="4D5A192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1483E76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2350318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5688F83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5FA7063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top w:val="single" w:sz="4" w:space="0" w:color="E0301E"/>
              <w:left w:val="nil"/>
              <w:bottom w:val="single" w:sz="4" w:space="0" w:color="E0301E"/>
              <w:right w:val="nil"/>
            </w:tcBorders>
            <w:shd w:val="clear" w:color="auto" w:fill="auto"/>
            <w:noWrap/>
            <w:vAlign w:val="center"/>
            <w:hideMark/>
          </w:tcPr>
          <w:p w14:paraId="25A704B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B46A8" w14:paraId="50F8478F" w14:textId="77777777" w:rsidTr="00037542">
        <w:trPr>
          <w:trHeight w:hRule="exact" w:val="312"/>
        </w:trPr>
        <w:tc>
          <w:tcPr>
            <w:tcW w:w="3105" w:type="dxa"/>
            <w:tcBorders>
              <w:top w:val="single" w:sz="4" w:space="0" w:color="E0301E"/>
              <w:left w:val="nil"/>
              <w:bottom w:val="single" w:sz="4" w:space="0" w:color="E0301E"/>
              <w:right w:val="nil"/>
            </w:tcBorders>
            <w:shd w:val="clear" w:color="auto" w:fill="auto"/>
            <w:vAlign w:val="center"/>
            <w:hideMark/>
          </w:tcPr>
          <w:p w14:paraId="6D715A2A" w14:textId="77777777" w:rsidR="00037542" w:rsidRPr="00CB46A8" w:rsidRDefault="00037542" w:rsidP="00037542">
            <w:pPr>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Age of dependent children</w:t>
            </w:r>
          </w:p>
        </w:tc>
        <w:tc>
          <w:tcPr>
            <w:tcW w:w="1093" w:type="dxa"/>
            <w:tcBorders>
              <w:top w:val="single" w:sz="4" w:space="0" w:color="E0301E"/>
              <w:left w:val="nil"/>
              <w:bottom w:val="single" w:sz="4" w:space="0" w:color="E0301E"/>
              <w:right w:val="nil"/>
            </w:tcBorders>
            <w:shd w:val="clear" w:color="auto" w:fill="auto"/>
            <w:noWrap/>
            <w:vAlign w:val="center"/>
            <w:hideMark/>
          </w:tcPr>
          <w:p w14:paraId="309CED5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0F4A655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341EBE0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1A6D035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6324D5B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top w:val="single" w:sz="4" w:space="0" w:color="E0301E"/>
              <w:left w:val="nil"/>
              <w:bottom w:val="single" w:sz="4" w:space="0" w:color="E0301E"/>
              <w:right w:val="nil"/>
            </w:tcBorders>
            <w:shd w:val="clear" w:color="auto" w:fill="auto"/>
            <w:noWrap/>
            <w:vAlign w:val="center"/>
            <w:hideMark/>
          </w:tcPr>
          <w:p w14:paraId="1727125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B46A8" w14:paraId="00F9D69A" w14:textId="77777777" w:rsidTr="00037542">
        <w:trPr>
          <w:trHeight w:hRule="exact" w:val="312"/>
        </w:trPr>
        <w:tc>
          <w:tcPr>
            <w:tcW w:w="3105" w:type="dxa"/>
            <w:tcBorders>
              <w:top w:val="single" w:sz="4" w:space="0" w:color="E0301E"/>
              <w:left w:val="nil"/>
              <w:bottom w:val="single" w:sz="4" w:space="0" w:color="E0301E"/>
              <w:right w:val="nil"/>
            </w:tcBorders>
            <w:shd w:val="clear" w:color="auto" w:fill="auto"/>
            <w:vAlign w:val="center"/>
            <w:hideMark/>
          </w:tcPr>
          <w:p w14:paraId="5FDE279E" w14:textId="77777777" w:rsidR="00037542" w:rsidRPr="00CB46A8" w:rsidRDefault="00037542" w:rsidP="00037542">
            <w:pPr>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Highest level of education attained</w:t>
            </w:r>
          </w:p>
        </w:tc>
        <w:tc>
          <w:tcPr>
            <w:tcW w:w="1093" w:type="dxa"/>
            <w:tcBorders>
              <w:top w:val="single" w:sz="4" w:space="0" w:color="E0301E"/>
              <w:left w:val="nil"/>
              <w:bottom w:val="single" w:sz="4" w:space="0" w:color="E0301E"/>
              <w:right w:val="nil"/>
            </w:tcBorders>
            <w:shd w:val="clear" w:color="auto" w:fill="auto"/>
            <w:noWrap/>
            <w:vAlign w:val="center"/>
            <w:hideMark/>
          </w:tcPr>
          <w:p w14:paraId="68A2BD1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94" w:type="dxa"/>
            <w:tcBorders>
              <w:top w:val="single" w:sz="4" w:space="0" w:color="E0301E"/>
              <w:left w:val="nil"/>
              <w:bottom w:val="single" w:sz="4" w:space="0" w:color="E0301E"/>
              <w:right w:val="nil"/>
            </w:tcBorders>
            <w:shd w:val="clear" w:color="auto" w:fill="auto"/>
            <w:noWrap/>
            <w:vAlign w:val="center"/>
            <w:hideMark/>
          </w:tcPr>
          <w:p w14:paraId="463D6D1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93" w:type="dxa"/>
            <w:tcBorders>
              <w:top w:val="single" w:sz="4" w:space="0" w:color="E0301E"/>
              <w:left w:val="nil"/>
              <w:bottom w:val="single" w:sz="4" w:space="0" w:color="E0301E"/>
              <w:right w:val="nil"/>
            </w:tcBorders>
            <w:shd w:val="clear" w:color="auto" w:fill="auto"/>
            <w:noWrap/>
            <w:vAlign w:val="center"/>
            <w:hideMark/>
          </w:tcPr>
          <w:p w14:paraId="3D8E81E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94" w:type="dxa"/>
            <w:tcBorders>
              <w:top w:val="single" w:sz="4" w:space="0" w:color="E0301E"/>
              <w:left w:val="nil"/>
              <w:bottom w:val="single" w:sz="4" w:space="0" w:color="E0301E"/>
              <w:right w:val="nil"/>
            </w:tcBorders>
            <w:shd w:val="clear" w:color="auto" w:fill="auto"/>
            <w:noWrap/>
            <w:vAlign w:val="center"/>
            <w:hideMark/>
          </w:tcPr>
          <w:p w14:paraId="1F1ACC3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62185A0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top w:val="single" w:sz="4" w:space="0" w:color="E0301E"/>
              <w:left w:val="nil"/>
              <w:bottom w:val="single" w:sz="4" w:space="0" w:color="E0301E"/>
              <w:right w:val="nil"/>
            </w:tcBorders>
            <w:shd w:val="clear" w:color="auto" w:fill="auto"/>
            <w:noWrap/>
            <w:vAlign w:val="center"/>
            <w:hideMark/>
          </w:tcPr>
          <w:p w14:paraId="5B41A8E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B46A8" w14:paraId="643A8033" w14:textId="77777777" w:rsidTr="00037542">
        <w:trPr>
          <w:trHeight w:hRule="exact" w:val="312"/>
        </w:trPr>
        <w:tc>
          <w:tcPr>
            <w:tcW w:w="3105" w:type="dxa"/>
            <w:tcBorders>
              <w:top w:val="single" w:sz="4" w:space="0" w:color="E0301E"/>
              <w:left w:val="nil"/>
              <w:bottom w:val="single" w:sz="4" w:space="0" w:color="E0301E"/>
              <w:right w:val="nil"/>
            </w:tcBorders>
            <w:shd w:val="clear" w:color="auto" w:fill="auto"/>
            <w:vAlign w:val="center"/>
            <w:hideMark/>
          </w:tcPr>
          <w:p w14:paraId="0BAA9143" w14:textId="77777777" w:rsidR="00037542" w:rsidRPr="00CB46A8" w:rsidRDefault="00037542" w:rsidP="00037542">
            <w:pPr>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Duration in welfare class / system</w:t>
            </w:r>
          </w:p>
        </w:tc>
        <w:tc>
          <w:tcPr>
            <w:tcW w:w="1093" w:type="dxa"/>
            <w:tcBorders>
              <w:top w:val="single" w:sz="4" w:space="0" w:color="E0301E"/>
              <w:left w:val="nil"/>
              <w:bottom w:val="single" w:sz="4" w:space="0" w:color="E0301E"/>
              <w:right w:val="nil"/>
            </w:tcBorders>
            <w:shd w:val="clear" w:color="auto" w:fill="auto"/>
            <w:noWrap/>
            <w:vAlign w:val="center"/>
            <w:hideMark/>
          </w:tcPr>
          <w:p w14:paraId="29937D7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1A4170E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5B94F2E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7C371A6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68FC2C5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top w:val="single" w:sz="4" w:space="0" w:color="E0301E"/>
              <w:left w:val="nil"/>
              <w:bottom w:val="single" w:sz="4" w:space="0" w:color="E0301E"/>
              <w:right w:val="nil"/>
            </w:tcBorders>
            <w:shd w:val="clear" w:color="auto" w:fill="auto"/>
            <w:noWrap/>
            <w:vAlign w:val="center"/>
            <w:hideMark/>
          </w:tcPr>
          <w:p w14:paraId="2D3EFB4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B46A8" w14:paraId="2BBBCF33" w14:textId="77777777" w:rsidTr="00037542">
        <w:trPr>
          <w:trHeight w:hRule="exact" w:val="312"/>
        </w:trPr>
        <w:tc>
          <w:tcPr>
            <w:tcW w:w="3105" w:type="dxa"/>
            <w:tcBorders>
              <w:top w:val="single" w:sz="4" w:space="0" w:color="E0301E"/>
              <w:left w:val="nil"/>
              <w:bottom w:val="single" w:sz="4" w:space="0" w:color="E0301E"/>
              <w:right w:val="nil"/>
            </w:tcBorders>
            <w:shd w:val="clear" w:color="auto" w:fill="auto"/>
            <w:vAlign w:val="center"/>
            <w:hideMark/>
          </w:tcPr>
          <w:p w14:paraId="33550137" w14:textId="77777777" w:rsidR="00037542" w:rsidRPr="00CB46A8" w:rsidRDefault="00037542" w:rsidP="00037542">
            <w:pPr>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Place of Birth / Languages Spoken</w:t>
            </w:r>
          </w:p>
        </w:tc>
        <w:tc>
          <w:tcPr>
            <w:tcW w:w="1093" w:type="dxa"/>
            <w:tcBorders>
              <w:top w:val="single" w:sz="4" w:space="0" w:color="E0301E"/>
              <w:left w:val="nil"/>
              <w:bottom w:val="single" w:sz="4" w:space="0" w:color="E0301E"/>
              <w:right w:val="nil"/>
            </w:tcBorders>
            <w:shd w:val="clear" w:color="auto" w:fill="auto"/>
            <w:noWrap/>
            <w:vAlign w:val="center"/>
            <w:hideMark/>
          </w:tcPr>
          <w:p w14:paraId="5F1C68E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5FF1628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4A5D8B2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01AFC37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93" w:type="dxa"/>
            <w:tcBorders>
              <w:top w:val="single" w:sz="4" w:space="0" w:color="E0301E"/>
              <w:left w:val="nil"/>
              <w:bottom w:val="single" w:sz="4" w:space="0" w:color="E0301E"/>
              <w:right w:val="nil"/>
            </w:tcBorders>
            <w:shd w:val="clear" w:color="auto" w:fill="auto"/>
            <w:noWrap/>
            <w:vAlign w:val="center"/>
            <w:hideMark/>
          </w:tcPr>
          <w:p w14:paraId="4EEA687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top w:val="single" w:sz="4" w:space="0" w:color="E0301E"/>
              <w:left w:val="nil"/>
              <w:bottom w:val="single" w:sz="4" w:space="0" w:color="E0301E"/>
              <w:right w:val="nil"/>
            </w:tcBorders>
            <w:shd w:val="clear" w:color="auto" w:fill="auto"/>
            <w:noWrap/>
            <w:vAlign w:val="center"/>
            <w:hideMark/>
          </w:tcPr>
          <w:p w14:paraId="11B6C54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B46A8" w14:paraId="0BF49CBB" w14:textId="77777777" w:rsidTr="00037542">
        <w:trPr>
          <w:trHeight w:hRule="exact" w:val="312"/>
        </w:trPr>
        <w:tc>
          <w:tcPr>
            <w:tcW w:w="3105" w:type="dxa"/>
            <w:tcBorders>
              <w:top w:val="single" w:sz="4" w:space="0" w:color="E0301E"/>
              <w:left w:val="nil"/>
              <w:bottom w:val="single" w:sz="4" w:space="0" w:color="E0301E"/>
              <w:right w:val="nil"/>
            </w:tcBorders>
            <w:shd w:val="clear" w:color="auto" w:fill="auto"/>
            <w:vAlign w:val="center"/>
            <w:hideMark/>
          </w:tcPr>
          <w:p w14:paraId="5F08A228" w14:textId="77777777" w:rsidR="00037542" w:rsidRPr="00CB46A8" w:rsidRDefault="00037542" w:rsidP="00037542">
            <w:pPr>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Indigenous status</w:t>
            </w:r>
          </w:p>
        </w:tc>
        <w:tc>
          <w:tcPr>
            <w:tcW w:w="1093" w:type="dxa"/>
            <w:tcBorders>
              <w:top w:val="single" w:sz="4" w:space="0" w:color="E0301E"/>
              <w:left w:val="nil"/>
              <w:bottom w:val="single" w:sz="4" w:space="0" w:color="E0301E"/>
              <w:right w:val="nil"/>
            </w:tcBorders>
            <w:shd w:val="clear" w:color="auto" w:fill="auto"/>
            <w:noWrap/>
            <w:vAlign w:val="center"/>
            <w:hideMark/>
          </w:tcPr>
          <w:p w14:paraId="6941AF1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17E63DE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76E0894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1EFF268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3" w:type="dxa"/>
            <w:tcBorders>
              <w:top w:val="single" w:sz="4" w:space="0" w:color="E0301E"/>
              <w:left w:val="nil"/>
              <w:bottom w:val="single" w:sz="4" w:space="0" w:color="E0301E"/>
              <w:right w:val="nil"/>
            </w:tcBorders>
            <w:shd w:val="clear" w:color="auto" w:fill="auto"/>
            <w:noWrap/>
            <w:vAlign w:val="center"/>
            <w:hideMark/>
          </w:tcPr>
          <w:p w14:paraId="3D76230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top w:val="single" w:sz="4" w:space="0" w:color="E0301E"/>
              <w:left w:val="nil"/>
              <w:bottom w:val="single" w:sz="4" w:space="0" w:color="E0301E"/>
              <w:right w:val="nil"/>
            </w:tcBorders>
            <w:shd w:val="clear" w:color="auto" w:fill="auto"/>
            <w:noWrap/>
            <w:vAlign w:val="center"/>
            <w:hideMark/>
          </w:tcPr>
          <w:p w14:paraId="782A5B1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CB46A8" w14:paraId="102D13E2" w14:textId="77777777" w:rsidTr="00037542">
        <w:trPr>
          <w:trHeight w:hRule="exact" w:val="312"/>
        </w:trPr>
        <w:tc>
          <w:tcPr>
            <w:tcW w:w="3105" w:type="dxa"/>
            <w:tcBorders>
              <w:top w:val="single" w:sz="4" w:space="0" w:color="E0301E"/>
              <w:left w:val="nil"/>
              <w:bottom w:val="single" w:sz="4" w:space="0" w:color="E0301E"/>
              <w:right w:val="nil"/>
            </w:tcBorders>
            <w:shd w:val="clear" w:color="auto" w:fill="auto"/>
            <w:vAlign w:val="center"/>
            <w:hideMark/>
          </w:tcPr>
          <w:p w14:paraId="422D67A8" w14:textId="77777777" w:rsidR="00037542" w:rsidRPr="00CB46A8" w:rsidRDefault="00037542" w:rsidP="00037542">
            <w:pPr>
              <w:kinsoku/>
              <w:overflowPunct/>
              <w:autoSpaceDE/>
              <w:autoSpaceDN/>
              <w:adjustRightInd/>
              <w:snapToGrid/>
              <w:rPr>
                <w:rFonts w:ascii="Arial" w:hAnsi="Arial"/>
                <w:snapToGrid/>
                <w:color w:val="000000"/>
                <w:sz w:val="16"/>
                <w:szCs w:val="16"/>
                <w:lang w:eastAsia="en-AU"/>
              </w:rPr>
            </w:pPr>
            <w:r w:rsidRPr="00CB46A8">
              <w:rPr>
                <w:rFonts w:ascii="Arial" w:hAnsi="Arial"/>
                <w:snapToGrid/>
                <w:color w:val="000000"/>
                <w:sz w:val="16"/>
                <w:szCs w:val="16"/>
                <w:lang w:eastAsia="en-AU"/>
              </w:rPr>
              <w:t>Previous welfare utilisation</w:t>
            </w:r>
          </w:p>
        </w:tc>
        <w:tc>
          <w:tcPr>
            <w:tcW w:w="1093" w:type="dxa"/>
            <w:tcBorders>
              <w:top w:val="single" w:sz="4" w:space="0" w:color="E0301E"/>
              <w:left w:val="nil"/>
              <w:bottom w:val="single" w:sz="4" w:space="0" w:color="E0301E"/>
              <w:right w:val="nil"/>
            </w:tcBorders>
            <w:shd w:val="clear" w:color="auto" w:fill="auto"/>
            <w:noWrap/>
            <w:vAlign w:val="center"/>
            <w:hideMark/>
          </w:tcPr>
          <w:p w14:paraId="62EE7AE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71EF1A0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93" w:type="dxa"/>
            <w:tcBorders>
              <w:top w:val="single" w:sz="4" w:space="0" w:color="E0301E"/>
              <w:left w:val="nil"/>
              <w:bottom w:val="single" w:sz="4" w:space="0" w:color="E0301E"/>
              <w:right w:val="nil"/>
            </w:tcBorders>
            <w:shd w:val="clear" w:color="auto" w:fill="auto"/>
            <w:noWrap/>
            <w:vAlign w:val="center"/>
            <w:hideMark/>
          </w:tcPr>
          <w:p w14:paraId="7CC6A4B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094" w:type="dxa"/>
            <w:tcBorders>
              <w:top w:val="single" w:sz="4" w:space="0" w:color="E0301E"/>
              <w:left w:val="nil"/>
              <w:bottom w:val="single" w:sz="4" w:space="0" w:color="E0301E"/>
              <w:right w:val="nil"/>
            </w:tcBorders>
            <w:shd w:val="clear" w:color="auto" w:fill="auto"/>
            <w:noWrap/>
            <w:vAlign w:val="center"/>
            <w:hideMark/>
          </w:tcPr>
          <w:p w14:paraId="6BAA95A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093" w:type="dxa"/>
            <w:tcBorders>
              <w:top w:val="single" w:sz="4" w:space="0" w:color="E0301E"/>
              <w:left w:val="nil"/>
              <w:bottom w:val="single" w:sz="4" w:space="0" w:color="E0301E"/>
              <w:right w:val="nil"/>
            </w:tcBorders>
            <w:shd w:val="clear" w:color="auto" w:fill="auto"/>
            <w:noWrap/>
            <w:vAlign w:val="center"/>
            <w:hideMark/>
          </w:tcPr>
          <w:p w14:paraId="0A3B8A3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N/A</w:t>
            </w:r>
          </w:p>
        </w:tc>
        <w:tc>
          <w:tcPr>
            <w:tcW w:w="1094" w:type="dxa"/>
            <w:tcBorders>
              <w:top w:val="single" w:sz="4" w:space="0" w:color="E0301E"/>
              <w:left w:val="nil"/>
              <w:bottom w:val="single" w:sz="4" w:space="0" w:color="E0301E"/>
              <w:right w:val="nil"/>
            </w:tcBorders>
            <w:shd w:val="clear" w:color="auto" w:fill="auto"/>
            <w:noWrap/>
            <w:vAlign w:val="center"/>
            <w:hideMark/>
          </w:tcPr>
          <w:p w14:paraId="293277D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bl>
    <w:p w14:paraId="2C607A3A" w14:textId="77777777" w:rsidR="00037542" w:rsidRDefault="00037542" w:rsidP="009B58B4">
      <w:pPr>
        <w:pStyle w:val="PwCNormal"/>
      </w:pPr>
    </w:p>
    <w:p w14:paraId="0C3DD499" w14:textId="77777777" w:rsidR="00037542" w:rsidRDefault="00037542" w:rsidP="00037542">
      <w:pPr>
        <w:pStyle w:val="HeadingCoverPageSecond"/>
        <w:rPr>
          <w:color w:val="E0301E"/>
          <w:sz w:val="24"/>
          <w:szCs w:val="24"/>
        </w:rPr>
      </w:pPr>
      <w:r>
        <w:br w:type="page"/>
      </w:r>
    </w:p>
    <w:p w14:paraId="3B1196AC" w14:textId="77777777" w:rsidR="00037542" w:rsidRPr="00E8545D" w:rsidRDefault="00037542" w:rsidP="00037542">
      <w:pPr>
        <w:pStyle w:val="Majorheading"/>
        <w:rPr>
          <w:snapToGrid/>
        </w:rPr>
      </w:pPr>
      <w:r w:rsidRPr="00E8545D">
        <w:lastRenderedPageBreak/>
        <w:t>Class characteristic variable assumptions</w:t>
      </w:r>
    </w:p>
    <w:p w14:paraId="2CCE1AF4" w14:textId="77777777" w:rsidR="00037542" w:rsidRDefault="00037542" w:rsidP="00037542">
      <w:pPr>
        <w:pStyle w:val="PwCNormal"/>
        <w:numPr>
          <w:ilvl w:val="0"/>
          <w:numId w:val="37"/>
        </w:numPr>
      </w:pPr>
      <w:r w:rsidRPr="00E8545D">
        <w:t xml:space="preserve">The assumption approaches adopted for each class characteristic variable are summarised below. Risk models were adopted where there were significant differences in behaviour between individuals based on characteristics not captured in the foundation models. </w:t>
      </w:r>
    </w:p>
    <w:p w14:paraId="79ECCDA4" w14:textId="77777777" w:rsidR="00037542" w:rsidRPr="00E8545D" w:rsidRDefault="00037542" w:rsidP="00037542">
      <w:pPr>
        <w:pStyle w:val="Caption"/>
      </w:pPr>
      <w:r w:rsidRPr="008856B6">
        <w:t xml:space="preserve">Table </w:t>
      </w:r>
      <w:fldSimple w:instr=" SEQ Table \* ARABIC ">
        <w:r w:rsidR="007A42DF">
          <w:rPr>
            <w:noProof/>
          </w:rPr>
          <w:t>68</w:t>
        </w:r>
      </w:fldSimple>
      <w:r w:rsidRPr="008856B6">
        <w:t xml:space="preserve">: </w:t>
      </w:r>
      <w:r>
        <w:t>Approaches and factors used in class characteristic variable assumptions</w:t>
      </w:r>
    </w:p>
    <w:tbl>
      <w:tblPr>
        <w:tblW w:w="10075" w:type="dxa"/>
        <w:tblInd w:w="-10" w:type="dxa"/>
        <w:tblBorders>
          <w:bottom w:val="single" w:sz="4" w:space="0" w:color="E0301E" w:themeColor="accent6"/>
          <w:insideH w:val="single" w:sz="4" w:space="0" w:color="E0301E" w:themeColor="accent6"/>
        </w:tblBorders>
        <w:tblLayout w:type="fixed"/>
        <w:tblCellMar>
          <w:left w:w="0" w:type="dxa"/>
          <w:right w:w="11" w:type="dxa"/>
        </w:tblCellMar>
        <w:tblLook w:val="04A0" w:firstRow="1" w:lastRow="0" w:firstColumn="1" w:lastColumn="0" w:noHBand="0" w:noVBand="1"/>
        <w:tblCaption w:val="Approaches and factors used in class characteristic variable assumptions"/>
        <w:tblDescription w:val="This table shows the factors considered for the initial determination of class characteristic variables when people first enter into the relevant class. In subsequent years, some variables are modelled dynamically and others are treated as static. The report provides further information for each variable.&#10;Across the top row of the table are listed 8 class characteristic variables: Primary care recipient age, primary care recipient relationship, primary care recipient medical condition, primary medical condition, number of child care recipients, number of adult care recipients, indicator for future earnings in year and payment type.&#10;&#10;For each class characteristic variable, the relevant classes are listed in the next row of the table. Down the left hand side are listed 15 variables that are used for one or more of the class characteristic variables: age, gender, class, partner status, number of dependent children, age of dependent children, highest education level obtained, Indigenous status, previous class, duration in class, primary care recipient age, number of adult care recipients, number of children care recipients, earnings and payment type.&#10;&#10;For the primary care recipient age and primary care recipient relationship class characteristic variables, the relevant class is class 4 and the variables considered are age, gender, class, previous class and primary care recipient age.&#10;&#10;For the primary care recipient medical condition class characteristic variable, the relevant class is class 4 and the variables considered are gender, class, previous class and primary care recipient age.&#10;&#10;For the primary medical condition class characteristic variable, the relevant class is class 5 and the variables considered are age, gender, class and previous class.&#10;&#10;For the number of children care recipients class characteristic variable, the relevant class is class 8 and the variables considered are age, gender, class, previous class and number of child care recipients.&#10;&#10;For the number of adult care recipients class characteristic variable, the relevant class is class 8 and the variables considered are age, gender, class, previous class, number of adult care recipients and number of child care recipients.&#10;&#10;For the indicator for earnings in year class characteristic variable, the relevant class are 1, 2, 3, 4 and 5. For classes 1 and 2, all variables are considered except primary care recipient age, number of adult care recipients and number of child care recipients. For classes 3, 4 and 5, the variables considered are age, gender, class, previous class and earnings.&#10;&#10;For the payment type class characteristic variable, the relevant classes are 1, 2 and 3. For class 1, the variables considered are age, gender, class, Indigenous status, previous class and payment type. For class 2, all variables are considered except duration in class, primary care recipient age, number of adult care recipients and number of children care recipients. For class 3, the variables considered are age, gender, class, partner status, previous class and payment type.&#10;"/>
      </w:tblPr>
      <w:tblGrid>
        <w:gridCol w:w="1333"/>
        <w:gridCol w:w="804"/>
        <w:gridCol w:w="992"/>
        <w:gridCol w:w="992"/>
        <w:gridCol w:w="851"/>
        <w:gridCol w:w="850"/>
        <w:gridCol w:w="851"/>
        <w:gridCol w:w="850"/>
        <w:gridCol w:w="851"/>
        <w:gridCol w:w="567"/>
        <w:gridCol w:w="567"/>
        <w:gridCol w:w="567"/>
      </w:tblGrid>
      <w:tr w:rsidR="00721328" w:rsidRPr="00CE4F9C" w14:paraId="20DBFA0E" w14:textId="77777777" w:rsidTr="002B6E6E">
        <w:trPr>
          <w:trHeight w:val="271"/>
          <w:tblHeader/>
        </w:trPr>
        <w:tc>
          <w:tcPr>
            <w:tcW w:w="1333" w:type="dxa"/>
            <w:shd w:val="clear" w:color="auto" w:fill="E0301E"/>
            <w:vAlign w:val="center"/>
          </w:tcPr>
          <w:p w14:paraId="01FA3AA1" w14:textId="16748886" w:rsidR="00721328" w:rsidRPr="00CE4F9C" w:rsidRDefault="00721328" w:rsidP="00721328">
            <w:pPr>
              <w:pStyle w:val="TableColumnHeadingSmall"/>
            </w:pPr>
            <w:r>
              <w:rPr>
                <w:lang w:eastAsia="en-AU"/>
              </w:rPr>
              <w:t xml:space="preserve"> </w:t>
            </w:r>
            <w:r w:rsidRPr="00227D1E">
              <w:rPr>
                <w:lang w:eastAsia="en-AU"/>
              </w:rPr>
              <w:t>Model</w:t>
            </w:r>
          </w:p>
        </w:tc>
        <w:tc>
          <w:tcPr>
            <w:tcW w:w="804" w:type="dxa"/>
            <w:shd w:val="clear" w:color="auto" w:fill="E0301E"/>
            <w:noWrap/>
            <w:vAlign w:val="center"/>
          </w:tcPr>
          <w:p w14:paraId="77A7D1CE" w14:textId="66E74457" w:rsidR="00721328" w:rsidRPr="00CE4F9C" w:rsidRDefault="00721328" w:rsidP="00874169">
            <w:pPr>
              <w:pStyle w:val="TableColumnHeadingSmall"/>
              <w:jc w:val="center"/>
            </w:pPr>
            <w:r w:rsidRPr="00227D1E">
              <w:rPr>
                <w:lang w:eastAsia="en-AU"/>
              </w:rPr>
              <w:t xml:space="preserve">Primary </w:t>
            </w:r>
            <w:r w:rsidR="00874169">
              <w:rPr>
                <w:lang w:eastAsia="en-AU"/>
              </w:rPr>
              <w:t xml:space="preserve">Care Recipient </w:t>
            </w:r>
            <w:r w:rsidRPr="00227D1E">
              <w:rPr>
                <w:lang w:eastAsia="en-AU"/>
              </w:rPr>
              <w:t>Age</w:t>
            </w:r>
          </w:p>
        </w:tc>
        <w:tc>
          <w:tcPr>
            <w:tcW w:w="992" w:type="dxa"/>
            <w:shd w:val="clear" w:color="auto" w:fill="E0301E"/>
            <w:noWrap/>
            <w:vAlign w:val="center"/>
          </w:tcPr>
          <w:p w14:paraId="7C28C931" w14:textId="11027673" w:rsidR="00721328" w:rsidRPr="00CE4F9C" w:rsidRDefault="00721328" w:rsidP="00874169">
            <w:pPr>
              <w:pStyle w:val="TableColumnHeadingSmall"/>
              <w:jc w:val="center"/>
            </w:pPr>
            <w:r>
              <w:rPr>
                <w:lang w:eastAsia="en-AU"/>
              </w:rPr>
              <w:t xml:space="preserve">Primary </w:t>
            </w:r>
            <w:r w:rsidR="00874169">
              <w:rPr>
                <w:lang w:eastAsia="en-AU"/>
              </w:rPr>
              <w:t xml:space="preserve">Care Recipient </w:t>
            </w:r>
            <w:r>
              <w:rPr>
                <w:lang w:eastAsia="en-AU"/>
              </w:rPr>
              <w:t>R</w:t>
            </w:r>
            <w:r w:rsidR="00874169">
              <w:rPr>
                <w:lang w:eastAsia="en-AU"/>
              </w:rPr>
              <w:t>elation</w:t>
            </w:r>
            <w:r>
              <w:rPr>
                <w:lang w:eastAsia="en-AU"/>
              </w:rPr>
              <w:t>ship</w:t>
            </w:r>
          </w:p>
        </w:tc>
        <w:tc>
          <w:tcPr>
            <w:tcW w:w="992" w:type="dxa"/>
            <w:shd w:val="clear" w:color="auto" w:fill="E0301E"/>
            <w:noWrap/>
            <w:vAlign w:val="center"/>
          </w:tcPr>
          <w:p w14:paraId="43BB4939" w14:textId="2686D98B" w:rsidR="00721328" w:rsidRPr="00CE4F9C" w:rsidRDefault="00721328" w:rsidP="00874169">
            <w:pPr>
              <w:pStyle w:val="TableColumnHeadingSmall"/>
              <w:jc w:val="center"/>
            </w:pPr>
            <w:r w:rsidRPr="00227D1E">
              <w:rPr>
                <w:lang w:eastAsia="en-AU"/>
              </w:rPr>
              <w:t xml:space="preserve">Primary </w:t>
            </w:r>
            <w:r w:rsidR="00874169">
              <w:rPr>
                <w:lang w:eastAsia="en-AU"/>
              </w:rPr>
              <w:t xml:space="preserve">Care Recipient </w:t>
            </w:r>
            <w:r w:rsidRPr="00227D1E">
              <w:rPr>
                <w:lang w:eastAsia="en-AU"/>
              </w:rPr>
              <w:t>Medical Condition</w:t>
            </w:r>
          </w:p>
        </w:tc>
        <w:tc>
          <w:tcPr>
            <w:tcW w:w="851" w:type="dxa"/>
            <w:shd w:val="clear" w:color="auto" w:fill="E0301E"/>
            <w:noWrap/>
            <w:vAlign w:val="center"/>
          </w:tcPr>
          <w:p w14:paraId="02F4E342" w14:textId="5E8C78C0" w:rsidR="00721328" w:rsidRPr="00CE4F9C" w:rsidRDefault="00721328" w:rsidP="00721328">
            <w:pPr>
              <w:pStyle w:val="TableColumnHeadingSmall"/>
              <w:jc w:val="center"/>
            </w:pPr>
            <w:r w:rsidRPr="00227D1E">
              <w:rPr>
                <w:lang w:eastAsia="en-AU"/>
              </w:rPr>
              <w:t>Primary Medical Condition</w:t>
            </w:r>
          </w:p>
        </w:tc>
        <w:tc>
          <w:tcPr>
            <w:tcW w:w="850" w:type="dxa"/>
            <w:shd w:val="clear" w:color="auto" w:fill="E0301E"/>
            <w:noWrap/>
            <w:vAlign w:val="center"/>
          </w:tcPr>
          <w:p w14:paraId="07BEFC66" w14:textId="28CF87FB" w:rsidR="00721328" w:rsidRPr="00CE4F9C" w:rsidRDefault="00721328" w:rsidP="002B6E6E">
            <w:pPr>
              <w:pStyle w:val="TableColumnHeadingSmall"/>
              <w:jc w:val="center"/>
            </w:pPr>
            <w:r w:rsidRPr="00227D1E">
              <w:rPr>
                <w:lang w:eastAsia="en-AU"/>
              </w:rPr>
              <w:t>Number of Child Care</w:t>
            </w:r>
            <w:r w:rsidR="002B6E6E">
              <w:rPr>
                <w:lang w:eastAsia="en-AU"/>
              </w:rPr>
              <w:t xml:space="preserve"> Recipients</w:t>
            </w:r>
          </w:p>
        </w:tc>
        <w:tc>
          <w:tcPr>
            <w:tcW w:w="851" w:type="dxa"/>
            <w:tcBorders>
              <w:right w:val="single" w:sz="4" w:space="0" w:color="F3ABA4" w:themeColor="accent6" w:themeTint="66"/>
            </w:tcBorders>
            <w:shd w:val="clear" w:color="auto" w:fill="E0301E"/>
            <w:noWrap/>
            <w:vAlign w:val="center"/>
          </w:tcPr>
          <w:p w14:paraId="44E588FB" w14:textId="3CA06720" w:rsidR="00721328" w:rsidRPr="00CE4F9C" w:rsidRDefault="00721328" w:rsidP="002B6E6E">
            <w:pPr>
              <w:pStyle w:val="TableColumnHeadingSmall"/>
              <w:jc w:val="center"/>
            </w:pPr>
            <w:r w:rsidRPr="00227D1E">
              <w:rPr>
                <w:lang w:eastAsia="en-AU"/>
              </w:rPr>
              <w:t>Number of Adult Care</w:t>
            </w:r>
            <w:r w:rsidR="002B6E6E">
              <w:rPr>
                <w:lang w:eastAsia="en-AU"/>
              </w:rPr>
              <w:t xml:space="preserve"> Recipients</w:t>
            </w:r>
          </w:p>
        </w:tc>
        <w:tc>
          <w:tcPr>
            <w:tcW w:w="850" w:type="dxa"/>
            <w:tcBorders>
              <w:top w:val="single" w:sz="4" w:space="0" w:color="E0301E" w:themeColor="accent6"/>
              <w:left w:val="single" w:sz="4" w:space="0" w:color="F3ABA4" w:themeColor="accent6" w:themeTint="66"/>
            </w:tcBorders>
            <w:shd w:val="clear" w:color="auto" w:fill="E0301E"/>
            <w:noWrap/>
            <w:vAlign w:val="center"/>
          </w:tcPr>
          <w:p w14:paraId="34C4F14C" w14:textId="5EE83452" w:rsidR="00721328" w:rsidRPr="00CE4F9C" w:rsidRDefault="00721328" w:rsidP="00721328">
            <w:pPr>
              <w:pStyle w:val="TableColumnHeadingSmall"/>
              <w:jc w:val="center"/>
            </w:pPr>
            <w:r>
              <w:t>Earnings Indicator</w:t>
            </w:r>
          </w:p>
        </w:tc>
        <w:tc>
          <w:tcPr>
            <w:tcW w:w="851" w:type="dxa"/>
            <w:tcBorders>
              <w:right w:val="single" w:sz="4" w:space="0" w:color="F3ABA4" w:themeColor="accent6" w:themeTint="66"/>
            </w:tcBorders>
            <w:shd w:val="clear" w:color="auto" w:fill="E0301E"/>
            <w:noWrap/>
            <w:vAlign w:val="center"/>
          </w:tcPr>
          <w:p w14:paraId="0269BF4A" w14:textId="0D2C15CB" w:rsidR="00721328" w:rsidRPr="00CE4F9C" w:rsidRDefault="00721328" w:rsidP="00721328">
            <w:pPr>
              <w:pStyle w:val="TableColumnHeadingSmall"/>
              <w:jc w:val="center"/>
            </w:pPr>
            <w:r>
              <w:t>Earnings Indicator</w:t>
            </w:r>
          </w:p>
        </w:tc>
        <w:tc>
          <w:tcPr>
            <w:tcW w:w="567" w:type="dxa"/>
            <w:tcBorders>
              <w:top w:val="single" w:sz="4" w:space="0" w:color="E0301E" w:themeColor="accent6"/>
              <w:left w:val="single" w:sz="4" w:space="0" w:color="F3ABA4" w:themeColor="accent6" w:themeTint="66"/>
            </w:tcBorders>
            <w:shd w:val="clear" w:color="auto" w:fill="E0301E"/>
            <w:noWrap/>
            <w:vAlign w:val="center"/>
          </w:tcPr>
          <w:p w14:paraId="2DDC22B8" w14:textId="6F4CC4B7" w:rsidR="00721328" w:rsidRPr="00CE4F9C" w:rsidRDefault="00721328" w:rsidP="00721328">
            <w:pPr>
              <w:pStyle w:val="TableColumnHeadingSmall"/>
              <w:jc w:val="center"/>
            </w:pPr>
            <w:r>
              <w:t>Paymt Type</w:t>
            </w:r>
          </w:p>
        </w:tc>
        <w:tc>
          <w:tcPr>
            <w:tcW w:w="567" w:type="dxa"/>
            <w:tcBorders>
              <w:top w:val="single" w:sz="4" w:space="0" w:color="E0301E" w:themeColor="accent6"/>
            </w:tcBorders>
            <w:shd w:val="clear" w:color="auto" w:fill="E0301E"/>
            <w:noWrap/>
            <w:vAlign w:val="center"/>
          </w:tcPr>
          <w:p w14:paraId="712CC675" w14:textId="6CF1E65F" w:rsidR="00721328" w:rsidRPr="00CE4F9C" w:rsidRDefault="00721328" w:rsidP="00721328">
            <w:pPr>
              <w:pStyle w:val="TableColumnHeadingSmall"/>
              <w:jc w:val="center"/>
            </w:pPr>
            <w:r>
              <w:t>Paymt Type</w:t>
            </w:r>
          </w:p>
        </w:tc>
        <w:tc>
          <w:tcPr>
            <w:tcW w:w="567" w:type="dxa"/>
            <w:shd w:val="clear" w:color="auto" w:fill="E0301E"/>
            <w:noWrap/>
            <w:vAlign w:val="center"/>
          </w:tcPr>
          <w:p w14:paraId="5DC670A3" w14:textId="64F0BFC9" w:rsidR="00721328" w:rsidRPr="00CE4F9C" w:rsidRDefault="00721328" w:rsidP="00721328">
            <w:pPr>
              <w:pStyle w:val="TableColumnHeadingSmall"/>
              <w:jc w:val="center"/>
            </w:pPr>
            <w:r>
              <w:t>Paymt Type</w:t>
            </w:r>
          </w:p>
        </w:tc>
      </w:tr>
      <w:tr w:rsidR="00721328" w:rsidRPr="00CE4F9C" w14:paraId="14A5F45B" w14:textId="77777777" w:rsidTr="002B6E6E">
        <w:trPr>
          <w:trHeight w:val="271"/>
          <w:tblHeader/>
        </w:trPr>
        <w:tc>
          <w:tcPr>
            <w:tcW w:w="1333" w:type="dxa"/>
            <w:shd w:val="clear" w:color="auto" w:fill="E0301E"/>
            <w:vAlign w:val="center"/>
            <w:hideMark/>
          </w:tcPr>
          <w:p w14:paraId="6173BD4F" w14:textId="77777777" w:rsidR="00721328" w:rsidRPr="00CE4F9C" w:rsidRDefault="00721328" w:rsidP="00721328">
            <w:pPr>
              <w:pStyle w:val="TableColumnHeadingSmall"/>
            </w:pPr>
            <w:r w:rsidRPr="00CE4F9C">
              <w:t>Class</w:t>
            </w:r>
          </w:p>
        </w:tc>
        <w:tc>
          <w:tcPr>
            <w:tcW w:w="804" w:type="dxa"/>
            <w:shd w:val="clear" w:color="auto" w:fill="E0301E"/>
            <w:noWrap/>
            <w:vAlign w:val="center"/>
            <w:hideMark/>
          </w:tcPr>
          <w:p w14:paraId="30325C63" w14:textId="77777777" w:rsidR="00721328" w:rsidRPr="00CE4F9C" w:rsidRDefault="00721328" w:rsidP="00721328">
            <w:pPr>
              <w:pStyle w:val="TableColumnHeadingSmall"/>
              <w:jc w:val="center"/>
            </w:pPr>
            <w:r w:rsidRPr="00CE4F9C">
              <w:t>4</w:t>
            </w:r>
          </w:p>
        </w:tc>
        <w:tc>
          <w:tcPr>
            <w:tcW w:w="992" w:type="dxa"/>
            <w:shd w:val="clear" w:color="auto" w:fill="E0301E"/>
            <w:noWrap/>
            <w:vAlign w:val="center"/>
            <w:hideMark/>
          </w:tcPr>
          <w:p w14:paraId="170F0FE5" w14:textId="77777777" w:rsidR="00721328" w:rsidRPr="00CE4F9C" w:rsidRDefault="00721328" w:rsidP="00721328">
            <w:pPr>
              <w:pStyle w:val="TableColumnHeadingSmall"/>
              <w:jc w:val="center"/>
            </w:pPr>
            <w:r w:rsidRPr="00CE4F9C">
              <w:t>4</w:t>
            </w:r>
          </w:p>
        </w:tc>
        <w:tc>
          <w:tcPr>
            <w:tcW w:w="992" w:type="dxa"/>
            <w:shd w:val="clear" w:color="auto" w:fill="E0301E"/>
            <w:noWrap/>
            <w:vAlign w:val="center"/>
            <w:hideMark/>
          </w:tcPr>
          <w:p w14:paraId="37E17412" w14:textId="77777777" w:rsidR="00721328" w:rsidRPr="00CE4F9C" w:rsidRDefault="00721328" w:rsidP="00721328">
            <w:pPr>
              <w:pStyle w:val="TableColumnHeadingSmall"/>
              <w:jc w:val="center"/>
            </w:pPr>
            <w:r w:rsidRPr="00CE4F9C">
              <w:t>4</w:t>
            </w:r>
          </w:p>
        </w:tc>
        <w:tc>
          <w:tcPr>
            <w:tcW w:w="851" w:type="dxa"/>
            <w:shd w:val="clear" w:color="auto" w:fill="E0301E"/>
            <w:noWrap/>
            <w:vAlign w:val="center"/>
            <w:hideMark/>
          </w:tcPr>
          <w:p w14:paraId="5F2EB300" w14:textId="77777777" w:rsidR="00721328" w:rsidRPr="00CE4F9C" w:rsidRDefault="00721328" w:rsidP="00721328">
            <w:pPr>
              <w:pStyle w:val="TableColumnHeadingSmall"/>
              <w:jc w:val="center"/>
            </w:pPr>
            <w:r w:rsidRPr="00CE4F9C">
              <w:t>5</w:t>
            </w:r>
          </w:p>
        </w:tc>
        <w:tc>
          <w:tcPr>
            <w:tcW w:w="850" w:type="dxa"/>
            <w:shd w:val="clear" w:color="auto" w:fill="E0301E"/>
            <w:noWrap/>
            <w:vAlign w:val="center"/>
            <w:hideMark/>
          </w:tcPr>
          <w:p w14:paraId="1D95E663" w14:textId="77777777" w:rsidR="00721328" w:rsidRPr="00CE4F9C" w:rsidRDefault="00721328" w:rsidP="00721328">
            <w:pPr>
              <w:pStyle w:val="TableColumnHeadingSmall"/>
              <w:jc w:val="center"/>
            </w:pPr>
            <w:r w:rsidRPr="00CE4F9C">
              <w:t>8</w:t>
            </w:r>
          </w:p>
        </w:tc>
        <w:tc>
          <w:tcPr>
            <w:tcW w:w="851" w:type="dxa"/>
            <w:tcBorders>
              <w:right w:val="single" w:sz="4" w:space="0" w:color="F3ABA4" w:themeColor="accent6" w:themeTint="66"/>
            </w:tcBorders>
            <w:shd w:val="clear" w:color="auto" w:fill="E0301E"/>
            <w:noWrap/>
            <w:vAlign w:val="center"/>
            <w:hideMark/>
          </w:tcPr>
          <w:p w14:paraId="1AB42036" w14:textId="77777777" w:rsidR="00721328" w:rsidRPr="00CE4F9C" w:rsidRDefault="00721328" w:rsidP="00721328">
            <w:pPr>
              <w:pStyle w:val="TableColumnHeadingSmall"/>
              <w:jc w:val="center"/>
            </w:pPr>
            <w:r w:rsidRPr="00CE4F9C">
              <w:t>8</w:t>
            </w:r>
          </w:p>
        </w:tc>
        <w:tc>
          <w:tcPr>
            <w:tcW w:w="850" w:type="dxa"/>
            <w:tcBorders>
              <w:top w:val="single" w:sz="4" w:space="0" w:color="E0301E" w:themeColor="accent6"/>
              <w:left w:val="single" w:sz="4" w:space="0" w:color="F3ABA4" w:themeColor="accent6" w:themeTint="66"/>
            </w:tcBorders>
            <w:shd w:val="clear" w:color="auto" w:fill="E0301E"/>
            <w:noWrap/>
            <w:vAlign w:val="center"/>
            <w:hideMark/>
          </w:tcPr>
          <w:p w14:paraId="0B446C98" w14:textId="77777777" w:rsidR="00721328" w:rsidRPr="00CE4F9C" w:rsidRDefault="00721328" w:rsidP="00721328">
            <w:pPr>
              <w:pStyle w:val="TableColumnHeadingSmall"/>
              <w:jc w:val="center"/>
            </w:pPr>
            <w:r w:rsidRPr="00CE4F9C">
              <w:t>1,2</w:t>
            </w:r>
          </w:p>
        </w:tc>
        <w:tc>
          <w:tcPr>
            <w:tcW w:w="851" w:type="dxa"/>
            <w:tcBorders>
              <w:right w:val="single" w:sz="4" w:space="0" w:color="F3ABA4" w:themeColor="accent6" w:themeTint="66"/>
            </w:tcBorders>
            <w:shd w:val="clear" w:color="auto" w:fill="E0301E"/>
            <w:noWrap/>
            <w:vAlign w:val="center"/>
            <w:hideMark/>
          </w:tcPr>
          <w:p w14:paraId="5B06C6CE" w14:textId="77777777" w:rsidR="00721328" w:rsidRPr="00CE4F9C" w:rsidRDefault="00721328" w:rsidP="00721328">
            <w:pPr>
              <w:pStyle w:val="TableColumnHeadingSmall"/>
              <w:jc w:val="center"/>
            </w:pPr>
            <w:r w:rsidRPr="00CE4F9C">
              <w:t>3,4,5</w:t>
            </w:r>
          </w:p>
        </w:tc>
        <w:tc>
          <w:tcPr>
            <w:tcW w:w="567" w:type="dxa"/>
            <w:tcBorders>
              <w:top w:val="single" w:sz="4" w:space="0" w:color="E0301E" w:themeColor="accent6"/>
              <w:left w:val="single" w:sz="4" w:space="0" w:color="F3ABA4" w:themeColor="accent6" w:themeTint="66"/>
            </w:tcBorders>
            <w:shd w:val="clear" w:color="auto" w:fill="E0301E"/>
            <w:noWrap/>
            <w:vAlign w:val="center"/>
            <w:hideMark/>
          </w:tcPr>
          <w:p w14:paraId="2E05A088" w14:textId="77777777" w:rsidR="00721328" w:rsidRPr="00CE4F9C" w:rsidRDefault="00721328" w:rsidP="00721328">
            <w:pPr>
              <w:pStyle w:val="TableColumnHeadingSmall"/>
              <w:jc w:val="center"/>
            </w:pPr>
            <w:r w:rsidRPr="00CE4F9C">
              <w:t>1</w:t>
            </w:r>
          </w:p>
        </w:tc>
        <w:tc>
          <w:tcPr>
            <w:tcW w:w="567" w:type="dxa"/>
            <w:tcBorders>
              <w:top w:val="single" w:sz="4" w:space="0" w:color="E0301E" w:themeColor="accent6"/>
            </w:tcBorders>
            <w:shd w:val="clear" w:color="auto" w:fill="E0301E"/>
            <w:noWrap/>
            <w:vAlign w:val="center"/>
            <w:hideMark/>
          </w:tcPr>
          <w:p w14:paraId="28EC5720" w14:textId="77777777" w:rsidR="00721328" w:rsidRPr="00CE4F9C" w:rsidRDefault="00721328" w:rsidP="00721328">
            <w:pPr>
              <w:pStyle w:val="TableColumnHeadingSmall"/>
              <w:jc w:val="center"/>
            </w:pPr>
            <w:r w:rsidRPr="00CE4F9C">
              <w:t>2</w:t>
            </w:r>
          </w:p>
        </w:tc>
        <w:tc>
          <w:tcPr>
            <w:tcW w:w="567" w:type="dxa"/>
            <w:shd w:val="clear" w:color="auto" w:fill="E0301E"/>
            <w:noWrap/>
            <w:vAlign w:val="center"/>
            <w:hideMark/>
          </w:tcPr>
          <w:p w14:paraId="0DD738AD" w14:textId="77777777" w:rsidR="00721328" w:rsidRPr="00CE4F9C" w:rsidRDefault="00721328" w:rsidP="00721328">
            <w:pPr>
              <w:pStyle w:val="TableColumnHeadingSmall"/>
              <w:jc w:val="center"/>
            </w:pPr>
            <w:r w:rsidRPr="00CE4F9C">
              <w:t>3</w:t>
            </w:r>
          </w:p>
        </w:tc>
      </w:tr>
      <w:tr w:rsidR="00721328" w:rsidRPr="00227D1E" w14:paraId="2AB4B6AB" w14:textId="77777777" w:rsidTr="002B6E6E">
        <w:trPr>
          <w:trHeight w:val="406"/>
          <w:tblHeader/>
        </w:trPr>
        <w:tc>
          <w:tcPr>
            <w:tcW w:w="1333" w:type="dxa"/>
            <w:tcBorders>
              <w:top w:val="nil"/>
              <w:bottom w:val="nil"/>
              <w:right w:val="nil"/>
            </w:tcBorders>
            <w:shd w:val="clear" w:color="000000" w:fill="E0301E"/>
            <w:vAlign w:val="center"/>
            <w:hideMark/>
          </w:tcPr>
          <w:p w14:paraId="3D9C00AE" w14:textId="77777777" w:rsidR="00721328" w:rsidRPr="00227D1E" w:rsidRDefault="00721328" w:rsidP="00721328">
            <w:pPr>
              <w:pStyle w:val="TableColumnHeadingSmall"/>
              <w:rPr>
                <w:lang w:eastAsia="en-AU"/>
              </w:rPr>
            </w:pPr>
            <w:r w:rsidRPr="00227D1E">
              <w:rPr>
                <w:lang w:eastAsia="en-AU"/>
              </w:rPr>
              <w:t>Variables Used</w:t>
            </w:r>
          </w:p>
        </w:tc>
        <w:tc>
          <w:tcPr>
            <w:tcW w:w="804" w:type="dxa"/>
            <w:tcBorders>
              <w:top w:val="nil"/>
              <w:left w:val="nil"/>
              <w:bottom w:val="nil"/>
              <w:right w:val="nil"/>
            </w:tcBorders>
            <w:shd w:val="clear" w:color="000000" w:fill="E0301E"/>
            <w:noWrap/>
            <w:vAlign w:val="center"/>
            <w:hideMark/>
          </w:tcPr>
          <w:p w14:paraId="24D2E0D7" w14:textId="77777777" w:rsidR="00721328" w:rsidRPr="00227D1E" w:rsidRDefault="00721328" w:rsidP="00721328">
            <w:pPr>
              <w:pStyle w:val="TableColumnHeadingSmall"/>
              <w:rPr>
                <w:lang w:eastAsia="en-AU"/>
              </w:rPr>
            </w:pPr>
          </w:p>
        </w:tc>
        <w:tc>
          <w:tcPr>
            <w:tcW w:w="992" w:type="dxa"/>
            <w:tcBorders>
              <w:top w:val="nil"/>
              <w:left w:val="nil"/>
              <w:bottom w:val="nil"/>
              <w:right w:val="nil"/>
            </w:tcBorders>
            <w:shd w:val="clear" w:color="000000" w:fill="E0301E"/>
            <w:noWrap/>
            <w:vAlign w:val="center"/>
            <w:hideMark/>
          </w:tcPr>
          <w:p w14:paraId="49085279" w14:textId="77777777" w:rsidR="00721328" w:rsidRPr="00227D1E" w:rsidRDefault="00721328" w:rsidP="00721328">
            <w:pPr>
              <w:pStyle w:val="TableColumnHeadingSmall"/>
              <w:rPr>
                <w:lang w:eastAsia="en-AU"/>
              </w:rPr>
            </w:pPr>
          </w:p>
        </w:tc>
        <w:tc>
          <w:tcPr>
            <w:tcW w:w="992" w:type="dxa"/>
            <w:tcBorders>
              <w:top w:val="nil"/>
              <w:left w:val="nil"/>
              <w:bottom w:val="nil"/>
              <w:right w:val="nil"/>
            </w:tcBorders>
            <w:shd w:val="clear" w:color="000000" w:fill="E0301E"/>
            <w:noWrap/>
            <w:vAlign w:val="center"/>
            <w:hideMark/>
          </w:tcPr>
          <w:p w14:paraId="5F50D8E7" w14:textId="77777777" w:rsidR="00721328" w:rsidRPr="00227D1E" w:rsidRDefault="00721328" w:rsidP="00721328">
            <w:pPr>
              <w:pStyle w:val="TableColumnHeadingSmall"/>
              <w:rPr>
                <w:lang w:eastAsia="en-AU"/>
              </w:rPr>
            </w:pPr>
          </w:p>
        </w:tc>
        <w:tc>
          <w:tcPr>
            <w:tcW w:w="851" w:type="dxa"/>
            <w:tcBorders>
              <w:top w:val="nil"/>
              <w:left w:val="nil"/>
              <w:bottom w:val="nil"/>
              <w:right w:val="nil"/>
            </w:tcBorders>
            <w:shd w:val="clear" w:color="000000" w:fill="E0301E"/>
            <w:noWrap/>
            <w:vAlign w:val="center"/>
            <w:hideMark/>
          </w:tcPr>
          <w:p w14:paraId="3B9DF3CE" w14:textId="77777777" w:rsidR="00721328" w:rsidRPr="00227D1E" w:rsidRDefault="00721328" w:rsidP="00721328">
            <w:pPr>
              <w:pStyle w:val="TableColumnHeadingSmall"/>
              <w:rPr>
                <w:lang w:eastAsia="en-AU"/>
              </w:rPr>
            </w:pPr>
          </w:p>
        </w:tc>
        <w:tc>
          <w:tcPr>
            <w:tcW w:w="850" w:type="dxa"/>
            <w:tcBorders>
              <w:top w:val="nil"/>
              <w:left w:val="nil"/>
              <w:bottom w:val="nil"/>
              <w:right w:val="nil"/>
            </w:tcBorders>
            <w:shd w:val="clear" w:color="000000" w:fill="E0301E"/>
            <w:noWrap/>
            <w:vAlign w:val="center"/>
            <w:hideMark/>
          </w:tcPr>
          <w:p w14:paraId="359EF02A" w14:textId="77777777" w:rsidR="00721328" w:rsidRPr="00227D1E" w:rsidRDefault="00721328" w:rsidP="00721328">
            <w:pPr>
              <w:pStyle w:val="TableColumnHeadingSmall"/>
              <w:rPr>
                <w:lang w:eastAsia="en-AU"/>
              </w:rPr>
            </w:pPr>
          </w:p>
        </w:tc>
        <w:tc>
          <w:tcPr>
            <w:tcW w:w="851" w:type="dxa"/>
            <w:tcBorders>
              <w:top w:val="nil"/>
              <w:left w:val="nil"/>
              <w:bottom w:val="nil"/>
              <w:right w:val="nil"/>
            </w:tcBorders>
            <w:shd w:val="clear" w:color="000000" w:fill="E0301E"/>
            <w:noWrap/>
            <w:vAlign w:val="center"/>
            <w:hideMark/>
          </w:tcPr>
          <w:p w14:paraId="2D705C4B" w14:textId="77777777" w:rsidR="00721328" w:rsidRPr="00227D1E" w:rsidRDefault="00721328" w:rsidP="00721328">
            <w:pPr>
              <w:pStyle w:val="TableColumnHeadingSmall"/>
              <w:rPr>
                <w:lang w:eastAsia="en-AU"/>
              </w:rPr>
            </w:pPr>
          </w:p>
        </w:tc>
        <w:tc>
          <w:tcPr>
            <w:tcW w:w="850" w:type="dxa"/>
            <w:tcBorders>
              <w:top w:val="nil"/>
              <w:left w:val="nil"/>
              <w:bottom w:val="nil"/>
              <w:right w:val="nil"/>
            </w:tcBorders>
            <w:shd w:val="clear" w:color="000000" w:fill="E0301E"/>
            <w:noWrap/>
            <w:vAlign w:val="center"/>
            <w:hideMark/>
          </w:tcPr>
          <w:p w14:paraId="4A916557" w14:textId="77777777" w:rsidR="00721328" w:rsidRPr="00227D1E" w:rsidRDefault="00721328" w:rsidP="00721328">
            <w:pPr>
              <w:pStyle w:val="TableColumnHeadingSmall"/>
              <w:rPr>
                <w:lang w:eastAsia="en-AU"/>
              </w:rPr>
            </w:pPr>
          </w:p>
        </w:tc>
        <w:tc>
          <w:tcPr>
            <w:tcW w:w="851" w:type="dxa"/>
            <w:tcBorders>
              <w:top w:val="nil"/>
              <w:left w:val="nil"/>
              <w:bottom w:val="nil"/>
              <w:right w:val="nil"/>
            </w:tcBorders>
            <w:shd w:val="clear" w:color="000000" w:fill="E0301E"/>
            <w:noWrap/>
            <w:vAlign w:val="center"/>
            <w:hideMark/>
          </w:tcPr>
          <w:p w14:paraId="46E98802" w14:textId="77777777" w:rsidR="00721328" w:rsidRPr="00227D1E" w:rsidRDefault="00721328" w:rsidP="00721328">
            <w:pPr>
              <w:pStyle w:val="TableColumnHeadingSmall"/>
              <w:rPr>
                <w:lang w:eastAsia="en-AU"/>
              </w:rPr>
            </w:pPr>
          </w:p>
        </w:tc>
        <w:tc>
          <w:tcPr>
            <w:tcW w:w="567" w:type="dxa"/>
            <w:tcBorders>
              <w:top w:val="nil"/>
              <w:left w:val="nil"/>
              <w:bottom w:val="nil"/>
              <w:right w:val="nil"/>
            </w:tcBorders>
            <w:shd w:val="clear" w:color="000000" w:fill="E0301E"/>
            <w:noWrap/>
            <w:vAlign w:val="center"/>
            <w:hideMark/>
          </w:tcPr>
          <w:p w14:paraId="0813808F" w14:textId="77777777" w:rsidR="00721328" w:rsidRPr="00227D1E" w:rsidRDefault="00721328" w:rsidP="00721328">
            <w:pPr>
              <w:pStyle w:val="TableColumnHeadingSmall"/>
              <w:rPr>
                <w:lang w:eastAsia="en-AU"/>
              </w:rPr>
            </w:pPr>
          </w:p>
        </w:tc>
        <w:tc>
          <w:tcPr>
            <w:tcW w:w="567" w:type="dxa"/>
            <w:tcBorders>
              <w:top w:val="nil"/>
              <w:left w:val="nil"/>
              <w:bottom w:val="nil"/>
              <w:right w:val="nil"/>
            </w:tcBorders>
            <w:shd w:val="clear" w:color="000000" w:fill="E0301E"/>
            <w:noWrap/>
            <w:vAlign w:val="center"/>
            <w:hideMark/>
          </w:tcPr>
          <w:p w14:paraId="6F379A87" w14:textId="77777777" w:rsidR="00721328" w:rsidRPr="00227D1E" w:rsidRDefault="00721328" w:rsidP="00721328">
            <w:pPr>
              <w:pStyle w:val="TableColumnHeadingSmall"/>
              <w:rPr>
                <w:lang w:eastAsia="en-AU"/>
              </w:rPr>
            </w:pPr>
          </w:p>
        </w:tc>
        <w:tc>
          <w:tcPr>
            <w:tcW w:w="567" w:type="dxa"/>
            <w:tcBorders>
              <w:top w:val="nil"/>
              <w:left w:val="nil"/>
              <w:bottom w:val="nil"/>
              <w:right w:val="nil"/>
            </w:tcBorders>
            <w:shd w:val="clear" w:color="000000" w:fill="E0301E"/>
            <w:noWrap/>
            <w:vAlign w:val="center"/>
            <w:hideMark/>
          </w:tcPr>
          <w:p w14:paraId="4330302B" w14:textId="77777777" w:rsidR="00721328" w:rsidRPr="00227D1E" w:rsidRDefault="00721328" w:rsidP="00721328">
            <w:pPr>
              <w:pStyle w:val="TableColumnHeadingSmall"/>
              <w:rPr>
                <w:lang w:eastAsia="en-AU"/>
              </w:rPr>
            </w:pPr>
          </w:p>
        </w:tc>
      </w:tr>
      <w:tr w:rsidR="00721328" w:rsidRPr="00227D1E" w14:paraId="33E4E6AE" w14:textId="77777777" w:rsidTr="002B6E6E">
        <w:trPr>
          <w:trHeight w:val="382"/>
        </w:trPr>
        <w:tc>
          <w:tcPr>
            <w:tcW w:w="1333" w:type="dxa"/>
            <w:tcBorders>
              <w:top w:val="nil"/>
            </w:tcBorders>
            <w:shd w:val="clear" w:color="auto" w:fill="auto"/>
            <w:vAlign w:val="center"/>
            <w:hideMark/>
          </w:tcPr>
          <w:p w14:paraId="71D077D0"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Age</w:t>
            </w:r>
          </w:p>
        </w:tc>
        <w:tc>
          <w:tcPr>
            <w:tcW w:w="804" w:type="dxa"/>
            <w:tcBorders>
              <w:top w:val="nil"/>
            </w:tcBorders>
            <w:shd w:val="clear" w:color="auto" w:fill="auto"/>
            <w:noWrap/>
            <w:vAlign w:val="center"/>
            <w:hideMark/>
          </w:tcPr>
          <w:p w14:paraId="65916185"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992" w:type="dxa"/>
            <w:tcBorders>
              <w:top w:val="nil"/>
            </w:tcBorders>
            <w:shd w:val="clear" w:color="auto" w:fill="auto"/>
            <w:noWrap/>
            <w:vAlign w:val="center"/>
            <w:hideMark/>
          </w:tcPr>
          <w:p w14:paraId="1557080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992" w:type="dxa"/>
            <w:tcBorders>
              <w:top w:val="nil"/>
            </w:tcBorders>
            <w:shd w:val="clear" w:color="auto" w:fill="auto"/>
            <w:noWrap/>
            <w:vAlign w:val="center"/>
            <w:hideMark/>
          </w:tcPr>
          <w:p w14:paraId="46DADC4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top w:val="nil"/>
            </w:tcBorders>
            <w:shd w:val="clear" w:color="auto" w:fill="auto"/>
            <w:noWrap/>
            <w:vAlign w:val="center"/>
            <w:hideMark/>
          </w:tcPr>
          <w:p w14:paraId="5541D920"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0" w:type="dxa"/>
            <w:tcBorders>
              <w:top w:val="nil"/>
            </w:tcBorders>
            <w:shd w:val="clear" w:color="auto" w:fill="auto"/>
            <w:noWrap/>
            <w:vAlign w:val="center"/>
            <w:hideMark/>
          </w:tcPr>
          <w:p w14:paraId="5A337D1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nil"/>
              <w:right w:val="single" w:sz="4" w:space="0" w:color="F3ABA4" w:themeColor="accent6" w:themeTint="66"/>
            </w:tcBorders>
            <w:shd w:val="clear" w:color="auto" w:fill="auto"/>
            <w:noWrap/>
            <w:vAlign w:val="center"/>
            <w:hideMark/>
          </w:tcPr>
          <w:p w14:paraId="0452946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0" w:type="dxa"/>
            <w:tcBorders>
              <w:top w:val="nil"/>
              <w:left w:val="single" w:sz="4" w:space="0" w:color="F3ABA4" w:themeColor="accent6" w:themeTint="66"/>
            </w:tcBorders>
            <w:shd w:val="clear" w:color="auto" w:fill="auto"/>
            <w:noWrap/>
            <w:vAlign w:val="center"/>
            <w:hideMark/>
          </w:tcPr>
          <w:p w14:paraId="6F13097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nil"/>
              <w:right w:val="single" w:sz="4" w:space="0" w:color="F3ABA4" w:themeColor="accent6" w:themeTint="66"/>
            </w:tcBorders>
            <w:shd w:val="clear" w:color="auto" w:fill="auto"/>
            <w:noWrap/>
            <w:vAlign w:val="center"/>
            <w:hideMark/>
          </w:tcPr>
          <w:p w14:paraId="485F8F05"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nil"/>
              <w:left w:val="single" w:sz="4" w:space="0" w:color="F3ABA4" w:themeColor="accent6" w:themeTint="66"/>
            </w:tcBorders>
            <w:shd w:val="clear" w:color="auto" w:fill="auto"/>
            <w:noWrap/>
            <w:vAlign w:val="center"/>
            <w:hideMark/>
          </w:tcPr>
          <w:p w14:paraId="14FE9CD8"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nil"/>
            </w:tcBorders>
            <w:shd w:val="clear" w:color="auto" w:fill="auto"/>
            <w:noWrap/>
            <w:vAlign w:val="center"/>
            <w:hideMark/>
          </w:tcPr>
          <w:p w14:paraId="06D3BEC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nil"/>
            </w:tcBorders>
            <w:shd w:val="clear" w:color="auto" w:fill="auto"/>
            <w:noWrap/>
            <w:vAlign w:val="center"/>
            <w:hideMark/>
          </w:tcPr>
          <w:p w14:paraId="044A5D2B"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r>
      <w:tr w:rsidR="00721328" w:rsidRPr="00227D1E" w14:paraId="68617879" w14:textId="77777777" w:rsidTr="002B6E6E">
        <w:trPr>
          <w:trHeight w:val="382"/>
        </w:trPr>
        <w:tc>
          <w:tcPr>
            <w:tcW w:w="1333" w:type="dxa"/>
            <w:shd w:val="clear" w:color="auto" w:fill="auto"/>
            <w:vAlign w:val="center"/>
            <w:hideMark/>
          </w:tcPr>
          <w:p w14:paraId="6F72738E"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Gender</w:t>
            </w:r>
          </w:p>
        </w:tc>
        <w:tc>
          <w:tcPr>
            <w:tcW w:w="804" w:type="dxa"/>
            <w:shd w:val="clear" w:color="auto" w:fill="auto"/>
            <w:noWrap/>
            <w:vAlign w:val="center"/>
            <w:hideMark/>
          </w:tcPr>
          <w:p w14:paraId="14C8005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992" w:type="dxa"/>
            <w:shd w:val="clear" w:color="auto" w:fill="auto"/>
            <w:noWrap/>
            <w:vAlign w:val="center"/>
            <w:hideMark/>
          </w:tcPr>
          <w:p w14:paraId="57C1662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992" w:type="dxa"/>
            <w:shd w:val="clear" w:color="auto" w:fill="auto"/>
            <w:noWrap/>
            <w:vAlign w:val="center"/>
            <w:hideMark/>
          </w:tcPr>
          <w:p w14:paraId="3179365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shd w:val="clear" w:color="auto" w:fill="auto"/>
            <w:noWrap/>
            <w:vAlign w:val="center"/>
            <w:hideMark/>
          </w:tcPr>
          <w:p w14:paraId="1225B23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0" w:type="dxa"/>
            <w:shd w:val="clear" w:color="auto" w:fill="auto"/>
            <w:noWrap/>
            <w:vAlign w:val="center"/>
            <w:hideMark/>
          </w:tcPr>
          <w:p w14:paraId="4B31E9C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right w:val="single" w:sz="4" w:space="0" w:color="F3ABA4" w:themeColor="accent6" w:themeTint="66"/>
            </w:tcBorders>
            <w:shd w:val="clear" w:color="auto" w:fill="auto"/>
            <w:noWrap/>
            <w:vAlign w:val="center"/>
            <w:hideMark/>
          </w:tcPr>
          <w:p w14:paraId="54E33BCE"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0" w:type="dxa"/>
            <w:tcBorders>
              <w:top w:val="single" w:sz="4" w:space="0" w:color="E0301E" w:themeColor="accent6"/>
              <w:left w:val="single" w:sz="4" w:space="0" w:color="F3ABA4" w:themeColor="accent6" w:themeTint="66"/>
            </w:tcBorders>
            <w:shd w:val="clear" w:color="auto" w:fill="auto"/>
            <w:noWrap/>
            <w:vAlign w:val="center"/>
            <w:hideMark/>
          </w:tcPr>
          <w:p w14:paraId="2C7A41F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single" w:sz="4" w:space="0" w:color="E0301E" w:themeColor="accent6"/>
              <w:right w:val="single" w:sz="4" w:space="0" w:color="F3ABA4" w:themeColor="accent6" w:themeTint="66"/>
            </w:tcBorders>
            <w:shd w:val="clear" w:color="auto" w:fill="auto"/>
            <w:noWrap/>
            <w:vAlign w:val="center"/>
            <w:hideMark/>
          </w:tcPr>
          <w:p w14:paraId="6941DC20"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single" w:sz="4" w:space="0" w:color="E0301E" w:themeColor="accent6"/>
              <w:left w:val="single" w:sz="4" w:space="0" w:color="F3ABA4" w:themeColor="accent6" w:themeTint="66"/>
            </w:tcBorders>
            <w:shd w:val="clear" w:color="auto" w:fill="auto"/>
            <w:noWrap/>
            <w:vAlign w:val="center"/>
            <w:hideMark/>
          </w:tcPr>
          <w:p w14:paraId="1EA69C55"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single" w:sz="4" w:space="0" w:color="E0301E" w:themeColor="accent6"/>
            </w:tcBorders>
            <w:shd w:val="clear" w:color="auto" w:fill="auto"/>
            <w:noWrap/>
            <w:vAlign w:val="center"/>
            <w:hideMark/>
          </w:tcPr>
          <w:p w14:paraId="78C8212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shd w:val="clear" w:color="auto" w:fill="auto"/>
            <w:noWrap/>
            <w:vAlign w:val="center"/>
            <w:hideMark/>
          </w:tcPr>
          <w:p w14:paraId="30AC987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r>
      <w:tr w:rsidR="00721328" w:rsidRPr="00227D1E" w14:paraId="56B100A8" w14:textId="77777777" w:rsidTr="002B6E6E">
        <w:trPr>
          <w:trHeight w:val="382"/>
        </w:trPr>
        <w:tc>
          <w:tcPr>
            <w:tcW w:w="1333" w:type="dxa"/>
            <w:shd w:val="clear" w:color="auto" w:fill="auto"/>
            <w:vAlign w:val="center"/>
            <w:hideMark/>
          </w:tcPr>
          <w:p w14:paraId="7E57AE18"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Class</w:t>
            </w:r>
          </w:p>
        </w:tc>
        <w:tc>
          <w:tcPr>
            <w:tcW w:w="804" w:type="dxa"/>
            <w:shd w:val="clear" w:color="auto" w:fill="auto"/>
            <w:noWrap/>
            <w:vAlign w:val="center"/>
            <w:hideMark/>
          </w:tcPr>
          <w:p w14:paraId="04BEBD6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992" w:type="dxa"/>
            <w:shd w:val="clear" w:color="auto" w:fill="auto"/>
            <w:noWrap/>
            <w:vAlign w:val="center"/>
            <w:hideMark/>
          </w:tcPr>
          <w:p w14:paraId="247463BF"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992" w:type="dxa"/>
            <w:shd w:val="clear" w:color="auto" w:fill="auto"/>
            <w:noWrap/>
            <w:vAlign w:val="center"/>
            <w:hideMark/>
          </w:tcPr>
          <w:p w14:paraId="202355A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shd w:val="clear" w:color="auto" w:fill="auto"/>
            <w:noWrap/>
            <w:vAlign w:val="center"/>
            <w:hideMark/>
          </w:tcPr>
          <w:p w14:paraId="0698C0A8"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0" w:type="dxa"/>
            <w:shd w:val="clear" w:color="auto" w:fill="auto"/>
            <w:noWrap/>
            <w:vAlign w:val="center"/>
            <w:hideMark/>
          </w:tcPr>
          <w:p w14:paraId="2D23A53B"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right w:val="single" w:sz="4" w:space="0" w:color="F3ABA4" w:themeColor="accent6" w:themeTint="66"/>
            </w:tcBorders>
            <w:shd w:val="clear" w:color="auto" w:fill="auto"/>
            <w:noWrap/>
            <w:vAlign w:val="center"/>
            <w:hideMark/>
          </w:tcPr>
          <w:p w14:paraId="4B8684C0"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0" w:type="dxa"/>
            <w:tcBorders>
              <w:top w:val="single" w:sz="4" w:space="0" w:color="E0301E" w:themeColor="accent6"/>
              <w:left w:val="single" w:sz="4" w:space="0" w:color="F3ABA4" w:themeColor="accent6" w:themeTint="66"/>
            </w:tcBorders>
            <w:shd w:val="clear" w:color="auto" w:fill="auto"/>
            <w:noWrap/>
            <w:vAlign w:val="center"/>
            <w:hideMark/>
          </w:tcPr>
          <w:p w14:paraId="029F9C0F"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single" w:sz="4" w:space="0" w:color="E0301E" w:themeColor="accent6"/>
              <w:right w:val="single" w:sz="4" w:space="0" w:color="F3ABA4" w:themeColor="accent6" w:themeTint="66"/>
            </w:tcBorders>
            <w:shd w:val="clear" w:color="auto" w:fill="auto"/>
            <w:noWrap/>
            <w:vAlign w:val="center"/>
            <w:hideMark/>
          </w:tcPr>
          <w:p w14:paraId="4032AAE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single" w:sz="4" w:space="0" w:color="E0301E" w:themeColor="accent6"/>
              <w:left w:val="single" w:sz="4" w:space="0" w:color="F3ABA4" w:themeColor="accent6" w:themeTint="66"/>
            </w:tcBorders>
            <w:shd w:val="clear" w:color="auto" w:fill="auto"/>
            <w:noWrap/>
            <w:vAlign w:val="center"/>
            <w:hideMark/>
          </w:tcPr>
          <w:p w14:paraId="72D3A71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single" w:sz="4" w:space="0" w:color="E0301E" w:themeColor="accent6"/>
            </w:tcBorders>
            <w:shd w:val="clear" w:color="auto" w:fill="auto"/>
            <w:noWrap/>
            <w:vAlign w:val="center"/>
            <w:hideMark/>
          </w:tcPr>
          <w:p w14:paraId="3CBD9377"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shd w:val="clear" w:color="auto" w:fill="auto"/>
            <w:noWrap/>
            <w:vAlign w:val="center"/>
            <w:hideMark/>
          </w:tcPr>
          <w:p w14:paraId="4FCF16F8"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r>
      <w:tr w:rsidR="00721328" w:rsidRPr="00227D1E" w14:paraId="36F16ADB" w14:textId="77777777" w:rsidTr="002B6E6E">
        <w:trPr>
          <w:trHeight w:val="382"/>
        </w:trPr>
        <w:tc>
          <w:tcPr>
            <w:tcW w:w="1333" w:type="dxa"/>
            <w:shd w:val="clear" w:color="auto" w:fill="auto"/>
            <w:vAlign w:val="center"/>
            <w:hideMark/>
          </w:tcPr>
          <w:p w14:paraId="5F7321B1"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Partner Status</w:t>
            </w:r>
          </w:p>
        </w:tc>
        <w:tc>
          <w:tcPr>
            <w:tcW w:w="804" w:type="dxa"/>
            <w:shd w:val="clear" w:color="auto" w:fill="auto"/>
            <w:noWrap/>
            <w:vAlign w:val="center"/>
          </w:tcPr>
          <w:p w14:paraId="5EE07C6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6510A9D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4B4FBE8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shd w:val="clear" w:color="auto" w:fill="auto"/>
            <w:noWrap/>
            <w:vAlign w:val="center"/>
          </w:tcPr>
          <w:p w14:paraId="4D4DD1DB"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shd w:val="clear" w:color="auto" w:fill="auto"/>
            <w:noWrap/>
            <w:vAlign w:val="center"/>
          </w:tcPr>
          <w:p w14:paraId="3D78A5F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right w:val="single" w:sz="4" w:space="0" w:color="F3ABA4" w:themeColor="accent6" w:themeTint="66"/>
            </w:tcBorders>
            <w:shd w:val="clear" w:color="auto" w:fill="auto"/>
            <w:noWrap/>
            <w:vAlign w:val="center"/>
          </w:tcPr>
          <w:p w14:paraId="58839B5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tcBorders>
              <w:top w:val="single" w:sz="4" w:space="0" w:color="E0301E" w:themeColor="accent6"/>
              <w:left w:val="single" w:sz="4" w:space="0" w:color="F3ABA4" w:themeColor="accent6" w:themeTint="66"/>
            </w:tcBorders>
            <w:shd w:val="clear" w:color="auto" w:fill="auto"/>
            <w:noWrap/>
            <w:vAlign w:val="center"/>
            <w:hideMark/>
          </w:tcPr>
          <w:p w14:paraId="4BEA612B"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single" w:sz="4" w:space="0" w:color="E0301E" w:themeColor="accent6"/>
              <w:right w:val="single" w:sz="4" w:space="0" w:color="F3ABA4" w:themeColor="accent6" w:themeTint="66"/>
            </w:tcBorders>
            <w:shd w:val="clear" w:color="auto" w:fill="auto"/>
            <w:noWrap/>
            <w:vAlign w:val="center"/>
          </w:tcPr>
          <w:p w14:paraId="799E9A4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left w:val="single" w:sz="4" w:space="0" w:color="F3ABA4" w:themeColor="accent6" w:themeTint="66"/>
            </w:tcBorders>
            <w:shd w:val="clear" w:color="auto" w:fill="auto"/>
            <w:noWrap/>
            <w:vAlign w:val="center"/>
          </w:tcPr>
          <w:p w14:paraId="549209C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tcBorders>
            <w:shd w:val="clear" w:color="auto" w:fill="auto"/>
            <w:noWrap/>
            <w:vAlign w:val="center"/>
            <w:hideMark/>
          </w:tcPr>
          <w:p w14:paraId="018D418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shd w:val="clear" w:color="auto" w:fill="auto"/>
            <w:noWrap/>
            <w:vAlign w:val="center"/>
            <w:hideMark/>
          </w:tcPr>
          <w:p w14:paraId="2316A62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r>
      <w:tr w:rsidR="00721328" w:rsidRPr="00227D1E" w14:paraId="227C2A10" w14:textId="77777777" w:rsidTr="002B6E6E">
        <w:trPr>
          <w:trHeight w:val="382"/>
        </w:trPr>
        <w:tc>
          <w:tcPr>
            <w:tcW w:w="1333" w:type="dxa"/>
            <w:shd w:val="clear" w:color="auto" w:fill="auto"/>
            <w:vAlign w:val="center"/>
            <w:hideMark/>
          </w:tcPr>
          <w:p w14:paraId="669D317B"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Number of Dependent Children</w:t>
            </w:r>
          </w:p>
        </w:tc>
        <w:tc>
          <w:tcPr>
            <w:tcW w:w="804" w:type="dxa"/>
            <w:shd w:val="clear" w:color="auto" w:fill="auto"/>
            <w:noWrap/>
            <w:vAlign w:val="center"/>
          </w:tcPr>
          <w:p w14:paraId="37801CA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48D79B1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1264ACB3"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shd w:val="clear" w:color="auto" w:fill="auto"/>
            <w:noWrap/>
            <w:vAlign w:val="center"/>
          </w:tcPr>
          <w:p w14:paraId="3B421A7B"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shd w:val="clear" w:color="auto" w:fill="auto"/>
            <w:noWrap/>
            <w:vAlign w:val="center"/>
          </w:tcPr>
          <w:p w14:paraId="71FEB72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right w:val="single" w:sz="4" w:space="0" w:color="F3ABA4" w:themeColor="accent6" w:themeTint="66"/>
            </w:tcBorders>
            <w:shd w:val="clear" w:color="auto" w:fill="auto"/>
            <w:noWrap/>
            <w:vAlign w:val="center"/>
          </w:tcPr>
          <w:p w14:paraId="53C51E2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tcBorders>
              <w:top w:val="single" w:sz="4" w:space="0" w:color="E0301E" w:themeColor="accent6"/>
              <w:left w:val="single" w:sz="4" w:space="0" w:color="F3ABA4" w:themeColor="accent6" w:themeTint="66"/>
            </w:tcBorders>
            <w:shd w:val="clear" w:color="auto" w:fill="auto"/>
            <w:noWrap/>
            <w:vAlign w:val="center"/>
            <w:hideMark/>
          </w:tcPr>
          <w:p w14:paraId="4C23511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single" w:sz="4" w:space="0" w:color="E0301E" w:themeColor="accent6"/>
              <w:right w:val="single" w:sz="4" w:space="0" w:color="F3ABA4" w:themeColor="accent6" w:themeTint="66"/>
            </w:tcBorders>
            <w:shd w:val="clear" w:color="auto" w:fill="auto"/>
            <w:noWrap/>
            <w:vAlign w:val="center"/>
          </w:tcPr>
          <w:p w14:paraId="01EA56F8"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left w:val="single" w:sz="4" w:space="0" w:color="F3ABA4" w:themeColor="accent6" w:themeTint="66"/>
            </w:tcBorders>
            <w:shd w:val="clear" w:color="auto" w:fill="auto"/>
            <w:noWrap/>
            <w:vAlign w:val="center"/>
          </w:tcPr>
          <w:p w14:paraId="16170E63"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tcBorders>
            <w:shd w:val="clear" w:color="auto" w:fill="auto"/>
            <w:noWrap/>
            <w:vAlign w:val="center"/>
            <w:hideMark/>
          </w:tcPr>
          <w:p w14:paraId="0D8F987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shd w:val="clear" w:color="auto" w:fill="auto"/>
            <w:noWrap/>
            <w:vAlign w:val="center"/>
          </w:tcPr>
          <w:p w14:paraId="58D946C0"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r>
      <w:tr w:rsidR="00721328" w:rsidRPr="00227D1E" w14:paraId="13FDB21B" w14:textId="77777777" w:rsidTr="002B6E6E">
        <w:trPr>
          <w:trHeight w:val="382"/>
        </w:trPr>
        <w:tc>
          <w:tcPr>
            <w:tcW w:w="1333" w:type="dxa"/>
            <w:shd w:val="clear" w:color="auto" w:fill="auto"/>
            <w:vAlign w:val="center"/>
            <w:hideMark/>
          </w:tcPr>
          <w:p w14:paraId="10667A63"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Age of Dependent Children</w:t>
            </w:r>
          </w:p>
        </w:tc>
        <w:tc>
          <w:tcPr>
            <w:tcW w:w="804" w:type="dxa"/>
            <w:shd w:val="clear" w:color="auto" w:fill="auto"/>
            <w:noWrap/>
            <w:vAlign w:val="center"/>
          </w:tcPr>
          <w:p w14:paraId="4671E1E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19F3849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2E32D83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shd w:val="clear" w:color="auto" w:fill="auto"/>
            <w:noWrap/>
            <w:vAlign w:val="center"/>
          </w:tcPr>
          <w:p w14:paraId="6F9CBE3E"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shd w:val="clear" w:color="auto" w:fill="auto"/>
            <w:noWrap/>
            <w:vAlign w:val="center"/>
          </w:tcPr>
          <w:p w14:paraId="6B3B46AF"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right w:val="single" w:sz="4" w:space="0" w:color="F3ABA4" w:themeColor="accent6" w:themeTint="66"/>
            </w:tcBorders>
            <w:shd w:val="clear" w:color="auto" w:fill="auto"/>
            <w:noWrap/>
            <w:vAlign w:val="center"/>
          </w:tcPr>
          <w:p w14:paraId="5C1392A5"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tcBorders>
              <w:top w:val="single" w:sz="4" w:space="0" w:color="E0301E" w:themeColor="accent6"/>
              <w:left w:val="single" w:sz="4" w:space="0" w:color="F3ABA4" w:themeColor="accent6" w:themeTint="66"/>
            </w:tcBorders>
            <w:shd w:val="clear" w:color="auto" w:fill="auto"/>
            <w:noWrap/>
            <w:vAlign w:val="center"/>
            <w:hideMark/>
          </w:tcPr>
          <w:p w14:paraId="75EDB38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single" w:sz="4" w:space="0" w:color="E0301E" w:themeColor="accent6"/>
              <w:right w:val="single" w:sz="4" w:space="0" w:color="F3ABA4" w:themeColor="accent6" w:themeTint="66"/>
            </w:tcBorders>
            <w:shd w:val="clear" w:color="auto" w:fill="auto"/>
            <w:noWrap/>
            <w:vAlign w:val="center"/>
          </w:tcPr>
          <w:p w14:paraId="3B0C6DD3"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left w:val="single" w:sz="4" w:space="0" w:color="F3ABA4" w:themeColor="accent6" w:themeTint="66"/>
            </w:tcBorders>
            <w:shd w:val="clear" w:color="auto" w:fill="auto"/>
            <w:noWrap/>
            <w:vAlign w:val="center"/>
          </w:tcPr>
          <w:p w14:paraId="66DE0B3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tcBorders>
            <w:shd w:val="clear" w:color="auto" w:fill="auto"/>
            <w:noWrap/>
            <w:vAlign w:val="center"/>
            <w:hideMark/>
          </w:tcPr>
          <w:p w14:paraId="6F606B4E"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shd w:val="clear" w:color="auto" w:fill="auto"/>
            <w:noWrap/>
            <w:vAlign w:val="center"/>
          </w:tcPr>
          <w:p w14:paraId="61018FF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r>
      <w:tr w:rsidR="00721328" w:rsidRPr="00227D1E" w14:paraId="63788845" w14:textId="77777777" w:rsidTr="002B6E6E">
        <w:trPr>
          <w:trHeight w:val="382"/>
        </w:trPr>
        <w:tc>
          <w:tcPr>
            <w:tcW w:w="1333" w:type="dxa"/>
            <w:shd w:val="clear" w:color="auto" w:fill="auto"/>
            <w:vAlign w:val="center"/>
            <w:hideMark/>
          </w:tcPr>
          <w:p w14:paraId="06A67D72"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Highest Education Level Obtained</w:t>
            </w:r>
          </w:p>
        </w:tc>
        <w:tc>
          <w:tcPr>
            <w:tcW w:w="804" w:type="dxa"/>
            <w:shd w:val="clear" w:color="auto" w:fill="auto"/>
            <w:noWrap/>
            <w:vAlign w:val="center"/>
          </w:tcPr>
          <w:p w14:paraId="3C272467"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44AC60C7"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2409989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shd w:val="clear" w:color="auto" w:fill="auto"/>
            <w:noWrap/>
            <w:vAlign w:val="center"/>
          </w:tcPr>
          <w:p w14:paraId="1F2EF08F"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shd w:val="clear" w:color="auto" w:fill="auto"/>
            <w:noWrap/>
            <w:vAlign w:val="center"/>
          </w:tcPr>
          <w:p w14:paraId="66CF576B"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right w:val="single" w:sz="4" w:space="0" w:color="F3ABA4" w:themeColor="accent6" w:themeTint="66"/>
            </w:tcBorders>
            <w:shd w:val="clear" w:color="auto" w:fill="auto"/>
            <w:noWrap/>
            <w:vAlign w:val="center"/>
          </w:tcPr>
          <w:p w14:paraId="3B5989E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tcBorders>
              <w:top w:val="single" w:sz="4" w:space="0" w:color="E0301E" w:themeColor="accent6"/>
              <w:left w:val="single" w:sz="4" w:space="0" w:color="F3ABA4" w:themeColor="accent6" w:themeTint="66"/>
            </w:tcBorders>
            <w:shd w:val="clear" w:color="auto" w:fill="auto"/>
            <w:noWrap/>
            <w:vAlign w:val="center"/>
            <w:hideMark/>
          </w:tcPr>
          <w:p w14:paraId="750D0BB5"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single" w:sz="4" w:space="0" w:color="E0301E" w:themeColor="accent6"/>
              <w:right w:val="single" w:sz="4" w:space="0" w:color="F3ABA4" w:themeColor="accent6" w:themeTint="66"/>
            </w:tcBorders>
            <w:shd w:val="clear" w:color="auto" w:fill="auto"/>
            <w:noWrap/>
            <w:vAlign w:val="center"/>
          </w:tcPr>
          <w:p w14:paraId="10870AF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left w:val="single" w:sz="4" w:space="0" w:color="F3ABA4" w:themeColor="accent6" w:themeTint="66"/>
            </w:tcBorders>
            <w:shd w:val="clear" w:color="auto" w:fill="auto"/>
            <w:noWrap/>
            <w:vAlign w:val="center"/>
          </w:tcPr>
          <w:p w14:paraId="27BBF135"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tcBorders>
            <w:shd w:val="clear" w:color="auto" w:fill="auto"/>
            <w:noWrap/>
            <w:vAlign w:val="center"/>
            <w:hideMark/>
          </w:tcPr>
          <w:p w14:paraId="70214B6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shd w:val="clear" w:color="auto" w:fill="auto"/>
            <w:noWrap/>
            <w:vAlign w:val="center"/>
          </w:tcPr>
          <w:p w14:paraId="4857983F"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r>
      <w:tr w:rsidR="00721328" w:rsidRPr="00227D1E" w14:paraId="60FE9CAB" w14:textId="77777777" w:rsidTr="002B6E6E">
        <w:trPr>
          <w:trHeight w:val="382"/>
        </w:trPr>
        <w:tc>
          <w:tcPr>
            <w:tcW w:w="1333" w:type="dxa"/>
            <w:shd w:val="clear" w:color="auto" w:fill="auto"/>
            <w:vAlign w:val="center"/>
            <w:hideMark/>
          </w:tcPr>
          <w:p w14:paraId="2210A1AD"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Indigenous Status</w:t>
            </w:r>
          </w:p>
        </w:tc>
        <w:tc>
          <w:tcPr>
            <w:tcW w:w="804" w:type="dxa"/>
            <w:shd w:val="clear" w:color="auto" w:fill="auto"/>
            <w:noWrap/>
            <w:vAlign w:val="center"/>
          </w:tcPr>
          <w:p w14:paraId="73171ED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5906483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610E200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shd w:val="clear" w:color="auto" w:fill="auto"/>
            <w:noWrap/>
            <w:vAlign w:val="center"/>
          </w:tcPr>
          <w:p w14:paraId="75EEAA0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shd w:val="clear" w:color="auto" w:fill="auto"/>
            <w:noWrap/>
            <w:vAlign w:val="center"/>
          </w:tcPr>
          <w:p w14:paraId="5FFD4B9F"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right w:val="single" w:sz="4" w:space="0" w:color="F3ABA4" w:themeColor="accent6" w:themeTint="66"/>
            </w:tcBorders>
            <w:shd w:val="clear" w:color="auto" w:fill="auto"/>
            <w:noWrap/>
            <w:vAlign w:val="center"/>
          </w:tcPr>
          <w:p w14:paraId="134AE975"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tcBorders>
              <w:top w:val="single" w:sz="4" w:space="0" w:color="E0301E" w:themeColor="accent6"/>
              <w:left w:val="single" w:sz="4" w:space="0" w:color="F3ABA4" w:themeColor="accent6" w:themeTint="66"/>
            </w:tcBorders>
            <w:shd w:val="clear" w:color="auto" w:fill="auto"/>
            <w:noWrap/>
            <w:vAlign w:val="center"/>
            <w:hideMark/>
          </w:tcPr>
          <w:p w14:paraId="3BEAE70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single" w:sz="4" w:space="0" w:color="E0301E" w:themeColor="accent6"/>
              <w:right w:val="single" w:sz="4" w:space="0" w:color="F3ABA4" w:themeColor="accent6" w:themeTint="66"/>
            </w:tcBorders>
            <w:shd w:val="clear" w:color="auto" w:fill="auto"/>
            <w:noWrap/>
            <w:vAlign w:val="center"/>
            <w:hideMark/>
          </w:tcPr>
          <w:p w14:paraId="3DAEA46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left w:val="single" w:sz="4" w:space="0" w:color="F3ABA4" w:themeColor="accent6" w:themeTint="66"/>
            </w:tcBorders>
            <w:shd w:val="clear" w:color="auto" w:fill="auto"/>
            <w:noWrap/>
            <w:vAlign w:val="center"/>
            <w:hideMark/>
          </w:tcPr>
          <w:p w14:paraId="6FE50217"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single" w:sz="4" w:space="0" w:color="E0301E" w:themeColor="accent6"/>
            </w:tcBorders>
            <w:shd w:val="clear" w:color="auto" w:fill="auto"/>
            <w:noWrap/>
            <w:vAlign w:val="center"/>
            <w:hideMark/>
          </w:tcPr>
          <w:p w14:paraId="3F8E18E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shd w:val="clear" w:color="auto" w:fill="auto"/>
            <w:noWrap/>
            <w:vAlign w:val="center"/>
          </w:tcPr>
          <w:p w14:paraId="495F1D9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r>
      <w:tr w:rsidR="00721328" w:rsidRPr="00227D1E" w14:paraId="6ED4C47D" w14:textId="77777777" w:rsidTr="002B6E6E">
        <w:trPr>
          <w:trHeight w:val="382"/>
        </w:trPr>
        <w:tc>
          <w:tcPr>
            <w:tcW w:w="1333" w:type="dxa"/>
            <w:shd w:val="clear" w:color="auto" w:fill="auto"/>
            <w:vAlign w:val="center"/>
            <w:hideMark/>
          </w:tcPr>
          <w:p w14:paraId="22CD2729"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Previous Class</w:t>
            </w:r>
          </w:p>
        </w:tc>
        <w:tc>
          <w:tcPr>
            <w:tcW w:w="804" w:type="dxa"/>
            <w:shd w:val="clear" w:color="auto" w:fill="auto"/>
            <w:noWrap/>
            <w:vAlign w:val="center"/>
            <w:hideMark/>
          </w:tcPr>
          <w:p w14:paraId="33641DF9"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992" w:type="dxa"/>
            <w:shd w:val="clear" w:color="auto" w:fill="auto"/>
            <w:noWrap/>
            <w:vAlign w:val="center"/>
            <w:hideMark/>
          </w:tcPr>
          <w:p w14:paraId="22DE974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992" w:type="dxa"/>
            <w:shd w:val="clear" w:color="auto" w:fill="auto"/>
            <w:noWrap/>
            <w:vAlign w:val="center"/>
            <w:hideMark/>
          </w:tcPr>
          <w:p w14:paraId="505E2CA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shd w:val="clear" w:color="auto" w:fill="auto"/>
            <w:noWrap/>
            <w:vAlign w:val="center"/>
            <w:hideMark/>
          </w:tcPr>
          <w:p w14:paraId="47E3BC70"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0" w:type="dxa"/>
            <w:shd w:val="clear" w:color="auto" w:fill="auto"/>
            <w:noWrap/>
            <w:vAlign w:val="center"/>
            <w:hideMark/>
          </w:tcPr>
          <w:p w14:paraId="06C0F04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right w:val="single" w:sz="4" w:space="0" w:color="F3ABA4" w:themeColor="accent6" w:themeTint="66"/>
            </w:tcBorders>
            <w:shd w:val="clear" w:color="auto" w:fill="auto"/>
            <w:noWrap/>
            <w:vAlign w:val="center"/>
            <w:hideMark/>
          </w:tcPr>
          <w:p w14:paraId="32CD9FBE"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0" w:type="dxa"/>
            <w:tcBorders>
              <w:top w:val="single" w:sz="4" w:space="0" w:color="E0301E" w:themeColor="accent6"/>
              <w:left w:val="single" w:sz="4" w:space="0" w:color="F3ABA4" w:themeColor="accent6" w:themeTint="66"/>
            </w:tcBorders>
            <w:shd w:val="clear" w:color="auto" w:fill="auto"/>
            <w:noWrap/>
            <w:vAlign w:val="center"/>
            <w:hideMark/>
          </w:tcPr>
          <w:p w14:paraId="1576035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single" w:sz="4" w:space="0" w:color="E0301E" w:themeColor="accent6"/>
              <w:right w:val="single" w:sz="4" w:space="0" w:color="F3ABA4" w:themeColor="accent6" w:themeTint="66"/>
            </w:tcBorders>
            <w:shd w:val="clear" w:color="auto" w:fill="auto"/>
            <w:noWrap/>
            <w:vAlign w:val="center"/>
            <w:hideMark/>
          </w:tcPr>
          <w:p w14:paraId="6B6B90E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single" w:sz="4" w:space="0" w:color="E0301E" w:themeColor="accent6"/>
              <w:left w:val="single" w:sz="4" w:space="0" w:color="F3ABA4" w:themeColor="accent6" w:themeTint="66"/>
            </w:tcBorders>
            <w:shd w:val="clear" w:color="auto" w:fill="auto"/>
            <w:noWrap/>
            <w:vAlign w:val="center"/>
            <w:hideMark/>
          </w:tcPr>
          <w:p w14:paraId="18A2B567"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single" w:sz="4" w:space="0" w:color="E0301E" w:themeColor="accent6"/>
            </w:tcBorders>
            <w:shd w:val="clear" w:color="auto" w:fill="auto"/>
            <w:noWrap/>
            <w:vAlign w:val="center"/>
            <w:hideMark/>
          </w:tcPr>
          <w:p w14:paraId="3515EEF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shd w:val="clear" w:color="auto" w:fill="auto"/>
            <w:noWrap/>
            <w:vAlign w:val="center"/>
            <w:hideMark/>
          </w:tcPr>
          <w:p w14:paraId="257E06B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r>
      <w:tr w:rsidR="00721328" w:rsidRPr="00227D1E" w14:paraId="1BCEBF0C" w14:textId="77777777" w:rsidTr="002B6E6E">
        <w:trPr>
          <w:trHeight w:val="382"/>
        </w:trPr>
        <w:tc>
          <w:tcPr>
            <w:tcW w:w="1333" w:type="dxa"/>
            <w:shd w:val="clear" w:color="auto" w:fill="auto"/>
            <w:vAlign w:val="center"/>
            <w:hideMark/>
          </w:tcPr>
          <w:p w14:paraId="7382F514"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 xml:space="preserve">Duration in </w:t>
            </w:r>
            <w:r>
              <w:rPr>
                <w:rFonts w:ascii="Arial" w:hAnsi="Arial"/>
                <w:color w:val="000000"/>
                <w:sz w:val="16"/>
                <w:szCs w:val="16"/>
                <w:lang w:eastAsia="en-AU"/>
              </w:rPr>
              <w:t>C</w:t>
            </w:r>
            <w:r w:rsidRPr="00227D1E">
              <w:rPr>
                <w:rFonts w:ascii="Arial" w:hAnsi="Arial"/>
                <w:color w:val="000000"/>
                <w:sz w:val="16"/>
                <w:szCs w:val="16"/>
                <w:lang w:eastAsia="en-AU"/>
              </w:rPr>
              <w:t>lass</w:t>
            </w:r>
          </w:p>
        </w:tc>
        <w:tc>
          <w:tcPr>
            <w:tcW w:w="804" w:type="dxa"/>
            <w:shd w:val="clear" w:color="auto" w:fill="auto"/>
            <w:noWrap/>
            <w:vAlign w:val="center"/>
          </w:tcPr>
          <w:p w14:paraId="02010245"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7BC0CA3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2E1B5058"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shd w:val="clear" w:color="auto" w:fill="auto"/>
            <w:noWrap/>
            <w:vAlign w:val="center"/>
          </w:tcPr>
          <w:p w14:paraId="68E603C7"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shd w:val="clear" w:color="auto" w:fill="auto"/>
            <w:noWrap/>
            <w:vAlign w:val="center"/>
          </w:tcPr>
          <w:p w14:paraId="5B2BD1E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right w:val="single" w:sz="4" w:space="0" w:color="F3ABA4" w:themeColor="accent6" w:themeTint="66"/>
            </w:tcBorders>
            <w:shd w:val="clear" w:color="auto" w:fill="auto"/>
            <w:noWrap/>
            <w:vAlign w:val="center"/>
          </w:tcPr>
          <w:p w14:paraId="3B20078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tcBorders>
              <w:top w:val="single" w:sz="4" w:space="0" w:color="E0301E" w:themeColor="accent6"/>
              <w:left w:val="single" w:sz="4" w:space="0" w:color="F3ABA4" w:themeColor="accent6" w:themeTint="66"/>
            </w:tcBorders>
            <w:shd w:val="clear" w:color="auto" w:fill="auto"/>
            <w:noWrap/>
            <w:vAlign w:val="center"/>
            <w:hideMark/>
          </w:tcPr>
          <w:p w14:paraId="56CE5907"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single" w:sz="4" w:space="0" w:color="E0301E" w:themeColor="accent6"/>
              <w:right w:val="single" w:sz="4" w:space="0" w:color="F3ABA4" w:themeColor="accent6" w:themeTint="66"/>
            </w:tcBorders>
            <w:shd w:val="clear" w:color="auto" w:fill="auto"/>
            <w:noWrap/>
            <w:vAlign w:val="center"/>
          </w:tcPr>
          <w:p w14:paraId="453A533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left w:val="single" w:sz="4" w:space="0" w:color="F3ABA4" w:themeColor="accent6" w:themeTint="66"/>
            </w:tcBorders>
            <w:shd w:val="clear" w:color="auto" w:fill="auto"/>
            <w:noWrap/>
            <w:vAlign w:val="center"/>
          </w:tcPr>
          <w:p w14:paraId="69970725"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tcBorders>
            <w:shd w:val="clear" w:color="auto" w:fill="auto"/>
            <w:noWrap/>
            <w:vAlign w:val="center"/>
          </w:tcPr>
          <w:p w14:paraId="61FA100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shd w:val="clear" w:color="auto" w:fill="auto"/>
            <w:noWrap/>
            <w:vAlign w:val="center"/>
          </w:tcPr>
          <w:p w14:paraId="514694FE"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r>
      <w:tr w:rsidR="00721328" w:rsidRPr="00227D1E" w14:paraId="1EE11B6A" w14:textId="77777777" w:rsidTr="002B6E6E">
        <w:trPr>
          <w:trHeight w:val="382"/>
        </w:trPr>
        <w:tc>
          <w:tcPr>
            <w:tcW w:w="1333" w:type="dxa"/>
            <w:shd w:val="clear" w:color="auto" w:fill="auto"/>
            <w:vAlign w:val="center"/>
          </w:tcPr>
          <w:p w14:paraId="658402FA" w14:textId="70A10047" w:rsidR="00721328" w:rsidRPr="00227D1E" w:rsidRDefault="00721328" w:rsidP="00A82D43">
            <w:pPr>
              <w:kinsoku/>
              <w:overflowPunct/>
              <w:autoSpaceDE/>
              <w:autoSpaceDN/>
              <w:adjustRightInd/>
              <w:snapToGrid/>
              <w:rPr>
                <w:rFonts w:ascii="Arial" w:hAnsi="Arial"/>
                <w:color w:val="000000"/>
                <w:sz w:val="16"/>
                <w:szCs w:val="16"/>
                <w:lang w:eastAsia="en-AU"/>
              </w:rPr>
            </w:pPr>
            <w:r>
              <w:rPr>
                <w:rFonts w:ascii="Arial" w:hAnsi="Arial"/>
                <w:color w:val="000000"/>
                <w:sz w:val="16"/>
                <w:szCs w:val="16"/>
                <w:lang w:eastAsia="en-AU"/>
              </w:rPr>
              <w:t>Primary Care</w:t>
            </w:r>
            <w:r w:rsidR="00A82D43">
              <w:rPr>
                <w:rFonts w:ascii="Arial" w:hAnsi="Arial"/>
                <w:color w:val="000000"/>
                <w:sz w:val="16"/>
                <w:szCs w:val="16"/>
                <w:lang w:eastAsia="en-AU"/>
              </w:rPr>
              <w:t xml:space="preserve"> Recipient</w:t>
            </w:r>
            <w:r>
              <w:rPr>
                <w:rFonts w:ascii="Arial" w:hAnsi="Arial"/>
                <w:color w:val="000000"/>
                <w:sz w:val="16"/>
                <w:szCs w:val="16"/>
                <w:lang w:eastAsia="en-AU"/>
              </w:rPr>
              <w:t xml:space="preserve"> Age</w:t>
            </w:r>
          </w:p>
        </w:tc>
        <w:tc>
          <w:tcPr>
            <w:tcW w:w="804" w:type="dxa"/>
            <w:shd w:val="clear" w:color="auto" w:fill="auto"/>
            <w:noWrap/>
            <w:vAlign w:val="center"/>
          </w:tcPr>
          <w:p w14:paraId="147325F0"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Pr>
                <w:rFonts w:ascii="Arial" w:hAnsi="Arial"/>
                <w:color w:val="auto"/>
                <w:sz w:val="16"/>
                <w:szCs w:val="16"/>
                <w:lang w:eastAsia="en-AU"/>
              </w:rPr>
              <w:t>Y</w:t>
            </w:r>
          </w:p>
        </w:tc>
        <w:tc>
          <w:tcPr>
            <w:tcW w:w="992" w:type="dxa"/>
            <w:shd w:val="clear" w:color="auto" w:fill="auto"/>
            <w:noWrap/>
            <w:vAlign w:val="center"/>
          </w:tcPr>
          <w:p w14:paraId="208317FE"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Pr>
                <w:rFonts w:ascii="Arial" w:hAnsi="Arial"/>
                <w:color w:val="auto"/>
                <w:sz w:val="16"/>
                <w:szCs w:val="16"/>
                <w:lang w:eastAsia="en-AU"/>
              </w:rPr>
              <w:t>Y</w:t>
            </w:r>
          </w:p>
        </w:tc>
        <w:tc>
          <w:tcPr>
            <w:tcW w:w="992" w:type="dxa"/>
            <w:shd w:val="clear" w:color="auto" w:fill="auto"/>
            <w:noWrap/>
            <w:vAlign w:val="center"/>
          </w:tcPr>
          <w:p w14:paraId="603C40C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Pr>
                <w:rFonts w:ascii="Arial" w:hAnsi="Arial"/>
                <w:color w:val="auto"/>
                <w:sz w:val="16"/>
                <w:szCs w:val="16"/>
                <w:lang w:eastAsia="en-AU"/>
              </w:rPr>
              <w:t>Y</w:t>
            </w:r>
          </w:p>
        </w:tc>
        <w:tc>
          <w:tcPr>
            <w:tcW w:w="851" w:type="dxa"/>
            <w:shd w:val="clear" w:color="auto" w:fill="auto"/>
            <w:noWrap/>
            <w:vAlign w:val="center"/>
          </w:tcPr>
          <w:p w14:paraId="028D82B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shd w:val="clear" w:color="auto" w:fill="auto"/>
            <w:noWrap/>
            <w:vAlign w:val="center"/>
          </w:tcPr>
          <w:p w14:paraId="09DC3BF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right w:val="single" w:sz="4" w:space="0" w:color="F3ABA4" w:themeColor="accent6" w:themeTint="66"/>
            </w:tcBorders>
            <w:shd w:val="clear" w:color="auto" w:fill="auto"/>
            <w:noWrap/>
            <w:vAlign w:val="center"/>
          </w:tcPr>
          <w:p w14:paraId="60F61168"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tcBorders>
              <w:top w:val="single" w:sz="4" w:space="0" w:color="E0301E" w:themeColor="accent6"/>
              <w:left w:val="single" w:sz="4" w:space="0" w:color="F3ABA4" w:themeColor="accent6" w:themeTint="66"/>
            </w:tcBorders>
            <w:shd w:val="clear" w:color="auto" w:fill="auto"/>
            <w:noWrap/>
            <w:vAlign w:val="center"/>
          </w:tcPr>
          <w:p w14:paraId="5B06B1F7"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top w:val="single" w:sz="4" w:space="0" w:color="E0301E" w:themeColor="accent6"/>
              <w:right w:val="single" w:sz="4" w:space="0" w:color="F3ABA4" w:themeColor="accent6" w:themeTint="66"/>
            </w:tcBorders>
            <w:shd w:val="clear" w:color="auto" w:fill="auto"/>
            <w:noWrap/>
            <w:vAlign w:val="center"/>
          </w:tcPr>
          <w:p w14:paraId="2AE6309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left w:val="single" w:sz="4" w:space="0" w:color="F3ABA4" w:themeColor="accent6" w:themeTint="66"/>
            </w:tcBorders>
            <w:shd w:val="clear" w:color="auto" w:fill="auto"/>
            <w:noWrap/>
            <w:vAlign w:val="center"/>
          </w:tcPr>
          <w:p w14:paraId="5BE1EA5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tcBorders>
            <w:shd w:val="clear" w:color="auto" w:fill="auto"/>
            <w:noWrap/>
            <w:vAlign w:val="center"/>
          </w:tcPr>
          <w:p w14:paraId="04E8DAC3"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shd w:val="clear" w:color="auto" w:fill="auto"/>
            <w:noWrap/>
            <w:vAlign w:val="center"/>
          </w:tcPr>
          <w:p w14:paraId="741D30A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r>
      <w:tr w:rsidR="00721328" w:rsidRPr="00227D1E" w14:paraId="43FA5307" w14:textId="77777777" w:rsidTr="002B6E6E">
        <w:trPr>
          <w:trHeight w:val="382"/>
        </w:trPr>
        <w:tc>
          <w:tcPr>
            <w:tcW w:w="1333" w:type="dxa"/>
            <w:shd w:val="clear" w:color="auto" w:fill="auto"/>
            <w:vAlign w:val="center"/>
            <w:hideMark/>
          </w:tcPr>
          <w:p w14:paraId="3CE57EC2" w14:textId="6B9492D6" w:rsidR="00721328" w:rsidRPr="00227D1E" w:rsidRDefault="00721328" w:rsidP="00A82D43">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 xml:space="preserve">Number of Adult </w:t>
            </w:r>
            <w:r w:rsidR="00A82D43">
              <w:rPr>
                <w:rFonts w:ascii="Arial" w:hAnsi="Arial"/>
                <w:color w:val="000000"/>
                <w:sz w:val="16"/>
                <w:szCs w:val="16"/>
                <w:lang w:eastAsia="en-AU"/>
              </w:rPr>
              <w:t>Care Recipient</w:t>
            </w:r>
            <w:r w:rsidR="00A82D43" w:rsidRPr="00227D1E">
              <w:rPr>
                <w:rFonts w:ascii="Arial" w:hAnsi="Arial"/>
                <w:color w:val="000000"/>
                <w:sz w:val="16"/>
                <w:szCs w:val="16"/>
                <w:lang w:eastAsia="en-AU"/>
              </w:rPr>
              <w:t>s</w:t>
            </w:r>
          </w:p>
        </w:tc>
        <w:tc>
          <w:tcPr>
            <w:tcW w:w="804" w:type="dxa"/>
            <w:shd w:val="clear" w:color="auto" w:fill="auto"/>
            <w:noWrap/>
            <w:vAlign w:val="center"/>
          </w:tcPr>
          <w:p w14:paraId="4B3CBCBB"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74212D1E"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37CCDA4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shd w:val="clear" w:color="auto" w:fill="auto"/>
            <w:noWrap/>
            <w:vAlign w:val="center"/>
          </w:tcPr>
          <w:p w14:paraId="48DE8B5E"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shd w:val="clear" w:color="auto" w:fill="auto"/>
            <w:noWrap/>
            <w:vAlign w:val="center"/>
            <w:hideMark/>
          </w:tcPr>
          <w:p w14:paraId="1C956A1F"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right w:val="single" w:sz="4" w:space="0" w:color="F3ABA4" w:themeColor="accent6" w:themeTint="66"/>
            </w:tcBorders>
            <w:shd w:val="clear" w:color="auto" w:fill="auto"/>
            <w:noWrap/>
            <w:vAlign w:val="center"/>
            <w:hideMark/>
          </w:tcPr>
          <w:p w14:paraId="2B14D9F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0" w:type="dxa"/>
            <w:tcBorders>
              <w:top w:val="single" w:sz="4" w:space="0" w:color="E0301E" w:themeColor="accent6"/>
              <w:left w:val="single" w:sz="4" w:space="0" w:color="F3ABA4" w:themeColor="accent6" w:themeTint="66"/>
            </w:tcBorders>
            <w:shd w:val="clear" w:color="auto" w:fill="auto"/>
            <w:noWrap/>
            <w:vAlign w:val="center"/>
          </w:tcPr>
          <w:p w14:paraId="59FB97A0"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top w:val="single" w:sz="4" w:space="0" w:color="E0301E" w:themeColor="accent6"/>
              <w:right w:val="single" w:sz="4" w:space="0" w:color="F3ABA4" w:themeColor="accent6" w:themeTint="66"/>
            </w:tcBorders>
            <w:shd w:val="clear" w:color="auto" w:fill="auto"/>
            <w:noWrap/>
            <w:vAlign w:val="center"/>
          </w:tcPr>
          <w:p w14:paraId="23F4B15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left w:val="single" w:sz="4" w:space="0" w:color="F3ABA4" w:themeColor="accent6" w:themeTint="66"/>
            </w:tcBorders>
            <w:shd w:val="clear" w:color="auto" w:fill="auto"/>
            <w:noWrap/>
            <w:vAlign w:val="center"/>
          </w:tcPr>
          <w:p w14:paraId="7D450743"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tcBorders>
            <w:shd w:val="clear" w:color="auto" w:fill="auto"/>
            <w:noWrap/>
            <w:vAlign w:val="center"/>
          </w:tcPr>
          <w:p w14:paraId="5C34844F"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shd w:val="clear" w:color="auto" w:fill="auto"/>
            <w:noWrap/>
            <w:vAlign w:val="center"/>
          </w:tcPr>
          <w:p w14:paraId="65C4A4F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r>
      <w:tr w:rsidR="00721328" w:rsidRPr="00227D1E" w14:paraId="4D28B039" w14:textId="77777777" w:rsidTr="002B6E6E">
        <w:trPr>
          <w:trHeight w:val="382"/>
        </w:trPr>
        <w:tc>
          <w:tcPr>
            <w:tcW w:w="1333" w:type="dxa"/>
            <w:shd w:val="clear" w:color="auto" w:fill="auto"/>
            <w:vAlign w:val="center"/>
            <w:hideMark/>
          </w:tcPr>
          <w:p w14:paraId="75501A91" w14:textId="3BE699F2" w:rsidR="00721328" w:rsidRPr="00227D1E" w:rsidRDefault="00721328" w:rsidP="00066E33">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 xml:space="preserve">Number of Child </w:t>
            </w:r>
            <w:r w:rsidR="00A82D43">
              <w:rPr>
                <w:rFonts w:ascii="Arial" w:hAnsi="Arial"/>
                <w:color w:val="000000"/>
                <w:sz w:val="16"/>
                <w:szCs w:val="16"/>
                <w:lang w:eastAsia="en-AU"/>
              </w:rPr>
              <w:t>Care Recipient</w:t>
            </w:r>
            <w:r w:rsidR="00A82D43" w:rsidRPr="00227D1E">
              <w:rPr>
                <w:rFonts w:ascii="Arial" w:hAnsi="Arial"/>
                <w:color w:val="000000"/>
                <w:sz w:val="16"/>
                <w:szCs w:val="16"/>
                <w:lang w:eastAsia="en-AU"/>
              </w:rPr>
              <w:t>s</w:t>
            </w:r>
          </w:p>
        </w:tc>
        <w:tc>
          <w:tcPr>
            <w:tcW w:w="804" w:type="dxa"/>
            <w:shd w:val="clear" w:color="auto" w:fill="auto"/>
            <w:noWrap/>
            <w:vAlign w:val="center"/>
          </w:tcPr>
          <w:p w14:paraId="1D18238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421735B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0F74F1F2"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shd w:val="clear" w:color="auto" w:fill="auto"/>
            <w:noWrap/>
            <w:vAlign w:val="center"/>
          </w:tcPr>
          <w:p w14:paraId="14728E6F"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shd w:val="clear" w:color="auto" w:fill="auto"/>
            <w:noWrap/>
            <w:vAlign w:val="center"/>
            <w:hideMark/>
          </w:tcPr>
          <w:p w14:paraId="09CEF0A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right w:val="single" w:sz="4" w:space="0" w:color="F3ABA4" w:themeColor="accent6" w:themeTint="66"/>
            </w:tcBorders>
            <w:shd w:val="clear" w:color="auto" w:fill="auto"/>
            <w:noWrap/>
            <w:vAlign w:val="center"/>
            <w:hideMark/>
          </w:tcPr>
          <w:p w14:paraId="62F3C0B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0" w:type="dxa"/>
            <w:tcBorders>
              <w:top w:val="single" w:sz="4" w:space="0" w:color="E0301E" w:themeColor="accent6"/>
              <w:left w:val="single" w:sz="4" w:space="0" w:color="F3ABA4" w:themeColor="accent6" w:themeTint="66"/>
            </w:tcBorders>
            <w:shd w:val="clear" w:color="auto" w:fill="auto"/>
            <w:noWrap/>
            <w:vAlign w:val="center"/>
          </w:tcPr>
          <w:p w14:paraId="3C35ECB9"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top w:val="single" w:sz="4" w:space="0" w:color="E0301E" w:themeColor="accent6"/>
              <w:right w:val="single" w:sz="4" w:space="0" w:color="F3ABA4" w:themeColor="accent6" w:themeTint="66"/>
            </w:tcBorders>
            <w:shd w:val="clear" w:color="auto" w:fill="auto"/>
            <w:noWrap/>
            <w:vAlign w:val="center"/>
          </w:tcPr>
          <w:p w14:paraId="7BC75BC8"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left w:val="single" w:sz="4" w:space="0" w:color="F3ABA4" w:themeColor="accent6" w:themeTint="66"/>
            </w:tcBorders>
            <w:shd w:val="clear" w:color="auto" w:fill="auto"/>
            <w:noWrap/>
            <w:vAlign w:val="center"/>
          </w:tcPr>
          <w:p w14:paraId="2A18FB0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tcBorders>
            <w:shd w:val="clear" w:color="auto" w:fill="auto"/>
            <w:noWrap/>
            <w:vAlign w:val="center"/>
          </w:tcPr>
          <w:p w14:paraId="1B63CAB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shd w:val="clear" w:color="auto" w:fill="auto"/>
            <w:noWrap/>
            <w:vAlign w:val="center"/>
          </w:tcPr>
          <w:p w14:paraId="5E64694E"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r>
      <w:tr w:rsidR="00721328" w:rsidRPr="00227D1E" w14:paraId="7A71CD51" w14:textId="77777777" w:rsidTr="002B6E6E">
        <w:trPr>
          <w:trHeight w:val="382"/>
        </w:trPr>
        <w:tc>
          <w:tcPr>
            <w:tcW w:w="1333" w:type="dxa"/>
            <w:shd w:val="clear" w:color="auto" w:fill="auto"/>
            <w:vAlign w:val="center"/>
            <w:hideMark/>
          </w:tcPr>
          <w:p w14:paraId="2CFD6136"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Earnings</w:t>
            </w:r>
          </w:p>
        </w:tc>
        <w:tc>
          <w:tcPr>
            <w:tcW w:w="804" w:type="dxa"/>
            <w:shd w:val="clear" w:color="auto" w:fill="auto"/>
            <w:noWrap/>
            <w:vAlign w:val="center"/>
          </w:tcPr>
          <w:p w14:paraId="0F871AAE"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4D17325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0DF2349B"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shd w:val="clear" w:color="auto" w:fill="auto"/>
            <w:noWrap/>
            <w:vAlign w:val="center"/>
          </w:tcPr>
          <w:p w14:paraId="1FD8D65B"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shd w:val="clear" w:color="auto" w:fill="auto"/>
            <w:noWrap/>
            <w:vAlign w:val="center"/>
          </w:tcPr>
          <w:p w14:paraId="5CA435C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right w:val="single" w:sz="4" w:space="0" w:color="F3ABA4" w:themeColor="accent6" w:themeTint="66"/>
            </w:tcBorders>
            <w:shd w:val="clear" w:color="auto" w:fill="auto"/>
            <w:noWrap/>
            <w:vAlign w:val="center"/>
          </w:tcPr>
          <w:p w14:paraId="22B0E40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tcBorders>
              <w:top w:val="single" w:sz="4" w:space="0" w:color="E0301E" w:themeColor="accent6"/>
              <w:left w:val="single" w:sz="4" w:space="0" w:color="F3ABA4" w:themeColor="accent6" w:themeTint="66"/>
            </w:tcBorders>
            <w:shd w:val="clear" w:color="auto" w:fill="auto"/>
            <w:noWrap/>
            <w:vAlign w:val="center"/>
            <w:hideMark/>
          </w:tcPr>
          <w:p w14:paraId="772878E4"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single" w:sz="4" w:space="0" w:color="E0301E" w:themeColor="accent6"/>
              <w:right w:val="single" w:sz="4" w:space="0" w:color="F3ABA4" w:themeColor="accent6" w:themeTint="66"/>
            </w:tcBorders>
            <w:shd w:val="clear" w:color="auto" w:fill="auto"/>
            <w:noWrap/>
            <w:vAlign w:val="center"/>
            <w:hideMark/>
          </w:tcPr>
          <w:p w14:paraId="66B2C44D"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single" w:sz="4" w:space="0" w:color="E0301E" w:themeColor="accent6"/>
              <w:left w:val="single" w:sz="4" w:space="0" w:color="F3ABA4" w:themeColor="accent6" w:themeTint="66"/>
            </w:tcBorders>
            <w:shd w:val="clear" w:color="auto" w:fill="auto"/>
            <w:noWrap/>
            <w:vAlign w:val="center"/>
            <w:hideMark/>
          </w:tcPr>
          <w:p w14:paraId="7321B960"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tcBorders>
            <w:shd w:val="clear" w:color="auto" w:fill="auto"/>
            <w:noWrap/>
            <w:vAlign w:val="center"/>
            <w:hideMark/>
          </w:tcPr>
          <w:p w14:paraId="6FD19E4B"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shd w:val="clear" w:color="auto" w:fill="auto"/>
            <w:noWrap/>
            <w:vAlign w:val="center"/>
            <w:hideMark/>
          </w:tcPr>
          <w:p w14:paraId="57B29E5A"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r>
      <w:tr w:rsidR="00721328" w:rsidRPr="00227D1E" w14:paraId="05A97B7B" w14:textId="77777777" w:rsidTr="002B6E6E">
        <w:trPr>
          <w:trHeight w:val="382"/>
        </w:trPr>
        <w:tc>
          <w:tcPr>
            <w:tcW w:w="1333" w:type="dxa"/>
            <w:shd w:val="clear" w:color="auto" w:fill="auto"/>
            <w:vAlign w:val="center"/>
            <w:hideMark/>
          </w:tcPr>
          <w:p w14:paraId="7ADE8878" w14:textId="77777777" w:rsidR="00721328" w:rsidRPr="00227D1E" w:rsidRDefault="00721328" w:rsidP="00721328">
            <w:pPr>
              <w:kinsoku/>
              <w:overflowPunct/>
              <w:autoSpaceDE/>
              <w:autoSpaceDN/>
              <w:adjustRightInd/>
              <w:snapToGrid/>
              <w:rPr>
                <w:rFonts w:ascii="Arial" w:hAnsi="Arial"/>
                <w:color w:val="000000"/>
                <w:sz w:val="16"/>
                <w:szCs w:val="16"/>
                <w:lang w:eastAsia="en-AU"/>
              </w:rPr>
            </w:pPr>
            <w:r w:rsidRPr="00227D1E">
              <w:rPr>
                <w:rFonts w:ascii="Arial" w:hAnsi="Arial"/>
                <w:color w:val="000000"/>
                <w:sz w:val="16"/>
                <w:szCs w:val="16"/>
                <w:lang w:eastAsia="en-AU"/>
              </w:rPr>
              <w:t>Payment Type</w:t>
            </w:r>
          </w:p>
        </w:tc>
        <w:tc>
          <w:tcPr>
            <w:tcW w:w="804" w:type="dxa"/>
            <w:shd w:val="clear" w:color="auto" w:fill="auto"/>
            <w:noWrap/>
            <w:vAlign w:val="center"/>
          </w:tcPr>
          <w:p w14:paraId="46266119"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4967DF83"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992" w:type="dxa"/>
            <w:shd w:val="clear" w:color="auto" w:fill="auto"/>
            <w:noWrap/>
            <w:vAlign w:val="center"/>
          </w:tcPr>
          <w:p w14:paraId="30F67FDB"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shd w:val="clear" w:color="auto" w:fill="auto"/>
            <w:noWrap/>
            <w:vAlign w:val="center"/>
          </w:tcPr>
          <w:p w14:paraId="7B93B12C"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shd w:val="clear" w:color="auto" w:fill="auto"/>
            <w:noWrap/>
            <w:vAlign w:val="center"/>
          </w:tcPr>
          <w:p w14:paraId="6C00E329"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1" w:type="dxa"/>
            <w:tcBorders>
              <w:right w:val="single" w:sz="4" w:space="0" w:color="F3ABA4" w:themeColor="accent6" w:themeTint="66"/>
            </w:tcBorders>
            <w:shd w:val="clear" w:color="auto" w:fill="auto"/>
            <w:noWrap/>
            <w:vAlign w:val="center"/>
          </w:tcPr>
          <w:p w14:paraId="79179799"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850" w:type="dxa"/>
            <w:tcBorders>
              <w:top w:val="single" w:sz="4" w:space="0" w:color="E0301E" w:themeColor="accent6"/>
              <w:left w:val="single" w:sz="4" w:space="0" w:color="F3ABA4" w:themeColor="accent6" w:themeTint="66"/>
            </w:tcBorders>
            <w:shd w:val="clear" w:color="auto" w:fill="auto"/>
            <w:noWrap/>
            <w:vAlign w:val="center"/>
            <w:hideMark/>
          </w:tcPr>
          <w:p w14:paraId="191FC497"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851" w:type="dxa"/>
            <w:tcBorders>
              <w:top w:val="single" w:sz="4" w:space="0" w:color="E0301E" w:themeColor="accent6"/>
              <w:right w:val="single" w:sz="4" w:space="0" w:color="F3ABA4" w:themeColor="accent6" w:themeTint="66"/>
            </w:tcBorders>
            <w:shd w:val="clear" w:color="auto" w:fill="auto"/>
            <w:noWrap/>
            <w:vAlign w:val="center"/>
            <w:hideMark/>
          </w:tcPr>
          <w:p w14:paraId="72C5A001"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p>
        </w:tc>
        <w:tc>
          <w:tcPr>
            <w:tcW w:w="567" w:type="dxa"/>
            <w:tcBorders>
              <w:top w:val="single" w:sz="4" w:space="0" w:color="E0301E" w:themeColor="accent6"/>
              <w:left w:val="single" w:sz="4" w:space="0" w:color="F3ABA4" w:themeColor="accent6" w:themeTint="66"/>
            </w:tcBorders>
            <w:shd w:val="clear" w:color="auto" w:fill="auto"/>
            <w:noWrap/>
            <w:vAlign w:val="center"/>
            <w:hideMark/>
          </w:tcPr>
          <w:p w14:paraId="22984DB0"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tcBorders>
              <w:top w:val="single" w:sz="4" w:space="0" w:color="E0301E" w:themeColor="accent6"/>
            </w:tcBorders>
            <w:shd w:val="clear" w:color="auto" w:fill="auto"/>
            <w:noWrap/>
            <w:vAlign w:val="center"/>
            <w:hideMark/>
          </w:tcPr>
          <w:p w14:paraId="47E90E36"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c>
          <w:tcPr>
            <w:tcW w:w="567" w:type="dxa"/>
            <w:shd w:val="clear" w:color="auto" w:fill="auto"/>
            <w:noWrap/>
            <w:vAlign w:val="center"/>
            <w:hideMark/>
          </w:tcPr>
          <w:p w14:paraId="52D30D13" w14:textId="77777777" w:rsidR="00721328" w:rsidRPr="00227D1E" w:rsidRDefault="00721328" w:rsidP="00721328">
            <w:pPr>
              <w:kinsoku/>
              <w:overflowPunct/>
              <w:autoSpaceDE/>
              <w:autoSpaceDN/>
              <w:adjustRightInd/>
              <w:snapToGrid/>
              <w:jc w:val="center"/>
              <w:rPr>
                <w:rFonts w:ascii="Arial" w:hAnsi="Arial"/>
                <w:color w:val="auto"/>
                <w:sz w:val="16"/>
                <w:szCs w:val="16"/>
                <w:lang w:eastAsia="en-AU"/>
              </w:rPr>
            </w:pPr>
            <w:r w:rsidRPr="00227D1E">
              <w:rPr>
                <w:rFonts w:ascii="Arial" w:hAnsi="Arial"/>
                <w:color w:val="auto"/>
                <w:sz w:val="16"/>
                <w:szCs w:val="16"/>
                <w:lang w:eastAsia="en-AU"/>
              </w:rPr>
              <w:t>Y</w:t>
            </w:r>
          </w:p>
        </w:tc>
      </w:tr>
    </w:tbl>
    <w:p w14:paraId="51F2CE89" w14:textId="77777777" w:rsidR="00037542" w:rsidRPr="003D1D98" w:rsidRDefault="00037542" w:rsidP="00037542">
      <w:pPr>
        <w:pStyle w:val="Sources"/>
      </w:pPr>
      <w:r w:rsidRPr="003D1D98">
        <w:t xml:space="preserve">Notes: </w:t>
      </w:r>
    </w:p>
    <w:p w14:paraId="6AEA4817" w14:textId="77777777" w:rsidR="003B663F" w:rsidRDefault="003B663F" w:rsidP="00A01ACD">
      <w:pPr>
        <w:pStyle w:val="Sources"/>
        <w:numPr>
          <w:ilvl w:val="0"/>
          <w:numId w:val="52"/>
        </w:numPr>
      </w:pPr>
      <w:r>
        <w:t>The factors shown are for the initial determination of the variable when people first enter the relevant class. In subsequent years some variables are modelled dynamically and others are treated as static. The report provides further information for each variable.</w:t>
      </w:r>
    </w:p>
    <w:p w14:paraId="38DC90E5" w14:textId="77777777" w:rsidR="00037542" w:rsidRDefault="00037542" w:rsidP="00037542">
      <w:pPr>
        <w:kinsoku/>
        <w:overflowPunct/>
        <w:autoSpaceDE/>
        <w:autoSpaceDN/>
        <w:adjustRightInd/>
        <w:snapToGrid/>
        <w:rPr>
          <w:rFonts w:asciiTheme="majorHAnsi" w:hAnsiTheme="majorHAnsi"/>
          <w:b/>
          <w:color w:val="E0301E"/>
          <w:sz w:val="24"/>
          <w:szCs w:val="24"/>
        </w:rPr>
      </w:pPr>
      <w:r>
        <w:br w:type="page"/>
      </w:r>
    </w:p>
    <w:p w14:paraId="00AF6275" w14:textId="77777777" w:rsidR="00037542" w:rsidRPr="00814ABA" w:rsidRDefault="00037542" w:rsidP="00037542">
      <w:pPr>
        <w:pStyle w:val="Majorheading"/>
      </w:pPr>
      <w:r w:rsidRPr="00814ABA">
        <w:lastRenderedPageBreak/>
        <w:t>Payment category utilisation assumptions</w:t>
      </w:r>
    </w:p>
    <w:p w14:paraId="6360DDFF" w14:textId="77777777" w:rsidR="00037542" w:rsidRPr="00814ABA" w:rsidRDefault="00037542" w:rsidP="00037542">
      <w:pPr>
        <w:pStyle w:val="PwCNormal"/>
        <w:numPr>
          <w:ilvl w:val="0"/>
          <w:numId w:val="1"/>
        </w:numPr>
      </w:pPr>
      <w:r w:rsidRPr="00814ABA">
        <w:t>The assumption approaches adopted for utilisation of each payment category for people in each class are summarised below. As noted in section 6, foundation assumptions were adopted in a number of cases due to the</w:t>
      </w:r>
      <w:r>
        <w:t xml:space="preserve"> relatively low volume of related payments in the class-category combination and therefore the</w:t>
      </w:r>
      <w:r w:rsidRPr="00814ABA">
        <w:t xml:space="preserve"> limited value </w:t>
      </w:r>
      <w:r>
        <w:t>in</w:t>
      </w:r>
      <w:r w:rsidRPr="00814ABA">
        <w:t xml:space="preserve"> developing a risk-based model for that category and class. The risk based assumptions cover 98% of the income support payments and 6</w:t>
      </w:r>
      <w:r>
        <w:t>0</w:t>
      </w:r>
      <w:r w:rsidRPr="00814ABA">
        <w:t>% of overall payments.</w:t>
      </w:r>
    </w:p>
    <w:p w14:paraId="16316206" w14:textId="77777777" w:rsidR="00037542" w:rsidRPr="00814ABA" w:rsidRDefault="00037542" w:rsidP="00037542">
      <w:pPr>
        <w:pStyle w:val="Caption"/>
      </w:pPr>
      <w:r w:rsidRPr="00814ABA">
        <w:t xml:space="preserve">Table </w:t>
      </w:r>
      <w:fldSimple w:instr=" SEQ Table \* ARABIC ">
        <w:r w:rsidR="007A42DF">
          <w:rPr>
            <w:noProof/>
          </w:rPr>
          <w:t>69</w:t>
        </w:r>
      </w:fldSimple>
      <w:r w:rsidRPr="00814ABA">
        <w:t>: Approach adopted for developing payment utilisa</w:t>
      </w:r>
      <w:r>
        <w:t>tion assumptions for each class: Income Support</w:t>
      </w:r>
      <w:r w:rsidR="009B58B4">
        <w:t xml:space="preserve"> payment categories</w:t>
      </w:r>
    </w:p>
    <w:tbl>
      <w:tblPr>
        <w:tblW w:w="9762" w:type="dxa"/>
        <w:tblInd w:w="108" w:type="dxa"/>
        <w:tblBorders>
          <w:bottom w:val="single" w:sz="8" w:space="0" w:color="E0301E"/>
          <w:insideH w:val="single" w:sz="8" w:space="0" w:color="E0301E"/>
        </w:tblBorders>
        <w:tblLayout w:type="fixed"/>
        <w:tblLook w:val="0480" w:firstRow="0" w:lastRow="0" w:firstColumn="1" w:lastColumn="0" w:noHBand="0" w:noVBand="1"/>
        <w:tblCaption w:val="Approach adopted for developing payment utilisation assumptions for each class: Income Support payment categories"/>
        <w:tblDescription w:val="This table describes the adopted approach for developing utilisation assumptions within each class for each of the income support payment types. For reference, the income support payment types are income support studying, income support working, income support parents, income support carers, income support disability, income support aged and income support dependant. These are listed across the top of the table. Down the left hand side are listed classes 1 to 12. Each cell in the table takes one of the following values: R*, R**, F* and N/A. These represent the different approaches for developing assumptions.&#10;&#10;R* indicates that the assumption is 100% and hence no risk based model was required to model utilisation accurately. R** indicates that the assumption is less than 100%, but rules were developed to assign utilisation (rather than fitting models). F* indicates that refined foundation assumptions have been used, referencing both current and previous class. In these cases we consider the additional value of risk based utilisation assumptions to be minimal. N/A refers to not applicable.  It is used across all cells for classes 7-12 as individuals in these classes by definition cannot have utilised an income support payment category in the current year. As such, no utilisation has been modelled for these combinations.&#10;&#10;Each income support class has a primary payment which all individuals in that class must receive by definition. In particular, the primary payment category for classes 1-6 are payment categories A-F respectively. The only exception is for class 2, which has two primary payment categories (B and G). For each of these combinations of class and primary payment category (except class 2), the R* approach was used to develop utilisation assumptions (i.e. utilisation was set to 100%). For class 2, payment utilisation assumptions for categories B and G were developed using the R** approach. Note that for category G, the individuals receiving dependents payments were identified and treated as a closed group in the model.&#10;&#10;For all other Income Support payment categories, the F* approach was used to develop assumptions within classes 1-6."/>
      </w:tblPr>
      <w:tblGrid>
        <w:gridCol w:w="2435"/>
        <w:gridCol w:w="1041"/>
        <w:gridCol w:w="1041"/>
        <w:gridCol w:w="1042"/>
        <w:gridCol w:w="1042"/>
        <w:gridCol w:w="1042"/>
        <w:gridCol w:w="1042"/>
        <w:gridCol w:w="1077"/>
      </w:tblGrid>
      <w:tr w:rsidR="00037542" w:rsidRPr="00814ABA" w14:paraId="2BB3FBD0" w14:textId="77777777" w:rsidTr="00037542">
        <w:trPr>
          <w:trHeight w:hRule="exact" w:val="680"/>
          <w:tblHeader/>
        </w:trPr>
        <w:tc>
          <w:tcPr>
            <w:tcW w:w="2435" w:type="dxa"/>
            <w:tcBorders>
              <w:top w:val="nil"/>
              <w:bottom w:val="nil"/>
            </w:tcBorders>
            <w:shd w:val="clear" w:color="auto" w:fill="E0301E"/>
            <w:vAlign w:val="center"/>
            <w:hideMark/>
          </w:tcPr>
          <w:p w14:paraId="7F8A2BB6" w14:textId="77777777" w:rsidR="00037542" w:rsidRPr="00814ABA" w:rsidRDefault="00037542" w:rsidP="00037542">
            <w:pPr>
              <w:pStyle w:val="TableColumnHeadingSmall"/>
              <w:rPr>
                <w:snapToGrid/>
                <w:lang w:eastAsia="en-AU"/>
              </w:rPr>
            </w:pPr>
            <w:r w:rsidRPr="00814ABA">
              <w:rPr>
                <w:snapToGrid/>
                <w:lang w:eastAsia="en-AU"/>
              </w:rPr>
              <w:t>Model class</w:t>
            </w:r>
          </w:p>
          <w:p w14:paraId="72BBD369" w14:textId="77777777" w:rsidR="00037542" w:rsidRPr="00814ABA" w:rsidRDefault="00037542" w:rsidP="00037542">
            <w:pPr>
              <w:pStyle w:val="TableColumnHeadingSmall"/>
              <w:rPr>
                <w:snapToGrid/>
                <w:lang w:eastAsia="en-AU"/>
              </w:rPr>
            </w:pPr>
            <w:r w:rsidRPr="00814ABA">
              <w:rPr>
                <w:snapToGrid/>
                <w:lang w:eastAsia="en-AU"/>
              </w:rPr>
              <w:t>(at t+1)</w:t>
            </w:r>
          </w:p>
        </w:tc>
        <w:tc>
          <w:tcPr>
            <w:tcW w:w="1041" w:type="dxa"/>
            <w:tcBorders>
              <w:top w:val="nil"/>
              <w:bottom w:val="nil"/>
            </w:tcBorders>
            <w:shd w:val="clear" w:color="auto" w:fill="E0301E"/>
            <w:vAlign w:val="center"/>
            <w:hideMark/>
          </w:tcPr>
          <w:p w14:paraId="2AAA4B5F" w14:textId="77777777" w:rsidR="00037542" w:rsidRPr="00814ABA" w:rsidRDefault="00037542" w:rsidP="00037542">
            <w:pPr>
              <w:pStyle w:val="TableColumnHeadingSmall"/>
              <w:jc w:val="center"/>
              <w:rPr>
                <w:snapToGrid/>
                <w:lang w:eastAsia="en-AU"/>
              </w:rPr>
            </w:pPr>
            <w:r w:rsidRPr="00814ABA">
              <w:rPr>
                <w:snapToGrid/>
                <w:lang w:eastAsia="en-AU"/>
              </w:rPr>
              <w:t>A</w:t>
            </w:r>
          </w:p>
          <w:p w14:paraId="621A4876" w14:textId="77777777" w:rsidR="00037542" w:rsidRPr="00814ABA" w:rsidRDefault="00037542" w:rsidP="00037542">
            <w:pPr>
              <w:pStyle w:val="TableColumnHeadingSmall"/>
              <w:jc w:val="center"/>
              <w:rPr>
                <w:snapToGrid/>
                <w:lang w:eastAsia="en-AU"/>
              </w:rPr>
            </w:pPr>
            <w:r w:rsidRPr="00814ABA">
              <w:rPr>
                <w:snapToGrid/>
                <w:lang w:eastAsia="en-AU"/>
              </w:rPr>
              <w:t>IS Studying</w:t>
            </w:r>
          </w:p>
        </w:tc>
        <w:tc>
          <w:tcPr>
            <w:tcW w:w="1041" w:type="dxa"/>
            <w:tcBorders>
              <w:top w:val="nil"/>
              <w:bottom w:val="nil"/>
            </w:tcBorders>
            <w:shd w:val="clear" w:color="auto" w:fill="E0301E"/>
            <w:vAlign w:val="center"/>
            <w:hideMark/>
          </w:tcPr>
          <w:p w14:paraId="255AC59D" w14:textId="77777777" w:rsidR="00037542" w:rsidRPr="00814ABA" w:rsidRDefault="00037542" w:rsidP="00037542">
            <w:pPr>
              <w:pStyle w:val="TableColumnHeadingSmall"/>
              <w:jc w:val="center"/>
              <w:rPr>
                <w:snapToGrid/>
                <w:lang w:eastAsia="en-AU"/>
              </w:rPr>
            </w:pPr>
            <w:r w:rsidRPr="00814ABA">
              <w:rPr>
                <w:snapToGrid/>
                <w:lang w:eastAsia="en-AU"/>
              </w:rPr>
              <w:t>B</w:t>
            </w:r>
          </w:p>
          <w:p w14:paraId="265BDD59" w14:textId="77777777" w:rsidR="00037542" w:rsidRPr="00814ABA" w:rsidRDefault="00037542" w:rsidP="00037542">
            <w:pPr>
              <w:pStyle w:val="TableColumnHeadingSmall"/>
              <w:jc w:val="center"/>
              <w:rPr>
                <w:snapToGrid/>
                <w:lang w:eastAsia="en-AU"/>
              </w:rPr>
            </w:pPr>
            <w:r w:rsidRPr="00814ABA">
              <w:rPr>
                <w:snapToGrid/>
                <w:lang w:eastAsia="en-AU"/>
              </w:rPr>
              <w:t>IS Working Age</w:t>
            </w:r>
          </w:p>
        </w:tc>
        <w:tc>
          <w:tcPr>
            <w:tcW w:w="1042" w:type="dxa"/>
            <w:tcBorders>
              <w:top w:val="nil"/>
              <w:bottom w:val="nil"/>
            </w:tcBorders>
            <w:shd w:val="clear" w:color="auto" w:fill="E0301E"/>
            <w:vAlign w:val="center"/>
            <w:hideMark/>
          </w:tcPr>
          <w:p w14:paraId="2D47537C" w14:textId="77777777" w:rsidR="00037542" w:rsidRPr="00814ABA" w:rsidRDefault="00037542" w:rsidP="00037542">
            <w:pPr>
              <w:pStyle w:val="TableColumnHeadingSmall"/>
              <w:jc w:val="center"/>
              <w:rPr>
                <w:snapToGrid/>
                <w:lang w:eastAsia="en-AU"/>
              </w:rPr>
            </w:pPr>
            <w:r w:rsidRPr="00814ABA">
              <w:rPr>
                <w:snapToGrid/>
                <w:lang w:eastAsia="en-AU"/>
              </w:rPr>
              <w:t>C</w:t>
            </w:r>
          </w:p>
          <w:p w14:paraId="245A7FB6" w14:textId="77777777" w:rsidR="00037542" w:rsidRDefault="00037542" w:rsidP="00037542">
            <w:pPr>
              <w:pStyle w:val="TableColumnHeadingSmall"/>
              <w:jc w:val="center"/>
              <w:rPr>
                <w:snapToGrid/>
                <w:lang w:eastAsia="en-AU"/>
              </w:rPr>
            </w:pPr>
            <w:r w:rsidRPr="00814ABA">
              <w:rPr>
                <w:snapToGrid/>
                <w:lang w:eastAsia="en-AU"/>
              </w:rPr>
              <w:t>IS</w:t>
            </w:r>
          </w:p>
          <w:p w14:paraId="3EE21D6B" w14:textId="77777777" w:rsidR="00037542" w:rsidRPr="00814ABA" w:rsidRDefault="00037542" w:rsidP="00037542">
            <w:pPr>
              <w:pStyle w:val="TableColumnHeadingSmall"/>
              <w:jc w:val="center"/>
              <w:rPr>
                <w:snapToGrid/>
                <w:lang w:eastAsia="en-AU"/>
              </w:rPr>
            </w:pPr>
            <w:r w:rsidRPr="00814ABA">
              <w:rPr>
                <w:snapToGrid/>
                <w:lang w:eastAsia="en-AU"/>
              </w:rPr>
              <w:t>Parents</w:t>
            </w:r>
          </w:p>
        </w:tc>
        <w:tc>
          <w:tcPr>
            <w:tcW w:w="1042" w:type="dxa"/>
            <w:tcBorders>
              <w:top w:val="nil"/>
              <w:bottom w:val="nil"/>
            </w:tcBorders>
            <w:shd w:val="clear" w:color="auto" w:fill="E0301E"/>
            <w:vAlign w:val="center"/>
            <w:hideMark/>
          </w:tcPr>
          <w:p w14:paraId="038F6379" w14:textId="77777777" w:rsidR="00037542" w:rsidRPr="00814ABA" w:rsidRDefault="00037542" w:rsidP="00037542">
            <w:pPr>
              <w:pStyle w:val="TableColumnHeadingSmall"/>
              <w:jc w:val="center"/>
              <w:rPr>
                <w:snapToGrid/>
                <w:lang w:eastAsia="en-AU"/>
              </w:rPr>
            </w:pPr>
            <w:r w:rsidRPr="00814ABA">
              <w:rPr>
                <w:snapToGrid/>
                <w:lang w:eastAsia="en-AU"/>
              </w:rPr>
              <w:t>D</w:t>
            </w:r>
          </w:p>
          <w:p w14:paraId="2EE7C504" w14:textId="77777777" w:rsidR="00037542" w:rsidRDefault="00037542" w:rsidP="00037542">
            <w:pPr>
              <w:pStyle w:val="TableColumnHeadingSmall"/>
              <w:jc w:val="center"/>
              <w:rPr>
                <w:snapToGrid/>
                <w:lang w:eastAsia="en-AU"/>
              </w:rPr>
            </w:pPr>
            <w:r w:rsidRPr="00814ABA">
              <w:rPr>
                <w:snapToGrid/>
                <w:lang w:eastAsia="en-AU"/>
              </w:rPr>
              <w:t>IS</w:t>
            </w:r>
          </w:p>
          <w:p w14:paraId="0C7DFCCE" w14:textId="77777777" w:rsidR="00037542" w:rsidRPr="00814ABA" w:rsidRDefault="00037542" w:rsidP="00037542">
            <w:pPr>
              <w:pStyle w:val="TableColumnHeadingSmall"/>
              <w:jc w:val="center"/>
              <w:rPr>
                <w:snapToGrid/>
                <w:lang w:eastAsia="en-AU"/>
              </w:rPr>
            </w:pPr>
            <w:r w:rsidRPr="00814ABA">
              <w:rPr>
                <w:snapToGrid/>
                <w:lang w:eastAsia="en-AU"/>
              </w:rPr>
              <w:t>Carers</w:t>
            </w:r>
          </w:p>
        </w:tc>
        <w:tc>
          <w:tcPr>
            <w:tcW w:w="1042" w:type="dxa"/>
            <w:tcBorders>
              <w:top w:val="nil"/>
              <w:bottom w:val="nil"/>
            </w:tcBorders>
            <w:shd w:val="clear" w:color="auto" w:fill="E0301E"/>
            <w:vAlign w:val="center"/>
            <w:hideMark/>
          </w:tcPr>
          <w:p w14:paraId="58580FD9" w14:textId="77777777" w:rsidR="00037542" w:rsidRPr="00814ABA" w:rsidRDefault="00037542" w:rsidP="00037542">
            <w:pPr>
              <w:pStyle w:val="TableColumnHeadingSmall"/>
              <w:jc w:val="center"/>
              <w:rPr>
                <w:snapToGrid/>
                <w:lang w:eastAsia="en-AU"/>
              </w:rPr>
            </w:pPr>
            <w:r w:rsidRPr="00814ABA">
              <w:rPr>
                <w:snapToGrid/>
                <w:lang w:eastAsia="en-AU"/>
              </w:rPr>
              <w:t>E</w:t>
            </w:r>
          </w:p>
          <w:p w14:paraId="4564EDB2" w14:textId="77777777" w:rsidR="00037542" w:rsidRPr="00814ABA" w:rsidRDefault="00037542" w:rsidP="00037542">
            <w:pPr>
              <w:pStyle w:val="TableColumnHeadingSmall"/>
              <w:jc w:val="center"/>
              <w:rPr>
                <w:snapToGrid/>
                <w:lang w:eastAsia="en-AU"/>
              </w:rPr>
            </w:pPr>
            <w:r w:rsidRPr="00814ABA">
              <w:rPr>
                <w:snapToGrid/>
                <w:lang w:eastAsia="en-AU"/>
              </w:rPr>
              <w:t>IS Disability</w:t>
            </w:r>
          </w:p>
        </w:tc>
        <w:tc>
          <w:tcPr>
            <w:tcW w:w="1042" w:type="dxa"/>
            <w:tcBorders>
              <w:top w:val="nil"/>
              <w:bottom w:val="nil"/>
            </w:tcBorders>
            <w:shd w:val="clear" w:color="auto" w:fill="E0301E"/>
            <w:vAlign w:val="center"/>
            <w:hideMark/>
          </w:tcPr>
          <w:p w14:paraId="4BFF94CA" w14:textId="77777777" w:rsidR="00037542" w:rsidRPr="00814ABA" w:rsidRDefault="00037542" w:rsidP="00037542">
            <w:pPr>
              <w:pStyle w:val="TableColumnHeadingSmall"/>
              <w:jc w:val="center"/>
              <w:rPr>
                <w:snapToGrid/>
                <w:lang w:eastAsia="en-AU"/>
              </w:rPr>
            </w:pPr>
            <w:r w:rsidRPr="00814ABA">
              <w:rPr>
                <w:snapToGrid/>
                <w:lang w:eastAsia="en-AU"/>
              </w:rPr>
              <w:t>F</w:t>
            </w:r>
          </w:p>
          <w:p w14:paraId="26FBDC08" w14:textId="77777777" w:rsidR="00037542" w:rsidRDefault="00037542" w:rsidP="00037542">
            <w:pPr>
              <w:pStyle w:val="TableColumnHeadingSmall"/>
              <w:jc w:val="center"/>
              <w:rPr>
                <w:snapToGrid/>
                <w:lang w:eastAsia="en-AU"/>
              </w:rPr>
            </w:pPr>
            <w:r w:rsidRPr="00814ABA">
              <w:rPr>
                <w:snapToGrid/>
                <w:lang w:eastAsia="en-AU"/>
              </w:rPr>
              <w:t>IS</w:t>
            </w:r>
          </w:p>
          <w:p w14:paraId="2734DFCC" w14:textId="77777777" w:rsidR="00037542" w:rsidRPr="00814ABA" w:rsidRDefault="00037542" w:rsidP="00037542">
            <w:pPr>
              <w:pStyle w:val="TableColumnHeadingSmall"/>
              <w:jc w:val="center"/>
              <w:rPr>
                <w:snapToGrid/>
                <w:lang w:eastAsia="en-AU"/>
              </w:rPr>
            </w:pPr>
            <w:r w:rsidRPr="00814ABA">
              <w:rPr>
                <w:snapToGrid/>
                <w:lang w:eastAsia="en-AU"/>
              </w:rPr>
              <w:t>Aged</w:t>
            </w:r>
          </w:p>
        </w:tc>
        <w:tc>
          <w:tcPr>
            <w:tcW w:w="1077" w:type="dxa"/>
            <w:tcBorders>
              <w:top w:val="nil"/>
              <w:bottom w:val="nil"/>
            </w:tcBorders>
            <w:shd w:val="clear" w:color="auto" w:fill="E0301E"/>
            <w:vAlign w:val="center"/>
            <w:hideMark/>
          </w:tcPr>
          <w:p w14:paraId="327A5420" w14:textId="77777777" w:rsidR="00037542" w:rsidRPr="00814ABA" w:rsidRDefault="00037542" w:rsidP="00037542">
            <w:pPr>
              <w:pStyle w:val="TableColumnHeadingSmall"/>
              <w:jc w:val="center"/>
              <w:rPr>
                <w:snapToGrid/>
                <w:lang w:eastAsia="en-AU"/>
              </w:rPr>
            </w:pPr>
            <w:r w:rsidRPr="00814ABA">
              <w:rPr>
                <w:snapToGrid/>
                <w:lang w:eastAsia="en-AU"/>
              </w:rPr>
              <w:t>G</w:t>
            </w:r>
          </w:p>
          <w:p w14:paraId="19FA2040" w14:textId="77777777" w:rsidR="00037542" w:rsidRPr="00814ABA" w:rsidRDefault="00037542" w:rsidP="00037542">
            <w:pPr>
              <w:pStyle w:val="TableColumnHeadingSmall"/>
              <w:jc w:val="center"/>
              <w:rPr>
                <w:snapToGrid/>
                <w:lang w:eastAsia="en-AU"/>
              </w:rPr>
            </w:pPr>
            <w:r w:rsidRPr="00814ABA">
              <w:rPr>
                <w:snapToGrid/>
                <w:lang w:eastAsia="en-AU"/>
              </w:rPr>
              <w:t>IS Dependant</w:t>
            </w:r>
          </w:p>
        </w:tc>
      </w:tr>
      <w:tr w:rsidR="00037542" w:rsidRPr="00814ABA" w14:paraId="53967DF7" w14:textId="77777777" w:rsidTr="00037542">
        <w:trPr>
          <w:trHeight w:hRule="exact" w:val="312"/>
        </w:trPr>
        <w:tc>
          <w:tcPr>
            <w:tcW w:w="2435" w:type="dxa"/>
            <w:tcBorders>
              <w:top w:val="nil"/>
              <w:bottom w:val="single" w:sz="4" w:space="0" w:color="E0301E"/>
            </w:tcBorders>
            <w:shd w:val="clear" w:color="auto" w:fill="auto"/>
            <w:noWrap/>
            <w:vAlign w:val="center"/>
            <w:hideMark/>
          </w:tcPr>
          <w:p w14:paraId="32D015C2" w14:textId="77777777" w:rsidR="00037542" w:rsidRPr="00814ABA" w:rsidRDefault="00037542" w:rsidP="00037542">
            <w:pPr>
              <w:keepNext/>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1 Studying</w:t>
            </w:r>
          </w:p>
        </w:tc>
        <w:tc>
          <w:tcPr>
            <w:tcW w:w="1041" w:type="dxa"/>
            <w:tcBorders>
              <w:top w:val="nil"/>
              <w:bottom w:val="single" w:sz="4" w:space="0" w:color="E0301E"/>
            </w:tcBorders>
            <w:shd w:val="clear" w:color="auto" w:fill="F5C9C7"/>
            <w:noWrap/>
            <w:vAlign w:val="center"/>
            <w:hideMark/>
          </w:tcPr>
          <w:p w14:paraId="73DF79FB" w14:textId="77777777" w:rsidR="00037542" w:rsidRPr="00814ABA" w:rsidRDefault="00037542" w:rsidP="00037542">
            <w:pPr>
              <w:keepNext/>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R*</w:t>
            </w:r>
          </w:p>
        </w:tc>
        <w:tc>
          <w:tcPr>
            <w:tcW w:w="1041" w:type="dxa"/>
            <w:tcBorders>
              <w:top w:val="nil"/>
              <w:bottom w:val="single" w:sz="4" w:space="0" w:color="E0301E"/>
            </w:tcBorders>
            <w:shd w:val="clear" w:color="auto" w:fill="FFFFFF" w:themeFill="background1"/>
            <w:noWrap/>
            <w:vAlign w:val="center"/>
            <w:hideMark/>
          </w:tcPr>
          <w:p w14:paraId="5F578F76" w14:textId="77777777" w:rsidR="00037542" w:rsidRPr="00814ABA" w:rsidRDefault="00037542" w:rsidP="00037542">
            <w:pPr>
              <w:keepNext/>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F*</w:t>
            </w:r>
          </w:p>
        </w:tc>
        <w:tc>
          <w:tcPr>
            <w:tcW w:w="1042" w:type="dxa"/>
            <w:tcBorders>
              <w:top w:val="nil"/>
              <w:bottom w:val="single" w:sz="4" w:space="0" w:color="E0301E"/>
            </w:tcBorders>
            <w:shd w:val="clear" w:color="auto" w:fill="FFFFFF" w:themeFill="background1"/>
            <w:noWrap/>
            <w:vAlign w:val="center"/>
            <w:hideMark/>
          </w:tcPr>
          <w:p w14:paraId="3D2796AE" w14:textId="77777777" w:rsidR="00037542" w:rsidRPr="00814ABA" w:rsidRDefault="00037542" w:rsidP="00037542">
            <w:pPr>
              <w:keepNext/>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F*</w:t>
            </w:r>
          </w:p>
        </w:tc>
        <w:tc>
          <w:tcPr>
            <w:tcW w:w="1042" w:type="dxa"/>
            <w:tcBorders>
              <w:top w:val="nil"/>
              <w:bottom w:val="single" w:sz="4" w:space="0" w:color="E0301E"/>
            </w:tcBorders>
            <w:shd w:val="clear" w:color="auto" w:fill="FFFFFF" w:themeFill="background1"/>
            <w:noWrap/>
            <w:vAlign w:val="center"/>
            <w:hideMark/>
          </w:tcPr>
          <w:p w14:paraId="32CC71DF" w14:textId="77777777" w:rsidR="00037542" w:rsidRPr="00814ABA" w:rsidRDefault="00037542" w:rsidP="00037542">
            <w:pPr>
              <w:keepNext/>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F*</w:t>
            </w:r>
          </w:p>
        </w:tc>
        <w:tc>
          <w:tcPr>
            <w:tcW w:w="1042" w:type="dxa"/>
            <w:tcBorders>
              <w:top w:val="nil"/>
              <w:bottom w:val="single" w:sz="4" w:space="0" w:color="E0301E"/>
            </w:tcBorders>
            <w:shd w:val="clear" w:color="auto" w:fill="FFFFFF" w:themeFill="background1"/>
            <w:noWrap/>
            <w:vAlign w:val="center"/>
            <w:hideMark/>
          </w:tcPr>
          <w:p w14:paraId="683937A0" w14:textId="77777777" w:rsidR="00037542" w:rsidRPr="00814ABA" w:rsidRDefault="00037542" w:rsidP="00037542">
            <w:pPr>
              <w:keepNext/>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F*</w:t>
            </w:r>
          </w:p>
        </w:tc>
        <w:tc>
          <w:tcPr>
            <w:tcW w:w="1042" w:type="dxa"/>
            <w:tcBorders>
              <w:top w:val="nil"/>
              <w:bottom w:val="single" w:sz="4" w:space="0" w:color="E0301E"/>
            </w:tcBorders>
            <w:shd w:val="clear" w:color="auto" w:fill="FFFFFF" w:themeFill="background1"/>
            <w:noWrap/>
            <w:vAlign w:val="center"/>
            <w:hideMark/>
          </w:tcPr>
          <w:p w14:paraId="7617D721" w14:textId="77777777" w:rsidR="00037542" w:rsidRPr="00814ABA" w:rsidRDefault="00037542" w:rsidP="00037542">
            <w:pPr>
              <w:keepNext/>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F*</w:t>
            </w:r>
          </w:p>
        </w:tc>
        <w:tc>
          <w:tcPr>
            <w:tcW w:w="1077" w:type="dxa"/>
            <w:tcBorders>
              <w:top w:val="nil"/>
              <w:bottom w:val="single" w:sz="4" w:space="0" w:color="E0301E"/>
            </w:tcBorders>
            <w:shd w:val="clear" w:color="auto" w:fill="FFFFFF" w:themeFill="background1"/>
            <w:noWrap/>
            <w:vAlign w:val="center"/>
            <w:hideMark/>
          </w:tcPr>
          <w:p w14:paraId="0BA4FD4F" w14:textId="77777777" w:rsidR="00037542" w:rsidRPr="00814ABA" w:rsidRDefault="00037542" w:rsidP="00037542">
            <w:pPr>
              <w:keepNext/>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F*</w:t>
            </w:r>
          </w:p>
        </w:tc>
      </w:tr>
      <w:tr w:rsidR="00037542" w:rsidRPr="00814ABA" w14:paraId="5849599C" w14:textId="77777777" w:rsidTr="00037542">
        <w:trPr>
          <w:trHeight w:hRule="exact" w:val="312"/>
        </w:trPr>
        <w:tc>
          <w:tcPr>
            <w:tcW w:w="2435" w:type="dxa"/>
            <w:tcBorders>
              <w:top w:val="single" w:sz="4" w:space="0" w:color="E0301E"/>
              <w:bottom w:val="single" w:sz="4" w:space="0" w:color="E0301E"/>
            </w:tcBorders>
            <w:shd w:val="clear" w:color="auto" w:fill="auto"/>
            <w:noWrap/>
            <w:vAlign w:val="center"/>
            <w:hideMark/>
          </w:tcPr>
          <w:p w14:paraId="4F6B4465" w14:textId="77777777" w:rsidR="00037542" w:rsidRPr="00814ABA" w:rsidRDefault="00037542" w:rsidP="00037542">
            <w:pPr>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2 Working Age</w:t>
            </w:r>
          </w:p>
        </w:tc>
        <w:tc>
          <w:tcPr>
            <w:tcW w:w="1041" w:type="dxa"/>
            <w:tcBorders>
              <w:top w:val="single" w:sz="4" w:space="0" w:color="E0301E"/>
              <w:bottom w:val="single" w:sz="4" w:space="0" w:color="E0301E"/>
            </w:tcBorders>
            <w:shd w:val="clear" w:color="auto" w:fill="FFFFFF" w:themeFill="background1"/>
            <w:noWrap/>
            <w:vAlign w:val="center"/>
            <w:hideMark/>
          </w:tcPr>
          <w:p w14:paraId="612BC476"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F*</w:t>
            </w:r>
          </w:p>
        </w:tc>
        <w:tc>
          <w:tcPr>
            <w:tcW w:w="1041" w:type="dxa"/>
            <w:tcBorders>
              <w:top w:val="single" w:sz="4" w:space="0" w:color="E0301E"/>
              <w:bottom w:val="single" w:sz="4" w:space="0" w:color="E0301E"/>
            </w:tcBorders>
            <w:shd w:val="clear" w:color="auto" w:fill="F5C9C7"/>
            <w:noWrap/>
            <w:vAlign w:val="center"/>
            <w:hideMark/>
          </w:tcPr>
          <w:p w14:paraId="671CC0AD"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R**</w:t>
            </w:r>
          </w:p>
        </w:tc>
        <w:tc>
          <w:tcPr>
            <w:tcW w:w="1042" w:type="dxa"/>
            <w:tcBorders>
              <w:top w:val="single" w:sz="4" w:space="0" w:color="E0301E"/>
              <w:bottom w:val="single" w:sz="4" w:space="0" w:color="E0301E"/>
            </w:tcBorders>
            <w:shd w:val="clear" w:color="auto" w:fill="FFFFFF" w:themeFill="background1"/>
            <w:noWrap/>
            <w:vAlign w:val="center"/>
            <w:hideMark/>
          </w:tcPr>
          <w:p w14:paraId="55189692"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2B554432"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0125EDE3"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2723C807"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77" w:type="dxa"/>
            <w:tcBorders>
              <w:top w:val="single" w:sz="4" w:space="0" w:color="E0301E"/>
              <w:bottom w:val="single" w:sz="4" w:space="0" w:color="E0301E"/>
            </w:tcBorders>
            <w:shd w:val="clear" w:color="auto" w:fill="F5C9C7"/>
            <w:noWrap/>
            <w:vAlign w:val="center"/>
            <w:hideMark/>
          </w:tcPr>
          <w:p w14:paraId="22BD6E9E"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R**</w:t>
            </w:r>
          </w:p>
        </w:tc>
      </w:tr>
      <w:tr w:rsidR="00037542" w:rsidRPr="00814ABA" w14:paraId="380E11A6" w14:textId="77777777" w:rsidTr="00037542">
        <w:trPr>
          <w:trHeight w:hRule="exact" w:val="312"/>
        </w:trPr>
        <w:tc>
          <w:tcPr>
            <w:tcW w:w="2435" w:type="dxa"/>
            <w:tcBorders>
              <w:top w:val="single" w:sz="4" w:space="0" w:color="E0301E"/>
              <w:bottom w:val="single" w:sz="4" w:space="0" w:color="E0301E"/>
            </w:tcBorders>
            <w:shd w:val="clear" w:color="auto" w:fill="auto"/>
            <w:noWrap/>
            <w:vAlign w:val="center"/>
            <w:hideMark/>
          </w:tcPr>
          <w:p w14:paraId="10FF8C54" w14:textId="77777777" w:rsidR="00037542" w:rsidRPr="00814ABA" w:rsidRDefault="00037542" w:rsidP="00037542">
            <w:pPr>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3 Parents</w:t>
            </w:r>
          </w:p>
        </w:tc>
        <w:tc>
          <w:tcPr>
            <w:tcW w:w="1041" w:type="dxa"/>
            <w:tcBorders>
              <w:top w:val="single" w:sz="4" w:space="0" w:color="E0301E"/>
              <w:bottom w:val="single" w:sz="4" w:space="0" w:color="E0301E"/>
            </w:tcBorders>
            <w:shd w:val="clear" w:color="auto" w:fill="FFFFFF" w:themeFill="background1"/>
            <w:noWrap/>
            <w:vAlign w:val="center"/>
            <w:hideMark/>
          </w:tcPr>
          <w:p w14:paraId="36B73BCC"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F*</w:t>
            </w:r>
          </w:p>
        </w:tc>
        <w:tc>
          <w:tcPr>
            <w:tcW w:w="1041" w:type="dxa"/>
            <w:tcBorders>
              <w:top w:val="single" w:sz="4" w:space="0" w:color="E0301E"/>
              <w:bottom w:val="single" w:sz="4" w:space="0" w:color="E0301E"/>
            </w:tcBorders>
            <w:shd w:val="clear" w:color="auto" w:fill="FFFFFF" w:themeFill="background1"/>
            <w:noWrap/>
            <w:vAlign w:val="center"/>
            <w:hideMark/>
          </w:tcPr>
          <w:p w14:paraId="2E7DCD50"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5C9C7"/>
            <w:noWrap/>
            <w:vAlign w:val="center"/>
            <w:hideMark/>
          </w:tcPr>
          <w:p w14:paraId="2B3A457D"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R*</w:t>
            </w:r>
          </w:p>
        </w:tc>
        <w:tc>
          <w:tcPr>
            <w:tcW w:w="1042" w:type="dxa"/>
            <w:tcBorders>
              <w:top w:val="single" w:sz="4" w:space="0" w:color="E0301E"/>
              <w:bottom w:val="single" w:sz="4" w:space="0" w:color="E0301E"/>
            </w:tcBorders>
            <w:shd w:val="clear" w:color="auto" w:fill="FFFFFF" w:themeFill="background1"/>
            <w:noWrap/>
            <w:vAlign w:val="center"/>
            <w:hideMark/>
          </w:tcPr>
          <w:p w14:paraId="75889490"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13B85572"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21B2B714"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77" w:type="dxa"/>
            <w:tcBorders>
              <w:top w:val="single" w:sz="4" w:space="0" w:color="E0301E"/>
              <w:bottom w:val="single" w:sz="4" w:space="0" w:color="E0301E"/>
            </w:tcBorders>
            <w:shd w:val="clear" w:color="auto" w:fill="FFFFFF" w:themeFill="background1"/>
            <w:noWrap/>
            <w:vAlign w:val="center"/>
            <w:hideMark/>
          </w:tcPr>
          <w:p w14:paraId="60264ABD"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r>
      <w:tr w:rsidR="00037542" w:rsidRPr="00814ABA" w14:paraId="4726F525" w14:textId="77777777" w:rsidTr="00037542">
        <w:trPr>
          <w:trHeight w:hRule="exact" w:val="312"/>
        </w:trPr>
        <w:tc>
          <w:tcPr>
            <w:tcW w:w="2435" w:type="dxa"/>
            <w:tcBorders>
              <w:top w:val="single" w:sz="4" w:space="0" w:color="E0301E"/>
              <w:bottom w:val="single" w:sz="4" w:space="0" w:color="E0301E"/>
            </w:tcBorders>
            <w:shd w:val="clear" w:color="auto" w:fill="auto"/>
            <w:noWrap/>
            <w:vAlign w:val="center"/>
            <w:hideMark/>
          </w:tcPr>
          <w:p w14:paraId="0EC7D0BE" w14:textId="77777777" w:rsidR="00037542" w:rsidRPr="00814ABA" w:rsidRDefault="00037542" w:rsidP="00037542">
            <w:pPr>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4 Carers</w:t>
            </w:r>
          </w:p>
        </w:tc>
        <w:tc>
          <w:tcPr>
            <w:tcW w:w="1041" w:type="dxa"/>
            <w:tcBorders>
              <w:top w:val="single" w:sz="4" w:space="0" w:color="E0301E"/>
              <w:bottom w:val="single" w:sz="4" w:space="0" w:color="E0301E"/>
            </w:tcBorders>
            <w:shd w:val="clear" w:color="auto" w:fill="FFFFFF" w:themeFill="background1"/>
            <w:noWrap/>
            <w:vAlign w:val="center"/>
            <w:hideMark/>
          </w:tcPr>
          <w:p w14:paraId="229FCEC9"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F*</w:t>
            </w:r>
          </w:p>
        </w:tc>
        <w:tc>
          <w:tcPr>
            <w:tcW w:w="1041" w:type="dxa"/>
            <w:tcBorders>
              <w:top w:val="single" w:sz="4" w:space="0" w:color="E0301E"/>
              <w:bottom w:val="single" w:sz="4" w:space="0" w:color="E0301E"/>
            </w:tcBorders>
            <w:shd w:val="clear" w:color="auto" w:fill="FFFFFF" w:themeFill="background1"/>
            <w:noWrap/>
            <w:vAlign w:val="center"/>
            <w:hideMark/>
          </w:tcPr>
          <w:p w14:paraId="67CCAC9D"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3206FAB2"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5C9C7"/>
            <w:noWrap/>
            <w:vAlign w:val="center"/>
            <w:hideMark/>
          </w:tcPr>
          <w:p w14:paraId="50CC5B93"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R*</w:t>
            </w:r>
          </w:p>
        </w:tc>
        <w:tc>
          <w:tcPr>
            <w:tcW w:w="1042" w:type="dxa"/>
            <w:tcBorders>
              <w:top w:val="single" w:sz="4" w:space="0" w:color="E0301E"/>
              <w:bottom w:val="single" w:sz="4" w:space="0" w:color="E0301E"/>
            </w:tcBorders>
            <w:shd w:val="clear" w:color="auto" w:fill="FFFFFF" w:themeFill="background1"/>
            <w:noWrap/>
            <w:vAlign w:val="center"/>
            <w:hideMark/>
          </w:tcPr>
          <w:p w14:paraId="4AE1F93B"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5A233CAD"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77" w:type="dxa"/>
            <w:tcBorders>
              <w:top w:val="single" w:sz="4" w:space="0" w:color="E0301E"/>
              <w:bottom w:val="single" w:sz="4" w:space="0" w:color="E0301E"/>
            </w:tcBorders>
            <w:shd w:val="clear" w:color="auto" w:fill="FFFFFF" w:themeFill="background1"/>
            <w:noWrap/>
            <w:vAlign w:val="center"/>
            <w:hideMark/>
          </w:tcPr>
          <w:p w14:paraId="14DB9670"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r>
      <w:tr w:rsidR="00037542" w:rsidRPr="00814ABA" w14:paraId="6AC34E89" w14:textId="77777777" w:rsidTr="00037542">
        <w:trPr>
          <w:trHeight w:hRule="exact" w:val="312"/>
        </w:trPr>
        <w:tc>
          <w:tcPr>
            <w:tcW w:w="2435" w:type="dxa"/>
            <w:tcBorders>
              <w:top w:val="single" w:sz="4" w:space="0" w:color="E0301E"/>
              <w:bottom w:val="single" w:sz="4" w:space="0" w:color="E0301E"/>
            </w:tcBorders>
            <w:shd w:val="clear" w:color="auto" w:fill="auto"/>
            <w:noWrap/>
            <w:vAlign w:val="center"/>
            <w:hideMark/>
          </w:tcPr>
          <w:p w14:paraId="3C975798" w14:textId="77777777" w:rsidR="00037542" w:rsidRPr="00814ABA" w:rsidRDefault="00037542" w:rsidP="00037542">
            <w:pPr>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5 Disability Support</w:t>
            </w:r>
          </w:p>
        </w:tc>
        <w:tc>
          <w:tcPr>
            <w:tcW w:w="1041" w:type="dxa"/>
            <w:tcBorders>
              <w:top w:val="single" w:sz="4" w:space="0" w:color="E0301E"/>
              <w:bottom w:val="single" w:sz="4" w:space="0" w:color="E0301E"/>
            </w:tcBorders>
            <w:shd w:val="clear" w:color="auto" w:fill="FFFFFF" w:themeFill="background1"/>
            <w:noWrap/>
            <w:vAlign w:val="center"/>
            <w:hideMark/>
          </w:tcPr>
          <w:p w14:paraId="1508432E"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F*</w:t>
            </w:r>
          </w:p>
        </w:tc>
        <w:tc>
          <w:tcPr>
            <w:tcW w:w="1041" w:type="dxa"/>
            <w:tcBorders>
              <w:top w:val="single" w:sz="4" w:space="0" w:color="E0301E"/>
              <w:bottom w:val="single" w:sz="4" w:space="0" w:color="E0301E"/>
            </w:tcBorders>
            <w:shd w:val="clear" w:color="auto" w:fill="FFFFFF" w:themeFill="background1"/>
            <w:noWrap/>
            <w:vAlign w:val="center"/>
            <w:hideMark/>
          </w:tcPr>
          <w:p w14:paraId="7905F0D5"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73F51343"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1BF0E329"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5C9C7"/>
            <w:noWrap/>
            <w:vAlign w:val="center"/>
            <w:hideMark/>
          </w:tcPr>
          <w:p w14:paraId="03474C14"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R*</w:t>
            </w:r>
          </w:p>
        </w:tc>
        <w:tc>
          <w:tcPr>
            <w:tcW w:w="1042" w:type="dxa"/>
            <w:tcBorders>
              <w:top w:val="single" w:sz="4" w:space="0" w:color="E0301E"/>
              <w:bottom w:val="single" w:sz="4" w:space="0" w:color="E0301E"/>
            </w:tcBorders>
            <w:shd w:val="clear" w:color="auto" w:fill="FFFFFF" w:themeFill="background1"/>
            <w:noWrap/>
            <w:vAlign w:val="center"/>
            <w:hideMark/>
          </w:tcPr>
          <w:p w14:paraId="613E46DF"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77" w:type="dxa"/>
            <w:tcBorders>
              <w:top w:val="single" w:sz="4" w:space="0" w:color="E0301E"/>
              <w:bottom w:val="single" w:sz="4" w:space="0" w:color="E0301E"/>
            </w:tcBorders>
            <w:shd w:val="clear" w:color="auto" w:fill="FFFFFF" w:themeFill="background1"/>
            <w:noWrap/>
            <w:vAlign w:val="center"/>
            <w:hideMark/>
          </w:tcPr>
          <w:p w14:paraId="2D31CE47"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r>
      <w:tr w:rsidR="00037542" w:rsidRPr="00814ABA" w14:paraId="263A0A74" w14:textId="77777777" w:rsidTr="00037542">
        <w:trPr>
          <w:trHeight w:hRule="exact" w:val="312"/>
        </w:trPr>
        <w:tc>
          <w:tcPr>
            <w:tcW w:w="2435" w:type="dxa"/>
            <w:tcBorders>
              <w:top w:val="single" w:sz="4" w:space="0" w:color="E0301E"/>
              <w:bottom w:val="single" w:sz="4" w:space="0" w:color="E0301E"/>
            </w:tcBorders>
            <w:shd w:val="clear" w:color="auto" w:fill="auto"/>
            <w:noWrap/>
            <w:vAlign w:val="center"/>
            <w:hideMark/>
          </w:tcPr>
          <w:p w14:paraId="61A8C851" w14:textId="77777777" w:rsidR="00037542" w:rsidRPr="00814ABA" w:rsidRDefault="00037542" w:rsidP="00037542">
            <w:pPr>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6 Pension Age</w:t>
            </w:r>
          </w:p>
        </w:tc>
        <w:tc>
          <w:tcPr>
            <w:tcW w:w="1041" w:type="dxa"/>
            <w:tcBorders>
              <w:top w:val="single" w:sz="4" w:space="0" w:color="E0301E"/>
              <w:bottom w:val="single" w:sz="4" w:space="0" w:color="E0301E"/>
            </w:tcBorders>
            <w:shd w:val="clear" w:color="auto" w:fill="FFFFFF" w:themeFill="background1"/>
            <w:noWrap/>
            <w:vAlign w:val="center"/>
            <w:hideMark/>
          </w:tcPr>
          <w:p w14:paraId="2319B082"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1" w:type="dxa"/>
            <w:tcBorders>
              <w:top w:val="single" w:sz="4" w:space="0" w:color="E0301E"/>
              <w:bottom w:val="single" w:sz="4" w:space="0" w:color="E0301E"/>
            </w:tcBorders>
            <w:shd w:val="clear" w:color="auto" w:fill="FFFFFF" w:themeFill="background1"/>
            <w:noWrap/>
            <w:vAlign w:val="center"/>
            <w:hideMark/>
          </w:tcPr>
          <w:p w14:paraId="2B951FFA"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12F88EDE"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648D9457"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FFFFF" w:themeFill="background1"/>
            <w:noWrap/>
            <w:vAlign w:val="center"/>
            <w:hideMark/>
          </w:tcPr>
          <w:p w14:paraId="2680C891"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c>
          <w:tcPr>
            <w:tcW w:w="1042" w:type="dxa"/>
            <w:tcBorders>
              <w:top w:val="single" w:sz="4" w:space="0" w:color="E0301E"/>
              <w:bottom w:val="single" w:sz="4" w:space="0" w:color="E0301E"/>
            </w:tcBorders>
            <w:shd w:val="clear" w:color="auto" w:fill="F5C9C7"/>
            <w:noWrap/>
            <w:vAlign w:val="center"/>
            <w:hideMark/>
          </w:tcPr>
          <w:p w14:paraId="359B18ED"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auto"/>
                <w:sz w:val="16"/>
                <w:szCs w:val="16"/>
                <w:lang w:eastAsia="en-AU"/>
              </w:rPr>
            </w:pPr>
            <w:r w:rsidRPr="00814ABA">
              <w:rPr>
                <w:rFonts w:asciiTheme="majorHAnsi" w:hAnsiTheme="majorHAnsi" w:cstheme="majorHAnsi"/>
                <w:snapToGrid/>
                <w:color w:val="auto"/>
                <w:sz w:val="16"/>
                <w:szCs w:val="16"/>
                <w:lang w:eastAsia="en-AU"/>
              </w:rPr>
              <w:t>R*</w:t>
            </w:r>
          </w:p>
        </w:tc>
        <w:tc>
          <w:tcPr>
            <w:tcW w:w="1077" w:type="dxa"/>
            <w:tcBorders>
              <w:top w:val="single" w:sz="4" w:space="0" w:color="E0301E"/>
              <w:bottom w:val="single" w:sz="4" w:space="0" w:color="E0301E"/>
            </w:tcBorders>
            <w:shd w:val="clear" w:color="auto" w:fill="FFFFFF" w:themeFill="background1"/>
            <w:noWrap/>
            <w:vAlign w:val="center"/>
            <w:hideMark/>
          </w:tcPr>
          <w:p w14:paraId="1A18030F" w14:textId="77777777" w:rsidR="00037542" w:rsidRPr="00814ABA" w:rsidRDefault="00037542" w:rsidP="00037542">
            <w:pPr>
              <w:kinsoku/>
              <w:overflowPunct/>
              <w:autoSpaceDE/>
              <w:autoSpaceDN/>
              <w:adjustRightInd/>
              <w:snapToGrid/>
              <w:jc w:val="center"/>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F*</w:t>
            </w:r>
          </w:p>
        </w:tc>
      </w:tr>
      <w:tr w:rsidR="00037542" w:rsidRPr="00814ABA" w14:paraId="6D4E5C98" w14:textId="77777777" w:rsidTr="009B58B4">
        <w:trPr>
          <w:trHeight w:hRule="exact" w:val="312"/>
        </w:trPr>
        <w:tc>
          <w:tcPr>
            <w:tcW w:w="2435" w:type="dxa"/>
            <w:tcBorders>
              <w:top w:val="single" w:sz="4" w:space="0" w:color="E0301E"/>
              <w:bottom w:val="single" w:sz="4" w:space="0" w:color="E0301E"/>
            </w:tcBorders>
            <w:shd w:val="clear" w:color="auto" w:fill="auto"/>
            <w:noWrap/>
            <w:vAlign w:val="center"/>
            <w:hideMark/>
          </w:tcPr>
          <w:p w14:paraId="1BAFB9DE" w14:textId="77777777" w:rsidR="00037542" w:rsidRPr="00814ABA" w:rsidRDefault="00037542" w:rsidP="00037542">
            <w:pPr>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7 Non IS Family</w:t>
            </w:r>
          </w:p>
        </w:tc>
        <w:tc>
          <w:tcPr>
            <w:tcW w:w="1041" w:type="dxa"/>
            <w:tcBorders>
              <w:top w:val="single" w:sz="4" w:space="0" w:color="E0301E"/>
              <w:bottom w:val="single" w:sz="4" w:space="0" w:color="E0301E"/>
            </w:tcBorders>
            <w:shd w:val="clear" w:color="auto" w:fill="auto"/>
            <w:noWrap/>
            <w:vAlign w:val="center"/>
            <w:hideMark/>
          </w:tcPr>
          <w:p w14:paraId="3F7A3631" w14:textId="77777777" w:rsidR="00037542" w:rsidRPr="00814ABA" w:rsidRDefault="003B663F" w:rsidP="00037542">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1" w:type="dxa"/>
            <w:tcBorders>
              <w:top w:val="single" w:sz="4" w:space="0" w:color="E0301E"/>
              <w:bottom w:val="single" w:sz="4" w:space="0" w:color="E0301E"/>
            </w:tcBorders>
            <w:shd w:val="clear" w:color="auto" w:fill="auto"/>
            <w:noWrap/>
            <w:vAlign w:val="center"/>
            <w:hideMark/>
          </w:tcPr>
          <w:p w14:paraId="4E7DC6A6" w14:textId="77777777" w:rsidR="00037542" w:rsidRPr="00814ABA" w:rsidRDefault="003B663F" w:rsidP="00037542">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4A3AA7C5" w14:textId="77777777" w:rsidR="00037542" w:rsidRPr="00814ABA" w:rsidRDefault="003B663F" w:rsidP="00037542">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474305C2" w14:textId="77777777" w:rsidR="00037542" w:rsidRPr="00814ABA" w:rsidRDefault="003B663F" w:rsidP="00037542">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7140D178" w14:textId="77777777" w:rsidR="00037542" w:rsidRPr="00814ABA" w:rsidRDefault="003B663F" w:rsidP="00037542">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5EB0DB4F" w14:textId="77777777" w:rsidR="00037542" w:rsidRPr="00814ABA" w:rsidRDefault="003B663F" w:rsidP="00037542">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77" w:type="dxa"/>
            <w:tcBorders>
              <w:top w:val="single" w:sz="4" w:space="0" w:color="E0301E"/>
              <w:bottom w:val="single" w:sz="4" w:space="0" w:color="E0301E"/>
            </w:tcBorders>
            <w:shd w:val="clear" w:color="auto" w:fill="auto"/>
            <w:noWrap/>
            <w:vAlign w:val="center"/>
            <w:hideMark/>
          </w:tcPr>
          <w:p w14:paraId="41DA4323" w14:textId="77777777" w:rsidR="00037542" w:rsidRPr="00814ABA" w:rsidRDefault="003B663F" w:rsidP="00037542">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r w:rsidR="003B663F" w:rsidRPr="00814ABA" w14:paraId="65B94997" w14:textId="77777777" w:rsidTr="009B58B4">
        <w:trPr>
          <w:trHeight w:hRule="exact" w:val="312"/>
        </w:trPr>
        <w:tc>
          <w:tcPr>
            <w:tcW w:w="2435" w:type="dxa"/>
            <w:tcBorders>
              <w:top w:val="single" w:sz="4" w:space="0" w:color="E0301E"/>
              <w:bottom w:val="single" w:sz="4" w:space="0" w:color="E0301E"/>
            </w:tcBorders>
            <w:shd w:val="clear" w:color="auto" w:fill="auto"/>
            <w:noWrap/>
            <w:vAlign w:val="center"/>
            <w:hideMark/>
          </w:tcPr>
          <w:p w14:paraId="72432CF9" w14:textId="77777777" w:rsidR="003B663F" w:rsidRPr="00814ABA" w:rsidRDefault="003B663F" w:rsidP="003B663F">
            <w:pPr>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8 Non IS Carer</w:t>
            </w:r>
          </w:p>
        </w:tc>
        <w:tc>
          <w:tcPr>
            <w:tcW w:w="1041" w:type="dxa"/>
            <w:tcBorders>
              <w:top w:val="single" w:sz="4" w:space="0" w:color="E0301E"/>
              <w:bottom w:val="single" w:sz="4" w:space="0" w:color="E0301E"/>
            </w:tcBorders>
            <w:shd w:val="clear" w:color="auto" w:fill="auto"/>
            <w:noWrap/>
            <w:vAlign w:val="center"/>
            <w:hideMark/>
          </w:tcPr>
          <w:p w14:paraId="1621531B"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1" w:type="dxa"/>
            <w:tcBorders>
              <w:top w:val="single" w:sz="4" w:space="0" w:color="E0301E"/>
              <w:bottom w:val="single" w:sz="4" w:space="0" w:color="E0301E"/>
            </w:tcBorders>
            <w:shd w:val="clear" w:color="auto" w:fill="auto"/>
            <w:noWrap/>
            <w:vAlign w:val="center"/>
            <w:hideMark/>
          </w:tcPr>
          <w:p w14:paraId="177DF606"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5653F508"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6DEC1E3A"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16508D9C"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2B555AF0"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77" w:type="dxa"/>
            <w:tcBorders>
              <w:top w:val="single" w:sz="4" w:space="0" w:color="E0301E"/>
              <w:bottom w:val="single" w:sz="4" w:space="0" w:color="E0301E"/>
            </w:tcBorders>
            <w:shd w:val="clear" w:color="auto" w:fill="auto"/>
            <w:noWrap/>
            <w:vAlign w:val="center"/>
            <w:hideMark/>
          </w:tcPr>
          <w:p w14:paraId="048E64AF"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r w:rsidR="003B663F" w:rsidRPr="00814ABA" w14:paraId="4A62DE38" w14:textId="77777777" w:rsidTr="009B58B4">
        <w:trPr>
          <w:trHeight w:hRule="exact" w:val="312"/>
        </w:trPr>
        <w:tc>
          <w:tcPr>
            <w:tcW w:w="2435" w:type="dxa"/>
            <w:tcBorders>
              <w:top w:val="single" w:sz="4" w:space="0" w:color="E0301E"/>
              <w:bottom w:val="single" w:sz="4" w:space="0" w:color="E0301E"/>
            </w:tcBorders>
            <w:shd w:val="clear" w:color="auto" w:fill="auto"/>
            <w:noWrap/>
            <w:vAlign w:val="center"/>
            <w:hideMark/>
          </w:tcPr>
          <w:p w14:paraId="104912A8" w14:textId="77777777" w:rsidR="003B663F" w:rsidRPr="00814ABA" w:rsidRDefault="003B663F" w:rsidP="003B663F">
            <w:pPr>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9 Non IS Other</w:t>
            </w:r>
          </w:p>
        </w:tc>
        <w:tc>
          <w:tcPr>
            <w:tcW w:w="1041" w:type="dxa"/>
            <w:tcBorders>
              <w:top w:val="single" w:sz="4" w:space="0" w:color="E0301E"/>
              <w:bottom w:val="single" w:sz="4" w:space="0" w:color="E0301E"/>
            </w:tcBorders>
            <w:shd w:val="clear" w:color="auto" w:fill="auto"/>
            <w:noWrap/>
            <w:vAlign w:val="center"/>
            <w:hideMark/>
          </w:tcPr>
          <w:p w14:paraId="5E5D609D"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1" w:type="dxa"/>
            <w:tcBorders>
              <w:top w:val="single" w:sz="4" w:space="0" w:color="E0301E"/>
              <w:bottom w:val="single" w:sz="4" w:space="0" w:color="E0301E"/>
            </w:tcBorders>
            <w:shd w:val="clear" w:color="auto" w:fill="auto"/>
            <w:noWrap/>
            <w:vAlign w:val="center"/>
            <w:hideMark/>
          </w:tcPr>
          <w:p w14:paraId="3F505FF8"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097E8D61"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5702855F"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16C38420"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65B087B4"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77" w:type="dxa"/>
            <w:tcBorders>
              <w:top w:val="single" w:sz="4" w:space="0" w:color="E0301E"/>
              <w:bottom w:val="single" w:sz="4" w:space="0" w:color="E0301E"/>
            </w:tcBorders>
            <w:shd w:val="clear" w:color="auto" w:fill="auto"/>
            <w:noWrap/>
            <w:vAlign w:val="center"/>
            <w:hideMark/>
          </w:tcPr>
          <w:p w14:paraId="4052FA8E"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r w:rsidR="003B663F" w:rsidRPr="00814ABA" w14:paraId="45F8B223" w14:textId="77777777" w:rsidTr="009B58B4">
        <w:trPr>
          <w:trHeight w:hRule="exact" w:val="312"/>
        </w:trPr>
        <w:tc>
          <w:tcPr>
            <w:tcW w:w="2435" w:type="dxa"/>
            <w:tcBorders>
              <w:top w:val="single" w:sz="4" w:space="0" w:color="E0301E"/>
              <w:bottom w:val="single" w:sz="4" w:space="0" w:color="E0301E"/>
            </w:tcBorders>
            <w:shd w:val="clear" w:color="auto" w:fill="auto"/>
            <w:noWrap/>
            <w:vAlign w:val="center"/>
            <w:hideMark/>
          </w:tcPr>
          <w:p w14:paraId="4DF3F2DE" w14:textId="77777777" w:rsidR="003B663F" w:rsidRPr="00814ABA" w:rsidRDefault="003B663F" w:rsidP="003B663F">
            <w:pPr>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10 Previous welfare recipients</w:t>
            </w:r>
          </w:p>
        </w:tc>
        <w:tc>
          <w:tcPr>
            <w:tcW w:w="1041" w:type="dxa"/>
            <w:tcBorders>
              <w:top w:val="single" w:sz="4" w:space="0" w:color="E0301E"/>
              <w:bottom w:val="single" w:sz="4" w:space="0" w:color="E0301E"/>
            </w:tcBorders>
            <w:shd w:val="clear" w:color="auto" w:fill="auto"/>
            <w:noWrap/>
            <w:vAlign w:val="center"/>
            <w:hideMark/>
          </w:tcPr>
          <w:p w14:paraId="22B91766"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1" w:type="dxa"/>
            <w:tcBorders>
              <w:top w:val="single" w:sz="4" w:space="0" w:color="E0301E"/>
              <w:bottom w:val="single" w:sz="4" w:space="0" w:color="E0301E"/>
            </w:tcBorders>
            <w:shd w:val="clear" w:color="auto" w:fill="auto"/>
            <w:noWrap/>
            <w:vAlign w:val="center"/>
            <w:hideMark/>
          </w:tcPr>
          <w:p w14:paraId="31C37B59"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335FD043"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7DC56663"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18F5F22E"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2E589F43"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77" w:type="dxa"/>
            <w:tcBorders>
              <w:top w:val="single" w:sz="4" w:space="0" w:color="E0301E"/>
              <w:bottom w:val="single" w:sz="4" w:space="0" w:color="E0301E"/>
            </w:tcBorders>
            <w:shd w:val="clear" w:color="auto" w:fill="auto"/>
            <w:noWrap/>
            <w:vAlign w:val="center"/>
            <w:hideMark/>
          </w:tcPr>
          <w:p w14:paraId="18E28AEF"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r w:rsidR="003B663F" w:rsidRPr="00814ABA" w14:paraId="52BDE057" w14:textId="77777777" w:rsidTr="009B58B4">
        <w:trPr>
          <w:trHeight w:hRule="exact" w:val="312"/>
        </w:trPr>
        <w:tc>
          <w:tcPr>
            <w:tcW w:w="2435" w:type="dxa"/>
            <w:tcBorders>
              <w:top w:val="single" w:sz="4" w:space="0" w:color="E0301E"/>
              <w:bottom w:val="single" w:sz="4" w:space="0" w:color="E0301E"/>
            </w:tcBorders>
            <w:shd w:val="clear" w:color="auto" w:fill="auto"/>
            <w:noWrap/>
            <w:vAlign w:val="center"/>
            <w:hideMark/>
          </w:tcPr>
          <w:p w14:paraId="70D6D535" w14:textId="77777777" w:rsidR="003B663F" w:rsidRPr="00814ABA" w:rsidRDefault="003B663F" w:rsidP="003B663F">
            <w:pPr>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11 Dead</w:t>
            </w:r>
          </w:p>
        </w:tc>
        <w:tc>
          <w:tcPr>
            <w:tcW w:w="1041" w:type="dxa"/>
            <w:tcBorders>
              <w:top w:val="single" w:sz="4" w:space="0" w:color="E0301E"/>
              <w:bottom w:val="single" w:sz="4" w:space="0" w:color="E0301E"/>
            </w:tcBorders>
            <w:shd w:val="clear" w:color="auto" w:fill="auto"/>
            <w:noWrap/>
            <w:vAlign w:val="center"/>
            <w:hideMark/>
          </w:tcPr>
          <w:p w14:paraId="7CBE530D"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1" w:type="dxa"/>
            <w:tcBorders>
              <w:top w:val="single" w:sz="4" w:space="0" w:color="E0301E"/>
              <w:bottom w:val="single" w:sz="4" w:space="0" w:color="E0301E"/>
            </w:tcBorders>
            <w:shd w:val="clear" w:color="auto" w:fill="auto"/>
            <w:noWrap/>
            <w:vAlign w:val="center"/>
            <w:hideMark/>
          </w:tcPr>
          <w:p w14:paraId="2C852338"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0AA4DAD0"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716B0B44"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329C2844"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2BC17639"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77" w:type="dxa"/>
            <w:tcBorders>
              <w:top w:val="single" w:sz="4" w:space="0" w:color="E0301E"/>
              <w:bottom w:val="single" w:sz="4" w:space="0" w:color="E0301E"/>
            </w:tcBorders>
            <w:shd w:val="clear" w:color="auto" w:fill="auto"/>
            <w:noWrap/>
            <w:vAlign w:val="center"/>
            <w:hideMark/>
          </w:tcPr>
          <w:p w14:paraId="37E1210E"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r w:rsidR="003B663F" w:rsidRPr="00814ABA" w14:paraId="3EAA1083" w14:textId="77777777" w:rsidTr="009B58B4">
        <w:trPr>
          <w:trHeight w:hRule="exact" w:val="312"/>
        </w:trPr>
        <w:tc>
          <w:tcPr>
            <w:tcW w:w="2435" w:type="dxa"/>
            <w:tcBorders>
              <w:top w:val="single" w:sz="4" w:space="0" w:color="E0301E"/>
              <w:bottom w:val="single" w:sz="4" w:space="0" w:color="E0301E"/>
            </w:tcBorders>
            <w:shd w:val="clear" w:color="auto" w:fill="auto"/>
            <w:noWrap/>
            <w:vAlign w:val="center"/>
            <w:hideMark/>
          </w:tcPr>
          <w:p w14:paraId="595443AB" w14:textId="77777777" w:rsidR="003B663F" w:rsidRPr="00814ABA" w:rsidRDefault="003B663F" w:rsidP="003B663F">
            <w:pPr>
              <w:kinsoku/>
              <w:overflowPunct/>
              <w:autoSpaceDE/>
              <w:autoSpaceDN/>
              <w:adjustRightInd/>
              <w:snapToGrid/>
              <w:rPr>
                <w:rFonts w:asciiTheme="majorHAnsi" w:hAnsiTheme="majorHAnsi" w:cstheme="majorHAnsi"/>
                <w:snapToGrid/>
                <w:color w:val="000000"/>
                <w:sz w:val="16"/>
                <w:szCs w:val="16"/>
                <w:lang w:eastAsia="en-AU"/>
              </w:rPr>
            </w:pPr>
            <w:r w:rsidRPr="00814ABA">
              <w:rPr>
                <w:rFonts w:asciiTheme="majorHAnsi" w:hAnsiTheme="majorHAnsi" w:cstheme="majorHAnsi"/>
                <w:snapToGrid/>
                <w:color w:val="000000"/>
                <w:sz w:val="16"/>
                <w:szCs w:val="16"/>
                <w:lang w:eastAsia="en-AU"/>
              </w:rPr>
              <w:t>12 Rest of Aust. population</w:t>
            </w:r>
          </w:p>
        </w:tc>
        <w:tc>
          <w:tcPr>
            <w:tcW w:w="1041" w:type="dxa"/>
            <w:tcBorders>
              <w:top w:val="single" w:sz="4" w:space="0" w:color="E0301E"/>
              <w:bottom w:val="single" w:sz="4" w:space="0" w:color="E0301E"/>
            </w:tcBorders>
            <w:shd w:val="clear" w:color="auto" w:fill="auto"/>
            <w:noWrap/>
            <w:vAlign w:val="center"/>
            <w:hideMark/>
          </w:tcPr>
          <w:p w14:paraId="10B4DDB3"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1" w:type="dxa"/>
            <w:tcBorders>
              <w:top w:val="single" w:sz="4" w:space="0" w:color="E0301E"/>
              <w:bottom w:val="single" w:sz="4" w:space="0" w:color="E0301E"/>
            </w:tcBorders>
            <w:shd w:val="clear" w:color="auto" w:fill="auto"/>
            <w:noWrap/>
            <w:vAlign w:val="center"/>
            <w:hideMark/>
          </w:tcPr>
          <w:p w14:paraId="05A9E90F"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625E8D6F"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6064C2E0"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1494E644"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42" w:type="dxa"/>
            <w:tcBorders>
              <w:top w:val="single" w:sz="4" w:space="0" w:color="E0301E"/>
              <w:bottom w:val="single" w:sz="4" w:space="0" w:color="E0301E"/>
            </w:tcBorders>
            <w:shd w:val="clear" w:color="auto" w:fill="auto"/>
            <w:noWrap/>
            <w:vAlign w:val="center"/>
            <w:hideMark/>
          </w:tcPr>
          <w:p w14:paraId="2F527ED8"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77" w:type="dxa"/>
            <w:tcBorders>
              <w:top w:val="single" w:sz="4" w:space="0" w:color="E0301E"/>
              <w:bottom w:val="single" w:sz="4" w:space="0" w:color="E0301E"/>
            </w:tcBorders>
            <w:shd w:val="clear" w:color="auto" w:fill="auto"/>
            <w:noWrap/>
            <w:vAlign w:val="center"/>
            <w:hideMark/>
          </w:tcPr>
          <w:p w14:paraId="0AD8EA88"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bl>
    <w:p w14:paraId="1D4858C5" w14:textId="77777777" w:rsidR="00037542" w:rsidRPr="00426796" w:rsidRDefault="00037542" w:rsidP="00037542">
      <w:pPr>
        <w:pStyle w:val="Sources"/>
      </w:pPr>
      <w:r w:rsidRPr="00426796">
        <w:t>Notes:</w:t>
      </w:r>
    </w:p>
    <w:p w14:paraId="7B82359C" w14:textId="77777777" w:rsidR="00037542" w:rsidRPr="00426796" w:rsidRDefault="00037542" w:rsidP="00037542">
      <w:pPr>
        <w:pStyle w:val="Sources"/>
        <w:numPr>
          <w:ilvl w:val="0"/>
          <w:numId w:val="48"/>
        </w:numPr>
      </w:pPr>
      <w:r w:rsidRPr="00426796">
        <w:t>R* indicates where the assumption is 100% and hence that no risk based model was required to model utilisation accurately.</w:t>
      </w:r>
    </w:p>
    <w:p w14:paraId="4D4F9CC7" w14:textId="77777777" w:rsidR="00037542" w:rsidRPr="00426796" w:rsidRDefault="00037542" w:rsidP="00037542">
      <w:pPr>
        <w:pStyle w:val="Sources"/>
        <w:numPr>
          <w:ilvl w:val="0"/>
          <w:numId w:val="48"/>
        </w:numPr>
      </w:pPr>
      <w:r w:rsidRPr="00426796">
        <w:t>R** indicates where the assumption is less than 100%, but rules were developed to assign utilisation (</w:t>
      </w:r>
      <w:r>
        <w:t>rather</w:t>
      </w:r>
      <w:r w:rsidRPr="00426796">
        <w:t xml:space="preserve"> than fitting models)</w:t>
      </w:r>
    </w:p>
    <w:p w14:paraId="023E68EC" w14:textId="77777777" w:rsidR="00037542" w:rsidRPr="00426796" w:rsidRDefault="00037542" w:rsidP="00037542">
      <w:pPr>
        <w:pStyle w:val="Sources"/>
        <w:numPr>
          <w:ilvl w:val="0"/>
          <w:numId w:val="48"/>
        </w:numPr>
      </w:pPr>
      <w:r w:rsidRPr="00426796">
        <w:t xml:space="preserve">For category G the individuals receiving dependents payments have been identified and treated as a closed group in the model. </w:t>
      </w:r>
    </w:p>
    <w:p w14:paraId="2F4BC50E" w14:textId="77777777" w:rsidR="00037542" w:rsidRPr="00426796" w:rsidRDefault="00037542" w:rsidP="00037542">
      <w:pPr>
        <w:pStyle w:val="Sources"/>
        <w:numPr>
          <w:ilvl w:val="0"/>
          <w:numId w:val="48"/>
        </w:numPr>
      </w:pPr>
      <w:r w:rsidRPr="00426796">
        <w:t>F* indicates where refined foundation assumptions have been used, referencing both current and previous class. In these cases we consider the additional value of risk based utilisation assumptions to be minimal</w:t>
      </w:r>
    </w:p>
    <w:p w14:paraId="08D38115" w14:textId="77777777" w:rsidR="00037542" w:rsidRDefault="00037542" w:rsidP="00037542">
      <w:pPr>
        <w:kinsoku/>
        <w:overflowPunct/>
        <w:autoSpaceDE/>
        <w:autoSpaceDN/>
        <w:adjustRightInd/>
        <w:snapToGrid/>
        <w:rPr>
          <w:rFonts w:asciiTheme="majorHAnsi" w:hAnsiTheme="majorHAnsi"/>
          <w:b/>
          <w:bCs/>
          <w:color w:val="E0301E"/>
          <w:szCs w:val="18"/>
        </w:rPr>
      </w:pPr>
      <w:r>
        <w:br w:type="page"/>
      </w:r>
    </w:p>
    <w:p w14:paraId="350BC8B0" w14:textId="77777777" w:rsidR="00037542" w:rsidRPr="00FF37C6" w:rsidRDefault="00037542" w:rsidP="00037542">
      <w:pPr>
        <w:pStyle w:val="Caption"/>
      </w:pPr>
      <w:r w:rsidRPr="00FF37C6">
        <w:lastRenderedPageBreak/>
        <w:t xml:space="preserve">Table </w:t>
      </w:r>
      <w:fldSimple w:instr=" SEQ Table \* ARABIC ">
        <w:r w:rsidR="007A42DF">
          <w:rPr>
            <w:noProof/>
          </w:rPr>
          <w:t>70</w:t>
        </w:r>
      </w:fldSimple>
      <w:r w:rsidRPr="00FF37C6">
        <w:t>: Approach adopted for developing payment utilisation assumptions for each class</w:t>
      </w:r>
      <w:r>
        <w:t>:</w:t>
      </w:r>
      <w:r w:rsidRPr="00FF37C6">
        <w:t xml:space="preserve"> </w:t>
      </w:r>
      <w:r>
        <w:t>Non-</w:t>
      </w:r>
      <w:r w:rsidRPr="00FF37C6">
        <w:t>Income Support</w:t>
      </w:r>
      <w:r>
        <w:t>.</w:t>
      </w:r>
    </w:p>
    <w:tbl>
      <w:tblPr>
        <w:tblW w:w="10093" w:type="dxa"/>
        <w:tblBorders>
          <w:top w:val="single" w:sz="4" w:space="0" w:color="E0301E"/>
          <w:bottom w:val="single" w:sz="4" w:space="0" w:color="E0301E"/>
          <w:insideH w:val="single" w:sz="6" w:space="0" w:color="E0301E"/>
        </w:tblBorders>
        <w:tblLayout w:type="fixed"/>
        <w:tblCellMar>
          <w:top w:w="28" w:type="dxa"/>
          <w:left w:w="0" w:type="dxa"/>
          <w:right w:w="11" w:type="dxa"/>
        </w:tblCellMar>
        <w:tblLook w:val="0480" w:firstRow="0" w:lastRow="0" w:firstColumn="1" w:lastColumn="0" w:noHBand="0" w:noVBand="1"/>
        <w:tblCaption w:val="Approach adopted for developing payment utilisation assumptions for each class: Non-Income Support."/>
        <w:tblDescription w:val="This table describes the adopted approach for developing utilisation assumptions within each class for each of the non-income support payment types. For reference the non-income support payment types are FTB, family, new parents, health and disability, carer, study &amp; skills, remote &amp; regional, general allowances, all other and rent assistance. These are listed across the top of the table. Down the left hand side are listed classes 1 to 12. Each cell in the table takes one of the following values: RG, RD, F and N/A. These represent the different approaches for developing assumptions.&#10;&#10;&#10;RG indicates risk based assumptions are used, fitted using a generalised linear model. RD indicates risk based assumptions are used, fitted using a decision tree. F indicates Foundation assumptions have been used. N/A refers to not applicable.  It is used across all cells for classes 10-12 as individuals in these classes cannot have utilised any payment category in the current year, and as such no assumptions were required for these classes.&#10;&#10;Class '1 Studying' uses Foundation assumptions for utilisation in all non-income support payment types, except for Category 'N - Study and Skills', for which a risk based decision tree was used.&#10;&#10;Class '2 Working age' and Class '3 Parents' used risk based decision tree models for utilisation in categories H, I, J and R. Foundation models were fit for all other payment categories.&#10;&#10;Class '4 Carers' used foundation assumptions for utilisation across all non-income support payment categories.&#10;&#10;Class '5 Disability Support' used foundation assumptions for utilisation across all non-income support payment categories, except for 'L - Health and Disability' which used a risk based decision tree.&#10;&#10;Class '6 Pension Age' used foundation assumptions for utilisation across all non-income support payment categories.&#10;&#10;Class '7 Non IS Family' used risk based generalised linear models to model utilisation in categories H, I, J and R. A decision tree was used to model utilisation of category P. Foundation assumptions were used for all other payment cateogries with the exception of category 'M - Carer' which by definition cannot be utilised from within class 7.&#10;&#10;Class '8 Non IS Carer' used Foundation utilisation assumptions for all classes except for category 'M - Other' carer which was set to 100% by definition.&#10;&#10;Class '9 Non IS Carer' used risk based generalised linear models to model utilisation in categories H, I and J. Foundation assumptions were used for all other payment cateogries with the exception of category 'M - Carer' which by definition cannot be utilised from within class 9.&#10;"/>
      </w:tblPr>
      <w:tblGrid>
        <w:gridCol w:w="1581"/>
        <w:gridCol w:w="837"/>
        <w:gridCol w:w="837"/>
        <w:gridCol w:w="838"/>
        <w:gridCol w:w="837"/>
        <w:gridCol w:w="838"/>
        <w:gridCol w:w="837"/>
        <w:gridCol w:w="837"/>
        <w:gridCol w:w="907"/>
        <w:gridCol w:w="837"/>
        <w:gridCol w:w="907"/>
      </w:tblGrid>
      <w:tr w:rsidR="00037542" w:rsidRPr="00814ABA" w14:paraId="6432275C" w14:textId="77777777" w:rsidTr="00037542">
        <w:trPr>
          <w:trHeight w:hRule="exact" w:val="680"/>
          <w:tblHeader/>
        </w:trPr>
        <w:tc>
          <w:tcPr>
            <w:tcW w:w="1581" w:type="dxa"/>
            <w:tcBorders>
              <w:bottom w:val="nil"/>
            </w:tcBorders>
            <w:shd w:val="clear" w:color="auto" w:fill="E0301E"/>
            <w:vAlign w:val="center"/>
            <w:hideMark/>
          </w:tcPr>
          <w:p w14:paraId="201EDB69" w14:textId="77777777" w:rsidR="00037542" w:rsidRPr="00814ABA" w:rsidRDefault="00037542" w:rsidP="00037542">
            <w:pPr>
              <w:pStyle w:val="TableColumnHeadingSmall"/>
              <w:rPr>
                <w:snapToGrid/>
                <w:lang w:eastAsia="en-AU"/>
              </w:rPr>
            </w:pPr>
            <w:r>
              <w:rPr>
                <w:snapToGrid/>
                <w:lang w:eastAsia="en-AU"/>
              </w:rPr>
              <w:t xml:space="preserve"> </w:t>
            </w:r>
            <w:r w:rsidRPr="00814ABA">
              <w:rPr>
                <w:snapToGrid/>
                <w:lang w:eastAsia="en-AU"/>
              </w:rPr>
              <w:t>Model class</w:t>
            </w:r>
          </w:p>
          <w:p w14:paraId="5AD40BF5" w14:textId="77777777" w:rsidR="00037542" w:rsidRPr="00814ABA" w:rsidRDefault="00037542" w:rsidP="00037542">
            <w:pPr>
              <w:pStyle w:val="TableColumnHeadingSmall"/>
              <w:rPr>
                <w:snapToGrid/>
                <w:lang w:eastAsia="en-AU"/>
              </w:rPr>
            </w:pPr>
            <w:r>
              <w:rPr>
                <w:snapToGrid/>
                <w:lang w:eastAsia="en-AU"/>
              </w:rPr>
              <w:t xml:space="preserve"> </w:t>
            </w:r>
            <w:r w:rsidRPr="00814ABA">
              <w:rPr>
                <w:snapToGrid/>
                <w:lang w:eastAsia="en-AU"/>
              </w:rPr>
              <w:t>(at t+1)</w:t>
            </w:r>
          </w:p>
        </w:tc>
        <w:tc>
          <w:tcPr>
            <w:tcW w:w="837" w:type="dxa"/>
            <w:tcBorders>
              <w:bottom w:val="nil"/>
            </w:tcBorders>
            <w:shd w:val="clear" w:color="auto" w:fill="E0301E"/>
            <w:vAlign w:val="center"/>
            <w:hideMark/>
          </w:tcPr>
          <w:p w14:paraId="13DB946B" w14:textId="77777777" w:rsidR="00037542" w:rsidRPr="00814ABA" w:rsidRDefault="00037542" w:rsidP="00037542">
            <w:pPr>
              <w:pStyle w:val="TableColumnHeadingSmall"/>
              <w:jc w:val="center"/>
              <w:rPr>
                <w:snapToGrid/>
                <w:lang w:eastAsia="en-AU"/>
              </w:rPr>
            </w:pPr>
            <w:r w:rsidRPr="00814ABA">
              <w:rPr>
                <w:snapToGrid/>
                <w:lang w:eastAsia="en-AU"/>
              </w:rPr>
              <w:t>H</w:t>
            </w:r>
          </w:p>
          <w:p w14:paraId="69D97B40" w14:textId="77777777" w:rsidR="00037542" w:rsidRPr="00814ABA" w:rsidRDefault="00037542" w:rsidP="00037542">
            <w:pPr>
              <w:pStyle w:val="TableColumnHeadingSmall"/>
              <w:jc w:val="center"/>
              <w:rPr>
                <w:snapToGrid/>
                <w:lang w:eastAsia="en-AU"/>
              </w:rPr>
            </w:pPr>
            <w:r w:rsidRPr="00814ABA">
              <w:rPr>
                <w:snapToGrid/>
                <w:lang w:eastAsia="en-AU"/>
              </w:rPr>
              <w:t>FTB</w:t>
            </w:r>
          </w:p>
        </w:tc>
        <w:tc>
          <w:tcPr>
            <w:tcW w:w="837" w:type="dxa"/>
            <w:tcBorders>
              <w:bottom w:val="nil"/>
            </w:tcBorders>
            <w:shd w:val="clear" w:color="auto" w:fill="E0301E"/>
            <w:vAlign w:val="center"/>
            <w:hideMark/>
          </w:tcPr>
          <w:p w14:paraId="575A30CC" w14:textId="77777777" w:rsidR="00037542" w:rsidRPr="00814ABA" w:rsidRDefault="00037542" w:rsidP="00037542">
            <w:pPr>
              <w:pStyle w:val="TableColumnHeadingSmall"/>
              <w:jc w:val="center"/>
              <w:rPr>
                <w:snapToGrid/>
                <w:lang w:eastAsia="en-AU"/>
              </w:rPr>
            </w:pPr>
            <w:r w:rsidRPr="00814ABA">
              <w:rPr>
                <w:snapToGrid/>
                <w:lang w:eastAsia="en-AU"/>
              </w:rPr>
              <w:t>I</w:t>
            </w:r>
          </w:p>
          <w:p w14:paraId="3A0EE730" w14:textId="77777777" w:rsidR="00037542" w:rsidRPr="00814ABA" w:rsidRDefault="00037542" w:rsidP="00037542">
            <w:pPr>
              <w:pStyle w:val="TableColumnHeadingSmall"/>
              <w:jc w:val="center"/>
              <w:rPr>
                <w:snapToGrid/>
                <w:lang w:eastAsia="en-AU"/>
              </w:rPr>
            </w:pPr>
            <w:r w:rsidRPr="00814ABA">
              <w:rPr>
                <w:snapToGrid/>
                <w:lang w:eastAsia="en-AU"/>
              </w:rPr>
              <w:t>Family</w:t>
            </w:r>
          </w:p>
        </w:tc>
        <w:tc>
          <w:tcPr>
            <w:tcW w:w="838" w:type="dxa"/>
            <w:tcBorders>
              <w:bottom w:val="nil"/>
            </w:tcBorders>
            <w:shd w:val="clear" w:color="auto" w:fill="E0301E"/>
            <w:vAlign w:val="center"/>
            <w:hideMark/>
          </w:tcPr>
          <w:p w14:paraId="68C7F78C" w14:textId="77777777" w:rsidR="00037542" w:rsidRPr="00814ABA" w:rsidRDefault="00037542" w:rsidP="00037542">
            <w:pPr>
              <w:pStyle w:val="TableColumnHeadingSmall"/>
              <w:jc w:val="center"/>
              <w:rPr>
                <w:snapToGrid/>
                <w:lang w:eastAsia="en-AU"/>
              </w:rPr>
            </w:pPr>
            <w:r w:rsidRPr="00814ABA">
              <w:rPr>
                <w:snapToGrid/>
                <w:lang w:eastAsia="en-AU"/>
              </w:rPr>
              <w:t>J</w:t>
            </w:r>
          </w:p>
          <w:p w14:paraId="5A70B144" w14:textId="77777777" w:rsidR="00037542" w:rsidRPr="00814ABA" w:rsidRDefault="00037542" w:rsidP="00037542">
            <w:pPr>
              <w:pStyle w:val="TableColumnHeadingSmall"/>
              <w:jc w:val="center"/>
              <w:rPr>
                <w:snapToGrid/>
                <w:lang w:eastAsia="en-AU"/>
              </w:rPr>
            </w:pPr>
            <w:r w:rsidRPr="00814ABA">
              <w:rPr>
                <w:snapToGrid/>
                <w:lang w:eastAsia="en-AU"/>
              </w:rPr>
              <w:t>New Parents</w:t>
            </w:r>
          </w:p>
        </w:tc>
        <w:tc>
          <w:tcPr>
            <w:tcW w:w="837" w:type="dxa"/>
            <w:tcBorders>
              <w:bottom w:val="nil"/>
            </w:tcBorders>
            <w:shd w:val="clear" w:color="auto" w:fill="E0301E"/>
            <w:vAlign w:val="center"/>
            <w:hideMark/>
          </w:tcPr>
          <w:p w14:paraId="304D5DC3" w14:textId="77777777" w:rsidR="00037542" w:rsidRPr="00814ABA" w:rsidRDefault="00037542" w:rsidP="00037542">
            <w:pPr>
              <w:pStyle w:val="TableColumnHeadingSmall"/>
              <w:jc w:val="center"/>
              <w:rPr>
                <w:snapToGrid/>
                <w:lang w:eastAsia="en-AU"/>
              </w:rPr>
            </w:pPr>
            <w:r w:rsidRPr="00814ABA">
              <w:rPr>
                <w:snapToGrid/>
                <w:lang w:eastAsia="en-AU"/>
              </w:rPr>
              <w:t>L</w:t>
            </w:r>
          </w:p>
          <w:p w14:paraId="2312D670" w14:textId="77777777" w:rsidR="00037542" w:rsidRPr="00814ABA" w:rsidRDefault="00037542" w:rsidP="00037542">
            <w:pPr>
              <w:pStyle w:val="TableColumnHeadingSmall"/>
              <w:jc w:val="center"/>
              <w:rPr>
                <w:snapToGrid/>
                <w:lang w:eastAsia="en-AU"/>
              </w:rPr>
            </w:pPr>
            <w:r w:rsidRPr="00814ABA">
              <w:rPr>
                <w:snapToGrid/>
                <w:lang w:eastAsia="en-AU"/>
              </w:rPr>
              <w:t>Health &amp; Disability</w:t>
            </w:r>
          </w:p>
        </w:tc>
        <w:tc>
          <w:tcPr>
            <w:tcW w:w="838" w:type="dxa"/>
            <w:tcBorders>
              <w:bottom w:val="nil"/>
            </w:tcBorders>
            <w:shd w:val="clear" w:color="auto" w:fill="E0301E"/>
            <w:vAlign w:val="center"/>
            <w:hideMark/>
          </w:tcPr>
          <w:p w14:paraId="24B93CF0" w14:textId="77777777" w:rsidR="00037542" w:rsidRPr="00814ABA" w:rsidRDefault="00037542" w:rsidP="00037542">
            <w:pPr>
              <w:pStyle w:val="TableColumnHeadingSmall"/>
              <w:jc w:val="center"/>
              <w:rPr>
                <w:snapToGrid/>
                <w:lang w:eastAsia="en-AU"/>
              </w:rPr>
            </w:pPr>
            <w:r w:rsidRPr="00814ABA">
              <w:rPr>
                <w:snapToGrid/>
                <w:lang w:eastAsia="en-AU"/>
              </w:rPr>
              <w:t>M</w:t>
            </w:r>
          </w:p>
          <w:p w14:paraId="71638A24" w14:textId="77777777" w:rsidR="00037542" w:rsidRPr="00814ABA" w:rsidRDefault="00037542" w:rsidP="00037542">
            <w:pPr>
              <w:pStyle w:val="TableColumnHeadingSmall"/>
              <w:jc w:val="center"/>
              <w:rPr>
                <w:snapToGrid/>
                <w:lang w:eastAsia="en-AU"/>
              </w:rPr>
            </w:pPr>
            <w:r w:rsidRPr="00814ABA">
              <w:rPr>
                <w:snapToGrid/>
                <w:lang w:eastAsia="en-AU"/>
              </w:rPr>
              <w:t>Carer</w:t>
            </w:r>
          </w:p>
        </w:tc>
        <w:tc>
          <w:tcPr>
            <w:tcW w:w="837" w:type="dxa"/>
            <w:tcBorders>
              <w:bottom w:val="nil"/>
            </w:tcBorders>
            <w:shd w:val="clear" w:color="auto" w:fill="E0301E"/>
            <w:vAlign w:val="center"/>
            <w:hideMark/>
          </w:tcPr>
          <w:p w14:paraId="12B787CF" w14:textId="77777777" w:rsidR="00037542" w:rsidRPr="00814ABA" w:rsidRDefault="00037542" w:rsidP="00037542">
            <w:pPr>
              <w:pStyle w:val="TableColumnHeadingSmall"/>
              <w:jc w:val="center"/>
              <w:rPr>
                <w:snapToGrid/>
                <w:lang w:eastAsia="en-AU"/>
              </w:rPr>
            </w:pPr>
            <w:r w:rsidRPr="00814ABA">
              <w:rPr>
                <w:snapToGrid/>
                <w:lang w:eastAsia="en-AU"/>
              </w:rPr>
              <w:t>N</w:t>
            </w:r>
          </w:p>
          <w:p w14:paraId="25E1C613" w14:textId="77777777" w:rsidR="00037542" w:rsidRPr="00814ABA" w:rsidRDefault="00037542" w:rsidP="00037542">
            <w:pPr>
              <w:pStyle w:val="TableColumnHeadingSmall"/>
              <w:jc w:val="center"/>
              <w:rPr>
                <w:snapToGrid/>
                <w:lang w:eastAsia="en-AU"/>
              </w:rPr>
            </w:pPr>
            <w:r w:rsidRPr="00814ABA">
              <w:rPr>
                <w:snapToGrid/>
                <w:lang w:eastAsia="en-AU"/>
              </w:rPr>
              <w:t>Study &amp; Skills</w:t>
            </w:r>
          </w:p>
        </w:tc>
        <w:tc>
          <w:tcPr>
            <w:tcW w:w="837" w:type="dxa"/>
            <w:tcBorders>
              <w:bottom w:val="nil"/>
            </w:tcBorders>
            <w:shd w:val="clear" w:color="auto" w:fill="E0301E"/>
            <w:vAlign w:val="center"/>
            <w:hideMark/>
          </w:tcPr>
          <w:p w14:paraId="61789161" w14:textId="77777777" w:rsidR="00037542" w:rsidRPr="00814ABA" w:rsidRDefault="00037542" w:rsidP="00037542">
            <w:pPr>
              <w:pStyle w:val="TableColumnHeadingSmall"/>
              <w:jc w:val="center"/>
              <w:rPr>
                <w:snapToGrid/>
                <w:lang w:eastAsia="en-AU"/>
              </w:rPr>
            </w:pPr>
            <w:r w:rsidRPr="00814ABA">
              <w:rPr>
                <w:snapToGrid/>
                <w:lang w:eastAsia="en-AU"/>
              </w:rPr>
              <w:t>O</w:t>
            </w:r>
          </w:p>
          <w:p w14:paraId="696E2534" w14:textId="77777777" w:rsidR="00037542" w:rsidRPr="00814ABA" w:rsidRDefault="00037542" w:rsidP="00037542">
            <w:pPr>
              <w:pStyle w:val="TableColumnHeadingSmall"/>
              <w:jc w:val="center"/>
              <w:rPr>
                <w:snapToGrid/>
                <w:lang w:eastAsia="en-AU"/>
              </w:rPr>
            </w:pPr>
            <w:r w:rsidRPr="00814ABA">
              <w:rPr>
                <w:snapToGrid/>
                <w:lang w:eastAsia="en-AU"/>
              </w:rPr>
              <w:t>Remote &amp; Regional</w:t>
            </w:r>
          </w:p>
        </w:tc>
        <w:tc>
          <w:tcPr>
            <w:tcW w:w="907" w:type="dxa"/>
            <w:tcBorders>
              <w:bottom w:val="nil"/>
            </w:tcBorders>
            <w:shd w:val="clear" w:color="auto" w:fill="E0301E"/>
            <w:vAlign w:val="center"/>
            <w:hideMark/>
          </w:tcPr>
          <w:p w14:paraId="41963C78" w14:textId="77777777" w:rsidR="00037542" w:rsidRPr="00814ABA" w:rsidRDefault="00037542" w:rsidP="00037542">
            <w:pPr>
              <w:pStyle w:val="TableColumnHeadingSmall"/>
              <w:jc w:val="center"/>
              <w:rPr>
                <w:snapToGrid/>
                <w:lang w:eastAsia="en-AU"/>
              </w:rPr>
            </w:pPr>
            <w:r w:rsidRPr="00814ABA">
              <w:rPr>
                <w:snapToGrid/>
                <w:lang w:eastAsia="en-AU"/>
              </w:rPr>
              <w:t>P</w:t>
            </w:r>
          </w:p>
          <w:p w14:paraId="3B9A95BF" w14:textId="77777777" w:rsidR="00037542" w:rsidRPr="00814ABA" w:rsidRDefault="00037542" w:rsidP="00037542">
            <w:pPr>
              <w:pStyle w:val="TableColumnHeadingSmall"/>
              <w:jc w:val="center"/>
              <w:rPr>
                <w:snapToGrid/>
                <w:lang w:eastAsia="en-AU"/>
              </w:rPr>
            </w:pPr>
            <w:r w:rsidRPr="00814ABA">
              <w:rPr>
                <w:snapToGrid/>
                <w:lang w:eastAsia="en-AU"/>
              </w:rPr>
              <w:t>General Allowances</w:t>
            </w:r>
          </w:p>
        </w:tc>
        <w:tc>
          <w:tcPr>
            <w:tcW w:w="837" w:type="dxa"/>
            <w:tcBorders>
              <w:bottom w:val="nil"/>
            </w:tcBorders>
            <w:shd w:val="clear" w:color="auto" w:fill="E0301E"/>
            <w:vAlign w:val="center"/>
            <w:hideMark/>
          </w:tcPr>
          <w:p w14:paraId="346F852C" w14:textId="77777777" w:rsidR="00037542" w:rsidRPr="00814ABA" w:rsidRDefault="00037542" w:rsidP="00037542">
            <w:pPr>
              <w:pStyle w:val="TableColumnHeadingSmall"/>
              <w:jc w:val="center"/>
              <w:rPr>
                <w:snapToGrid/>
                <w:lang w:eastAsia="en-AU"/>
              </w:rPr>
            </w:pPr>
            <w:r w:rsidRPr="00814ABA">
              <w:rPr>
                <w:snapToGrid/>
                <w:lang w:eastAsia="en-AU"/>
              </w:rPr>
              <w:t>Q</w:t>
            </w:r>
          </w:p>
          <w:p w14:paraId="3554B915" w14:textId="77777777" w:rsidR="00037542" w:rsidRPr="00814ABA" w:rsidRDefault="00037542" w:rsidP="00037542">
            <w:pPr>
              <w:pStyle w:val="TableColumnHeadingSmall"/>
              <w:jc w:val="center"/>
              <w:rPr>
                <w:snapToGrid/>
                <w:lang w:eastAsia="en-AU"/>
              </w:rPr>
            </w:pPr>
            <w:r w:rsidRPr="00814ABA">
              <w:rPr>
                <w:snapToGrid/>
                <w:lang w:eastAsia="en-AU"/>
              </w:rPr>
              <w:t>All Other</w:t>
            </w:r>
          </w:p>
        </w:tc>
        <w:tc>
          <w:tcPr>
            <w:tcW w:w="907" w:type="dxa"/>
            <w:tcBorders>
              <w:bottom w:val="nil"/>
            </w:tcBorders>
            <w:shd w:val="clear" w:color="auto" w:fill="E0301E"/>
            <w:vAlign w:val="center"/>
          </w:tcPr>
          <w:p w14:paraId="0E4D3B24" w14:textId="77777777" w:rsidR="00037542" w:rsidRDefault="00037542" w:rsidP="00037542">
            <w:pPr>
              <w:pStyle w:val="TableColumnHeadingSmall"/>
              <w:jc w:val="center"/>
              <w:rPr>
                <w:snapToGrid/>
                <w:lang w:eastAsia="en-AU"/>
              </w:rPr>
            </w:pPr>
            <w:r w:rsidRPr="00814ABA">
              <w:rPr>
                <w:snapToGrid/>
                <w:lang w:eastAsia="en-AU"/>
              </w:rPr>
              <w:t>R</w:t>
            </w:r>
          </w:p>
          <w:p w14:paraId="43E285C1" w14:textId="77777777" w:rsidR="00037542" w:rsidRPr="00814ABA" w:rsidRDefault="00037542" w:rsidP="00037542">
            <w:pPr>
              <w:pStyle w:val="TableColumnHeadingSmall"/>
              <w:jc w:val="center"/>
              <w:rPr>
                <w:snapToGrid/>
                <w:lang w:eastAsia="en-AU"/>
              </w:rPr>
            </w:pPr>
            <w:r>
              <w:rPr>
                <w:snapToGrid/>
                <w:lang w:eastAsia="en-AU"/>
              </w:rPr>
              <w:t xml:space="preserve">Rent </w:t>
            </w:r>
            <w:r w:rsidRPr="00814ABA">
              <w:rPr>
                <w:snapToGrid/>
                <w:lang w:eastAsia="en-AU"/>
              </w:rPr>
              <w:t>Assistance</w:t>
            </w:r>
          </w:p>
        </w:tc>
      </w:tr>
      <w:tr w:rsidR="00037542" w:rsidRPr="00814ABA" w14:paraId="45720658" w14:textId="77777777" w:rsidTr="00037542">
        <w:trPr>
          <w:trHeight w:hRule="exact" w:val="397"/>
        </w:trPr>
        <w:tc>
          <w:tcPr>
            <w:tcW w:w="1581" w:type="dxa"/>
            <w:tcBorders>
              <w:top w:val="nil"/>
              <w:bottom w:val="single" w:sz="4" w:space="0" w:color="E0301E"/>
            </w:tcBorders>
            <w:shd w:val="clear" w:color="auto" w:fill="auto"/>
            <w:noWrap/>
            <w:vAlign w:val="center"/>
            <w:hideMark/>
          </w:tcPr>
          <w:p w14:paraId="731CE3FD" w14:textId="77777777" w:rsidR="00037542" w:rsidRPr="00814ABA" w:rsidRDefault="00037542" w:rsidP="00037542">
            <w:pPr>
              <w:keepNext/>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 Studying</w:t>
            </w:r>
          </w:p>
        </w:tc>
        <w:tc>
          <w:tcPr>
            <w:tcW w:w="837" w:type="dxa"/>
            <w:tcBorders>
              <w:top w:val="nil"/>
              <w:bottom w:val="single" w:sz="4" w:space="0" w:color="E0301E"/>
            </w:tcBorders>
            <w:shd w:val="clear" w:color="auto" w:fill="auto"/>
            <w:noWrap/>
            <w:vAlign w:val="center"/>
            <w:hideMark/>
          </w:tcPr>
          <w:p w14:paraId="36634C82" w14:textId="77777777" w:rsidR="00037542" w:rsidRPr="00814ABA" w:rsidRDefault="00037542" w:rsidP="00037542">
            <w:pPr>
              <w:keepNext/>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37" w:type="dxa"/>
            <w:tcBorders>
              <w:top w:val="nil"/>
              <w:bottom w:val="single" w:sz="4" w:space="0" w:color="E0301E"/>
            </w:tcBorders>
            <w:shd w:val="clear" w:color="auto" w:fill="FFFFFF" w:themeFill="background1"/>
            <w:noWrap/>
            <w:vAlign w:val="center"/>
            <w:hideMark/>
          </w:tcPr>
          <w:p w14:paraId="1A7AEAC6" w14:textId="77777777" w:rsidR="00037542" w:rsidRPr="00814ABA" w:rsidRDefault="00037542" w:rsidP="00037542">
            <w:pPr>
              <w:keepNext/>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38" w:type="dxa"/>
            <w:tcBorders>
              <w:top w:val="nil"/>
              <w:bottom w:val="single" w:sz="4" w:space="0" w:color="E0301E"/>
            </w:tcBorders>
            <w:shd w:val="clear" w:color="auto" w:fill="FFFFFF" w:themeFill="background1"/>
            <w:noWrap/>
            <w:vAlign w:val="center"/>
            <w:hideMark/>
          </w:tcPr>
          <w:p w14:paraId="788D75B5" w14:textId="77777777" w:rsidR="00037542" w:rsidRPr="00814ABA" w:rsidRDefault="00037542" w:rsidP="00037542">
            <w:pPr>
              <w:keepNext/>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nil"/>
              <w:bottom w:val="single" w:sz="4" w:space="0" w:color="E0301E"/>
            </w:tcBorders>
            <w:shd w:val="clear" w:color="auto" w:fill="FFFFFF" w:themeFill="background1"/>
            <w:noWrap/>
            <w:vAlign w:val="center"/>
            <w:hideMark/>
          </w:tcPr>
          <w:p w14:paraId="65E9A167" w14:textId="77777777" w:rsidR="00037542" w:rsidRPr="00814ABA" w:rsidRDefault="00037542" w:rsidP="00037542">
            <w:pPr>
              <w:keepNext/>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8" w:type="dxa"/>
            <w:tcBorders>
              <w:top w:val="nil"/>
              <w:bottom w:val="single" w:sz="4" w:space="0" w:color="E0301E"/>
            </w:tcBorders>
            <w:shd w:val="clear" w:color="auto" w:fill="FFFFFF" w:themeFill="background1"/>
            <w:noWrap/>
            <w:vAlign w:val="center"/>
            <w:hideMark/>
          </w:tcPr>
          <w:p w14:paraId="4EE1E7F9" w14:textId="77777777" w:rsidR="00037542" w:rsidRPr="00814ABA" w:rsidRDefault="00037542" w:rsidP="00037542">
            <w:pPr>
              <w:keepNext/>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nil"/>
              <w:bottom w:val="single" w:sz="4" w:space="0" w:color="E0301E"/>
            </w:tcBorders>
            <w:shd w:val="clear" w:color="auto" w:fill="F5C9C7"/>
            <w:noWrap/>
            <w:vAlign w:val="center"/>
            <w:hideMark/>
          </w:tcPr>
          <w:p w14:paraId="4B8D2974" w14:textId="77777777" w:rsidR="00037542" w:rsidRPr="00814ABA" w:rsidRDefault="00037542" w:rsidP="00037542">
            <w:pPr>
              <w:keepNext/>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RD</w:t>
            </w:r>
          </w:p>
        </w:tc>
        <w:tc>
          <w:tcPr>
            <w:tcW w:w="837" w:type="dxa"/>
            <w:tcBorders>
              <w:top w:val="nil"/>
              <w:bottom w:val="single" w:sz="4" w:space="0" w:color="E0301E"/>
            </w:tcBorders>
            <w:shd w:val="clear" w:color="auto" w:fill="FFFFFF" w:themeFill="background1"/>
            <w:noWrap/>
            <w:vAlign w:val="center"/>
            <w:hideMark/>
          </w:tcPr>
          <w:p w14:paraId="017C137F" w14:textId="77777777" w:rsidR="00037542" w:rsidRPr="00814ABA" w:rsidRDefault="00037542" w:rsidP="00037542">
            <w:pPr>
              <w:keepNext/>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nil"/>
              <w:bottom w:val="single" w:sz="4" w:space="0" w:color="E0301E"/>
            </w:tcBorders>
            <w:shd w:val="clear" w:color="auto" w:fill="FFFFFF" w:themeFill="background1"/>
            <w:noWrap/>
            <w:vAlign w:val="center"/>
            <w:hideMark/>
          </w:tcPr>
          <w:p w14:paraId="1004A623" w14:textId="77777777" w:rsidR="00037542" w:rsidRPr="00814ABA" w:rsidRDefault="00037542" w:rsidP="00037542">
            <w:pPr>
              <w:keepNext/>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nil"/>
              <w:bottom w:val="single" w:sz="4" w:space="0" w:color="E0301E"/>
            </w:tcBorders>
            <w:shd w:val="clear" w:color="auto" w:fill="FFFFFF" w:themeFill="background1"/>
            <w:noWrap/>
            <w:vAlign w:val="center"/>
            <w:hideMark/>
          </w:tcPr>
          <w:p w14:paraId="1D664CA2" w14:textId="77777777" w:rsidR="00037542" w:rsidRPr="00814ABA" w:rsidRDefault="00037542" w:rsidP="00037542">
            <w:pPr>
              <w:keepNext/>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nil"/>
              <w:bottom w:val="single" w:sz="4" w:space="0" w:color="E0301E"/>
            </w:tcBorders>
            <w:shd w:val="clear" w:color="auto" w:fill="FFFFFF" w:themeFill="background1"/>
            <w:vAlign w:val="center"/>
          </w:tcPr>
          <w:p w14:paraId="78969F81" w14:textId="77777777" w:rsidR="00037542" w:rsidRPr="00814ABA" w:rsidRDefault="00037542" w:rsidP="00037542">
            <w:pPr>
              <w:keepNext/>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279C443F" w14:textId="77777777" w:rsidTr="00037542">
        <w:trPr>
          <w:trHeight w:hRule="exact" w:val="397"/>
        </w:trPr>
        <w:tc>
          <w:tcPr>
            <w:tcW w:w="1581" w:type="dxa"/>
            <w:tcBorders>
              <w:top w:val="single" w:sz="4" w:space="0" w:color="E0301E"/>
              <w:bottom w:val="single" w:sz="4" w:space="0" w:color="E0301E"/>
            </w:tcBorders>
            <w:shd w:val="clear" w:color="auto" w:fill="auto"/>
            <w:noWrap/>
            <w:vAlign w:val="center"/>
            <w:hideMark/>
          </w:tcPr>
          <w:p w14:paraId="426A448C"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2 Working Age</w:t>
            </w:r>
          </w:p>
        </w:tc>
        <w:tc>
          <w:tcPr>
            <w:tcW w:w="837" w:type="dxa"/>
            <w:tcBorders>
              <w:top w:val="single" w:sz="4" w:space="0" w:color="E0301E"/>
              <w:bottom w:val="single" w:sz="4" w:space="0" w:color="E0301E"/>
            </w:tcBorders>
            <w:shd w:val="clear" w:color="auto" w:fill="F5C9C7"/>
            <w:noWrap/>
            <w:vAlign w:val="center"/>
            <w:hideMark/>
          </w:tcPr>
          <w:p w14:paraId="01D47BE4" w14:textId="77777777" w:rsidR="00037542" w:rsidRPr="00457704" w:rsidRDefault="00037542" w:rsidP="00037542">
            <w:pPr>
              <w:kinsoku/>
              <w:overflowPunct/>
              <w:autoSpaceDE/>
              <w:autoSpaceDN/>
              <w:adjustRightInd/>
              <w:snapToGrid/>
              <w:jc w:val="center"/>
              <w:rPr>
                <w:rFonts w:cstheme="minorHAnsi"/>
                <w:snapToGrid/>
                <w:color w:val="auto"/>
                <w:sz w:val="16"/>
                <w:szCs w:val="16"/>
                <w:lang w:eastAsia="en-AU"/>
              </w:rPr>
            </w:pPr>
            <w:r>
              <w:rPr>
                <w:rFonts w:cstheme="minorHAnsi"/>
                <w:snapToGrid/>
                <w:color w:val="auto"/>
                <w:sz w:val="16"/>
                <w:szCs w:val="16"/>
                <w:lang w:eastAsia="en-AU"/>
              </w:rPr>
              <w:t>R</w:t>
            </w:r>
            <w:r w:rsidRPr="00814ABA">
              <w:rPr>
                <w:rFonts w:cstheme="minorHAnsi"/>
                <w:snapToGrid/>
                <w:color w:val="auto"/>
                <w:sz w:val="16"/>
                <w:szCs w:val="16"/>
                <w:lang w:eastAsia="en-AU"/>
              </w:rPr>
              <w:t>G</w:t>
            </w:r>
          </w:p>
        </w:tc>
        <w:tc>
          <w:tcPr>
            <w:tcW w:w="837" w:type="dxa"/>
            <w:tcBorders>
              <w:top w:val="single" w:sz="4" w:space="0" w:color="E0301E"/>
              <w:bottom w:val="single" w:sz="4" w:space="0" w:color="E0301E"/>
            </w:tcBorders>
            <w:shd w:val="clear" w:color="auto" w:fill="F4CACA" w:themeFill="accent5" w:themeFillTint="33"/>
            <w:noWrap/>
            <w:vAlign w:val="center"/>
            <w:hideMark/>
          </w:tcPr>
          <w:p w14:paraId="4FA182D0"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38" w:type="dxa"/>
            <w:tcBorders>
              <w:top w:val="single" w:sz="4" w:space="0" w:color="E0301E"/>
              <w:bottom w:val="single" w:sz="4" w:space="0" w:color="E0301E"/>
            </w:tcBorders>
            <w:shd w:val="clear" w:color="auto" w:fill="F4CACA" w:themeFill="accent5" w:themeFillTint="33"/>
            <w:noWrap/>
            <w:vAlign w:val="center"/>
            <w:hideMark/>
          </w:tcPr>
          <w:p w14:paraId="02244D1F"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37" w:type="dxa"/>
            <w:tcBorders>
              <w:top w:val="single" w:sz="4" w:space="0" w:color="E0301E"/>
              <w:bottom w:val="single" w:sz="4" w:space="0" w:color="E0301E"/>
            </w:tcBorders>
            <w:shd w:val="clear" w:color="auto" w:fill="FFFFFF" w:themeFill="background1"/>
            <w:noWrap/>
            <w:vAlign w:val="center"/>
            <w:hideMark/>
          </w:tcPr>
          <w:p w14:paraId="45AF436D"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8" w:type="dxa"/>
            <w:tcBorders>
              <w:top w:val="single" w:sz="4" w:space="0" w:color="E0301E"/>
              <w:bottom w:val="single" w:sz="4" w:space="0" w:color="E0301E"/>
            </w:tcBorders>
            <w:shd w:val="clear" w:color="auto" w:fill="FFFFFF" w:themeFill="background1"/>
            <w:noWrap/>
            <w:vAlign w:val="center"/>
            <w:hideMark/>
          </w:tcPr>
          <w:p w14:paraId="6FBA8A08"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624E5927"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72BF1DE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noWrap/>
            <w:vAlign w:val="center"/>
            <w:hideMark/>
          </w:tcPr>
          <w:p w14:paraId="28EC41D4"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0AA619FE"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4CACA" w:themeFill="accent5" w:themeFillTint="33"/>
            <w:vAlign w:val="center"/>
          </w:tcPr>
          <w:p w14:paraId="213FCCB0"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RG</w:t>
            </w:r>
          </w:p>
        </w:tc>
      </w:tr>
      <w:tr w:rsidR="00037542" w:rsidRPr="00814ABA" w14:paraId="6AACF730" w14:textId="77777777" w:rsidTr="00037542">
        <w:trPr>
          <w:trHeight w:hRule="exact" w:val="397"/>
        </w:trPr>
        <w:tc>
          <w:tcPr>
            <w:tcW w:w="1581" w:type="dxa"/>
            <w:tcBorders>
              <w:top w:val="single" w:sz="4" w:space="0" w:color="E0301E"/>
              <w:bottom w:val="single" w:sz="4" w:space="0" w:color="E0301E"/>
            </w:tcBorders>
            <w:shd w:val="clear" w:color="auto" w:fill="auto"/>
            <w:noWrap/>
            <w:vAlign w:val="center"/>
            <w:hideMark/>
          </w:tcPr>
          <w:p w14:paraId="30F2E33A"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3 Parents</w:t>
            </w:r>
          </w:p>
        </w:tc>
        <w:tc>
          <w:tcPr>
            <w:tcW w:w="837" w:type="dxa"/>
            <w:tcBorders>
              <w:top w:val="single" w:sz="4" w:space="0" w:color="E0301E"/>
              <w:bottom w:val="single" w:sz="4" w:space="0" w:color="E0301E"/>
            </w:tcBorders>
            <w:shd w:val="clear" w:color="auto" w:fill="F5C9C7"/>
            <w:noWrap/>
            <w:vAlign w:val="center"/>
            <w:hideMark/>
          </w:tcPr>
          <w:p w14:paraId="710406B4"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37" w:type="dxa"/>
            <w:tcBorders>
              <w:top w:val="single" w:sz="4" w:space="0" w:color="E0301E"/>
              <w:bottom w:val="single" w:sz="4" w:space="0" w:color="E0301E"/>
            </w:tcBorders>
            <w:shd w:val="clear" w:color="auto" w:fill="F4CACA" w:themeFill="accent5" w:themeFillTint="33"/>
            <w:noWrap/>
            <w:vAlign w:val="center"/>
            <w:hideMark/>
          </w:tcPr>
          <w:p w14:paraId="4282110A"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38" w:type="dxa"/>
            <w:tcBorders>
              <w:top w:val="single" w:sz="4" w:space="0" w:color="E0301E"/>
              <w:bottom w:val="single" w:sz="4" w:space="0" w:color="E0301E"/>
            </w:tcBorders>
            <w:shd w:val="clear" w:color="auto" w:fill="F4CACA" w:themeFill="accent5" w:themeFillTint="33"/>
            <w:noWrap/>
            <w:vAlign w:val="center"/>
            <w:hideMark/>
          </w:tcPr>
          <w:p w14:paraId="12D48AF8"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37" w:type="dxa"/>
            <w:tcBorders>
              <w:top w:val="single" w:sz="4" w:space="0" w:color="E0301E"/>
              <w:bottom w:val="single" w:sz="4" w:space="0" w:color="E0301E"/>
            </w:tcBorders>
            <w:shd w:val="clear" w:color="auto" w:fill="FFFFFF" w:themeFill="background1"/>
            <w:noWrap/>
            <w:vAlign w:val="center"/>
            <w:hideMark/>
          </w:tcPr>
          <w:p w14:paraId="7EE419DE"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8" w:type="dxa"/>
            <w:tcBorders>
              <w:top w:val="single" w:sz="4" w:space="0" w:color="E0301E"/>
              <w:bottom w:val="single" w:sz="4" w:space="0" w:color="E0301E"/>
            </w:tcBorders>
            <w:shd w:val="clear" w:color="auto" w:fill="FFFFFF" w:themeFill="background1"/>
            <w:noWrap/>
            <w:vAlign w:val="center"/>
            <w:hideMark/>
          </w:tcPr>
          <w:p w14:paraId="0FC14852"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05003035"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7346207E"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noWrap/>
            <w:vAlign w:val="center"/>
            <w:hideMark/>
          </w:tcPr>
          <w:p w14:paraId="6459674D"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54DCD39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4CACA" w:themeFill="accent5" w:themeFillTint="33"/>
            <w:vAlign w:val="center"/>
          </w:tcPr>
          <w:p w14:paraId="36AECAF5"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RG</w:t>
            </w:r>
          </w:p>
        </w:tc>
      </w:tr>
      <w:tr w:rsidR="00037542" w:rsidRPr="00814ABA" w14:paraId="4954DD46" w14:textId="77777777" w:rsidTr="00037542">
        <w:trPr>
          <w:trHeight w:hRule="exact" w:val="397"/>
        </w:trPr>
        <w:tc>
          <w:tcPr>
            <w:tcW w:w="1581" w:type="dxa"/>
            <w:tcBorders>
              <w:top w:val="single" w:sz="4" w:space="0" w:color="E0301E"/>
              <w:bottom w:val="single" w:sz="4" w:space="0" w:color="E0301E"/>
            </w:tcBorders>
            <w:shd w:val="clear" w:color="auto" w:fill="auto"/>
            <w:noWrap/>
            <w:vAlign w:val="center"/>
            <w:hideMark/>
          </w:tcPr>
          <w:p w14:paraId="0893D2A5"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4 Carers</w:t>
            </w:r>
          </w:p>
        </w:tc>
        <w:tc>
          <w:tcPr>
            <w:tcW w:w="837" w:type="dxa"/>
            <w:tcBorders>
              <w:top w:val="single" w:sz="4" w:space="0" w:color="E0301E"/>
              <w:bottom w:val="single" w:sz="4" w:space="0" w:color="E0301E"/>
            </w:tcBorders>
            <w:shd w:val="clear" w:color="auto" w:fill="auto"/>
            <w:noWrap/>
            <w:vAlign w:val="center"/>
            <w:hideMark/>
          </w:tcPr>
          <w:p w14:paraId="2A04AE21"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1098E595"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38" w:type="dxa"/>
            <w:tcBorders>
              <w:top w:val="single" w:sz="4" w:space="0" w:color="E0301E"/>
              <w:bottom w:val="single" w:sz="4" w:space="0" w:color="E0301E"/>
            </w:tcBorders>
            <w:shd w:val="clear" w:color="auto" w:fill="FFFFFF" w:themeFill="background1"/>
            <w:noWrap/>
            <w:vAlign w:val="center"/>
            <w:hideMark/>
          </w:tcPr>
          <w:p w14:paraId="54AC4471"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6FCA8F8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8" w:type="dxa"/>
            <w:tcBorders>
              <w:top w:val="single" w:sz="4" w:space="0" w:color="E0301E"/>
              <w:bottom w:val="single" w:sz="4" w:space="0" w:color="E0301E"/>
            </w:tcBorders>
            <w:shd w:val="clear" w:color="auto" w:fill="FFFFFF" w:themeFill="background1"/>
            <w:noWrap/>
            <w:vAlign w:val="center"/>
            <w:hideMark/>
          </w:tcPr>
          <w:p w14:paraId="48F1C84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7E9DEEB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0BDCAE6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noWrap/>
            <w:vAlign w:val="center"/>
            <w:hideMark/>
          </w:tcPr>
          <w:p w14:paraId="2C1BE5C3"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454A27B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vAlign w:val="center"/>
          </w:tcPr>
          <w:p w14:paraId="48E30C1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706B70F2" w14:textId="77777777" w:rsidTr="00037542">
        <w:trPr>
          <w:trHeight w:hRule="exact" w:val="397"/>
        </w:trPr>
        <w:tc>
          <w:tcPr>
            <w:tcW w:w="1581" w:type="dxa"/>
            <w:tcBorders>
              <w:top w:val="single" w:sz="4" w:space="0" w:color="E0301E"/>
              <w:bottom w:val="single" w:sz="4" w:space="0" w:color="E0301E"/>
            </w:tcBorders>
            <w:shd w:val="clear" w:color="auto" w:fill="auto"/>
            <w:noWrap/>
            <w:vAlign w:val="center"/>
            <w:hideMark/>
          </w:tcPr>
          <w:p w14:paraId="57B9A25E"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5 Disability Support</w:t>
            </w:r>
          </w:p>
        </w:tc>
        <w:tc>
          <w:tcPr>
            <w:tcW w:w="837" w:type="dxa"/>
            <w:tcBorders>
              <w:top w:val="single" w:sz="4" w:space="0" w:color="E0301E"/>
              <w:bottom w:val="single" w:sz="4" w:space="0" w:color="E0301E"/>
            </w:tcBorders>
            <w:shd w:val="clear" w:color="auto" w:fill="auto"/>
            <w:noWrap/>
            <w:vAlign w:val="center"/>
            <w:hideMark/>
          </w:tcPr>
          <w:p w14:paraId="0796C51F"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3E14E8FD"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38" w:type="dxa"/>
            <w:tcBorders>
              <w:top w:val="single" w:sz="4" w:space="0" w:color="E0301E"/>
              <w:bottom w:val="single" w:sz="4" w:space="0" w:color="E0301E"/>
            </w:tcBorders>
            <w:shd w:val="clear" w:color="auto" w:fill="FFFFFF" w:themeFill="background1"/>
            <w:noWrap/>
            <w:vAlign w:val="center"/>
            <w:hideMark/>
          </w:tcPr>
          <w:p w14:paraId="433B0AA0"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4CACA" w:themeFill="accent5" w:themeFillTint="33"/>
            <w:noWrap/>
            <w:vAlign w:val="center"/>
            <w:hideMark/>
          </w:tcPr>
          <w:p w14:paraId="4B13785D"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RD</w:t>
            </w:r>
          </w:p>
        </w:tc>
        <w:tc>
          <w:tcPr>
            <w:tcW w:w="838" w:type="dxa"/>
            <w:tcBorders>
              <w:top w:val="single" w:sz="4" w:space="0" w:color="E0301E"/>
              <w:bottom w:val="single" w:sz="4" w:space="0" w:color="E0301E"/>
            </w:tcBorders>
            <w:shd w:val="clear" w:color="auto" w:fill="FFFFFF" w:themeFill="background1"/>
            <w:noWrap/>
            <w:vAlign w:val="center"/>
            <w:hideMark/>
          </w:tcPr>
          <w:p w14:paraId="44FD5244"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4549C34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39D687EA"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noWrap/>
            <w:vAlign w:val="center"/>
            <w:hideMark/>
          </w:tcPr>
          <w:p w14:paraId="7628EA28"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1AABEBAE"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vAlign w:val="center"/>
          </w:tcPr>
          <w:p w14:paraId="507D4275"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59CA9E0C" w14:textId="77777777" w:rsidTr="00037542">
        <w:trPr>
          <w:trHeight w:hRule="exact" w:val="397"/>
        </w:trPr>
        <w:tc>
          <w:tcPr>
            <w:tcW w:w="1581" w:type="dxa"/>
            <w:tcBorders>
              <w:top w:val="single" w:sz="4" w:space="0" w:color="E0301E"/>
              <w:bottom w:val="single" w:sz="4" w:space="0" w:color="E0301E"/>
            </w:tcBorders>
            <w:shd w:val="clear" w:color="auto" w:fill="auto"/>
            <w:noWrap/>
            <w:vAlign w:val="center"/>
            <w:hideMark/>
          </w:tcPr>
          <w:p w14:paraId="64D8EA13"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6 Pension Age</w:t>
            </w:r>
          </w:p>
        </w:tc>
        <w:tc>
          <w:tcPr>
            <w:tcW w:w="837" w:type="dxa"/>
            <w:tcBorders>
              <w:top w:val="single" w:sz="4" w:space="0" w:color="E0301E"/>
              <w:bottom w:val="single" w:sz="4" w:space="0" w:color="E0301E"/>
            </w:tcBorders>
            <w:shd w:val="clear" w:color="auto" w:fill="auto"/>
            <w:noWrap/>
            <w:vAlign w:val="center"/>
            <w:hideMark/>
          </w:tcPr>
          <w:p w14:paraId="7098C5F9"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2FEFD0F4"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38" w:type="dxa"/>
            <w:tcBorders>
              <w:top w:val="single" w:sz="4" w:space="0" w:color="E0301E"/>
              <w:bottom w:val="single" w:sz="4" w:space="0" w:color="E0301E"/>
            </w:tcBorders>
            <w:shd w:val="clear" w:color="auto" w:fill="FFFFFF" w:themeFill="background1"/>
            <w:noWrap/>
            <w:vAlign w:val="center"/>
            <w:hideMark/>
          </w:tcPr>
          <w:p w14:paraId="1E2FDEE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2D8741F3"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8" w:type="dxa"/>
            <w:tcBorders>
              <w:top w:val="single" w:sz="4" w:space="0" w:color="E0301E"/>
              <w:bottom w:val="single" w:sz="4" w:space="0" w:color="E0301E"/>
            </w:tcBorders>
            <w:shd w:val="clear" w:color="auto" w:fill="FFFFFF" w:themeFill="background1"/>
            <w:noWrap/>
            <w:vAlign w:val="center"/>
            <w:hideMark/>
          </w:tcPr>
          <w:p w14:paraId="38F9CEA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627AED62"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20F1B254"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noWrap/>
            <w:vAlign w:val="center"/>
            <w:hideMark/>
          </w:tcPr>
          <w:p w14:paraId="7352FF4D"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5219356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vAlign w:val="center"/>
          </w:tcPr>
          <w:p w14:paraId="2C231AD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22B22F98" w14:textId="77777777" w:rsidTr="003B663F">
        <w:trPr>
          <w:trHeight w:hRule="exact" w:val="397"/>
        </w:trPr>
        <w:tc>
          <w:tcPr>
            <w:tcW w:w="1581" w:type="dxa"/>
            <w:tcBorders>
              <w:top w:val="single" w:sz="4" w:space="0" w:color="E0301E"/>
              <w:bottom w:val="single" w:sz="4" w:space="0" w:color="E0301E"/>
            </w:tcBorders>
            <w:shd w:val="clear" w:color="auto" w:fill="auto"/>
            <w:noWrap/>
            <w:vAlign w:val="center"/>
            <w:hideMark/>
          </w:tcPr>
          <w:p w14:paraId="4D1E25AC"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7 Non IS Family</w:t>
            </w:r>
          </w:p>
        </w:tc>
        <w:tc>
          <w:tcPr>
            <w:tcW w:w="837" w:type="dxa"/>
            <w:tcBorders>
              <w:top w:val="single" w:sz="4" w:space="0" w:color="E0301E"/>
              <w:bottom w:val="single" w:sz="4" w:space="0" w:color="E0301E"/>
            </w:tcBorders>
            <w:shd w:val="clear" w:color="auto" w:fill="F5C9C7"/>
            <w:noWrap/>
            <w:vAlign w:val="center"/>
            <w:hideMark/>
          </w:tcPr>
          <w:p w14:paraId="1898263B"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37" w:type="dxa"/>
            <w:tcBorders>
              <w:top w:val="single" w:sz="4" w:space="0" w:color="E0301E"/>
              <w:bottom w:val="single" w:sz="4" w:space="0" w:color="E0301E"/>
            </w:tcBorders>
            <w:shd w:val="clear" w:color="auto" w:fill="F4CACA" w:themeFill="accent5" w:themeFillTint="33"/>
            <w:noWrap/>
            <w:vAlign w:val="center"/>
            <w:hideMark/>
          </w:tcPr>
          <w:p w14:paraId="1FFF6ABF"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38" w:type="dxa"/>
            <w:tcBorders>
              <w:top w:val="single" w:sz="4" w:space="0" w:color="E0301E"/>
              <w:bottom w:val="single" w:sz="4" w:space="0" w:color="E0301E"/>
            </w:tcBorders>
            <w:shd w:val="clear" w:color="auto" w:fill="F4CACA" w:themeFill="accent5" w:themeFillTint="33"/>
            <w:noWrap/>
            <w:vAlign w:val="center"/>
            <w:hideMark/>
          </w:tcPr>
          <w:p w14:paraId="24AED58A"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37" w:type="dxa"/>
            <w:tcBorders>
              <w:top w:val="single" w:sz="4" w:space="0" w:color="E0301E"/>
              <w:bottom w:val="single" w:sz="4" w:space="0" w:color="E0301E"/>
            </w:tcBorders>
            <w:shd w:val="clear" w:color="auto" w:fill="FFFFFF" w:themeFill="background1"/>
            <w:noWrap/>
            <w:vAlign w:val="center"/>
            <w:hideMark/>
          </w:tcPr>
          <w:p w14:paraId="6242D2C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8" w:type="dxa"/>
            <w:tcBorders>
              <w:top w:val="single" w:sz="4" w:space="0" w:color="E0301E"/>
              <w:bottom w:val="single" w:sz="4" w:space="0" w:color="E0301E"/>
            </w:tcBorders>
            <w:shd w:val="clear" w:color="auto" w:fill="auto"/>
            <w:noWrap/>
            <w:vAlign w:val="center"/>
            <w:hideMark/>
          </w:tcPr>
          <w:p w14:paraId="389D9069" w14:textId="77777777" w:rsidR="00037542" w:rsidRPr="00814ABA" w:rsidRDefault="003B663F" w:rsidP="00037542">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FFFFFF" w:themeFill="background1"/>
            <w:noWrap/>
            <w:vAlign w:val="center"/>
            <w:hideMark/>
          </w:tcPr>
          <w:p w14:paraId="0FB9DDB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687C9471"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4CACA" w:themeFill="accent5" w:themeFillTint="33"/>
            <w:noWrap/>
            <w:vAlign w:val="center"/>
            <w:hideMark/>
          </w:tcPr>
          <w:p w14:paraId="0E57ABC3"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RD</w:t>
            </w:r>
          </w:p>
        </w:tc>
        <w:tc>
          <w:tcPr>
            <w:tcW w:w="837" w:type="dxa"/>
            <w:tcBorders>
              <w:top w:val="single" w:sz="4" w:space="0" w:color="E0301E"/>
              <w:bottom w:val="single" w:sz="4" w:space="0" w:color="E0301E"/>
            </w:tcBorders>
            <w:shd w:val="clear" w:color="auto" w:fill="FFFFFF" w:themeFill="background1"/>
            <w:noWrap/>
            <w:vAlign w:val="center"/>
            <w:hideMark/>
          </w:tcPr>
          <w:p w14:paraId="54652337"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4CACA" w:themeFill="accent5" w:themeFillTint="33"/>
            <w:vAlign w:val="center"/>
          </w:tcPr>
          <w:p w14:paraId="4704EAD8"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RG</w:t>
            </w:r>
          </w:p>
        </w:tc>
      </w:tr>
      <w:tr w:rsidR="00037542" w:rsidRPr="00814ABA" w14:paraId="4A408823" w14:textId="77777777" w:rsidTr="00037542">
        <w:trPr>
          <w:trHeight w:hRule="exact" w:val="397"/>
        </w:trPr>
        <w:tc>
          <w:tcPr>
            <w:tcW w:w="1581" w:type="dxa"/>
            <w:tcBorders>
              <w:top w:val="single" w:sz="4" w:space="0" w:color="E0301E"/>
              <w:bottom w:val="single" w:sz="4" w:space="0" w:color="E0301E"/>
            </w:tcBorders>
            <w:shd w:val="clear" w:color="auto" w:fill="auto"/>
            <w:noWrap/>
            <w:vAlign w:val="center"/>
            <w:hideMark/>
          </w:tcPr>
          <w:p w14:paraId="28D8ACDE"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8 Non IS Carer</w:t>
            </w:r>
          </w:p>
        </w:tc>
        <w:tc>
          <w:tcPr>
            <w:tcW w:w="837" w:type="dxa"/>
            <w:tcBorders>
              <w:top w:val="single" w:sz="4" w:space="0" w:color="E0301E"/>
              <w:bottom w:val="single" w:sz="4" w:space="0" w:color="E0301E"/>
            </w:tcBorders>
            <w:shd w:val="clear" w:color="auto" w:fill="auto"/>
            <w:noWrap/>
            <w:vAlign w:val="center"/>
            <w:hideMark/>
          </w:tcPr>
          <w:p w14:paraId="1B6C818A"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2CB24A26"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38" w:type="dxa"/>
            <w:tcBorders>
              <w:top w:val="single" w:sz="4" w:space="0" w:color="E0301E"/>
              <w:bottom w:val="single" w:sz="4" w:space="0" w:color="E0301E"/>
            </w:tcBorders>
            <w:shd w:val="clear" w:color="auto" w:fill="FFFFFF" w:themeFill="background1"/>
            <w:noWrap/>
            <w:vAlign w:val="center"/>
            <w:hideMark/>
          </w:tcPr>
          <w:p w14:paraId="4ED3646D"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1EC09486"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8" w:type="dxa"/>
            <w:tcBorders>
              <w:top w:val="single" w:sz="4" w:space="0" w:color="E0301E"/>
              <w:bottom w:val="single" w:sz="4" w:space="0" w:color="E0301E"/>
            </w:tcBorders>
            <w:shd w:val="clear" w:color="auto" w:fill="F5C9C7"/>
            <w:noWrap/>
            <w:vAlign w:val="center"/>
            <w:hideMark/>
          </w:tcPr>
          <w:p w14:paraId="5D0E93DF"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w:t>
            </w:r>
          </w:p>
        </w:tc>
        <w:tc>
          <w:tcPr>
            <w:tcW w:w="837" w:type="dxa"/>
            <w:tcBorders>
              <w:top w:val="single" w:sz="4" w:space="0" w:color="E0301E"/>
              <w:bottom w:val="single" w:sz="4" w:space="0" w:color="E0301E"/>
            </w:tcBorders>
            <w:shd w:val="clear" w:color="auto" w:fill="FFFFFF" w:themeFill="background1"/>
            <w:noWrap/>
            <w:vAlign w:val="center"/>
            <w:hideMark/>
          </w:tcPr>
          <w:p w14:paraId="134BBEE3"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5BE6BB04"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noWrap/>
            <w:vAlign w:val="center"/>
            <w:hideMark/>
          </w:tcPr>
          <w:p w14:paraId="3DA17D44"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774F7A5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vAlign w:val="center"/>
          </w:tcPr>
          <w:p w14:paraId="3F160166"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47AB851E" w14:textId="77777777" w:rsidTr="003B663F">
        <w:trPr>
          <w:trHeight w:hRule="exact" w:val="397"/>
        </w:trPr>
        <w:tc>
          <w:tcPr>
            <w:tcW w:w="1581" w:type="dxa"/>
            <w:tcBorders>
              <w:top w:val="single" w:sz="4" w:space="0" w:color="E0301E"/>
              <w:bottom w:val="single" w:sz="4" w:space="0" w:color="E0301E"/>
            </w:tcBorders>
            <w:shd w:val="clear" w:color="auto" w:fill="auto"/>
            <w:noWrap/>
            <w:vAlign w:val="center"/>
            <w:hideMark/>
          </w:tcPr>
          <w:p w14:paraId="28B377A4"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9 Non IS Other</w:t>
            </w:r>
          </w:p>
        </w:tc>
        <w:tc>
          <w:tcPr>
            <w:tcW w:w="837" w:type="dxa"/>
            <w:tcBorders>
              <w:top w:val="single" w:sz="4" w:space="0" w:color="E0301E"/>
              <w:bottom w:val="single" w:sz="4" w:space="0" w:color="E0301E"/>
            </w:tcBorders>
            <w:shd w:val="clear" w:color="auto" w:fill="F4CACA" w:themeFill="accent5" w:themeFillTint="33"/>
            <w:noWrap/>
            <w:vAlign w:val="center"/>
            <w:hideMark/>
          </w:tcPr>
          <w:p w14:paraId="080188A7"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37" w:type="dxa"/>
            <w:tcBorders>
              <w:top w:val="single" w:sz="4" w:space="0" w:color="E0301E"/>
              <w:bottom w:val="single" w:sz="4" w:space="0" w:color="E0301E"/>
            </w:tcBorders>
            <w:shd w:val="clear" w:color="auto" w:fill="F4CACA" w:themeFill="accent5" w:themeFillTint="33"/>
            <w:noWrap/>
            <w:vAlign w:val="center"/>
            <w:hideMark/>
          </w:tcPr>
          <w:p w14:paraId="3DE41961"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38" w:type="dxa"/>
            <w:tcBorders>
              <w:top w:val="single" w:sz="4" w:space="0" w:color="E0301E"/>
              <w:bottom w:val="single" w:sz="4" w:space="0" w:color="E0301E"/>
            </w:tcBorders>
            <w:shd w:val="clear" w:color="auto" w:fill="F4CACA" w:themeFill="accent5" w:themeFillTint="33"/>
            <w:noWrap/>
            <w:vAlign w:val="center"/>
            <w:hideMark/>
          </w:tcPr>
          <w:p w14:paraId="72AE663E"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37" w:type="dxa"/>
            <w:tcBorders>
              <w:top w:val="single" w:sz="4" w:space="0" w:color="E0301E"/>
              <w:bottom w:val="single" w:sz="4" w:space="0" w:color="E0301E"/>
            </w:tcBorders>
            <w:shd w:val="clear" w:color="auto" w:fill="FFFFFF" w:themeFill="background1"/>
            <w:noWrap/>
            <w:vAlign w:val="center"/>
            <w:hideMark/>
          </w:tcPr>
          <w:p w14:paraId="279547B8"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8" w:type="dxa"/>
            <w:tcBorders>
              <w:top w:val="single" w:sz="4" w:space="0" w:color="E0301E"/>
              <w:bottom w:val="single" w:sz="4" w:space="0" w:color="E0301E"/>
            </w:tcBorders>
            <w:shd w:val="clear" w:color="auto" w:fill="auto"/>
            <w:noWrap/>
            <w:vAlign w:val="center"/>
            <w:hideMark/>
          </w:tcPr>
          <w:p w14:paraId="24ED269A" w14:textId="77777777" w:rsidR="00037542" w:rsidRPr="00814ABA" w:rsidRDefault="003B663F" w:rsidP="00037542">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FFFFFF" w:themeFill="background1"/>
            <w:noWrap/>
            <w:vAlign w:val="center"/>
            <w:hideMark/>
          </w:tcPr>
          <w:p w14:paraId="38EEA3B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360C2935"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noWrap/>
            <w:vAlign w:val="center"/>
            <w:hideMark/>
          </w:tcPr>
          <w:p w14:paraId="0B959BCA"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37" w:type="dxa"/>
            <w:tcBorders>
              <w:top w:val="single" w:sz="4" w:space="0" w:color="E0301E"/>
              <w:bottom w:val="single" w:sz="4" w:space="0" w:color="E0301E"/>
            </w:tcBorders>
            <w:shd w:val="clear" w:color="auto" w:fill="FFFFFF" w:themeFill="background1"/>
            <w:noWrap/>
            <w:vAlign w:val="center"/>
            <w:hideMark/>
          </w:tcPr>
          <w:p w14:paraId="05865D71"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single" w:sz="4" w:space="0" w:color="E0301E"/>
              <w:bottom w:val="single" w:sz="4" w:space="0" w:color="E0301E"/>
            </w:tcBorders>
            <w:shd w:val="clear" w:color="auto" w:fill="FFFFFF" w:themeFill="background1"/>
            <w:vAlign w:val="center"/>
          </w:tcPr>
          <w:p w14:paraId="0EBB6F5A"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23389A59" w14:textId="77777777" w:rsidTr="003B663F">
        <w:trPr>
          <w:trHeight w:hRule="exact" w:val="397"/>
        </w:trPr>
        <w:tc>
          <w:tcPr>
            <w:tcW w:w="1581" w:type="dxa"/>
            <w:tcBorders>
              <w:top w:val="single" w:sz="4" w:space="0" w:color="E0301E"/>
              <w:bottom w:val="single" w:sz="4" w:space="0" w:color="E0301E"/>
            </w:tcBorders>
            <w:shd w:val="clear" w:color="auto" w:fill="auto"/>
            <w:noWrap/>
            <w:vAlign w:val="center"/>
            <w:hideMark/>
          </w:tcPr>
          <w:p w14:paraId="1A1EBD4C"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10 Previous welfare recipients</w:t>
            </w:r>
          </w:p>
        </w:tc>
        <w:tc>
          <w:tcPr>
            <w:tcW w:w="837" w:type="dxa"/>
            <w:tcBorders>
              <w:top w:val="single" w:sz="4" w:space="0" w:color="E0301E"/>
              <w:bottom w:val="single" w:sz="4" w:space="0" w:color="E0301E"/>
            </w:tcBorders>
            <w:shd w:val="clear" w:color="auto" w:fill="auto"/>
            <w:noWrap/>
            <w:vAlign w:val="center"/>
          </w:tcPr>
          <w:p w14:paraId="2850C794" w14:textId="77777777" w:rsidR="00037542" w:rsidRPr="00814ABA" w:rsidRDefault="003B663F" w:rsidP="00037542">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3E0550BB" w14:textId="77777777" w:rsidR="00037542" w:rsidRPr="00814ABA" w:rsidRDefault="003B663F" w:rsidP="00037542">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8" w:type="dxa"/>
            <w:tcBorders>
              <w:top w:val="single" w:sz="4" w:space="0" w:color="E0301E"/>
              <w:bottom w:val="single" w:sz="4" w:space="0" w:color="E0301E"/>
            </w:tcBorders>
            <w:shd w:val="clear" w:color="auto" w:fill="auto"/>
            <w:noWrap/>
            <w:vAlign w:val="center"/>
          </w:tcPr>
          <w:p w14:paraId="6CF6F936" w14:textId="77777777" w:rsidR="00037542" w:rsidRPr="00814ABA" w:rsidRDefault="003B663F" w:rsidP="00037542">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59C3804E" w14:textId="77777777" w:rsidR="00037542" w:rsidRPr="00814ABA" w:rsidRDefault="003B663F" w:rsidP="00037542">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8" w:type="dxa"/>
            <w:tcBorders>
              <w:top w:val="single" w:sz="4" w:space="0" w:color="E0301E"/>
              <w:bottom w:val="single" w:sz="4" w:space="0" w:color="E0301E"/>
            </w:tcBorders>
            <w:shd w:val="clear" w:color="auto" w:fill="auto"/>
            <w:noWrap/>
            <w:vAlign w:val="center"/>
          </w:tcPr>
          <w:p w14:paraId="3C1E1B8F" w14:textId="77777777" w:rsidR="00037542" w:rsidRPr="00814ABA" w:rsidRDefault="003B663F" w:rsidP="00037542">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6A141403" w14:textId="77777777" w:rsidR="00037542" w:rsidRPr="00814ABA" w:rsidRDefault="003B663F" w:rsidP="00037542">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1F50B9D8" w14:textId="77777777" w:rsidR="00037542" w:rsidRPr="00814ABA" w:rsidRDefault="003B663F" w:rsidP="00037542">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907" w:type="dxa"/>
            <w:tcBorders>
              <w:top w:val="single" w:sz="4" w:space="0" w:color="E0301E"/>
              <w:bottom w:val="single" w:sz="4" w:space="0" w:color="E0301E"/>
            </w:tcBorders>
            <w:shd w:val="clear" w:color="auto" w:fill="auto"/>
            <w:noWrap/>
            <w:vAlign w:val="center"/>
          </w:tcPr>
          <w:p w14:paraId="76F64585" w14:textId="77777777" w:rsidR="00037542" w:rsidRPr="00814ABA" w:rsidRDefault="003B663F" w:rsidP="00037542">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60D5E60B" w14:textId="77777777" w:rsidR="00037542" w:rsidRPr="00814ABA" w:rsidRDefault="003B663F" w:rsidP="00037542">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907" w:type="dxa"/>
            <w:tcBorders>
              <w:top w:val="single" w:sz="4" w:space="0" w:color="E0301E"/>
              <w:bottom w:val="single" w:sz="4" w:space="0" w:color="E0301E"/>
            </w:tcBorders>
            <w:shd w:val="clear" w:color="auto" w:fill="auto"/>
            <w:vAlign w:val="center"/>
          </w:tcPr>
          <w:p w14:paraId="08E70F0A" w14:textId="77777777" w:rsidR="00037542" w:rsidRPr="00814ABA" w:rsidRDefault="003B663F" w:rsidP="00037542">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r>
      <w:tr w:rsidR="003B663F" w:rsidRPr="00814ABA" w14:paraId="7B4954E5" w14:textId="77777777" w:rsidTr="003B663F">
        <w:trPr>
          <w:trHeight w:hRule="exact" w:val="397"/>
        </w:trPr>
        <w:tc>
          <w:tcPr>
            <w:tcW w:w="1581" w:type="dxa"/>
            <w:tcBorders>
              <w:top w:val="single" w:sz="4" w:space="0" w:color="E0301E"/>
              <w:bottom w:val="single" w:sz="4" w:space="0" w:color="E0301E"/>
            </w:tcBorders>
            <w:shd w:val="clear" w:color="auto" w:fill="auto"/>
            <w:noWrap/>
            <w:vAlign w:val="center"/>
            <w:hideMark/>
          </w:tcPr>
          <w:p w14:paraId="4D860626" w14:textId="77777777" w:rsidR="003B663F" w:rsidRPr="00814ABA" w:rsidRDefault="003B663F" w:rsidP="003B663F">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11 Dead</w:t>
            </w:r>
          </w:p>
        </w:tc>
        <w:tc>
          <w:tcPr>
            <w:tcW w:w="837" w:type="dxa"/>
            <w:tcBorders>
              <w:top w:val="single" w:sz="4" w:space="0" w:color="E0301E"/>
              <w:bottom w:val="single" w:sz="4" w:space="0" w:color="E0301E"/>
            </w:tcBorders>
            <w:shd w:val="clear" w:color="auto" w:fill="auto"/>
            <w:noWrap/>
            <w:vAlign w:val="center"/>
          </w:tcPr>
          <w:p w14:paraId="29A6B407"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7B552A4F"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8" w:type="dxa"/>
            <w:tcBorders>
              <w:top w:val="single" w:sz="4" w:space="0" w:color="E0301E"/>
              <w:bottom w:val="single" w:sz="4" w:space="0" w:color="E0301E"/>
            </w:tcBorders>
            <w:shd w:val="clear" w:color="auto" w:fill="auto"/>
            <w:noWrap/>
            <w:vAlign w:val="center"/>
          </w:tcPr>
          <w:p w14:paraId="0D451AA1"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2F1B44C4"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8" w:type="dxa"/>
            <w:tcBorders>
              <w:top w:val="single" w:sz="4" w:space="0" w:color="E0301E"/>
              <w:bottom w:val="single" w:sz="4" w:space="0" w:color="E0301E"/>
            </w:tcBorders>
            <w:shd w:val="clear" w:color="auto" w:fill="auto"/>
            <w:noWrap/>
            <w:vAlign w:val="center"/>
          </w:tcPr>
          <w:p w14:paraId="4429E879"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16C8388F"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1A2E8E2F"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907" w:type="dxa"/>
            <w:tcBorders>
              <w:top w:val="single" w:sz="4" w:space="0" w:color="E0301E"/>
              <w:bottom w:val="single" w:sz="4" w:space="0" w:color="E0301E"/>
            </w:tcBorders>
            <w:shd w:val="clear" w:color="auto" w:fill="auto"/>
            <w:noWrap/>
            <w:vAlign w:val="center"/>
          </w:tcPr>
          <w:p w14:paraId="07115873"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3F7AF02B"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907" w:type="dxa"/>
            <w:tcBorders>
              <w:top w:val="single" w:sz="4" w:space="0" w:color="E0301E"/>
              <w:bottom w:val="single" w:sz="4" w:space="0" w:color="E0301E"/>
            </w:tcBorders>
            <w:shd w:val="clear" w:color="auto" w:fill="auto"/>
            <w:vAlign w:val="center"/>
          </w:tcPr>
          <w:p w14:paraId="6A5C8AE5"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r>
      <w:tr w:rsidR="003B663F" w:rsidRPr="00814ABA" w14:paraId="23E7376D" w14:textId="77777777" w:rsidTr="003B663F">
        <w:trPr>
          <w:trHeight w:hRule="exact" w:val="397"/>
        </w:trPr>
        <w:tc>
          <w:tcPr>
            <w:tcW w:w="1581" w:type="dxa"/>
            <w:tcBorders>
              <w:top w:val="single" w:sz="4" w:space="0" w:color="E0301E"/>
              <w:bottom w:val="single" w:sz="4" w:space="0" w:color="E0301E"/>
            </w:tcBorders>
            <w:shd w:val="clear" w:color="auto" w:fill="auto"/>
            <w:noWrap/>
            <w:vAlign w:val="center"/>
            <w:hideMark/>
          </w:tcPr>
          <w:p w14:paraId="474AD000" w14:textId="77777777" w:rsidR="003B663F" w:rsidRPr="00814ABA" w:rsidRDefault="003B663F" w:rsidP="003B663F">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12 Rest of Aust. population</w:t>
            </w:r>
          </w:p>
        </w:tc>
        <w:tc>
          <w:tcPr>
            <w:tcW w:w="837" w:type="dxa"/>
            <w:tcBorders>
              <w:top w:val="single" w:sz="4" w:space="0" w:color="E0301E"/>
              <w:bottom w:val="single" w:sz="4" w:space="0" w:color="E0301E"/>
            </w:tcBorders>
            <w:shd w:val="clear" w:color="auto" w:fill="auto"/>
            <w:noWrap/>
            <w:vAlign w:val="center"/>
          </w:tcPr>
          <w:p w14:paraId="1C1A5EC1"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3AB1C1EB"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8" w:type="dxa"/>
            <w:tcBorders>
              <w:top w:val="single" w:sz="4" w:space="0" w:color="E0301E"/>
              <w:bottom w:val="single" w:sz="4" w:space="0" w:color="E0301E"/>
            </w:tcBorders>
            <w:shd w:val="clear" w:color="auto" w:fill="auto"/>
            <w:noWrap/>
            <w:vAlign w:val="center"/>
          </w:tcPr>
          <w:p w14:paraId="506929DD"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6D77E6CA"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8" w:type="dxa"/>
            <w:tcBorders>
              <w:top w:val="single" w:sz="4" w:space="0" w:color="E0301E"/>
              <w:bottom w:val="single" w:sz="4" w:space="0" w:color="E0301E"/>
            </w:tcBorders>
            <w:shd w:val="clear" w:color="auto" w:fill="auto"/>
            <w:noWrap/>
            <w:vAlign w:val="center"/>
          </w:tcPr>
          <w:p w14:paraId="2BDDB59E"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738D26F7"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091CD742"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907" w:type="dxa"/>
            <w:tcBorders>
              <w:top w:val="single" w:sz="4" w:space="0" w:color="E0301E"/>
              <w:bottom w:val="single" w:sz="4" w:space="0" w:color="E0301E"/>
            </w:tcBorders>
            <w:shd w:val="clear" w:color="auto" w:fill="auto"/>
            <w:noWrap/>
            <w:vAlign w:val="center"/>
          </w:tcPr>
          <w:p w14:paraId="327AA677"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37" w:type="dxa"/>
            <w:tcBorders>
              <w:top w:val="single" w:sz="4" w:space="0" w:color="E0301E"/>
              <w:bottom w:val="single" w:sz="4" w:space="0" w:color="E0301E"/>
            </w:tcBorders>
            <w:shd w:val="clear" w:color="auto" w:fill="auto"/>
            <w:noWrap/>
            <w:vAlign w:val="center"/>
          </w:tcPr>
          <w:p w14:paraId="2650F282"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907" w:type="dxa"/>
            <w:tcBorders>
              <w:top w:val="single" w:sz="4" w:space="0" w:color="E0301E"/>
              <w:bottom w:val="single" w:sz="4" w:space="0" w:color="E0301E"/>
            </w:tcBorders>
            <w:shd w:val="clear" w:color="auto" w:fill="auto"/>
            <w:vAlign w:val="center"/>
          </w:tcPr>
          <w:p w14:paraId="0A741F73"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r>
    </w:tbl>
    <w:p w14:paraId="7846105C" w14:textId="77777777" w:rsidR="00037542" w:rsidRPr="00814ABA" w:rsidRDefault="00037542" w:rsidP="00037542">
      <w:pPr>
        <w:pStyle w:val="Sources"/>
      </w:pPr>
      <w:r w:rsidRPr="00814ABA">
        <w:t>Notes:</w:t>
      </w:r>
    </w:p>
    <w:p w14:paraId="32EE895E" w14:textId="77777777" w:rsidR="00037542" w:rsidRPr="00426796" w:rsidRDefault="00037542" w:rsidP="00037542">
      <w:pPr>
        <w:pStyle w:val="Sources"/>
        <w:numPr>
          <w:ilvl w:val="0"/>
          <w:numId w:val="49"/>
        </w:numPr>
      </w:pPr>
      <w:r w:rsidRPr="00426796">
        <w:t>RG indicates risk based assumptions</w:t>
      </w:r>
      <w:r w:rsidR="003B663F">
        <w:t xml:space="preserve"> </w:t>
      </w:r>
      <w:r w:rsidR="003B663F" w:rsidRPr="00426796">
        <w:t>are used</w:t>
      </w:r>
      <w:r w:rsidRPr="00426796">
        <w:t xml:space="preserve">, fitted using a generalised linear model. </w:t>
      </w:r>
    </w:p>
    <w:p w14:paraId="04189D04" w14:textId="77777777" w:rsidR="00037542" w:rsidRPr="00426796" w:rsidRDefault="00037542" w:rsidP="00037542">
      <w:pPr>
        <w:pStyle w:val="Sources"/>
        <w:numPr>
          <w:ilvl w:val="0"/>
          <w:numId w:val="49"/>
        </w:numPr>
      </w:pPr>
      <w:r w:rsidRPr="00426796">
        <w:t>RD indicates risk based assumptions</w:t>
      </w:r>
      <w:r w:rsidR="003B663F">
        <w:t xml:space="preserve"> </w:t>
      </w:r>
      <w:r w:rsidR="003B663F" w:rsidRPr="00426796">
        <w:t>are used</w:t>
      </w:r>
      <w:r w:rsidRPr="00426796">
        <w:t xml:space="preserve">, fitted using a decision tree. </w:t>
      </w:r>
    </w:p>
    <w:p w14:paraId="3F4C48F7" w14:textId="77777777" w:rsidR="00037542" w:rsidRPr="00426796" w:rsidRDefault="00037542" w:rsidP="00037542">
      <w:pPr>
        <w:pStyle w:val="Sources"/>
        <w:numPr>
          <w:ilvl w:val="0"/>
          <w:numId w:val="49"/>
        </w:numPr>
      </w:pPr>
      <w:r w:rsidRPr="00426796">
        <w:t>F indicates Foundation assumptions have been used</w:t>
      </w:r>
    </w:p>
    <w:p w14:paraId="6C981381" w14:textId="77777777" w:rsidR="00037542" w:rsidRDefault="00037542" w:rsidP="00037542">
      <w:pPr>
        <w:kinsoku/>
        <w:overflowPunct/>
        <w:autoSpaceDE/>
        <w:autoSpaceDN/>
        <w:adjustRightInd/>
        <w:snapToGrid/>
      </w:pPr>
      <w:r>
        <w:br w:type="page"/>
      </w:r>
    </w:p>
    <w:p w14:paraId="21312BA9" w14:textId="77777777" w:rsidR="00037542" w:rsidRPr="00814ABA" w:rsidRDefault="00037542" w:rsidP="00037542">
      <w:pPr>
        <w:pStyle w:val="PwCNormal"/>
        <w:numPr>
          <w:ilvl w:val="0"/>
          <w:numId w:val="0"/>
        </w:numPr>
      </w:pPr>
      <w:r w:rsidRPr="00814ABA">
        <w:lastRenderedPageBreak/>
        <w:t>Through applying these approaches the factors considered for utilisation of the income support and other payment categories are as follows. Where foundation assumptions have been used for some classes and risk based assumptions for others, the table shows the factors in the risk based assumption set.</w:t>
      </w:r>
    </w:p>
    <w:p w14:paraId="7664A62B" w14:textId="77777777" w:rsidR="00037542" w:rsidRPr="00814ABA" w:rsidRDefault="00037542" w:rsidP="00037542">
      <w:pPr>
        <w:pStyle w:val="Caption"/>
      </w:pPr>
      <w:r w:rsidRPr="00814ABA">
        <w:t xml:space="preserve">Table </w:t>
      </w:r>
      <w:fldSimple w:instr=" SEQ Table \* ARABIC ">
        <w:r w:rsidR="007A42DF">
          <w:rPr>
            <w:noProof/>
          </w:rPr>
          <w:t>71</w:t>
        </w:r>
      </w:fldSimple>
      <w:r w:rsidRPr="00814ABA">
        <w:t>: Factors considered in payment utilisation assumptions – income support payments</w:t>
      </w:r>
    </w:p>
    <w:tbl>
      <w:tblPr>
        <w:tblW w:w="10040" w:type="dxa"/>
        <w:tblInd w:w="57" w:type="dxa"/>
        <w:tblBorders>
          <w:top w:val="single" w:sz="4" w:space="0" w:color="E0301E"/>
          <w:bottom w:val="single" w:sz="4" w:space="0" w:color="E0301E"/>
          <w:insideH w:val="single" w:sz="4" w:space="0" w:color="E0301E"/>
        </w:tblBorders>
        <w:tblLayout w:type="fixed"/>
        <w:tblCellMar>
          <w:top w:w="57" w:type="dxa"/>
          <w:left w:w="57" w:type="dxa"/>
        </w:tblCellMar>
        <w:tblLook w:val="0480" w:firstRow="0" w:lastRow="0" w:firstColumn="1" w:lastColumn="0" w:noHBand="0" w:noVBand="1"/>
        <w:tblCaption w:val="Factors considered in payment utilisation assumptions – income support payments"/>
        <w:tblDescription w:val="This table describes the factors that were considered in selecting payment utilisation assumptions for the Income Support payment types. For reference, the Income Support Payment Types are income support studying, income support working, income support parents, income support carers, income support disability, income support aged and income support dependant.&#10;&#10;Age, gender, class and previous class were the factors considered for the utilization assumptions across all Income Support payment categories except category G.&#10;&#10;For Category G utilization assumptions, only class and payment type were considered.&#10;"/>
      </w:tblPr>
      <w:tblGrid>
        <w:gridCol w:w="1881"/>
        <w:gridCol w:w="1165"/>
        <w:gridCol w:w="1166"/>
        <w:gridCol w:w="1165"/>
        <w:gridCol w:w="1166"/>
        <w:gridCol w:w="1165"/>
        <w:gridCol w:w="1166"/>
        <w:gridCol w:w="1166"/>
      </w:tblGrid>
      <w:tr w:rsidR="00037542" w:rsidRPr="00814ABA" w14:paraId="2DFAF4CD" w14:textId="77777777" w:rsidTr="00037542">
        <w:trPr>
          <w:trHeight w:val="636"/>
          <w:tblHeader/>
        </w:trPr>
        <w:tc>
          <w:tcPr>
            <w:tcW w:w="1881" w:type="dxa"/>
            <w:tcBorders>
              <w:bottom w:val="nil"/>
            </w:tcBorders>
            <w:shd w:val="clear" w:color="auto" w:fill="E0301E"/>
            <w:vAlign w:val="center"/>
            <w:hideMark/>
          </w:tcPr>
          <w:p w14:paraId="0E47AD2B" w14:textId="77777777" w:rsidR="00037542" w:rsidRPr="00814ABA" w:rsidRDefault="00037542" w:rsidP="00037542">
            <w:pPr>
              <w:pStyle w:val="TableColumnHeadingSmall"/>
              <w:rPr>
                <w:snapToGrid/>
                <w:lang w:eastAsia="en-AU"/>
              </w:rPr>
            </w:pPr>
            <w:r w:rsidRPr="00814ABA">
              <w:rPr>
                <w:snapToGrid/>
                <w:lang w:eastAsia="en-AU"/>
              </w:rPr>
              <w:t>Individual Characteristics Used</w:t>
            </w:r>
          </w:p>
        </w:tc>
        <w:tc>
          <w:tcPr>
            <w:tcW w:w="1165" w:type="dxa"/>
            <w:tcBorders>
              <w:bottom w:val="nil"/>
            </w:tcBorders>
            <w:shd w:val="clear" w:color="auto" w:fill="E0301E"/>
            <w:hideMark/>
          </w:tcPr>
          <w:p w14:paraId="6ECB13AC" w14:textId="77777777" w:rsidR="00037542" w:rsidRPr="00814ABA" w:rsidRDefault="00037542" w:rsidP="00037542">
            <w:pPr>
              <w:pStyle w:val="TableColumnHeadingSmall"/>
              <w:jc w:val="center"/>
              <w:rPr>
                <w:snapToGrid/>
                <w:lang w:eastAsia="en-AU"/>
              </w:rPr>
            </w:pPr>
            <w:r w:rsidRPr="00814ABA">
              <w:rPr>
                <w:snapToGrid/>
                <w:lang w:eastAsia="en-AU"/>
              </w:rPr>
              <w:t>A</w:t>
            </w:r>
          </w:p>
          <w:p w14:paraId="7FBEB181" w14:textId="77777777" w:rsidR="00037542" w:rsidRDefault="00037542" w:rsidP="00037542">
            <w:pPr>
              <w:pStyle w:val="TableColumnHeadingSmall"/>
              <w:jc w:val="center"/>
              <w:rPr>
                <w:snapToGrid/>
                <w:lang w:eastAsia="en-AU"/>
              </w:rPr>
            </w:pPr>
            <w:r w:rsidRPr="00814ABA">
              <w:rPr>
                <w:snapToGrid/>
                <w:lang w:eastAsia="en-AU"/>
              </w:rPr>
              <w:t>IS</w:t>
            </w:r>
          </w:p>
          <w:p w14:paraId="51ACA42A" w14:textId="77777777" w:rsidR="00037542" w:rsidRPr="00814ABA" w:rsidRDefault="00037542" w:rsidP="00037542">
            <w:pPr>
              <w:pStyle w:val="TableColumnHeadingSmall"/>
              <w:jc w:val="center"/>
              <w:rPr>
                <w:snapToGrid/>
                <w:lang w:eastAsia="en-AU"/>
              </w:rPr>
            </w:pPr>
            <w:r w:rsidRPr="00814ABA">
              <w:rPr>
                <w:snapToGrid/>
                <w:lang w:eastAsia="en-AU"/>
              </w:rPr>
              <w:t>Studying</w:t>
            </w:r>
          </w:p>
        </w:tc>
        <w:tc>
          <w:tcPr>
            <w:tcW w:w="1166" w:type="dxa"/>
            <w:tcBorders>
              <w:bottom w:val="nil"/>
            </w:tcBorders>
            <w:shd w:val="clear" w:color="auto" w:fill="E0301E"/>
            <w:hideMark/>
          </w:tcPr>
          <w:p w14:paraId="6722B44D" w14:textId="77777777" w:rsidR="00037542" w:rsidRPr="00814ABA" w:rsidRDefault="00037542" w:rsidP="00037542">
            <w:pPr>
              <w:pStyle w:val="TableColumnHeadingSmall"/>
              <w:jc w:val="center"/>
              <w:rPr>
                <w:snapToGrid/>
                <w:lang w:eastAsia="en-AU"/>
              </w:rPr>
            </w:pPr>
            <w:r w:rsidRPr="00814ABA">
              <w:rPr>
                <w:snapToGrid/>
                <w:lang w:eastAsia="en-AU"/>
              </w:rPr>
              <w:t>B</w:t>
            </w:r>
          </w:p>
          <w:p w14:paraId="396BCE08" w14:textId="77777777" w:rsidR="00037542" w:rsidRPr="00814ABA" w:rsidRDefault="00037542" w:rsidP="00037542">
            <w:pPr>
              <w:pStyle w:val="TableColumnHeadingSmall"/>
              <w:jc w:val="center"/>
              <w:rPr>
                <w:snapToGrid/>
                <w:lang w:eastAsia="en-AU"/>
              </w:rPr>
            </w:pPr>
            <w:r w:rsidRPr="00814ABA">
              <w:rPr>
                <w:snapToGrid/>
                <w:lang w:eastAsia="en-AU"/>
              </w:rPr>
              <w:t>IS Working Age</w:t>
            </w:r>
          </w:p>
        </w:tc>
        <w:tc>
          <w:tcPr>
            <w:tcW w:w="1165" w:type="dxa"/>
            <w:tcBorders>
              <w:bottom w:val="nil"/>
            </w:tcBorders>
            <w:shd w:val="clear" w:color="auto" w:fill="E0301E"/>
            <w:hideMark/>
          </w:tcPr>
          <w:p w14:paraId="77CBDD7F" w14:textId="77777777" w:rsidR="00037542" w:rsidRPr="00814ABA" w:rsidRDefault="00037542" w:rsidP="00037542">
            <w:pPr>
              <w:pStyle w:val="TableColumnHeadingSmall"/>
              <w:jc w:val="center"/>
              <w:rPr>
                <w:snapToGrid/>
                <w:lang w:eastAsia="en-AU"/>
              </w:rPr>
            </w:pPr>
            <w:r w:rsidRPr="00814ABA">
              <w:rPr>
                <w:snapToGrid/>
                <w:lang w:eastAsia="en-AU"/>
              </w:rPr>
              <w:t>C</w:t>
            </w:r>
          </w:p>
          <w:p w14:paraId="62FD541C" w14:textId="77777777" w:rsidR="00037542" w:rsidRDefault="00037542" w:rsidP="00037542">
            <w:pPr>
              <w:pStyle w:val="TableColumnHeadingSmall"/>
              <w:jc w:val="center"/>
              <w:rPr>
                <w:snapToGrid/>
                <w:lang w:eastAsia="en-AU"/>
              </w:rPr>
            </w:pPr>
            <w:r w:rsidRPr="00814ABA">
              <w:rPr>
                <w:snapToGrid/>
                <w:lang w:eastAsia="en-AU"/>
              </w:rPr>
              <w:t>IS</w:t>
            </w:r>
          </w:p>
          <w:p w14:paraId="2B90A37E" w14:textId="77777777" w:rsidR="00037542" w:rsidRPr="00814ABA" w:rsidRDefault="00037542" w:rsidP="00037542">
            <w:pPr>
              <w:pStyle w:val="TableColumnHeadingSmall"/>
              <w:jc w:val="center"/>
              <w:rPr>
                <w:snapToGrid/>
                <w:lang w:eastAsia="en-AU"/>
              </w:rPr>
            </w:pPr>
            <w:r w:rsidRPr="00814ABA">
              <w:rPr>
                <w:snapToGrid/>
                <w:lang w:eastAsia="en-AU"/>
              </w:rPr>
              <w:t>Parents</w:t>
            </w:r>
          </w:p>
        </w:tc>
        <w:tc>
          <w:tcPr>
            <w:tcW w:w="1166" w:type="dxa"/>
            <w:tcBorders>
              <w:bottom w:val="nil"/>
            </w:tcBorders>
            <w:shd w:val="clear" w:color="auto" w:fill="E0301E"/>
            <w:hideMark/>
          </w:tcPr>
          <w:p w14:paraId="66DCF323" w14:textId="77777777" w:rsidR="00037542" w:rsidRPr="00814ABA" w:rsidRDefault="00037542" w:rsidP="00037542">
            <w:pPr>
              <w:pStyle w:val="TableColumnHeadingSmall"/>
              <w:jc w:val="center"/>
              <w:rPr>
                <w:snapToGrid/>
                <w:lang w:eastAsia="en-AU"/>
              </w:rPr>
            </w:pPr>
            <w:r w:rsidRPr="00814ABA">
              <w:rPr>
                <w:snapToGrid/>
                <w:lang w:eastAsia="en-AU"/>
              </w:rPr>
              <w:t>D</w:t>
            </w:r>
          </w:p>
          <w:p w14:paraId="456861CD" w14:textId="77777777" w:rsidR="00037542" w:rsidRDefault="00037542" w:rsidP="00037542">
            <w:pPr>
              <w:pStyle w:val="TableColumnHeadingSmall"/>
              <w:jc w:val="center"/>
              <w:rPr>
                <w:snapToGrid/>
                <w:lang w:eastAsia="en-AU"/>
              </w:rPr>
            </w:pPr>
            <w:r w:rsidRPr="00814ABA">
              <w:rPr>
                <w:snapToGrid/>
                <w:lang w:eastAsia="en-AU"/>
              </w:rPr>
              <w:t>IS</w:t>
            </w:r>
          </w:p>
          <w:p w14:paraId="507CD861" w14:textId="77777777" w:rsidR="00037542" w:rsidRPr="00814ABA" w:rsidRDefault="00037542" w:rsidP="00037542">
            <w:pPr>
              <w:pStyle w:val="TableColumnHeadingSmall"/>
              <w:jc w:val="center"/>
              <w:rPr>
                <w:snapToGrid/>
                <w:lang w:eastAsia="en-AU"/>
              </w:rPr>
            </w:pPr>
            <w:r w:rsidRPr="00814ABA">
              <w:rPr>
                <w:snapToGrid/>
                <w:lang w:eastAsia="en-AU"/>
              </w:rPr>
              <w:t>Carers</w:t>
            </w:r>
          </w:p>
        </w:tc>
        <w:tc>
          <w:tcPr>
            <w:tcW w:w="1165" w:type="dxa"/>
            <w:tcBorders>
              <w:bottom w:val="nil"/>
            </w:tcBorders>
            <w:shd w:val="clear" w:color="auto" w:fill="E0301E"/>
            <w:hideMark/>
          </w:tcPr>
          <w:p w14:paraId="6085D216" w14:textId="77777777" w:rsidR="00037542" w:rsidRPr="00814ABA" w:rsidRDefault="00037542" w:rsidP="00037542">
            <w:pPr>
              <w:pStyle w:val="TableColumnHeadingSmall"/>
              <w:jc w:val="center"/>
              <w:rPr>
                <w:snapToGrid/>
                <w:lang w:eastAsia="en-AU"/>
              </w:rPr>
            </w:pPr>
            <w:r w:rsidRPr="00814ABA">
              <w:rPr>
                <w:snapToGrid/>
                <w:lang w:eastAsia="en-AU"/>
              </w:rPr>
              <w:t>E</w:t>
            </w:r>
          </w:p>
          <w:p w14:paraId="08D96F76" w14:textId="77777777" w:rsidR="00037542" w:rsidRDefault="00037542" w:rsidP="00037542">
            <w:pPr>
              <w:pStyle w:val="TableColumnHeadingSmall"/>
              <w:jc w:val="center"/>
              <w:rPr>
                <w:snapToGrid/>
                <w:lang w:eastAsia="en-AU"/>
              </w:rPr>
            </w:pPr>
            <w:r w:rsidRPr="00814ABA">
              <w:rPr>
                <w:snapToGrid/>
                <w:lang w:eastAsia="en-AU"/>
              </w:rPr>
              <w:t>IS</w:t>
            </w:r>
          </w:p>
          <w:p w14:paraId="1895B0B3" w14:textId="77777777" w:rsidR="00037542" w:rsidRPr="00814ABA" w:rsidRDefault="00037542" w:rsidP="00037542">
            <w:pPr>
              <w:pStyle w:val="TableColumnHeadingSmall"/>
              <w:jc w:val="center"/>
              <w:rPr>
                <w:snapToGrid/>
                <w:lang w:eastAsia="en-AU"/>
              </w:rPr>
            </w:pPr>
            <w:r w:rsidRPr="00814ABA">
              <w:rPr>
                <w:snapToGrid/>
                <w:lang w:eastAsia="en-AU"/>
              </w:rPr>
              <w:t>Disability</w:t>
            </w:r>
          </w:p>
        </w:tc>
        <w:tc>
          <w:tcPr>
            <w:tcW w:w="1166" w:type="dxa"/>
            <w:tcBorders>
              <w:bottom w:val="nil"/>
            </w:tcBorders>
            <w:shd w:val="clear" w:color="auto" w:fill="E0301E"/>
            <w:hideMark/>
          </w:tcPr>
          <w:p w14:paraId="41A88AA9" w14:textId="77777777" w:rsidR="00037542" w:rsidRPr="00814ABA" w:rsidRDefault="00037542" w:rsidP="00037542">
            <w:pPr>
              <w:pStyle w:val="TableColumnHeadingSmall"/>
              <w:jc w:val="center"/>
              <w:rPr>
                <w:snapToGrid/>
                <w:lang w:eastAsia="en-AU"/>
              </w:rPr>
            </w:pPr>
            <w:r w:rsidRPr="00814ABA">
              <w:rPr>
                <w:snapToGrid/>
                <w:lang w:eastAsia="en-AU"/>
              </w:rPr>
              <w:t>F</w:t>
            </w:r>
          </w:p>
          <w:p w14:paraId="79DC41BE" w14:textId="77777777" w:rsidR="00037542" w:rsidRDefault="00037542" w:rsidP="00037542">
            <w:pPr>
              <w:pStyle w:val="TableColumnHeadingSmall"/>
              <w:jc w:val="center"/>
              <w:rPr>
                <w:snapToGrid/>
                <w:lang w:eastAsia="en-AU"/>
              </w:rPr>
            </w:pPr>
            <w:r w:rsidRPr="00814ABA">
              <w:rPr>
                <w:snapToGrid/>
                <w:lang w:eastAsia="en-AU"/>
              </w:rPr>
              <w:t>IS</w:t>
            </w:r>
          </w:p>
          <w:p w14:paraId="11D319C0" w14:textId="77777777" w:rsidR="00037542" w:rsidRPr="00814ABA" w:rsidRDefault="00037542" w:rsidP="00037542">
            <w:pPr>
              <w:pStyle w:val="TableColumnHeadingSmall"/>
              <w:jc w:val="center"/>
              <w:rPr>
                <w:snapToGrid/>
                <w:lang w:eastAsia="en-AU"/>
              </w:rPr>
            </w:pPr>
            <w:r w:rsidRPr="00814ABA">
              <w:rPr>
                <w:snapToGrid/>
                <w:lang w:eastAsia="en-AU"/>
              </w:rPr>
              <w:t>Aged</w:t>
            </w:r>
          </w:p>
        </w:tc>
        <w:tc>
          <w:tcPr>
            <w:tcW w:w="1166" w:type="dxa"/>
            <w:tcBorders>
              <w:bottom w:val="nil"/>
            </w:tcBorders>
            <w:shd w:val="clear" w:color="auto" w:fill="E0301E"/>
            <w:hideMark/>
          </w:tcPr>
          <w:p w14:paraId="6A8F9AD0" w14:textId="77777777" w:rsidR="00037542" w:rsidRPr="00814ABA" w:rsidRDefault="00037542" w:rsidP="00037542">
            <w:pPr>
              <w:pStyle w:val="TableColumnHeadingSmall"/>
              <w:jc w:val="center"/>
              <w:rPr>
                <w:snapToGrid/>
                <w:lang w:eastAsia="en-AU"/>
              </w:rPr>
            </w:pPr>
            <w:r w:rsidRPr="00814ABA">
              <w:rPr>
                <w:snapToGrid/>
                <w:lang w:eastAsia="en-AU"/>
              </w:rPr>
              <w:t>G</w:t>
            </w:r>
          </w:p>
          <w:p w14:paraId="22330304" w14:textId="77777777" w:rsidR="00037542" w:rsidRDefault="00037542" w:rsidP="00037542">
            <w:pPr>
              <w:pStyle w:val="TableColumnHeadingSmall"/>
              <w:jc w:val="center"/>
              <w:rPr>
                <w:snapToGrid/>
                <w:lang w:eastAsia="en-AU"/>
              </w:rPr>
            </w:pPr>
            <w:r w:rsidRPr="00814ABA">
              <w:rPr>
                <w:snapToGrid/>
                <w:lang w:eastAsia="en-AU"/>
              </w:rPr>
              <w:t>IS</w:t>
            </w:r>
          </w:p>
          <w:p w14:paraId="1A07880C" w14:textId="77777777" w:rsidR="00037542" w:rsidRPr="00814ABA" w:rsidRDefault="00037542" w:rsidP="00037542">
            <w:pPr>
              <w:pStyle w:val="TableColumnHeadingSmall"/>
              <w:jc w:val="center"/>
              <w:rPr>
                <w:snapToGrid/>
                <w:lang w:eastAsia="en-AU"/>
              </w:rPr>
            </w:pPr>
            <w:r w:rsidRPr="00814ABA">
              <w:rPr>
                <w:snapToGrid/>
                <w:lang w:eastAsia="en-AU"/>
              </w:rPr>
              <w:t>Dependent</w:t>
            </w:r>
          </w:p>
        </w:tc>
      </w:tr>
      <w:tr w:rsidR="00037542" w:rsidRPr="00814ABA" w14:paraId="5383C66A" w14:textId="77777777" w:rsidTr="00037542">
        <w:trPr>
          <w:trHeight w:hRule="exact" w:val="312"/>
        </w:trPr>
        <w:tc>
          <w:tcPr>
            <w:tcW w:w="1881" w:type="dxa"/>
            <w:tcBorders>
              <w:top w:val="nil"/>
            </w:tcBorders>
            <w:shd w:val="clear" w:color="auto" w:fill="auto"/>
            <w:vAlign w:val="center"/>
            <w:hideMark/>
          </w:tcPr>
          <w:p w14:paraId="0F8E180B" w14:textId="77777777" w:rsidR="00037542" w:rsidRPr="00814ABA" w:rsidRDefault="00037542" w:rsidP="00037542">
            <w:pPr>
              <w:keepNext/>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Age</w:t>
            </w:r>
          </w:p>
        </w:tc>
        <w:tc>
          <w:tcPr>
            <w:tcW w:w="1165" w:type="dxa"/>
            <w:tcBorders>
              <w:top w:val="nil"/>
            </w:tcBorders>
            <w:shd w:val="clear" w:color="auto" w:fill="auto"/>
            <w:noWrap/>
            <w:vAlign w:val="center"/>
            <w:hideMark/>
          </w:tcPr>
          <w:p w14:paraId="593D20FB"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tcBorders>
              <w:top w:val="nil"/>
            </w:tcBorders>
            <w:shd w:val="clear" w:color="auto" w:fill="auto"/>
            <w:noWrap/>
            <w:vAlign w:val="center"/>
            <w:hideMark/>
          </w:tcPr>
          <w:p w14:paraId="192725DC"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5" w:type="dxa"/>
            <w:tcBorders>
              <w:top w:val="nil"/>
            </w:tcBorders>
            <w:shd w:val="clear" w:color="auto" w:fill="auto"/>
            <w:noWrap/>
            <w:vAlign w:val="center"/>
            <w:hideMark/>
          </w:tcPr>
          <w:p w14:paraId="0DE43940"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tcBorders>
              <w:top w:val="nil"/>
            </w:tcBorders>
            <w:shd w:val="clear" w:color="auto" w:fill="auto"/>
            <w:noWrap/>
            <w:vAlign w:val="center"/>
            <w:hideMark/>
          </w:tcPr>
          <w:p w14:paraId="0774F4F1"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5" w:type="dxa"/>
            <w:tcBorders>
              <w:top w:val="nil"/>
            </w:tcBorders>
            <w:shd w:val="clear" w:color="auto" w:fill="auto"/>
            <w:noWrap/>
            <w:vAlign w:val="center"/>
            <w:hideMark/>
          </w:tcPr>
          <w:p w14:paraId="2CE566DE"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tcBorders>
              <w:top w:val="nil"/>
            </w:tcBorders>
            <w:shd w:val="clear" w:color="auto" w:fill="auto"/>
            <w:noWrap/>
            <w:vAlign w:val="center"/>
            <w:hideMark/>
          </w:tcPr>
          <w:p w14:paraId="77A817A8"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tcBorders>
              <w:top w:val="nil"/>
            </w:tcBorders>
            <w:shd w:val="clear" w:color="auto" w:fill="auto"/>
            <w:noWrap/>
            <w:vAlign w:val="center"/>
            <w:hideMark/>
          </w:tcPr>
          <w:p w14:paraId="06A06D0A"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p>
        </w:tc>
      </w:tr>
      <w:tr w:rsidR="00037542" w:rsidRPr="00814ABA" w14:paraId="6CBAE6E6" w14:textId="77777777" w:rsidTr="00037542">
        <w:trPr>
          <w:trHeight w:hRule="exact" w:val="312"/>
        </w:trPr>
        <w:tc>
          <w:tcPr>
            <w:tcW w:w="1881" w:type="dxa"/>
            <w:shd w:val="clear" w:color="auto" w:fill="auto"/>
            <w:vAlign w:val="center"/>
            <w:hideMark/>
          </w:tcPr>
          <w:p w14:paraId="015FA9AD"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Gender</w:t>
            </w:r>
          </w:p>
        </w:tc>
        <w:tc>
          <w:tcPr>
            <w:tcW w:w="1165" w:type="dxa"/>
            <w:shd w:val="clear" w:color="auto" w:fill="auto"/>
            <w:noWrap/>
            <w:vAlign w:val="center"/>
            <w:hideMark/>
          </w:tcPr>
          <w:p w14:paraId="4DFD0B2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7FA248B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5" w:type="dxa"/>
            <w:shd w:val="clear" w:color="auto" w:fill="auto"/>
            <w:noWrap/>
            <w:vAlign w:val="center"/>
            <w:hideMark/>
          </w:tcPr>
          <w:p w14:paraId="0FCD50F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52A86A4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5" w:type="dxa"/>
            <w:shd w:val="clear" w:color="auto" w:fill="auto"/>
            <w:noWrap/>
            <w:vAlign w:val="center"/>
            <w:hideMark/>
          </w:tcPr>
          <w:p w14:paraId="2200F48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19B1289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3C6E40D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814ABA" w14:paraId="6071C8B0" w14:textId="77777777" w:rsidTr="00037542">
        <w:trPr>
          <w:trHeight w:hRule="exact" w:val="312"/>
        </w:trPr>
        <w:tc>
          <w:tcPr>
            <w:tcW w:w="1881" w:type="dxa"/>
            <w:shd w:val="clear" w:color="auto" w:fill="auto"/>
            <w:vAlign w:val="center"/>
            <w:hideMark/>
          </w:tcPr>
          <w:p w14:paraId="5939017C"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Class</w:t>
            </w:r>
          </w:p>
        </w:tc>
        <w:tc>
          <w:tcPr>
            <w:tcW w:w="1165" w:type="dxa"/>
            <w:shd w:val="clear" w:color="auto" w:fill="auto"/>
            <w:noWrap/>
            <w:vAlign w:val="center"/>
            <w:hideMark/>
          </w:tcPr>
          <w:p w14:paraId="7AFADCA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04F0782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5" w:type="dxa"/>
            <w:shd w:val="clear" w:color="auto" w:fill="auto"/>
            <w:noWrap/>
            <w:vAlign w:val="center"/>
            <w:hideMark/>
          </w:tcPr>
          <w:p w14:paraId="183EE0C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3F417C3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5" w:type="dxa"/>
            <w:shd w:val="clear" w:color="auto" w:fill="auto"/>
            <w:noWrap/>
            <w:vAlign w:val="center"/>
            <w:hideMark/>
          </w:tcPr>
          <w:p w14:paraId="4E465E7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7CA2959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045232C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814ABA" w14:paraId="2767761C" w14:textId="77777777" w:rsidTr="00037542">
        <w:trPr>
          <w:trHeight w:hRule="exact" w:val="312"/>
        </w:trPr>
        <w:tc>
          <w:tcPr>
            <w:tcW w:w="1881" w:type="dxa"/>
            <w:shd w:val="clear" w:color="auto" w:fill="auto"/>
            <w:vAlign w:val="center"/>
            <w:hideMark/>
          </w:tcPr>
          <w:p w14:paraId="082CF915"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Previous class</w:t>
            </w:r>
          </w:p>
        </w:tc>
        <w:tc>
          <w:tcPr>
            <w:tcW w:w="1165" w:type="dxa"/>
            <w:shd w:val="clear" w:color="auto" w:fill="auto"/>
            <w:noWrap/>
            <w:vAlign w:val="center"/>
            <w:hideMark/>
          </w:tcPr>
          <w:p w14:paraId="405C58B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31C5611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5" w:type="dxa"/>
            <w:shd w:val="clear" w:color="auto" w:fill="auto"/>
            <w:noWrap/>
            <w:vAlign w:val="center"/>
            <w:hideMark/>
          </w:tcPr>
          <w:p w14:paraId="7C2B8B8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2D9556E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5" w:type="dxa"/>
            <w:shd w:val="clear" w:color="auto" w:fill="auto"/>
            <w:noWrap/>
            <w:vAlign w:val="center"/>
            <w:hideMark/>
          </w:tcPr>
          <w:p w14:paraId="5534664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5644F47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1166" w:type="dxa"/>
            <w:shd w:val="clear" w:color="auto" w:fill="auto"/>
            <w:noWrap/>
            <w:vAlign w:val="center"/>
            <w:hideMark/>
          </w:tcPr>
          <w:p w14:paraId="2E63029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814ABA" w14:paraId="667F0A9F" w14:textId="77777777" w:rsidTr="00037542">
        <w:trPr>
          <w:trHeight w:hRule="exact" w:val="312"/>
        </w:trPr>
        <w:tc>
          <w:tcPr>
            <w:tcW w:w="1881" w:type="dxa"/>
            <w:shd w:val="clear" w:color="auto" w:fill="auto"/>
            <w:vAlign w:val="center"/>
          </w:tcPr>
          <w:p w14:paraId="472AD16F"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Payment type</w:t>
            </w:r>
          </w:p>
        </w:tc>
        <w:tc>
          <w:tcPr>
            <w:tcW w:w="1165" w:type="dxa"/>
            <w:shd w:val="clear" w:color="auto" w:fill="auto"/>
            <w:noWrap/>
            <w:vAlign w:val="center"/>
          </w:tcPr>
          <w:p w14:paraId="50B1712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66" w:type="dxa"/>
            <w:shd w:val="clear" w:color="auto" w:fill="auto"/>
            <w:noWrap/>
            <w:vAlign w:val="center"/>
          </w:tcPr>
          <w:p w14:paraId="424FD41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65" w:type="dxa"/>
            <w:shd w:val="clear" w:color="auto" w:fill="auto"/>
            <w:noWrap/>
            <w:vAlign w:val="center"/>
          </w:tcPr>
          <w:p w14:paraId="0B88632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66" w:type="dxa"/>
            <w:shd w:val="clear" w:color="auto" w:fill="auto"/>
            <w:noWrap/>
            <w:vAlign w:val="center"/>
          </w:tcPr>
          <w:p w14:paraId="0A509F1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65" w:type="dxa"/>
            <w:shd w:val="clear" w:color="auto" w:fill="auto"/>
            <w:noWrap/>
            <w:vAlign w:val="center"/>
          </w:tcPr>
          <w:p w14:paraId="51F5147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66" w:type="dxa"/>
            <w:shd w:val="clear" w:color="auto" w:fill="auto"/>
            <w:noWrap/>
            <w:vAlign w:val="center"/>
          </w:tcPr>
          <w:p w14:paraId="421F1FE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66" w:type="dxa"/>
            <w:shd w:val="clear" w:color="auto" w:fill="auto"/>
            <w:noWrap/>
            <w:vAlign w:val="center"/>
          </w:tcPr>
          <w:p w14:paraId="3F16BDE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bl>
    <w:p w14:paraId="32C76435" w14:textId="77777777" w:rsidR="00037542" w:rsidRDefault="00037542" w:rsidP="003B663F">
      <w:pPr>
        <w:pStyle w:val="PwCNormal-Single"/>
      </w:pPr>
    </w:p>
    <w:p w14:paraId="265C150E" w14:textId="77777777" w:rsidR="00037542" w:rsidRPr="00814ABA" w:rsidRDefault="00037542" w:rsidP="00037542">
      <w:pPr>
        <w:pStyle w:val="Caption"/>
      </w:pPr>
      <w:r w:rsidRPr="00814ABA">
        <w:t xml:space="preserve">Table </w:t>
      </w:r>
      <w:fldSimple w:instr=" SEQ Table \* ARABIC ">
        <w:r w:rsidR="007A42DF">
          <w:rPr>
            <w:noProof/>
          </w:rPr>
          <w:t>72</w:t>
        </w:r>
      </w:fldSimple>
      <w:r w:rsidRPr="00814ABA">
        <w:t>: Factors considered in payment utilisation assumptions – other payments</w:t>
      </w:r>
    </w:p>
    <w:tbl>
      <w:tblPr>
        <w:tblW w:w="10137" w:type="dxa"/>
        <w:tblInd w:w="28" w:type="dxa"/>
        <w:tblLayout w:type="fixed"/>
        <w:tblCellMar>
          <w:left w:w="28" w:type="dxa"/>
          <w:right w:w="28" w:type="dxa"/>
        </w:tblCellMar>
        <w:tblLook w:val="0480" w:firstRow="0" w:lastRow="0" w:firstColumn="1" w:lastColumn="0" w:noHBand="0" w:noVBand="1"/>
        <w:tblCaption w:val="Factors considered in payment utilisation assumptions – other payments"/>
        <w:tblDescription w:val="This table describes the factors that were considered in selecting payment utilisation assumptions for the Non-Income Support payment types. For reference, the Non-Income Support payment types are FTB, family, new parents, health and disability, carer, study &amp; skills, remote &amp; regional, general allowances, all other and rent assistance.&#10;&#10;Current class was used across all Income Support payment categories.&#10;&#10;Age was used for all categories except for general allowances.&#10;Gender was used for all categories except for Health &amp; Disability and Study &amp; Skills.&#10;Class was used for all categories.&#10;Previous class was used for the FTB, Family and New Parents payment categories.&#10;Partner status, number of dependant children and age of dependant children were used for the FTB, Family, New Parents and Rent Allowance payment categories.&#10;Highest level of education attained was used for the Study &amp; Skills and Rent Allowance payment categories.&#10;Duration in welfare class/system was used for categories the FTB, Family, New Parents, Study &amp; Skills and Rent Allowance payment categories.&#10;Previous welfare utilisation was used for all categories except for the Carer, Remote &amp; Regional and the All Other payment categories.&#10;"/>
      </w:tblPr>
      <w:tblGrid>
        <w:gridCol w:w="1818"/>
        <w:gridCol w:w="813"/>
        <w:gridCol w:w="813"/>
        <w:gridCol w:w="814"/>
        <w:gridCol w:w="813"/>
        <w:gridCol w:w="814"/>
        <w:gridCol w:w="813"/>
        <w:gridCol w:w="813"/>
        <w:gridCol w:w="964"/>
        <w:gridCol w:w="698"/>
        <w:gridCol w:w="964"/>
      </w:tblGrid>
      <w:tr w:rsidR="00037542" w:rsidRPr="00037542" w14:paraId="3E541414" w14:textId="77777777" w:rsidTr="00037542">
        <w:trPr>
          <w:trHeight w:val="806"/>
          <w:tblHeader/>
        </w:trPr>
        <w:tc>
          <w:tcPr>
            <w:tcW w:w="1818" w:type="dxa"/>
            <w:shd w:val="clear" w:color="auto" w:fill="E0301E"/>
            <w:vAlign w:val="center"/>
            <w:hideMark/>
          </w:tcPr>
          <w:p w14:paraId="35A07EB9" w14:textId="77777777" w:rsidR="00037542" w:rsidRPr="00037542" w:rsidRDefault="00037542" w:rsidP="00037542">
            <w:pPr>
              <w:pStyle w:val="TableColumnHeadingSmall"/>
              <w:rPr>
                <w:bCs/>
                <w:snapToGrid/>
                <w:lang w:eastAsia="en-AU"/>
              </w:rPr>
            </w:pPr>
            <w:r w:rsidRPr="00037542">
              <w:rPr>
                <w:bCs/>
                <w:snapToGrid/>
                <w:lang w:eastAsia="en-AU"/>
              </w:rPr>
              <w:t>Individual</w:t>
            </w:r>
          </w:p>
          <w:p w14:paraId="692A415E" w14:textId="77777777" w:rsidR="00037542" w:rsidRPr="00037542" w:rsidRDefault="00037542" w:rsidP="00037542">
            <w:pPr>
              <w:pStyle w:val="TableColumnHeadingSmall"/>
              <w:rPr>
                <w:bCs/>
                <w:snapToGrid/>
                <w:lang w:eastAsia="en-AU"/>
              </w:rPr>
            </w:pPr>
            <w:r w:rsidRPr="00037542">
              <w:rPr>
                <w:bCs/>
                <w:snapToGrid/>
                <w:lang w:eastAsia="en-AU"/>
              </w:rPr>
              <w:t>Characteristics Used</w:t>
            </w:r>
          </w:p>
        </w:tc>
        <w:tc>
          <w:tcPr>
            <w:tcW w:w="813" w:type="dxa"/>
            <w:shd w:val="clear" w:color="auto" w:fill="E0301E"/>
            <w:vAlign w:val="center"/>
            <w:hideMark/>
          </w:tcPr>
          <w:p w14:paraId="151A9BE7" w14:textId="77777777" w:rsidR="00037542" w:rsidRPr="00037542" w:rsidRDefault="00037542" w:rsidP="00037542">
            <w:pPr>
              <w:pStyle w:val="TableColumnHeadingSmall"/>
              <w:jc w:val="center"/>
              <w:rPr>
                <w:bCs/>
                <w:snapToGrid/>
                <w:lang w:eastAsia="en-AU"/>
              </w:rPr>
            </w:pPr>
            <w:r w:rsidRPr="00037542">
              <w:rPr>
                <w:bCs/>
                <w:snapToGrid/>
                <w:lang w:eastAsia="en-AU"/>
              </w:rPr>
              <w:t>H</w:t>
            </w:r>
          </w:p>
          <w:p w14:paraId="38DB9DD9" w14:textId="77777777" w:rsidR="00037542" w:rsidRPr="00037542" w:rsidRDefault="00037542" w:rsidP="00037542">
            <w:pPr>
              <w:pStyle w:val="TableColumnHeadingSmall"/>
              <w:jc w:val="center"/>
              <w:rPr>
                <w:bCs/>
                <w:snapToGrid/>
                <w:lang w:eastAsia="en-AU"/>
              </w:rPr>
            </w:pPr>
            <w:r w:rsidRPr="00037542">
              <w:rPr>
                <w:bCs/>
                <w:snapToGrid/>
                <w:lang w:eastAsia="en-AU"/>
              </w:rPr>
              <w:t>FTB</w:t>
            </w:r>
          </w:p>
        </w:tc>
        <w:tc>
          <w:tcPr>
            <w:tcW w:w="813" w:type="dxa"/>
            <w:shd w:val="clear" w:color="auto" w:fill="E0301E"/>
            <w:vAlign w:val="center"/>
            <w:hideMark/>
          </w:tcPr>
          <w:p w14:paraId="5C4358C2" w14:textId="77777777" w:rsidR="00037542" w:rsidRPr="00037542" w:rsidRDefault="00037542" w:rsidP="00037542">
            <w:pPr>
              <w:pStyle w:val="TableColumnHeadingSmall"/>
              <w:jc w:val="center"/>
              <w:rPr>
                <w:bCs/>
                <w:snapToGrid/>
                <w:lang w:eastAsia="en-AU"/>
              </w:rPr>
            </w:pPr>
            <w:r w:rsidRPr="00037542">
              <w:rPr>
                <w:bCs/>
                <w:snapToGrid/>
                <w:lang w:eastAsia="en-AU"/>
              </w:rPr>
              <w:t>I</w:t>
            </w:r>
          </w:p>
          <w:p w14:paraId="1EB0FCE5" w14:textId="77777777" w:rsidR="00037542" w:rsidRPr="00037542" w:rsidRDefault="00037542" w:rsidP="00037542">
            <w:pPr>
              <w:pStyle w:val="TableColumnHeadingSmall"/>
              <w:jc w:val="center"/>
              <w:rPr>
                <w:bCs/>
                <w:snapToGrid/>
                <w:lang w:eastAsia="en-AU"/>
              </w:rPr>
            </w:pPr>
            <w:r w:rsidRPr="00037542">
              <w:rPr>
                <w:bCs/>
                <w:snapToGrid/>
                <w:lang w:eastAsia="en-AU"/>
              </w:rPr>
              <w:t>Family</w:t>
            </w:r>
          </w:p>
        </w:tc>
        <w:tc>
          <w:tcPr>
            <w:tcW w:w="814" w:type="dxa"/>
            <w:shd w:val="clear" w:color="auto" w:fill="E0301E"/>
            <w:vAlign w:val="center"/>
            <w:hideMark/>
          </w:tcPr>
          <w:p w14:paraId="06E29EAF" w14:textId="77777777" w:rsidR="00037542" w:rsidRPr="00037542" w:rsidRDefault="00037542" w:rsidP="00037542">
            <w:pPr>
              <w:pStyle w:val="TableColumnHeadingSmall"/>
              <w:jc w:val="center"/>
              <w:rPr>
                <w:bCs/>
                <w:snapToGrid/>
                <w:lang w:eastAsia="en-AU"/>
              </w:rPr>
            </w:pPr>
            <w:r w:rsidRPr="00037542">
              <w:rPr>
                <w:bCs/>
                <w:snapToGrid/>
                <w:lang w:eastAsia="en-AU"/>
              </w:rPr>
              <w:t>J</w:t>
            </w:r>
          </w:p>
          <w:p w14:paraId="3EEE499C" w14:textId="77777777" w:rsidR="00037542" w:rsidRPr="00037542" w:rsidRDefault="00037542" w:rsidP="00037542">
            <w:pPr>
              <w:pStyle w:val="TableColumnHeadingSmall"/>
              <w:jc w:val="center"/>
              <w:rPr>
                <w:bCs/>
                <w:snapToGrid/>
                <w:lang w:eastAsia="en-AU"/>
              </w:rPr>
            </w:pPr>
            <w:r w:rsidRPr="00037542">
              <w:rPr>
                <w:bCs/>
                <w:snapToGrid/>
                <w:lang w:eastAsia="en-AU"/>
              </w:rPr>
              <w:t>New Parents</w:t>
            </w:r>
          </w:p>
        </w:tc>
        <w:tc>
          <w:tcPr>
            <w:tcW w:w="813" w:type="dxa"/>
            <w:shd w:val="clear" w:color="auto" w:fill="E0301E"/>
            <w:vAlign w:val="center"/>
            <w:hideMark/>
          </w:tcPr>
          <w:p w14:paraId="568ABBB0" w14:textId="77777777" w:rsidR="00037542" w:rsidRPr="00037542" w:rsidRDefault="00037542" w:rsidP="00037542">
            <w:pPr>
              <w:pStyle w:val="TableColumnHeadingSmall"/>
              <w:jc w:val="center"/>
              <w:rPr>
                <w:bCs/>
                <w:snapToGrid/>
                <w:lang w:eastAsia="en-AU"/>
              </w:rPr>
            </w:pPr>
            <w:r w:rsidRPr="00037542">
              <w:rPr>
                <w:bCs/>
                <w:snapToGrid/>
                <w:lang w:eastAsia="en-AU"/>
              </w:rPr>
              <w:t>L</w:t>
            </w:r>
          </w:p>
          <w:p w14:paraId="234F3CDC" w14:textId="77777777" w:rsidR="00037542" w:rsidRPr="00037542" w:rsidRDefault="00037542" w:rsidP="00037542">
            <w:pPr>
              <w:pStyle w:val="TableColumnHeadingSmall"/>
              <w:jc w:val="center"/>
              <w:rPr>
                <w:bCs/>
                <w:snapToGrid/>
                <w:lang w:eastAsia="en-AU"/>
              </w:rPr>
            </w:pPr>
            <w:r w:rsidRPr="00037542">
              <w:rPr>
                <w:bCs/>
                <w:snapToGrid/>
                <w:lang w:eastAsia="en-AU"/>
              </w:rPr>
              <w:t>Health &amp; Disability</w:t>
            </w:r>
          </w:p>
        </w:tc>
        <w:tc>
          <w:tcPr>
            <w:tcW w:w="814" w:type="dxa"/>
            <w:shd w:val="clear" w:color="auto" w:fill="E0301E"/>
            <w:vAlign w:val="center"/>
            <w:hideMark/>
          </w:tcPr>
          <w:p w14:paraId="31DE894F" w14:textId="77777777" w:rsidR="00037542" w:rsidRPr="00037542" w:rsidRDefault="00037542" w:rsidP="00037542">
            <w:pPr>
              <w:pStyle w:val="TableColumnHeadingSmall"/>
              <w:jc w:val="center"/>
              <w:rPr>
                <w:bCs/>
                <w:snapToGrid/>
                <w:lang w:eastAsia="en-AU"/>
              </w:rPr>
            </w:pPr>
            <w:r w:rsidRPr="00037542">
              <w:rPr>
                <w:bCs/>
                <w:snapToGrid/>
                <w:lang w:eastAsia="en-AU"/>
              </w:rPr>
              <w:t>M</w:t>
            </w:r>
          </w:p>
          <w:p w14:paraId="414656D1" w14:textId="77777777" w:rsidR="00037542" w:rsidRPr="00037542" w:rsidRDefault="00037542" w:rsidP="00037542">
            <w:pPr>
              <w:pStyle w:val="TableColumnHeadingSmall"/>
              <w:jc w:val="center"/>
              <w:rPr>
                <w:bCs/>
                <w:snapToGrid/>
                <w:lang w:eastAsia="en-AU"/>
              </w:rPr>
            </w:pPr>
            <w:r w:rsidRPr="00037542">
              <w:rPr>
                <w:bCs/>
                <w:snapToGrid/>
                <w:lang w:eastAsia="en-AU"/>
              </w:rPr>
              <w:t>Carer</w:t>
            </w:r>
          </w:p>
        </w:tc>
        <w:tc>
          <w:tcPr>
            <w:tcW w:w="813" w:type="dxa"/>
            <w:shd w:val="clear" w:color="auto" w:fill="E0301E"/>
            <w:vAlign w:val="center"/>
            <w:hideMark/>
          </w:tcPr>
          <w:p w14:paraId="427D75D4" w14:textId="77777777" w:rsidR="00037542" w:rsidRPr="00037542" w:rsidRDefault="00037542" w:rsidP="00037542">
            <w:pPr>
              <w:pStyle w:val="TableColumnHeadingSmall"/>
              <w:jc w:val="center"/>
              <w:rPr>
                <w:bCs/>
                <w:snapToGrid/>
                <w:lang w:eastAsia="en-AU"/>
              </w:rPr>
            </w:pPr>
            <w:r w:rsidRPr="00037542">
              <w:rPr>
                <w:bCs/>
                <w:snapToGrid/>
                <w:lang w:eastAsia="en-AU"/>
              </w:rPr>
              <w:t>N</w:t>
            </w:r>
          </w:p>
          <w:p w14:paraId="621E210D" w14:textId="77777777" w:rsidR="00037542" w:rsidRPr="00037542" w:rsidRDefault="00037542" w:rsidP="00037542">
            <w:pPr>
              <w:pStyle w:val="TableColumnHeadingSmall"/>
              <w:jc w:val="center"/>
              <w:rPr>
                <w:bCs/>
                <w:snapToGrid/>
                <w:lang w:eastAsia="en-AU"/>
              </w:rPr>
            </w:pPr>
            <w:r w:rsidRPr="00037542">
              <w:rPr>
                <w:bCs/>
                <w:snapToGrid/>
                <w:lang w:eastAsia="en-AU"/>
              </w:rPr>
              <w:t>Study &amp; Skills</w:t>
            </w:r>
          </w:p>
        </w:tc>
        <w:tc>
          <w:tcPr>
            <w:tcW w:w="813" w:type="dxa"/>
            <w:shd w:val="clear" w:color="auto" w:fill="E0301E"/>
            <w:vAlign w:val="center"/>
            <w:hideMark/>
          </w:tcPr>
          <w:p w14:paraId="38E6E429" w14:textId="77777777" w:rsidR="00037542" w:rsidRPr="00037542" w:rsidRDefault="00037542" w:rsidP="00037542">
            <w:pPr>
              <w:pStyle w:val="TableColumnHeadingSmall"/>
              <w:jc w:val="center"/>
              <w:rPr>
                <w:bCs/>
                <w:snapToGrid/>
                <w:lang w:eastAsia="en-AU"/>
              </w:rPr>
            </w:pPr>
            <w:r w:rsidRPr="00037542">
              <w:rPr>
                <w:bCs/>
                <w:snapToGrid/>
                <w:lang w:eastAsia="en-AU"/>
              </w:rPr>
              <w:t>O</w:t>
            </w:r>
          </w:p>
          <w:p w14:paraId="0CCBDD14" w14:textId="77777777" w:rsidR="00037542" w:rsidRPr="00037542" w:rsidRDefault="00037542" w:rsidP="00037542">
            <w:pPr>
              <w:pStyle w:val="TableColumnHeadingSmall"/>
              <w:jc w:val="center"/>
              <w:rPr>
                <w:bCs/>
                <w:snapToGrid/>
                <w:lang w:eastAsia="en-AU"/>
              </w:rPr>
            </w:pPr>
            <w:r w:rsidRPr="00037542">
              <w:rPr>
                <w:bCs/>
                <w:snapToGrid/>
                <w:lang w:eastAsia="en-AU"/>
              </w:rPr>
              <w:t>Remote &amp; Regional</w:t>
            </w:r>
          </w:p>
        </w:tc>
        <w:tc>
          <w:tcPr>
            <w:tcW w:w="964" w:type="dxa"/>
            <w:shd w:val="clear" w:color="auto" w:fill="E0301E"/>
            <w:vAlign w:val="center"/>
            <w:hideMark/>
          </w:tcPr>
          <w:p w14:paraId="03ECF620" w14:textId="77777777" w:rsidR="00037542" w:rsidRPr="00037542" w:rsidRDefault="00037542" w:rsidP="00037542">
            <w:pPr>
              <w:pStyle w:val="TableColumnHeadingSmall"/>
              <w:jc w:val="center"/>
              <w:rPr>
                <w:bCs/>
                <w:snapToGrid/>
                <w:lang w:eastAsia="en-AU"/>
              </w:rPr>
            </w:pPr>
            <w:r w:rsidRPr="00037542">
              <w:rPr>
                <w:bCs/>
                <w:snapToGrid/>
                <w:lang w:eastAsia="en-AU"/>
              </w:rPr>
              <w:t>P</w:t>
            </w:r>
          </w:p>
          <w:p w14:paraId="34AAE365" w14:textId="77777777" w:rsidR="00037542" w:rsidRPr="00037542" w:rsidRDefault="00037542" w:rsidP="00037542">
            <w:pPr>
              <w:pStyle w:val="TableColumnHeadingSmall"/>
              <w:jc w:val="center"/>
              <w:rPr>
                <w:bCs/>
                <w:snapToGrid/>
                <w:lang w:eastAsia="en-AU"/>
              </w:rPr>
            </w:pPr>
            <w:r w:rsidRPr="00037542">
              <w:rPr>
                <w:bCs/>
                <w:snapToGrid/>
                <w:lang w:eastAsia="en-AU"/>
              </w:rPr>
              <w:t>General Allowances</w:t>
            </w:r>
          </w:p>
        </w:tc>
        <w:tc>
          <w:tcPr>
            <w:tcW w:w="698" w:type="dxa"/>
            <w:shd w:val="clear" w:color="auto" w:fill="E0301E"/>
            <w:vAlign w:val="center"/>
          </w:tcPr>
          <w:p w14:paraId="1AE27542" w14:textId="77777777" w:rsidR="00037542" w:rsidRPr="00037542" w:rsidRDefault="00037542" w:rsidP="00037542">
            <w:pPr>
              <w:pStyle w:val="TableColumnHeadingSmall"/>
              <w:jc w:val="center"/>
              <w:rPr>
                <w:bCs/>
                <w:snapToGrid/>
                <w:lang w:eastAsia="en-AU"/>
              </w:rPr>
            </w:pPr>
            <w:r w:rsidRPr="00037542">
              <w:rPr>
                <w:bCs/>
                <w:snapToGrid/>
                <w:lang w:eastAsia="en-AU"/>
              </w:rPr>
              <w:t>Q</w:t>
            </w:r>
          </w:p>
          <w:p w14:paraId="7CB9171A" w14:textId="77777777" w:rsidR="00037542" w:rsidRPr="00037542" w:rsidRDefault="00037542" w:rsidP="00037542">
            <w:pPr>
              <w:pStyle w:val="TableColumnHeadingSmall"/>
              <w:jc w:val="center"/>
              <w:rPr>
                <w:bCs/>
                <w:snapToGrid/>
                <w:lang w:eastAsia="en-AU"/>
              </w:rPr>
            </w:pPr>
            <w:r w:rsidRPr="00037542">
              <w:rPr>
                <w:bCs/>
                <w:snapToGrid/>
                <w:lang w:eastAsia="en-AU"/>
              </w:rPr>
              <w:t>All</w:t>
            </w:r>
          </w:p>
          <w:p w14:paraId="63B82E23" w14:textId="77777777" w:rsidR="00037542" w:rsidRPr="00037542" w:rsidRDefault="00037542" w:rsidP="00037542">
            <w:pPr>
              <w:pStyle w:val="TableColumnHeadingSmall"/>
              <w:jc w:val="center"/>
              <w:rPr>
                <w:bCs/>
                <w:snapToGrid/>
                <w:lang w:eastAsia="en-AU"/>
              </w:rPr>
            </w:pPr>
            <w:r w:rsidRPr="00037542">
              <w:rPr>
                <w:bCs/>
                <w:snapToGrid/>
                <w:lang w:eastAsia="en-AU"/>
              </w:rPr>
              <w:t>Other</w:t>
            </w:r>
          </w:p>
        </w:tc>
        <w:tc>
          <w:tcPr>
            <w:tcW w:w="964" w:type="dxa"/>
            <w:shd w:val="clear" w:color="auto" w:fill="E0301E"/>
            <w:vAlign w:val="center"/>
            <w:hideMark/>
          </w:tcPr>
          <w:p w14:paraId="2BCEF1EC" w14:textId="77777777" w:rsidR="00037542" w:rsidRPr="00037542" w:rsidRDefault="00037542" w:rsidP="00037542">
            <w:pPr>
              <w:pStyle w:val="TableColumnHeadingSmall"/>
              <w:jc w:val="center"/>
              <w:rPr>
                <w:bCs/>
                <w:snapToGrid/>
                <w:lang w:eastAsia="en-AU"/>
              </w:rPr>
            </w:pPr>
            <w:r w:rsidRPr="00037542">
              <w:rPr>
                <w:bCs/>
                <w:snapToGrid/>
                <w:lang w:eastAsia="en-AU"/>
              </w:rPr>
              <w:t>R</w:t>
            </w:r>
          </w:p>
          <w:p w14:paraId="3D23B237" w14:textId="77777777" w:rsidR="00037542" w:rsidRPr="00037542" w:rsidRDefault="00037542" w:rsidP="00037542">
            <w:pPr>
              <w:pStyle w:val="TableColumnHeadingSmall"/>
              <w:jc w:val="center"/>
              <w:rPr>
                <w:bCs/>
                <w:snapToGrid/>
                <w:lang w:eastAsia="en-AU"/>
              </w:rPr>
            </w:pPr>
            <w:r w:rsidRPr="00037542">
              <w:rPr>
                <w:bCs/>
                <w:snapToGrid/>
                <w:lang w:eastAsia="en-AU"/>
              </w:rPr>
              <w:t>Rent</w:t>
            </w:r>
          </w:p>
          <w:p w14:paraId="1D78CCC3" w14:textId="77777777" w:rsidR="00037542" w:rsidRPr="00037542" w:rsidRDefault="00037542" w:rsidP="00037542">
            <w:pPr>
              <w:pStyle w:val="TableColumnHeadingSmall"/>
              <w:jc w:val="center"/>
              <w:rPr>
                <w:bCs/>
                <w:snapToGrid/>
                <w:lang w:eastAsia="en-AU"/>
              </w:rPr>
            </w:pPr>
            <w:r w:rsidRPr="00037542">
              <w:rPr>
                <w:bCs/>
                <w:snapToGrid/>
                <w:lang w:eastAsia="en-AU"/>
              </w:rPr>
              <w:t>Assistance</w:t>
            </w:r>
          </w:p>
        </w:tc>
      </w:tr>
      <w:tr w:rsidR="00037542" w:rsidRPr="00587B2A" w14:paraId="45DFE6BF" w14:textId="77777777" w:rsidTr="00037542">
        <w:trPr>
          <w:trHeight w:hRule="exact" w:val="397"/>
        </w:trPr>
        <w:tc>
          <w:tcPr>
            <w:tcW w:w="1818" w:type="dxa"/>
            <w:tcBorders>
              <w:bottom w:val="single" w:sz="4" w:space="0" w:color="E0301E" w:themeColor="accent6"/>
            </w:tcBorders>
            <w:shd w:val="clear" w:color="auto" w:fill="auto"/>
            <w:vAlign w:val="center"/>
            <w:hideMark/>
          </w:tcPr>
          <w:p w14:paraId="3A9328CB" w14:textId="77777777" w:rsidR="00037542" w:rsidRPr="00587B2A" w:rsidRDefault="00037542" w:rsidP="00037542">
            <w:pPr>
              <w:keepNext/>
              <w:kinsoku/>
              <w:overflowPunct/>
              <w:autoSpaceDE/>
              <w:autoSpaceDN/>
              <w:adjustRightInd/>
              <w:snapToGrid/>
              <w:rPr>
                <w:rFonts w:ascii="Arial" w:hAnsi="Arial"/>
                <w:sz w:val="16"/>
                <w:szCs w:val="16"/>
              </w:rPr>
            </w:pPr>
            <w:r w:rsidRPr="00950BDE">
              <w:rPr>
                <w:rFonts w:ascii="Arial" w:hAnsi="Arial"/>
                <w:snapToGrid/>
                <w:color w:val="000000"/>
                <w:sz w:val="16"/>
                <w:szCs w:val="16"/>
                <w:lang w:eastAsia="en-AU"/>
              </w:rPr>
              <w:t>Age</w:t>
            </w:r>
          </w:p>
        </w:tc>
        <w:tc>
          <w:tcPr>
            <w:tcW w:w="813" w:type="dxa"/>
            <w:tcBorders>
              <w:bottom w:val="single" w:sz="4" w:space="0" w:color="E0301E" w:themeColor="accent6"/>
            </w:tcBorders>
            <w:shd w:val="clear" w:color="auto" w:fill="auto"/>
            <w:noWrap/>
            <w:vAlign w:val="center"/>
          </w:tcPr>
          <w:p w14:paraId="3A90D24E"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bottom w:val="single" w:sz="4" w:space="0" w:color="E0301E" w:themeColor="accent6"/>
            </w:tcBorders>
            <w:shd w:val="clear" w:color="auto" w:fill="auto"/>
            <w:noWrap/>
            <w:vAlign w:val="center"/>
          </w:tcPr>
          <w:p w14:paraId="60E0DD04"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bottom w:val="single" w:sz="4" w:space="0" w:color="E0301E" w:themeColor="accent6"/>
            </w:tcBorders>
            <w:shd w:val="clear" w:color="auto" w:fill="auto"/>
            <w:noWrap/>
            <w:vAlign w:val="center"/>
          </w:tcPr>
          <w:p w14:paraId="2D8BC4C3" w14:textId="77777777" w:rsidR="00037542" w:rsidRPr="00C36F20" w:rsidRDefault="00037542" w:rsidP="00037542">
            <w:pPr>
              <w:keepNext/>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bottom w:val="single" w:sz="4" w:space="0" w:color="E0301E" w:themeColor="accent6"/>
            </w:tcBorders>
            <w:shd w:val="clear" w:color="auto" w:fill="auto"/>
            <w:noWrap/>
            <w:vAlign w:val="center"/>
          </w:tcPr>
          <w:p w14:paraId="66082C4D" w14:textId="77777777" w:rsidR="00037542" w:rsidRPr="00C36F20" w:rsidRDefault="00037542" w:rsidP="00037542">
            <w:pPr>
              <w:keepNext/>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bottom w:val="single" w:sz="4" w:space="0" w:color="E0301E" w:themeColor="accent6"/>
            </w:tcBorders>
            <w:shd w:val="clear" w:color="auto" w:fill="auto"/>
            <w:noWrap/>
            <w:vAlign w:val="center"/>
          </w:tcPr>
          <w:p w14:paraId="62988067" w14:textId="77777777" w:rsidR="00037542" w:rsidRPr="00C36F20" w:rsidRDefault="00037542" w:rsidP="00037542">
            <w:pPr>
              <w:keepNext/>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bottom w:val="single" w:sz="4" w:space="0" w:color="E0301E" w:themeColor="accent6"/>
            </w:tcBorders>
            <w:shd w:val="clear" w:color="auto" w:fill="auto"/>
            <w:noWrap/>
            <w:vAlign w:val="center"/>
          </w:tcPr>
          <w:p w14:paraId="0F82E7FB" w14:textId="77777777" w:rsidR="00037542" w:rsidRPr="00C36F20" w:rsidRDefault="00037542" w:rsidP="00037542">
            <w:pPr>
              <w:keepNext/>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bottom w:val="single" w:sz="4" w:space="0" w:color="E0301E" w:themeColor="accent6"/>
            </w:tcBorders>
            <w:shd w:val="clear" w:color="auto" w:fill="auto"/>
            <w:noWrap/>
            <w:vAlign w:val="center"/>
          </w:tcPr>
          <w:p w14:paraId="2C0A45A0" w14:textId="77777777" w:rsidR="00037542" w:rsidRPr="00C36F20" w:rsidRDefault="00037542" w:rsidP="00037542">
            <w:pPr>
              <w:keepNext/>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tcBorders>
              <w:bottom w:val="single" w:sz="4" w:space="0" w:color="E0301E" w:themeColor="accent6"/>
            </w:tcBorders>
            <w:shd w:val="clear" w:color="auto" w:fill="auto"/>
            <w:noWrap/>
            <w:vAlign w:val="center"/>
          </w:tcPr>
          <w:p w14:paraId="211DE2DE" w14:textId="77777777" w:rsidR="00037542" w:rsidRPr="00C36F20" w:rsidRDefault="00037542" w:rsidP="00037542">
            <w:pPr>
              <w:keepNext/>
              <w:jc w:val="center"/>
              <w:rPr>
                <w:rFonts w:ascii="Arial" w:hAnsi="Arial"/>
                <w:snapToGrid/>
                <w:color w:val="000000"/>
                <w:sz w:val="16"/>
                <w:szCs w:val="16"/>
                <w:lang w:eastAsia="en-AU"/>
              </w:rPr>
            </w:pPr>
          </w:p>
        </w:tc>
        <w:tc>
          <w:tcPr>
            <w:tcW w:w="698" w:type="dxa"/>
            <w:tcBorders>
              <w:bottom w:val="single" w:sz="4" w:space="0" w:color="E0301E" w:themeColor="accent6"/>
            </w:tcBorders>
            <w:vAlign w:val="center"/>
          </w:tcPr>
          <w:p w14:paraId="12952D07" w14:textId="77777777" w:rsidR="00037542" w:rsidRPr="00C36F20" w:rsidRDefault="00037542" w:rsidP="00037542">
            <w:pPr>
              <w:keepNext/>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tcBorders>
              <w:bottom w:val="single" w:sz="4" w:space="0" w:color="E0301E" w:themeColor="accent6"/>
            </w:tcBorders>
            <w:shd w:val="clear" w:color="auto" w:fill="auto"/>
            <w:noWrap/>
            <w:vAlign w:val="center"/>
          </w:tcPr>
          <w:p w14:paraId="7FED18DE" w14:textId="77777777" w:rsidR="00037542" w:rsidRPr="00C36F20" w:rsidRDefault="00037542" w:rsidP="00037542">
            <w:pPr>
              <w:keepNext/>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587B2A" w14:paraId="1C9CACBC"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hideMark/>
          </w:tcPr>
          <w:p w14:paraId="39A40F05"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Gender</w:t>
            </w:r>
          </w:p>
        </w:tc>
        <w:tc>
          <w:tcPr>
            <w:tcW w:w="813" w:type="dxa"/>
            <w:tcBorders>
              <w:top w:val="single" w:sz="4" w:space="0" w:color="E0301E" w:themeColor="accent6"/>
              <w:bottom w:val="single" w:sz="4" w:space="0" w:color="E0301E" w:themeColor="accent6"/>
            </w:tcBorders>
            <w:shd w:val="clear" w:color="auto" w:fill="auto"/>
            <w:noWrap/>
            <w:vAlign w:val="center"/>
          </w:tcPr>
          <w:p w14:paraId="65E1004A"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03D5100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1FD544D3"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53BE096D" w14:textId="77777777" w:rsidR="00037542" w:rsidRPr="00C36F20" w:rsidRDefault="00037542" w:rsidP="00037542">
            <w:pPr>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3C7C6BF8"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0C46ECFA"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17FDEB2B"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tcBorders>
              <w:top w:val="single" w:sz="4" w:space="0" w:color="E0301E" w:themeColor="accent6"/>
              <w:bottom w:val="single" w:sz="4" w:space="0" w:color="E0301E" w:themeColor="accent6"/>
            </w:tcBorders>
            <w:shd w:val="clear" w:color="auto" w:fill="auto"/>
            <w:noWrap/>
            <w:vAlign w:val="center"/>
          </w:tcPr>
          <w:p w14:paraId="03339AE1"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698" w:type="dxa"/>
            <w:tcBorders>
              <w:top w:val="single" w:sz="4" w:space="0" w:color="E0301E" w:themeColor="accent6"/>
              <w:bottom w:val="single" w:sz="4" w:space="0" w:color="E0301E" w:themeColor="accent6"/>
            </w:tcBorders>
            <w:vAlign w:val="center"/>
          </w:tcPr>
          <w:p w14:paraId="6DC95D70"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tcBorders>
              <w:top w:val="single" w:sz="4" w:space="0" w:color="E0301E" w:themeColor="accent6"/>
              <w:bottom w:val="single" w:sz="4" w:space="0" w:color="E0301E" w:themeColor="accent6"/>
            </w:tcBorders>
            <w:shd w:val="clear" w:color="auto" w:fill="auto"/>
            <w:noWrap/>
            <w:vAlign w:val="center"/>
          </w:tcPr>
          <w:p w14:paraId="61127844"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587B2A" w14:paraId="0DB1C0C5"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hideMark/>
          </w:tcPr>
          <w:p w14:paraId="419B6E94"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Class</w:t>
            </w:r>
          </w:p>
        </w:tc>
        <w:tc>
          <w:tcPr>
            <w:tcW w:w="813" w:type="dxa"/>
            <w:tcBorders>
              <w:top w:val="single" w:sz="4" w:space="0" w:color="E0301E" w:themeColor="accent6"/>
              <w:bottom w:val="single" w:sz="4" w:space="0" w:color="E0301E" w:themeColor="accent6"/>
            </w:tcBorders>
            <w:shd w:val="clear" w:color="auto" w:fill="auto"/>
            <w:noWrap/>
            <w:vAlign w:val="center"/>
          </w:tcPr>
          <w:p w14:paraId="02EE0C2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01549BE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25ED595E"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1D8A25F7"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57DF2B9D"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2799150B"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36C9117A"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tcBorders>
              <w:top w:val="single" w:sz="4" w:space="0" w:color="E0301E" w:themeColor="accent6"/>
              <w:bottom w:val="single" w:sz="4" w:space="0" w:color="E0301E" w:themeColor="accent6"/>
            </w:tcBorders>
            <w:shd w:val="clear" w:color="auto" w:fill="auto"/>
            <w:noWrap/>
            <w:vAlign w:val="center"/>
          </w:tcPr>
          <w:p w14:paraId="5AB03DED"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698" w:type="dxa"/>
            <w:tcBorders>
              <w:top w:val="single" w:sz="4" w:space="0" w:color="E0301E" w:themeColor="accent6"/>
              <w:bottom w:val="single" w:sz="4" w:space="0" w:color="E0301E" w:themeColor="accent6"/>
            </w:tcBorders>
            <w:vAlign w:val="center"/>
          </w:tcPr>
          <w:p w14:paraId="36448750"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964" w:type="dxa"/>
            <w:tcBorders>
              <w:top w:val="single" w:sz="4" w:space="0" w:color="E0301E" w:themeColor="accent6"/>
              <w:bottom w:val="single" w:sz="4" w:space="0" w:color="E0301E" w:themeColor="accent6"/>
            </w:tcBorders>
            <w:shd w:val="clear" w:color="auto" w:fill="auto"/>
            <w:noWrap/>
            <w:vAlign w:val="center"/>
          </w:tcPr>
          <w:p w14:paraId="7E07D636"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587B2A" w14:paraId="65514963"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hideMark/>
          </w:tcPr>
          <w:p w14:paraId="773CEF73"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Previous class</w:t>
            </w:r>
          </w:p>
        </w:tc>
        <w:tc>
          <w:tcPr>
            <w:tcW w:w="813" w:type="dxa"/>
            <w:tcBorders>
              <w:top w:val="single" w:sz="4" w:space="0" w:color="E0301E" w:themeColor="accent6"/>
              <w:bottom w:val="single" w:sz="4" w:space="0" w:color="E0301E" w:themeColor="accent6"/>
            </w:tcBorders>
            <w:shd w:val="clear" w:color="auto" w:fill="auto"/>
            <w:noWrap/>
            <w:vAlign w:val="center"/>
          </w:tcPr>
          <w:p w14:paraId="77BAFD3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5B9143A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6EDD56A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3C531219" w14:textId="77777777" w:rsidR="00037542" w:rsidRPr="00C36F20" w:rsidRDefault="00037542" w:rsidP="00037542">
            <w:pPr>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59EA2E9C"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080AF53C"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276EBB1E"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5E0D29D7" w14:textId="77777777" w:rsidR="00037542" w:rsidRPr="00C36F20" w:rsidRDefault="00037542" w:rsidP="00037542">
            <w:pPr>
              <w:jc w:val="center"/>
              <w:rPr>
                <w:rFonts w:ascii="Arial" w:hAnsi="Arial"/>
                <w:snapToGrid/>
                <w:color w:val="000000"/>
                <w:sz w:val="16"/>
                <w:szCs w:val="16"/>
                <w:lang w:eastAsia="en-AU"/>
              </w:rPr>
            </w:pPr>
          </w:p>
        </w:tc>
        <w:tc>
          <w:tcPr>
            <w:tcW w:w="698" w:type="dxa"/>
            <w:tcBorders>
              <w:top w:val="single" w:sz="4" w:space="0" w:color="E0301E" w:themeColor="accent6"/>
              <w:bottom w:val="single" w:sz="4" w:space="0" w:color="E0301E" w:themeColor="accent6"/>
            </w:tcBorders>
            <w:vAlign w:val="center"/>
          </w:tcPr>
          <w:p w14:paraId="3A0B02EF"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537C5EE5" w14:textId="77777777" w:rsidR="00037542" w:rsidRPr="00C36F20" w:rsidRDefault="00037542" w:rsidP="00037542">
            <w:pPr>
              <w:jc w:val="center"/>
              <w:rPr>
                <w:rFonts w:ascii="Arial" w:hAnsi="Arial"/>
                <w:snapToGrid/>
                <w:color w:val="000000"/>
                <w:sz w:val="16"/>
                <w:szCs w:val="16"/>
                <w:lang w:eastAsia="en-AU"/>
              </w:rPr>
            </w:pPr>
          </w:p>
        </w:tc>
      </w:tr>
      <w:tr w:rsidR="00037542" w:rsidRPr="00587B2A" w14:paraId="3B1894B0"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hideMark/>
          </w:tcPr>
          <w:p w14:paraId="7A793EC4"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Partner status</w:t>
            </w:r>
          </w:p>
        </w:tc>
        <w:tc>
          <w:tcPr>
            <w:tcW w:w="813" w:type="dxa"/>
            <w:tcBorders>
              <w:top w:val="single" w:sz="4" w:space="0" w:color="E0301E" w:themeColor="accent6"/>
              <w:bottom w:val="single" w:sz="4" w:space="0" w:color="E0301E" w:themeColor="accent6"/>
            </w:tcBorders>
            <w:shd w:val="clear" w:color="auto" w:fill="auto"/>
            <w:noWrap/>
            <w:vAlign w:val="center"/>
          </w:tcPr>
          <w:p w14:paraId="1869E34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31421C2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503EBE7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121D9AD9" w14:textId="77777777" w:rsidR="00037542" w:rsidRPr="00C36F20" w:rsidRDefault="00037542" w:rsidP="00037542">
            <w:pPr>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14CA327A"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2BFF3C47"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79B82DFB"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29C8ED3F" w14:textId="77777777" w:rsidR="00037542" w:rsidRPr="00C36F20" w:rsidRDefault="00037542" w:rsidP="00037542">
            <w:pPr>
              <w:jc w:val="center"/>
              <w:rPr>
                <w:rFonts w:ascii="Arial" w:hAnsi="Arial"/>
                <w:snapToGrid/>
                <w:color w:val="000000"/>
                <w:sz w:val="16"/>
                <w:szCs w:val="16"/>
                <w:lang w:eastAsia="en-AU"/>
              </w:rPr>
            </w:pPr>
          </w:p>
        </w:tc>
        <w:tc>
          <w:tcPr>
            <w:tcW w:w="698" w:type="dxa"/>
            <w:tcBorders>
              <w:top w:val="single" w:sz="4" w:space="0" w:color="E0301E" w:themeColor="accent6"/>
              <w:bottom w:val="single" w:sz="4" w:space="0" w:color="E0301E" w:themeColor="accent6"/>
            </w:tcBorders>
            <w:vAlign w:val="center"/>
          </w:tcPr>
          <w:p w14:paraId="1C42557E"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37D680D1"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587B2A" w14:paraId="4197DB6A"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hideMark/>
          </w:tcPr>
          <w:p w14:paraId="390CF7B5"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Number of dependent children</w:t>
            </w:r>
          </w:p>
        </w:tc>
        <w:tc>
          <w:tcPr>
            <w:tcW w:w="813" w:type="dxa"/>
            <w:tcBorders>
              <w:top w:val="single" w:sz="4" w:space="0" w:color="E0301E" w:themeColor="accent6"/>
              <w:bottom w:val="single" w:sz="4" w:space="0" w:color="E0301E" w:themeColor="accent6"/>
            </w:tcBorders>
            <w:shd w:val="clear" w:color="auto" w:fill="auto"/>
            <w:noWrap/>
            <w:vAlign w:val="center"/>
          </w:tcPr>
          <w:p w14:paraId="4187B77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0E9537F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0D91481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19866A47" w14:textId="77777777" w:rsidR="00037542" w:rsidRPr="00C36F20" w:rsidRDefault="00037542" w:rsidP="00037542">
            <w:pPr>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54A7DED0"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471BB42B"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0CDBB0F6"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632090F3" w14:textId="77777777" w:rsidR="00037542" w:rsidRPr="00C36F20" w:rsidRDefault="00037542" w:rsidP="00037542">
            <w:pPr>
              <w:jc w:val="center"/>
              <w:rPr>
                <w:rFonts w:ascii="Arial" w:hAnsi="Arial"/>
                <w:snapToGrid/>
                <w:color w:val="000000"/>
                <w:sz w:val="16"/>
                <w:szCs w:val="16"/>
                <w:lang w:eastAsia="en-AU"/>
              </w:rPr>
            </w:pPr>
          </w:p>
        </w:tc>
        <w:tc>
          <w:tcPr>
            <w:tcW w:w="698" w:type="dxa"/>
            <w:tcBorders>
              <w:top w:val="single" w:sz="4" w:space="0" w:color="E0301E" w:themeColor="accent6"/>
              <w:bottom w:val="single" w:sz="4" w:space="0" w:color="E0301E" w:themeColor="accent6"/>
            </w:tcBorders>
            <w:vAlign w:val="center"/>
          </w:tcPr>
          <w:p w14:paraId="7365B455"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1FC41CF6"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587B2A" w14:paraId="395378E0"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hideMark/>
          </w:tcPr>
          <w:p w14:paraId="79C9475F"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Age of  dependent children</w:t>
            </w:r>
          </w:p>
        </w:tc>
        <w:tc>
          <w:tcPr>
            <w:tcW w:w="813" w:type="dxa"/>
            <w:tcBorders>
              <w:top w:val="single" w:sz="4" w:space="0" w:color="E0301E" w:themeColor="accent6"/>
              <w:bottom w:val="single" w:sz="4" w:space="0" w:color="E0301E" w:themeColor="accent6"/>
            </w:tcBorders>
            <w:shd w:val="clear" w:color="auto" w:fill="auto"/>
            <w:noWrap/>
            <w:vAlign w:val="center"/>
          </w:tcPr>
          <w:p w14:paraId="39C40DD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31547EA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118A8177"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099574B2" w14:textId="77777777" w:rsidR="00037542" w:rsidRPr="00C36F20" w:rsidRDefault="00037542" w:rsidP="00037542">
            <w:pPr>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45AA8890"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3A45C31F"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215B48B1"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46006C44" w14:textId="77777777" w:rsidR="00037542" w:rsidRPr="00C36F20" w:rsidRDefault="00037542" w:rsidP="00037542">
            <w:pPr>
              <w:jc w:val="center"/>
              <w:rPr>
                <w:rFonts w:ascii="Arial" w:hAnsi="Arial"/>
                <w:snapToGrid/>
                <w:color w:val="000000"/>
                <w:sz w:val="16"/>
                <w:szCs w:val="16"/>
                <w:lang w:eastAsia="en-AU"/>
              </w:rPr>
            </w:pPr>
          </w:p>
        </w:tc>
        <w:tc>
          <w:tcPr>
            <w:tcW w:w="698" w:type="dxa"/>
            <w:tcBorders>
              <w:top w:val="single" w:sz="4" w:space="0" w:color="E0301E" w:themeColor="accent6"/>
              <w:bottom w:val="single" w:sz="4" w:space="0" w:color="E0301E" w:themeColor="accent6"/>
            </w:tcBorders>
            <w:vAlign w:val="center"/>
          </w:tcPr>
          <w:p w14:paraId="19464EDD"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394C25D0"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587B2A" w14:paraId="3C584FDE"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hideMark/>
          </w:tcPr>
          <w:p w14:paraId="5250FAD2"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Highest level of education attained</w:t>
            </w:r>
          </w:p>
        </w:tc>
        <w:tc>
          <w:tcPr>
            <w:tcW w:w="813" w:type="dxa"/>
            <w:tcBorders>
              <w:top w:val="single" w:sz="4" w:space="0" w:color="E0301E" w:themeColor="accent6"/>
              <w:bottom w:val="single" w:sz="4" w:space="0" w:color="E0301E" w:themeColor="accent6"/>
            </w:tcBorders>
            <w:shd w:val="clear" w:color="auto" w:fill="auto"/>
            <w:noWrap/>
            <w:vAlign w:val="center"/>
          </w:tcPr>
          <w:p w14:paraId="07B3352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010A5A4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05372CF8"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30C4D646" w14:textId="77777777" w:rsidR="00037542" w:rsidRPr="00C36F20" w:rsidRDefault="00037542" w:rsidP="00037542">
            <w:pPr>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0A5D18E7"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30910576"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468B5027"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698EC6EA" w14:textId="77777777" w:rsidR="00037542" w:rsidRPr="00C36F20" w:rsidRDefault="00037542" w:rsidP="00037542">
            <w:pPr>
              <w:jc w:val="center"/>
              <w:rPr>
                <w:rFonts w:ascii="Arial" w:hAnsi="Arial"/>
                <w:snapToGrid/>
                <w:color w:val="000000"/>
                <w:sz w:val="16"/>
                <w:szCs w:val="16"/>
                <w:lang w:eastAsia="en-AU"/>
              </w:rPr>
            </w:pPr>
          </w:p>
        </w:tc>
        <w:tc>
          <w:tcPr>
            <w:tcW w:w="698" w:type="dxa"/>
            <w:tcBorders>
              <w:top w:val="single" w:sz="4" w:space="0" w:color="E0301E" w:themeColor="accent6"/>
              <w:bottom w:val="single" w:sz="4" w:space="0" w:color="E0301E" w:themeColor="accent6"/>
            </w:tcBorders>
            <w:vAlign w:val="center"/>
          </w:tcPr>
          <w:p w14:paraId="2571DFF8"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1CA9E238"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587B2A" w14:paraId="553C5451"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hideMark/>
          </w:tcPr>
          <w:p w14:paraId="22FCC31A"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Duration in welfare class / system</w:t>
            </w:r>
          </w:p>
        </w:tc>
        <w:tc>
          <w:tcPr>
            <w:tcW w:w="813" w:type="dxa"/>
            <w:tcBorders>
              <w:top w:val="single" w:sz="4" w:space="0" w:color="E0301E" w:themeColor="accent6"/>
              <w:bottom w:val="single" w:sz="4" w:space="0" w:color="E0301E" w:themeColor="accent6"/>
            </w:tcBorders>
            <w:shd w:val="clear" w:color="auto" w:fill="auto"/>
            <w:noWrap/>
            <w:vAlign w:val="center"/>
          </w:tcPr>
          <w:p w14:paraId="55D592E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7D71E602"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1591D41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168319E7" w14:textId="77777777" w:rsidR="00037542" w:rsidRPr="00C36F20" w:rsidRDefault="00037542" w:rsidP="00037542">
            <w:pPr>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3E8583B1"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2319EFCD"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35113E6D"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7194A2DA" w14:textId="77777777" w:rsidR="00037542" w:rsidRPr="00C36F20" w:rsidRDefault="00037542" w:rsidP="00037542">
            <w:pPr>
              <w:jc w:val="center"/>
              <w:rPr>
                <w:rFonts w:ascii="Arial" w:hAnsi="Arial"/>
                <w:snapToGrid/>
                <w:color w:val="000000"/>
                <w:sz w:val="16"/>
                <w:szCs w:val="16"/>
                <w:lang w:eastAsia="en-AU"/>
              </w:rPr>
            </w:pPr>
          </w:p>
        </w:tc>
        <w:tc>
          <w:tcPr>
            <w:tcW w:w="698" w:type="dxa"/>
            <w:tcBorders>
              <w:top w:val="single" w:sz="4" w:space="0" w:color="E0301E" w:themeColor="accent6"/>
              <w:bottom w:val="single" w:sz="4" w:space="0" w:color="E0301E" w:themeColor="accent6"/>
            </w:tcBorders>
            <w:vAlign w:val="center"/>
          </w:tcPr>
          <w:p w14:paraId="6E387B6E"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07E41D15"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587B2A" w14:paraId="7C09216E"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hideMark/>
          </w:tcPr>
          <w:p w14:paraId="067B8F48"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Previous welfare utilisation</w:t>
            </w:r>
          </w:p>
        </w:tc>
        <w:tc>
          <w:tcPr>
            <w:tcW w:w="813" w:type="dxa"/>
            <w:tcBorders>
              <w:top w:val="single" w:sz="4" w:space="0" w:color="E0301E" w:themeColor="accent6"/>
              <w:bottom w:val="single" w:sz="4" w:space="0" w:color="E0301E" w:themeColor="accent6"/>
            </w:tcBorders>
            <w:shd w:val="clear" w:color="auto" w:fill="auto"/>
            <w:noWrap/>
            <w:vAlign w:val="center"/>
          </w:tcPr>
          <w:p w14:paraId="4D34673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6E6798D1"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175E77D9"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1E28854B"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138E5056"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55ACAEA9"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5CB564CE"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35E923C1"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698" w:type="dxa"/>
            <w:tcBorders>
              <w:top w:val="single" w:sz="4" w:space="0" w:color="E0301E" w:themeColor="accent6"/>
              <w:bottom w:val="single" w:sz="4" w:space="0" w:color="E0301E" w:themeColor="accent6"/>
            </w:tcBorders>
            <w:vAlign w:val="center"/>
          </w:tcPr>
          <w:p w14:paraId="4C0D72B0"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3AF5A008"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587B2A" w14:paraId="68A0FD5C"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tcPr>
          <w:p w14:paraId="05546097"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Payment type</w:t>
            </w:r>
          </w:p>
        </w:tc>
        <w:tc>
          <w:tcPr>
            <w:tcW w:w="813" w:type="dxa"/>
            <w:tcBorders>
              <w:top w:val="single" w:sz="4" w:space="0" w:color="E0301E" w:themeColor="accent6"/>
              <w:bottom w:val="single" w:sz="4" w:space="0" w:color="E0301E" w:themeColor="accent6"/>
            </w:tcBorders>
            <w:shd w:val="clear" w:color="auto" w:fill="auto"/>
            <w:noWrap/>
            <w:vAlign w:val="center"/>
          </w:tcPr>
          <w:p w14:paraId="110A3C6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50BCE495"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799A10C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26837F29" w14:textId="77777777" w:rsidR="00037542" w:rsidRPr="00C36F20" w:rsidRDefault="00037542" w:rsidP="00037542">
            <w:pPr>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1DB216F2"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54270D97"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79414539"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5809A713" w14:textId="77777777" w:rsidR="00037542" w:rsidRPr="00C36F20" w:rsidRDefault="00037542" w:rsidP="00037542">
            <w:pPr>
              <w:jc w:val="center"/>
              <w:rPr>
                <w:rFonts w:ascii="Arial" w:hAnsi="Arial"/>
                <w:snapToGrid/>
                <w:color w:val="000000"/>
                <w:sz w:val="16"/>
                <w:szCs w:val="16"/>
                <w:lang w:eastAsia="en-AU"/>
              </w:rPr>
            </w:pPr>
          </w:p>
        </w:tc>
        <w:tc>
          <w:tcPr>
            <w:tcW w:w="698" w:type="dxa"/>
            <w:tcBorders>
              <w:top w:val="single" w:sz="4" w:space="0" w:color="E0301E" w:themeColor="accent6"/>
              <w:bottom w:val="single" w:sz="4" w:space="0" w:color="E0301E" w:themeColor="accent6"/>
            </w:tcBorders>
            <w:vAlign w:val="center"/>
          </w:tcPr>
          <w:p w14:paraId="055B580D"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1C4D9D87" w14:textId="77777777" w:rsidR="00037542" w:rsidRPr="00C36F20" w:rsidRDefault="00037542" w:rsidP="00037542">
            <w:pPr>
              <w:jc w:val="center"/>
              <w:rPr>
                <w:rFonts w:ascii="Arial" w:hAnsi="Arial"/>
                <w:snapToGrid/>
                <w:color w:val="000000"/>
                <w:sz w:val="16"/>
                <w:szCs w:val="16"/>
                <w:lang w:eastAsia="en-AU"/>
              </w:rPr>
            </w:pPr>
          </w:p>
        </w:tc>
      </w:tr>
      <w:tr w:rsidR="00037542" w:rsidRPr="00587B2A" w14:paraId="43B82160"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tcPr>
          <w:p w14:paraId="0324B0E8"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Primary medical condition</w:t>
            </w:r>
          </w:p>
        </w:tc>
        <w:tc>
          <w:tcPr>
            <w:tcW w:w="813" w:type="dxa"/>
            <w:tcBorders>
              <w:top w:val="single" w:sz="4" w:space="0" w:color="E0301E" w:themeColor="accent6"/>
              <w:bottom w:val="single" w:sz="4" w:space="0" w:color="E0301E" w:themeColor="accent6"/>
            </w:tcBorders>
            <w:shd w:val="clear" w:color="auto" w:fill="auto"/>
            <w:noWrap/>
            <w:vAlign w:val="center"/>
          </w:tcPr>
          <w:p w14:paraId="31A358C6"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62916904"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7F769B1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0427A223"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7F83CCC9"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7E54446F"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01D25BA0"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7E11C1FE" w14:textId="77777777" w:rsidR="00037542" w:rsidRPr="00C36F20" w:rsidRDefault="00037542" w:rsidP="00037542">
            <w:pPr>
              <w:jc w:val="center"/>
              <w:rPr>
                <w:rFonts w:ascii="Arial" w:hAnsi="Arial"/>
                <w:snapToGrid/>
                <w:color w:val="000000"/>
                <w:sz w:val="16"/>
                <w:szCs w:val="16"/>
                <w:lang w:eastAsia="en-AU"/>
              </w:rPr>
            </w:pPr>
          </w:p>
        </w:tc>
        <w:tc>
          <w:tcPr>
            <w:tcW w:w="698" w:type="dxa"/>
            <w:tcBorders>
              <w:top w:val="single" w:sz="4" w:space="0" w:color="E0301E" w:themeColor="accent6"/>
              <w:bottom w:val="single" w:sz="4" w:space="0" w:color="E0301E" w:themeColor="accent6"/>
            </w:tcBorders>
            <w:vAlign w:val="center"/>
          </w:tcPr>
          <w:p w14:paraId="0A4C2850"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26B332FF" w14:textId="77777777" w:rsidR="00037542" w:rsidRPr="00C36F20" w:rsidRDefault="00037542" w:rsidP="00037542">
            <w:pPr>
              <w:jc w:val="center"/>
              <w:rPr>
                <w:rFonts w:ascii="Arial" w:hAnsi="Arial"/>
                <w:snapToGrid/>
                <w:color w:val="000000"/>
                <w:sz w:val="16"/>
                <w:szCs w:val="16"/>
                <w:lang w:eastAsia="en-AU"/>
              </w:rPr>
            </w:pPr>
          </w:p>
        </w:tc>
      </w:tr>
      <w:tr w:rsidR="00037542" w:rsidRPr="00587B2A" w14:paraId="057114AD"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tcPr>
          <w:p w14:paraId="09E53752"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Earnings indicator</w:t>
            </w:r>
          </w:p>
        </w:tc>
        <w:tc>
          <w:tcPr>
            <w:tcW w:w="813" w:type="dxa"/>
            <w:tcBorders>
              <w:top w:val="single" w:sz="4" w:space="0" w:color="E0301E" w:themeColor="accent6"/>
              <w:bottom w:val="single" w:sz="4" w:space="0" w:color="E0301E" w:themeColor="accent6"/>
            </w:tcBorders>
            <w:shd w:val="clear" w:color="auto" w:fill="auto"/>
            <w:noWrap/>
            <w:vAlign w:val="center"/>
          </w:tcPr>
          <w:p w14:paraId="3987F74B"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3026BC0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59094DAF"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3" w:type="dxa"/>
            <w:tcBorders>
              <w:top w:val="single" w:sz="4" w:space="0" w:color="E0301E" w:themeColor="accent6"/>
              <w:bottom w:val="single" w:sz="4" w:space="0" w:color="E0301E" w:themeColor="accent6"/>
            </w:tcBorders>
            <w:shd w:val="clear" w:color="auto" w:fill="auto"/>
            <w:noWrap/>
            <w:vAlign w:val="center"/>
          </w:tcPr>
          <w:p w14:paraId="54F6224B"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c>
          <w:tcPr>
            <w:tcW w:w="814" w:type="dxa"/>
            <w:tcBorders>
              <w:top w:val="single" w:sz="4" w:space="0" w:color="E0301E" w:themeColor="accent6"/>
              <w:bottom w:val="single" w:sz="4" w:space="0" w:color="E0301E" w:themeColor="accent6"/>
            </w:tcBorders>
            <w:shd w:val="clear" w:color="auto" w:fill="auto"/>
            <w:noWrap/>
            <w:vAlign w:val="center"/>
          </w:tcPr>
          <w:p w14:paraId="018E6A6C"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4F95562C"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2F17C4E1"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3DE8CA73" w14:textId="77777777" w:rsidR="00037542" w:rsidRPr="00C36F20" w:rsidRDefault="00037542" w:rsidP="00037542">
            <w:pPr>
              <w:jc w:val="center"/>
              <w:rPr>
                <w:rFonts w:ascii="Arial" w:hAnsi="Arial"/>
                <w:snapToGrid/>
                <w:color w:val="000000"/>
                <w:sz w:val="16"/>
                <w:szCs w:val="16"/>
                <w:lang w:eastAsia="en-AU"/>
              </w:rPr>
            </w:pPr>
          </w:p>
        </w:tc>
        <w:tc>
          <w:tcPr>
            <w:tcW w:w="698" w:type="dxa"/>
            <w:tcBorders>
              <w:top w:val="single" w:sz="4" w:space="0" w:color="E0301E" w:themeColor="accent6"/>
              <w:bottom w:val="single" w:sz="4" w:space="0" w:color="E0301E" w:themeColor="accent6"/>
            </w:tcBorders>
            <w:vAlign w:val="center"/>
          </w:tcPr>
          <w:p w14:paraId="26AB6808"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18C2D4F9"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r w:rsidR="00037542" w:rsidRPr="00587B2A" w14:paraId="0138BB3F" w14:textId="77777777" w:rsidTr="00037542">
        <w:trPr>
          <w:trHeight w:hRule="exact" w:val="397"/>
        </w:trPr>
        <w:tc>
          <w:tcPr>
            <w:tcW w:w="1818" w:type="dxa"/>
            <w:tcBorders>
              <w:top w:val="single" w:sz="4" w:space="0" w:color="E0301E" w:themeColor="accent6"/>
              <w:bottom w:val="single" w:sz="4" w:space="0" w:color="E0301E" w:themeColor="accent6"/>
            </w:tcBorders>
            <w:shd w:val="clear" w:color="auto" w:fill="auto"/>
            <w:vAlign w:val="center"/>
          </w:tcPr>
          <w:p w14:paraId="5E32D782" w14:textId="77777777" w:rsidR="00037542" w:rsidRPr="00950BDE" w:rsidRDefault="00037542" w:rsidP="00037542">
            <w:pPr>
              <w:kinsoku/>
              <w:overflowPunct/>
              <w:autoSpaceDE/>
              <w:autoSpaceDN/>
              <w:adjustRightInd/>
              <w:snapToGrid/>
              <w:rPr>
                <w:rFonts w:ascii="Arial" w:hAnsi="Arial"/>
                <w:snapToGrid/>
                <w:color w:val="000000"/>
                <w:sz w:val="16"/>
                <w:szCs w:val="16"/>
                <w:lang w:eastAsia="en-AU"/>
              </w:rPr>
            </w:pPr>
            <w:r w:rsidRPr="00950BDE">
              <w:rPr>
                <w:rFonts w:ascii="Arial" w:hAnsi="Arial"/>
                <w:snapToGrid/>
                <w:color w:val="000000"/>
                <w:sz w:val="16"/>
                <w:szCs w:val="16"/>
                <w:lang w:eastAsia="en-AU"/>
              </w:rPr>
              <w:t>Indigenous status</w:t>
            </w:r>
          </w:p>
        </w:tc>
        <w:tc>
          <w:tcPr>
            <w:tcW w:w="813" w:type="dxa"/>
            <w:tcBorders>
              <w:top w:val="single" w:sz="4" w:space="0" w:color="E0301E" w:themeColor="accent6"/>
              <w:bottom w:val="single" w:sz="4" w:space="0" w:color="E0301E" w:themeColor="accent6"/>
            </w:tcBorders>
            <w:shd w:val="clear" w:color="auto" w:fill="auto"/>
            <w:noWrap/>
            <w:vAlign w:val="center"/>
          </w:tcPr>
          <w:p w14:paraId="5F828BF0"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2E3F5DBD"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4FFBF68C" w14:textId="77777777" w:rsidR="00037542" w:rsidRPr="00C36F20"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102E3F5D" w14:textId="77777777" w:rsidR="00037542" w:rsidRPr="00C36F20" w:rsidRDefault="00037542" w:rsidP="00037542">
            <w:pPr>
              <w:jc w:val="center"/>
              <w:rPr>
                <w:rFonts w:ascii="Arial" w:hAnsi="Arial"/>
                <w:snapToGrid/>
                <w:color w:val="000000"/>
                <w:sz w:val="16"/>
                <w:szCs w:val="16"/>
                <w:lang w:eastAsia="en-AU"/>
              </w:rPr>
            </w:pPr>
          </w:p>
        </w:tc>
        <w:tc>
          <w:tcPr>
            <w:tcW w:w="814" w:type="dxa"/>
            <w:tcBorders>
              <w:top w:val="single" w:sz="4" w:space="0" w:color="E0301E" w:themeColor="accent6"/>
              <w:bottom w:val="single" w:sz="4" w:space="0" w:color="E0301E" w:themeColor="accent6"/>
            </w:tcBorders>
            <w:shd w:val="clear" w:color="auto" w:fill="auto"/>
            <w:noWrap/>
            <w:vAlign w:val="center"/>
          </w:tcPr>
          <w:p w14:paraId="594198D8"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449169F0" w14:textId="77777777" w:rsidR="00037542" w:rsidRPr="00C36F20" w:rsidRDefault="00037542" w:rsidP="00037542">
            <w:pPr>
              <w:jc w:val="center"/>
              <w:rPr>
                <w:rFonts w:ascii="Arial" w:hAnsi="Arial"/>
                <w:snapToGrid/>
                <w:color w:val="000000"/>
                <w:sz w:val="16"/>
                <w:szCs w:val="16"/>
                <w:lang w:eastAsia="en-AU"/>
              </w:rPr>
            </w:pPr>
          </w:p>
        </w:tc>
        <w:tc>
          <w:tcPr>
            <w:tcW w:w="813" w:type="dxa"/>
            <w:tcBorders>
              <w:top w:val="single" w:sz="4" w:space="0" w:color="E0301E" w:themeColor="accent6"/>
              <w:bottom w:val="single" w:sz="4" w:space="0" w:color="E0301E" w:themeColor="accent6"/>
            </w:tcBorders>
            <w:shd w:val="clear" w:color="auto" w:fill="auto"/>
            <w:noWrap/>
            <w:vAlign w:val="center"/>
          </w:tcPr>
          <w:p w14:paraId="199A035E"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447FE532" w14:textId="77777777" w:rsidR="00037542" w:rsidRPr="00C36F20" w:rsidRDefault="00037542" w:rsidP="00037542">
            <w:pPr>
              <w:jc w:val="center"/>
              <w:rPr>
                <w:rFonts w:ascii="Arial" w:hAnsi="Arial"/>
                <w:snapToGrid/>
                <w:color w:val="000000"/>
                <w:sz w:val="16"/>
                <w:szCs w:val="16"/>
                <w:lang w:eastAsia="en-AU"/>
              </w:rPr>
            </w:pPr>
          </w:p>
        </w:tc>
        <w:tc>
          <w:tcPr>
            <w:tcW w:w="698" w:type="dxa"/>
            <w:tcBorders>
              <w:top w:val="single" w:sz="4" w:space="0" w:color="E0301E" w:themeColor="accent6"/>
              <w:bottom w:val="single" w:sz="4" w:space="0" w:color="E0301E" w:themeColor="accent6"/>
            </w:tcBorders>
            <w:vAlign w:val="center"/>
          </w:tcPr>
          <w:p w14:paraId="798883E8" w14:textId="77777777" w:rsidR="00037542" w:rsidRPr="00C36F20" w:rsidRDefault="00037542" w:rsidP="00037542">
            <w:pPr>
              <w:jc w:val="center"/>
              <w:rPr>
                <w:rFonts w:ascii="Arial" w:hAnsi="Arial"/>
                <w:snapToGrid/>
                <w:color w:val="000000"/>
                <w:sz w:val="16"/>
                <w:szCs w:val="16"/>
                <w:lang w:eastAsia="en-AU"/>
              </w:rPr>
            </w:pPr>
          </w:p>
        </w:tc>
        <w:tc>
          <w:tcPr>
            <w:tcW w:w="964" w:type="dxa"/>
            <w:tcBorders>
              <w:top w:val="single" w:sz="4" w:space="0" w:color="E0301E" w:themeColor="accent6"/>
              <w:bottom w:val="single" w:sz="4" w:space="0" w:color="E0301E" w:themeColor="accent6"/>
            </w:tcBorders>
            <w:shd w:val="clear" w:color="auto" w:fill="auto"/>
            <w:noWrap/>
            <w:vAlign w:val="center"/>
          </w:tcPr>
          <w:p w14:paraId="053945D5" w14:textId="77777777" w:rsidR="00037542" w:rsidRPr="00C36F20" w:rsidRDefault="00037542" w:rsidP="00037542">
            <w:pPr>
              <w:jc w:val="center"/>
              <w:rPr>
                <w:rFonts w:ascii="Arial" w:hAnsi="Arial"/>
                <w:snapToGrid/>
                <w:color w:val="000000"/>
                <w:sz w:val="16"/>
                <w:szCs w:val="16"/>
                <w:lang w:eastAsia="en-AU"/>
              </w:rPr>
            </w:pPr>
            <w:r w:rsidRPr="00C36F20">
              <w:rPr>
                <w:rFonts w:ascii="Arial" w:hAnsi="Arial"/>
                <w:snapToGrid/>
                <w:color w:val="000000"/>
                <w:sz w:val="16"/>
                <w:szCs w:val="16"/>
                <w:lang w:eastAsia="en-AU"/>
              </w:rPr>
              <w:t>Y</w:t>
            </w:r>
          </w:p>
        </w:tc>
      </w:tr>
    </w:tbl>
    <w:p w14:paraId="78742292" w14:textId="77777777" w:rsidR="00037542" w:rsidRDefault="00037542" w:rsidP="00037542">
      <w:pPr>
        <w:kinsoku/>
        <w:overflowPunct/>
        <w:autoSpaceDE/>
        <w:autoSpaceDN/>
        <w:adjustRightInd/>
        <w:snapToGrid/>
        <w:rPr>
          <w:rFonts w:asciiTheme="majorHAnsi" w:hAnsiTheme="majorHAnsi"/>
          <w:b/>
          <w:color w:val="E0301E"/>
          <w:sz w:val="24"/>
          <w:szCs w:val="24"/>
        </w:rPr>
      </w:pPr>
      <w:r>
        <w:br w:type="page"/>
      </w:r>
    </w:p>
    <w:p w14:paraId="1A5F2E35" w14:textId="77777777" w:rsidR="00037542" w:rsidRPr="00814ABA" w:rsidRDefault="00037542" w:rsidP="00037542">
      <w:pPr>
        <w:pStyle w:val="Majorheading"/>
      </w:pPr>
      <w:r w:rsidRPr="00814ABA">
        <w:lastRenderedPageBreak/>
        <w:t>Payment category amount assumptions</w:t>
      </w:r>
    </w:p>
    <w:p w14:paraId="507C6D50" w14:textId="77777777" w:rsidR="00037542" w:rsidRPr="00814ABA" w:rsidRDefault="00037542" w:rsidP="00037542">
      <w:pPr>
        <w:pStyle w:val="PwCNormal"/>
        <w:keepNext/>
        <w:numPr>
          <w:ilvl w:val="0"/>
          <w:numId w:val="1"/>
        </w:numPr>
      </w:pPr>
      <w:r w:rsidRPr="00814ABA">
        <w:t xml:space="preserve">The approaches adopted for each payment category for each class are summarised below; these are applied for people who utilise a payment. The risk based assumptions cover 98% of the income support payments and </w:t>
      </w:r>
      <w:r>
        <w:t>8</w:t>
      </w:r>
      <w:r w:rsidRPr="00814ABA">
        <w:t>6% of overall payments.</w:t>
      </w:r>
    </w:p>
    <w:p w14:paraId="507A6988" w14:textId="77777777" w:rsidR="00037542" w:rsidRPr="00814ABA" w:rsidRDefault="00037542" w:rsidP="00037542">
      <w:pPr>
        <w:pStyle w:val="Caption"/>
      </w:pPr>
      <w:r w:rsidRPr="00814ABA">
        <w:t xml:space="preserve">Table </w:t>
      </w:r>
      <w:fldSimple w:instr=" SEQ Table \* ARABIC ">
        <w:r w:rsidR="007A42DF">
          <w:rPr>
            <w:noProof/>
          </w:rPr>
          <w:t>73</w:t>
        </w:r>
      </w:fldSimple>
      <w:r w:rsidRPr="00814ABA">
        <w:t>: Approach adopted for developing pay</w:t>
      </w:r>
      <w:r>
        <w:t xml:space="preserve">ment assumptions for each class: </w:t>
      </w:r>
      <w:r w:rsidRPr="00814ABA">
        <w:t>I</w:t>
      </w:r>
      <w:r>
        <w:t>ncome support.</w:t>
      </w:r>
    </w:p>
    <w:tbl>
      <w:tblPr>
        <w:tblW w:w="9905" w:type="dxa"/>
        <w:tblInd w:w="93" w:type="dxa"/>
        <w:tblBorders>
          <w:top w:val="single" w:sz="4" w:space="0" w:color="E0301E"/>
          <w:bottom w:val="single" w:sz="4" w:space="0" w:color="E0301E"/>
          <w:insideH w:val="single" w:sz="4" w:space="0" w:color="E0301E"/>
        </w:tblBorders>
        <w:tblLayout w:type="fixed"/>
        <w:tblLook w:val="0480" w:firstRow="0" w:lastRow="0" w:firstColumn="1" w:lastColumn="0" w:noHBand="0" w:noVBand="1"/>
        <w:tblCaption w:val="Approach adopted for developing payment assumptions for each class: Income support."/>
        <w:tblDescription w:val="This table describes the adopted approach for developing payment assumptions within each class for each of the income support payment types. For reference, the income support payment types are income support studying, income support working, income support parents, income support carers, income support disability, income support aged and income support dependant. These are listed across the top of the table. Down the left hand side are listed classes 1 to 12. Each cell in the table takes one of the following values: RG, RD, F and N/A. These represent the different approaches for developing assumptions.&#10;&#10;RG indicates risk based assumptions are used, fitted using a generalised linear model. RD indicates risk based assumptions are used, fitted using a decision tree. F indicates Foundation assumptions have been used. N/A refers to not applicable.  It is used across all cells for classes 7-12 as individuals in these classes by definition cannot have utilised an income support payment category in the current year. As such, no payment assumption has been modelled for these combinations.&#10;&#10;Each income support class has a primary payment which all individuals in that class must receive by definition. In particular, the primary payment category for classes 1-6 are payment categories A-F respectively. The only exception is for class 2, which has two primary payment categories (B and G). For each of these combinations of class and primary payment category (except class 2), either the RG or the RD approach is used.  The RG approach was used for Classes 1, 2 and 6 for the IS Studying, IS Working Age and IS Aged Pension payments respectively. The RD approach was used for Classes 4, 5 and 2 for the IS Carers, IS Disability and IS Dependent payments respectively. &#10;&#10;For all other Income Support payment categories, the F* approach was used to develop assumptions for classes 1-6.&#10;"/>
      </w:tblPr>
      <w:tblGrid>
        <w:gridCol w:w="2425"/>
        <w:gridCol w:w="1057"/>
        <w:gridCol w:w="1058"/>
        <w:gridCol w:w="1058"/>
        <w:gridCol w:w="1057"/>
        <w:gridCol w:w="1058"/>
        <w:gridCol w:w="1058"/>
        <w:gridCol w:w="1134"/>
      </w:tblGrid>
      <w:tr w:rsidR="00037542" w:rsidRPr="00814ABA" w14:paraId="1BFA64C5" w14:textId="77777777" w:rsidTr="00037542">
        <w:trPr>
          <w:trHeight w:val="731"/>
          <w:tblHeader/>
        </w:trPr>
        <w:tc>
          <w:tcPr>
            <w:tcW w:w="2425" w:type="dxa"/>
            <w:tcBorders>
              <w:bottom w:val="nil"/>
            </w:tcBorders>
            <w:shd w:val="clear" w:color="auto" w:fill="E0301E"/>
            <w:vAlign w:val="center"/>
            <w:hideMark/>
          </w:tcPr>
          <w:p w14:paraId="032F6D96" w14:textId="77777777" w:rsidR="00037542" w:rsidRPr="00814ABA" w:rsidRDefault="00037542" w:rsidP="00037542">
            <w:pPr>
              <w:pStyle w:val="TableColumnHeadingSmall"/>
              <w:rPr>
                <w:snapToGrid/>
                <w:lang w:eastAsia="en-AU"/>
              </w:rPr>
            </w:pPr>
            <w:r w:rsidRPr="00814ABA">
              <w:rPr>
                <w:snapToGrid/>
                <w:lang w:eastAsia="en-AU"/>
              </w:rPr>
              <w:t>Model class (at t+1)</w:t>
            </w:r>
          </w:p>
        </w:tc>
        <w:tc>
          <w:tcPr>
            <w:tcW w:w="1057" w:type="dxa"/>
            <w:tcBorders>
              <w:bottom w:val="nil"/>
            </w:tcBorders>
            <w:shd w:val="clear" w:color="auto" w:fill="E0301E"/>
            <w:hideMark/>
          </w:tcPr>
          <w:p w14:paraId="4D8BCB8A" w14:textId="77777777" w:rsidR="00037542" w:rsidRPr="00814ABA" w:rsidRDefault="00037542" w:rsidP="00037542">
            <w:pPr>
              <w:pStyle w:val="TableColumnHeadingSmall"/>
              <w:jc w:val="center"/>
              <w:rPr>
                <w:snapToGrid/>
                <w:lang w:eastAsia="en-AU"/>
              </w:rPr>
            </w:pPr>
            <w:r w:rsidRPr="00814ABA">
              <w:rPr>
                <w:snapToGrid/>
                <w:lang w:eastAsia="en-AU"/>
              </w:rPr>
              <w:t>A</w:t>
            </w:r>
          </w:p>
          <w:p w14:paraId="070C41E2" w14:textId="77777777" w:rsidR="00037542" w:rsidRDefault="00037542" w:rsidP="00037542">
            <w:pPr>
              <w:pStyle w:val="TableColumnHeadingSmall"/>
              <w:jc w:val="center"/>
              <w:rPr>
                <w:snapToGrid/>
                <w:lang w:eastAsia="en-AU"/>
              </w:rPr>
            </w:pPr>
            <w:r w:rsidRPr="00814ABA">
              <w:rPr>
                <w:snapToGrid/>
                <w:lang w:eastAsia="en-AU"/>
              </w:rPr>
              <w:t>IS</w:t>
            </w:r>
          </w:p>
          <w:p w14:paraId="7C482FEC" w14:textId="77777777" w:rsidR="00037542" w:rsidRPr="00814ABA" w:rsidRDefault="00037542" w:rsidP="00037542">
            <w:pPr>
              <w:pStyle w:val="TableColumnHeadingSmall"/>
              <w:jc w:val="center"/>
              <w:rPr>
                <w:snapToGrid/>
                <w:lang w:eastAsia="en-AU"/>
              </w:rPr>
            </w:pPr>
            <w:r w:rsidRPr="00814ABA">
              <w:rPr>
                <w:snapToGrid/>
                <w:lang w:eastAsia="en-AU"/>
              </w:rPr>
              <w:t>Studying</w:t>
            </w:r>
          </w:p>
        </w:tc>
        <w:tc>
          <w:tcPr>
            <w:tcW w:w="1058" w:type="dxa"/>
            <w:tcBorders>
              <w:bottom w:val="nil"/>
            </w:tcBorders>
            <w:shd w:val="clear" w:color="auto" w:fill="E0301E"/>
            <w:hideMark/>
          </w:tcPr>
          <w:p w14:paraId="7863731B" w14:textId="77777777" w:rsidR="00037542" w:rsidRPr="00814ABA" w:rsidRDefault="00037542" w:rsidP="00037542">
            <w:pPr>
              <w:pStyle w:val="TableColumnHeadingSmall"/>
              <w:jc w:val="center"/>
              <w:rPr>
                <w:snapToGrid/>
                <w:lang w:eastAsia="en-AU"/>
              </w:rPr>
            </w:pPr>
            <w:r w:rsidRPr="00814ABA">
              <w:rPr>
                <w:snapToGrid/>
                <w:lang w:eastAsia="en-AU"/>
              </w:rPr>
              <w:t>B</w:t>
            </w:r>
          </w:p>
          <w:p w14:paraId="1A43D51D" w14:textId="77777777" w:rsidR="00037542" w:rsidRPr="00814ABA" w:rsidRDefault="00037542" w:rsidP="00037542">
            <w:pPr>
              <w:pStyle w:val="TableColumnHeadingSmall"/>
              <w:jc w:val="center"/>
              <w:rPr>
                <w:snapToGrid/>
                <w:lang w:eastAsia="en-AU"/>
              </w:rPr>
            </w:pPr>
            <w:r w:rsidRPr="00814ABA">
              <w:rPr>
                <w:snapToGrid/>
                <w:lang w:eastAsia="en-AU"/>
              </w:rPr>
              <w:t xml:space="preserve">IS </w:t>
            </w:r>
            <w:r>
              <w:rPr>
                <w:snapToGrid/>
                <w:lang w:eastAsia="en-AU"/>
              </w:rPr>
              <w:t xml:space="preserve">Working </w:t>
            </w:r>
            <w:r w:rsidRPr="00814ABA">
              <w:rPr>
                <w:snapToGrid/>
                <w:lang w:eastAsia="en-AU"/>
              </w:rPr>
              <w:t>Age</w:t>
            </w:r>
          </w:p>
        </w:tc>
        <w:tc>
          <w:tcPr>
            <w:tcW w:w="1058" w:type="dxa"/>
            <w:tcBorders>
              <w:bottom w:val="nil"/>
            </w:tcBorders>
            <w:shd w:val="clear" w:color="auto" w:fill="E0301E"/>
            <w:hideMark/>
          </w:tcPr>
          <w:p w14:paraId="37536837" w14:textId="77777777" w:rsidR="00037542" w:rsidRPr="00814ABA" w:rsidRDefault="00037542" w:rsidP="00037542">
            <w:pPr>
              <w:pStyle w:val="TableColumnHeadingSmall"/>
              <w:jc w:val="center"/>
              <w:rPr>
                <w:snapToGrid/>
                <w:lang w:eastAsia="en-AU"/>
              </w:rPr>
            </w:pPr>
            <w:r w:rsidRPr="00814ABA">
              <w:rPr>
                <w:snapToGrid/>
                <w:lang w:eastAsia="en-AU"/>
              </w:rPr>
              <w:t>C</w:t>
            </w:r>
          </w:p>
          <w:p w14:paraId="15D1E60B" w14:textId="77777777" w:rsidR="00037542" w:rsidRDefault="00037542" w:rsidP="00037542">
            <w:pPr>
              <w:pStyle w:val="TableColumnHeadingSmall"/>
              <w:jc w:val="center"/>
              <w:rPr>
                <w:snapToGrid/>
                <w:lang w:eastAsia="en-AU"/>
              </w:rPr>
            </w:pPr>
            <w:r w:rsidRPr="00814ABA">
              <w:rPr>
                <w:snapToGrid/>
                <w:lang w:eastAsia="en-AU"/>
              </w:rPr>
              <w:t>IS</w:t>
            </w:r>
          </w:p>
          <w:p w14:paraId="3072E23A" w14:textId="77777777" w:rsidR="00037542" w:rsidRPr="00814ABA" w:rsidRDefault="00037542" w:rsidP="00037542">
            <w:pPr>
              <w:pStyle w:val="TableColumnHeadingSmall"/>
              <w:jc w:val="center"/>
              <w:rPr>
                <w:snapToGrid/>
                <w:lang w:eastAsia="en-AU"/>
              </w:rPr>
            </w:pPr>
            <w:r w:rsidRPr="00814ABA">
              <w:rPr>
                <w:snapToGrid/>
                <w:lang w:eastAsia="en-AU"/>
              </w:rPr>
              <w:t>Parents</w:t>
            </w:r>
          </w:p>
        </w:tc>
        <w:tc>
          <w:tcPr>
            <w:tcW w:w="1057" w:type="dxa"/>
            <w:tcBorders>
              <w:bottom w:val="nil"/>
            </w:tcBorders>
            <w:shd w:val="clear" w:color="auto" w:fill="E0301E"/>
            <w:hideMark/>
          </w:tcPr>
          <w:p w14:paraId="425DA7AF" w14:textId="77777777" w:rsidR="00037542" w:rsidRPr="00814ABA" w:rsidRDefault="00037542" w:rsidP="00037542">
            <w:pPr>
              <w:pStyle w:val="TableColumnHeadingSmall"/>
              <w:jc w:val="center"/>
              <w:rPr>
                <w:snapToGrid/>
                <w:lang w:eastAsia="en-AU"/>
              </w:rPr>
            </w:pPr>
            <w:r w:rsidRPr="00814ABA">
              <w:rPr>
                <w:snapToGrid/>
                <w:lang w:eastAsia="en-AU"/>
              </w:rPr>
              <w:t>D</w:t>
            </w:r>
          </w:p>
          <w:p w14:paraId="1DF6AB89" w14:textId="77777777" w:rsidR="00037542" w:rsidRDefault="00037542" w:rsidP="00037542">
            <w:pPr>
              <w:pStyle w:val="TableColumnHeadingSmall"/>
              <w:jc w:val="center"/>
              <w:rPr>
                <w:snapToGrid/>
                <w:lang w:eastAsia="en-AU"/>
              </w:rPr>
            </w:pPr>
            <w:r w:rsidRPr="00814ABA">
              <w:rPr>
                <w:snapToGrid/>
                <w:lang w:eastAsia="en-AU"/>
              </w:rPr>
              <w:t>IS</w:t>
            </w:r>
          </w:p>
          <w:p w14:paraId="1B1F5AC6" w14:textId="77777777" w:rsidR="00037542" w:rsidRPr="00814ABA" w:rsidRDefault="00037542" w:rsidP="00037542">
            <w:pPr>
              <w:pStyle w:val="TableColumnHeadingSmall"/>
              <w:jc w:val="center"/>
              <w:rPr>
                <w:snapToGrid/>
                <w:lang w:eastAsia="en-AU"/>
              </w:rPr>
            </w:pPr>
            <w:r w:rsidRPr="00814ABA">
              <w:rPr>
                <w:snapToGrid/>
                <w:lang w:eastAsia="en-AU"/>
              </w:rPr>
              <w:t>Carers</w:t>
            </w:r>
          </w:p>
        </w:tc>
        <w:tc>
          <w:tcPr>
            <w:tcW w:w="1058" w:type="dxa"/>
            <w:tcBorders>
              <w:bottom w:val="nil"/>
            </w:tcBorders>
            <w:shd w:val="clear" w:color="auto" w:fill="E0301E"/>
            <w:hideMark/>
          </w:tcPr>
          <w:p w14:paraId="1CEA13A8" w14:textId="77777777" w:rsidR="00037542" w:rsidRPr="00814ABA" w:rsidRDefault="00037542" w:rsidP="00037542">
            <w:pPr>
              <w:pStyle w:val="TableColumnHeadingSmall"/>
              <w:jc w:val="center"/>
              <w:rPr>
                <w:snapToGrid/>
                <w:lang w:eastAsia="en-AU"/>
              </w:rPr>
            </w:pPr>
            <w:r w:rsidRPr="00814ABA">
              <w:rPr>
                <w:snapToGrid/>
                <w:lang w:eastAsia="en-AU"/>
              </w:rPr>
              <w:t>E</w:t>
            </w:r>
          </w:p>
          <w:p w14:paraId="5B00D092" w14:textId="77777777" w:rsidR="00037542" w:rsidRDefault="00037542" w:rsidP="00037542">
            <w:pPr>
              <w:pStyle w:val="TableColumnHeadingSmall"/>
              <w:jc w:val="center"/>
              <w:rPr>
                <w:snapToGrid/>
                <w:lang w:eastAsia="en-AU"/>
              </w:rPr>
            </w:pPr>
            <w:r w:rsidRPr="00814ABA">
              <w:rPr>
                <w:snapToGrid/>
                <w:lang w:eastAsia="en-AU"/>
              </w:rPr>
              <w:t>IS</w:t>
            </w:r>
          </w:p>
          <w:p w14:paraId="494E6840" w14:textId="77777777" w:rsidR="00037542" w:rsidRPr="00814ABA" w:rsidRDefault="00037542" w:rsidP="00037542">
            <w:pPr>
              <w:pStyle w:val="TableColumnHeadingSmall"/>
              <w:jc w:val="center"/>
              <w:rPr>
                <w:snapToGrid/>
                <w:lang w:eastAsia="en-AU"/>
              </w:rPr>
            </w:pPr>
            <w:r w:rsidRPr="00814ABA">
              <w:rPr>
                <w:snapToGrid/>
                <w:lang w:eastAsia="en-AU"/>
              </w:rPr>
              <w:t>Disability</w:t>
            </w:r>
          </w:p>
        </w:tc>
        <w:tc>
          <w:tcPr>
            <w:tcW w:w="1058" w:type="dxa"/>
            <w:tcBorders>
              <w:bottom w:val="nil"/>
            </w:tcBorders>
            <w:shd w:val="clear" w:color="auto" w:fill="E0301E"/>
            <w:hideMark/>
          </w:tcPr>
          <w:p w14:paraId="600238B6" w14:textId="77777777" w:rsidR="00037542" w:rsidRPr="00814ABA" w:rsidRDefault="00037542" w:rsidP="00037542">
            <w:pPr>
              <w:pStyle w:val="TableColumnHeadingSmall"/>
              <w:jc w:val="center"/>
              <w:rPr>
                <w:snapToGrid/>
                <w:lang w:eastAsia="en-AU"/>
              </w:rPr>
            </w:pPr>
            <w:r w:rsidRPr="00814ABA">
              <w:rPr>
                <w:snapToGrid/>
                <w:lang w:eastAsia="en-AU"/>
              </w:rPr>
              <w:t>F</w:t>
            </w:r>
          </w:p>
          <w:p w14:paraId="504699AC" w14:textId="77777777" w:rsidR="00037542" w:rsidRDefault="00037542" w:rsidP="00037542">
            <w:pPr>
              <w:pStyle w:val="TableColumnHeadingSmall"/>
              <w:jc w:val="center"/>
              <w:rPr>
                <w:snapToGrid/>
                <w:lang w:eastAsia="en-AU"/>
              </w:rPr>
            </w:pPr>
            <w:r w:rsidRPr="00814ABA">
              <w:rPr>
                <w:snapToGrid/>
                <w:lang w:eastAsia="en-AU"/>
              </w:rPr>
              <w:t>IS</w:t>
            </w:r>
          </w:p>
          <w:p w14:paraId="3F82497B" w14:textId="77777777" w:rsidR="00037542" w:rsidRPr="00814ABA" w:rsidRDefault="00037542" w:rsidP="00037542">
            <w:pPr>
              <w:pStyle w:val="TableColumnHeadingSmall"/>
              <w:jc w:val="center"/>
              <w:rPr>
                <w:snapToGrid/>
                <w:lang w:eastAsia="en-AU"/>
              </w:rPr>
            </w:pPr>
            <w:r w:rsidRPr="00814ABA">
              <w:rPr>
                <w:snapToGrid/>
                <w:lang w:eastAsia="en-AU"/>
              </w:rPr>
              <w:t>Aged</w:t>
            </w:r>
          </w:p>
        </w:tc>
        <w:tc>
          <w:tcPr>
            <w:tcW w:w="1134" w:type="dxa"/>
            <w:tcBorders>
              <w:bottom w:val="nil"/>
            </w:tcBorders>
            <w:shd w:val="clear" w:color="auto" w:fill="E0301E"/>
            <w:hideMark/>
          </w:tcPr>
          <w:p w14:paraId="0449C00A" w14:textId="77777777" w:rsidR="00037542" w:rsidRPr="00814ABA" w:rsidRDefault="00037542" w:rsidP="00037542">
            <w:pPr>
              <w:pStyle w:val="TableColumnHeadingSmall"/>
              <w:jc w:val="center"/>
              <w:rPr>
                <w:snapToGrid/>
                <w:lang w:eastAsia="en-AU"/>
              </w:rPr>
            </w:pPr>
            <w:r w:rsidRPr="00814ABA">
              <w:rPr>
                <w:snapToGrid/>
                <w:lang w:eastAsia="en-AU"/>
              </w:rPr>
              <w:t>G</w:t>
            </w:r>
          </w:p>
          <w:p w14:paraId="1C58F6A2" w14:textId="77777777" w:rsidR="00037542" w:rsidRPr="00814ABA" w:rsidRDefault="00037542" w:rsidP="00037542">
            <w:pPr>
              <w:pStyle w:val="TableColumnHeadingSmall"/>
              <w:jc w:val="center"/>
              <w:rPr>
                <w:snapToGrid/>
                <w:lang w:eastAsia="en-AU"/>
              </w:rPr>
            </w:pPr>
            <w:r w:rsidRPr="00814ABA">
              <w:rPr>
                <w:snapToGrid/>
                <w:lang w:eastAsia="en-AU"/>
              </w:rPr>
              <w:t>IS Dependent</w:t>
            </w:r>
          </w:p>
        </w:tc>
      </w:tr>
      <w:tr w:rsidR="00037542" w:rsidRPr="00814ABA" w14:paraId="76078CA2" w14:textId="77777777" w:rsidTr="00037542">
        <w:trPr>
          <w:trHeight w:hRule="exact" w:val="312"/>
        </w:trPr>
        <w:tc>
          <w:tcPr>
            <w:tcW w:w="2425" w:type="dxa"/>
            <w:tcBorders>
              <w:top w:val="nil"/>
            </w:tcBorders>
            <w:shd w:val="clear" w:color="auto" w:fill="auto"/>
            <w:noWrap/>
            <w:vAlign w:val="center"/>
            <w:hideMark/>
          </w:tcPr>
          <w:p w14:paraId="6FF88AB7" w14:textId="77777777" w:rsidR="00037542" w:rsidRPr="00814ABA" w:rsidRDefault="00037542" w:rsidP="00037542">
            <w:pPr>
              <w:keepNext/>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 Studying</w:t>
            </w:r>
          </w:p>
        </w:tc>
        <w:tc>
          <w:tcPr>
            <w:tcW w:w="1057" w:type="dxa"/>
            <w:tcBorders>
              <w:top w:val="nil"/>
            </w:tcBorders>
            <w:shd w:val="clear" w:color="auto" w:fill="F5C9C7"/>
            <w:noWrap/>
            <w:vAlign w:val="center"/>
            <w:hideMark/>
          </w:tcPr>
          <w:p w14:paraId="2CEE94AE" w14:textId="77777777" w:rsidR="00037542" w:rsidRPr="00814ABA" w:rsidRDefault="00037542" w:rsidP="00037542">
            <w:pPr>
              <w:keepNext/>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1058" w:type="dxa"/>
            <w:tcBorders>
              <w:top w:val="nil"/>
            </w:tcBorders>
            <w:shd w:val="clear" w:color="auto" w:fill="FFFFFF" w:themeFill="background1"/>
            <w:noWrap/>
            <w:vAlign w:val="center"/>
            <w:hideMark/>
          </w:tcPr>
          <w:p w14:paraId="57CA96F9" w14:textId="77777777" w:rsidR="00037542" w:rsidRPr="00814ABA" w:rsidRDefault="00037542" w:rsidP="00037542">
            <w:pPr>
              <w:keepNext/>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1058" w:type="dxa"/>
            <w:tcBorders>
              <w:top w:val="nil"/>
            </w:tcBorders>
            <w:shd w:val="clear" w:color="auto" w:fill="FFFFFF" w:themeFill="background1"/>
            <w:noWrap/>
            <w:vAlign w:val="center"/>
            <w:hideMark/>
          </w:tcPr>
          <w:p w14:paraId="120EBE67" w14:textId="77777777" w:rsidR="00037542" w:rsidRPr="00814ABA" w:rsidRDefault="00037542" w:rsidP="00037542">
            <w:pPr>
              <w:keepNext/>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1057" w:type="dxa"/>
            <w:tcBorders>
              <w:top w:val="nil"/>
            </w:tcBorders>
            <w:shd w:val="clear" w:color="auto" w:fill="FFFFFF" w:themeFill="background1"/>
            <w:noWrap/>
            <w:vAlign w:val="center"/>
            <w:hideMark/>
          </w:tcPr>
          <w:p w14:paraId="5AAB3721" w14:textId="77777777" w:rsidR="00037542" w:rsidRPr="00814ABA" w:rsidRDefault="00037542" w:rsidP="00037542">
            <w:pPr>
              <w:keepNext/>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1058" w:type="dxa"/>
            <w:tcBorders>
              <w:top w:val="nil"/>
            </w:tcBorders>
            <w:shd w:val="clear" w:color="auto" w:fill="FFFFFF" w:themeFill="background1"/>
            <w:noWrap/>
            <w:vAlign w:val="center"/>
            <w:hideMark/>
          </w:tcPr>
          <w:p w14:paraId="756ED24A" w14:textId="77777777" w:rsidR="00037542" w:rsidRPr="00814ABA" w:rsidRDefault="00037542" w:rsidP="00037542">
            <w:pPr>
              <w:keepNext/>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1058" w:type="dxa"/>
            <w:tcBorders>
              <w:top w:val="nil"/>
            </w:tcBorders>
            <w:shd w:val="clear" w:color="auto" w:fill="FFFFFF" w:themeFill="background1"/>
            <w:noWrap/>
            <w:vAlign w:val="center"/>
            <w:hideMark/>
          </w:tcPr>
          <w:p w14:paraId="378650E7" w14:textId="77777777" w:rsidR="00037542" w:rsidRPr="00814ABA" w:rsidRDefault="00037542" w:rsidP="00037542">
            <w:pPr>
              <w:keepNext/>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1134" w:type="dxa"/>
            <w:tcBorders>
              <w:top w:val="nil"/>
            </w:tcBorders>
            <w:shd w:val="clear" w:color="auto" w:fill="FFFFFF" w:themeFill="background1"/>
            <w:noWrap/>
            <w:vAlign w:val="center"/>
            <w:hideMark/>
          </w:tcPr>
          <w:p w14:paraId="36DA76AD" w14:textId="77777777" w:rsidR="00037542" w:rsidRPr="00814ABA" w:rsidRDefault="00037542" w:rsidP="00037542">
            <w:pPr>
              <w:keepNext/>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r>
      <w:tr w:rsidR="00037542" w:rsidRPr="00814ABA" w14:paraId="7C475E4C" w14:textId="77777777" w:rsidTr="00037542">
        <w:trPr>
          <w:trHeight w:hRule="exact" w:val="312"/>
        </w:trPr>
        <w:tc>
          <w:tcPr>
            <w:tcW w:w="2425" w:type="dxa"/>
            <w:shd w:val="clear" w:color="auto" w:fill="auto"/>
            <w:noWrap/>
            <w:vAlign w:val="center"/>
            <w:hideMark/>
          </w:tcPr>
          <w:p w14:paraId="1AAB0F20"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2 Working Age</w:t>
            </w:r>
          </w:p>
        </w:tc>
        <w:tc>
          <w:tcPr>
            <w:tcW w:w="1057" w:type="dxa"/>
            <w:shd w:val="clear" w:color="auto" w:fill="FFFFFF" w:themeFill="background1"/>
            <w:noWrap/>
            <w:vAlign w:val="center"/>
            <w:hideMark/>
          </w:tcPr>
          <w:p w14:paraId="2F70043C"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1058" w:type="dxa"/>
            <w:shd w:val="clear" w:color="auto" w:fill="F5C9C7"/>
            <w:noWrap/>
            <w:vAlign w:val="center"/>
            <w:hideMark/>
          </w:tcPr>
          <w:p w14:paraId="775F41D1"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1058" w:type="dxa"/>
            <w:shd w:val="clear" w:color="auto" w:fill="FFFFFF" w:themeFill="background1"/>
            <w:noWrap/>
            <w:vAlign w:val="center"/>
            <w:hideMark/>
          </w:tcPr>
          <w:p w14:paraId="1C6CEED5"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1057" w:type="dxa"/>
            <w:shd w:val="clear" w:color="auto" w:fill="FFFFFF" w:themeFill="background1"/>
            <w:noWrap/>
            <w:vAlign w:val="center"/>
            <w:hideMark/>
          </w:tcPr>
          <w:p w14:paraId="1A131741"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1058" w:type="dxa"/>
            <w:shd w:val="clear" w:color="auto" w:fill="FFFFFF" w:themeFill="background1"/>
            <w:noWrap/>
            <w:vAlign w:val="center"/>
            <w:hideMark/>
          </w:tcPr>
          <w:p w14:paraId="696FE317"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1058" w:type="dxa"/>
            <w:shd w:val="clear" w:color="auto" w:fill="FFFFFF" w:themeFill="background1"/>
            <w:noWrap/>
            <w:vAlign w:val="center"/>
            <w:hideMark/>
          </w:tcPr>
          <w:p w14:paraId="0467D854"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1134" w:type="dxa"/>
            <w:shd w:val="clear" w:color="auto" w:fill="F5C9C7"/>
            <w:noWrap/>
            <w:vAlign w:val="center"/>
            <w:hideMark/>
          </w:tcPr>
          <w:p w14:paraId="1EE2C25E"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RD</w:t>
            </w:r>
          </w:p>
        </w:tc>
      </w:tr>
      <w:tr w:rsidR="00037542" w:rsidRPr="00814ABA" w14:paraId="718592C7" w14:textId="77777777" w:rsidTr="00037542">
        <w:trPr>
          <w:trHeight w:hRule="exact" w:val="312"/>
        </w:trPr>
        <w:tc>
          <w:tcPr>
            <w:tcW w:w="2425" w:type="dxa"/>
            <w:shd w:val="clear" w:color="auto" w:fill="auto"/>
            <w:noWrap/>
            <w:vAlign w:val="center"/>
            <w:hideMark/>
          </w:tcPr>
          <w:p w14:paraId="58F974C1"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3 Parents</w:t>
            </w:r>
          </w:p>
        </w:tc>
        <w:tc>
          <w:tcPr>
            <w:tcW w:w="1057" w:type="dxa"/>
            <w:shd w:val="clear" w:color="auto" w:fill="FFFFFF" w:themeFill="background1"/>
            <w:noWrap/>
            <w:vAlign w:val="center"/>
            <w:hideMark/>
          </w:tcPr>
          <w:p w14:paraId="750106B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FFFFF" w:themeFill="background1"/>
            <w:noWrap/>
            <w:vAlign w:val="center"/>
            <w:hideMark/>
          </w:tcPr>
          <w:p w14:paraId="436BD5A7"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5C9C7"/>
            <w:noWrap/>
            <w:vAlign w:val="center"/>
            <w:hideMark/>
          </w:tcPr>
          <w:p w14:paraId="1AF0379E"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1057" w:type="dxa"/>
            <w:shd w:val="clear" w:color="auto" w:fill="FFFFFF" w:themeFill="background1"/>
            <w:noWrap/>
            <w:vAlign w:val="center"/>
            <w:hideMark/>
          </w:tcPr>
          <w:p w14:paraId="0C927AF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FFFFF" w:themeFill="background1"/>
            <w:noWrap/>
            <w:vAlign w:val="center"/>
            <w:hideMark/>
          </w:tcPr>
          <w:p w14:paraId="6A845C60"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FFFFF" w:themeFill="background1"/>
            <w:noWrap/>
            <w:vAlign w:val="center"/>
            <w:hideMark/>
          </w:tcPr>
          <w:p w14:paraId="72D8B85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134" w:type="dxa"/>
            <w:shd w:val="clear" w:color="auto" w:fill="FFFFFF" w:themeFill="background1"/>
            <w:noWrap/>
            <w:vAlign w:val="center"/>
            <w:hideMark/>
          </w:tcPr>
          <w:p w14:paraId="7F260B1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3794A35F" w14:textId="77777777" w:rsidTr="00037542">
        <w:trPr>
          <w:trHeight w:hRule="exact" w:val="312"/>
        </w:trPr>
        <w:tc>
          <w:tcPr>
            <w:tcW w:w="2425" w:type="dxa"/>
            <w:shd w:val="clear" w:color="auto" w:fill="auto"/>
            <w:noWrap/>
            <w:vAlign w:val="center"/>
            <w:hideMark/>
          </w:tcPr>
          <w:p w14:paraId="2C5CD980"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4 Carers</w:t>
            </w:r>
          </w:p>
        </w:tc>
        <w:tc>
          <w:tcPr>
            <w:tcW w:w="1057" w:type="dxa"/>
            <w:shd w:val="clear" w:color="auto" w:fill="FFFFFF" w:themeFill="background1"/>
            <w:noWrap/>
            <w:vAlign w:val="center"/>
            <w:hideMark/>
          </w:tcPr>
          <w:p w14:paraId="0110CB10"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FFFFF" w:themeFill="background1"/>
            <w:noWrap/>
            <w:vAlign w:val="center"/>
            <w:hideMark/>
          </w:tcPr>
          <w:p w14:paraId="7C4AC3D4"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FFFFF" w:themeFill="background1"/>
            <w:noWrap/>
            <w:vAlign w:val="center"/>
            <w:hideMark/>
          </w:tcPr>
          <w:p w14:paraId="5B47A3D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7" w:type="dxa"/>
            <w:shd w:val="clear" w:color="auto" w:fill="F5C9C7"/>
            <w:noWrap/>
            <w:vAlign w:val="center"/>
            <w:hideMark/>
          </w:tcPr>
          <w:p w14:paraId="66662070"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RD</w:t>
            </w:r>
          </w:p>
        </w:tc>
        <w:tc>
          <w:tcPr>
            <w:tcW w:w="1058" w:type="dxa"/>
            <w:shd w:val="clear" w:color="auto" w:fill="FFFFFF" w:themeFill="background1"/>
            <w:noWrap/>
            <w:vAlign w:val="center"/>
            <w:hideMark/>
          </w:tcPr>
          <w:p w14:paraId="76F749A4"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FFFFF" w:themeFill="background1"/>
            <w:noWrap/>
            <w:vAlign w:val="center"/>
            <w:hideMark/>
          </w:tcPr>
          <w:p w14:paraId="07D11A6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134" w:type="dxa"/>
            <w:shd w:val="clear" w:color="auto" w:fill="FFFFFF" w:themeFill="background1"/>
            <w:noWrap/>
            <w:vAlign w:val="center"/>
            <w:hideMark/>
          </w:tcPr>
          <w:p w14:paraId="7BEFBF8E"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69B798E3" w14:textId="77777777" w:rsidTr="00037542">
        <w:trPr>
          <w:trHeight w:hRule="exact" w:val="312"/>
        </w:trPr>
        <w:tc>
          <w:tcPr>
            <w:tcW w:w="2425" w:type="dxa"/>
            <w:shd w:val="clear" w:color="auto" w:fill="auto"/>
            <w:noWrap/>
            <w:vAlign w:val="center"/>
            <w:hideMark/>
          </w:tcPr>
          <w:p w14:paraId="5C4C45DB"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5 Disability Support</w:t>
            </w:r>
          </w:p>
        </w:tc>
        <w:tc>
          <w:tcPr>
            <w:tcW w:w="1057" w:type="dxa"/>
            <w:shd w:val="clear" w:color="auto" w:fill="FFFFFF" w:themeFill="background1"/>
            <w:noWrap/>
            <w:vAlign w:val="center"/>
            <w:hideMark/>
          </w:tcPr>
          <w:p w14:paraId="7520D44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FFFFF" w:themeFill="background1"/>
            <w:noWrap/>
            <w:vAlign w:val="center"/>
            <w:hideMark/>
          </w:tcPr>
          <w:p w14:paraId="077D5D7A"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FFFFF" w:themeFill="background1"/>
            <w:noWrap/>
            <w:vAlign w:val="center"/>
            <w:hideMark/>
          </w:tcPr>
          <w:p w14:paraId="6F77BA27"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7" w:type="dxa"/>
            <w:shd w:val="clear" w:color="auto" w:fill="FFFFFF" w:themeFill="background1"/>
            <w:noWrap/>
            <w:vAlign w:val="center"/>
            <w:hideMark/>
          </w:tcPr>
          <w:p w14:paraId="5F2D6A25"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5C9C7"/>
            <w:noWrap/>
            <w:vAlign w:val="center"/>
            <w:hideMark/>
          </w:tcPr>
          <w:p w14:paraId="6C4DF092"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RD</w:t>
            </w:r>
          </w:p>
        </w:tc>
        <w:tc>
          <w:tcPr>
            <w:tcW w:w="1058" w:type="dxa"/>
            <w:shd w:val="clear" w:color="auto" w:fill="FFFFFF" w:themeFill="background1"/>
            <w:noWrap/>
            <w:vAlign w:val="center"/>
            <w:hideMark/>
          </w:tcPr>
          <w:p w14:paraId="0512F6C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134" w:type="dxa"/>
            <w:shd w:val="clear" w:color="auto" w:fill="FFFFFF" w:themeFill="background1"/>
            <w:noWrap/>
            <w:vAlign w:val="center"/>
            <w:hideMark/>
          </w:tcPr>
          <w:p w14:paraId="439296F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666D5C53" w14:textId="77777777" w:rsidTr="00037542">
        <w:trPr>
          <w:trHeight w:hRule="exact" w:val="312"/>
        </w:trPr>
        <w:tc>
          <w:tcPr>
            <w:tcW w:w="2425" w:type="dxa"/>
            <w:shd w:val="clear" w:color="auto" w:fill="auto"/>
            <w:noWrap/>
            <w:vAlign w:val="center"/>
            <w:hideMark/>
          </w:tcPr>
          <w:p w14:paraId="43713E04"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6 Pension Age</w:t>
            </w:r>
          </w:p>
        </w:tc>
        <w:tc>
          <w:tcPr>
            <w:tcW w:w="1057" w:type="dxa"/>
            <w:shd w:val="clear" w:color="auto" w:fill="FFFFFF" w:themeFill="background1"/>
            <w:noWrap/>
            <w:vAlign w:val="center"/>
            <w:hideMark/>
          </w:tcPr>
          <w:p w14:paraId="6A64FB76"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FFFFF" w:themeFill="background1"/>
            <w:noWrap/>
            <w:vAlign w:val="center"/>
            <w:hideMark/>
          </w:tcPr>
          <w:p w14:paraId="3F0FE02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FFFFF" w:themeFill="background1"/>
            <w:noWrap/>
            <w:vAlign w:val="center"/>
            <w:hideMark/>
          </w:tcPr>
          <w:p w14:paraId="5F17A697"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7" w:type="dxa"/>
            <w:shd w:val="clear" w:color="auto" w:fill="FFFFFF" w:themeFill="background1"/>
            <w:noWrap/>
            <w:vAlign w:val="center"/>
            <w:hideMark/>
          </w:tcPr>
          <w:p w14:paraId="295EC7F2"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FFFFF" w:themeFill="background1"/>
            <w:noWrap/>
            <w:vAlign w:val="center"/>
            <w:hideMark/>
          </w:tcPr>
          <w:p w14:paraId="342967A1"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1058" w:type="dxa"/>
            <w:shd w:val="clear" w:color="auto" w:fill="F5C9C7"/>
            <w:noWrap/>
            <w:vAlign w:val="center"/>
            <w:hideMark/>
          </w:tcPr>
          <w:p w14:paraId="337967BA"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536E9">
              <w:rPr>
                <w:rFonts w:cstheme="minorHAnsi"/>
                <w:snapToGrid/>
                <w:color w:val="auto"/>
                <w:sz w:val="16"/>
                <w:szCs w:val="16"/>
                <w:lang w:eastAsia="en-AU"/>
              </w:rPr>
              <w:t>RG</w:t>
            </w:r>
          </w:p>
        </w:tc>
        <w:tc>
          <w:tcPr>
            <w:tcW w:w="1134" w:type="dxa"/>
            <w:shd w:val="clear" w:color="auto" w:fill="FFFFFF" w:themeFill="background1"/>
            <w:noWrap/>
            <w:vAlign w:val="center"/>
            <w:hideMark/>
          </w:tcPr>
          <w:p w14:paraId="538D150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3B663F" w:rsidRPr="00814ABA" w14:paraId="6AF17603" w14:textId="77777777" w:rsidTr="003B663F">
        <w:trPr>
          <w:trHeight w:hRule="exact" w:val="312"/>
        </w:trPr>
        <w:tc>
          <w:tcPr>
            <w:tcW w:w="2425" w:type="dxa"/>
            <w:shd w:val="clear" w:color="auto" w:fill="auto"/>
            <w:noWrap/>
            <w:vAlign w:val="center"/>
            <w:hideMark/>
          </w:tcPr>
          <w:p w14:paraId="0C7BDCBC" w14:textId="77777777" w:rsidR="003B663F" w:rsidRPr="00814ABA" w:rsidRDefault="003B663F" w:rsidP="003B663F">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7 Non IS Family</w:t>
            </w:r>
          </w:p>
        </w:tc>
        <w:tc>
          <w:tcPr>
            <w:tcW w:w="1057" w:type="dxa"/>
            <w:shd w:val="clear" w:color="auto" w:fill="auto"/>
            <w:noWrap/>
            <w:vAlign w:val="center"/>
            <w:hideMark/>
          </w:tcPr>
          <w:p w14:paraId="06CFC016"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6B08D0C6"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4C3E3264"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7" w:type="dxa"/>
            <w:shd w:val="clear" w:color="auto" w:fill="auto"/>
            <w:noWrap/>
            <w:vAlign w:val="center"/>
            <w:hideMark/>
          </w:tcPr>
          <w:p w14:paraId="092006EA"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2CB5F7A8"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5BEAA7CB"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134" w:type="dxa"/>
            <w:shd w:val="clear" w:color="auto" w:fill="auto"/>
            <w:noWrap/>
            <w:vAlign w:val="center"/>
            <w:hideMark/>
          </w:tcPr>
          <w:p w14:paraId="543406B0"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r w:rsidR="003B663F" w:rsidRPr="00814ABA" w14:paraId="60D15510" w14:textId="77777777" w:rsidTr="003B663F">
        <w:trPr>
          <w:trHeight w:hRule="exact" w:val="312"/>
        </w:trPr>
        <w:tc>
          <w:tcPr>
            <w:tcW w:w="2425" w:type="dxa"/>
            <w:shd w:val="clear" w:color="auto" w:fill="auto"/>
            <w:noWrap/>
            <w:vAlign w:val="center"/>
            <w:hideMark/>
          </w:tcPr>
          <w:p w14:paraId="4C493664" w14:textId="77777777" w:rsidR="003B663F" w:rsidRPr="00814ABA" w:rsidRDefault="003B663F" w:rsidP="003B663F">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8 Non IS Carer</w:t>
            </w:r>
          </w:p>
        </w:tc>
        <w:tc>
          <w:tcPr>
            <w:tcW w:w="1057" w:type="dxa"/>
            <w:shd w:val="clear" w:color="auto" w:fill="auto"/>
            <w:noWrap/>
            <w:vAlign w:val="center"/>
            <w:hideMark/>
          </w:tcPr>
          <w:p w14:paraId="2FB88A59"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55A04103"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7FEAF145"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7" w:type="dxa"/>
            <w:shd w:val="clear" w:color="auto" w:fill="auto"/>
            <w:noWrap/>
            <w:vAlign w:val="center"/>
            <w:hideMark/>
          </w:tcPr>
          <w:p w14:paraId="7336D475"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19817807"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16E67133"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134" w:type="dxa"/>
            <w:shd w:val="clear" w:color="auto" w:fill="auto"/>
            <w:noWrap/>
            <w:vAlign w:val="center"/>
            <w:hideMark/>
          </w:tcPr>
          <w:p w14:paraId="21915E09"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r w:rsidR="003B663F" w:rsidRPr="00814ABA" w14:paraId="161655AE" w14:textId="77777777" w:rsidTr="003B663F">
        <w:trPr>
          <w:trHeight w:hRule="exact" w:val="312"/>
        </w:trPr>
        <w:tc>
          <w:tcPr>
            <w:tcW w:w="2425" w:type="dxa"/>
            <w:shd w:val="clear" w:color="auto" w:fill="auto"/>
            <w:noWrap/>
            <w:vAlign w:val="center"/>
            <w:hideMark/>
          </w:tcPr>
          <w:p w14:paraId="59B91FD3" w14:textId="77777777" w:rsidR="003B663F" w:rsidRPr="00814ABA" w:rsidRDefault="003B663F" w:rsidP="003B663F">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9 Non IS Other</w:t>
            </w:r>
          </w:p>
        </w:tc>
        <w:tc>
          <w:tcPr>
            <w:tcW w:w="1057" w:type="dxa"/>
            <w:shd w:val="clear" w:color="auto" w:fill="auto"/>
            <w:noWrap/>
            <w:vAlign w:val="center"/>
            <w:hideMark/>
          </w:tcPr>
          <w:p w14:paraId="2E06D9C4"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57DCEE32"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51AAE4A1"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7" w:type="dxa"/>
            <w:shd w:val="clear" w:color="auto" w:fill="auto"/>
            <w:noWrap/>
            <w:vAlign w:val="center"/>
            <w:hideMark/>
          </w:tcPr>
          <w:p w14:paraId="2411E6FB"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5DD6F3A3"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1A4DA6DC"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134" w:type="dxa"/>
            <w:shd w:val="clear" w:color="auto" w:fill="auto"/>
            <w:noWrap/>
            <w:vAlign w:val="center"/>
            <w:hideMark/>
          </w:tcPr>
          <w:p w14:paraId="3006F5F4"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r w:rsidR="003B663F" w:rsidRPr="00814ABA" w14:paraId="60212C9B" w14:textId="77777777" w:rsidTr="003B663F">
        <w:trPr>
          <w:trHeight w:hRule="exact" w:val="312"/>
        </w:trPr>
        <w:tc>
          <w:tcPr>
            <w:tcW w:w="2425" w:type="dxa"/>
            <w:shd w:val="clear" w:color="auto" w:fill="auto"/>
            <w:noWrap/>
            <w:vAlign w:val="center"/>
            <w:hideMark/>
          </w:tcPr>
          <w:p w14:paraId="71E1A4FD" w14:textId="77777777" w:rsidR="003B663F" w:rsidRPr="00814ABA" w:rsidRDefault="003B663F" w:rsidP="003B663F">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10 Previous welfare recipients</w:t>
            </w:r>
          </w:p>
        </w:tc>
        <w:tc>
          <w:tcPr>
            <w:tcW w:w="1057" w:type="dxa"/>
            <w:shd w:val="clear" w:color="auto" w:fill="auto"/>
            <w:noWrap/>
            <w:vAlign w:val="center"/>
            <w:hideMark/>
          </w:tcPr>
          <w:p w14:paraId="78836143"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63374225"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59F17A8E"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7" w:type="dxa"/>
            <w:shd w:val="clear" w:color="auto" w:fill="auto"/>
            <w:noWrap/>
            <w:vAlign w:val="center"/>
            <w:hideMark/>
          </w:tcPr>
          <w:p w14:paraId="1FF76FC1"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7287149B"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432E61D0"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134" w:type="dxa"/>
            <w:shd w:val="clear" w:color="auto" w:fill="auto"/>
            <w:noWrap/>
            <w:vAlign w:val="center"/>
            <w:hideMark/>
          </w:tcPr>
          <w:p w14:paraId="656B4ACB"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r w:rsidR="003B663F" w:rsidRPr="00814ABA" w14:paraId="7D948D0B" w14:textId="77777777" w:rsidTr="003B663F">
        <w:trPr>
          <w:trHeight w:hRule="exact" w:val="312"/>
        </w:trPr>
        <w:tc>
          <w:tcPr>
            <w:tcW w:w="2425" w:type="dxa"/>
            <w:shd w:val="clear" w:color="auto" w:fill="auto"/>
            <w:noWrap/>
            <w:vAlign w:val="center"/>
            <w:hideMark/>
          </w:tcPr>
          <w:p w14:paraId="73B90E7F" w14:textId="77777777" w:rsidR="003B663F" w:rsidRPr="00814ABA" w:rsidRDefault="003B663F" w:rsidP="003B663F">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11 Dead</w:t>
            </w:r>
          </w:p>
        </w:tc>
        <w:tc>
          <w:tcPr>
            <w:tcW w:w="1057" w:type="dxa"/>
            <w:shd w:val="clear" w:color="auto" w:fill="auto"/>
            <w:noWrap/>
            <w:vAlign w:val="center"/>
            <w:hideMark/>
          </w:tcPr>
          <w:p w14:paraId="1D6E1653"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235B2F1E"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7C2B57E1"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7" w:type="dxa"/>
            <w:shd w:val="clear" w:color="auto" w:fill="auto"/>
            <w:noWrap/>
            <w:vAlign w:val="center"/>
            <w:hideMark/>
          </w:tcPr>
          <w:p w14:paraId="25D7459B"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4E961051"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6DFCD86D"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134" w:type="dxa"/>
            <w:shd w:val="clear" w:color="auto" w:fill="auto"/>
            <w:noWrap/>
            <w:vAlign w:val="center"/>
            <w:hideMark/>
          </w:tcPr>
          <w:p w14:paraId="1807C81C"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r w:rsidR="003B663F" w:rsidRPr="00814ABA" w14:paraId="73A504C5" w14:textId="77777777" w:rsidTr="003B663F">
        <w:trPr>
          <w:trHeight w:hRule="exact" w:val="312"/>
        </w:trPr>
        <w:tc>
          <w:tcPr>
            <w:tcW w:w="2425" w:type="dxa"/>
            <w:shd w:val="clear" w:color="auto" w:fill="auto"/>
            <w:noWrap/>
            <w:vAlign w:val="center"/>
            <w:hideMark/>
          </w:tcPr>
          <w:p w14:paraId="46F3EC03" w14:textId="77777777" w:rsidR="003B663F" w:rsidRPr="00814ABA" w:rsidRDefault="003B663F" w:rsidP="003B663F">
            <w:pPr>
              <w:keepNext/>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12 Rest of Aust. population</w:t>
            </w:r>
          </w:p>
        </w:tc>
        <w:tc>
          <w:tcPr>
            <w:tcW w:w="1057" w:type="dxa"/>
            <w:shd w:val="clear" w:color="auto" w:fill="auto"/>
            <w:noWrap/>
            <w:vAlign w:val="center"/>
            <w:hideMark/>
          </w:tcPr>
          <w:p w14:paraId="16B2033D"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4632EDF6"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2ADFD60D"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7" w:type="dxa"/>
            <w:shd w:val="clear" w:color="auto" w:fill="auto"/>
            <w:noWrap/>
            <w:vAlign w:val="center"/>
            <w:hideMark/>
          </w:tcPr>
          <w:p w14:paraId="682388D6"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36456AF6"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058" w:type="dxa"/>
            <w:shd w:val="clear" w:color="auto" w:fill="auto"/>
            <w:noWrap/>
            <w:vAlign w:val="center"/>
            <w:hideMark/>
          </w:tcPr>
          <w:p w14:paraId="20252474"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c>
          <w:tcPr>
            <w:tcW w:w="1134" w:type="dxa"/>
            <w:shd w:val="clear" w:color="auto" w:fill="auto"/>
            <w:noWrap/>
            <w:vAlign w:val="center"/>
            <w:hideMark/>
          </w:tcPr>
          <w:p w14:paraId="4BF43BC0" w14:textId="77777777" w:rsidR="003B663F" w:rsidRPr="00814ABA" w:rsidRDefault="003B663F" w:rsidP="003B663F">
            <w:pPr>
              <w:kinsoku/>
              <w:overflowPunct/>
              <w:autoSpaceDE/>
              <w:autoSpaceDN/>
              <w:adjustRightInd/>
              <w:snapToGrid/>
              <w:jc w:val="center"/>
              <w:rPr>
                <w:rFonts w:asciiTheme="majorHAnsi" w:hAnsiTheme="majorHAnsi" w:cstheme="majorHAnsi"/>
                <w:snapToGrid/>
                <w:color w:val="auto"/>
                <w:sz w:val="16"/>
                <w:szCs w:val="16"/>
                <w:lang w:eastAsia="en-AU"/>
              </w:rPr>
            </w:pPr>
            <w:r>
              <w:rPr>
                <w:rFonts w:asciiTheme="majorHAnsi" w:hAnsiTheme="majorHAnsi" w:cstheme="majorHAnsi"/>
                <w:snapToGrid/>
                <w:color w:val="auto"/>
                <w:sz w:val="16"/>
                <w:szCs w:val="16"/>
                <w:lang w:eastAsia="en-AU"/>
              </w:rPr>
              <w:t>N/A</w:t>
            </w:r>
          </w:p>
        </w:tc>
      </w:tr>
    </w:tbl>
    <w:p w14:paraId="1CB4F979" w14:textId="77777777" w:rsidR="00037542" w:rsidRPr="00426796" w:rsidRDefault="00037542" w:rsidP="00037542">
      <w:pPr>
        <w:pStyle w:val="Sources"/>
        <w:keepNext/>
      </w:pPr>
      <w:r w:rsidRPr="00426796">
        <w:t>Notes:</w:t>
      </w:r>
    </w:p>
    <w:p w14:paraId="65D34CD4" w14:textId="77777777" w:rsidR="00037542" w:rsidRPr="00426796" w:rsidRDefault="00037542" w:rsidP="00A01ACD">
      <w:pPr>
        <w:pStyle w:val="Sources"/>
        <w:keepNext/>
        <w:numPr>
          <w:ilvl w:val="0"/>
          <w:numId w:val="50"/>
        </w:numPr>
      </w:pPr>
      <w:r w:rsidRPr="00426796">
        <w:t>RG indicates risk based assumptions</w:t>
      </w:r>
      <w:r w:rsidR="003B663F">
        <w:t xml:space="preserve"> are used</w:t>
      </w:r>
      <w:r w:rsidRPr="00426796">
        <w:t xml:space="preserve">, fitted using </w:t>
      </w:r>
      <w:r w:rsidR="003B663F">
        <w:t>a generalised linear model</w:t>
      </w:r>
      <w:r w:rsidRPr="00426796">
        <w:t xml:space="preserve">. </w:t>
      </w:r>
    </w:p>
    <w:p w14:paraId="763751DB" w14:textId="77777777" w:rsidR="00037542" w:rsidRPr="00426796" w:rsidRDefault="00037542" w:rsidP="00A01ACD">
      <w:pPr>
        <w:pStyle w:val="Sources"/>
        <w:keepNext/>
        <w:numPr>
          <w:ilvl w:val="0"/>
          <w:numId w:val="50"/>
        </w:numPr>
      </w:pPr>
      <w:r w:rsidRPr="00426796">
        <w:t>RD indicates risk based assumptions</w:t>
      </w:r>
      <w:r w:rsidR="003B663F">
        <w:t xml:space="preserve"> are used, fitted using a decision tree</w:t>
      </w:r>
      <w:r w:rsidRPr="00426796">
        <w:t xml:space="preserve">. </w:t>
      </w:r>
    </w:p>
    <w:p w14:paraId="434C2D87" w14:textId="77777777" w:rsidR="00037542" w:rsidRPr="00426796" w:rsidRDefault="00037542" w:rsidP="00A01ACD">
      <w:pPr>
        <w:pStyle w:val="Sources"/>
        <w:numPr>
          <w:ilvl w:val="0"/>
          <w:numId w:val="50"/>
        </w:numPr>
      </w:pPr>
      <w:r w:rsidRPr="00426796">
        <w:t>F indicates Foundation assumptions have been used</w:t>
      </w:r>
    </w:p>
    <w:p w14:paraId="5C7B6E55" w14:textId="77777777" w:rsidR="00037542" w:rsidRDefault="00037542" w:rsidP="00037542">
      <w:pPr>
        <w:kinsoku/>
        <w:overflowPunct/>
        <w:autoSpaceDE/>
        <w:autoSpaceDN/>
        <w:adjustRightInd/>
        <w:snapToGrid/>
        <w:rPr>
          <w:rFonts w:asciiTheme="majorHAnsi" w:hAnsiTheme="majorHAnsi"/>
          <w:b/>
          <w:bCs/>
          <w:color w:val="E0301E"/>
          <w:szCs w:val="18"/>
        </w:rPr>
      </w:pPr>
      <w:r>
        <w:br w:type="page"/>
      </w:r>
    </w:p>
    <w:p w14:paraId="06448800" w14:textId="77777777" w:rsidR="00037542" w:rsidRPr="00073D16" w:rsidRDefault="00037542" w:rsidP="00037542">
      <w:pPr>
        <w:pStyle w:val="Caption"/>
      </w:pPr>
      <w:r w:rsidRPr="00814ABA">
        <w:lastRenderedPageBreak/>
        <w:t xml:space="preserve">Table </w:t>
      </w:r>
      <w:fldSimple w:instr=" SEQ Table \* ARABIC ">
        <w:r w:rsidR="007A42DF">
          <w:rPr>
            <w:noProof/>
          </w:rPr>
          <w:t>74</w:t>
        </w:r>
      </w:fldSimple>
      <w:r w:rsidRPr="00814ABA">
        <w:t xml:space="preserve">: Approach adopted for </w:t>
      </w:r>
      <w:r w:rsidRPr="001B0B07">
        <w:t>developing</w:t>
      </w:r>
      <w:r w:rsidRPr="00814ABA">
        <w:t xml:space="preserve"> pay</w:t>
      </w:r>
      <w:r>
        <w:t>ment assumptions for each class: Non-</w:t>
      </w:r>
      <w:r w:rsidRPr="00814ABA">
        <w:t>Income support</w:t>
      </w:r>
    </w:p>
    <w:tbl>
      <w:tblPr>
        <w:tblW w:w="9900" w:type="dxa"/>
        <w:tblInd w:w="6" w:type="dxa"/>
        <w:tblBorders>
          <w:top w:val="single" w:sz="4" w:space="0" w:color="E0301E"/>
          <w:bottom w:val="single" w:sz="4" w:space="0" w:color="E0301E"/>
          <w:insideH w:val="single" w:sz="4" w:space="0" w:color="E0301E"/>
        </w:tblBorders>
        <w:tblLayout w:type="fixed"/>
        <w:tblCellMar>
          <w:top w:w="28" w:type="dxa"/>
          <w:left w:w="6" w:type="dxa"/>
          <w:right w:w="6" w:type="dxa"/>
        </w:tblCellMar>
        <w:tblLook w:val="04A0" w:firstRow="1" w:lastRow="0" w:firstColumn="1" w:lastColumn="0" w:noHBand="0" w:noVBand="1"/>
        <w:tblCaption w:val="Approach adopted for developing payment assumptions for each class: Non-Income support"/>
        <w:tblDescription w:val="This table describes the adopted approach for developing payment assumptions within each class for each of the non-income support payment types. For reference the non-income support payment types are FTB, family, new parents, health and disability, carer, study &amp; skills, remote &amp; regional, general allowances, all other and rent assistance. These are listed across the top of the table. Down the left hand side are listed classes 1 to 12. Each cell in the table takes one of the following values: RG, RL, F and N/A. These represent the different approaches for developing assumptions.&#10;&#10;RG indicates risk based assumptions are used, fitted using a generalised linear model. RL indicates risk based assumptions are used, by applying a loading to the main income support payment type for the relevant class. F indicates Foundation assumptions have been used. N/A refers to not applicable.  It is used across all cells for classes 10-12 as individuals in these classes cannot have utilised any payment category in the current year, and as such no assumptions were required for these classes.  Class 7 and 9 assumptions for Carer payments is also categorized as N/A as these payments by definition cannot be utilized from within class 7 or class 9.&#10;&#10;The RG approach is adopted for the Class 2 assumptions for FTB payments, Class 3 assumptions for FTB and Family payments and Class 7 assumptions for FTB and Family payments. The RL approach is used for the assumptions for General Allowances payments for classes 2 to 6.&#10;&#10;For all other class and payment combinations, foundation assumptions were adopted.&#10;"/>
      </w:tblPr>
      <w:tblGrid>
        <w:gridCol w:w="1604"/>
        <w:gridCol w:w="821"/>
        <w:gridCol w:w="821"/>
        <w:gridCol w:w="821"/>
        <w:gridCol w:w="753"/>
        <w:gridCol w:w="709"/>
        <w:gridCol w:w="850"/>
        <w:gridCol w:w="851"/>
        <w:gridCol w:w="942"/>
        <w:gridCol w:w="821"/>
        <w:gridCol w:w="907"/>
      </w:tblGrid>
      <w:tr w:rsidR="00037542" w:rsidRPr="00814ABA" w14:paraId="50D538DD" w14:textId="77777777" w:rsidTr="008536E9">
        <w:trPr>
          <w:trHeight w:val="608"/>
          <w:tblHeader/>
        </w:trPr>
        <w:tc>
          <w:tcPr>
            <w:tcW w:w="1604" w:type="dxa"/>
            <w:tcBorders>
              <w:bottom w:val="nil"/>
            </w:tcBorders>
            <w:shd w:val="clear" w:color="auto" w:fill="E0301E"/>
            <w:vAlign w:val="center"/>
            <w:hideMark/>
          </w:tcPr>
          <w:p w14:paraId="4F7ED23B" w14:textId="66A78B65" w:rsidR="00037542" w:rsidRPr="00814ABA" w:rsidRDefault="00037542" w:rsidP="008F6AF0">
            <w:pPr>
              <w:pStyle w:val="TableColumnHeadingSmall"/>
              <w:rPr>
                <w:snapToGrid/>
                <w:lang w:eastAsia="en-AU"/>
              </w:rPr>
            </w:pPr>
            <w:r w:rsidRPr="00814ABA">
              <w:rPr>
                <w:snapToGrid/>
                <w:lang w:eastAsia="en-AU"/>
              </w:rPr>
              <w:t>Model class</w:t>
            </w:r>
            <w:r w:rsidR="005D6CEC">
              <w:rPr>
                <w:snapToGrid/>
                <w:lang w:eastAsia="en-AU"/>
              </w:rPr>
              <w:t xml:space="preserve"> </w:t>
            </w:r>
            <w:r w:rsidRPr="00814ABA">
              <w:rPr>
                <w:snapToGrid/>
                <w:lang w:eastAsia="en-AU"/>
              </w:rPr>
              <w:t>(at t+1)</w:t>
            </w:r>
          </w:p>
        </w:tc>
        <w:tc>
          <w:tcPr>
            <w:tcW w:w="821" w:type="dxa"/>
            <w:tcBorders>
              <w:bottom w:val="nil"/>
            </w:tcBorders>
            <w:shd w:val="clear" w:color="auto" w:fill="E0301E"/>
            <w:hideMark/>
          </w:tcPr>
          <w:p w14:paraId="4F53FE6B" w14:textId="77777777" w:rsidR="00037542" w:rsidRPr="00814ABA" w:rsidRDefault="00037542" w:rsidP="008536E9">
            <w:pPr>
              <w:pStyle w:val="TableColumnHeadingSmall"/>
              <w:jc w:val="center"/>
              <w:rPr>
                <w:snapToGrid/>
                <w:lang w:eastAsia="en-AU"/>
              </w:rPr>
            </w:pPr>
            <w:r w:rsidRPr="00814ABA">
              <w:rPr>
                <w:snapToGrid/>
                <w:lang w:eastAsia="en-AU"/>
              </w:rPr>
              <w:t>H</w:t>
            </w:r>
          </w:p>
          <w:p w14:paraId="645438AB" w14:textId="77777777" w:rsidR="00037542" w:rsidRPr="00814ABA" w:rsidRDefault="00037542" w:rsidP="008536E9">
            <w:pPr>
              <w:pStyle w:val="TableColumnHeadingSmall"/>
              <w:jc w:val="center"/>
              <w:rPr>
                <w:snapToGrid/>
                <w:lang w:eastAsia="en-AU"/>
              </w:rPr>
            </w:pPr>
            <w:r w:rsidRPr="00814ABA">
              <w:rPr>
                <w:snapToGrid/>
                <w:lang w:eastAsia="en-AU"/>
              </w:rPr>
              <w:t>FTB</w:t>
            </w:r>
          </w:p>
        </w:tc>
        <w:tc>
          <w:tcPr>
            <w:tcW w:w="821" w:type="dxa"/>
            <w:tcBorders>
              <w:bottom w:val="nil"/>
            </w:tcBorders>
            <w:shd w:val="clear" w:color="auto" w:fill="E0301E"/>
            <w:hideMark/>
          </w:tcPr>
          <w:p w14:paraId="0E0EE43F" w14:textId="77777777" w:rsidR="00037542" w:rsidRPr="00814ABA" w:rsidRDefault="00037542" w:rsidP="008536E9">
            <w:pPr>
              <w:pStyle w:val="TableColumnHeadingSmall"/>
              <w:jc w:val="center"/>
              <w:rPr>
                <w:snapToGrid/>
                <w:lang w:eastAsia="en-AU"/>
              </w:rPr>
            </w:pPr>
            <w:r w:rsidRPr="00814ABA">
              <w:rPr>
                <w:snapToGrid/>
                <w:lang w:eastAsia="en-AU"/>
              </w:rPr>
              <w:t>I</w:t>
            </w:r>
          </w:p>
          <w:p w14:paraId="6C56FC7B" w14:textId="77777777" w:rsidR="00037542" w:rsidRPr="00814ABA" w:rsidRDefault="00037542" w:rsidP="008536E9">
            <w:pPr>
              <w:pStyle w:val="TableColumnHeadingSmall"/>
              <w:jc w:val="center"/>
              <w:rPr>
                <w:snapToGrid/>
                <w:lang w:eastAsia="en-AU"/>
              </w:rPr>
            </w:pPr>
            <w:r w:rsidRPr="00814ABA">
              <w:rPr>
                <w:snapToGrid/>
                <w:lang w:eastAsia="en-AU"/>
              </w:rPr>
              <w:t>Family</w:t>
            </w:r>
          </w:p>
        </w:tc>
        <w:tc>
          <w:tcPr>
            <w:tcW w:w="821" w:type="dxa"/>
            <w:tcBorders>
              <w:bottom w:val="nil"/>
            </w:tcBorders>
            <w:shd w:val="clear" w:color="auto" w:fill="E0301E"/>
            <w:hideMark/>
          </w:tcPr>
          <w:p w14:paraId="6020F258" w14:textId="77777777" w:rsidR="00037542" w:rsidRPr="00814ABA" w:rsidRDefault="00037542" w:rsidP="008536E9">
            <w:pPr>
              <w:pStyle w:val="TableColumnHeadingSmall"/>
              <w:jc w:val="center"/>
              <w:rPr>
                <w:snapToGrid/>
                <w:lang w:eastAsia="en-AU"/>
              </w:rPr>
            </w:pPr>
            <w:r w:rsidRPr="00814ABA">
              <w:rPr>
                <w:snapToGrid/>
                <w:lang w:eastAsia="en-AU"/>
              </w:rPr>
              <w:t>J</w:t>
            </w:r>
          </w:p>
          <w:p w14:paraId="6AFDF6F4" w14:textId="77777777" w:rsidR="00037542" w:rsidRPr="00814ABA" w:rsidRDefault="00037542" w:rsidP="008536E9">
            <w:pPr>
              <w:pStyle w:val="TableColumnHeadingSmall"/>
              <w:jc w:val="center"/>
              <w:rPr>
                <w:snapToGrid/>
                <w:lang w:eastAsia="en-AU"/>
              </w:rPr>
            </w:pPr>
            <w:r w:rsidRPr="00814ABA">
              <w:rPr>
                <w:snapToGrid/>
                <w:lang w:eastAsia="en-AU"/>
              </w:rPr>
              <w:t>New Parents</w:t>
            </w:r>
          </w:p>
        </w:tc>
        <w:tc>
          <w:tcPr>
            <w:tcW w:w="753" w:type="dxa"/>
            <w:tcBorders>
              <w:bottom w:val="nil"/>
            </w:tcBorders>
            <w:shd w:val="clear" w:color="auto" w:fill="E0301E"/>
            <w:hideMark/>
          </w:tcPr>
          <w:p w14:paraId="2BF7D871" w14:textId="77777777" w:rsidR="00037542" w:rsidRPr="00814ABA" w:rsidRDefault="00037542" w:rsidP="008536E9">
            <w:pPr>
              <w:pStyle w:val="TableColumnHeadingSmall"/>
              <w:jc w:val="center"/>
              <w:rPr>
                <w:snapToGrid/>
                <w:lang w:eastAsia="en-AU"/>
              </w:rPr>
            </w:pPr>
            <w:r w:rsidRPr="00814ABA">
              <w:rPr>
                <w:snapToGrid/>
                <w:lang w:eastAsia="en-AU"/>
              </w:rPr>
              <w:t>L</w:t>
            </w:r>
          </w:p>
          <w:p w14:paraId="5E372CCF" w14:textId="77777777" w:rsidR="00037542" w:rsidRPr="00814ABA" w:rsidRDefault="00037542" w:rsidP="008536E9">
            <w:pPr>
              <w:pStyle w:val="TableColumnHeadingSmall"/>
              <w:jc w:val="center"/>
              <w:rPr>
                <w:snapToGrid/>
                <w:lang w:eastAsia="en-AU"/>
              </w:rPr>
            </w:pPr>
            <w:r w:rsidRPr="00814ABA">
              <w:rPr>
                <w:snapToGrid/>
                <w:lang w:eastAsia="en-AU"/>
              </w:rPr>
              <w:t>Health &amp; Disability</w:t>
            </w:r>
          </w:p>
        </w:tc>
        <w:tc>
          <w:tcPr>
            <w:tcW w:w="709" w:type="dxa"/>
            <w:tcBorders>
              <w:bottom w:val="nil"/>
            </w:tcBorders>
            <w:shd w:val="clear" w:color="auto" w:fill="E0301E"/>
            <w:hideMark/>
          </w:tcPr>
          <w:p w14:paraId="05BEDF2A" w14:textId="77777777" w:rsidR="00037542" w:rsidRPr="00814ABA" w:rsidRDefault="00037542" w:rsidP="008536E9">
            <w:pPr>
              <w:pStyle w:val="TableColumnHeadingSmall"/>
              <w:jc w:val="center"/>
              <w:rPr>
                <w:snapToGrid/>
                <w:lang w:eastAsia="en-AU"/>
              </w:rPr>
            </w:pPr>
            <w:r w:rsidRPr="00814ABA">
              <w:rPr>
                <w:snapToGrid/>
                <w:lang w:eastAsia="en-AU"/>
              </w:rPr>
              <w:t>M</w:t>
            </w:r>
          </w:p>
          <w:p w14:paraId="0683F932" w14:textId="77777777" w:rsidR="00037542" w:rsidRPr="00814ABA" w:rsidRDefault="00037542" w:rsidP="008536E9">
            <w:pPr>
              <w:pStyle w:val="TableColumnHeadingSmall"/>
              <w:jc w:val="center"/>
              <w:rPr>
                <w:snapToGrid/>
                <w:lang w:eastAsia="en-AU"/>
              </w:rPr>
            </w:pPr>
            <w:r w:rsidRPr="00814ABA">
              <w:rPr>
                <w:snapToGrid/>
                <w:lang w:eastAsia="en-AU"/>
              </w:rPr>
              <w:t>Carer</w:t>
            </w:r>
          </w:p>
        </w:tc>
        <w:tc>
          <w:tcPr>
            <w:tcW w:w="850" w:type="dxa"/>
            <w:tcBorders>
              <w:bottom w:val="nil"/>
            </w:tcBorders>
            <w:shd w:val="clear" w:color="auto" w:fill="E0301E"/>
            <w:hideMark/>
          </w:tcPr>
          <w:p w14:paraId="0FFBA9B7" w14:textId="77777777" w:rsidR="00037542" w:rsidRPr="00814ABA" w:rsidRDefault="00037542" w:rsidP="008536E9">
            <w:pPr>
              <w:pStyle w:val="TableColumnHeadingSmall"/>
              <w:jc w:val="center"/>
              <w:rPr>
                <w:snapToGrid/>
                <w:lang w:eastAsia="en-AU"/>
              </w:rPr>
            </w:pPr>
            <w:r w:rsidRPr="00814ABA">
              <w:rPr>
                <w:snapToGrid/>
                <w:lang w:eastAsia="en-AU"/>
              </w:rPr>
              <w:t>N</w:t>
            </w:r>
          </w:p>
          <w:p w14:paraId="44AA8DF3" w14:textId="77777777" w:rsidR="00037542" w:rsidRPr="00814ABA" w:rsidRDefault="00037542" w:rsidP="008536E9">
            <w:pPr>
              <w:pStyle w:val="TableColumnHeadingSmall"/>
              <w:jc w:val="center"/>
              <w:rPr>
                <w:snapToGrid/>
                <w:lang w:eastAsia="en-AU"/>
              </w:rPr>
            </w:pPr>
            <w:r w:rsidRPr="00814ABA">
              <w:rPr>
                <w:snapToGrid/>
                <w:lang w:eastAsia="en-AU"/>
              </w:rPr>
              <w:t>Study &amp; Skills</w:t>
            </w:r>
          </w:p>
        </w:tc>
        <w:tc>
          <w:tcPr>
            <w:tcW w:w="851" w:type="dxa"/>
            <w:tcBorders>
              <w:bottom w:val="nil"/>
            </w:tcBorders>
            <w:shd w:val="clear" w:color="auto" w:fill="E0301E"/>
            <w:hideMark/>
          </w:tcPr>
          <w:p w14:paraId="5E146D28" w14:textId="77777777" w:rsidR="00037542" w:rsidRPr="00814ABA" w:rsidRDefault="00037542" w:rsidP="008536E9">
            <w:pPr>
              <w:pStyle w:val="TableColumnHeadingSmall"/>
              <w:jc w:val="center"/>
              <w:rPr>
                <w:snapToGrid/>
                <w:lang w:eastAsia="en-AU"/>
              </w:rPr>
            </w:pPr>
            <w:r w:rsidRPr="00814ABA">
              <w:rPr>
                <w:snapToGrid/>
                <w:lang w:eastAsia="en-AU"/>
              </w:rPr>
              <w:t>O</w:t>
            </w:r>
          </w:p>
          <w:p w14:paraId="50AC751E" w14:textId="77777777" w:rsidR="00037542" w:rsidRPr="00814ABA" w:rsidRDefault="00037542" w:rsidP="008536E9">
            <w:pPr>
              <w:pStyle w:val="TableColumnHeadingSmall"/>
              <w:jc w:val="center"/>
              <w:rPr>
                <w:snapToGrid/>
                <w:lang w:eastAsia="en-AU"/>
              </w:rPr>
            </w:pPr>
            <w:r w:rsidRPr="00814ABA">
              <w:rPr>
                <w:snapToGrid/>
                <w:lang w:eastAsia="en-AU"/>
              </w:rPr>
              <w:t>Remote &amp; Regional</w:t>
            </w:r>
          </w:p>
        </w:tc>
        <w:tc>
          <w:tcPr>
            <w:tcW w:w="942" w:type="dxa"/>
            <w:tcBorders>
              <w:bottom w:val="nil"/>
            </w:tcBorders>
            <w:shd w:val="clear" w:color="auto" w:fill="E0301E"/>
            <w:hideMark/>
          </w:tcPr>
          <w:p w14:paraId="0315D4B9" w14:textId="77777777" w:rsidR="00037542" w:rsidRPr="00814ABA" w:rsidRDefault="00037542" w:rsidP="008536E9">
            <w:pPr>
              <w:pStyle w:val="TableColumnHeadingSmall"/>
              <w:jc w:val="center"/>
              <w:rPr>
                <w:snapToGrid/>
                <w:lang w:eastAsia="en-AU"/>
              </w:rPr>
            </w:pPr>
            <w:r w:rsidRPr="00814ABA">
              <w:rPr>
                <w:snapToGrid/>
                <w:lang w:eastAsia="en-AU"/>
              </w:rPr>
              <w:t>P</w:t>
            </w:r>
          </w:p>
          <w:p w14:paraId="778E61FE" w14:textId="77777777" w:rsidR="00037542" w:rsidRPr="00814ABA" w:rsidRDefault="00037542" w:rsidP="008536E9">
            <w:pPr>
              <w:pStyle w:val="TableColumnHeadingSmall"/>
              <w:jc w:val="center"/>
              <w:rPr>
                <w:snapToGrid/>
                <w:lang w:eastAsia="en-AU"/>
              </w:rPr>
            </w:pPr>
            <w:r w:rsidRPr="00814ABA">
              <w:rPr>
                <w:snapToGrid/>
                <w:lang w:eastAsia="en-AU"/>
              </w:rPr>
              <w:t>General Allowances</w:t>
            </w:r>
          </w:p>
        </w:tc>
        <w:tc>
          <w:tcPr>
            <w:tcW w:w="821" w:type="dxa"/>
            <w:tcBorders>
              <w:bottom w:val="nil"/>
            </w:tcBorders>
            <w:shd w:val="clear" w:color="auto" w:fill="E0301E"/>
            <w:hideMark/>
          </w:tcPr>
          <w:p w14:paraId="2C525499" w14:textId="77777777" w:rsidR="00037542" w:rsidRPr="00814ABA" w:rsidRDefault="00037542" w:rsidP="008536E9">
            <w:pPr>
              <w:pStyle w:val="TableColumnHeadingSmall"/>
              <w:jc w:val="center"/>
              <w:rPr>
                <w:snapToGrid/>
                <w:lang w:eastAsia="en-AU"/>
              </w:rPr>
            </w:pPr>
            <w:r w:rsidRPr="00814ABA">
              <w:rPr>
                <w:snapToGrid/>
                <w:lang w:eastAsia="en-AU"/>
              </w:rPr>
              <w:t>Q</w:t>
            </w:r>
          </w:p>
          <w:p w14:paraId="6D843DC8" w14:textId="77777777" w:rsidR="00037542" w:rsidRPr="00814ABA" w:rsidRDefault="00037542" w:rsidP="008536E9">
            <w:pPr>
              <w:pStyle w:val="TableColumnHeadingSmall"/>
              <w:jc w:val="center"/>
              <w:rPr>
                <w:snapToGrid/>
                <w:lang w:eastAsia="en-AU"/>
              </w:rPr>
            </w:pPr>
            <w:r w:rsidRPr="00814ABA">
              <w:rPr>
                <w:snapToGrid/>
                <w:lang w:eastAsia="en-AU"/>
              </w:rPr>
              <w:t>All Other</w:t>
            </w:r>
          </w:p>
        </w:tc>
        <w:tc>
          <w:tcPr>
            <w:tcW w:w="907" w:type="dxa"/>
            <w:tcBorders>
              <w:bottom w:val="nil"/>
            </w:tcBorders>
            <w:shd w:val="clear" w:color="auto" w:fill="E0301E"/>
          </w:tcPr>
          <w:p w14:paraId="05431773" w14:textId="77777777" w:rsidR="00037542" w:rsidRPr="00250709" w:rsidRDefault="00037542" w:rsidP="008536E9">
            <w:pPr>
              <w:pStyle w:val="TableColumnHeadingSmall"/>
              <w:jc w:val="center"/>
              <w:rPr>
                <w:snapToGrid/>
                <w:lang w:eastAsia="en-AU"/>
              </w:rPr>
            </w:pPr>
            <w:r w:rsidRPr="00250709">
              <w:rPr>
                <w:snapToGrid/>
                <w:lang w:eastAsia="en-AU"/>
              </w:rPr>
              <w:t>R</w:t>
            </w:r>
          </w:p>
          <w:p w14:paraId="79E73891" w14:textId="77777777" w:rsidR="00037542" w:rsidRPr="00250709" w:rsidRDefault="00037542" w:rsidP="008536E9">
            <w:pPr>
              <w:pStyle w:val="TableColumnHeadingSmall"/>
              <w:jc w:val="center"/>
              <w:rPr>
                <w:snapToGrid/>
                <w:lang w:eastAsia="en-AU"/>
              </w:rPr>
            </w:pPr>
            <w:r w:rsidRPr="00250709">
              <w:rPr>
                <w:snapToGrid/>
                <w:lang w:eastAsia="en-AU"/>
              </w:rPr>
              <w:t>Rent</w:t>
            </w:r>
          </w:p>
          <w:p w14:paraId="36720FCF" w14:textId="77777777" w:rsidR="00037542" w:rsidRPr="00250709" w:rsidRDefault="00037542" w:rsidP="008536E9">
            <w:pPr>
              <w:pStyle w:val="TableColumnHeadingSmall"/>
              <w:jc w:val="center"/>
              <w:rPr>
                <w:snapToGrid/>
                <w:lang w:eastAsia="en-AU"/>
              </w:rPr>
            </w:pPr>
            <w:r w:rsidRPr="00250709">
              <w:rPr>
                <w:snapToGrid/>
                <w:lang w:eastAsia="en-AU"/>
              </w:rPr>
              <w:t>Assistance</w:t>
            </w:r>
          </w:p>
        </w:tc>
      </w:tr>
      <w:tr w:rsidR="00037542" w:rsidRPr="00814ABA" w14:paraId="7411025C" w14:textId="77777777" w:rsidTr="008536E9">
        <w:trPr>
          <w:trHeight w:hRule="exact" w:val="397"/>
        </w:trPr>
        <w:tc>
          <w:tcPr>
            <w:tcW w:w="1604" w:type="dxa"/>
            <w:tcBorders>
              <w:top w:val="nil"/>
            </w:tcBorders>
            <w:shd w:val="clear" w:color="auto" w:fill="auto"/>
            <w:noWrap/>
            <w:vAlign w:val="center"/>
            <w:hideMark/>
          </w:tcPr>
          <w:p w14:paraId="1EF346C3"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 Studying</w:t>
            </w:r>
          </w:p>
        </w:tc>
        <w:tc>
          <w:tcPr>
            <w:tcW w:w="821" w:type="dxa"/>
            <w:tcBorders>
              <w:top w:val="nil"/>
            </w:tcBorders>
            <w:shd w:val="clear" w:color="auto" w:fill="FFFFFF" w:themeFill="background1"/>
            <w:noWrap/>
            <w:vAlign w:val="center"/>
            <w:hideMark/>
          </w:tcPr>
          <w:p w14:paraId="75EE5D76"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21" w:type="dxa"/>
            <w:tcBorders>
              <w:top w:val="nil"/>
            </w:tcBorders>
            <w:shd w:val="clear" w:color="auto" w:fill="FFFFFF" w:themeFill="background1"/>
            <w:noWrap/>
            <w:vAlign w:val="center"/>
            <w:hideMark/>
          </w:tcPr>
          <w:p w14:paraId="548461AA"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21" w:type="dxa"/>
            <w:tcBorders>
              <w:top w:val="nil"/>
            </w:tcBorders>
            <w:shd w:val="clear" w:color="auto" w:fill="FFFFFF" w:themeFill="background1"/>
            <w:noWrap/>
            <w:vAlign w:val="center"/>
            <w:hideMark/>
          </w:tcPr>
          <w:p w14:paraId="75A3A2E0"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53" w:type="dxa"/>
            <w:tcBorders>
              <w:top w:val="nil"/>
            </w:tcBorders>
            <w:shd w:val="clear" w:color="auto" w:fill="FFFFFF" w:themeFill="background1"/>
            <w:noWrap/>
            <w:vAlign w:val="center"/>
            <w:hideMark/>
          </w:tcPr>
          <w:p w14:paraId="21AC6FB3"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09" w:type="dxa"/>
            <w:tcBorders>
              <w:top w:val="nil"/>
            </w:tcBorders>
            <w:shd w:val="clear" w:color="auto" w:fill="FFFFFF" w:themeFill="background1"/>
            <w:noWrap/>
            <w:vAlign w:val="center"/>
            <w:hideMark/>
          </w:tcPr>
          <w:p w14:paraId="6F45F77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0" w:type="dxa"/>
            <w:tcBorders>
              <w:top w:val="nil"/>
            </w:tcBorders>
            <w:shd w:val="clear" w:color="auto" w:fill="FFFFFF" w:themeFill="background1"/>
            <w:noWrap/>
            <w:vAlign w:val="center"/>
            <w:hideMark/>
          </w:tcPr>
          <w:p w14:paraId="6A33C7CD"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1" w:type="dxa"/>
            <w:tcBorders>
              <w:top w:val="nil"/>
            </w:tcBorders>
            <w:shd w:val="clear" w:color="auto" w:fill="FFFFFF" w:themeFill="background1"/>
            <w:noWrap/>
            <w:vAlign w:val="center"/>
            <w:hideMark/>
          </w:tcPr>
          <w:p w14:paraId="5F850493"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42" w:type="dxa"/>
            <w:tcBorders>
              <w:top w:val="nil"/>
            </w:tcBorders>
            <w:shd w:val="clear" w:color="auto" w:fill="FFFFFF" w:themeFill="background1"/>
            <w:noWrap/>
            <w:vAlign w:val="center"/>
            <w:hideMark/>
          </w:tcPr>
          <w:p w14:paraId="0D0D53F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21" w:type="dxa"/>
            <w:tcBorders>
              <w:top w:val="nil"/>
            </w:tcBorders>
            <w:shd w:val="clear" w:color="auto" w:fill="FFFFFF" w:themeFill="background1"/>
            <w:noWrap/>
            <w:vAlign w:val="center"/>
            <w:hideMark/>
          </w:tcPr>
          <w:p w14:paraId="535B1F65"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tcBorders>
              <w:top w:val="nil"/>
            </w:tcBorders>
            <w:shd w:val="clear" w:color="auto" w:fill="FFFFFF" w:themeFill="background1"/>
            <w:vAlign w:val="center"/>
          </w:tcPr>
          <w:p w14:paraId="69D0386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6F38E0CD" w14:textId="77777777" w:rsidTr="008536E9">
        <w:trPr>
          <w:trHeight w:hRule="exact" w:val="397"/>
        </w:trPr>
        <w:tc>
          <w:tcPr>
            <w:tcW w:w="1604" w:type="dxa"/>
            <w:shd w:val="clear" w:color="auto" w:fill="auto"/>
            <w:noWrap/>
            <w:vAlign w:val="center"/>
            <w:hideMark/>
          </w:tcPr>
          <w:p w14:paraId="4B948B0B"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2 Working Age</w:t>
            </w:r>
          </w:p>
        </w:tc>
        <w:tc>
          <w:tcPr>
            <w:tcW w:w="821" w:type="dxa"/>
            <w:shd w:val="clear" w:color="auto" w:fill="F4CACA" w:themeFill="accent5" w:themeFillTint="33"/>
            <w:noWrap/>
            <w:vAlign w:val="center"/>
            <w:hideMark/>
          </w:tcPr>
          <w:p w14:paraId="1CA6F625"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21" w:type="dxa"/>
            <w:shd w:val="clear" w:color="auto" w:fill="FFFFFF" w:themeFill="background1"/>
            <w:noWrap/>
            <w:vAlign w:val="center"/>
            <w:hideMark/>
          </w:tcPr>
          <w:p w14:paraId="4C3DB86A"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21" w:type="dxa"/>
            <w:shd w:val="clear" w:color="auto" w:fill="FFFFFF" w:themeFill="background1"/>
            <w:noWrap/>
            <w:vAlign w:val="center"/>
            <w:hideMark/>
          </w:tcPr>
          <w:p w14:paraId="76D8A594"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53" w:type="dxa"/>
            <w:shd w:val="clear" w:color="auto" w:fill="FFFFFF" w:themeFill="background1"/>
            <w:noWrap/>
            <w:vAlign w:val="center"/>
            <w:hideMark/>
          </w:tcPr>
          <w:p w14:paraId="70550E42"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09" w:type="dxa"/>
            <w:shd w:val="clear" w:color="auto" w:fill="FFFFFF" w:themeFill="background1"/>
            <w:noWrap/>
            <w:vAlign w:val="center"/>
            <w:hideMark/>
          </w:tcPr>
          <w:p w14:paraId="0A10DE9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0" w:type="dxa"/>
            <w:shd w:val="clear" w:color="auto" w:fill="FFFFFF" w:themeFill="background1"/>
            <w:noWrap/>
            <w:vAlign w:val="center"/>
            <w:hideMark/>
          </w:tcPr>
          <w:p w14:paraId="4438B80D"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1" w:type="dxa"/>
            <w:shd w:val="clear" w:color="auto" w:fill="FFFFFF" w:themeFill="background1"/>
            <w:noWrap/>
            <w:vAlign w:val="center"/>
            <w:hideMark/>
          </w:tcPr>
          <w:p w14:paraId="4EF9991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42" w:type="dxa"/>
            <w:shd w:val="clear" w:color="auto" w:fill="F4CACA" w:themeFill="accent5" w:themeFillTint="33"/>
            <w:noWrap/>
            <w:vAlign w:val="center"/>
            <w:hideMark/>
          </w:tcPr>
          <w:p w14:paraId="58732DC5"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RL</w:t>
            </w:r>
          </w:p>
        </w:tc>
        <w:tc>
          <w:tcPr>
            <w:tcW w:w="821" w:type="dxa"/>
            <w:shd w:val="clear" w:color="auto" w:fill="FFFFFF" w:themeFill="background1"/>
            <w:noWrap/>
            <w:vAlign w:val="center"/>
            <w:hideMark/>
          </w:tcPr>
          <w:p w14:paraId="55AFC8AA"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shd w:val="clear" w:color="auto" w:fill="FFFFFF" w:themeFill="background1"/>
            <w:vAlign w:val="center"/>
          </w:tcPr>
          <w:p w14:paraId="53B20363"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57BC5C95" w14:textId="77777777" w:rsidTr="008536E9">
        <w:trPr>
          <w:trHeight w:hRule="exact" w:val="397"/>
        </w:trPr>
        <w:tc>
          <w:tcPr>
            <w:tcW w:w="1604" w:type="dxa"/>
            <w:shd w:val="clear" w:color="auto" w:fill="auto"/>
            <w:noWrap/>
            <w:vAlign w:val="center"/>
            <w:hideMark/>
          </w:tcPr>
          <w:p w14:paraId="741511A1"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3 Parents</w:t>
            </w:r>
          </w:p>
        </w:tc>
        <w:tc>
          <w:tcPr>
            <w:tcW w:w="821" w:type="dxa"/>
            <w:shd w:val="clear" w:color="auto" w:fill="F4CACA" w:themeFill="accent5" w:themeFillTint="33"/>
            <w:noWrap/>
            <w:vAlign w:val="center"/>
            <w:hideMark/>
          </w:tcPr>
          <w:p w14:paraId="675242C0"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21" w:type="dxa"/>
            <w:shd w:val="clear" w:color="auto" w:fill="F4CACA" w:themeFill="accent5" w:themeFillTint="33"/>
            <w:noWrap/>
            <w:vAlign w:val="center"/>
            <w:hideMark/>
          </w:tcPr>
          <w:p w14:paraId="59D7A3EE"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RG</w:t>
            </w:r>
          </w:p>
        </w:tc>
        <w:tc>
          <w:tcPr>
            <w:tcW w:w="821" w:type="dxa"/>
            <w:shd w:val="clear" w:color="auto" w:fill="FFFFFF" w:themeFill="background1"/>
            <w:noWrap/>
            <w:vAlign w:val="center"/>
            <w:hideMark/>
          </w:tcPr>
          <w:p w14:paraId="40B8B5AE"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53" w:type="dxa"/>
            <w:shd w:val="clear" w:color="auto" w:fill="FFFFFF" w:themeFill="background1"/>
            <w:noWrap/>
            <w:vAlign w:val="center"/>
            <w:hideMark/>
          </w:tcPr>
          <w:p w14:paraId="091EB45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09" w:type="dxa"/>
            <w:shd w:val="clear" w:color="auto" w:fill="FFFFFF" w:themeFill="background1"/>
            <w:noWrap/>
            <w:vAlign w:val="center"/>
            <w:hideMark/>
          </w:tcPr>
          <w:p w14:paraId="79F96F87"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0" w:type="dxa"/>
            <w:shd w:val="clear" w:color="auto" w:fill="FFFFFF" w:themeFill="background1"/>
            <w:noWrap/>
            <w:vAlign w:val="center"/>
            <w:hideMark/>
          </w:tcPr>
          <w:p w14:paraId="71388CE5"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1" w:type="dxa"/>
            <w:shd w:val="clear" w:color="auto" w:fill="FFFFFF" w:themeFill="background1"/>
            <w:noWrap/>
            <w:vAlign w:val="center"/>
            <w:hideMark/>
          </w:tcPr>
          <w:p w14:paraId="21821AF7"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42" w:type="dxa"/>
            <w:shd w:val="clear" w:color="auto" w:fill="F4CACA" w:themeFill="accent5" w:themeFillTint="33"/>
            <w:noWrap/>
            <w:vAlign w:val="center"/>
            <w:hideMark/>
          </w:tcPr>
          <w:p w14:paraId="17512D41"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RL</w:t>
            </w:r>
          </w:p>
        </w:tc>
        <w:tc>
          <w:tcPr>
            <w:tcW w:w="821" w:type="dxa"/>
            <w:shd w:val="clear" w:color="auto" w:fill="FFFFFF" w:themeFill="background1"/>
            <w:noWrap/>
            <w:vAlign w:val="center"/>
            <w:hideMark/>
          </w:tcPr>
          <w:p w14:paraId="2041E0F2"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shd w:val="clear" w:color="auto" w:fill="FFFFFF" w:themeFill="background1"/>
            <w:vAlign w:val="center"/>
          </w:tcPr>
          <w:p w14:paraId="1A5F5E96"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70E1E41B" w14:textId="77777777" w:rsidTr="008536E9">
        <w:trPr>
          <w:trHeight w:hRule="exact" w:val="397"/>
        </w:trPr>
        <w:tc>
          <w:tcPr>
            <w:tcW w:w="1604" w:type="dxa"/>
            <w:shd w:val="clear" w:color="auto" w:fill="auto"/>
            <w:noWrap/>
            <w:vAlign w:val="center"/>
            <w:hideMark/>
          </w:tcPr>
          <w:p w14:paraId="7038B3E4"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4 Carers</w:t>
            </w:r>
          </w:p>
        </w:tc>
        <w:tc>
          <w:tcPr>
            <w:tcW w:w="821" w:type="dxa"/>
            <w:shd w:val="clear" w:color="auto" w:fill="FFFFFF" w:themeFill="background1"/>
            <w:noWrap/>
            <w:vAlign w:val="center"/>
            <w:hideMark/>
          </w:tcPr>
          <w:p w14:paraId="4A5A2405"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21" w:type="dxa"/>
            <w:shd w:val="clear" w:color="auto" w:fill="FFFFFF" w:themeFill="background1"/>
            <w:noWrap/>
            <w:vAlign w:val="center"/>
            <w:hideMark/>
          </w:tcPr>
          <w:p w14:paraId="7F24A6C2"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21" w:type="dxa"/>
            <w:shd w:val="clear" w:color="auto" w:fill="FFFFFF" w:themeFill="background1"/>
            <w:noWrap/>
            <w:vAlign w:val="center"/>
            <w:hideMark/>
          </w:tcPr>
          <w:p w14:paraId="3C1E639A"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53" w:type="dxa"/>
            <w:shd w:val="clear" w:color="auto" w:fill="FFFFFF" w:themeFill="background1"/>
            <w:noWrap/>
            <w:vAlign w:val="center"/>
            <w:hideMark/>
          </w:tcPr>
          <w:p w14:paraId="74DFDFF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09" w:type="dxa"/>
            <w:shd w:val="clear" w:color="auto" w:fill="FFFFFF" w:themeFill="background1"/>
            <w:noWrap/>
            <w:vAlign w:val="center"/>
            <w:hideMark/>
          </w:tcPr>
          <w:p w14:paraId="4BA0CCF8"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0" w:type="dxa"/>
            <w:shd w:val="clear" w:color="auto" w:fill="FFFFFF" w:themeFill="background1"/>
            <w:noWrap/>
            <w:vAlign w:val="center"/>
            <w:hideMark/>
          </w:tcPr>
          <w:p w14:paraId="72E41AD6"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1" w:type="dxa"/>
            <w:shd w:val="clear" w:color="auto" w:fill="FFFFFF" w:themeFill="background1"/>
            <w:noWrap/>
            <w:vAlign w:val="center"/>
            <w:hideMark/>
          </w:tcPr>
          <w:p w14:paraId="33E66E4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42" w:type="dxa"/>
            <w:shd w:val="clear" w:color="auto" w:fill="F5C9C7"/>
            <w:noWrap/>
            <w:vAlign w:val="center"/>
            <w:hideMark/>
          </w:tcPr>
          <w:p w14:paraId="2A21F21D"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RL</w:t>
            </w:r>
          </w:p>
        </w:tc>
        <w:tc>
          <w:tcPr>
            <w:tcW w:w="821" w:type="dxa"/>
            <w:shd w:val="clear" w:color="auto" w:fill="FFFFFF" w:themeFill="background1"/>
            <w:noWrap/>
            <w:vAlign w:val="center"/>
            <w:hideMark/>
          </w:tcPr>
          <w:p w14:paraId="73520538"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shd w:val="clear" w:color="auto" w:fill="FFFFFF" w:themeFill="background1"/>
            <w:vAlign w:val="center"/>
          </w:tcPr>
          <w:p w14:paraId="2C9F2883"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256FBADB" w14:textId="77777777" w:rsidTr="008536E9">
        <w:trPr>
          <w:trHeight w:hRule="exact" w:val="397"/>
        </w:trPr>
        <w:tc>
          <w:tcPr>
            <w:tcW w:w="1604" w:type="dxa"/>
            <w:shd w:val="clear" w:color="auto" w:fill="auto"/>
            <w:noWrap/>
            <w:vAlign w:val="center"/>
            <w:hideMark/>
          </w:tcPr>
          <w:p w14:paraId="24F8DAB1"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5 Disability Support</w:t>
            </w:r>
          </w:p>
        </w:tc>
        <w:tc>
          <w:tcPr>
            <w:tcW w:w="821" w:type="dxa"/>
            <w:shd w:val="clear" w:color="auto" w:fill="FFFFFF" w:themeFill="background1"/>
            <w:noWrap/>
            <w:vAlign w:val="center"/>
            <w:hideMark/>
          </w:tcPr>
          <w:p w14:paraId="79EA8DF1"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21" w:type="dxa"/>
            <w:shd w:val="clear" w:color="auto" w:fill="FFFFFF" w:themeFill="background1"/>
            <w:noWrap/>
            <w:vAlign w:val="center"/>
            <w:hideMark/>
          </w:tcPr>
          <w:p w14:paraId="365447FE"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21" w:type="dxa"/>
            <w:shd w:val="clear" w:color="auto" w:fill="FFFFFF" w:themeFill="background1"/>
            <w:noWrap/>
            <w:vAlign w:val="center"/>
            <w:hideMark/>
          </w:tcPr>
          <w:p w14:paraId="5A5AB56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53" w:type="dxa"/>
            <w:shd w:val="clear" w:color="auto" w:fill="FFFFFF" w:themeFill="background1"/>
            <w:noWrap/>
            <w:vAlign w:val="center"/>
            <w:hideMark/>
          </w:tcPr>
          <w:p w14:paraId="64EE6AB0"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09" w:type="dxa"/>
            <w:shd w:val="clear" w:color="auto" w:fill="FFFFFF" w:themeFill="background1"/>
            <w:noWrap/>
            <w:vAlign w:val="center"/>
            <w:hideMark/>
          </w:tcPr>
          <w:p w14:paraId="297FD135"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0" w:type="dxa"/>
            <w:shd w:val="clear" w:color="auto" w:fill="FFFFFF" w:themeFill="background1"/>
            <w:noWrap/>
            <w:vAlign w:val="center"/>
            <w:hideMark/>
          </w:tcPr>
          <w:p w14:paraId="2789ADF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1" w:type="dxa"/>
            <w:shd w:val="clear" w:color="auto" w:fill="FFFFFF" w:themeFill="background1"/>
            <w:noWrap/>
            <w:vAlign w:val="center"/>
            <w:hideMark/>
          </w:tcPr>
          <w:p w14:paraId="67E433D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42" w:type="dxa"/>
            <w:shd w:val="clear" w:color="auto" w:fill="F5C9C7"/>
            <w:noWrap/>
            <w:vAlign w:val="center"/>
            <w:hideMark/>
          </w:tcPr>
          <w:p w14:paraId="38A5F87B"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RL</w:t>
            </w:r>
          </w:p>
        </w:tc>
        <w:tc>
          <w:tcPr>
            <w:tcW w:w="821" w:type="dxa"/>
            <w:shd w:val="clear" w:color="auto" w:fill="FFFFFF" w:themeFill="background1"/>
            <w:noWrap/>
            <w:vAlign w:val="center"/>
            <w:hideMark/>
          </w:tcPr>
          <w:p w14:paraId="523A48B2"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shd w:val="clear" w:color="auto" w:fill="FFFFFF" w:themeFill="background1"/>
            <w:vAlign w:val="center"/>
          </w:tcPr>
          <w:p w14:paraId="2103AF7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642441C8" w14:textId="77777777" w:rsidTr="008536E9">
        <w:trPr>
          <w:trHeight w:hRule="exact" w:val="397"/>
        </w:trPr>
        <w:tc>
          <w:tcPr>
            <w:tcW w:w="1604" w:type="dxa"/>
            <w:shd w:val="clear" w:color="auto" w:fill="auto"/>
            <w:noWrap/>
            <w:vAlign w:val="center"/>
            <w:hideMark/>
          </w:tcPr>
          <w:p w14:paraId="4A602DBD"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6 Pension Age</w:t>
            </w:r>
          </w:p>
        </w:tc>
        <w:tc>
          <w:tcPr>
            <w:tcW w:w="821" w:type="dxa"/>
            <w:shd w:val="clear" w:color="auto" w:fill="FFFFFF" w:themeFill="background1"/>
            <w:noWrap/>
            <w:vAlign w:val="center"/>
            <w:hideMark/>
          </w:tcPr>
          <w:p w14:paraId="66C77EC1"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21" w:type="dxa"/>
            <w:shd w:val="clear" w:color="auto" w:fill="FFFFFF" w:themeFill="background1"/>
            <w:noWrap/>
            <w:vAlign w:val="center"/>
            <w:hideMark/>
          </w:tcPr>
          <w:p w14:paraId="0E569CD1"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21" w:type="dxa"/>
            <w:shd w:val="clear" w:color="auto" w:fill="FFFFFF" w:themeFill="background1"/>
            <w:noWrap/>
            <w:vAlign w:val="center"/>
            <w:hideMark/>
          </w:tcPr>
          <w:p w14:paraId="2BCAA437"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53" w:type="dxa"/>
            <w:shd w:val="clear" w:color="auto" w:fill="FFFFFF" w:themeFill="background1"/>
            <w:noWrap/>
            <w:vAlign w:val="center"/>
            <w:hideMark/>
          </w:tcPr>
          <w:p w14:paraId="180AA4D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09" w:type="dxa"/>
            <w:shd w:val="clear" w:color="auto" w:fill="FFFFFF" w:themeFill="background1"/>
            <w:noWrap/>
            <w:vAlign w:val="center"/>
            <w:hideMark/>
          </w:tcPr>
          <w:p w14:paraId="6B6314F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0" w:type="dxa"/>
            <w:shd w:val="clear" w:color="auto" w:fill="FFFFFF" w:themeFill="background1"/>
            <w:noWrap/>
            <w:vAlign w:val="center"/>
            <w:hideMark/>
          </w:tcPr>
          <w:p w14:paraId="532906ED"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1" w:type="dxa"/>
            <w:shd w:val="clear" w:color="auto" w:fill="FFFFFF" w:themeFill="background1"/>
            <w:noWrap/>
            <w:vAlign w:val="center"/>
            <w:hideMark/>
          </w:tcPr>
          <w:p w14:paraId="67FB83D8"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42" w:type="dxa"/>
            <w:shd w:val="clear" w:color="auto" w:fill="F5C9C7"/>
            <w:noWrap/>
            <w:vAlign w:val="center"/>
            <w:hideMark/>
          </w:tcPr>
          <w:p w14:paraId="36FDD5D4"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RL</w:t>
            </w:r>
          </w:p>
        </w:tc>
        <w:tc>
          <w:tcPr>
            <w:tcW w:w="821" w:type="dxa"/>
            <w:shd w:val="clear" w:color="auto" w:fill="FFFFFF" w:themeFill="background1"/>
            <w:noWrap/>
            <w:vAlign w:val="center"/>
            <w:hideMark/>
          </w:tcPr>
          <w:p w14:paraId="4300F01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shd w:val="clear" w:color="auto" w:fill="FFFFFF" w:themeFill="background1"/>
            <w:vAlign w:val="center"/>
          </w:tcPr>
          <w:p w14:paraId="1608A164"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230F042E" w14:textId="77777777" w:rsidTr="003B663F">
        <w:trPr>
          <w:trHeight w:hRule="exact" w:val="397"/>
        </w:trPr>
        <w:tc>
          <w:tcPr>
            <w:tcW w:w="1604" w:type="dxa"/>
            <w:shd w:val="clear" w:color="auto" w:fill="auto"/>
            <w:noWrap/>
            <w:vAlign w:val="center"/>
            <w:hideMark/>
          </w:tcPr>
          <w:p w14:paraId="5DFC884C"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7 Non IS Family</w:t>
            </w:r>
          </w:p>
        </w:tc>
        <w:tc>
          <w:tcPr>
            <w:tcW w:w="821" w:type="dxa"/>
            <w:shd w:val="clear" w:color="auto" w:fill="F4CACA" w:themeFill="accent5" w:themeFillTint="33"/>
            <w:noWrap/>
            <w:vAlign w:val="center"/>
            <w:hideMark/>
          </w:tcPr>
          <w:p w14:paraId="3C05A201"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RG</w:t>
            </w:r>
          </w:p>
        </w:tc>
        <w:tc>
          <w:tcPr>
            <w:tcW w:w="821" w:type="dxa"/>
            <w:shd w:val="clear" w:color="auto" w:fill="F4CACA" w:themeFill="accent5" w:themeFillTint="33"/>
            <w:noWrap/>
            <w:vAlign w:val="center"/>
            <w:hideMark/>
          </w:tcPr>
          <w:p w14:paraId="3F24C466"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RG</w:t>
            </w:r>
          </w:p>
        </w:tc>
        <w:tc>
          <w:tcPr>
            <w:tcW w:w="821" w:type="dxa"/>
            <w:shd w:val="clear" w:color="auto" w:fill="FFFFFF" w:themeFill="background1"/>
            <w:noWrap/>
            <w:vAlign w:val="center"/>
            <w:hideMark/>
          </w:tcPr>
          <w:p w14:paraId="008F5433"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53" w:type="dxa"/>
            <w:shd w:val="clear" w:color="auto" w:fill="FFFFFF" w:themeFill="background1"/>
            <w:noWrap/>
            <w:vAlign w:val="center"/>
            <w:hideMark/>
          </w:tcPr>
          <w:p w14:paraId="159DE586"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09" w:type="dxa"/>
            <w:shd w:val="clear" w:color="auto" w:fill="auto"/>
            <w:noWrap/>
            <w:vAlign w:val="center"/>
            <w:hideMark/>
          </w:tcPr>
          <w:p w14:paraId="657AF39C" w14:textId="77777777" w:rsidR="00037542" w:rsidRPr="00814ABA" w:rsidRDefault="003B663F" w:rsidP="00037542">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50" w:type="dxa"/>
            <w:shd w:val="clear" w:color="auto" w:fill="FFFFFF" w:themeFill="background1"/>
            <w:noWrap/>
            <w:vAlign w:val="center"/>
            <w:hideMark/>
          </w:tcPr>
          <w:p w14:paraId="38E09A47"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1" w:type="dxa"/>
            <w:shd w:val="clear" w:color="auto" w:fill="FFFFFF" w:themeFill="background1"/>
            <w:noWrap/>
            <w:vAlign w:val="center"/>
            <w:hideMark/>
          </w:tcPr>
          <w:p w14:paraId="1B8B557C"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42" w:type="dxa"/>
            <w:shd w:val="clear" w:color="auto" w:fill="FFFFFF" w:themeFill="background1"/>
            <w:noWrap/>
            <w:vAlign w:val="center"/>
            <w:hideMark/>
          </w:tcPr>
          <w:p w14:paraId="4B5B38A8"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21" w:type="dxa"/>
            <w:shd w:val="clear" w:color="auto" w:fill="FFFFFF" w:themeFill="background1"/>
            <w:noWrap/>
            <w:vAlign w:val="center"/>
            <w:hideMark/>
          </w:tcPr>
          <w:p w14:paraId="0599713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shd w:val="clear" w:color="auto" w:fill="FFFFFF" w:themeFill="background1"/>
            <w:vAlign w:val="center"/>
          </w:tcPr>
          <w:p w14:paraId="6A99A2F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5FCE28AE" w14:textId="77777777" w:rsidTr="008536E9">
        <w:trPr>
          <w:trHeight w:hRule="exact" w:val="397"/>
        </w:trPr>
        <w:tc>
          <w:tcPr>
            <w:tcW w:w="1604" w:type="dxa"/>
            <w:shd w:val="clear" w:color="auto" w:fill="auto"/>
            <w:noWrap/>
            <w:vAlign w:val="center"/>
            <w:hideMark/>
          </w:tcPr>
          <w:p w14:paraId="12200FA3"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8 Non IS Carer</w:t>
            </w:r>
          </w:p>
        </w:tc>
        <w:tc>
          <w:tcPr>
            <w:tcW w:w="821" w:type="dxa"/>
            <w:shd w:val="clear" w:color="auto" w:fill="FFFFFF" w:themeFill="background1"/>
            <w:noWrap/>
            <w:vAlign w:val="center"/>
            <w:hideMark/>
          </w:tcPr>
          <w:p w14:paraId="73049928"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21" w:type="dxa"/>
            <w:shd w:val="clear" w:color="auto" w:fill="FFFFFF" w:themeFill="background1"/>
            <w:noWrap/>
            <w:vAlign w:val="center"/>
            <w:hideMark/>
          </w:tcPr>
          <w:p w14:paraId="1274958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21" w:type="dxa"/>
            <w:shd w:val="clear" w:color="auto" w:fill="FFFFFF" w:themeFill="background1"/>
            <w:noWrap/>
            <w:vAlign w:val="center"/>
            <w:hideMark/>
          </w:tcPr>
          <w:p w14:paraId="1D9961F1"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53" w:type="dxa"/>
            <w:shd w:val="clear" w:color="auto" w:fill="FFFFFF" w:themeFill="background1"/>
            <w:noWrap/>
            <w:vAlign w:val="center"/>
            <w:hideMark/>
          </w:tcPr>
          <w:p w14:paraId="204F24B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09" w:type="dxa"/>
            <w:shd w:val="clear" w:color="auto" w:fill="FFFFFF" w:themeFill="background1"/>
            <w:noWrap/>
            <w:vAlign w:val="center"/>
            <w:hideMark/>
          </w:tcPr>
          <w:p w14:paraId="1740ED08"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0" w:type="dxa"/>
            <w:shd w:val="clear" w:color="auto" w:fill="FFFFFF" w:themeFill="background1"/>
            <w:noWrap/>
            <w:vAlign w:val="center"/>
            <w:hideMark/>
          </w:tcPr>
          <w:p w14:paraId="30D2103E"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1" w:type="dxa"/>
            <w:shd w:val="clear" w:color="auto" w:fill="FFFFFF" w:themeFill="background1"/>
            <w:noWrap/>
            <w:vAlign w:val="center"/>
            <w:hideMark/>
          </w:tcPr>
          <w:p w14:paraId="05C5E72E"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42" w:type="dxa"/>
            <w:shd w:val="clear" w:color="auto" w:fill="FFFFFF" w:themeFill="background1"/>
            <w:noWrap/>
            <w:vAlign w:val="center"/>
            <w:hideMark/>
          </w:tcPr>
          <w:p w14:paraId="14427C3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21" w:type="dxa"/>
            <w:shd w:val="clear" w:color="auto" w:fill="FFFFFF" w:themeFill="background1"/>
            <w:noWrap/>
            <w:vAlign w:val="center"/>
            <w:hideMark/>
          </w:tcPr>
          <w:p w14:paraId="55A44623"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shd w:val="clear" w:color="auto" w:fill="FFFFFF" w:themeFill="background1"/>
            <w:vAlign w:val="center"/>
          </w:tcPr>
          <w:p w14:paraId="1A2385BB"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037542" w:rsidRPr="00814ABA" w14:paraId="0BEC0959" w14:textId="77777777" w:rsidTr="003B663F">
        <w:trPr>
          <w:trHeight w:hRule="exact" w:val="397"/>
        </w:trPr>
        <w:tc>
          <w:tcPr>
            <w:tcW w:w="1604" w:type="dxa"/>
            <w:shd w:val="clear" w:color="auto" w:fill="auto"/>
            <w:noWrap/>
            <w:vAlign w:val="center"/>
            <w:hideMark/>
          </w:tcPr>
          <w:p w14:paraId="02FB7B93" w14:textId="77777777" w:rsidR="00037542" w:rsidRPr="00814ABA" w:rsidRDefault="00037542" w:rsidP="00037542">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9 Non IS Other</w:t>
            </w:r>
          </w:p>
        </w:tc>
        <w:tc>
          <w:tcPr>
            <w:tcW w:w="821" w:type="dxa"/>
            <w:shd w:val="clear" w:color="auto" w:fill="FFFFFF" w:themeFill="background1"/>
            <w:noWrap/>
            <w:vAlign w:val="center"/>
            <w:hideMark/>
          </w:tcPr>
          <w:p w14:paraId="04C05A26" w14:textId="77777777" w:rsidR="00037542" w:rsidRPr="00814ABA" w:rsidRDefault="00037542" w:rsidP="00037542">
            <w:pPr>
              <w:kinsoku/>
              <w:overflowPunct/>
              <w:autoSpaceDE/>
              <w:autoSpaceDN/>
              <w:adjustRightInd/>
              <w:snapToGrid/>
              <w:jc w:val="center"/>
              <w:rPr>
                <w:rFonts w:cstheme="minorHAnsi"/>
                <w:snapToGrid/>
                <w:color w:val="auto"/>
                <w:sz w:val="16"/>
                <w:szCs w:val="16"/>
                <w:lang w:eastAsia="en-AU"/>
              </w:rPr>
            </w:pPr>
            <w:r w:rsidRPr="00814ABA">
              <w:rPr>
                <w:rFonts w:cstheme="minorHAnsi"/>
                <w:snapToGrid/>
                <w:color w:val="auto"/>
                <w:sz w:val="16"/>
                <w:szCs w:val="16"/>
                <w:lang w:eastAsia="en-AU"/>
              </w:rPr>
              <w:t>F</w:t>
            </w:r>
          </w:p>
        </w:tc>
        <w:tc>
          <w:tcPr>
            <w:tcW w:w="821" w:type="dxa"/>
            <w:shd w:val="clear" w:color="auto" w:fill="FFFFFF" w:themeFill="background1"/>
            <w:noWrap/>
            <w:vAlign w:val="center"/>
            <w:hideMark/>
          </w:tcPr>
          <w:p w14:paraId="624F0992"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21" w:type="dxa"/>
            <w:shd w:val="clear" w:color="auto" w:fill="FFFFFF" w:themeFill="background1"/>
            <w:noWrap/>
            <w:vAlign w:val="center"/>
            <w:hideMark/>
          </w:tcPr>
          <w:p w14:paraId="0D2F057E"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53" w:type="dxa"/>
            <w:shd w:val="clear" w:color="auto" w:fill="FFFFFF" w:themeFill="background1"/>
            <w:noWrap/>
            <w:vAlign w:val="center"/>
            <w:hideMark/>
          </w:tcPr>
          <w:p w14:paraId="5FF266B2"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709" w:type="dxa"/>
            <w:shd w:val="clear" w:color="auto" w:fill="auto"/>
            <w:noWrap/>
            <w:vAlign w:val="center"/>
            <w:hideMark/>
          </w:tcPr>
          <w:p w14:paraId="715AB625" w14:textId="77777777" w:rsidR="00037542" w:rsidRPr="00814ABA" w:rsidRDefault="003B663F" w:rsidP="00037542">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50" w:type="dxa"/>
            <w:shd w:val="clear" w:color="auto" w:fill="FFFFFF" w:themeFill="background1"/>
            <w:noWrap/>
            <w:vAlign w:val="center"/>
            <w:hideMark/>
          </w:tcPr>
          <w:p w14:paraId="400A9078"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51" w:type="dxa"/>
            <w:shd w:val="clear" w:color="auto" w:fill="FFFFFF" w:themeFill="background1"/>
            <w:noWrap/>
            <w:vAlign w:val="center"/>
            <w:hideMark/>
          </w:tcPr>
          <w:p w14:paraId="70551C24"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42" w:type="dxa"/>
            <w:shd w:val="clear" w:color="auto" w:fill="FFFFFF" w:themeFill="background1"/>
            <w:noWrap/>
            <w:vAlign w:val="center"/>
            <w:hideMark/>
          </w:tcPr>
          <w:p w14:paraId="0C257509"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821" w:type="dxa"/>
            <w:shd w:val="clear" w:color="auto" w:fill="FFFFFF" w:themeFill="background1"/>
            <w:noWrap/>
            <w:vAlign w:val="center"/>
            <w:hideMark/>
          </w:tcPr>
          <w:p w14:paraId="140799BD"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c>
          <w:tcPr>
            <w:tcW w:w="907" w:type="dxa"/>
            <w:shd w:val="clear" w:color="auto" w:fill="FFFFFF" w:themeFill="background1"/>
            <w:vAlign w:val="center"/>
          </w:tcPr>
          <w:p w14:paraId="02A1955F" w14:textId="77777777" w:rsidR="00037542" w:rsidRPr="00814ABA" w:rsidRDefault="00037542" w:rsidP="00037542">
            <w:pPr>
              <w:kinsoku/>
              <w:overflowPunct/>
              <w:autoSpaceDE/>
              <w:autoSpaceDN/>
              <w:adjustRightInd/>
              <w:snapToGrid/>
              <w:jc w:val="center"/>
              <w:rPr>
                <w:rFonts w:cstheme="minorHAnsi"/>
                <w:snapToGrid/>
                <w:color w:val="000000"/>
                <w:sz w:val="16"/>
                <w:szCs w:val="16"/>
                <w:lang w:eastAsia="en-AU"/>
              </w:rPr>
            </w:pPr>
            <w:r w:rsidRPr="00814ABA">
              <w:rPr>
                <w:rFonts w:cstheme="minorHAnsi"/>
                <w:snapToGrid/>
                <w:color w:val="000000"/>
                <w:sz w:val="16"/>
                <w:szCs w:val="16"/>
                <w:lang w:eastAsia="en-AU"/>
              </w:rPr>
              <w:t>F</w:t>
            </w:r>
          </w:p>
        </w:tc>
      </w:tr>
      <w:tr w:rsidR="003B663F" w:rsidRPr="00814ABA" w14:paraId="5E3AA17F" w14:textId="77777777" w:rsidTr="003B663F">
        <w:trPr>
          <w:trHeight w:hRule="exact" w:val="397"/>
        </w:trPr>
        <w:tc>
          <w:tcPr>
            <w:tcW w:w="1604" w:type="dxa"/>
            <w:shd w:val="clear" w:color="auto" w:fill="auto"/>
            <w:noWrap/>
            <w:vAlign w:val="center"/>
            <w:hideMark/>
          </w:tcPr>
          <w:p w14:paraId="792F58C6" w14:textId="77777777" w:rsidR="003B663F" w:rsidRPr="00814ABA" w:rsidRDefault="003B663F" w:rsidP="003B663F">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10 Previous welfare recipients</w:t>
            </w:r>
          </w:p>
        </w:tc>
        <w:tc>
          <w:tcPr>
            <w:tcW w:w="821" w:type="dxa"/>
            <w:shd w:val="clear" w:color="auto" w:fill="auto"/>
            <w:noWrap/>
            <w:vAlign w:val="center"/>
            <w:hideMark/>
          </w:tcPr>
          <w:p w14:paraId="286D92AB"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21" w:type="dxa"/>
            <w:shd w:val="clear" w:color="auto" w:fill="auto"/>
            <w:noWrap/>
            <w:vAlign w:val="center"/>
            <w:hideMark/>
          </w:tcPr>
          <w:p w14:paraId="0EA0604C"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21" w:type="dxa"/>
            <w:shd w:val="clear" w:color="auto" w:fill="auto"/>
            <w:noWrap/>
            <w:vAlign w:val="center"/>
            <w:hideMark/>
          </w:tcPr>
          <w:p w14:paraId="399B0399"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753" w:type="dxa"/>
            <w:shd w:val="clear" w:color="auto" w:fill="auto"/>
            <w:noWrap/>
            <w:vAlign w:val="center"/>
            <w:hideMark/>
          </w:tcPr>
          <w:p w14:paraId="0AE5E312"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709" w:type="dxa"/>
            <w:shd w:val="clear" w:color="auto" w:fill="auto"/>
            <w:noWrap/>
            <w:vAlign w:val="center"/>
            <w:hideMark/>
          </w:tcPr>
          <w:p w14:paraId="3044DEE4"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50" w:type="dxa"/>
            <w:shd w:val="clear" w:color="auto" w:fill="auto"/>
            <w:noWrap/>
            <w:vAlign w:val="center"/>
            <w:hideMark/>
          </w:tcPr>
          <w:p w14:paraId="5D2790E4"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51" w:type="dxa"/>
            <w:shd w:val="clear" w:color="auto" w:fill="auto"/>
            <w:noWrap/>
            <w:vAlign w:val="center"/>
            <w:hideMark/>
          </w:tcPr>
          <w:p w14:paraId="51EE6048"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942" w:type="dxa"/>
            <w:shd w:val="clear" w:color="auto" w:fill="auto"/>
            <w:noWrap/>
            <w:vAlign w:val="center"/>
            <w:hideMark/>
          </w:tcPr>
          <w:p w14:paraId="40F081BF"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21" w:type="dxa"/>
            <w:shd w:val="clear" w:color="auto" w:fill="auto"/>
            <w:noWrap/>
            <w:vAlign w:val="center"/>
            <w:hideMark/>
          </w:tcPr>
          <w:p w14:paraId="65AE6330"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907" w:type="dxa"/>
            <w:shd w:val="clear" w:color="auto" w:fill="auto"/>
            <w:vAlign w:val="center"/>
          </w:tcPr>
          <w:p w14:paraId="6E200A5E"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r>
      <w:tr w:rsidR="003B663F" w:rsidRPr="00814ABA" w14:paraId="1B1DB21E" w14:textId="77777777" w:rsidTr="003B663F">
        <w:trPr>
          <w:trHeight w:hRule="exact" w:val="397"/>
        </w:trPr>
        <w:tc>
          <w:tcPr>
            <w:tcW w:w="1604" w:type="dxa"/>
            <w:shd w:val="clear" w:color="auto" w:fill="auto"/>
            <w:noWrap/>
            <w:vAlign w:val="center"/>
            <w:hideMark/>
          </w:tcPr>
          <w:p w14:paraId="0A526DF7" w14:textId="77777777" w:rsidR="003B663F" w:rsidRPr="00814ABA" w:rsidRDefault="003B663F" w:rsidP="003B663F">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11 Dead</w:t>
            </w:r>
          </w:p>
        </w:tc>
        <w:tc>
          <w:tcPr>
            <w:tcW w:w="821" w:type="dxa"/>
            <w:shd w:val="clear" w:color="auto" w:fill="auto"/>
            <w:noWrap/>
            <w:vAlign w:val="center"/>
            <w:hideMark/>
          </w:tcPr>
          <w:p w14:paraId="175154A1"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21" w:type="dxa"/>
            <w:shd w:val="clear" w:color="auto" w:fill="auto"/>
            <w:noWrap/>
            <w:vAlign w:val="center"/>
            <w:hideMark/>
          </w:tcPr>
          <w:p w14:paraId="26286B4C"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21" w:type="dxa"/>
            <w:shd w:val="clear" w:color="auto" w:fill="auto"/>
            <w:noWrap/>
            <w:vAlign w:val="center"/>
            <w:hideMark/>
          </w:tcPr>
          <w:p w14:paraId="77A90F08"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753" w:type="dxa"/>
            <w:shd w:val="clear" w:color="auto" w:fill="auto"/>
            <w:noWrap/>
            <w:vAlign w:val="center"/>
            <w:hideMark/>
          </w:tcPr>
          <w:p w14:paraId="2BB2B09A"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709" w:type="dxa"/>
            <w:shd w:val="clear" w:color="auto" w:fill="auto"/>
            <w:noWrap/>
            <w:vAlign w:val="center"/>
            <w:hideMark/>
          </w:tcPr>
          <w:p w14:paraId="012DBFD1"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50" w:type="dxa"/>
            <w:shd w:val="clear" w:color="auto" w:fill="auto"/>
            <w:noWrap/>
            <w:vAlign w:val="center"/>
            <w:hideMark/>
          </w:tcPr>
          <w:p w14:paraId="53246D6C"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51" w:type="dxa"/>
            <w:shd w:val="clear" w:color="auto" w:fill="auto"/>
            <w:noWrap/>
            <w:vAlign w:val="center"/>
            <w:hideMark/>
          </w:tcPr>
          <w:p w14:paraId="3786A06D"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942" w:type="dxa"/>
            <w:shd w:val="clear" w:color="auto" w:fill="auto"/>
            <w:noWrap/>
            <w:vAlign w:val="center"/>
            <w:hideMark/>
          </w:tcPr>
          <w:p w14:paraId="42C552E2"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21" w:type="dxa"/>
            <w:shd w:val="clear" w:color="auto" w:fill="auto"/>
            <w:noWrap/>
            <w:vAlign w:val="center"/>
            <w:hideMark/>
          </w:tcPr>
          <w:p w14:paraId="2709876A"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907" w:type="dxa"/>
            <w:shd w:val="clear" w:color="auto" w:fill="auto"/>
            <w:vAlign w:val="center"/>
          </w:tcPr>
          <w:p w14:paraId="339CA2C8"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r>
      <w:tr w:rsidR="003B663F" w:rsidRPr="00814ABA" w14:paraId="79883E09" w14:textId="77777777" w:rsidTr="003B663F">
        <w:trPr>
          <w:trHeight w:hRule="exact" w:val="397"/>
        </w:trPr>
        <w:tc>
          <w:tcPr>
            <w:tcW w:w="1604" w:type="dxa"/>
            <w:shd w:val="clear" w:color="auto" w:fill="auto"/>
            <w:noWrap/>
            <w:vAlign w:val="center"/>
            <w:hideMark/>
          </w:tcPr>
          <w:p w14:paraId="5D46EC1C" w14:textId="77777777" w:rsidR="003B663F" w:rsidRPr="00814ABA" w:rsidRDefault="003B663F" w:rsidP="003B663F">
            <w:pPr>
              <w:kinsoku/>
              <w:overflowPunct/>
              <w:autoSpaceDE/>
              <w:autoSpaceDN/>
              <w:adjustRightInd/>
              <w:snapToGrid/>
              <w:rPr>
                <w:rFonts w:cstheme="minorHAnsi"/>
                <w:snapToGrid/>
                <w:color w:val="000000"/>
                <w:sz w:val="16"/>
                <w:szCs w:val="16"/>
                <w:lang w:eastAsia="en-AU"/>
              </w:rPr>
            </w:pPr>
            <w:r w:rsidRPr="00814ABA">
              <w:rPr>
                <w:rFonts w:cstheme="minorHAnsi"/>
                <w:snapToGrid/>
                <w:color w:val="000000"/>
                <w:sz w:val="16"/>
                <w:szCs w:val="16"/>
                <w:lang w:eastAsia="en-AU"/>
              </w:rPr>
              <w:t>12 Rest of Aust. population</w:t>
            </w:r>
          </w:p>
        </w:tc>
        <w:tc>
          <w:tcPr>
            <w:tcW w:w="821" w:type="dxa"/>
            <w:shd w:val="clear" w:color="auto" w:fill="auto"/>
            <w:noWrap/>
            <w:vAlign w:val="center"/>
            <w:hideMark/>
          </w:tcPr>
          <w:p w14:paraId="04DCC564"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21" w:type="dxa"/>
            <w:shd w:val="clear" w:color="auto" w:fill="auto"/>
            <w:noWrap/>
            <w:vAlign w:val="center"/>
            <w:hideMark/>
          </w:tcPr>
          <w:p w14:paraId="248D514A"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21" w:type="dxa"/>
            <w:shd w:val="clear" w:color="auto" w:fill="auto"/>
            <w:noWrap/>
            <w:vAlign w:val="center"/>
            <w:hideMark/>
          </w:tcPr>
          <w:p w14:paraId="5C74540E"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753" w:type="dxa"/>
            <w:shd w:val="clear" w:color="auto" w:fill="auto"/>
            <w:noWrap/>
            <w:vAlign w:val="center"/>
            <w:hideMark/>
          </w:tcPr>
          <w:p w14:paraId="75C9848F"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709" w:type="dxa"/>
            <w:shd w:val="clear" w:color="auto" w:fill="auto"/>
            <w:noWrap/>
            <w:vAlign w:val="center"/>
            <w:hideMark/>
          </w:tcPr>
          <w:p w14:paraId="4EEF5C3B"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50" w:type="dxa"/>
            <w:shd w:val="clear" w:color="auto" w:fill="auto"/>
            <w:noWrap/>
            <w:vAlign w:val="center"/>
            <w:hideMark/>
          </w:tcPr>
          <w:p w14:paraId="4FB22E0E"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851" w:type="dxa"/>
            <w:shd w:val="clear" w:color="auto" w:fill="auto"/>
            <w:noWrap/>
            <w:vAlign w:val="center"/>
            <w:hideMark/>
          </w:tcPr>
          <w:p w14:paraId="019DBB23" w14:textId="77777777" w:rsidR="003B663F" w:rsidRPr="00814ABA" w:rsidRDefault="003B663F" w:rsidP="003B663F">
            <w:pPr>
              <w:kinsoku/>
              <w:overflowPunct/>
              <w:autoSpaceDE/>
              <w:autoSpaceDN/>
              <w:adjustRightInd/>
              <w:snapToGrid/>
              <w:jc w:val="center"/>
              <w:rPr>
                <w:rFonts w:cstheme="minorHAnsi"/>
                <w:snapToGrid/>
                <w:color w:val="auto"/>
                <w:sz w:val="16"/>
                <w:szCs w:val="16"/>
                <w:lang w:eastAsia="en-AU"/>
              </w:rPr>
            </w:pPr>
            <w:r>
              <w:rPr>
                <w:rFonts w:cstheme="minorHAnsi"/>
                <w:snapToGrid/>
                <w:color w:val="000000"/>
                <w:sz w:val="16"/>
                <w:szCs w:val="16"/>
                <w:lang w:eastAsia="en-AU"/>
              </w:rPr>
              <w:t>N/A</w:t>
            </w:r>
          </w:p>
        </w:tc>
        <w:tc>
          <w:tcPr>
            <w:tcW w:w="942" w:type="dxa"/>
            <w:shd w:val="clear" w:color="auto" w:fill="auto"/>
            <w:noWrap/>
            <w:vAlign w:val="center"/>
            <w:hideMark/>
          </w:tcPr>
          <w:p w14:paraId="1B20DE59"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821" w:type="dxa"/>
            <w:shd w:val="clear" w:color="auto" w:fill="auto"/>
            <w:noWrap/>
            <w:vAlign w:val="center"/>
            <w:hideMark/>
          </w:tcPr>
          <w:p w14:paraId="56FEAB63"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c>
          <w:tcPr>
            <w:tcW w:w="907" w:type="dxa"/>
            <w:shd w:val="clear" w:color="auto" w:fill="auto"/>
            <w:vAlign w:val="center"/>
          </w:tcPr>
          <w:p w14:paraId="0301DD02" w14:textId="77777777" w:rsidR="003B663F" w:rsidRPr="00814ABA" w:rsidRDefault="003B663F" w:rsidP="003B663F">
            <w:pPr>
              <w:kinsoku/>
              <w:overflowPunct/>
              <w:autoSpaceDE/>
              <w:autoSpaceDN/>
              <w:adjustRightInd/>
              <w:snapToGrid/>
              <w:jc w:val="center"/>
              <w:rPr>
                <w:rFonts w:cstheme="minorHAnsi"/>
                <w:snapToGrid/>
                <w:color w:val="000000"/>
                <w:sz w:val="16"/>
                <w:szCs w:val="16"/>
                <w:lang w:eastAsia="en-AU"/>
              </w:rPr>
            </w:pPr>
            <w:r>
              <w:rPr>
                <w:rFonts w:cstheme="minorHAnsi"/>
                <w:snapToGrid/>
                <w:color w:val="000000"/>
                <w:sz w:val="16"/>
                <w:szCs w:val="16"/>
                <w:lang w:eastAsia="en-AU"/>
              </w:rPr>
              <w:t>N/A</w:t>
            </w:r>
          </w:p>
        </w:tc>
      </w:tr>
    </w:tbl>
    <w:p w14:paraId="7AC0D4D5" w14:textId="77777777" w:rsidR="00037542" w:rsidRPr="00426796" w:rsidRDefault="00037542" w:rsidP="00037542">
      <w:pPr>
        <w:pStyle w:val="Sources"/>
      </w:pPr>
      <w:r w:rsidRPr="00426796">
        <w:t>Notes:</w:t>
      </w:r>
    </w:p>
    <w:p w14:paraId="52B1DFFF" w14:textId="77777777" w:rsidR="00037542" w:rsidRPr="00426796" w:rsidRDefault="00037542" w:rsidP="00A01ACD">
      <w:pPr>
        <w:pStyle w:val="Sources"/>
        <w:numPr>
          <w:ilvl w:val="0"/>
          <w:numId w:val="51"/>
        </w:numPr>
      </w:pPr>
      <w:r w:rsidRPr="00426796">
        <w:t>RG indicates risk based assumptions</w:t>
      </w:r>
      <w:r w:rsidR="00B1425B">
        <w:t xml:space="preserve"> are used</w:t>
      </w:r>
      <w:r w:rsidRPr="00426796">
        <w:t>, fitted us</w:t>
      </w:r>
      <w:r w:rsidR="00B1425B">
        <w:t>ing a generalised linear model</w:t>
      </w:r>
      <w:r w:rsidRPr="00426796">
        <w:t xml:space="preserve">. </w:t>
      </w:r>
    </w:p>
    <w:p w14:paraId="0CEB13C7" w14:textId="77777777" w:rsidR="00037542" w:rsidRPr="00426796" w:rsidRDefault="00037542" w:rsidP="00A01ACD">
      <w:pPr>
        <w:pStyle w:val="Sources"/>
        <w:numPr>
          <w:ilvl w:val="0"/>
          <w:numId w:val="51"/>
        </w:numPr>
      </w:pPr>
      <w:r w:rsidRPr="00426796">
        <w:t>RL indicates risk based assumptions</w:t>
      </w:r>
      <w:r w:rsidR="00B1425B">
        <w:t xml:space="preserve"> are used</w:t>
      </w:r>
      <w:r w:rsidRPr="00426796">
        <w:t xml:space="preserve">, by applying a loading to the main income support payment type. </w:t>
      </w:r>
    </w:p>
    <w:p w14:paraId="3162807A" w14:textId="77777777" w:rsidR="00037542" w:rsidRPr="00426796" w:rsidRDefault="00037542" w:rsidP="00A01ACD">
      <w:pPr>
        <w:pStyle w:val="Sources"/>
        <w:numPr>
          <w:ilvl w:val="0"/>
          <w:numId w:val="51"/>
        </w:numPr>
      </w:pPr>
      <w:r w:rsidRPr="00426796">
        <w:t>F indicates Foundation assumptions have been used</w:t>
      </w:r>
    </w:p>
    <w:p w14:paraId="2AE7913A" w14:textId="77777777" w:rsidR="00037542" w:rsidRPr="00137872" w:rsidRDefault="00037542" w:rsidP="00037542">
      <w:pPr>
        <w:pStyle w:val="PwCNormal"/>
        <w:numPr>
          <w:ilvl w:val="0"/>
          <w:numId w:val="1"/>
        </w:numPr>
      </w:pPr>
    </w:p>
    <w:p w14:paraId="10BB2DCC" w14:textId="77777777" w:rsidR="00037542" w:rsidRDefault="00037542" w:rsidP="00037542">
      <w:pPr>
        <w:kinsoku/>
        <w:overflowPunct/>
        <w:autoSpaceDE/>
        <w:autoSpaceDN/>
        <w:adjustRightInd/>
        <w:snapToGrid/>
      </w:pPr>
      <w:r>
        <w:br w:type="page"/>
      </w:r>
    </w:p>
    <w:p w14:paraId="77D8A8C6" w14:textId="77777777" w:rsidR="00037542" w:rsidRPr="004E72C0" w:rsidRDefault="00037542" w:rsidP="00037542">
      <w:pPr>
        <w:pStyle w:val="PwCNormal"/>
        <w:numPr>
          <w:ilvl w:val="0"/>
          <w:numId w:val="0"/>
        </w:numPr>
        <w:spacing w:before="0"/>
        <w:rPr>
          <w:rStyle w:val="StyleHeadingsArialBoldCustomColorRGB963532"/>
          <w:rFonts w:asciiTheme="minorHAnsi" w:hAnsiTheme="minorHAnsi"/>
          <w:b w:val="0"/>
          <w:bCs w:val="0"/>
          <w:color w:val="404040" w:themeColor="text1" w:themeTint="BF"/>
        </w:rPr>
      </w:pPr>
      <w:r w:rsidRPr="00814ABA">
        <w:lastRenderedPageBreak/>
        <w:t xml:space="preserve">Through applying these approaches the factors considered for </w:t>
      </w:r>
      <w:r>
        <w:t xml:space="preserve">payments under </w:t>
      </w:r>
      <w:r w:rsidRPr="00814ABA">
        <w:t>income support and other payment categories are as follows. Where foundation assumptions have been used for some classes and risk based assumptions for others, the table shows the factors in the risk based assumption set.</w:t>
      </w:r>
    </w:p>
    <w:p w14:paraId="4DCFA093" w14:textId="77777777" w:rsidR="00037542" w:rsidRPr="00814ABA" w:rsidRDefault="00037542" w:rsidP="00037542">
      <w:pPr>
        <w:pStyle w:val="Caption"/>
      </w:pPr>
      <w:r w:rsidRPr="001B0B07">
        <w:t>Table</w:t>
      </w:r>
      <w:r w:rsidRPr="00814ABA">
        <w:t xml:space="preserve"> </w:t>
      </w:r>
      <w:fldSimple w:instr=" SEQ Table \* ARABIC ">
        <w:r w:rsidR="007A42DF">
          <w:rPr>
            <w:noProof/>
          </w:rPr>
          <w:t>75</w:t>
        </w:r>
      </w:fldSimple>
      <w:r w:rsidRPr="00814ABA">
        <w:t>: Factors considered in payment assumptions – income support payments</w:t>
      </w:r>
    </w:p>
    <w:tbl>
      <w:tblPr>
        <w:tblW w:w="9897" w:type="dxa"/>
        <w:tblInd w:w="11" w:type="dxa"/>
        <w:tblBorders>
          <w:top w:val="single" w:sz="4" w:space="0" w:color="E0301E"/>
          <w:bottom w:val="single" w:sz="4" w:space="0" w:color="E0301E"/>
          <w:insideH w:val="single" w:sz="4" w:space="0" w:color="E0301E"/>
        </w:tblBorders>
        <w:tblLayout w:type="fixed"/>
        <w:tblCellMar>
          <w:left w:w="11" w:type="dxa"/>
          <w:right w:w="6" w:type="dxa"/>
        </w:tblCellMar>
        <w:tblLook w:val="04A0" w:firstRow="1" w:lastRow="0" w:firstColumn="1" w:lastColumn="0" w:noHBand="0" w:noVBand="1"/>
        <w:tblCaption w:val="Factors considered in payment assumptions – income support payments"/>
        <w:tblDescription w:val="This table describes the factors that were considered in selecting payment assumptions for the Income Support payment types. For reference, the Income Support Payment Types are income support studying, income support working, income support parents, income support carers, income support disability, income support aged and income support dependant. These are listed across the top of the table. Down the left hand side are listed are 13 characteristics that were considered for one or more of the payment category assumptions. These are: age, gender, class, previous class, partner status, number of dependent children, age of dependent children, highest education level obtained, duration in welfare class/system, Indigenous status, previous welfare utilisation, payment type and earnings indicator.&#10;&#10;For Studying payment assumptions, all factors were considered except number and age of dependent children, Indigenous status and previous welfare utilization. For Working Age payment assumptions, all factors were considered. For Parents payment assumptions, all factors were considered except highest level of education attained and Indigenous status. For Carers payment assumptions, the factors considered were class, partner status, duration in welfare class/system, previous welfare utilization and earnings indicator. For Disability payment assumptions, the factors considered were age, class, partner status, duration in welfare class/system, previous welfare utilization and earnings indicator. For Aged Pension payment assumptions, the factors considered were age, gender, class, previous class, partner status and duration in welfare class/system. For Dependent payment assumptions, the factors considered were age, class, partner status, duration in welfare class/system, previous welfare utilization, payment type and earnings indicator. &#10;"/>
      </w:tblPr>
      <w:tblGrid>
        <w:gridCol w:w="2122"/>
        <w:gridCol w:w="1110"/>
        <w:gridCol w:w="1111"/>
        <w:gridCol w:w="1111"/>
        <w:gridCol w:w="1110"/>
        <w:gridCol w:w="1111"/>
        <w:gridCol w:w="1111"/>
        <w:gridCol w:w="1111"/>
      </w:tblGrid>
      <w:tr w:rsidR="00037542" w:rsidRPr="00814ABA" w14:paraId="401D7E5B" w14:textId="77777777" w:rsidTr="00037542">
        <w:trPr>
          <w:trHeight w:val="748"/>
          <w:tblHeader/>
        </w:trPr>
        <w:tc>
          <w:tcPr>
            <w:tcW w:w="2122" w:type="dxa"/>
            <w:shd w:val="clear" w:color="auto" w:fill="E0301E"/>
            <w:vAlign w:val="center"/>
            <w:hideMark/>
          </w:tcPr>
          <w:p w14:paraId="31500FEE" w14:textId="77777777" w:rsidR="00037542" w:rsidRPr="00814ABA" w:rsidRDefault="00037542" w:rsidP="008536E9">
            <w:pPr>
              <w:pStyle w:val="TableColumnHeadingSmall"/>
              <w:rPr>
                <w:snapToGrid/>
                <w:lang w:eastAsia="en-AU"/>
              </w:rPr>
            </w:pPr>
            <w:r w:rsidRPr="00814ABA">
              <w:rPr>
                <w:snapToGrid/>
                <w:lang w:eastAsia="en-AU"/>
              </w:rPr>
              <w:t>Individual Characteristics Used</w:t>
            </w:r>
          </w:p>
        </w:tc>
        <w:tc>
          <w:tcPr>
            <w:tcW w:w="1110" w:type="dxa"/>
            <w:shd w:val="clear" w:color="auto" w:fill="E0301E"/>
            <w:hideMark/>
          </w:tcPr>
          <w:p w14:paraId="677FDFD8" w14:textId="77777777" w:rsidR="00037542" w:rsidRPr="00814ABA" w:rsidRDefault="00037542" w:rsidP="008536E9">
            <w:pPr>
              <w:pStyle w:val="TableColumnHeadingSmall"/>
              <w:jc w:val="center"/>
              <w:rPr>
                <w:snapToGrid/>
                <w:lang w:eastAsia="en-AU"/>
              </w:rPr>
            </w:pPr>
            <w:r w:rsidRPr="00814ABA">
              <w:rPr>
                <w:snapToGrid/>
                <w:lang w:eastAsia="en-AU"/>
              </w:rPr>
              <w:t>A</w:t>
            </w:r>
          </w:p>
          <w:p w14:paraId="2FBB5F20" w14:textId="77777777" w:rsidR="00037542" w:rsidRDefault="00037542" w:rsidP="008536E9">
            <w:pPr>
              <w:pStyle w:val="TableColumnHeadingSmall"/>
              <w:jc w:val="center"/>
              <w:rPr>
                <w:snapToGrid/>
                <w:lang w:eastAsia="en-AU"/>
              </w:rPr>
            </w:pPr>
            <w:r w:rsidRPr="00814ABA">
              <w:rPr>
                <w:snapToGrid/>
                <w:lang w:eastAsia="en-AU"/>
              </w:rPr>
              <w:t>IS</w:t>
            </w:r>
          </w:p>
          <w:p w14:paraId="423D198E" w14:textId="77777777" w:rsidR="00037542" w:rsidRPr="00814ABA" w:rsidRDefault="00037542" w:rsidP="008536E9">
            <w:pPr>
              <w:pStyle w:val="TableColumnHeadingSmall"/>
              <w:jc w:val="center"/>
              <w:rPr>
                <w:snapToGrid/>
                <w:lang w:eastAsia="en-AU"/>
              </w:rPr>
            </w:pPr>
            <w:r w:rsidRPr="00814ABA">
              <w:rPr>
                <w:snapToGrid/>
                <w:lang w:eastAsia="en-AU"/>
              </w:rPr>
              <w:t>Studying</w:t>
            </w:r>
          </w:p>
        </w:tc>
        <w:tc>
          <w:tcPr>
            <w:tcW w:w="1111" w:type="dxa"/>
            <w:shd w:val="clear" w:color="auto" w:fill="E0301E"/>
            <w:hideMark/>
          </w:tcPr>
          <w:p w14:paraId="3D0A28A3" w14:textId="77777777" w:rsidR="00037542" w:rsidRPr="00814ABA" w:rsidRDefault="00037542" w:rsidP="008536E9">
            <w:pPr>
              <w:pStyle w:val="TableColumnHeadingSmall"/>
              <w:jc w:val="center"/>
              <w:rPr>
                <w:snapToGrid/>
                <w:lang w:eastAsia="en-AU"/>
              </w:rPr>
            </w:pPr>
            <w:r w:rsidRPr="00814ABA">
              <w:rPr>
                <w:snapToGrid/>
                <w:lang w:eastAsia="en-AU"/>
              </w:rPr>
              <w:t>B</w:t>
            </w:r>
          </w:p>
          <w:p w14:paraId="49C5DD11" w14:textId="77777777" w:rsidR="00037542" w:rsidRDefault="00037542" w:rsidP="008536E9">
            <w:pPr>
              <w:pStyle w:val="TableColumnHeadingSmall"/>
              <w:jc w:val="center"/>
              <w:rPr>
                <w:snapToGrid/>
                <w:lang w:eastAsia="en-AU"/>
              </w:rPr>
            </w:pPr>
            <w:r w:rsidRPr="00814ABA">
              <w:rPr>
                <w:snapToGrid/>
                <w:lang w:eastAsia="en-AU"/>
              </w:rPr>
              <w:t>IS</w:t>
            </w:r>
          </w:p>
          <w:p w14:paraId="46BEA593" w14:textId="77777777" w:rsidR="00037542" w:rsidRPr="00814ABA" w:rsidRDefault="00037542" w:rsidP="008536E9">
            <w:pPr>
              <w:pStyle w:val="TableColumnHeadingSmall"/>
              <w:jc w:val="center"/>
              <w:rPr>
                <w:snapToGrid/>
                <w:lang w:eastAsia="en-AU"/>
              </w:rPr>
            </w:pPr>
            <w:r w:rsidRPr="00814ABA">
              <w:rPr>
                <w:snapToGrid/>
                <w:lang w:eastAsia="en-AU"/>
              </w:rPr>
              <w:t>Working Age</w:t>
            </w:r>
          </w:p>
        </w:tc>
        <w:tc>
          <w:tcPr>
            <w:tcW w:w="1111" w:type="dxa"/>
            <w:shd w:val="clear" w:color="auto" w:fill="E0301E"/>
            <w:hideMark/>
          </w:tcPr>
          <w:p w14:paraId="1AE2CE6C" w14:textId="77777777" w:rsidR="00037542" w:rsidRPr="00814ABA" w:rsidRDefault="00037542" w:rsidP="008536E9">
            <w:pPr>
              <w:pStyle w:val="TableColumnHeadingSmall"/>
              <w:jc w:val="center"/>
              <w:rPr>
                <w:snapToGrid/>
                <w:lang w:eastAsia="en-AU"/>
              </w:rPr>
            </w:pPr>
            <w:r w:rsidRPr="00814ABA">
              <w:rPr>
                <w:snapToGrid/>
                <w:lang w:eastAsia="en-AU"/>
              </w:rPr>
              <w:t>C</w:t>
            </w:r>
          </w:p>
          <w:p w14:paraId="0A15CCCB" w14:textId="77777777" w:rsidR="00037542" w:rsidRDefault="00037542" w:rsidP="008536E9">
            <w:pPr>
              <w:pStyle w:val="TableColumnHeadingSmall"/>
              <w:jc w:val="center"/>
              <w:rPr>
                <w:snapToGrid/>
                <w:lang w:eastAsia="en-AU"/>
              </w:rPr>
            </w:pPr>
            <w:r w:rsidRPr="00814ABA">
              <w:rPr>
                <w:snapToGrid/>
                <w:lang w:eastAsia="en-AU"/>
              </w:rPr>
              <w:t>IS</w:t>
            </w:r>
          </w:p>
          <w:p w14:paraId="015E4D22" w14:textId="77777777" w:rsidR="00037542" w:rsidRPr="00814ABA" w:rsidRDefault="00037542" w:rsidP="008536E9">
            <w:pPr>
              <w:pStyle w:val="TableColumnHeadingSmall"/>
              <w:jc w:val="center"/>
              <w:rPr>
                <w:snapToGrid/>
                <w:lang w:eastAsia="en-AU"/>
              </w:rPr>
            </w:pPr>
            <w:r w:rsidRPr="00814ABA">
              <w:rPr>
                <w:snapToGrid/>
                <w:lang w:eastAsia="en-AU"/>
              </w:rPr>
              <w:t>Parents</w:t>
            </w:r>
          </w:p>
        </w:tc>
        <w:tc>
          <w:tcPr>
            <w:tcW w:w="1110" w:type="dxa"/>
            <w:shd w:val="clear" w:color="auto" w:fill="E0301E"/>
            <w:hideMark/>
          </w:tcPr>
          <w:p w14:paraId="19C1CC79" w14:textId="77777777" w:rsidR="00037542" w:rsidRPr="00814ABA" w:rsidRDefault="00037542" w:rsidP="008536E9">
            <w:pPr>
              <w:pStyle w:val="TableColumnHeadingSmall"/>
              <w:jc w:val="center"/>
              <w:rPr>
                <w:snapToGrid/>
                <w:lang w:eastAsia="en-AU"/>
              </w:rPr>
            </w:pPr>
            <w:r w:rsidRPr="00814ABA">
              <w:rPr>
                <w:snapToGrid/>
                <w:lang w:eastAsia="en-AU"/>
              </w:rPr>
              <w:t>D</w:t>
            </w:r>
          </w:p>
          <w:p w14:paraId="3ACDFD7F" w14:textId="77777777" w:rsidR="00037542" w:rsidRDefault="00037542" w:rsidP="008536E9">
            <w:pPr>
              <w:pStyle w:val="TableColumnHeadingSmall"/>
              <w:jc w:val="center"/>
              <w:rPr>
                <w:snapToGrid/>
                <w:lang w:eastAsia="en-AU"/>
              </w:rPr>
            </w:pPr>
            <w:r w:rsidRPr="00814ABA">
              <w:rPr>
                <w:snapToGrid/>
                <w:lang w:eastAsia="en-AU"/>
              </w:rPr>
              <w:t>IS</w:t>
            </w:r>
          </w:p>
          <w:p w14:paraId="0B82D7AE" w14:textId="77777777" w:rsidR="00037542" w:rsidRPr="00814ABA" w:rsidRDefault="00037542" w:rsidP="008536E9">
            <w:pPr>
              <w:pStyle w:val="TableColumnHeadingSmall"/>
              <w:jc w:val="center"/>
              <w:rPr>
                <w:snapToGrid/>
                <w:lang w:eastAsia="en-AU"/>
              </w:rPr>
            </w:pPr>
            <w:r w:rsidRPr="00814ABA">
              <w:rPr>
                <w:snapToGrid/>
                <w:lang w:eastAsia="en-AU"/>
              </w:rPr>
              <w:t>Carers</w:t>
            </w:r>
          </w:p>
        </w:tc>
        <w:tc>
          <w:tcPr>
            <w:tcW w:w="1111" w:type="dxa"/>
            <w:shd w:val="clear" w:color="auto" w:fill="E0301E"/>
            <w:hideMark/>
          </w:tcPr>
          <w:p w14:paraId="3598E49C" w14:textId="77777777" w:rsidR="00037542" w:rsidRPr="00814ABA" w:rsidRDefault="00037542" w:rsidP="008536E9">
            <w:pPr>
              <w:pStyle w:val="TableColumnHeadingSmall"/>
              <w:jc w:val="center"/>
              <w:rPr>
                <w:snapToGrid/>
                <w:lang w:eastAsia="en-AU"/>
              </w:rPr>
            </w:pPr>
            <w:r w:rsidRPr="00814ABA">
              <w:rPr>
                <w:snapToGrid/>
                <w:lang w:eastAsia="en-AU"/>
              </w:rPr>
              <w:t>E</w:t>
            </w:r>
          </w:p>
          <w:p w14:paraId="45870991" w14:textId="77777777" w:rsidR="00037542" w:rsidRDefault="00037542" w:rsidP="008536E9">
            <w:pPr>
              <w:pStyle w:val="TableColumnHeadingSmall"/>
              <w:jc w:val="center"/>
              <w:rPr>
                <w:snapToGrid/>
                <w:lang w:eastAsia="en-AU"/>
              </w:rPr>
            </w:pPr>
            <w:r w:rsidRPr="00814ABA">
              <w:rPr>
                <w:snapToGrid/>
                <w:lang w:eastAsia="en-AU"/>
              </w:rPr>
              <w:t>IS</w:t>
            </w:r>
          </w:p>
          <w:p w14:paraId="6886D1CC" w14:textId="77777777" w:rsidR="00037542" w:rsidRPr="00814ABA" w:rsidRDefault="00037542" w:rsidP="008536E9">
            <w:pPr>
              <w:pStyle w:val="TableColumnHeadingSmall"/>
              <w:jc w:val="center"/>
              <w:rPr>
                <w:snapToGrid/>
                <w:lang w:eastAsia="en-AU"/>
              </w:rPr>
            </w:pPr>
            <w:r w:rsidRPr="00814ABA">
              <w:rPr>
                <w:snapToGrid/>
                <w:lang w:eastAsia="en-AU"/>
              </w:rPr>
              <w:t>Disability</w:t>
            </w:r>
          </w:p>
        </w:tc>
        <w:tc>
          <w:tcPr>
            <w:tcW w:w="1111" w:type="dxa"/>
            <w:shd w:val="clear" w:color="auto" w:fill="E0301E"/>
            <w:hideMark/>
          </w:tcPr>
          <w:p w14:paraId="172B5BF3" w14:textId="77777777" w:rsidR="00037542" w:rsidRPr="00814ABA" w:rsidRDefault="00037542" w:rsidP="008536E9">
            <w:pPr>
              <w:pStyle w:val="TableColumnHeadingSmall"/>
              <w:jc w:val="center"/>
              <w:rPr>
                <w:snapToGrid/>
                <w:lang w:eastAsia="en-AU"/>
              </w:rPr>
            </w:pPr>
            <w:r w:rsidRPr="00814ABA">
              <w:rPr>
                <w:snapToGrid/>
                <w:lang w:eastAsia="en-AU"/>
              </w:rPr>
              <w:t>F</w:t>
            </w:r>
          </w:p>
          <w:p w14:paraId="75732EC6" w14:textId="77777777" w:rsidR="00037542" w:rsidRDefault="00037542" w:rsidP="008536E9">
            <w:pPr>
              <w:pStyle w:val="TableColumnHeadingSmall"/>
              <w:jc w:val="center"/>
              <w:rPr>
                <w:snapToGrid/>
                <w:lang w:eastAsia="en-AU"/>
              </w:rPr>
            </w:pPr>
            <w:r w:rsidRPr="00814ABA">
              <w:rPr>
                <w:snapToGrid/>
                <w:lang w:eastAsia="en-AU"/>
              </w:rPr>
              <w:t>IS</w:t>
            </w:r>
          </w:p>
          <w:p w14:paraId="5ED6564B" w14:textId="77777777" w:rsidR="00037542" w:rsidRPr="00814ABA" w:rsidRDefault="00037542" w:rsidP="008536E9">
            <w:pPr>
              <w:pStyle w:val="TableColumnHeadingSmall"/>
              <w:jc w:val="center"/>
              <w:rPr>
                <w:snapToGrid/>
                <w:lang w:eastAsia="en-AU"/>
              </w:rPr>
            </w:pPr>
            <w:r w:rsidRPr="00814ABA">
              <w:rPr>
                <w:snapToGrid/>
                <w:lang w:eastAsia="en-AU"/>
              </w:rPr>
              <w:t>Aged</w:t>
            </w:r>
          </w:p>
        </w:tc>
        <w:tc>
          <w:tcPr>
            <w:tcW w:w="1111" w:type="dxa"/>
            <w:shd w:val="clear" w:color="auto" w:fill="E0301E"/>
            <w:hideMark/>
          </w:tcPr>
          <w:p w14:paraId="5FB95888" w14:textId="77777777" w:rsidR="00037542" w:rsidRPr="00814ABA" w:rsidRDefault="00037542" w:rsidP="008536E9">
            <w:pPr>
              <w:pStyle w:val="TableColumnHeadingSmall"/>
              <w:jc w:val="center"/>
              <w:rPr>
                <w:snapToGrid/>
                <w:lang w:eastAsia="en-AU"/>
              </w:rPr>
            </w:pPr>
            <w:r w:rsidRPr="00814ABA">
              <w:rPr>
                <w:snapToGrid/>
                <w:lang w:eastAsia="en-AU"/>
              </w:rPr>
              <w:t>G</w:t>
            </w:r>
          </w:p>
          <w:p w14:paraId="648638B7" w14:textId="77777777" w:rsidR="00037542" w:rsidRDefault="00037542" w:rsidP="008536E9">
            <w:pPr>
              <w:pStyle w:val="TableColumnHeadingSmall"/>
              <w:jc w:val="center"/>
              <w:rPr>
                <w:snapToGrid/>
                <w:lang w:eastAsia="en-AU"/>
              </w:rPr>
            </w:pPr>
            <w:r w:rsidRPr="00814ABA">
              <w:rPr>
                <w:snapToGrid/>
                <w:lang w:eastAsia="en-AU"/>
              </w:rPr>
              <w:t>IS</w:t>
            </w:r>
          </w:p>
          <w:p w14:paraId="0C3AA01F" w14:textId="77777777" w:rsidR="00037542" w:rsidRPr="00814ABA" w:rsidRDefault="00037542" w:rsidP="008536E9">
            <w:pPr>
              <w:pStyle w:val="TableColumnHeadingSmall"/>
              <w:jc w:val="center"/>
              <w:rPr>
                <w:snapToGrid/>
                <w:lang w:eastAsia="en-AU"/>
              </w:rPr>
            </w:pPr>
            <w:r w:rsidRPr="00814ABA">
              <w:rPr>
                <w:snapToGrid/>
                <w:lang w:eastAsia="en-AU"/>
              </w:rPr>
              <w:t>Dependent</w:t>
            </w:r>
          </w:p>
        </w:tc>
      </w:tr>
      <w:tr w:rsidR="00037542" w:rsidRPr="00814ABA" w14:paraId="6104678E" w14:textId="77777777" w:rsidTr="00037542">
        <w:trPr>
          <w:trHeight w:hRule="exact" w:val="397"/>
        </w:trPr>
        <w:tc>
          <w:tcPr>
            <w:tcW w:w="2122" w:type="dxa"/>
            <w:shd w:val="clear" w:color="auto" w:fill="auto"/>
            <w:vAlign w:val="center"/>
            <w:hideMark/>
          </w:tcPr>
          <w:p w14:paraId="468552A2"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Age</w:t>
            </w:r>
          </w:p>
        </w:tc>
        <w:tc>
          <w:tcPr>
            <w:tcW w:w="1110" w:type="dxa"/>
            <w:shd w:val="clear" w:color="auto" w:fill="auto"/>
            <w:noWrap/>
            <w:vAlign w:val="center"/>
            <w:hideMark/>
          </w:tcPr>
          <w:p w14:paraId="03BFE81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7436BE7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733704A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0" w:type="dxa"/>
            <w:shd w:val="clear" w:color="auto" w:fill="auto"/>
            <w:noWrap/>
            <w:vAlign w:val="center"/>
            <w:hideMark/>
          </w:tcPr>
          <w:p w14:paraId="20BB221D"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46186E1A"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3244C4C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133E886D"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r>
      <w:tr w:rsidR="00037542" w:rsidRPr="00814ABA" w14:paraId="10971F15" w14:textId="77777777" w:rsidTr="00037542">
        <w:trPr>
          <w:trHeight w:hRule="exact" w:val="397"/>
        </w:trPr>
        <w:tc>
          <w:tcPr>
            <w:tcW w:w="2122" w:type="dxa"/>
            <w:shd w:val="clear" w:color="auto" w:fill="auto"/>
            <w:vAlign w:val="center"/>
            <w:hideMark/>
          </w:tcPr>
          <w:p w14:paraId="0105A801"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Gender</w:t>
            </w:r>
          </w:p>
        </w:tc>
        <w:tc>
          <w:tcPr>
            <w:tcW w:w="1110" w:type="dxa"/>
            <w:shd w:val="clear" w:color="auto" w:fill="auto"/>
            <w:noWrap/>
            <w:vAlign w:val="center"/>
            <w:hideMark/>
          </w:tcPr>
          <w:p w14:paraId="510AD3AD"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27677F3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488877D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0" w:type="dxa"/>
            <w:shd w:val="clear" w:color="auto" w:fill="auto"/>
            <w:noWrap/>
            <w:vAlign w:val="center"/>
            <w:hideMark/>
          </w:tcPr>
          <w:p w14:paraId="366932B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7CCA78C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7E8776C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2DE3A0A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814ABA" w14:paraId="65B9539B" w14:textId="77777777" w:rsidTr="00037542">
        <w:trPr>
          <w:trHeight w:hRule="exact" w:val="397"/>
        </w:trPr>
        <w:tc>
          <w:tcPr>
            <w:tcW w:w="2122" w:type="dxa"/>
            <w:shd w:val="clear" w:color="auto" w:fill="auto"/>
            <w:vAlign w:val="center"/>
            <w:hideMark/>
          </w:tcPr>
          <w:p w14:paraId="10901823"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Class</w:t>
            </w:r>
          </w:p>
        </w:tc>
        <w:tc>
          <w:tcPr>
            <w:tcW w:w="1110" w:type="dxa"/>
            <w:shd w:val="clear" w:color="auto" w:fill="auto"/>
            <w:noWrap/>
            <w:vAlign w:val="center"/>
            <w:hideMark/>
          </w:tcPr>
          <w:p w14:paraId="02FAB05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664BA0DE"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7E67456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0" w:type="dxa"/>
            <w:shd w:val="clear" w:color="auto" w:fill="auto"/>
            <w:noWrap/>
            <w:vAlign w:val="center"/>
            <w:hideMark/>
          </w:tcPr>
          <w:p w14:paraId="5ADD9E3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030A6C5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41EACB0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677A9BD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r>
      <w:tr w:rsidR="00037542" w:rsidRPr="00814ABA" w14:paraId="55A95482" w14:textId="77777777" w:rsidTr="00037542">
        <w:trPr>
          <w:trHeight w:hRule="exact" w:val="397"/>
        </w:trPr>
        <w:tc>
          <w:tcPr>
            <w:tcW w:w="2122" w:type="dxa"/>
            <w:shd w:val="clear" w:color="auto" w:fill="auto"/>
            <w:vAlign w:val="center"/>
            <w:hideMark/>
          </w:tcPr>
          <w:p w14:paraId="11C94C9C"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Previous class</w:t>
            </w:r>
          </w:p>
        </w:tc>
        <w:tc>
          <w:tcPr>
            <w:tcW w:w="1110" w:type="dxa"/>
            <w:shd w:val="clear" w:color="auto" w:fill="auto"/>
            <w:noWrap/>
            <w:vAlign w:val="center"/>
            <w:hideMark/>
          </w:tcPr>
          <w:p w14:paraId="728CB45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1AEF6C3D"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6E1812B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0" w:type="dxa"/>
            <w:shd w:val="clear" w:color="auto" w:fill="auto"/>
            <w:noWrap/>
            <w:vAlign w:val="center"/>
            <w:hideMark/>
          </w:tcPr>
          <w:p w14:paraId="2C93A77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378B585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77C7F31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4CC5A72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814ABA" w14:paraId="674B6874" w14:textId="77777777" w:rsidTr="00037542">
        <w:trPr>
          <w:trHeight w:hRule="exact" w:val="397"/>
        </w:trPr>
        <w:tc>
          <w:tcPr>
            <w:tcW w:w="2122" w:type="dxa"/>
            <w:shd w:val="clear" w:color="auto" w:fill="auto"/>
            <w:vAlign w:val="center"/>
            <w:hideMark/>
          </w:tcPr>
          <w:p w14:paraId="5C1BEFEB"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Partner status</w:t>
            </w:r>
          </w:p>
        </w:tc>
        <w:tc>
          <w:tcPr>
            <w:tcW w:w="1110" w:type="dxa"/>
            <w:shd w:val="clear" w:color="auto" w:fill="auto"/>
            <w:noWrap/>
            <w:vAlign w:val="center"/>
            <w:hideMark/>
          </w:tcPr>
          <w:p w14:paraId="36CFEB6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6186B0D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073C4EC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0" w:type="dxa"/>
            <w:shd w:val="clear" w:color="auto" w:fill="auto"/>
            <w:noWrap/>
            <w:vAlign w:val="center"/>
            <w:hideMark/>
          </w:tcPr>
          <w:p w14:paraId="2FA6F41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32F01C35"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4076FA04"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2F62405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r>
      <w:tr w:rsidR="00037542" w:rsidRPr="00814ABA" w14:paraId="3A02F532" w14:textId="77777777" w:rsidTr="00037542">
        <w:trPr>
          <w:trHeight w:hRule="exact" w:val="397"/>
        </w:trPr>
        <w:tc>
          <w:tcPr>
            <w:tcW w:w="2122" w:type="dxa"/>
            <w:shd w:val="clear" w:color="auto" w:fill="auto"/>
            <w:vAlign w:val="center"/>
            <w:hideMark/>
          </w:tcPr>
          <w:p w14:paraId="52F306FA"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Number of dependent children</w:t>
            </w:r>
          </w:p>
        </w:tc>
        <w:tc>
          <w:tcPr>
            <w:tcW w:w="1110" w:type="dxa"/>
            <w:shd w:val="clear" w:color="auto" w:fill="auto"/>
            <w:noWrap/>
            <w:vAlign w:val="center"/>
            <w:hideMark/>
          </w:tcPr>
          <w:p w14:paraId="505F80A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7AD8879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5FD5EF9D"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0" w:type="dxa"/>
            <w:shd w:val="clear" w:color="auto" w:fill="auto"/>
            <w:noWrap/>
            <w:vAlign w:val="center"/>
            <w:hideMark/>
          </w:tcPr>
          <w:p w14:paraId="2D56326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5ED76CA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096F61F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110CFAE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814ABA" w14:paraId="0EE9A88D" w14:textId="77777777" w:rsidTr="00037542">
        <w:trPr>
          <w:trHeight w:hRule="exact" w:val="397"/>
        </w:trPr>
        <w:tc>
          <w:tcPr>
            <w:tcW w:w="2122" w:type="dxa"/>
            <w:shd w:val="clear" w:color="auto" w:fill="auto"/>
            <w:vAlign w:val="center"/>
            <w:hideMark/>
          </w:tcPr>
          <w:p w14:paraId="1E854141"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Age of  dependent children</w:t>
            </w:r>
          </w:p>
        </w:tc>
        <w:tc>
          <w:tcPr>
            <w:tcW w:w="1110" w:type="dxa"/>
            <w:shd w:val="clear" w:color="auto" w:fill="auto"/>
            <w:noWrap/>
            <w:vAlign w:val="center"/>
            <w:hideMark/>
          </w:tcPr>
          <w:p w14:paraId="7925160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1ECB0C5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6EA4705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0" w:type="dxa"/>
            <w:shd w:val="clear" w:color="auto" w:fill="auto"/>
            <w:noWrap/>
            <w:vAlign w:val="center"/>
            <w:hideMark/>
          </w:tcPr>
          <w:p w14:paraId="3576AF8B"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25393DBE"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2002582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14FB7CA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814ABA" w14:paraId="4F68DD28" w14:textId="77777777" w:rsidTr="00037542">
        <w:trPr>
          <w:trHeight w:hRule="exact" w:val="397"/>
        </w:trPr>
        <w:tc>
          <w:tcPr>
            <w:tcW w:w="2122" w:type="dxa"/>
            <w:shd w:val="clear" w:color="auto" w:fill="auto"/>
            <w:vAlign w:val="center"/>
            <w:hideMark/>
          </w:tcPr>
          <w:p w14:paraId="34F3DE33"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Highest level of education attained</w:t>
            </w:r>
          </w:p>
        </w:tc>
        <w:tc>
          <w:tcPr>
            <w:tcW w:w="1110" w:type="dxa"/>
            <w:shd w:val="clear" w:color="auto" w:fill="auto"/>
            <w:noWrap/>
            <w:vAlign w:val="center"/>
            <w:hideMark/>
          </w:tcPr>
          <w:p w14:paraId="0AA00E1E"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394A423B"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70DBA72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0" w:type="dxa"/>
            <w:shd w:val="clear" w:color="auto" w:fill="auto"/>
            <w:noWrap/>
            <w:vAlign w:val="center"/>
            <w:hideMark/>
          </w:tcPr>
          <w:p w14:paraId="35A8553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15D9F4ED"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6595E8A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430C717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814ABA" w14:paraId="29629F1F" w14:textId="77777777" w:rsidTr="00037542">
        <w:trPr>
          <w:trHeight w:hRule="exact" w:val="397"/>
        </w:trPr>
        <w:tc>
          <w:tcPr>
            <w:tcW w:w="2122" w:type="dxa"/>
            <w:shd w:val="clear" w:color="auto" w:fill="auto"/>
            <w:vAlign w:val="center"/>
            <w:hideMark/>
          </w:tcPr>
          <w:p w14:paraId="04F930F6"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Duration in welfare class / system</w:t>
            </w:r>
          </w:p>
        </w:tc>
        <w:tc>
          <w:tcPr>
            <w:tcW w:w="1110" w:type="dxa"/>
            <w:shd w:val="clear" w:color="auto" w:fill="auto"/>
            <w:noWrap/>
            <w:vAlign w:val="center"/>
            <w:hideMark/>
          </w:tcPr>
          <w:p w14:paraId="66D7F04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0529ECBA"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346B44A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0" w:type="dxa"/>
            <w:shd w:val="clear" w:color="auto" w:fill="auto"/>
            <w:noWrap/>
            <w:vAlign w:val="center"/>
            <w:hideMark/>
          </w:tcPr>
          <w:p w14:paraId="1234C30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0D29FA7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1E7B9AA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06E8BB35"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r>
      <w:tr w:rsidR="00037542" w:rsidRPr="00814ABA" w14:paraId="6C085123" w14:textId="77777777" w:rsidTr="00037542">
        <w:trPr>
          <w:trHeight w:hRule="exact" w:val="397"/>
        </w:trPr>
        <w:tc>
          <w:tcPr>
            <w:tcW w:w="2122" w:type="dxa"/>
            <w:shd w:val="clear" w:color="auto" w:fill="auto"/>
            <w:vAlign w:val="center"/>
            <w:hideMark/>
          </w:tcPr>
          <w:p w14:paraId="477F2AF3"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Indigenous status</w:t>
            </w:r>
          </w:p>
        </w:tc>
        <w:tc>
          <w:tcPr>
            <w:tcW w:w="1110" w:type="dxa"/>
            <w:shd w:val="clear" w:color="auto" w:fill="auto"/>
            <w:noWrap/>
            <w:vAlign w:val="center"/>
            <w:hideMark/>
          </w:tcPr>
          <w:p w14:paraId="749F791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24F4D51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5F9F0774"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0" w:type="dxa"/>
            <w:shd w:val="clear" w:color="auto" w:fill="auto"/>
            <w:noWrap/>
            <w:vAlign w:val="center"/>
            <w:hideMark/>
          </w:tcPr>
          <w:p w14:paraId="72EDC6E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26F47CFD"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0C6BAD2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19DDC62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814ABA" w14:paraId="00423360" w14:textId="77777777" w:rsidTr="00037542">
        <w:trPr>
          <w:trHeight w:hRule="exact" w:val="397"/>
        </w:trPr>
        <w:tc>
          <w:tcPr>
            <w:tcW w:w="2122" w:type="dxa"/>
            <w:shd w:val="clear" w:color="auto" w:fill="auto"/>
            <w:vAlign w:val="center"/>
            <w:hideMark/>
          </w:tcPr>
          <w:p w14:paraId="161D8CAD"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Previous welfare utilisation</w:t>
            </w:r>
          </w:p>
        </w:tc>
        <w:tc>
          <w:tcPr>
            <w:tcW w:w="1110" w:type="dxa"/>
            <w:shd w:val="clear" w:color="auto" w:fill="auto"/>
            <w:noWrap/>
            <w:vAlign w:val="center"/>
            <w:hideMark/>
          </w:tcPr>
          <w:p w14:paraId="06AA7E2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55B54AB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27005E6B"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0" w:type="dxa"/>
            <w:shd w:val="clear" w:color="auto" w:fill="auto"/>
            <w:noWrap/>
            <w:vAlign w:val="center"/>
            <w:hideMark/>
          </w:tcPr>
          <w:p w14:paraId="5433061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447D645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197E479A"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1C8DA00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r>
      <w:tr w:rsidR="00037542" w:rsidRPr="00814ABA" w14:paraId="23DCDDF0" w14:textId="77777777" w:rsidTr="00037542">
        <w:trPr>
          <w:trHeight w:hRule="exact" w:val="397"/>
        </w:trPr>
        <w:tc>
          <w:tcPr>
            <w:tcW w:w="2122" w:type="dxa"/>
            <w:shd w:val="clear" w:color="auto" w:fill="auto"/>
            <w:vAlign w:val="center"/>
            <w:hideMark/>
          </w:tcPr>
          <w:p w14:paraId="06B987C6"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Payment type</w:t>
            </w:r>
          </w:p>
        </w:tc>
        <w:tc>
          <w:tcPr>
            <w:tcW w:w="1110" w:type="dxa"/>
            <w:shd w:val="clear" w:color="auto" w:fill="auto"/>
            <w:noWrap/>
            <w:vAlign w:val="center"/>
            <w:hideMark/>
          </w:tcPr>
          <w:p w14:paraId="169A7C9E"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3FAB786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hideMark/>
          </w:tcPr>
          <w:p w14:paraId="3036EF2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0" w:type="dxa"/>
            <w:shd w:val="clear" w:color="auto" w:fill="auto"/>
            <w:noWrap/>
            <w:vAlign w:val="center"/>
            <w:hideMark/>
          </w:tcPr>
          <w:p w14:paraId="4681AAB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777E4E5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4390847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hideMark/>
          </w:tcPr>
          <w:p w14:paraId="1A35FAA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r>
      <w:tr w:rsidR="00037542" w:rsidRPr="00814ABA" w14:paraId="6FA0AD8F" w14:textId="77777777" w:rsidTr="00037542">
        <w:trPr>
          <w:trHeight w:hRule="exact" w:val="397"/>
        </w:trPr>
        <w:tc>
          <w:tcPr>
            <w:tcW w:w="2122" w:type="dxa"/>
            <w:shd w:val="clear" w:color="auto" w:fill="auto"/>
            <w:vAlign w:val="center"/>
          </w:tcPr>
          <w:p w14:paraId="6B3B05CB" w14:textId="77777777" w:rsidR="00037542" w:rsidRPr="00814ABA" w:rsidRDefault="00037542" w:rsidP="00037542">
            <w:pPr>
              <w:kinsoku/>
              <w:overflowPunct/>
              <w:autoSpaceDE/>
              <w:autoSpaceDN/>
              <w:adjustRightInd/>
              <w:snapToGrid/>
              <w:rPr>
                <w:rFonts w:ascii="Arial" w:hAnsi="Arial"/>
                <w:snapToGrid/>
                <w:color w:val="000000"/>
                <w:sz w:val="16"/>
                <w:szCs w:val="16"/>
                <w:lang w:eastAsia="en-AU"/>
              </w:rPr>
            </w:pPr>
            <w:r w:rsidRPr="00814ABA">
              <w:rPr>
                <w:rFonts w:ascii="Arial" w:hAnsi="Arial"/>
                <w:snapToGrid/>
                <w:color w:val="000000"/>
                <w:sz w:val="16"/>
                <w:szCs w:val="16"/>
                <w:lang w:eastAsia="en-AU"/>
              </w:rPr>
              <w:t>Earnings indicator</w:t>
            </w:r>
          </w:p>
        </w:tc>
        <w:tc>
          <w:tcPr>
            <w:tcW w:w="1110" w:type="dxa"/>
            <w:shd w:val="clear" w:color="auto" w:fill="auto"/>
            <w:noWrap/>
            <w:vAlign w:val="center"/>
          </w:tcPr>
          <w:p w14:paraId="525A332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tcPr>
          <w:p w14:paraId="696878E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tcPr>
          <w:p w14:paraId="67F29EFD"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0" w:type="dxa"/>
            <w:shd w:val="clear" w:color="auto" w:fill="auto"/>
            <w:noWrap/>
            <w:vAlign w:val="center"/>
          </w:tcPr>
          <w:p w14:paraId="61CA39C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tcPr>
          <w:p w14:paraId="2617A0B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1111" w:type="dxa"/>
            <w:shd w:val="clear" w:color="auto" w:fill="auto"/>
            <w:noWrap/>
            <w:vAlign w:val="center"/>
          </w:tcPr>
          <w:p w14:paraId="737E993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1111" w:type="dxa"/>
            <w:shd w:val="clear" w:color="auto" w:fill="auto"/>
            <w:noWrap/>
            <w:vAlign w:val="center"/>
          </w:tcPr>
          <w:p w14:paraId="5AC917BE"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r>
    </w:tbl>
    <w:p w14:paraId="022F497A" w14:textId="77777777" w:rsidR="00037542" w:rsidRDefault="00037542" w:rsidP="00037542">
      <w:pPr>
        <w:pStyle w:val="Caption"/>
      </w:pPr>
      <w:r w:rsidRPr="00814ABA">
        <w:t xml:space="preserve">Table </w:t>
      </w:r>
      <w:fldSimple w:instr=" SEQ Table \* ARABIC ">
        <w:r w:rsidR="007A42DF">
          <w:rPr>
            <w:noProof/>
          </w:rPr>
          <w:t>76</w:t>
        </w:r>
      </w:fldSimple>
      <w:r w:rsidRPr="00814ABA">
        <w:t xml:space="preserve">: Factors considered in payment </w:t>
      </w:r>
      <w:r w:rsidRPr="001B0B07">
        <w:t>assumptions</w:t>
      </w:r>
      <w:r w:rsidRPr="00814ABA">
        <w:t xml:space="preserve"> – other payments</w:t>
      </w:r>
    </w:p>
    <w:tbl>
      <w:tblPr>
        <w:tblW w:w="10083" w:type="dxa"/>
        <w:tblInd w:w="11" w:type="dxa"/>
        <w:tblLayout w:type="fixed"/>
        <w:tblCellMar>
          <w:left w:w="11" w:type="dxa"/>
          <w:right w:w="0" w:type="dxa"/>
        </w:tblCellMar>
        <w:tblLook w:val="04A0" w:firstRow="1" w:lastRow="0" w:firstColumn="1" w:lastColumn="0" w:noHBand="0" w:noVBand="1"/>
        <w:tblCaption w:val="Factors considered in payment assumptions – other payments"/>
        <w:tblDescription w:val="This table describes the factors that were considered in selecting payment assumptions for the Non-Income Support payment types. For reference, the Non-Income Support Payment Types are H - FTB, I - Family, J - New Parents, M - Carer, N - Study and Skills, O - Remote and Regional, P - General Allowances, Q - All Other, R - Rent Assistance. These are listed across the top of the table. Down the left hand side are listed are 12 characteristics that were considered for one or more of the payment category assumptions. These are: age, gender, class, previous class, partner status, number of dependent children, age of dependent children, highest education level obtained, duration in welfare class/system, Indigenous status, previous welfare utilisation and earnings indicator.&#10; &#10;Age, Gender and Class were used as factors for payment assumptions across all non income support categories.&#10;Previous Class was only used as a factor for category H.&#10;Partner Status, number of dependant children, age of dependant children, highest level of education attained, duration in welfare class/system, indigenous status and previous welfare utilisation were used for categories I and J only.&#10;Earnings indicator was not used as a factor for any non income support payment category."/>
      </w:tblPr>
      <w:tblGrid>
        <w:gridCol w:w="1843"/>
        <w:gridCol w:w="810"/>
        <w:gridCol w:w="811"/>
        <w:gridCol w:w="810"/>
        <w:gridCol w:w="811"/>
        <w:gridCol w:w="811"/>
        <w:gridCol w:w="810"/>
        <w:gridCol w:w="811"/>
        <w:gridCol w:w="907"/>
        <w:gridCol w:w="752"/>
        <w:gridCol w:w="907"/>
      </w:tblGrid>
      <w:tr w:rsidR="00FA3EB4" w:rsidRPr="00C2326C" w14:paraId="383673CB" w14:textId="77777777" w:rsidTr="00707627">
        <w:trPr>
          <w:trHeight w:val="301"/>
          <w:tblHeader/>
        </w:trPr>
        <w:tc>
          <w:tcPr>
            <w:tcW w:w="1843" w:type="dxa"/>
            <w:tcBorders>
              <w:left w:val="nil"/>
              <w:right w:val="nil"/>
            </w:tcBorders>
            <w:shd w:val="clear" w:color="000000" w:fill="E0301E"/>
            <w:vAlign w:val="center"/>
            <w:hideMark/>
          </w:tcPr>
          <w:p w14:paraId="6B2290FA" w14:textId="77777777" w:rsidR="00FA3EB4" w:rsidRPr="00C2326C" w:rsidRDefault="00FA3EB4" w:rsidP="00FA3EB4">
            <w:pPr>
              <w:pStyle w:val="TableColumnHeadingSmall"/>
              <w:rPr>
                <w:snapToGrid/>
                <w:lang w:eastAsia="en-AU"/>
              </w:rPr>
            </w:pPr>
            <w:r w:rsidRPr="00C2326C">
              <w:rPr>
                <w:snapToGrid/>
                <w:lang w:eastAsia="en-AU"/>
              </w:rPr>
              <w:t>Individual</w:t>
            </w:r>
            <w:r>
              <w:rPr>
                <w:snapToGrid/>
                <w:lang w:eastAsia="en-AU"/>
              </w:rPr>
              <w:t xml:space="preserve"> </w:t>
            </w:r>
            <w:r w:rsidRPr="00C2326C">
              <w:rPr>
                <w:snapToGrid/>
                <w:lang w:eastAsia="en-AU"/>
              </w:rPr>
              <w:t>Characteristics Used</w:t>
            </w:r>
          </w:p>
        </w:tc>
        <w:tc>
          <w:tcPr>
            <w:tcW w:w="810" w:type="dxa"/>
            <w:tcBorders>
              <w:left w:val="nil"/>
              <w:right w:val="nil"/>
            </w:tcBorders>
            <w:shd w:val="clear" w:color="000000" w:fill="E0301E"/>
            <w:vAlign w:val="center"/>
            <w:hideMark/>
          </w:tcPr>
          <w:p w14:paraId="3739FE31" w14:textId="77777777" w:rsidR="00FA3EB4" w:rsidRDefault="00FA3EB4" w:rsidP="00FA3EB4">
            <w:pPr>
              <w:pStyle w:val="TableColumnHeadingSmall"/>
              <w:jc w:val="center"/>
              <w:rPr>
                <w:snapToGrid/>
                <w:lang w:eastAsia="en-AU"/>
              </w:rPr>
            </w:pPr>
            <w:r>
              <w:rPr>
                <w:snapToGrid/>
                <w:lang w:eastAsia="en-AU"/>
              </w:rPr>
              <w:t>H</w:t>
            </w:r>
          </w:p>
          <w:p w14:paraId="41095322" w14:textId="77777777" w:rsidR="00707627" w:rsidRDefault="00FA3EB4" w:rsidP="00FA3EB4">
            <w:pPr>
              <w:pStyle w:val="TableColumnHeadingSmall"/>
              <w:jc w:val="center"/>
              <w:rPr>
                <w:snapToGrid/>
                <w:lang w:eastAsia="en-AU"/>
              </w:rPr>
            </w:pPr>
            <w:r w:rsidRPr="00C2326C">
              <w:rPr>
                <w:snapToGrid/>
                <w:lang w:eastAsia="en-AU"/>
              </w:rPr>
              <w:t>FTB</w:t>
            </w:r>
          </w:p>
          <w:p w14:paraId="2820C7DA" w14:textId="42821607" w:rsidR="00FA3EB4" w:rsidRPr="00C2326C" w:rsidRDefault="00FA3EB4" w:rsidP="00FA3EB4">
            <w:pPr>
              <w:pStyle w:val="TableColumnHeadingSmall"/>
              <w:jc w:val="center"/>
              <w:rPr>
                <w:snapToGrid/>
                <w:lang w:eastAsia="en-AU"/>
              </w:rPr>
            </w:pPr>
          </w:p>
        </w:tc>
        <w:tc>
          <w:tcPr>
            <w:tcW w:w="811" w:type="dxa"/>
            <w:tcBorders>
              <w:left w:val="nil"/>
              <w:bottom w:val="nil"/>
              <w:right w:val="nil"/>
            </w:tcBorders>
            <w:shd w:val="clear" w:color="000000" w:fill="E0301E"/>
            <w:vAlign w:val="center"/>
            <w:hideMark/>
          </w:tcPr>
          <w:p w14:paraId="7D38F523" w14:textId="77777777" w:rsidR="00FA3EB4" w:rsidRDefault="00FA3EB4" w:rsidP="00FA3EB4">
            <w:pPr>
              <w:pStyle w:val="TableColumnHeadingSmall"/>
              <w:jc w:val="center"/>
              <w:rPr>
                <w:snapToGrid/>
                <w:lang w:eastAsia="en-AU"/>
              </w:rPr>
            </w:pPr>
            <w:r>
              <w:rPr>
                <w:snapToGrid/>
                <w:lang w:eastAsia="en-AU"/>
              </w:rPr>
              <w:t>I</w:t>
            </w:r>
          </w:p>
          <w:p w14:paraId="6F0478AC" w14:textId="77777777" w:rsidR="00707627" w:rsidRDefault="00FA3EB4" w:rsidP="00FA3EB4">
            <w:pPr>
              <w:pStyle w:val="TableColumnHeadingSmall"/>
              <w:jc w:val="center"/>
              <w:rPr>
                <w:snapToGrid/>
                <w:lang w:eastAsia="en-AU"/>
              </w:rPr>
            </w:pPr>
            <w:r w:rsidRPr="00C2326C">
              <w:rPr>
                <w:snapToGrid/>
                <w:lang w:eastAsia="en-AU"/>
              </w:rPr>
              <w:t>Family</w:t>
            </w:r>
          </w:p>
          <w:p w14:paraId="0C9FB883" w14:textId="1393D879" w:rsidR="00FA3EB4" w:rsidRPr="00C2326C" w:rsidRDefault="00FA3EB4" w:rsidP="00FA3EB4">
            <w:pPr>
              <w:pStyle w:val="TableColumnHeadingSmall"/>
              <w:jc w:val="center"/>
              <w:rPr>
                <w:snapToGrid/>
                <w:lang w:eastAsia="en-AU"/>
              </w:rPr>
            </w:pPr>
          </w:p>
        </w:tc>
        <w:tc>
          <w:tcPr>
            <w:tcW w:w="810" w:type="dxa"/>
            <w:tcBorders>
              <w:left w:val="nil"/>
              <w:bottom w:val="nil"/>
              <w:right w:val="nil"/>
            </w:tcBorders>
            <w:shd w:val="clear" w:color="000000" w:fill="E0301E"/>
            <w:vAlign w:val="center"/>
            <w:hideMark/>
          </w:tcPr>
          <w:p w14:paraId="2A481CD5" w14:textId="77777777" w:rsidR="00FA3EB4" w:rsidRDefault="00FA3EB4" w:rsidP="00FA3EB4">
            <w:pPr>
              <w:pStyle w:val="TableColumnHeadingSmall"/>
              <w:jc w:val="center"/>
              <w:rPr>
                <w:snapToGrid/>
                <w:lang w:eastAsia="en-AU"/>
              </w:rPr>
            </w:pPr>
            <w:r>
              <w:rPr>
                <w:snapToGrid/>
                <w:lang w:eastAsia="en-AU"/>
              </w:rPr>
              <w:t>J</w:t>
            </w:r>
          </w:p>
          <w:p w14:paraId="6676238C" w14:textId="29E449D6" w:rsidR="00FA3EB4" w:rsidRPr="00C2326C" w:rsidRDefault="00FA3EB4" w:rsidP="00FA3EB4">
            <w:pPr>
              <w:pStyle w:val="TableColumnHeadingSmall"/>
              <w:jc w:val="center"/>
              <w:rPr>
                <w:snapToGrid/>
                <w:lang w:eastAsia="en-AU"/>
              </w:rPr>
            </w:pPr>
            <w:r w:rsidRPr="00C2326C">
              <w:rPr>
                <w:snapToGrid/>
                <w:lang w:eastAsia="en-AU"/>
              </w:rPr>
              <w:t>New Parents</w:t>
            </w:r>
          </w:p>
        </w:tc>
        <w:tc>
          <w:tcPr>
            <w:tcW w:w="811" w:type="dxa"/>
            <w:tcBorders>
              <w:left w:val="nil"/>
              <w:bottom w:val="nil"/>
              <w:right w:val="nil"/>
            </w:tcBorders>
            <w:shd w:val="clear" w:color="000000" w:fill="E0301E"/>
            <w:vAlign w:val="center"/>
            <w:hideMark/>
          </w:tcPr>
          <w:p w14:paraId="0892B3CD" w14:textId="77777777" w:rsidR="00FA3EB4" w:rsidRDefault="00FA3EB4" w:rsidP="00FA3EB4">
            <w:pPr>
              <w:pStyle w:val="TableColumnHeadingSmall"/>
              <w:jc w:val="center"/>
              <w:rPr>
                <w:snapToGrid/>
                <w:lang w:eastAsia="en-AU"/>
              </w:rPr>
            </w:pPr>
            <w:r>
              <w:rPr>
                <w:snapToGrid/>
                <w:lang w:eastAsia="en-AU"/>
              </w:rPr>
              <w:t>L</w:t>
            </w:r>
          </w:p>
          <w:p w14:paraId="5D3EA745" w14:textId="35F17334" w:rsidR="00FA3EB4" w:rsidRPr="00C2326C" w:rsidRDefault="00FA3EB4" w:rsidP="00FA3EB4">
            <w:pPr>
              <w:pStyle w:val="TableColumnHeadingSmall"/>
              <w:jc w:val="center"/>
              <w:rPr>
                <w:snapToGrid/>
                <w:lang w:eastAsia="en-AU"/>
              </w:rPr>
            </w:pPr>
            <w:r w:rsidRPr="00C2326C">
              <w:rPr>
                <w:snapToGrid/>
                <w:lang w:eastAsia="en-AU"/>
              </w:rPr>
              <w:t>Health &amp; Disability</w:t>
            </w:r>
          </w:p>
        </w:tc>
        <w:tc>
          <w:tcPr>
            <w:tcW w:w="811" w:type="dxa"/>
            <w:tcBorders>
              <w:left w:val="nil"/>
              <w:bottom w:val="nil"/>
              <w:right w:val="nil"/>
            </w:tcBorders>
            <w:shd w:val="clear" w:color="000000" w:fill="E0301E"/>
            <w:vAlign w:val="center"/>
            <w:hideMark/>
          </w:tcPr>
          <w:p w14:paraId="01ECE8D1" w14:textId="77777777" w:rsidR="00FA3EB4" w:rsidRDefault="00FA3EB4" w:rsidP="00FA3EB4">
            <w:pPr>
              <w:pStyle w:val="TableColumnHeadingSmall"/>
              <w:jc w:val="center"/>
              <w:rPr>
                <w:snapToGrid/>
                <w:lang w:eastAsia="en-AU"/>
              </w:rPr>
            </w:pPr>
            <w:r>
              <w:rPr>
                <w:snapToGrid/>
                <w:lang w:eastAsia="en-AU"/>
              </w:rPr>
              <w:t>M</w:t>
            </w:r>
          </w:p>
          <w:p w14:paraId="2B773A29" w14:textId="77777777" w:rsidR="00707627" w:rsidRDefault="00FA3EB4" w:rsidP="00FA3EB4">
            <w:pPr>
              <w:pStyle w:val="TableColumnHeadingSmall"/>
              <w:jc w:val="center"/>
              <w:rPr>
                <w:snapToGrid/>
                <w:lang w:eastAsia="en-AU"/>
              </w:rPr>
            </w:pPr>
            <w:r w:rsidRPr="00C2326C">
              <w:rPr>
                <w:snapToGrid/>
                <w:lang w:eastAsia="en-AU"/>
              </w:rPr>
              <w:t>Carer</w:t>
            </w:r>
          </w:p>
          <w:p w14:paraId="47A3F41B" w14:textId="0ADD7147" w:rsidR="00FA3EB4" w:rsidRPr="00C2326C" w:rsidRDefault="00FA3EB4" w:rsidP="00FA3EB4">
            <w:pPr>
              <w:pStyle w:val="TableColumnHeadingSmall"/>
              <w:jc w:val="center"/>
              <w:rPr>
                <w:snapToGrid/>
                <w:lang w:eastAsia="en-AU"/>
              </w:rPr>
            </w:pPr>
          </w:p>
        </w:tc>
        <w:tc>
          <w:tcPr>
            <w:tcW w:w="810" w:type="dxa"/>
            <w:tcBorders>
              <w:left w:val="nil"/>
              <w:bottom w:val="nil"/>
              <w:right w:val="nil"/>
            </w:tcBorders>
            <w:shd w:val="clear" w:color="000000" w:fill="E0301E"/>
            <w:vAlign w:val="center"/>
            <w:hideMark/>
          </w:tcPr>
          <w:p w14:paraId="59EB3297" w14:textId="77777777" w:rsidR="00FA3EB4" w:rsidRDefault="00FA3EB4" w:rsidP="00FA3EB4">
            <w:pPr>
              <w:pStyle w:val="TableColumnHeadingSmall"/>
              <w:jc w:val="center"/>
              <w:rPr>
                <w:snapToGrid/>
                <w:lang w:eastAsia="en-AU"/>
              </w:rPr>
            </w:pPr>
            <w:r>
              <w:rPr>
                <w:snapToGrid/>
                <w:lang w:eastAsia="en-AU"/>
              </w:rPr>
              <w:t>N</w:t>
            </w:r>
          </w:p>
          <w:p w14:paraId="77D89B2E" w14:textId="6C4F6D08" w:rsidR="00FA3EB4" w:rsidRPr="00C2326C" w:rsidRDefault="00FA3EB4" w:rsidP="00FA3EB4">
            <w:pPr>
              <w:pStyle w:val="TableColumnHeadingSmall"/>
              <w:jc w:val="center"/>
              <w:rPr>
                <w:snapToGrid/>
                <w:lang w:eastAsia="en-AU"/>
              </w:rPr>
            </w:pPr>
            <w:r w:rsidRPr="00C2326C">
              <w:rPr>
                <w:snapToGrid/>
                <w:lang w:eastAsia="en-AU"/>
              </w:rPr>
              <w:t>Study &amp; Skills</w:t>
            </w:r>
          </w:p>
        </w:tc>
        <w:tc>
          <w:tcPr>
            <w:tcW w:w="811" w:type="dxa"/>
            <w:tcBorders>
              <w:left w:val="nil"/>
              <w:bottom w:val="nil"/>
              <w:right w:val="nil"/>
            </w:tcBorders>
            <w:shd w:val="clear" w:color="000000" w:fill="E0301E"/>
            <w:vAlign w:val="center"/>
            <w:hideMark/>
          </w:tcPr>
          <w:p w14:paraId="6C4D27FA" w14:textId="77777777" w:rsidR="00FA3EB4" w:rsidRDefault="00FA3EB4" w:rsidP="00FA3EB4">
            <w:pPr>
              <w:pStyle w:val="TableColumnHeadingSmall"/>
              <w:jc w:val="center"/>
              <w:rPr>
                <w:snapToGrid/>
                <w:lang w:eastAsia="en-AU"/>
              </w:rPr>
            </w:pPr>
            <w:r>
              <w:rPr>
                <w:snapToGrid/>
                <w:lang w:eastAsia="en-AU"/>
              </w:rPr>
              <w:t>O</w:t>
            </w:r>
          </w:p>
          <w:p w14:paraId="4BC618B7" w14:textId="3E16CD9C" w:rsidR="00FA3EB4" w:rsidRPr="00C2326C" w:rsidRDefault="00FA3EB4" w:rsidP="00FA3EB4">
            <w:pPr>
              <w:pStyle w:val="TableColumnHeadingSmall"/>
              <w:jc w:val="center"/>
              <w:rPr>
                <w:snapToGrid/>
                <w:lang w:eastAsia="en-AU"/>
              </w:rPr>
            </w:pPr>
            <w:r w:rsidRPr="00C2326C">
              <w:rPr>
                <w:snapToGrid/>
                <w:lang w:eastAsia="en-AU"/>
              </w:rPr>
              <w:t>Remote &amp; Regional</w:t>
            </w:r>
          </w:p>
        </w:tc>
        <w:tc>
          <w:tcPr>
            <w:tcW w:w="907" w:type="dxa"/>
            <w:tcBorders>
              <w:left w:val="nil"/>
              <w:bottom w:val="nil"/>
              <w:right w:val="nil"/>
            </w:tcBorders>
            <w:shd w:val="clear" w:color="000000" w:fill="E0301E"/>
            <w:vAlign w:val="center"/>
            <w:hideMark/>
          </w:tcPr>
          <w:p w14:paraId="555C7D43" w14:textId="77777777" w:rsidR="00FA3EB4" w:rsidRDefault="00FA3EB4" w:rsidP="00FA3EB4">
            <w:pPr>
              <w:pStyle w:val="TableColumnHeadingSmall"/>
              <w:jc w:val="center"/>
              <w:rPr>
                <w:snapToGrid/>
                <w:lang w:eastAsia="en-AU"/>
              </w:rPr>
            </w:pPr>
            <w:r>
              <w:rPr>
                <w:snapToGrid/>
                <w:lang w:eastAsia="en-AU"/>
              </w:rPr>
              <w:t>P</w:t>
            </w:r>
          </w:p>
          <w:p w14:paraId="09AEF8A1" w14:textId="0BDA9D56" w:rsidR="00FA3EB4" w:rsidRPr="00C2326C" w:rsidRDefault="00FA3EB4" w:rsidP="00FA3EB4">
            <w:pPr>
              <w:pStyle w:val="TableColumnHeadingSmall"/>
              <w:jc w:val="center"/>
              <w:rPr>
                <w:snapToGrid/>
                <w:lang w:eastAsia="en-AU"/>
              </w:rPr>
            </w:pPr>
            <w:r w:rsidRPr="00C2326C">
              <w:rPr>
                <w:snapToGrid/>
                <w:lang w:eastAsia="en-AU"/>
              </w:rPr>
              <w:t>General Allowances</w:t>
            </w:r>
          </w:p>
        </w:tc>
        <w:tc>
          <w:tcPr>
            <w:tcW w:w="752" w:type="dxa"/>
            <w:tcBorders>
              <w:left w:val="nil"/>
              <w:bottom w:val="nil"/>
              <w:right w:val="nil"/>
            </w:tcBorders>
            <w:shd w:val="clear" w:color="000000" w:fill="E0301E"/>
            <w:vAlign w:val="center"/>
            <w:hideMark/>
          </w:tcPr>
          <w:p w14:paraId="77D483B9" w14:textId="77777777" w:rsidR="00FA3EB4" w:rsidRDefault="00FA3EB4" w:rsidP="00FA3EB4">
            <w:pPr>
              <w:pStyle w:val="TableColumnHeadingSmall"/>
              <w:jc w:val="center"/>
              <w:rPr>
                <w:snapToGrid/>
                <w:lang w:eastAsia="en-AU"/>
              </w:rPr>
            </w:pPr>
            <w:r>
              <w:rPr>
                <w:snapToGrid/>
                <w:lang w:eastAsia="en-AU"/>
              </w:rPr>
              <w:t>Q</w:t>
            </w:r>
          </w:p>
          <w:p w14:paraId="280ADF0A" w14:textId="2ECE4F10" w:rsidR="00FA3EB4" w:rsidRDefault="00FA3EB4" w:rsidP="00FA3EB4">
            <w:pPr>
              <w:pStyle w:val="TableColumnHeadingSmall"/>
              <w:jc w:val="center"/>
              <w:rPr>
                <w:snapToGrid/>
                <w:lang w:eastAsia="en-AU"/>
              </w:rPr>
            </w:pPr>
            <w:r w:rsidRPr="00C2326C">
              <w:rPr>
                <w:snapToGrid/>
                <w:lang w:eastAsia="en-AU"/>
              </w:rPr>
              <w:t>All</w:t>
            </w:r>
          </w:p>
          <w:p w14:paraId="1884EB4B" w14:textId="5CD2A08A" w:rsidR="00FA3EB4" w:rsidRPr="00C2326C" w:rsidRDefault="00FA3EB4" w:rsidP="00FA3EB4">
            <w:pPr>
              <w:pStyle w:val="TableColumnHeadingSmall"/>
              <w:jc w:val="center"/>
              <w:rPr>
                <w:snapToGrid/>
                <w:lang w:eastAsia="en-AU"/>
              </w:rPr>
            </w:pPr>
            <w:r w:rsidRPr="00C2326C">
              <w:rPr>
                <w:snapToGrid/>
                <w:lang w:eastAsia="en-AU"/>
              </w:rPr>
              <w:t>Other</w:t>
            </w:r>
          </w:p>
        </w:tc>
        <w:tc>
          <w:tcPr>
            <w:tcW w:w="907" w:type="dxa"/>
            <w:tcBorders>
              <w:left w:val="nil"/>
              <w:bottom w:val="nil"/>
              <w:right w:val="nil"/>
            </w:tcBorders>
            <w:shd w:val="clear" w:color="000000" w:fill="E0301E"/>
            <w:vAlign w:val="center"/>
            <w:hideMark/>
          </w:tcPr>
          <w:p w14:paraId="4580A326" w14:textId="77777777" w:rsidR="00FA3EB4" w:rsidRDefault="00FA3EB4" w:rsidP="00FA3EB4">
            <w:pPr>
              <w:pStyle w:val="TableColumnHeadingSmall"/>
              <w:jc w:val="center"/>
              <w:rPr>
                <w:snapToGrid/>
                <w:lang w:eastAsia="en-AU"/>
              </w:rPr>
            </w:pPr>
            <w:r>
              <w:rPr>
                <w:snapToGrid/>
                <w:lang w:eastAsia="en-AU"/>
              </w:rPr>
              <w:t>R</w:t>
            </w:r>
          </w:p>
          <w:p w14:paraId="3E435591" w14:textId="1765C619" w:rsidR="00FA3EB4" w:rsidRPr="00C2326C" w:rsidRDefault="00FA3EB4" w:rsidP="00FA3EB4">
            <w:pPr>
              <w:pStyle w:val="TableColumnHeadingSmall"/>
              <w:jc w:val="center"/>
              <w:rPr>
                <w:snapToGrid/>
                <w:lang w:eastAsia="en-AU"/>
              </w:rPr>
            </w:pPr>
            <w:r w:rsidRPr="00C2326C">
              <w:rPr>
                <w:snapToGrid/>
                <w:lang w:eastAsia="en-AU"/>
              </w:rPr>
              <w:t>Rent Assistance</w:t>
            </w:r>
          </w:p>
        </w:tc>
      </w:tr>
      <w:tr w:rsidR="00037542" w:rsidRPr="00C2326C" w14:paraId="3D8164A4" w14:textId="77777777" w:rsidTr="008536E9">
        <w:trPr>
          <w:trHeight w:hRule="exact" w:val="397"/>
        </w:trPr>
        <w:tc>
          <w:tcPr>
            <w:tcW w:w="1843" w:type="dxa"/>
            <w:tcBorders>
              <w:left w:val="nil"/>
              <w:bottom w:val="single" w:sz="4" w:space="0" w:color="E0301E"/>
              <w:right w:val="nil"/>
            </w:tcBorders>
            <w:shd w:val="clear" w:color="auto" w:fill="auto"/>
            <w:vAlign w:val="center"/>
            <w:hideMark/>
          </w:tcPr>
          <w:p w14:paraId="57D2464B"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sidRPr="00C2326C">
              <w:rPr>
                <w:rFonts w:ascii="Arial" w:hAnsi="Arial"/>
                <w:snapToGrid/>
                <w:color w:val="000000"/>
                <w:sz w:val="16"/>
                <w:szCs w:val="16"/>
                <w:lang w:eastAsia="en-AU"/>
              </w:rPr>
              <w:t>Age</w:t>
            </w:r>
          </w:p>
        </w:tc>
        <w:tc>
          <w:tcPr>
            <w:tcW w:w="810" w:type="dxa"/>
            <w:tcBorders>
              <w:left w:val="nil"/>
              <w:bottom w:val="single" w:sz="4" w:space="0" w:color="E0301E"/>
              <w:right w:val="nil"/>
            </w:tcBorders>
            <w:shd w:val="clear" w:color="auto" w:fill="auto"/>
            <w:noWrap/>
            <w:vAlign w:val="center"/>
            <w:hideMark/>
          </w:tcPr>
          <w:p w14:paraId="38DF8C2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left w:val="nil"/>
              <w:bottom w:val="single" w:sz="4" w:space="0" w:color="E0301E"/>
              <w:right w:val="nil"/>
            </w:tcBorders>
            <w:shd w:val="clear" w:color="auto" w:fill="auto"/>
            <w:noWrap/>
            <w:vAlign w:val="center"/>
            <w:hideMark/>
          </w:tcPr>
          <w:p w14:paraId="730FA28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left w:val="nil"/>
              <w:bottom w:val="single" w:sz="4" w:space="0" w:color="E0301E"/>
              <w:right w:val="nil"/>
            </w:tcBorders>
            <w:shd w:val="clear" w:color="auto" w:fill="auto"/>
            <w:noWrap/>
            <w:vAlign w:val="center"/>
            <w:hideMark/>
          </w:tcPr>
          <w:p w14:paraId="39DA2AD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left w:val="nil"/>
              <w:bottom w:val="single" w:sz="4" w:space="0" w:color="E0301E"/>
              <w:right w:val="nil"/>
            </w:tcBorders>
            <w:shd w:val="clear" w:color="auto" w:fill="auto"/>
            <w:noWrap/>
            <w:vAlign w:val="center"/>
            <w:hideMark/>
          </w:tcPr>
          <w:p w14:paraId="01AB782B"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left w:val="nil"/>
              <w:bottom w:val="single" w:sz="4" w:space="0" w:color="E0301E"/>
              <w:right w:val="nil"/>
            </w:tcBorders>
            <w:shd w:val="clear" w:color="auto" w:fill="auto"/>
            <w:noWrap/>
            <w:vAlign w:val="center"/>
            <w:hideMark/>
          </w:tcPr>
          <w:p w14:paraId="2A2DC43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left w:val="nil"/>
              <w:bottom w:val="single" w:sz="4" w:space="0" w:color="E0301E"/>
              <w:right w:val="nil"/>
            </w:tcBorders>
            <w:shd w:val="clear" w:color="auto" w:fill="auto"/>
            <w:noWrap/>
            <w:vAlign w:val="center"/>
            <w:hideMark/>
          </w:tcPr>
          <w:p w14:paraId="38CD4D7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left w:val="nil"/>
              <w:bottom w:val="single" w:sz="4" w:space="0" w:color="E0301E"/>
              <w:right w:val="nil"/>
            </w:tcBorders>
            <w:shd w:val="clear" w:color="auto" w:fill="auto"/>
            <w:noWrap/>
            <w:vAlign w:val="center"/>
            <w:hideMark/>
          </w:tcPr>
          <w:p w14:paraId="3721DD1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907" w:type="dxa"/>
            <w:tcBorders>
              <w:left w:val="nil"/>
              <w:bottom w:val="single" w:sz="4" w:space="0" w:color="E0301E"/>
              <w:right w:val="nil"/>
            </w:tcBorders>
            <w:shd w:val="clear" w:color="auto" w:fill="auto"/>
            <w:noWrap/>
            <w:vAlign w:val="center"/>
            <w:hideMark/>
          </w:tcPr>
          <w:p w14:paraId="292CB0A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752" w:type="dxa"/>
            <w:tcBorders>
              <w:left w:val="nil"/>
              <w:bottom w:val="single" w:sz="4" w:space="0" w:color="E0301E"/>
              <w:right w:val="nil"/>
            </w:tcBorders>
            <w:shd w:val="clear" w:color="auto" w:fill="auto"/>
            <w:noWrap/>
            <w:vAlign w:val="center"/>
            <w:hideMark/>
          </w:tcPr>
          <w:p w14:paraId="3281A79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907" w:type="dxa"/>
            <w:tcBorders>
              <w:left w:val="nil"/>
              <w:bottom w:val="single" w:sz="4" w:space="0" w:color="E0301E"/>
              <w:right w:val="nil"/>
            </w:tcBorders>
            <w:shd w:val="clear" w:color="auto" w:fill="auto"/>
            <w:noWrap/>
            <w:vAlign w:val="center"/>
            <w:hideMark/>
          </w:tcPr>
          <w:p w14:paraId="3307638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r>
      <w:tr w:rsidR="00037542" w:rsidRPr="00C2326C" w14:paraId="3B3B5E31" w14:textId="77777777" w:rsidTr="008536E9">
        <w:trPr>
          <w:trHeight w:hRule="exact" w:val="397"/>
        </w:trPr>
        <w:tc>
          <w:tcPr>
            <w:tcW w:w="1843" w:type="dxa"/>
            <w:tcBorders>
              <w:top w:val="single" w:sz="4" w:space="0" w:color="E0301E"/>
              <w:left w:val="nil"/>
              <w:bottom w:val="single" w:sz="4" w:space="0" w:color="E0301E"/>
              <w:right w:val="nil"/>
            </w:tcBorders>
            <w:shd w:val="clear" w:color="auto" w:fill="auto"/>
            <w:vAlign w:val="center"/>
            <w:hideMark/>
          </w:tcPr>
          <w:p w14:paraId="27FECF6E"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sidRPr="00C2326C">
              <w:rPr>
                <w:rFonts w:ascii="Arial" w:hAnsi="Arial"/>
                <w:snapToGrid/>
                <w:color w:val="000000"/>
                <w:sz w:val="16"/>
                <w:szCs w:val="16"/>
                <w:lang w:eastAsia="en-AU"/>
              </w:rPr>
              <w:t>Gender</w:t>
            </w:r>
          </w:p>
        </w:tc>
        <w:tc>
          <w:tcPr>
            <w:tcW w:w="810" w:type="dxa"/>
            <w:tcBorders>
              <w:top w:val="single" w:sz="4" w:space="0" w:color="E0301E"/>
              <w:left w:val="nil"/>
              <w:bottom w:val="single" w:sz="4" w:space="0" w:color="E0301E"/>
              <w:right w:val="nil"/>
            </w:tcBorders>
            <w:shd w:val="clear" w:color="auto" w:fill="auto"/>
            <w:noWrap/>
            <w:vAlign w:val="center"/>
            <w:hideMark/>
          </w:tcPr>
          <w:p w14:paraId="75687F5B"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44EAC27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top w:val="single" w:sz="4" w:space="0" w:color="E0301E"/>
              <w:left w:val="nil"/>
              <w:bottom w:val="single" w:sz="4" w:space="0" w:color="E0301E"/>
              <w:right w:val="nil"/>
            </w:tcBorders>
            <w:shd w:val="clear" w:color="auto" w:fill="auto"/>
            <w:noWrap/>
            <w:vAlign w:val="center"/>
            <w:hideMark/>
          </w:tcPr>
          <w:p w14:paraId="7D32309B"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097F960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7EAC78B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top w:val="single" w:sz="4" w:space="0" w:color="E0301E"/>
              <w:left w:val="nil"/>
              <w:bottom w:val="single" w:sz="4" w:space="0" w:color="E0301E"/>
              <w:right w:val="nil"/>
            </w:tcBorders>
            <w:shd w:val="clear" w:color="auto" w:fill="auto"/>
            <w:noWrap/>
            <w:vAlign w:val="center"/>
            <w:hideMark/>
          </w:tcPr>
          <w:p w14:paraId="399FF85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490634B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907" w:type="dxa"/>
            <w:tcBorders>
              <w:top w:val="single" w:sz="4" w:space="0" w:color="E0301E"/>
              <w:left w:val="nil"/>
              <w:bottom w:val="single" w:sz="4" w:space="0" w:color="E0301E"/>
              <w:right w:val="nil"/>
            </w:tcBorders>
            <w:shd w:val="clear" w:color="auto" w:fill="auto"/>
            <w:noWrap/>
            <w:vAlign w:val="center"/>
            <w:hideMark/>
          </w:tcPr>
          <w:p w14:paraId="0E21ED1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752" w:type="dxa"/>
            <w:tcBorders>
              <w:top w:val="single" w:sz="4" w:space="0" w:color="E0301E"/>
              <w:left w:val="nil"/>
              <w:bottom w:val="single" w:sz="4" w:space="0" w:color="E0301E"/>
              <w:right w:val="nil"/>
            </w:tcBorders>
            <w:shd w:val="clear" w:color="auto" w:fill="auto"/>
            <w:noWrap/>
            <w:vAlign w:val="center"/>
            <w:hideMark/>
          </w:tcPr>
          <w:p w14:paraId="46902D5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907" w:type="dxa"/>
            <w:tcBorders>
              <w:top w:val="single" w:sz="4" w:space="0" w:color="E0301E"/>
              <w:left w:val="nil"/>
              <w:bottom w:val="single" w:sz="4" w:space="0" w:color="E0301E"/>
              <w:right w:val="nil"/>
            </w:tcBorders>
            <w:shd w:val="clear" w:color="auto" w:fill="auto"/>
            <w:noWrap/>
            <w:vAlign w:val="center"/>
            <w:hideMark/>
          </w:tcPr>
          <w:p w14:paraId="24285B1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r>
      <w:tr w:rsidR="00037542" w:rsidRPr="00C2326C" w14:paraId="23ED8A19" w14:textId="77777777" w:rsidTr="008536E9">
        <w:trPr>
          <w:trHeight w:hRule="exact" w:val="397"/>
        </w:trPr>
        <w:tc>
          <w:tcPr>
            <w:tcW w:w="1843" w:type="dxa"/>
            <w:tcBorders>
              <w:top w:val="single" w:sz="4" w:space="0" w:color="E0301E"/>
              <w:left w:val="nil"/>
              <w:bottom w:val="single" w:sz="4" w:space="0" w:color="E0301E"/>
              <w:right w:val="nil"/>
            </w:tcBorders>
            <w:shd w:val="clear" w:color="auto" w:fill="auto"/>
            <w:vAlign w:val="center"/>
            <w:hideMark/>
          </w:tcPr>
          <w:p w14:paraId="6F9959A9"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sidRPr="00C2326C">
              <w:rPr>
                <w:rFonts w:ascii="Arial" w:hAnsi="Arial"/>
                <w:snapToGrid/>
                <w:color w:val="000000"/>
                <w:sz w:val="16"/>
                <w:szCs w:val="16"/>
                <w:lang w:eastAsia="en-AU"/>
              </w:rPr>
              <w:t>Class</w:t>
            </w:r>
          </w:p>
        </w:tc>
        <w:tc>
          <w:tcPr>
            <w:tcW w:w="810" w:type="dxa"/>
            <w:tcBorders>
              <w:top w:val="single" w:sz="4" w:space="0" w:color="E0301E"/>
              <w:left w:val="nil"/>
              <w:bottom w:val="single" w:sz="4" w:space="0" w:color="E0301E"/>
              <w:right w:val="nil"/>
            </w:tcBorders>
            <w:shd w:val="clear" w:color="auto" w:fill="auto"/>
            <w:noWrap/>
            <w:vAlign w:val="center"/>
            <w:hideMark/>
          </w:tcPr>
          <w:p w14:paraId="69119CC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63B79BC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top w:val="single" w:sz="4" w:space="0" w:color="E0301E"/>
              <w:left w:val="nil"/>
              <w:bottom w:val="single" w:sz="4" w:space="0" w:color="E0301E"/>
              <w:right w:val="nil"/>
            </w:tcBorders>
            <w:shd w:val="clear" w:color="auto" w:fill="auto"/>
            <w:noWrap/>
            <w:vAlign w:val="center"/>
            <w:hideMark/>
          </w:tcPr>
          <w:p w14:paraId="15DF672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3684F87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263BE68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top w:val="single" w:sz="4" w:space="0" w:color="E0301E"/>
              <w:left w:val="nil"/>
              <w:bottom w:val="single" w:sz="4" w:space="0" w:color="E0301E"/>
              <w:right w:val="nil"/>
            </w:tcBorders>
            <w:shd w:val="clear" w:color="auto" w:fill="auto"/>
            <w:noWrap/>
            <w:vAlign w:val="center"/>
            <w:hideMark/>
          </w:tcPr>
          <w:p w14:paraId="6306F2C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1C9D79B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907" w:type="dxa"/>
            <w:tcBorders>
              <w:top w:val="single" w:sz="4" w:space="0" w:color="E0301E"/>
              <w:left w:val="nil"/>
              <w:bottom w:val="single" w:sz="4" w:space="0" w:color="E0301E"/>
              <w:right w:val="nil"/>
            </w:tcBorders>
            <w:shd w:val="clear" w:color="auto" w:fill="auto"/>
            <w:noWrap/>
            <w:vAlign w:val="center"/>
            <w:hideMark/>
          </w:tcPr>
          <w:p w14:paraId="60523F4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752" w:type="dxa"/>
            <w:tcBorders>
              <w:top w:val="single" w:sz="4" w:space="0" w:color="E0301E"/>
              <w:left w:val="nil"/>
              <w:bottom w:val="single" w:sz="4" w:space="0" w:color="E0301E"/>
              <w:right w:val="nil"/>
            </w:tcBorders>
            <w:shd w:val="clear" w:color="auto" w:fill="auto"/>
            <w:noWrap/>
            <w:vAlign w:val="center"/>
            <w:hideMark/>
          </w:tcPr>
          <w:p w14:paraId="4E51BD8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907" w:type="dxa"/>
            <w:tcBorders>
              <w:top w:val="single" w:sz="4" w:space="0" w:color="E0301E"/>
              <w:left w:val="nil"/>
              <w:bottom w:val="single" w:sz="4" w:space="0" w:color="E0301E"/>
              <w:right w:val="nil"/>
            </w:tcBorders>
            <w:shd w:val="clear" w:color="auto" w:fill="auto"/>
            <w:noWrap/>
            <w:vAlign w:val="center"/>
            <w:hideMark/>
          </w:tcPr>
          <w:p w14:paraId="30E0321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r>
      <w:tr w:rsidR="00037542" w:rsidRPr="00C2326C" w14:paraId="633347F1" w14:textId="77777777" w:rsidTr="008536E9">
        <w:trPr>
          <w:trHeight w:hRule="exact" w:val="397"/>
        </w:trPr>
        <w:tc>
          <w:tcPr>
            <w:tcW w:w="1843" w:type="dxa"/>
            <w:tcBorders>
              <w:top w:val="single" w:sz="4" w:space="0" w:color="E0301E"/>
              <w:left w:val="nil"/>
              <w:bottom w:val="single" w:sz="4" w:space="0" w:color="E0301E"/>
              <w:right w:val="nil"/>
            </w:tcBorders>
            <w:shd w:val="clear" w:color="auto" w:fill="auto"/>
            <w:vAlign w:val="center"/>
            <w:hideMark/>
          </w:tcPr>
          <w:p w14:paraId="6AD7A557"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sidRPr="00C2326C">
              <w:rPr>
                <w:rFonts w:ascii="Arial" w:hAnsi="Arial"/>
                <w:snapToGrid/>
                <w:color w:val="000000"/>
                <w:sz w:val="16"/>
                <w:szCs w:val="16"/>
                <w:lang w:eastAsia="en-AU"/>
              </w:rPr>
              <w:t>Previous class</w:t>
            </w:r>
          </w:p>
        </w:tc>
        <w:tc>
          <w:tcPr>
            <w:tcW w:w="810" w:type="dxa"/>
            <w:tcBorders>
              <w:top w:val="single" w:sz="4" w:space="0" w:color="E0301E"/>
              <w:left w:val="nil"/>
              <w:bottom w:val="single" w:sz="4" w:space="0" w:color="E0301E"/>
              <w:right w:val="nil"/>
            </w:tcBorders>
            <w:shd w:val="clear" w:color="auto" w:fill="auto"/>
            <w:noWrap/>
            <w:vAlign w:val="center"/>
            <w:hideMark/>
          </w:tcPr>
          <w:p w14:paraId="6DEEE6A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01136BD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0" w:type="dxa"/>
            <w:tcBorders>
              <w:top w:val="single" w:sz="4" w:space="0" w:color="E0301E"/>
              <w:left w:val="nil"/>
              <w:bottom w:val="single" w:sz="4" w:space="0" w:color="E0301E"/>
              <w:right w:val="nil"/>
            </w:tcBorders>
            <w:shd w:val="clear" w:color="auto" w:fill="auto"/>
            <w:noWrap/>
            <w:vAlign w:val="center"/>
            <w:hideMark/>
          </w:tcPr>
          <w:p w14:paraId="611BC7A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01C646C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2E95223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0" w:type="dxa"/>
            <w:tcBorders>
              <w:top w:val="single" w:sz="4" w:space="0" w:color="E0301E"/>
              <w:left w:val="nil"/>
              <w:bottom w:val="single" w:sz="4" w:space="0" w:color="E0301E"/>
              <w:right w:val="nil"/>
            </w:tcBorders>
            <w:shd w:val="clear" w:color="auto" w:fill="auto"/>
            <w:noWrap/>
            <w:vAlign w:val="center"/>
            <w:hideMark/>
          </w:tcPr>
          <w:p w14:paraId="2A4DA7F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00318A5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0796179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752" w:type="dxa"/>
            <w:tcBorders>
              <w:top w:val="single" w:sz="4" w:space="0" w:color="E0301E"/>
              <w:left w:val="nil"/>
              <w:bottom w:val="single" w:sz="4" w:space="0" w:color="E0301E"/>
              <w:right w:val="nil"/>
            </w:tcBorders>
            <w:shd w:val="clear" w:color="auto" w:fill="auto"/>
            <w:noWrap/>
            <w:vAlign w:val="center"/>
            <w:hideMark/>
          </w:tcPr>
          <w:p w14:paraId="24147EE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415489B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2326C" w14:paraId="45FA4998" w14:textId="77777777" w:rsidTr="008536E9">
        <w:trPr>
          <w:trHeight w:hRule="exact" w:val="397"/>
        </w:trPr>
        <w:tc>
          <w:tcPr>
            <w:tcW w:w="1843" w:type="dxa"/>
            <w:tcBorders>
              <w:top w:val="single" w:sz="4" w:space="0" w:color="E0301E"/>
              <w:left w:val="nil"/>
              <w:bottom w:val="single" w:sz="4" w:space="0" w:color="E0301E"/>
              <w:right w:val="nil"/>
            </w:tcBorders>
            <w:shd w:val="clear" w:color="auto" w:fill="auto"/>
            <w:vAlign w:val="center"/>
            <w:hideMark/>
          </w:tcPr>
          <w:p w14:paraId="415BDBA4"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sidRPr="00C2326C">
              <w:rPr>
                <w:rFonts w:ascii="Arial" w:hAnsi="Arial"/>
                <w:snapToGrid/>
                <w:color w:val="000000"/>
                <w:sz w:val="16"/>
                <w:szCs w:val="16"/>
                <w:lang w:eastAsia="en-AU"/>
              </w:rPr>
              <w:t>Partner status</w:t>
            </w:r>
          </w:p>
        </w:tc>
        <w:tc>
          <w:tcPr>
            <w:tcW w:w="810" w:type="dxa"/>
            <w:tcBorders>
              <w:top w:val="single" w:sz="4" w:space="0" w:color="E0301E"/>
              <w:left w:val="nil"/>
              <w:bottom w:val="single" w:sz="4" w:space="0" w:color="E0301E"/>
              <w:right w:val="nil"/>
            </w:tcBorders>
            <w:shd w:val="clear" w:color="auto" w:fill="auto"/>
            <w:noWrap/>
            <w:vAlign w:val="center"/>
            <w:hideMark/>
          </w:tcPr>
          <w:p w14:paraId="7C05FC6A"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0CB1668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top w:val="single" w:sz="4" w:space="0" w:color="E0301E"/>
              <w:left w:val="nil"/>
              <w:bottom w:val="single" w:sz="4" w:space="0" w:color="E0301E"/>
              <w:right w:val="nil"/>
            </w:tcBorders>
            <w:shd w:val="clear" w:color="auto" w:fill="auto"/>
            <w:noWrap/>
            <w:vAlign w:val="center"/>
            <w:hideMark/>
          </w:tcPr>
          <w:p w14:paraId="0CB7BC0A"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7FB5816E"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713342D5"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0" w:type="dxa"/>
            <w:tcBorders>
              <w:top w:val="single" w:sz="4" w:space="0" w:color="E0301E"/>
              <w:left w:val="nil"/>
              <w:bottom w:val="single" w:sz="4" w:space="0" w:color="E0301E"/>
              <w:right w:val="nil"/>
            </w:tcBorders>
            <w:shd w:val="clear" w:color="auto" w:fill="auto"/>
            <w:noWrap/>
            <w:vAlign w:val="center"/>
            <w:hideMark/>
          </w:tcPr>
          <w:p w14:paraId="5697D88B"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1A5B2D6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36E8B6C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752" w:type="dxa"/>
            <w:tcBorders>
              <w:top w:val="single" w:sz="4" w:space="0" w:color="E0301E"/>
              <w:left w:val="nil"/>
              <w:bottom w:val="single" w:sz="4" w:space="0" w:color="E0301E"/>
              <w:right w:val="nil"/>
            </w:tcBorders>
            <w:shd w:val="clear" w:color="auto" w:fill="auto"/>
            <w:noWrap/>
            <w:vAlign w:val="center"/>
            <w:hideMark/>
          </w:tcPr>
          <w:p w14:paraId="18B8061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66CF9E5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2326C" w14:paraId="674F117D" w14:textId="77777777" w:rsidTr="008536E9">
        <w:trPr>
          <w:trHeight w:hRule="exact" w:val="397"/>
        </w:trPr>
        <w:tc>
          <w:tcPr>
            <w:tcW w:w="1843" w:type="dxa"/>
            <w:tcBorders>
              <w:top w:val="single" w:sz="4" w:space="0" w:color="E0301E"/>
              <w:left w:val="nil"/>
              <w:bottom w:val="single" w:sz="4" w:space="0" w:color="E0301E"/>
              <w:right w:val="nil"/>
            </w:tcBorders>
            <w:shd w:val="clear" w:color="auto" w:fill="auto"/>
            <w:vAlign w:val="center"/>
            <w:hideMark/>
          </w:tcPr>
          <w:p w14:paraId="2DE62BD4"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sidRPr="00C2326C">
              <w:rPr>
                <w:rFonts w:ascii="Arial" w:hAnsi="Arial"/>
                <w:snapToGrid/>
                <w:color w:val="000000"/>
                <w:sz w:val="16"/>
                <w:szCs w:val="16"/>
                <w:lang w:eastAsia="en-AU"/>
              </w:rPr>
              <w:t>Number of dependent children</w:t>
            </w:r>
          </w:p>
        </w:tc>
        <w:tc>
          <w:tcPr>
            <w:tcW w:w="810" w:type="dxa"/>
            <w:tcBorders>
              <w:top w:val="single" w:sz="4" w:space="0" w:color="E0301E"/>
              <w:left w:val="nil"/>
              <w:bottom w:val="single" w:sz="4" w:space="0" w:color="E0301E"/>
              <w:right w:val="nil"/>
            </w:tcBorders>
            <w:shd w:val="clear" w:color="auto" w:fill="auto"/>
            <w:noWrap/>
            <w:vAlign w:val="center"/>
            <w:hideMark/>
          </w:tcPr>
          <w:p w14:paraId="722C352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25005B3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top w:val="single" w:sz="4" w:space="0" w:color="E0301E"/>
              <w:left w:val="nil"/>
              <w:bottom w:val="single" w:sz="4" w:space="0" w:color="E0301E"/>
              <w:right w:val="nil"/>
            </w:tcBorders>
            <w:shd w:val="clear" w:color="auto" w:fill="auto"/>
            <w:noWrap/>
            <w:vAlign w:val="center"/>
            <w:hideMark/>
          </w:tcPr>
          <w:p w14:paraId="19B8D1A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624FF11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2FE1287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0" w:type="dxa"/>
            <w:tcBorders>
              <w:top w:val="single" w:sz="4" w:space="0" w:color="E0301E"/>
              <w:left w:val="nil"/>
              <w:bottom w:val="single" w:sz="4" w:space="0" w:color="E0301E"/>
              <w:right w:val="nil"/>
            </w:tcBorders>
            <w:shd w:val="clear" w:color="auto" w:fill="auto"/>
            <w:noWrap/>
            <w:vAlign w:val="center"/>
            <w:hideMark/>
          </w:tcPr>
          <w:p w14:paraId="6BDA5C0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33089F74"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6CDA002D"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752" w:type="dxa"/>
            <w:tcBorders>
              <w:top w:val="single" w:sz="4" w:space="0" w:color="E0301E"/>
              <w:left w:val="nil"/>
              <w:bottom w:val="single" w:sz="4" w:space="0" w:color="E0301E"/>
              <w:right w:val="nil"/>
            </w:tcBorders>
            <w:shd w:val="clear" w:color="auto" w:fill="auto"/>
            <w:noWrap/>
            <w:vAlign w:val="center"/>
            <w:hideMark/>
          </w:tcPr>
          <w:p w14:paraId="0245B2CA"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46E8AD5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2326C" w14:paraId="74B627B1" w14:textId="77777777" w:rsidTr="008536E9">
        <w:trPr>
          <w:trHeight w:hRule="exact" w:val="397"/>
        </w:trPr>
        <w:tc>
          <w:tcPr>
            <w:tcW w:w="1843" w:type="dxa"/>
            <w:tcBorders>
              <w:top w:val="single" w:sz="4" w:space="0" w:color="E0301E"/>
              <w:left w:val="nil"/>
              <w:bottom w:val="single" w:sz="4" w:space="0" w:color="E0301E"/>
              <w:right w:val="nil"/>
            </w:tcBorders>
            <w:shd w:val="clear" w:color="auto" w:fill="auto"/>
            <w:vAlign w:val="center"/>
            <w:hideMark/>
          </w:tcPr>
          <w:p w14:paraId="5F5ED74D"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sidRPr="00C2326C">
              <w:rPr>
                <w:rFonts w:ascii="Arial" w:hAnsi="Arial"/>
                <w:snapToGrid/>
                <w:color w:val="000000"/>
                <w:sz w:val="16"/>
                <w:szCs w:val="16"/>
                <w:lang w:eastAsia="en-AU"/>
              </w:rPr>
              <w:t>Age of dependent children</w:t>
            </w:r>
          </w:p>
        </w:tc>
        <w:tc>
          <w:tcPr>
            <w:tcW w:w="810" w:type="dxa"/>
            <w:tcBorders>
              <w:top w:val="single" w:sz="4" w:space="0" w:color="E0301E"/>
              <w:left w:val="nil"/>
              <w:bottom w:val="single" w:sz="4" w:space="0" w:color="E0301E"/>
              <w:right w:val="nil"/>
            </w:tcBorders>
            <w:shd w:val="clear" w:color="auto" w:fill="auto"/>
            <w:noWrap/>
            <w:vAlign w:val="center"/>
            <w:hideMark/>
          </w:tcPr>
          <w:p w14:paraId="54769E95"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65AE8C6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top w:val="single" w:sz="4" w:space="0" w:color="E0301E"/>
              <w:left w:val="nil"/>
              <w:bottom w:val="single" w:sz="4" w:space="0" w:color="E0301E"/>
              <w:right w:val="nil"/>
            </w:tcBorders>
            <w:shd w:val="clear" w:color="auto" w:fill="auto"/>
            <w:noWrap/>
            <w:vAlign w:val="center"/>
            <w:hideMark/>
          </w:tcPr>
          <w:p w14:paraId="744D0FD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4B650BA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7E7C3AF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0" w:type="dxa"/>
            <w:tcBorders>
              <w:top w:val="single" w:sz="4" w:space="0" w:color="E0301E"/>
              <w:left w:val="nil"/>
              <w:bottom w:val="single" w:sz="4" w:space="0" w:color="E0301E"/>
              <w:right w:val="nil"/>
            </w:tcBorders>
            <w:shd w:val="clear" w:color="auto" w:fill="auto"/>
            <w:noWrap/>
            <w:vAlign w:val="center"/>
            <w:hideMark/>
          </w:tcPr>
          <w:p w14:paraId="7EEEEBE5"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2EDCAC3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62C6EBAE"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752" w:type="dxa"/>
            <w:tcBorders>
              <w:top w:val="single" w:sz="4" w:space="0" w:color="E0301E"/>
              <w:left w:val="nil"/>
              <w:bottom w:val="single" w:sz="4" w:space="0" w:color="E0301E"/>
              <w:right w:val="nil"/>
            </w:tcBorders>
            <w:shd w:val="clear" w:color="auto" w:fill="auto"/>
            <w:noWrap/>
            <w:vAlign w:val="center"/>
            <w:hideMark/>
          </w:tcPr>
          <w:p w14:paraId="044C532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7F1F741B"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2326C" w14:paraId="46925A3C" w14:textId="77777777" w:rsidTr="008536E9">
        <w:trPr>
          <w:trHeight w:hRule="exact" w:val="397"/>
        </w:trPr>
        <w:tc>
          <w:tcPr>
            <w:tcW w:w="1843" w:type="dxa"/>
            <w:tcBorders>
              <w:top w:val="single" w:sz="4" w:space="0" w:color="E0301E"/>
              <w:left w:val="nil"/>
              <w:bottom w:val="single" w:sz="4" w:space="0" w:color="E0301E"/>
              <w:right w:val="nil"/>
            </w:tcBorders>
            <w:shd w:val="clear" w:color="auto" w:fill="auto"/>
            <w:vAlign w:val="center"/>
            <w:hideMark/>
          </w:tcPr>
          <w:p w14:paraId="0B1DA31F"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sidRPr="00C2326C">
              <w:rPr>
                <w:rFonts w:ascii="Arial" w:hAnsi="Arial"/>
                <w:snapToGrid/>
                <w:color w:val="000000"/>
                <w:sz w:val="16"/>
                <w:szCs w:val="16"/>
                <w:lang w:eastAsia="en-AU"/>
              </w:rPr>
              <w:t>Highest level of education attained</w:t>
            </w:r>
          </w:p>
        </w:tc>
        <w:tc>
          <w:tcPr>
            <w:tcW w:w="810" w:type="dxa"/>
            <w:tcBorders>
              <w:top w:val="single" w:sz="4" w:space="0" w:color="E0301E"/>
              <w:left w:val="nil"/>
              <w:bottom w:val="single" w:sz="4" w:space="0" w:color="E0301E"/>
              <w:right w:val="nil"/>
            </w:tcBorders>
            <w:shd w:val="clear" w:color="auto" w:fill="auto"/>
            <w:noWrap/>
            <w:vAlign w:val="center"/>
            <w:hideMark/>
          </w:tcPr>
          <w:p w14:paraId="0B078C7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3BA39D0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top w:val="single" w:sz="4" w:space="0" w:color="E0301E"/>
              <w:left w:val="nil"/>
              <w:bottom w:val="single" w:sz="4" w:space="0" w:color="E0301E"/>
              <w:right w:val="nil"/>
            </w:tcBorders>
            <w:shd w:val="clear" w:color="auto" w:fill="auto"/>
            <w:noWrap/>
            <w:vAlign w:val="center"/>
            <w:hideMark/>
          </w:tcPr>
          <w:p w14:paraId="0ECBBE15"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3947E95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16D0AEC4"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0" w:type="dxa"/>
            <w:tcBorders>
              <w:top w:val="single" w:sz="4" w:space="0" w:color="E0301E"/>
              <w:left w:val="nil"/>
              <w:bottom w:val="single" w:sz="4" w:space="0" w:color="E0301E"/>
              <w:right w:val="nil"/>
            </w:tcBorders>
            <w:shd w:val="clear" w:color="auto" w:fill="auto"/>
            <w:noWrap/>
            <w:vAlign w:val="center"/>
            <w:hideMark/>
          </w:tcPr>
          <w:p w14:paraId="5ECD531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05F99AE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53B8924B"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752" w:type="dxa"/>
            <w:tcBorders>
              <w:top w:val="single" w:sz="4" w:space="0" w:color="E0301E"/>
              <w:left w:val="nil"/>
              <w:bottom w:val="single" w:sz="4" w:space="0" w:color="E0301E"/>
              <w:right w:val="nil"/>
            </w:tcBorders>
            <w:shd w:val="clear" w:color="auto" w:fill="auto"/>
            <w:noWrap/>
            <w:vAlign w:val="center"/>
            <w:hideMark/>
          </w:tcPr>
          <w:p w14:paraId="6AD1232E"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743F970A"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2326C" w14:paraId="70A2DC6D" w14:textId="77777777" w:rsidTr="008536E9">
        <w:trPr>
          <w:trHeight w:hRule="exact" w:val="397"/>
        </w:trPr>
        <w:tc>
          <w:tcPr>
            <w:tcW w:w="1843" w:type="dxa"/>
            <w:tcBorders>
              <w:top w:val="single" w:sz="4" w:space="0" w:color="E0301E"/>
              <w:left w:val="nil"/>
              <w:bottom w:val="single" w:sz="4" w:space="0" w:color="E0301E"/>
              <w:right w:val="nil"/>
            </w:tcBorders>
            <w:shd w:val="clear" w:color="auto" w:fill="auto"/>
            <w:vAlign w:val="center"/>
            <w:hideMark/>
          </w:tcPr>
          <w:p w14:paraId="779C9685"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Pr>
                <w:rFonts w:ascii="Arial" w:hAnsi="Arial"/>
                <w:snapToGrid/>
                <w:color w:val="000000"/>
                <w:sz w:val="16"/>
                <w:szCs w:val="16"/>
                <w:lang w:eastAsia="en-AU"/>
              </w:rPr>
              <w:t>Duration in welfare class</w:t>
            </w:r>
            <w:r w:rsidRPr="00C2326C">
              <w:rPr>
                <w:rFonts w:ascii="Arial" w:hAnsi="Arial"/>
                <w:snapToGrid/>
                <w:color w:val="000000"/>
                <w:sz w:val="16"/>
                <w:szCs w:val="16"/>
                <w:lang w:eastAsia="en-AU"/>
              </w:rPr>
              <w:t>/ system</w:t>
            </w:r>
          </w:p>
        </w:tc>
        <w:tc>
          <w:tcPr>
            <w:tcW w:w="810" w:type="dxa"/>
            <w:tcBorders>
              <w:top w:val="single" w:sz="4" w:space="0" w:color="E0301E"/>
              <w:left w:val="nil"/>
              <w:bottom w:val="single" w:sz="4" w:space="0" w:color="E0301E"/>
              <w:right w:val="nil"/>
            </w:tcBorders>
            <w:shd w:val="clear" w:color="auto" w:fill="auto"/>
            <w:noWrap/>
            <w:vAlign w:val="center"/>
            <w:hideMark/>
          </w:tcPr>
          <w:p w14:paraId="4D476DA4"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48461A3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top w:val="single" w:sz="4" w:space="0" w:color="E0301E"/>
              <w:left w:val="nil"/>
              <w:bottom w:val="single" w:sz="4" w:space="0" w:color="E0301E"/>
              <w:right w:val="nil"/>
            </w:tcBorders>
            <w:shd w:val="clear" w:color="auto" w:fill="auto"/>
            <w:noWrap/>
            <w:vAlign w:val="center"/>
            <w:hideMark/>
          </w:tcPr>
          <w:p w14:paraId="4467E66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60FEC905"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2972A93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0" w:type="dxa"/>
            <w:tcBorders>
              <w:top w:val="single" w:sz="4" w:space="0" w:color="E0301E"/>
              <w:left w:val="nil"/>
              <w:bottom w:val="single" w:sz="4" w:space="0" w:color="E0301E"/>
              <w:right w:val="nil"/>
            </w:tcBorders>
            <w:shd w:val="clear" w:color="auto" w:fill="auto"/>
            <w:noWrap/>
            <w:vAlign w:val="center"/>
            <w:hideMark/>
          </w:tcPr>
          <w:p w14:paraId="2ED2B27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6415795D"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26DDC17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752" w:type="dxa"/>
            <w:tcBorders>
              <w:top w:val="single" w:sz="4" w:space="0" w:color="E0301E"/>
              <w:left w:val="nil"/>
              <w:bottom w:val="single" w:sz="4" w:space="0" w:color="E0301E"/>
              <w:right w:val="nil"/>
            </w:tcBorders>
            <w:shd w:val="clear" w:color="auto" w:fill="auto"/>
            <w:noWrap/>
            <w:vAlign w:val="center"/>
            <w:hideMark/>
          </w:tcPr>
          <w:p w14:paraId="24540CE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477F1058"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2326C" w14:paraId="6B043347" w14:textId="77777777" w:rsidTr="008536E9">
        <w:trPr>
          <w:trHeight w:hRule="exact" w:val="397"/>
        </w:trPr>
        <w:tc>
          <w:tcPr>
            <w:tcW w:w="1843" w:type="dxa"/>
            <w:tcBorders>
              <w:top w:val="single" w:sz="4" w:space="0" w:color="E0301E"/>
              <w:left w:val="nil"/>
              <w:bottom w:val="single" w:sz="4" w:space="0" w:color="E0301E"/>
              <w:right w:val="nil"/>
            </w:tcBorders>
            <w:shd w:val="clear" w:color="auto" w:fill="auto"/>
            <w:vAlign w:val="center"/>
            <w:hideMark/>
          </w:tcPr>
          <w:p w14:paraId="32EF4759"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sidRPr="00C2326C">
              <w:rPr>
                <w:rFonts w:ascii="Arial" w:hAnsi="Arial"/>
                <w:snapToGrid/>
                <w:color w:val="000000"/>
                <w:sz w:val="16"/>
                <w:szCs w:val="16"/>
                <w:lang w:eastAsia="en-AU"/>
              </w:rPr>
              <w:t>Indigenous status</w:t>
            </w:r>
          </w:p>
        </w:tc>
        <w:tc>
          <w:tcPr>
            <w:tcW w:w="810" w:type="dxa"/>
            <w:tcBorders>
              <w:top w:val="single" w:sz="4" w:space="0" w:color="E0301E"/>
              <w:left w:val="nil"/>
              <w:bottom w:val="single" w:sz="4" w:space="0" w:color="E0301E"/>
              <w:right w:val="nil"/>
            </w:tcBorders>
            <w:shd w:val="clear" w:color="auto" w:fill="auto"/>
            <w:noWrap/>
            <w:vAlign w:val="center"/>
            <w:hideMark/>
          </w:tcPr>
          <w:p w14:paraId="2090DDA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70940B9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top w:val="single" w:sz="4" w:space="0" w:color="E0301E"/>
              <w:left w:val="nil"/>
              <w:bottom w:val="single" w:sz="4" w:space="0" w:color="E0301E"/>
              <w:right w:val="nil"/>
            </w:tcBorders>
            <w:shd w:val="clear" w:color="auto" w:fill="auto"/>
            <w:noWrap/>
            <w:vAlign w:val="center"/>
            <w:hideMark/>
          </w:tcPr>
          <w:p w14:paraId="7A8E457F"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3F0D13A5"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73B77A2E"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0" w:type="dxa"/>
            <w:tcBorders>
              <w:top w:val="single" w:sz="4" w:space="0" w:color="E0301E"/>
              <w:left w:val="nil"/>
              <w:bottom w:val="single" w:sz="4" w:space="0" w:color="E0301E"/>
              <w:right w:val="nil"/>
            </w:tcBorders>
            <w:shd w:val="clear" w:color="auto" w:fill="auto"/>
            <w:noWrap/>
            <w:vAlign w:val="center"/>
            <w:hideMark/>
          </w:tcPr>
          <w:p w14:paraId="60D71D5C"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378E4CEE"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692A1FA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752" w:type="dxa"/>
            <w:tcBorders>
              <w:top w:val="single" w:sz="4" w:space="0" w:color="E0301E"/>
              <w:left w:val="nil"/>
              <w:bottom w:val="single" w:sz="4" w:space="0" w:color="E0301E"/>
              <w:right w:val="nil"/>
            </w:tcBorders>
            <w:shd w:val="clear" w:color="auto" w:fill="auto"/>
            <w:noWrap/>
            <w:vAlign w:val="center"/>
            <w:hideMark/>
          </w:tcPr>
          <w:p w14:paraId="100C1CD0"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3BBA095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2326C" w14:paraId="1AF82943" w14:textId="77777777" w:rsidTr="008536E9">
        <w:trPr>
          <w:trHeight w:hRule="exact" w:val="397"/>
        </w:trPr>
        <w:tc>
          <w:tcPr>
            <w:tcW w:w="1843" w:type="dxa"/>
            <w:tcBorders>
              <w:top w:val="single" w:sz="4" w:space="0" w:color="E0301E"/>
              <w:left w:val="nil"/>
              <w:bottom w:val="single" w:sz="4" w:space="0" w:color="E0301E"/>
              <w:right w:val="nil"/>
            </w:tcBorders>
            <w:shd w:val="clear" w:color="auto" w:fill="auto"/>
            <w:vAlign w:val="center"/>
            <w:hideMark/>
          </w:tcPr>
          <w:p w14:paraId="1B30163E"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sidRPr="00C2326C">
              <w:rPr>
                <w:rFonts w:ascii="Arial" w:hAnsi="Arial"/>
                <w:snapToGrid/>
                <w:color w:val="000000"/>
                <w:sz w:val="16"/>
                <w:szCs w:val="16"/>
                <w:lang w:eastAsia="en-AU"/>
              </w:rPr>
              <w:t>Previous welfare utilisation</w:t>
            </w:r>
          </w:p>
        </w:tc>
        <w:tc>
          <w:tcPr>
            <w:tcW w:w="810" w:type="dxa"/>
            <w:tcBorders>
              <w:top w:val="single" w:sz="4" w:space="0" w:color="E0301E"/>
              <w:left w:val="nil"/>
              <w:bottom w:val="single" w:sz="4" w:space="0" w:color="E0301E"/>
              <w:right w:val="nil"/>
            </w:tcBorders>
            <w:shd w:val="clear" w:color="auto" w:fill="auto"/>
            <w:noWrap/>
            <w:vAlign w:val="center"/>
            <w:hideMark/>
          </w:tcPr>
          <w:p w14:paraId="1ED20E4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1" w:type="dxa"/>
            <w:tcBorders>
              <w:top w:val="single" w:sz="4" w:space="0" w:color="E0301E"/>
              <w:left w:val="nil"/>
              <w:bottom w:val="single" w:sz="4" w:space="0" w:color="E0301E"/>
              <w:right w:val="nil"/>
            </w:tcBorders>
            <w:shd w:val="clear" w:color="auto" w:fill="auto"/>
            <w:noWrap/>
            <w:vAlign w:val="center"/>
            <w:hideMark/>
          </w:tcPr>
          <w:p w14:paraId="7B7ABE1D"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r w:rsidRPr="00914A2D">
              <w:rPr>
                <w:rFonts w:ascii="Arial" w:hAnsi="Arial"/>
                <w:snapToGrid/>
                <w:color w:val="000000"/>
                <w:sz w:val="16"/>
                <w:szCs w:val="16"/>
                <w:lang w:eastAsia="en-AU"/>
              </w:rPr>
              <w:t>Y</w:t>
            </w:r>
          </w:p>
        </w:tc>
        <w:tc>
          <w:tcPr>
            <w:tcW w:w="810" w:type="dxa"/>
            <w:tcBorders>
              <w:top w:val="single" w:sz="4" w:space="0" w:color="E0301E"/>
              <w:left w:val="nil"/>
              <w:bottom w:val="single" w:sz="4" w:space="0" w:color="E0301E"/>
              <w:right w:val="nil"/>
            </w:tcBorders>
            <w:shd w:val="clear" w:color="auto" w:fill="auto"/>
            <w:noWrap/>
            <w:vAlign w:val="center"/>
            <w:hideMark/>
          </w:tcPr>
          <w:p w14:paraId="2EDC5632"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55E3992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1777309B"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0" w:type="dxa"/>
            <w:tcBorders>
              <w:top w:val="single" w:sz="4" w:space="0" w:color="E0301E"/>
              <w:left w:val="nil"/>
              <w:bottom w:val="single" w:sz="4" w:space="0" w:color="E0301E"/>
              <w:right w:val="nil"/>
            </w:tcBorders>
            <w:shd w:val="clear" w:color="auto" w:fill="auto"/>
            <w:noWrap/>
            <w:vAlign w:val="center"/>
            <w:hideMark/>
          </w:tcPr>
          <w:p w14:paraId="5290701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0A281A24"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3F7F820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752" w:type="dxa"/>
            <w:tcBorders>
              <w:top w:val="single" w:sz="4" w:space="0" w:color="E0301E"/>
              <w:left w:val="nil"/>
              <w:bottom w:val="single" w:sz="4" w:space="0" w:color="E0301E"/>
              <w:right w:val="nil"/>
            </w:tcBorders>
            <w:shd w:val="clear" w:color="auto" w:fill="auto"/>
            <w:noWrap/>
            <w:vAlign w:val="center"/>
            <w:hideMark/>
          </w:tcPr>
          <w:p w14:paraId="19AB8A0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64DA04D4"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r w:rsidR="00037542" w:rsidRPr="00C2326C" w14:paraId="17BB86FA" w14:textId="77777777" w:rsidTr="008536E9">
        <w:trPr>
          <w:trHeight w:hRule="exact" w:val="397"/>
        </w:trPr>
        <w:tc>
          <w:tcPr>
            <w:tcW w:w="1843" w:type="dxa"/>
            <w:tcBorders>
              <w:top w:val="single" w:sz="4" w:space="0" w:color="E0301E"/>
              <w:left w:val="nil"/>
              <w:bottom w:val="single" w:sz="4" w:space="0" w:color="E0301E"/>
              <w:right w:val="nil"/>
            </w:tcBorders>
            <w:shd w:val="clear" w:color="auto" w:fill="auto"/>
            <w:vAlign w:val="center"/>
            <w:hideMark/>
          </w:tcPr>
          <w:p w14:paraId="3D53A690" w14:textId="77777777" w:rsidR="00037542" w:rsidRPr="00C2326C" w:rsidRDefault="00037542" w:rsidP="00037542">
            <w:pPr>
              <w:kinsoku/>
              <w:overflowPunct/>
              <w:autoSpaceDE/>
              <w:autoSpaceDN/>
              <w:adjustRightInd/>
              <w:snapToGrid/>
              <w:rPr>
                <w:rFonts w:ascii="Arial" w:hAnsi="Arial"/>
                <w:snapToGrid/>
                <w:color w:val="000000"/>
                <w:sz w:val="16"/>
                <w:szCs w:val="16"/>
                <w:lang w:eastAsia="en-AU"/>
              </w:rPr>
            </w:pPr>
            <w:r w:rsidRPr="00C2326C">
              <w:rPr>
                <w:rFonts w:ascii="Arial" w:hAnsi="Arial"/>
                <w:snapToGrid/>
                <w:color w:val="000000"/>
                <w:sz w:val="16"/>
                <w:szCs w:val="16"/>
                <w:lang w:eastAsia="en-AU"/>
              </w:rPr>
              <w:t>Earnings indicator</w:t>
            </w:r>
          </w:p>
        </w:tc>
        <w:tc>
          <w:tcPr>
            <w:tcW w:w="810" w:type="dxa"/>
            <w:tcBorders>
              <w:top w:val="single" w:sz="4" w:space="0" w:color="E0301E"/>
              <w:left w:val="nil"/>
              <w:bottom w:val="single" w:sz="4" w:space="0" w:color="E0301E"/>
              <w:right w:val="nil"/>
            </w:tcBorders>
            <w:shd w:val="clear" w:color="auto" w:fill="auto"/>
            <w:noWrap/>
            <w:vAlign w:val="center"/>
            <w:hideMark/>
          </w:tcPr>
          <w:p w14:paraId="4D29B72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54635E8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0" w:type="dxa"/>
            <w:tcBorders>
              <w:top w:val="single" w:sz="4" w:space="0" w:color="E0301E"/>
              <w:left w:val="nil"/>
              <w:bottom w:val="single" w:sz="4" w:space="0" w:color="E0301E"/>
              <w:right w:val="nil"/>
            </w:tcBorders>
            <w:shd w:val="clear" w:color="auto" w:fill="auto"/>
            <w:noWrap/>
            <w:vAlign w:val="center"/>
            <w:hideMark/>
          </w:tcPr>
          <w:p w14:paraId="032D5BD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7E2862C6"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6E623DD1"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0" w:type="dxa"/>
            <w:tcBorders>
              <w:top w:val="single" w:sz="4" w:space="0" w:color="E0301E"/>
              <w:left w:val="nil"/>
              <w:bottom w:val="single" w:sz="4" w:space="0" w:color="E0301E"/>
              <w:right w:val="nil"/>
            </w:tcBorders>
            <w:shd w:val="clear" w:color="auto" w:fill="auto"/>
            <w:noWrap/>
            <w:vAlign w:val="center"/>
            <w:hideMark/>
          </w:tcPr>
          <w:p w14:paraId="49EA5D75"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811" w:type="dxa"/>
            <w:tcBorders>
              <w:top w:val="single" w:sz="4" w:space="0" w:color="E0301E"/>
              <w:left w:val="nil"/>
              <w:bottom w:val="single" w:sz="4" w:space="0" w:color="E0301E"/>
              <w:right w:val="nil"/>
            </w:tcBorders>
            <w:shd w:val="clear" w:color="auto" w:fill="auto"/>
            <w:noWrap/>
            <w:vAlign w:val="center"/>
            <w:hideMark/>
          </w:tcPr>
          <w:p w14:paraId="3F1025F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698CA9F3"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752" w:type="dxa"/>
            <w:tcBorders>
              <w:top w:val="single" w:sz="4" w:space="0" w:color="E0301E"/>
              <w:left w:val="nil"/>
              <w:bottom w:val="single" w:sz="4" w:space="0" w:color="E0301E"/>
              <w:right w:val="nil"/>
            </w:tcBorders>
            <w:shd w:val="clear" w:color="auto" w:fill="auto"/>
            <w:noWrap/>
            <w:vAlign w:val="center"/>
            <w:hideMark/>
          </w:tcPr>
          <w:p w14:paraId="5460C4D7"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c>
          <w:tcPr>
            <w:tcW w:w="907" w:type="dxa"/>
            <w:tcBorders>
              <w:top w:val="single" w:sz="4" w:space="0" w:color="E0301E"/>
              <w:left w:val="nil"/>
              <w:bottom w:val="single" w:sz="4" w:space="0" w:color="E0301E"/>
              <w:right w:val="nil"/>
            </w:tcBorders>
            <w:shd w:val="clear" w:color="auto" w:fill="auto"/>
            <w:noWrap/>
            <w:vAlign w:val="center"/>
            <w:hideMark/>
          </w:tcPr>
          <w:p w14:paraId="1F6C45B9" w14:textId="77777777" w:rsidR="00037542" w:rsidRPr="00914A2D" w:rsidRDefault="00037542" w:rsidP="00037542">
            <w:pPr>
              <w:kinsoku/>
              <w:overflowPunct/>
              <w:autoSpaceDE/>
              <w:autoSpaceDN/>
              <w:adjustRightInd/>
              <w:snapToGrid/>
              <w:jc w:val="center"/>
              <w:rPr>
                <w:rFonts w:ascii="Arial" w:hAnsi="Arial"/>
                <w:snapToGrid/>
                <w:color w:val="000000"/>
                <w:sz w:val="16"/>
                <w:szCs w:val="16"/>
                <w:lang w:eastAsia="en-AU"/>
              </w:rPr>
            </w:pPr>
          </w:p>
        </w:tc>
      </w:tr>
    </w:tbl>
    <w:p w14:paraId="1035E437" w14:textId="77777777" w:rsidR="00037542" w:rsidRDefault="00037542" w:rsidP="001A4479">
      <w:pPr>
        <w:kinsoku/>
        <w:overflowPunct/>
        <w:autoSpaceDE/>
        <w:autoSpaceDN/>
        <w:adjustRightInd/>
        <w:snapToGrid/>
      </w:pPr>
    </w:p>
    <w:p w14:paraId="7E80B8B7" w14:textId="77777777" w:rsidR="00037542" w:rsidRDefault="00037542" w:rsidP="001A4479">
      <w:pPr>
        <w:kinsoku/>
        <w:overflowPunct/>
        <w:autoSpaceDE/>
        <w:autoSpaceDN/>
        <w:adjustRightInd/>
        <w:snapToGrid/>
      </w:pPr>
    </w:p>
    <w:p w14:paraId="2B3B412A" w14:textId="77777777" w:rsidR="00037542" w:rsidRDefault="00037542" w:rsidP="001A4479">
      <w:pPr>
        <w:kinsoku/>
        <w:overflowPunct/>
        <w:autoSpaceDE/>
        <w:autoSpaceDN/>
        <w:adjustRightInd/>
        <w:snapToGrid/>
        <w:sectPr w:rsidR="00037542">
          <w:pgSz w:w="11907" w:h="16840"/>
          <w:pgMar w:top="1588" w:right="1021" w:bottom="1418" w:left="1021" w:header="567" w:footer="567" w:gutter="0"/>
          <w:cols w:space="720"/>
        </w:sectPr>
      </w:pPr>
    </w:p>
    <w:p w14:paraId="1B3FA554" w14:textId="77777777" w:rsidR="001A7428" w:rsidRPr="00EC326F" w:rsidRDefault="001A7428" w:rsidP="0037093B">
      <w:pPr>
        <w:pStyle w:val="Heading2Appendix"/>
      </w:pPr>
      <w:bookmarkStart w:id="877" w:name="_Ref436556771"/>
      <w:bookmarkStart w:id="878" w:name="_Ref436556782"/>
      <w:bookmarkStart w:id="879" w:name="_Toc455499479"/>
      <w:bookmarkStart w:id="880" w:name="_Toc455502500"/>
      <w:bookmarkStart w:id="881" w:name="_Toc475093851"/>
      <w:r w:rsidRPr="00EC326F">
        <w:lastRenderedPageBreak/>
        <w:t>Glossary</w:t>
      </w:r>
      <w:bookmarkEnd w:id="877"/>
      <w:bookmarkEnd w:id="878"/>
      <w:bookmarkEnd w:id="879"/>
      <w:bookmarkEnd w:id="880"/>
      <w:bookmarkEnd w:id="881"/>
    </w:p>
    <w:p w14:paraId="73B63C6A" w14:textId="77777777" w:rsidR="00DE32AA" w:rsidRPr="00EC326F" w:rsidRDefault="00DE32AA" w:rsidP="000D6FAA">
      <w:pPr>
        <w:pStyle w:val="Heading4"/>
      </w:pPr>
      <w:r w:rsidRPr="00EC326F">
        <w:t>Glossary A to M</w:t>
      </w:r>
    </w:p>
    <w:p w14:paraId="3138917D" w14:textId="77777777" w:rsidR="00FC5A83" w:rsidRPr="00EC326F" w:rsidRDefault="00FC5A83" w:rsidP="00DE32AA">
      <w:pPr>
        <w:pStyle w:val="StyleTableTextNormal9ptText2Before3ptAfter2pt"/>
        <w:spacing w:before="80" w:after="0"/>
        <w:rPr>
          <w:color w:val="000000" w:themeColor="text1"/>
          <w:szCs w:val="18"/>
        </w:rPr>
      </w:pPr>
      <w:r w:rsidRPr="00EC326F">
        <w:t>Actuarial Valuation</w:t>
      </w:r>
      <w:r w:rsidRPr="00EC326F">
        <w:br/>
      </w:r>
      <w:r w:rsidRPr="00EC326F">
        <w:rPr>
          <w:color w:val="000000" w:themeColor="text1"/>
          <w:szCs w:val="18"/>
        </w:rPr>
        <w:t>Estimation of the lifetime cost to the Australian government of future social security payments using generally accepted actuarial principles.</w:t>
      </w:r>
    </w:p>
    <w:p w14:paraId="6232404D" w14:textId="77777777" w:rsidR="00FC5A83" w:rsidRPr="00EC326F" w:rsidRDefault="00FC5A83" w:rsidP="00DE32AA">
      <w:pPr>
        <w:pStyle w:val="StyleTableTextNormal9ptText2Before3ptAfter2pt"/>
        <w:spacing w:before="80" w:after="0"/>
        <w:rPr>
          <w:color w:val="000000" w:themeColor="text1"/>
          <w:szCs w:val="18"/>
        </w:rPr>
      </w:pPr>
      <w:r w:rsidRPr="00EC326F">
        <w:t>Allowances</w:t>
      </w:r>
      <w:r w:rsidRPr="00EC326F">
        <w:br/>
      </w:r>
      <w:r w:rsidRPr="00EC326F">
        <w:rPr>
          <w:color w:val="000000" w:themeColor="text1"/>
          <w:szCs w:val="18"/>
        </w:rPr>
        <w:t>Allowances provide income support and access to a range of concessions for eligible Australians. The term Allowance is used by the Department to refer to income support payments that are generally at lower payment levels than Pensions.</w:t>
      </w:r>
    </w:p>
    <w:p w14:paraId="3CD9A649" w14:textId="77777777" w:rsidR="00FC5A83" w:rsidRPr="00EC326F" w:rsidRDefault="00FC5A83" w:rsidP="00DE32AA">
      <w:pPr>
        <w:pStyle w:val="StyleTableTextNormal9ptText2Before3ptAfter2pt"/>
        <w:spacing w:before="80" w:after="0"/>
        <w:rPr>
          <w:color w:val="000000" w:themeColor="text1"/>
          <w:szCs w:val="18"/>
        </w:rPr>
      </w:pPr>
      <w:r w:rsidRPr="00EC326F">
        <w:t>Assumptions</w:t>
      </w:r>
      <w:r w:rsidRPr="00EC326F">
        <w:br/>
      </w:r>
      <w:r w:rsidRPr="00EC326F">
        <w:rPr>
          <w:color w:val="000000" w:themeColor="text1"/>
          <w:szCs w:val="18"/>
        </w:rPr>
        <w:t>Assumptions are the parameters that guide the model</w:t>
      </w:r>
      <w:r w:rsidR="00B03042">
        <w:rPr>
          <w:color w:val="000000" w:themeColor="text1"/>
          <w:szCs w:val="18"/>
        </w:rPr>
        <w:t xml:space="preserve"> - </w:t>
      </w:r>
      <w:r w:rsidRPr="00EC326F">
        <w:rPr>
          <w:color w:val="000000" w:themeColor="text1"/>
          <w:szCs w:val="18"/>
        </w:rPr>
        <w:t>these include ‘macro’ assumptions such as economic forecasts and demographic assumptions; and ‘micro’ assumptions such as probabilities of individuals moving into and through the welfare system based on various risk factors.</w:t>
      </w:r>
    </w:p>
    <w:p w14:paraId="04CD0FF8" w14:textId="77777777" w:rsidR="00FC5A83" w:rsidRPr="00EC326F" w:rsidRDefault="00FC5A83" w:rsidP="00DE32AA">
      <w:pPr>
        <w:pStyle w:val="StyleTableTextNormal9ptText2Before3ptAfter2pt"/>
        <w:spacing w:before="80" w:after="0"/>
        <w:rPr>
          <w:color w:val="000000" w:themeColor="text1"/>
          <w:szCs w:val="18"/>
        </w:rPr>
      </w:pPr>
      <w:r w:rsidRPr="00EC326F">
        <w:t>Group</w:t>
      </w:r>
      <w:r w:rsidRPr="00EC326F">
        <w:br/>
      </w:r>
      <w:r w:rsidRPr="00EC326F">
        <w:rPr>
          <w:color w:val="000000" w:themeColor="text1"/>
          <w:szCs w:val="18"/>
        </w:rPr>
        <w:t>In this report we have used the term group to refer to a group of people defined by a set of common characteristics in the model - for example , a group could be "females aged 20 to 24 who were in welfare class ‘studying’ in 2014/15" or could be "male carers". Generally, groups will be defined by the model structure and individual’s characteristics.</w:t>
      </w:r>
    </w:p>
    <w:p w14:paraId="49EA6194" w14:textId="77777777" w:rsidR="00FC5A83" w:rsidRPr="00EC326F" w:rsidRDefault="00FC5A83" w:rsidP="00DE32AA">
      <w:pPr>
        <w:pStyle w:val="StyleTableTextNormal9ptText2Before3ptAfter2pt"/>
        <w:spacing w:before="80" w:after="0"/>
        <w:rPr>
          <w:color w:val="000000" w:themeColor="text1"/>
          <w:szCs w:val="18"/>
        </w:rPr>
      </w:pPr>
      <w:r w:rsidRPr="00EC326F">
        <w:t>Data</w:t>
      </w:r>
      <w:r w:rsidRPr="00EC326F">
        <w:br/>
      </w:r>
      <w:r w:rsidRPr="00EC326F">
        <w:rPr>
          <w:color w:val="000000" w:themeColor="text1"/>
          <w:szCs w:val="18"/>
        </w:rPr>
        <w:t>Data</w:t>
      </w:r>
      <w:r w:rsidRPr="00EC326F">
        <w:rPr>
          <w:b/>
          <w:color w:val="000000" w:themeColor="text1"/>
          <w:szCs w:val="18"/>
        </w:rPr>
        <w:t xml:space="preserve"> </w:t>
      </w:r>
      <w:r w:rsidRPr="00EC326F">
        <w:rPr>
          <w:color w:val="000000" w:themeColor="text1"/>
          <w:szCs w:val="18"/>
        </w:rPr>
        <w:t>refers to sets of information that are being used to inform the project.</w:t>
      </w:r>
    </w:p>
    <w:p w14:paraId="3FAE455B" w14:textId="77777777" w:rsidR="00FC5A83" w:rsidRPr="00EC326F" w:rsidRDefault="00FC5A83" w:rsidP="00DE32AA">
      <w:pPr>
        <w:pStyle w:val="StyleTableTextNormal9ptText2Before3ptAfter2pt"/>
        <w:spacing w:before="80" w:after="0"/>
        <w:rPr>
          <w:color w:val="000000" w:themeColor="text1"/>
          <w:szCs w:val="18"/>
        </w:rPr>
      </w:pPr>
      <w:r w:rsidRPr="00EC326F">
        <w:t>Datasets</w:t>
      </w:r>
      <w:r w:rsidRPr="00EC326F">
        <w:br/>
      </w:r>
      <w:r w:rsidRPr="00EC326F">
        <w:rPr>
          <w:color w:val="000000" w:themeColor="text1"/>
          <w:szCs w:val="18"/>
        </w:rPr>
        <w:t>A set of values of qualitative (characters) or quantitative (numbers) variables that is data coded in a form suitable for using in analysis.</w:t>
      </w:r>
    </w:p>
    <w:p w14:paraId="1BA77EB1" w14:textId="77777777" w:rsidR="00FC5A83" w:rsidRPr="00EC326F" w:rsidRDefault="00FC5A83" w:rsidP="00DE32AA">
      <w:pPr>
        <w:pStyle w:val="StyleTableTextNormal9ptText2Before3ptAfter2pt"/>
        <w:spacing w:before="80" w:after="0"/>
        <w:rPr>
          <w:color w:val="000000" w:themeColor="text1"/>
          <w:szCs w:val="18"/>
        </w:rPr>
      </w:pPr>
      <w:r w:rsidRPr="00EC326F">
        <w:t>Discounting</w:t>
      </w:r>
      <w:r w:rsidRPr="00EC326F">
        <w:br/>
      </w:r>
      <w:r w:rsidRPr="00EC326F">
        <w:rPr>
          <w:color w:val="000000" w:themeColor="text1"/>
          <w:szCs w:val="18"/>
        </w:rPr>
        <w:t>The process of determining the present value of a payment or a stream of payments that is to be received in the future. Given the time value of money, a dollar is worth more today than it would be worth tomorrow given its capacity to earn interest.</w:t>
      </w:r>
    </w:p>
    <w:p w14:paraId="03B3FC7C" w14:textId="77777777" w:rsidR="00FC5A83" w:rsidRPr="00EC326F" w:rsidRDefault="00FC5A83" w:rsidP="00DE32AA">
      <w:pPr>
        <w:pStyle w:val="StyleTableTextNormal9ptText2Before3ptAfter2pt"/>
        <w:spacing w:before="80" w:after="0"/>
        <w:rPr>
          <w:color w:val="000000" w:themeColor="text1"/>
          <w:szCs w:val="18"/>
        </w:rPr>
      </w:pPr>
      <w:r w:rsidRPr="00EC326F">
        <w:t>Dynamic</w:t>
      </w:r>
      <w:r w:rsidRPr="00EC326F">
        <w:br/>
      </w:r>
      <w:r w:rsidRPr="00EC326F">
        <w:rPr>
          <w:color w:val="000000" w:themeColor="text1"/>
          <w:szCs w:val="18"/>
        </w:rPr>
        <w:t>A term we are using to describe information or data variables that change with the progression of time (e.g. a person’s partner status).</w:t>
      </w:r>
    </w:p>
    <w:p w14:paraId="2AE9CCA8" w14:textId="77777777" w:rsidR="00FC5A83" w:rsidRPr="00EC326F" w:rsidRDefault="00FC5A83" w:rsidP="00DE32AA">
      <w:pPr>
        <w:pStyle w:val="StyleTableTextNormal9ptText2Before3ptAfter2pt"/>
        <w:spacing w:before="80" w:after="0"/>
        <w:rPr>
          <w:color w:val="000000" w:themeColor="text1"/>
          <w:szCs w:val="18"/>
        </w:rPr>
      </w:pPr>
      <w:r w:rsidRPr="00EC326F">
        <w:t>Flow assumptions</w:t>
      </w:r>
      <w:r w:rsidRPr="00EC326F">
        <w:br/>
      </w:r>
      <w:r w:rsidRPr="00EC326F">
        <w:rPr>
          <w:color w:val="000000" w:themeColor="text1"/>
          <w:szCs w:val="18"/>
        </w:rPr>
        <w:t>This comprises the set of assumptions used to ascertain how each person’s individual demographic and risk characteristics change as time progresses.</w:t>
      </w:r>
    </w:p>
    <w:p w14:paraId="665D17EE" w14:textId="77777777" w:rsidR="00FC5A83" w:rsidRPr="00EC326F" w:rsidRDefault="00FC5A83" w:rsidP="00DE32AA">
      <w:pPr>
        <w:pStyle w:val="StyleTableTextNormal9ptText2Before3ptAfter2pt"/>
        <w:spacing w:before="80" w:after="0"/>
        <w:rPr>
          <w:color w:val="000000" w:themeColor="text1"/>
          <w:szCs w:val="18"/>
        </w:rPr>
      </w:pPr>
      <w:r w:rsidRPr="00EC326F">
        <w:t>Indexation</w:t>
      </w:r>
      <w:r w:rsidRPr="00EC326F">
        <w:br/>
      </w:r>
      <w:r w:rsidRPr="00EC326F">
        <w:rPr>
          <w:color w:val="000000" w:themeColor="text1"/>
          <w:szCs w:val="18"/>
        </w:rPr>
        <w:t>Indexation is a technique to adjust payments by means of an index, in order to maintain the purchasing power of the payment after inflation.</w:t>
      </w:r>
    </w:p>
    <w:p w14:paraId="1C6BE991" w14:textId="77777777" w:rsidR="00FC5A83" w:rsidRPr="00EC326F" w:rsidRDefault="00FC5A83" w:rsidP="00DE32AA">
      <w:pPr>
        <w:pStyle w:val="StyleTableTextNormal9ptText2Before3ptAfter2pt"/>
        <w:spacing w:before="80" w:after="0"/>
        <w:rPr>
          <w:color w:val="000000" w:themeColor="text1"/>
          <w:szCs w:val="18"/>
        </w:rPr>
      </w:pPr>
      <w:r w:rsidRPr="00EC326F">
        <w:t>Liability</w:t>
      </w:r>
      <w:r w:rsidRPr="00EC326F">
        <w:br/>
      </w:r>
      <w:r w:rsidRPr="00EC326F">
        <w:rPr>
          <w:color w:val="000000" w:themeColor="text1"/>
          <w:szCs w:val="18"/>
        </w:rPr>
        <w:t>In Finance, the term liability is used to refer to general obligations to make future payments. The specific meaning varies depending on the person using the term and context of its use. Actuaries may also use this term to describe the net present value of the cash flows arising from future obligations.</w:t>
      </w:r>
    </w:p>
    <w:p w14:paraId="72EC2CED" w14:textId="77777777" w:rsidR="00FC5A83" w:rsidRPr="00EC326F" w:rsidRDefault="00FC5A83" w:rsidP="00DE32AA">
      <w:pPr>
        <w:pStyle w:val="StyleTableTextNormal9ptText2Before3ptAfter2pt"/>
        <w:spacing w:before="80" w:after="0"/>
        <w:rPr>
          <w:color w:val="000000" w:themeColor="text1"/>
          <w:szCs w:val="18"/>
        </w:rPr>
      </w:pPr>
      <w:r w:rsidRPr="00EC326F">
        <w:t>Lifetime cost</w:t>
      </w:r>
      <w:r w:rsidRPr="00EC326F">
        <w:br/>
      </w:r>
      <w:r w:rsidRPr="00EC326F">
        <w:rPr>
          <w:color w:val="000000" w:themeColor="text1"/>
          <w:szCs w:val="18"/>
        </w:rPr>
        <w:t>For the investment model, the lifetime cost will be the net present value of all future welfare payments (to the in-scope population).</w:t>
      </w:r>
    </w:p>
    <w:p w14:paraId="69846459" w14:textId="77777777" w:rsidR="00FC5A83" w:rsidRPr="00EC326F" w:rsidRDefault="00FC5A83" w:rsidP="00DE32AA">
      <w:pPr>
        <w:pStyle w:val="StyleTableTextNormal9ptText2Before3ptAfter2pt"/>
        <w:spacing w:before="80" w:after="0"/>
        <w:rPr>
          <w:color w:val="000000" w:themeColor="text1"/>
          <w:szCs w:val="18"/>
        </w:rPr>
      </w:pPr>
      <w:r w:rsidRPr="00EC326F">
        <w:t>Average lifetime Cost (future)</w:t>
      </w:r>
      <w:r w:rsidRPr="00EC326F">
        <w:br/>
      </w:r>
      <w:r w:rsidRPr="00EC326F">
        <w:rPr>
          <w:color w:val="000000" w:themeColor="text1"/>
          <w:szCs w:val="18"/>
        </w:rPr>
        <w:t>The net present value of the payments that we expect to be made to an individual over their future lifetime. Note that these will be assessed for groups of similar individuals, not for specific people.</w:t>
      </w:r>
    </w:p>
    <w:p w14:paraId="170AAC09" w14:textId="77777777" w:rsidR="00FC5A83" w:rsidRPr="00EC326F" w:rsidRDefault="00FC5A83" w:rsidP="00DE32AA">
      <w:pPr>
        <w:pStyle w:val="StyleTableTextNormal9ptText2Before3ptAfter2pt"/>
        <w:spacing w:before="80" w:after="0"/>
        <w:rPr>
          <w:color w:val="000000" w:themeColor="text1"/>
          <w:szCs w:val="18"/>
        </w:rPr>
      </w:pPr>
      <w:r w:rsidRPr="00EC326F">
        <w:t>Method</w:t>
      </w:r>
      <w:r w:rsidRPr="00EC326F">
        <w:br/>
      </w:r>
      <w:r w:rsidRPr="00EC326F">
        <w:rPr>
          <w:color w:val="000000" w:themeColor="text1"/>
          <w:szCs w:val="18"/>
        </w:rPr>
        <w:t>The method refers to the description or specification of the process for selecting modelling techniques, taking the data, analysing it, developing or incorporating assumptions about the future, and projecting forward and summarising the expected welfare payments for each individual within the model population.</w:t>
      </w:r>
    </w:p>
    <w:p w14:paraId="0F7698DC" w14:textId="77777777" w:rsidR="00FC5A83" w:rsidRPr="00EC326F" w:rsidRDefault="00FC5A83" w:rsidP="00DE32AA">
      <w:pPr>
        <w:pStyle w:val="StyleTableTextNormal9ptText2Before3ptAfter2pt"/>
        <w:spacing w:before="80" w:after="0"/>
        <w:rPr>
          <w:color w:val="000000" w:themeColor="text1"/>
          <w:szCs w:val="18"/>
        </w:rPr>
      </w:pPr>
      <w:r w:rsidRPr="00EC326F">
        <w:t>Model</w:t>
      </w:r>
      <w:r w:rsidRPr="00EC326F">
        <w:br/>
      </w:r>
      <w:r w:rsidRPr="00EC326F">
        <w:rPr>
          <w:color w:val="000000" w:themeColor="text1"/>
          <w:szCs w:val="18"/>
        </w:rPr>
        <w:t>The model refers to the set of computer programs, spreadsheets, formulae, techniques and tools that are being built to apply the method. In a sense, the model is intended to represent, in a mathematical way, what happens to people as they move in, through and out of the social support system based on various assumptions. The model is a collection of modules and sub-components that fit together in applying the method.</w:t>
      </w:r>
    </w:p>
    <w:p w14:paraId="53D2DD41" w14:textId="77777777" w:rsidR="00FC5A83" w:rsidRPr="00EC326F" w:rsidRDefault="00FC5A83" w:rsidP="00DE32AA">
      <w:pPr>
        <w:pStyle w:val="StyleTableTextNormal9ptText2Before3ptAfter2pt"/>
        <w:spacing w:before="80" w:after="0"/>
        <w:rPr>
          <w:color w:val="000000" w:themeColor="text1"/>
          <w:szCs w:val="18"/>
        </w:rPr>
      </w:pPr>
      <w:r w:rsidRPr="00EC326F">
        <w:t>Model population</w:t>
      </w:r>
      <w:r w:rsidRPr="00EC326F">
        <w:br/>
      </w:r>
      <w:r w:rsidRPr="00EC326F">
        <w:rPr>
          <w:color w:val="000000" w:themeColor="text1"/>
          <w:szCs w:val="18"/>
        </w:rPr>
        <w:t xml:space="preserve">The model population is the set of individual person records used in the model. The model design allows the model to be run for either a sample of the population or the whole population. Where the model is run for the entire model population, and not a sample, we refer </w:t>
      </w:r>
      <w:r w:rsidR="00DE32AA" w:rsidRPr="00EC326F">
        <w:rPr>
          <w:color w:val="000000" w:themeColor="text1"/>
          <w:szCs w:val="18"/>
        </w:rPr>
        <w:t>to this as the full population.</w:t>
      </w:r>
    </w:p>
    <w:p w14:paraId="5B7EDC54" w14:textId="77777777" w:rsidR="00DE32AA" w:rsidRPr="00EC326F" w:rsidRDefault="00DE32AA" w:rsidP="000D6FAA">
      <w:pPr>
        <w:pStyle w:val="Heading4"/>
      </w:pPr>
      <w:r w:rsidRPr="00EC326F">
        <w:lastRenderedPageBreak/>
        <w:t>Glossary N to Z</w:t>
      </w:r>
    </w:p>
    <w:p w14:paraId="2CD77AED" w14:textId="77777777" w:rsidR="00FC5A83" w:rsidRPr="00EC326F" w:rsidRDefault="00FC5A83" w:rsidP="00FC5A83">
      <w:pPr>
        <w:pStyle w:val="StyleTableTextNormal9ptText2Before3ptAfter2pt"/>
        <w:spacing w:before="120"/>
        <w:rPr>
          <w:color w:val="000000" w:themeColor="text1"/>
          <w:szCs w:val="18"/>
        </w:rPr>
      </w:pPr>
      <w:r w:rsidRPr="00EC326F">
        <w:t xml:space="preserve">Net Present Value </w:t>
      </w:r>
      <w:r w:rsidRPr="00EC326F">
        <w:br/>
      </w:r>
      <w:r w:rsidRPr="00EC326F">
        <w:rPr>
          <w:color w:val="000000" w:themeColor="text1"/>
          <w:szCs w:val="18"/>
        </w:rPr>
        <w:t>The sum of the present values of incoming and outgoing cash flows over a period of time.</w:t>
      </w:r>
    </w:p>
    <w:p w14:paraId="6193ABF7" w14:textId="77777777" w:rsidR="00FC5A83" w:rsidRPr="00EC326F" w:rsidRDefault="00FC5A83" w:rsidP="00FC5A83">
      <w:pPr>
        <w:pStyle w:val="StyleTableTextNormal9ptText2Before3ptAfter2pt"/>
        <w:spacing w:before="120"/>
        <w:rPr>
          <w:color w:val="000000" w:themeColor="text1"/>
          <w:szCs w:val="18"/>
        </w:rPr>
      </w:pPr>
      <w:r w:rsidRPr="00EC326F">
        <w:t>Payment</w:t>
      </w:r>
      <w:r w:rsidRPr="00EC326F">
        <w:br/>
      </w:r>
      <w:r w:rsidRPr="00EC326F">
        <w:rPr>
          <w:color w:val="000000" w:themeColor="text1"/>
          <w:szCs w:val="18"/>
        </w:rPr>
        <w:t>A generic term used to describe all the different types of benefits which an individual can be paid. Includes Pensions, Allowances, Entitlements etc.</w:t>
      </w:r>
    </w:p>
    <w:p w14:paraId="793902B6" w14:textId="77777777" w:rsidR="00FC5A83" w:rsidRPr="00EC326F" w:rsidRDefault="00FC5A83" w:rsidP="00FC5A83">
      <w:pPr>
        <w:pStyle w:val="StyleTableTextNormal9ptText2Before3ptAfter2pt"/>
        <w:spacing w:before="120"/>
        <w:rPr>
          <w:color w:val="000000" w:themeColor="text1"/>
          <w:szCs w:val="18"/>
        </w:rPr>
      </w:pPr>
      <w:r w:rsidRPr="00EC326F">
        <w:t>Payment assumptions</w:t>
      </w:r>
      <w:r w:rsidRPr="00EC326F">
        <w:br/>
      </w:r>
      <w:r w:rsidRPr="00EC326F">
        <w:rPr>
          <w:color w:val="000000" w:themeColor="text1"/>
          <w:szCs w:val="18"/>
        </w:rPr>
        <w:t>The assumptions which describe the payments which individuals receive given that they use a specific Payment category.</w:t>
      </w:r>
    </w:p>
    <w:p w14:paraId="1B29F41C" w14:textId="77777777" w:rsidR="00FC5A83" w:rsidRPr="00EC326F" w:rsidRDefault="00FC5A83" w:rsidP="00FC5A83">
      <w:pPr>
        <w:pStyle w:val="StyleTableTextNormal9ptText2Before3ptAfter2pt"/>
        <w:spacing w:before="120"/>
        <w:rPr>
          <w:color w:val="000000" w:themeColor="text1"/>
          <w:szCs w:val="18"/>
        </w:rPr>
      </w:pPr>
      <w:r w:rsidRPr="00EC326F">
        <w:t>Payment categories</w:t>
      </w:r>
      <w:r w:rsidRPr="00EC326F">
        <w:br/>
      </w:r>
      <w:r w:rsidRPr="00EC326F">
        <w:rPr>
          <w:color w:val="000000" w:themeColor="text1"/>
          <w:szCs w:val="18"/>
        </w:rPr>
        <w:t>The groupings of individual payment types used for modelling purposes.</w:t>
      </w:r>
    </w:p>
    <w:p w14:paraId="3386908B" w14:textId="77777777" w:rsidR="00FC5A83" w:rsidRPr="00EC326F" w:rsidRDefault="00FC5A83" w:rsidP="00FC5A83">
      <w:pPr>
        <w:pStyle w:val="StyleTableTextNormal9ptText2Before3ptAfter2pt"/>
        <w:spacing w:before="120"/>
        <w:rPr>
          <w:color w:val="000000" w:themeColor="text1"/>
          <w:szCs w:val="18"/>
        </w:rPr>
      </w:pPr>
      <w:r w:rsidRPr="00EC326F">
        <w:t>Payment types</w:t>
      </w:r>
      <w:r w:rsidRPr="00EC326F">
        <w:br/>
      </w:r>
      <w:r w:rsidRPr="00EC326F">
        <w:rPr>
          <w:color w:val="000000" w:themeColor="text1"/>
          <w:szCs w:val="18"/>
        </w:rPr>
        <w:t>A term used to describe the labels which have been assigned to all the underlying payments so they can be considered for modelling purposes. The assignation has been through a mapping process with around 2,000 underlying payments being identified by codes and these mapped to around 100 payment types.</w:t>
      </w:r>
    </w:p>
    <w:p w14:paraId="4C63EB14" w14:textId="77777777" w:rsidR="00FC5A83" w:rsidRPr="00EC326F" w:rsidRDefault="00FC5A83" w:rsidP="00FC5A83">
      <w:pPr>
        <w:pStyle w:val="StyleTableTextNormal9ptText2Before3ptAfter2pt"/>
        <w:spacing w:before="120"/>
        <w:rPr>
          <w:color w:val="000000" w:themeColor="text1"/>
          <w:szCs w:val="18"/>
        </w:rPr>
      </w:pPr>
      <w:r w:rsidRPr="00EC326F">
        <w:t>Payment utilisation assumptions</w:t>
      </w:r>
      <w:r w:rsidRPr="00EC326F">
        <w:br/>
      </w:r>
      <w:r w:rsidRPr="00EC326F">
        <w:rPr>
          <w:color w:val="000000" w:themeColor="text1"/>
          <w:szCs w:val="18"/>
        </w:rPr>
        <w:t>The assumptions which describe the probabilities with which individuals use different Payment categories.</w:t>
      </w:r>
    </w:p>
    <w:p w14:paraId="303E3C27" w14:textId="77777777" w:rsidR="00FC5A83" w:rsidRPr="00EC326F" w:rsidRDefault="00FC5A83" w:rsidP="00FC5A83">
      <w:pPr>
        <w:pStyle w:val="StyleTableTextNormal9ptText2Before3ptAfter2pt"/>
        <w:spacing w:before="120"/>
        <w:rPr>
          <w:color w:val="000000" w:themeColor="text1"/>
          <w:szCs w:val="18"/>
        </w:rPr>
      </w:pPr>
      <w:r w:rsidRPr="00EC326F">
        <w:t>Pensions</w:t>
      </w:r>
      <w:r w:rsidRPr="00EC326F">
        <w:br/>
      </w:r>
      <w:r w:rsidRPr="00EC326F">
        <w:rPr>
          <w:color w:val="000000" w:themeColor="text1"/>
          <w:szCs w:val="18"/>
        </w:rPr>
        <w:t>Pensions provide income support and access to a range of concessions for eligible Australians. The term Pension is used by the Department to refer to income support payments that are generally at higher payment levels than Allowances.</w:t>
      </w:r>
    </w:p>
    <w:p w14:paraId="5E966E7F" w14:textId="77777777" w:rsidR="00FC5A83" w:rsidRPr="00EC326F" w:rsidRDefault="00FC5A83" w:rsidP="00FC5A83">
      <w:pPr>
        <w:pStyle w:val="StyleTableTextNormal9ptText2Before3ptAfter2pt"/>
        <w:spacing w:before="120"/>
        <w:rPr>
          <w:color w:val="000000" w:themeColor="text1"/>
          <w:szCs w:val="18"/>
        </w:rPr>
      </w:pPr>
      <w:r w:rsidRPr="00EC326F">
        <w:t>Present Value</w:t>
      </w:r>
      <w:r w:rsidRPr="00EC326F">
        <w:br/>
      </w:r>
      <w:r w:rsidRPr="00EC326F">
        <w:rPr>
          <w:color w:val="000000" w:themeColor="text1"/>
          <w:szCs w:val="18"/>
        </w:rPr>
        <w:t>The present value is the value of an expected income stream determined as of the date of valuation. The present value is always less than or equal to the future value because money has interest-earning potential, a characteristic referred to as the time value of money.</w:t>
      </w:r>
    </w:p>
    <w:p w14:paraId="4C19DF2B" w14:textId="77777777" w:rsidR="00FC5A83" w:rsidRPr="00EC326F" w:rsidRDefault="00FC5A83" w:rsidP="00FC5A83">
      <w:pPr>
        <w:pStyle w:val="StyleTableTextNormal9ptText2Before3ptAfter2pt"/>
        <w:spacing w:before="120"/>
        <w:rPr>
          <w:color w:val="000000" w:themeColor="text1"/>
          <w:szCs w:val="18"/>
        </w:rPr>
      </w:pPr>
      <w:r w:rsidRPr="00EC326F">
        <w:t>Probability</w:t>
      </w:r>
      <w:r w:rsidRPr="00EC326F">
        <w:br/>
      </w:r>
      <w:r w:rsidRPr="00EC326F">
        <w:rPr>
          <w:color w:val="000000" w:themeColor="text1"/>
          <w:szCs w:val="18"/>
        </w:rPr>
        <w:t>Probability is the measure of the likelihood that an event will occur. Probability is quantified as a number between 0 and 1 (where 0 indicates impossibility and 1 indicates certainty). The higher the probability of an event, the more certain we are that the event will occur.</w:t>
      </w:r>
    </w:p>
    <w:p w14:paraId="17935714" w14:textId="77777777" w:rsidR="00FC5A83" w:rsidRPr="00EC326F" w:rsidRDefault="00FC5A83" w:rsidP="00FC5A83">
      <w:pPr>
        <w:pStyle w:val="StyleTableTextNormal9ptText2Before3ptAfter2pt"/>
        <w:spacing w:before="120"/>
        <w:rPr>
          <w:color w:val="000000" w:themeColor="text1"/>
          <w:szCs w:val="18"/>
        </w:rPr>
      </w:pPr>
      <w:r w:rsidRPr="00EC326F">
        <w:t>Projection</w:t>
      </w:r>
      <w:r w:rsidRPr="00EC326F">
        <w:br/>
      </w:r>
      <w:r w:rsidRPr="00EC326F">
        <w:rPr>
          <w:color w:val="000000" w:themeColor="text1"/>
          <w:szCs w:val="18"/>
        </w:rPr>
        <w:t>The use of the model to forecast the future payment experience of the population based on current statistics and trends.</w:t>
      </w:r>
    </w:p>
    <w:p w14:paraId="0A8067AC" w14:textId="77777777" w:rsidR="00FC5A83" w:rsidRPr="00EC326F" w:rsidRDefault="00FC5A83" w:rsidP="00FC5A83">
      <w:pPr>
        <w:pStyle w:val="StyleTableTextNormal9ptText2Before3ptAfter2pt"/>
        <w:spacing w:before="120"/>
        <w:rPr>
          <w:color w:val="000000" w:themeColor="text1"/>
          <w:szCs w:val="18"/>
        </w:rPr>
      </w:pPr>
      <w:r w:rsidRPr="00EC326F">
        <w:t>Risk characteristics</w:t>
      </w:r>
      <w:r w:rsidRPr="00EC326F">
        <w:br/>
      </w:r>
      <w:r w:rsidRPr="00EC326F">
        <w:rPr>
          <w:color w:val="000000" w:themeColor="text1"/>
          <w:szCs w:val="18"/>
        </w:rPr>
        <w:t>Measurable or observable factors or characteristics that are used to assign each individual to one of the risk classes of a risk classification system. Examples of risk characteristics in the context of the actuarial valuation model include age, gender, family situation and education status.</w:t>
      </w:r>
    </w:p>
    <w:p w14:paraId="7B15D6F2" w14:textId="77777777" w:rsidR="00FC5A83" w:rsidRPr="00EC326F" w:rsidRDefault="00FC5A83" w:rsidP="00FC5A83">
      <w:pPr>
        <w:pStyle w:val="StyleTableTextNormal9ptText2Before3ptAfter2pt"/>
        <w:spacing w:before="120"/>
        <w:rPr>
          <w:color w:val="000000" w:themeColor="text1"/>
          <w:szCs w:val="18"/>
        </w:rPr>
      </w:pPr>
      <w:r w:rsidRPr="00EC326F">
        <w:t>Risk classes</w:t>
      </w:r>
      <w:r w:rsidRPr="00EC326F">
        <w:br/>
      </w:r>
      <w:r w:rsidRPr="00EC326F">
        <w:rPr>
          <w:color w:val="000000" w:themeColor="text1"/>
          <w:szCs w:val="18"/>
        </w:rPr>
        <w:t>A set of risks grouped together under a risk classification system.</w:t>
      </w:r>
    </w:p>
    <w:p w14:paraId="0FE3FB3A" w14:textId="77777777" w:rsidR="00FC5A83" w:rsidRPr="00EC326F" w:rsidRDefault="00FC5A83" w:rsidP="00FC5A83">
      <w:pPr>
        <w:pStyle w:val="StyleTableTextNormal9ptText2Before3ptAfter2pt"/>
        <w:spacing w:before="120"/>
        <w:rPr>
          <w:color w:val="000000" w:themeColor="text1"/>
          <w:szCs w:val="18"/>
        </w:rPr>
      </w:pPr>
      <w:r w:rsidRPr="00EC326F">
        <w:t>Risk classification system</w:t>
      </w:r>
      <w:r w:rsidRPr="00EC326F">
        <w:br/>
      </w:r>
      <w:r w:rsidRPr="00EC326F">
        <w:rPr>
          <w:color w:val="000000" w:themeColor="text1"/>
          <w:szCs w:val="18"/>
        </w:rPr>
        <w:t>The process of systematically arranging risks into groups or categories according to similar risk characteristics.</w:t>
      </w:r>
    </w:p>
    <w:p w14:paraId="3829968B" w14:textId="77777777" w:rsidR="00FC5A83" w:rsidRPr="00EC326F" w:rsidRDefault="00FC5A83" w:rsidP="00FC5A83">
      <w:pPr>
        <w:pStyle w:val="StyleTableTextNormal9ptText2Before3ptAfter2pt"/>
        <w:spacing w:before="120"/>
        <w:rPr>
          <w:color w:val="000000" w:themeColor="text1"/>
          <w:szCs w:val="18"/>
        </w:rPr>
      </w:pPr>
      <w:r w:rsidRPr="00EC326F">
        <w:t>Risk factors</w:t>
      </w:r>
      <w:r w:rsidRPr="00EC326F">
        <w:br/>
      </w:r>
      <w:r w:rsidRPr="00EC326F">
        <w:rPr>
          <w:color w:val="000000" w:themeColor="text1"/>
          <w:szCs w:val="18"/>
        </w:rPr>
        <w:t>See risk characteristics.</w:t>
      </w:r>
    </w:p>
    <w:p w14:paraId="2E812E5C" w14:textId="77777777" w:rsidR="00FC5A83" w:rsidRPr="00EC326F" w:rsidRDefault="00FC5A83" w:rsidP="00FC5A83">
      <w:pPr>
        <w:pStyle w:val="StyleTableTextNormal9ptText2Before3ptAfter2pt"/>
        <w:spacing w:before="120"/>
        <w:rPr>
          <w:color w:val="000000" w:themeColor="text1"/>
          <w:szCs w:val="18"/>
        </w:rPr>
      </w:pPr>
      <w:r w:rsidRPr="00EC326F">
        <w:t>Simulation</w:t>
      </w:r>
      <w:r w:rsidRPr="00EC326F">
        <w:br/>
      </w:r>
      <w:r w:rsidRPr="00EC326F">
        <w:rPr>
          <w:color w:val="000000" w:themeColor="text1"/>
          <w:szCs w:val="18"/>
        </w:rPr>
        <w:t>Simulation is the imitation of the operation of a real-world process or system over time. In the context of the actuarial valuation model, we will simulate how the payment system operates. Where the system is stochastic, multiple simulations may be used to show the range of possible outcomes.</w:t>
      </w:r>
    </w:p>
    <w:p w14:paraId="2CDC4D6C" w14:textId="77777777" w:rsidR="00FC5A83" w:rsidRPr="00EC326F" w:rsidRDefault="00FC5A83" w:rsidP="00FC5A83">
      <w:pPr>
        <w:pStyle w:val="StyleTableTextNormal9ptText2Before3ptAfter2pt"/>
        <w:spacing w:before="120"/>
        <w:rPr>
          <w:color w:val="000000" w:themeColor="text1"/>
          <w:szCs w:val="18"/>
        </w:rPr>
      </w:pPr>
      <w:r w:rsidRPr="00EC326F">
        <w:t>Static</w:t>
      </w:r>
      <w:r w:rsidRPr="00EC326F">
        <w:br/>
      </w:r>
      <w:r w:rsidRPr="00EC326F">
        <w:rPr>
          <w:color w:val="000000" w:themeColor="text1"/>
          <w:szCs w:val="18"/>
        </w:rPr>
        <w:t>A term we are using to describe information or data variables that do not change over time. (e.g. a person’s date of birth or country of birth).</w:t>
      </w:r>
    </w:p>
    <w:p w14:paraId="1A930573" w14:textId="77777777" w:rsidR="00FC5A83" w:rsidRPr="00EC326F" w:rsidRDefault="00FC5A83" w:rsidP="00FC5A83">
      <w:pPr>
        <w:pStyle w:val="StyleTableTextNormal9ptText2Before3ptAfter2pt"/>
        <w:spacing w:before="120"/>
        <w:rPr>
          <w:color w:val="000000" w:themeColor="text1"/>
          <w:szCs w:val="18"/>
        </w:rPr>
      </w:pPr>
      <w:r w:rsidRPr="00EC326F">
        <w:t>Statistics</w:t>
      </w:r>
      <w:r w:rsidRPr="00EC326F">
        <w:br/>
      </w:r>
      <w:r w:rsidRPr="00EC326F">
        <w:rPr>
          <w:color w:val="000000" w:themeColor="text1"/>
          <w:szCs w:val="18"/>
        </w:rPr>
        <w:t>The study of the collection, analysis, interpretation, presentation, and organisation of data.</w:t>
      </w:r>
    </w:p>
    <w:p w14:paraId="1544BEC2" w14:textId="77777777" w:rsidR="00FC5A83" w:rsidRPr="00EC326F" w:rsidRDefault="00FC5A83" w:rsidP="00FC5A83">
      <w:pPr>
        <w:pStyle w:val="StyleTableTextNormal9ptText2Before3ptAfter2pt"/>
        <w:spacing w:before="120"/>
        <w:rPr>
          <w:color w:val="000000" w:themeColor="text1"/>
          <w:szCs w:val="18"/>
        </w:rPr>
      </w:pPr>
      <w:r w:rsidRPr="00EC326F">
        <w:t>Stochastic</w:t>
      </w:r>
      <w:r w:rsidRPr="00EC326F">
        <w:br/>
      </w:r>
      <w:r w:rsidRPr="00EC326F">
        <w:rPr>
          <w:color w:val="000000" w:themeColor="text1"/>
          <w:szCs w:val="18"/>
        </w:rPr>
        <w:t>The term stochastic describes events or systems that are unpredictable due to the influence of random variables. A stochastic model will not produce the same output from a given starting condition or initial state even if run in the same way.</w:t>
      </w:r>
    </w:p>
    <w:p w14:paraId="0956D1E0" w14:textId="77777777" w:rsidR="00FC5A83" w:rsidRPr="00EC326F" w:rsidRDefault="00FC5A83" w:rsidP="00FC5A83">
      <w:pPr>
        <w:pStyle w:val="StyleTableTextNormal9ptText2Before3ptAfter2pt"/>
        <w:spacing w:before="120"/>
        <w:rPr>
          <w:color w:val="000000" w:themeColor="text1"/>
          <w:szCs w:val="18"/>
        </w:rPr>
      </w:pPr>
      <w:r w:rsidRPr="00EC326F">
        <w:t>Valuation</w:t>
      </w:r>
      <w:r w:rsidRPr="00EC326F">
        <w:br/>
      </w:r>
      <w:r w:rsidRPr="00EC326F">
        <w:rPr>
          <w:color w:val="000000" w:themeColor="text1"/>
          <w:szCs w:val="18"/>
        </w:rPr>
        <w:t>see Actuarial Valuation</w:t>
      </w:r>
    </w:p>
    <w:p w14:paraId="62BE3718" w14:textId="77777777" w:rsidR="00FC5A83" w:rsidRPr="00EC326F" w:rsidRDefault="00FC5A83" w:rsidP="00FC5A83">
      <w:pPr>
        <w:pStyle w:val="StyleTableTextNormal9ptText2Before3ptAfter2pt"/>
        <w:spacing w:before="120"/>
        <w:rPr>
          <w:color w:val="000000" w:themeColor="text1"/>
          <w:szCs w:val="18"/>
        </w:rPr>
      </w:pPr>
      <w:r w:rsidRPr="00EC326F">
        <w:lastRenderedPageBreak/>
        <w:t>Valuation Date</w:t>
      </w:r>
      <w:r w:rsidRPr="00EC326F">
        <w:br/>
      </w:r>
      <w:r w:rsidRPr="00EC326F">
        <w:rPr>
          <w:color w:val="000000" w:themeColor="text1"/>
          <w:szCs w:val="18"/>
        </w:rPr>
        <w:t>The reference date for the actuarial valuation. The valuation will consider the lifetime cost as at the valuation date for all payments after the valuation date.</w:t>
      </w:r>
    </w:p>
    <w:p w14:paraId="365480D1" w14:textId="77777777" w:rsidR="00FC5A83" w:rsidRPr="00EC326F" w:rsidRDefault="00FC5A83" w:rsidP="00FC5A83">
      <w:pPr>
        <w:pStyle w:val="StyleTableTextNormal9ptText2Before3ptAfter2pt"/>
        <w:spacing w:before="120"/>
        <w:rPr>
          <w:color w:val="000000" w:themeColor="text1"/>
          <w:szCs w:val="18"/>
        </w:rPr>
      </w:pPr>
      <w:r w:rsidRPr="00EC326F">
        <w:t>Valuation Results</w:t>
      </w:r>
      <w:r w:rsidRPr="00EC326F">
        <w:br/>
      </w:r>
      <w:r w:rsidRPr="00EC326F">
        <w:rPr>
          <w:color w:val="000000" w:themeColor="text1"/>
          <w:szCs w:val="18"/>
        </w:rPr>
        <w:t>The summarised outputs from the model, which will be tailored to meet the needs of different users – for example, as well as the total reported lifetime cost, results may include average lifetime cost estimates for particular groups, projected payments for each of the next five years, projected numbers of “new entrants” to the social support system from different population segments.</w:t>
      </w:r>
    </w:p>
    <w:p w14:paraId="62DE9762" w14:textId="77777777" w:rsidR="00FC5A83" w:rsidRPr="00EC326F" w:rsidRDefault="00FC5A83" w:rsidP="00FC5A83">
      <w:pPr>
        <w:pStyle w:val="StyleTableTextNormal9ptText2Before3ptAfter2pt"/>
        <w:spacing w:before="120"/>
        <w:rPr>
          <w:color w:val="000000" w:themeColor="text1"/>
          <w:szCs w:val="18"/>
        </w:rPr>
      </w:pPr>
      <w:r w:rsidRPr="00EC326F">
        <w:t>Welfare class</w:t>
      </w:r>
      <w:r w:rsidRPr="00EC326F">
        <w:br/>
      </w:r>
      <w:r w:rsidRPr="00EC326F">
        <w:rPr>
          <w:color w:val="000000" w:themeColor="text1"/>
          <w:szCs w:val="18"/>
        </w:rPr>
        <w:t>The assignation of people into unique segments used within the model. There are 12 classes: 6 for income support recipients (studying, carers, etc.)</w:t>
      </w:r>
      <w:r w:rsidR="004461F9" w:rsidRPr="00EC326F">
        <w:rPr>
          <w:color w:val="000000" w:themeColor="text1"/>
          <w:szCs w:val="18"/>
        </w:rPr>
        <w:t>,</w:t>
      </w:r>
      <w:r w:rsidRPr="00EC326F">
        <w:rPr>
          <w:color w:val="000000" w:themeColor="text1"/>
          <w:szCs w:val="18"/>
        </w:rPr>
        <w:t xml:space="preserve"> 3 for people receiving payments but no income support and 3 for the rest of the population. Each person is assigned to the single most appropriate category for each financial year.</w:t>
      </w:r>
    </w:p>
    <w:p w14:paraId="1062730E" w14:textId="77777777" w:rsidR="00FC5A83" w:rsidRPr="00EC326F" w:rsidRDefault="00FC5A83" w:rsidP="00FC5A83">
      <w:pPr>
        <w:pStyle w:val="StyleTableTextNormal9ptText2Before3ptAfter2pt"/>
        <w:spacing w:before="120"/>
        <w:rPr>
          <w:color w:val="000000" w:themeColor="text1"/>
          <w:szCs w:val="18"/>
        </w:rPr>
      </w:pPr>
      <w:r w:rsidRPr="00EC326F">
        <w:t>Welfare class assumptions</w:t>
      </w:r>
      <w:r w:rsidRPr="00EC326F">
        <w:br/>
      </w:r>
      <w:r w:rsidRPr="00EC326F">
        <w:rPr>
          <w:color w:val="000000" w:themeColor="text1"/>
          <w:szCs w:val="18"/>
        </w:rPr>
        <w:t>The assumptions which describe the probabilities with which individuals move between welfare classes.</w:t>
      </w:r>
    </w:p>
    <w:p w14:paraId="2BE49B81" w14:textId="77777777" w:rsidR="00FC5A83" w:rsidRPr="00EC326F" w:rsidRDefault="00FC5A83" w:rsidP="00FC5A83">
      <w:pPr>
        <w:pStyle w:val="StyleTableTextNormal9ptText2Before3ptAfter2pt"/>
        <w:spacing w:before="120"/>
        <w:rPr>
          <w:color w:val="000000" w:themeColor="text1"/>
          <w:szCs w:val="18"/>
        </w:rPr>
      </w:pPr>
      <w:r w:rsidRPr="00EC326F">
        <w:t>Welfare utilisation assumptions</w:t>
      </w:r>
      <w:r w:rsidRPr="00EC326F">
        <w:br/>
      </w:r>
      <w:r w:rsidRPr="00EC326F">
        <w:rPr>
          <w:color w:val="000000" w:themeColor="text1"/>
          <w:szCs w:val="18"/>
        </w:rPr>
        <w:t>A term covering both the Welfare class and Payment utilisation assumptions.</w:t>
      </w:r>
    </w:p>
    <w:p w14:paraId="7C2E7F46" w14:textId="77777777" w:rsidR="00103CDF" w:rsidRPr="002A0A1A" w:rsidRDefault="00103CDF" w:rsidP="00125F7E">
      <w:pPr>
        <w:pStyle w:val="PwCNormal"/>
      </w:pPr>
    </w:p>
    <w:p w14:paraId="1ED59159" w14:textId="77777777" w:rsidR="00727763" w:rsidRPr="00EC326F" w:rsidRDefault="00727763" w:rsidP="00125F7E">
      <w:pPr>
        <w:pStyle w:val="PwCNormal"/>
        <w:numPr>
          <w:ilvl w:val="0"/>
          <w:numId w:val="0"/>
        </w:numPr>
        <w:sectPr w:rsidR="00727763" w:rsidRPr="00EC326F" w:rsidSect="00AF5BE0">
          <w:headerReference w:type="even" r:id="rId216"/>
          <w:headerReference w:type="default" r:id="rId217"/>
          <w:footerReference w:type="even" r:id="rId218"/>
          <w:footerReference w:type="default" r:id="rId219"/>
          <w:headerReference w:type="first" r:id="rId220"/>
          <w:footerReference w:type="first" r:id="rId221"/>
          <w:pgSz w:w="11907" w:h="16840" w:code="9"/>
          <w:pgMar w:top="1588" w:right="1021" w:bottom="1418" w:left="1021" w:header="567" w:footer="567" w:gutter="0"/>
          <w:cols w:space="227"/>
          <w:docGrid w:linePitch="360"/>
        </w:sectPr>
      </w:pPr>
    </w:p>
    <w:p w14:paraId="0235D2FC" w14:textId="77777777" w:rsidR="00D6172F" w:rsidRPr="00EC326F" w:rsidRDefault="00D6172F">
      <w:pPr>
        <w:pStyle w:val="PwCNormal"/>
        <w:numPr>
          <w:ilvl w:val="0"/>
          <w:numId w:val="0"/>
        </w:numPr>
      </w:pPr>
    </w:p>
    <w:sectPr w:rsidR="00D6172F" w:rsidRPr="00EC326F" w:rsidSect="005714E3">
      <w:headerReference w:type="even" r:id="rId222"/>
      <w:headerReference w:type="default" r:id="rId223"/>
      <w:footerReference w:type="even" r:id="rId224"/>
      <w:footerReference w:type="default" r:id="rId225"/>
      <w:headerReference w:type="first" r:id="rId226"/>
      <w:footerReference w:type="first" r:id="rId227"/>
      <w:type w:val="evenPage"/>
      <w:pgSz w:w="11907" w:h="16840" w:code="9"/>
      <w:pgMar w:top="1588" w:right="1021" w:bottom="1418" w:left="1021" w:header="567" w:footer="56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42212" w14:textId="77777777" w:rsidR="001F72B3" w:rsidRDefault="001F72B3" w:rsidP="004343B3">
      <w:pPr>
        <w:pStyle w:val="Separator"/>
      </w:pPr>
      <w:r>
        <w:separator/>
      </w:r>
    </w:p>
    <w:p w14:paraId="324BFF68" w14:textId="77777777" w:rsidR="001F72B3" w:rsidRDefault="001F72B3"/>
    <w:p w14:paraId="2891FDCB" w14:textId="77777777" w:rsidR="001F72B3" w:rsidRDefault="001F72B3"/>
  </w:endnote>
  <w:endnote w:type="continuationSeparator" w:id="0">
    <w:p w14:paraId="476E911C" w14:textId="77777777" w:rsidR="001F72B3" w:rsidRDefault="001F72B3" w:rsidP="004343B3">
      <w:pPr>
        <w:pStyle w:val="Separator"/>
      </w:pPr>
      <w:r>
        <w:continuationSeparator/>
      </w:r>
    </w:p>
    <w:p w14:paraId="77C1B855" w14:textId="77777777" w:rsidR="001F72B3" w:rsidRDefault="001F72B3"/>
    <w:p w14:paraId="5DC99AED" w14:textId="77777777" w:rsidR="001F72B3" w:rsidRDefault="001F72B3"/>
  </w:endnote>
  <w:endnote w:type="continuationNotice" w:id="1">
    <w:p w14:paraId="094D3EB5" w14:textId="77777777" w:rsidR="001F72B3" w:rsidRDefault="001F72B3" w:rsidP="004343B3">
      <w:pPr>
        <w:pStyle w:val="Separator"/>
      </w:pPr>
    </w:p>
    <w:p w14:paraId="736B66B7" w14:textId="77777777" w:rsidR="001F72B3" w:rsidRDefault="001F72B3"/>
    <w:p w14:paraId="7A5066D3" w14:textId="77777777" w:rsidR="001F72B3" w:rsidRDefault="001F7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n-ea">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yriad Pro Light">
    <w:altName w:val="Corbel"/>
    <w:panose1 w:val="00000000000000000000"/>
    <w:charset w:val="00"/>
    <w:family w:val="swiss"/>
    <w:notTrueType/>
    <w:pitch w:val="variable"/>
    <w:sig w:usb0="00000001" w:usb1="5000204B"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5BB27" w14:textId="77777777" w:rsidR="005E5F09" w:rsidRPr="00A4206D" w:rsidRDefault="005E5F09" w:rsidP="0075290F">
    <w:pPr>
      <w:pStyle w:val="Footer-ToC"/>
      <w:rPr>
        <w:color w:val="000000" w:themeColor="text1"/>
      </w:rPr>
    </w:pPr>
    <w:r w:rsidRPr="0075290F">
      <w:rPr>
        <w:color w:val="E02628"/>
      </w:rPr>
      <w:fldChar w:fldCharType="begin"/>
    </w:r>
    <w:r w:rsidRPr="0075290F">
      <w:rPr>
        <w:color w:val="E02628"/>
      </w:rPr>
      <w:instrText xml:space="preserve"> PAGE  \* MERGEFORMAT </w:instrText>
    </w:r>
    <w:r w:rsidRPr="0075290F">
      <w:rPr>
        <w:color w:val="E02628"/>
      </w:rPr>
      <w:fldChar w:fldCharType="separate"/>
    </w:r>
    <w:r>
      <w:rPr>
        <w:noProof/>
        <w:color w:val="E02628"/>
      </w:rPr>
      <w:t>xviii</w:t>
    </w:r>
    <w:r w:rsidRPr="0075290F">
      <w:rPr>
        <w:noProof/>
        <w:color w:val="E02628"/>
      </w:rPr>
      <w:fldChar w:fldCharType="end"/>
    </w:r>
    <w:r w:rsidRPr="00A4206D">
      <w:rPr>
        <w:color w:val="000000" w:themeColor="text1"/>
      </w:rPr>
      <w:t xml:space="preserve"> | </w:t>
    </w:r>
    <w:r w:rsidRPr="00A4206D">
      <w:rPr>
        <w:color w:val="000000" w:themeColor="text1"/>
      </w:rPr>
      <w:fldChar w:fldCharType="begin"/>
    </w:r>
    <w:r w:rsidRPr="00A4206D">
      <w:rPr>
        <w:color w:val="000000" w:themeColor="text1"/>
      </w:rPr>
      <w:instrText xml:space="preserve"> STYLEREF "Cover Title" </w:instrText>
    </w:r>
    <w:r w:rsidRPr="00A4206D">
      <w:rPr>
        <w:color w:val="000000" w:themeColor="text1"/>
      </w:rPr>
      <w:fldChar w:fldCharType="separate"/>
    </w:r>
    <w:r>
      <w:rPr>
        <w:b/>
        <w:bCs/>
        <w:noProof/>
        <w:color w:val="000000" w:themeColor="text1"/>
        <w:lang w:val="en-US"/>
      </w:rPr>
      <w:t>Error! No text of specified style in document.</w:t>
    </w:r>
    <w:r w:rsidRPr="00A4206D">
      <w:rPr>
        <w:noProof/>
        <w:color w:val="000000" w:themeColor="text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3A18" w14:textId="77777777" w:rsidR="005E5F09" w:rsidRPr="00655CB8" w:rsidRDefault="005E5F09" w:rsidP="0075290F">
    <w:pPr>
      <w:pStyle w:val="Footer"/>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w:t>
    </w:r>
    <w:r w:rsidRPr="00A4206D">
      <w:rPr>
        <w:noProof/>
        <w:color w:val="E02628"/>
      </w:rPr>
      <w:fldChar w:fldCharType="end"/>
    </w:r>
    <w:r>
      <w:rPr>
        <w:noProof/>
      </w:rPr>
      <w:t xml:space="preserve"> | Department of Social Services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75FE6" w14:textId="77777777" w:rsidR="005E5F09" w:rsidRPr="00CD4A84" w:rsidRDefault="005E5F09" w:rsidP="00CC5ACB">
    <w:pPr>
      <w:pStyle w:val="Footer"/>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106</w:t>
    </w:r>
    <w:r w:rsidRPr="00A4206D">
      <w:rPr>
        <w:noProof/>
        <w:color w:val="E02628"/>
      </w:rPr>
      <w:fldChar w:fldCharType="end"/>
    </w:r>
    <w:r>
      <w:t xml:space="preserve"> | Department of Social Services</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7B915" w14:textId="77777777" w:rsidR="005E5F09" w:rsidRPr="00655CB8" w:rsidRDefault="005E5F09" w:rsidP="00CC5ACB">
    <w:pPr>
      <w:pStyle w:val="Footer"/>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112</w:t>
    </w:r>
    <w:r w:rsidRPr="00A4206D">
      <w:rPr>
        <w:noProof/>
        <w:color w:val="E02628"/>
      </w:rPr>
      <w:fldChar w:fldCharType="end"/>
    </w:r>
    <w:r>
      <w:rPr>
        <w:noProof/>
      </w:rPr>
      <w:t xml:space="preserve"> | Department of Social Services</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0647" w14:textId="77777777" w:rsidR="005E5F09" w:rsidRPr="00655CB8" w:rsidRDefault="005E5F09" w:rsidP="00CC5ACB">
    <w:pPr>
      <w:pStyle w:val="Footer"/>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112</w:t>
    </w:r>
    <w:r w:rsidRPr="00A4206D">
      <w:rPr>
        <w:noProof/>
        <w:color w:val="E02628"/>
      </w:rPr>
      <w:fldChar w:fldCharType="end"/>
    </w:r>
    <w:r>
      <w:rPr>
        <w:noProof/>
      </w:rPr>
      <w:t xml:space="preserve"> | Department of Social Services</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EA32E" w14:textId="77777777" w:rsidR="005E5F09" w:rsidRPr="00655CB8" w:rsidRDefault="005E5F09" w:rsidP="00CC5ACB">
    <w:pPr>
      <w:pStyle w:val="Footer"/>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112</w:t>
    </w:r>
    <w:r w:rsidRPr="00A4206D">
      <w:rPr>
        <w:noProof/>
        <w:color w:val="E02628"/>
      </w:rPr>
      <w:fldChar w:fldCharType="end"/>
    </w:r>
    <w:r>
      <w:rPr>
        <w:noProof/>
      </w:rPr>
      <w:t xml:space="preserve"> | Department of Social Services</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0CD96" w14:textId="77777777" w:rsidR="005E5F09" w:rsidRPr="00CC5ACB" w:rsidRDefault="005E5F09" w:rsidP="00CC5ACB">
    <w:pPr>
      <w:pStyle w:val="Footer-ToC"/>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119</w:t>
    </w:r>
    <w:r w:rsidRPr="00A4206D">
      <w:rPr>
        <w:noProof/>
        <w:color w:val="E02628"/>
      </w:rPr>
      <w:fldChar w:fldCharType="end"/>
    </w:r>
    <w:r w:rsidRPr="00A4206D">
      <w:rPr>
        <w:color w:val="E02628"/>
      </w:rPr>
      <w:t xml:space="preserve"> </w:t>
    </w:r>
    <w:r>
      <w:t xml:space="preserve">| </w:t>
    </w:r>
    <w:r>
      <w:fldChar w:fldCharType="begin"/>
    </w:r>
    <w:r>
      <w:instrText xml:space="preserve"> STYLEREF "Cover Title" </w:instrText>
    </w:r>
    <w:r>
      <w:fldChar w:fldCharType="separate"/>
    </w:r>
    <w:r>
      <w:rPr>
        <w:b/>
        <w:bCs/>
        <w:noProof/>
        <w:lang w:val="en-US"/>
      </w:rPr>
      <w:t>Error! No text of specified style in document.</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DFF3E" w14:textId="4D2B274B" w:rsidR="005E5F09" w:rsidRPr="00CC5ACB" w:rsidRDefault="005E5F09" w:rsidP="00CC5ACB">
    <w:pPr>
      <w:pStyle w:val="Footer"/>
      <w:jc w:val="right"/>
    </w:pPr>
    <w:r>
      <w:rPr>
        <w:noProof/>
      </w:rPr>
      <w:t xml:space="preserve">Department of Social Services | </w:t>
    </w:r>
    <w:r w:rsidRPr="00A4206D">
      <w:rPr>
        <w:color w:val="E02628"/>
      </w:rPr>
      <w:fldChar w:fldCharType="begin"/>
    </w:r>
    <w:r w:rsidRPr="00A4206D">
      <w:rPr>
        <w:color w:val="E02628"/>
      </w:rPr>
      <w:instrText xml:space="preserve"> PAGE  \* MERGEFORMAT </w:instrText>
    </w:r>
    <w:r w:rsidRPr="00A4206D">
      <w:rPr>
        <w:color w:val="E02628"/>
      </w:rPr>
      <w:fldChar w:fldCharType="separate"/>
    </w:r>
    <w:r w:rsidR="0094767F">
      <w:rPr>
        <w:noProof/>
        <w:color w:val="E02628"/>
      </w:rPr>
      <w:t>177</w:t>
    </w:r>
    <w:r w:rsidRPr="00A4206D">
      <w:rPr>
        <w:noProof/>
        <w:color w:val="E0262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2D469" w14:textId="77777777" w:rsidR="005E5F09" w:rsidRPr="008C6722" w:rsidRDefault="005E5F09" w:rsidP="00CE1D9D">
    <w:pPr>
      <w:pStyle w:val="Footer-ToC"/>
    </w:pPr>
    <w:r w:rsidRPr="009B4134">
      <w:rPr>
        <w:color w:val="EB8C00" w:themeColor="text2"/>
      </w:rPr>
      <w:fldChar w:fldCharType="begin"/>
    </w:r>
    <w:r w:rsidRPr="009B4134">
      <w:rPr>
        <w:color w:val="EB8C00" w:themeColor="text2"/>
      </w:rPr>
      <w:instrText xml:space="preserve"> PAGE  \* MERGEFORMAT </w:instrText>
    </w:r>
    <w:r w:rsidRPr="009B4134">
      <w:rPr>
        <w:color w:val="EB8C00" w:themeColor="text2"/>
      </w:rPr>
      <w:fldChar w:fldCharType="separate"/>
    </w:r>
    <w:r>
      <w:rPr>
        <w:noProof/>
        <w:color w:val="EB8C00" w:themeColor="text2"/>
      </w:rPr>
      <w:t>134</w:t>
    </w:r>
    <w:r w:rsidRPr="009B4134">
      <w:rPr>
        <w:noProof/>
        <w:color w:val="EB8C00" w:themeColor="text2"/>
      </w:rPr>
      <w:fldChar w:fldCharType="end"/>
    </w:r>
    <w:r>
      <w:t xml:space="preserve"> | </w:t>
    </w:r>
    <w:r>
      <w:fldChar w:fldCharType="begin"/>
    </w:r>
    <w:r>
      <w:instrText xml:space="preserve"> STYLEREF "Cover Title" </w:instrText>
    </w:r>
    <w:r>
      <w:fldChar w:fldCharType="separate"/>
    </w:r>
    <w:r>
      <w:rPr>
        <w:b/>
        <w:bCs/>
        <w:noProof/>
        <w:lang w:val="en-US"/>
      </w:rPr>
      <w:t>Error! No text of specified style in document.</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7C4BD" w14:textId="3069B1C3" w:rsidR="005E5F09" w:rsidRPr="001675BA" w:rsidRDefault="005E5F09" w:rsidP="001675BA">
    <w:pPr>
      <w:pStyle w:val="Footer-ToC"/>
      <w:jc w:val="right"/>
    </w:pPr>
    <w:r>
      <w:rPr>
        <w:noProof/>
      </w:rPr>
      <w:t>Department of Social Services |</w:t>
    </w:r>
    <w:r w:rsidRPr="009B4134">
      <w:rPr>
        <w:noProof/>
        <w:color w:val="EB8C00" w:themeColor="text2"/>
      </w:rPr>
      <w:t xml:space="preserve"> </w:t>
    </w:r>
    <w:r w:rsidRPr="00A4206D">
      <w:rPr>
        <w:color w:val="E02628"/>
      </w:rPr>
      <w:fldChar w:fldCharType="begin"/>
    </w:r>
    <w:r w:rsidRPr="00A4206D">
      <w:rPr>
        <w:color w:val="E02628"/>
      </w:rPr>
      <w:instrText xml:space="preserve"> PAGE  \* MERGEFORMAT </w:instrText>
    </w:r>
    <w:r w:rsidRPr="00A4206D">
      <w:rPr>
        <w:color w:val="E02628"/>
      </w:rPr>
      <w:fldChar w:fldCharType="separate"/>
    </w:r>
    <w:r w:rsidR="0094767F">
      <w:rPr>
        <w:noProof/>
        <w:color w:val="E02628"/>
      </w:rPr>
      <w:t>190</w:t>
    </w:r>
    <w:r w:rsidRPr="00A4206D">
      <w:rPr>
        <w:noProof/>
        <w:color w:val="E0262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882" w:name="_Toc441682813"/>
  <w:bookmarkStart w:id="883" w:name="_Toc290460141"/>
  <w:bookmarkStart w:id="884" w:name="_Toc292795890"/>
  <w:bookmarkStart w:id="885" w:name="_Toc292795900"/>
  <w:bookmarkStart w:id="886" w:name="_Toc292795947"/>
  <w:bookmarkStart w:id="887" w:name="_Toc292795954"/>
  <w:bookmarkStart w:id="888" w:name="_Toc294534323"/>
  <w:bookmarkStart w:id="889" w:name="_Toc326144379"/>
  <w:bookmarkStart w:id="890" w:name="_Toc326144425"/>
  <w:bookmarkStart w:id="891" w:name="_Toc326144496"/>
  <w:bookmarkStart w:id="892" w:name="_Toc326144518"/>
  <w:bookmarkStart w:id="893" w:name="_Toc326144577"/>
  <w:bookmarkStart w:id="894" w:name="_Toc326144612"/>
  <w:bookmarkStart w:id="895" w:name="_Toc326144706"/>
  <w:bookmarkStart w:id="896" w:name="ExecSum"/>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14:paraId="318672FA" w14:textId="77777777" w:rsidR="005E5F09" w:rsidRPr="001675BA" w:rsidRDefault="005E5F09" w:rsidP="001675BA">
    <w:pPr>
      <w:pStyle w:val="Footer-ToC"/>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132</w:t>
    </w:r>
    <w:r w:rsidRPr="00A4206D">
      <w:rPr>
        <w:noProof/>
        <w:color w:val="E02628"/>
      </w:rPr>
      <w:fldChar w:fldCharType="end"/>
    </w:r>
    <w:r w:rsidRPr="00A4206D">
      <w:rPr>
        <w:color w:val="E02628"/>
      </w:rPr>
      <w:t xml:space="preserve"> </w:t>
    </w:r>
    <w:r>
      <w:t xml:space="preserve">| </w:t>
    </w:r>
    <w:r>
      <w:fldChar w:fldCharType="begin"/>
    </w:r>
    <w:r>
      <w:instrText xml:space="preserve"> STYLEREF "Cover Title" </w:instrText>
    </w:r>
    <w:r>
      <w:fldChar w:fldCharType="separate"/>
    </w:r>
    <w:r>
      <w:rPr>
        <w:b/>
        <w:bCs/>
        <w:noProof/>
        <w:lang w:val="en-US"/>
      </w:rPr>
      <w:t>Error! No text of specified style in document.</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052DD" w14:textId="0FE2F4E6" w:rsidR="005E5F09" w:rsidRPr="00A4206D" w:rsidRDefault="005E5F09" w:rsidP="0075290F">
    <w:pPr>
      <w:pStyle w:val="Footer-ToC"/>
      <w:jc w:val="right"/>
      <w:rPr>
        <w:color w:val="000000" w:themeColor="text1"/>
      </w:rPr>
    </w:pPr>
    <w:r>
      <w:rPr>
        <w:noProof/>
        <w:color w:val="000000" w:themeColor="text1"/>
      </w:rPr>
      <w:t xml:space="preserve">Department of Social Services </w:t>
    </w:r>
    <w:r w:rsidRPr="00A4206D">
      <w:rPr>
        <w:noProof/>
        <w:color w:val="000000" w:themeColor="text1"/>
      </w:rPr>
      <w:t xml:space="preserve">| </w:t>
    </w:r>
    <w:r w:rsidRPr="0075290F">
      <w:rPr>
        <w:color w:val="E02628"/>
      </w:rPr>
      <w:fldChar w:fldCharType="begin"/>
    </w:r>
    <w:r w:rsidRPr="0075290F">
      <w:rPr>
        <w:color w:val="E02628"/>
      </w:rPr>
      <w:instrText xml:space="preserve"> PAGE  \* MERGEFORMAT </w:instrText>
    </w:r>
    <w:r w:rsidRPr="0075290F">
      <w:rPr>
        <w:color w:val="E02628"/>
      </w:rPr>
      <w:fldChar w:fldCharType="separate"/>
    </w:r>
    <w:r w:rsidR="0094767F">
      <w:rPr>
        <w:noProof/>
        <w:color w:val="E02628"/>
      </w:rPr>
      <w:t>iii</w:t>
    </w:r>
    <w:r w:rsidRPr="0075290F">
      <w:rPr>
        <w:noProof/>
        <w:color w:val="E0262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3B0DA" w14:textId="77777777" w:rsidR="005E5F09" w:rsidRDefault="005E5F09" w:rsidP="00CD4A84">
    <w:pPr>
      <w:pStyle w:val="Copyright"/>
      <w:framePr w:wrap="around"/>
    </w:pPr>
    <w:r w:rsidRPr="00CD4A84">
      <w:t>© 201</w:t>
    </w:r>
    <w:r>
      <w:t>6</w:t>
    </w:r>
    <w:r w:rsidRPr="00CD4A84">
      <w:t xml:space="preserve"> PricewaterhouseCoopers. All rights reserved.</w:t>
    </w:r>
    <w:r w:rsidRPr="00CD4A84">
      <w:br/>
      <w:t>PwC refers to the Australian member firm, and may sometimes refer to the PwC network.</w:t>
    </w:r>
    <w:r w:rsidRPr="00CD4A84">
      <w:br/>
      <w:t>Each member firm is a separate legal entity. Please see www.pwc.com/structure for further details.</w:t>
    </w:r>
  </w:p>
  <w:p w14:paraId="19048EAA" w14:textId="77777777" w:rsidR="005E5F09" w:rsidRDefault="005E5F09" w:rsidP="00CD4A84">
    <w:pPr>
      <w:pStyle w:val="Copyright"/>
      <w:framePr w:wrap="around"/>
    </w:pPr>
    <w:r>
      <w:t>Liability is limited by a scheme approved under Professional Standards Legislation.</w:t>
    </w:r>
  </w:p>
  <w:p w14:paraId="5EE1BFC9" w14:textId="77777777" w:rsidR="005E5F09" w:rsidRPr="00CD4A84" w:rsidRDefault="005E5F09" w:rsidP="00025538">
    <w:pPr>
      <w:pStyle w:val="Copyright"/>
      <w:framePr w:h="2079" w:hRule="exact" w:wrap="around" w:x="1021" w:y="14048"/>
    </w:pPr>
    <w:r w:rsidRPr="00025538">
      <w:t>The opinions, comments or analysis expressed in this document are those of the author or authors and do not necessarily represent the views of the Department or the Minister for Social Services, and cannot be taken in any way as expressions of government policy.</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1C04" w14:textId="77777777" w:rsidR="005E5F09" w:rsidRPr="00A175AE" w:rsidRDefault="005E5F09" w:rsidP="00A175AE">
    <w:pPr>
      <w:pStyle w:val="Copyright"/>
      <w:framePr w:w="0" w:wrap="auto" w:vAnchor="margin" w:hAnchor="text" w:xAlign="left" w:yAlign="inline"/>
    </w:pPr>
    <w:r w:rsidRPr="00A175AE">
      <w:t>The opinions, comments or analysis expressed in this document are those of the author or authors and do not necessarily represent the views of the Department or the Minister for Social Services, and cannot be taken in any way as expressions of government policy.</w:t>
    </w:r>
  </w:p>
  <w:p w14:paraId="33DA8272" w14:textId="77777777" w:rsidR="005E5F09" w:rsidRPr="00A175AE" w:rsidRDefault="005E5F09" w:rsidP="00A175AE">
    <w:pPr>
      <w:pStyle w:val="Copyright"/>
      <w:framePr w:w="0" w:wrap="auto" w:vAnchor="margin" w:hAnchor="text" w:xAlign="left" w:yAlign="inline"/>
    </w:pPr>
    <w:r w:rsidRPr="00A175AE">
      <w:t>© 2016 PricewaterhouseCoopers. All rights reserved.</w:t>
    </w:r>
    <w:r w:rsidRPr="00A175AE">
      <w:br/>
      <w:t>PwC refers to the Australian member firm, and may sometimes refer to the PwC network.</w:t>
    </w:r>
    <w:r w:rsidRPr="00A175AE">
      <w:br/>
      <w:t>Each member firm is a separate legal entity. Please see www.pwc.com/structure for further details.</w:t>
    </w:r>
  </w:p>
  <w:p w14:paraId="60CB23B5" w14:textId="77777777" w:rsidR="005E5F09" w:rsidRPr="00A175AE" w:rsidRDefault="005E5F09" w:rsidP="00A175AE">
    <w:pPr>
      <w:pStyle w:val="Copyright"/>
      <w:framePr w:w="0" w:wrap="auto" w:vAnchor="margin" w:hAnchor="text" w:xAlign="left" w:yAlign="inline"/>
    </w:pPr>
    <w:r w:rsidRPr="00A175AE">
      <w:t>Liability is limited by a scheme approved under Professional Standards Legislation.</w:t>
    </w:r>
  </w:p>
  <w:p w14:paraId="6C25BDDA" w14:textId="77777777" w:rsidR="005E5F09" w:rsidRPr="001675BA" w:rsidRDefault="005E5F09" w:rsidP="0073669D">
    <w:pPr>
      <w:pStyle w:val="Footer-ToC"/>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D4DE" w14:textId="77777777" w:rsidR="005E5F09" w:rsidRPr="00A84ADF" w:rsidRDefault="005E5F09" w:rsidP="00C03E52">
    <w:pPr>
      <w:pStyle w:val="Copyright"/>
      <w:framePr w:wrap="around" w:x="974" w:y="14943"/>
    </w:pPr>
    <w:r>
      <w:t>© 2015 PricewaterhouseCoopers. All rights reserved.</w:t>
    </w:r>
    <w:r>
      <w:br/>
      <w:t>PwC refers to the Australian member firm, and may sometimes refer to the PwC network.</w:t>
    </w:r>
    <w:r>
      <w:br/>
      <w:t>Each member firm is a separate legal entity. Please see www.pwc.com/structure for further details.</w:t>
    </w:r>
    <w:r>
      <w:br/>
    </w:r>
    <w:r>
      <w:br/>
      <w:t>Liability limited by a scheme approved under Professional Standards Legislation</w:t>
    </w:r>
  </w:p>
  <w:p w14:paraId="49870E42" w14:textId="77777777" w:rsidR="005E5F09" w:rsidRPr="006650EF" w:rsidRDefault="005E5F09" w:rsidP="00C03E52">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CBBAE" w14:textId="377BA700" w:rsidR="005E5F09" w:rsidRPr="00CD4A84" w:rsidRDefault="005E5F09" w:rsidP="008D5428">
    <w:pPr>
      <w:pStyle w:val="Footer"/>
    </w:pPr>
    <w:r w:rsidRPr="00CD4A84">
      <w:fldChar w:fldCharType="begin"/>
    </w:r>
    <w:r w:rsidRPr="00CD4A84">
      <w:instrText xml:space="preserve"> IF </w:instrText>
    </w:r>
    <w:r w:rsidRPr="00CD4A84">
      <w:fldChar w:fldCharType="begin"/>
    </w:r>
    <w:r w:rsidRPr="00CD4A84">
      <w:instrText xml:space="preserve"> =mod( </w:instrText>
    </w:r>
    <w:r w:rsidRPr="00CD4A84">
      <w:fldChar w:fldCharType="begin"/>
    </w:r>
    <w:r w:rsidRPr="00CD4A84">
      <w:instrText xml:space="preserve"> PAGE \* Arabic </w:instrText>
    </w:r>
    <w:r w:rsidRPr="00CD4A84">
      <w:fldChar w:fldCharType="separate"/>
    </w:r>
    <w:r>
      <w:rPr>
        <w:noProof/>
      </w:rPr>
      <w:instrText>12</w:instrText>
    </w:r>
    <w:r w:rsidRPr="00CD4A84">
      <w:fldChar w:fldCharType="end"/>
    </w:r>
    <w:r w:rsidRPr="00CD4A84">
      <w:instrText xml:space="preserve"> ,2) </w:instrText>
    </w:r>
    <w:r w:rsidRPr="00CD4A84">
      <w:fldChar w:fldCharType="separate"/>
    </w:r>
    <w:r>
      <w:rPr>
        <w:noProof/>
      </w:rPr>
      <w:instrText>0.0</w:instrText>
    </w:r>
    <w:r w:rsidRPr="00CD4A84">
      <w:fldChar w:fldCharType="end"/>
    </w:r>
    <w:r w:rsidRPr="00CD4A84">
      <w:instrText xml:space="preserve"> = "1" "</w:instrText>
    </w:r>
    <w:r w:rsidRPr="00CD4A84">
      <w:rPr>
        <w:color w:val="EB8C00" w:themeColor="text2"/>
      </w:rPr>
      <w:fldChar w:fldCharType="begin"/>
    </w:r>
    <w:r w:rsidRPr="00CD4A84">
      <w:rPr>
        <w:color w:val="EB8C00" w:themeColor="text2"/>
      </w:rPr>
      <w:instrText xml:space="preserve"> PAGE  \* MERGEFORMAT </w:instrText>
    </w:r>
    <w:r w:rsidRPr="00CD4A84">
      <w:rPr>
        <w:color w:val="EB8C00" w:themeColor="text2"/>
      </w:rPr>
      <w:fldChar w:fldCharType="separate"/>
    </w:r>
    <w:r>
      <w:rPr>
        <w:noProof/>
        <w:color w:val="EB8C00" w:themeColor="text2"/>
      </w:rPr>
      <w:instrText>xi</w:instrText>
    </w:r>
    <w:r w:rsidRPr="00CD4A84">
      <w:rPr>
        <w:color w:val="EB8C00" w:themeColor="text2"/>
      </w:rPr>
      <w:fldChar w:fldCharType="end"/>
    </w:r>
    <w:r w:rsidRPr="00CD4A84">
      <w:instrText xml:space="preserve"> </w:instrText>
    </w:r>
    <w:r w:rsidRPr="008D5428">
      <w:rPr>
        <w:color w:val="FFFFFF" w:themeColor="background1"/>
      </w:rPr>
      <w:instrText xml:space="preserve">| </w:instrText>
    </w:r>
    <w:r w:rsidRPr="008D5428">
      <w:rPr>
        <w:color w:val="FFFFFF" w:themeColor="background1"/>
      </w:rPr>
      <w:fldChar w:fldCharType="begin"/>
    </w:r>
    <w:r w:rsidRPr="008D5428">
      <w:rPr>
        <w:color w:val="FFFFFF" w:themeColor="background1"/>
      </w:rPr>
      <w:instrText xml:space="preserve"> STYLEREF "Cover Title" </w:instrText>
    </w:r>
    <w:r w:rsidRPr="008D5428">
      <w:rPr>
        <w:color w:val="FFFFFF" w:themeColor="background1"/>
      </w:rPr>
      <w:fldChar w:fldCharType="separate"/>
    </w:r>
    <w:r>
      <w:rPr>
        <w:noProof/>
        <w:color w:val="FFFFFF" w:themeColor="background1"/>
      </w:rPr>
      <w:instrText>Department of Social Services</w:instrText>
    </w:r>
    <w:r w:rsidRPr="008D5428">
      <w:rPr>
        <w:color w:val="FFFFFF" w:themeColor="background1"/>
      </w:rPr>
      <w:fldChar w:fldCharType="end"/>
    </w:r>
    <w:r w:rsidRPr="00CD4A84">
      <w:instrText>""</w:instrText>
    </w:r>
    <w:r w:rsidRPr="00CD4A84">
      <w:ptab w:relativeTo="margin" w:alignment="left" w:leader="none"/>
    </w:r>
    <w:r w:rsidRPr="008D5428">
      <w:rPr>
        <w:color w:val="FFFFFF" w:themeColor="background1"/>
      </w:rPr>
      <w:fldChar w:fldCharType="begin"/>
    </w:r>
    <w:r w:rsidRPr="008D5428">
      <w:rPr>
        <w:color w:val="FFFFFF" w:themeColor="background1"/>
      </w:rPr>
      <w:instrText xml:space="preserve"> STYLEREF "Cover Title" </w:instrText>
    </w:r>
    <w:r w:rsidRPr="008D5428">
      <w:rPr>
        <w:color w:val="FFFFFF" w:themeColor="background1"/>
      </w:rPr>
      <w:fldChar w:fldCharType="separate"/>
    </w:r>
    <w:r>
      <w:rPr>
        <w:b/>
        <w:bCs/>
        <w:noProof/>
        <w:color w:val="FFFFFF" w:themeColor="background1"/>
        <w:lang w:val="en-US"/>
      </w:rPr>
      <w:instrText>Error! No text of specified style in document.</w:instrText>
    </w:r>
    <w:r w:rsidRPr="008D5428">
      <w:rPr>
        <w:color w:val="FFFFFF" w:themeColor="background1"/>
      </w:rPr>
      <w:fldChar w:fldCharType="end"/>
    </w:r>
    <w:r w:rsidRPr="008D5428">
      <w:rPr>
        <w:color w:val="FFFFFF" w:themeColor="background1"/>
      </w:rPr>
      <w:instrText xml:space="preserve"> |</w:instrText>
    </w:r>
    <w:r w:rsidRPr="00CD4A84">
      <w:instrText xml:space="preserve"> </w:instrText>
    </w:r>
    <w:r w:rsidRPr="00CD4A84">
      <w:rPr>
        <w:color w:val="EB8C00" w:themeColor="text2"/>
      </w:rPr>
      <w:fldChar w:fldCharType="begin"/>
    </w:r>
    <w:r w:rsidRPr="00CD4A84">
      <w:rPr>
        <w:color w:val="EB8C00" w:themeColor="text2"/>
      </w:rPr>
      <w:instrText xml:space="preserve"> PAGE  \* MERGEFORMAT </w:instrText>
    </w:r>
    <w:r w:rsidRPr="00CD4A84">
      <w:rPr>
        <w:color w:val="EB8C00" w:themeColor="text2"/>
      </w:rPr>
      <w:fldChar w:fldCharType="separate"/>
    </w:r>
    <w:r>
      <w:rPr>
        <w:noProof/>
        <w:color w:val="EB8C00" w:themeColor="text2"/>
      </w:rPr>
      <w:instrText>xii</w:instrText>
    </w:r>
    <w:r w:rsidRPr="00CD4A84">
      <w:rPr>
        <w:color w:val="EB8C00" w:themeColor="text2"/>
      </w:rPr>
      <w:fldChar w:fldCharType="end"/>
    </w:r>
    <w:r w:rsidRPr="00CD4A84">
      <w:instrText xml:space="preserve"> </w:instrText>
    </w:r>
    <w:r w:rsidRPr="00CD4A84">
      <w:fldChar w:fldCharType="separate"/>
    </w:r>
    <w:r w:rsidRPr="00CD4A84">
      <w:rPr>
        <w:noProof/>
      </w:rPr>
      <w:ptab w:relativeTo="margin" w:alignment="left" w:leader="none"/>
    </w:r>
    <w:r>
      <w:rPr>
        <w:b/>
        <w:bCs/>
        <w:noProof/>
        <w:color w:val="FFFFFF" w:themeColor="background1"/>
        <w:lang w:val="en-US"/>
      </w:rPr>
      <w:t>Error! No text of specified style in document.</w:t>
    </w:r>
    <w:r w:rsidRPr="008D5428">
      <w:rPr>
        <w:noProof/>
        <w:color w:val="FFFFFF" w:themeColor="background1"/>
      </w:rPr>
      <w:t xml:space="preserve"> |</w:t>
    </w:r>
    <w:r w:rsidRPr="00CD4A84">
      <w:rPr>
        <w:noProof/>
      </w:rPr>
      <w:t xml:space="preserve"> </w:t>
    </w:r>
    <w:r>
      <w:rPr>
        <w:noProof/>
        <w:color w:val="EB8C00" w:themeColor="text2"/>
      </w:rPr>
      <w:t>xii</w:t>
    </w:r>
    <w:r w:rsidRPr="00CD4A84">
      <w:rPr>
        <w:noProof/>
      </w:rPr>
      <w:t xml:space="preserve"> </w:t>
    </w:r>
    <w:r w:rsidRPr="00CD4A8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340BB" w14:textId="77777777" w:rsidR="005E5F09" w:rsidRPr="00A4206D" w:rsidRDefault="005E5F09" w:rsidP="00CE1D9D">
    <w:pPr>
      <w:pStyle w:val="Footer-ToC"/>
      <w:rPr>
        <w:color w:val="000000" w:themeColor="text1"/>
      </w:rPr>
    </w:pPr>
    <w:r w:rsidRPr="0075290F">
      <w:rPr>
        <w:color w:val="E02628"/>
      </w:rPr>
      <w:fldChar w:fldCharType="begin"/>
    </w:r>
    <w:r w:rsidRPr="0075290F">
      <w:rPr>
        <w:color w:val="E02628"/>
      </w:rPr>
      <w:instrText xml:space="preserve"> PAGE  \* MERGEFORMAT </w:instrText>
    </w:r>
    <w:r w:rsidRPr="0075290F">
      <w:rPr>
        <w:color w:val="E02628"/>
      </w:rPr>
      <w:fldChar w:fldCharType="separate"/>
    </w:r>
    <w:r>
      <w:rPr>
        <w:noProof/>
        <w:color w:val="E02628"/>
      </w:rPr>
      <w:t>ii</w:t>
    </w:r>
    <w:r w:rsidRPr="0075290F">
      <w:rPr>
        <w:noProof/>
        <w:color w:val="E02628"/>
      </w:rPr>
      <w:fldChar w:fldCharType="end"/>
    </w:r>
    <w:r w:rsidRPr="00A4206D">
      <w:rPr>
        <w:color w:val="000000" w:themeColor="text1"/>
      </w:rPr>
      <w:t xml:space="preserve"> | </w:t>
    </w:r>
    <w:r w:rsidRPr="00A4206D">
      <w:rPr>
        <w:color w:val="000000" w:themeColor="text1"/>
      </w:rPr>
      <w:fldChar w:fldCharType="begin"/>
    </w:r>
    <w:r w:rsidRPr="00A4206D">
      <w:rPr>
        <w:color w:val="000000" w:themeColor="text1"/>
      </w:rPr>
      <w:instrText xml:space="preserve"> STYLEREF "Cover Title" </w:instrText>
    </w:r>
    <w:r w:rsidRPr="00A4206D">
      <w:rPr>
        <w:color w:val="000000" w:themeColor="text1"/>
      </w:rPr>
      <w:fldChar w:fldCharType="separate"/>
    </w:r>
    <w:r>
      <w:rPr>
        <w:b/>
        <w:bCs/>
        <w:noProof/>
        <w:color w:val="000000" w:themeColor="text1"/>
        <w:lang w:val="en-US"/>
      </w:rPr>
      <w:t>Error! No text of specified style in document.</w:t>
    </w:r>
    <w:r w:rsidRPr="00A4206D">
      <w:rPr>
        <w:noProof/>
        <w:color w:val="000000" w:themeColor="tex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80C3D" w14:textId="535EFF43" w:rsidR="005E5F09" w:rsidRPr="00A4206D" w:rsidRDefault="005E5F09" w:rsidP="00CE1D9D">
    <w:pPr>
      <w:pStyle w:val="Footer-ToC"/>
      <w:jc w:val="right"/>
      <w:rPr>
        <w:color w:val="000000" w:themeColor="text1"/>
      </w:rPr>
    </w:pPr>
    <w:r>
      <w:rPr>
        <w:noProof/>
        <w:color w:val="000000" w:themeColor="text1"/>
      </w:rPr>
      <w:t>Department of Social Services</w:t>
    </w:r>
    <w:r w:rsidRPr="00A4206D">
      <w:rPr>
        <w:noProof/>
        <w:color w:val="000000" w:themeColor="text1"/>
      </w:rPr>
      <w:t xml:space="preserve"> | </w:t>
    </w:r>
    <w:r w:rsidRPr="0075290F">
      <w:rPr>
        <w:color w:val="E02628"/>
      </w:rPr>
      <w:fldChar w:fldCharType="begin"/>
    </w:r>
    <w:r w:rsidRPr="0075290F">
      <w:rPr>
        <w:color w:val="E02628"/>
      </w:rPr>
      <w:instrText xml:space="preserve"> PAGE  \* MERGEFORMAT </w:instrText>
    </w:r>
    <w:r w:rsidRPr="0075290F">
      <w:rPr>
        <w:color w:val="E02628"/>
      </w:rPr>
      <w:fldChar w:fldCharType="separate"/>
    </w:r>
    <w:r w:rsidR="0094767F">
      <w:rPr>
        <w:noProof/>
        <w:color w:val="E02628"/>
      </w:rPr>
      <w:t>14</w:t>
    </w:r>
    <w:r w:rsidRPr="0075290F">
      <w:rPr>
        <w:noProof/>
        <w:color w:val="E026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A41BB" w14:textId="1E98F636" w:rsidR="005E5F09" w:rsidRPr="00CD4A84" w:rsidRDefault="005E5F09" w:rsidP="001F627D">
    <w:pPr>
      <w:pStyle w:val="Footer"/>
    </w:pPr>
    <w:r w:rsidRPr="00CD4A84">
      <w:fldChar w:fldCharType="begin"/>
    </w:r>
    <w:r w:rsidRPr="00CD4A84">
      <w:instrText xml:space="preserve"> IF </w:instrText>
    </w:r>
    <w:r w:rsidRPr="00CD4A84">
      <w:fldChar w:fldCharType="begin"/>
    </w:r>
    <w:r w:rsidRPr="00CD4A84">
      <w:instrText xml:space="preserve"> =mod( </w:instrText>
    </w:r>
    <w:r w:rsidRPr="00CD4A84">
      <w:fldChar w:fldCharType="begin"/>
    </w:r>
    <w:r w:rsidRPr="00CD4A84">
      <w:instrText xml:space="preserve"> PAGE \* Arabic </w:instrText>
    </w:r>
    <w:r w:rsidRPr="00CD4A84">
      <w:fldChar w:fldCharType="separate"/>
    </w:r>
    <w:r>
      <w:rPr>
        <w:noProof/>
      </w:rPr>
      <w:instrText>1</w:instrText>
    </w:r>
    <w:r w:rsidRPr="00CD4A84">
      <w:fldChar w:fldCharType="end"/>
    </w:r>
    <w:r w:rsidRPr="00CD4A84">
      <w:instrText xml:space="preserve"> ,2) </w:instrText>
    </w:r>
    <w:r w:rsidRPr="00CD4A84">
      <w:fldChar w:fldCharType="separate"/>
    </w:r>
    <w:r>
      <w:rPr>
        <w:noProof/>
      </w:rPr>
      <w:instrText>1</w:instrText>
    </w:r>
    <w:r w:rsidRPr="00CD4A84">
      <w:fldChar w:fldCharType="end"/>
    </w:r>
    <w:r w:rsidRPr="00CD4A84">
      <w:instrText xml:space="preserve"> = "1" "</w:instrText>
    </w:r>
    <w:r>
      <w:ptab w:relativeTo="margin" w:alignment="right" w:leader="none"/>
    </w:r>
    <w:r w:rsidRPr="00CE1D9D">
      <w:rPr>
        <w:color w:val="FFFFFF" w:themeColor="background1"/>
      </w:rPr>
      <w:fldChar w:fldCharType="begin"/>
    </w:r>
    <w:r w:rsidRPr="00CE1D9D">
      <w:rPr>
        <w:color w:val="FFFFFF" w:themeColor="background1"/>
      </w:rPr>
      <w:instrText xml:space="preserve"> STYLEREF "Cover Title" </w:instrText>
    </w:r>
    <w:r w:rsidRPr="00CE1D9D">
      <w:rPr>
        <w:color w:val="FFFFFF" w:themeColor="background1"/>
      </w:rPr>
      <w:fldChar w:fldCharType="separate"/>
    </w:r>
    <w:r>
      <w:rPr>
        <w:b/>
        <w:bCs/>
        <w:noProof/>
        <w:color w:val="FFFFFF" w:themeColor="background1"/>
        <w:lang w:val="en-US"/>
      </w:rPr>
      <w:instrText>Error! No text of specified style in document.</w:instrText>
    </w:r>
    <w:r w:rsidRPr="00CE1D9D">
      <w:rPr>
        <w:color w:val="FFFFFF" w:themeColor="background1"/>
      </w:rPr>
      <w:fldChar w:fldCharType="end"/>
    </w:r>
    <w:r w:rsidRPr="00CE1D9D">
      <w:rPr>
        <w:color w:val="FFFFFF" w:themeColor="background1"/>
      </w:rPr>
      <w:instrText xml:space="preserve"> |</w:instrText>
    </w:r>
    <w:r w:rsidRPr="00CD4A84">
      <w:instrText xml:space="preserve"> </w:instrText>
    </w:r>
    <w:r w:rsidRPr="00CD4A84">
      <w:rPr>
        <w:color w:val="EB8C00" w:themeColor="text2"/>
      </w:rPr>
      <w:fldChar w:fldCharType="begin"/>
    </w:r>
    <w:r w:rsidRPr="00CD4A84">
      <w:rPr>
        <w:color w:val="EB8C00" w:themeColor="text2"/>
      </w:rPr>
      <w:instrText xml:space="preserve"> PAGE  \* MERGEFORMAT </w:instrText>
    </w:r>
    <w:r w:rsidRPr="00CD4A84">
      <w:rPr>
        <w:color w:val="EB8C00" w:themeColor="text2"/>
      </w:rPr>
      <w:fldChar w:fldCharType="separate"/>
    </w:r>
    <w:r>
      <w:rPr>
        <w:noProof/>
        <w:color w:val="EB8C00" w:themeColor="text2"/>
      </w:rPr>
      <w:instrText>i</w:instrText>
    </w:r>
    <w:r w:rsidRPr="00CD4A84">
      <w:rPr>
        <w:color w:val="EB8C00" w:themeColor="text2"/>
      </w:rPr>
      <w:fldChar w:fldCharType="end"/>
    </w:r>
    <w:r>
      <w:rPr>
        <w:color w:val="EB8C00" w:themeColor="text2"/>
      </w:rPr>
      <w:instrText xml:space="preserve">" </w:instrText>
    </w:r>
    <w:r w:rsidRPr="00CD4A84">
      <w:instrText>"</w:instrText>
    </w:r>
    <w:r w:rsidRPr="00CD4A84">
      <w:rPr>
        <w:color w:val="EB8C00" w:themeColor="text2"/>
      </w:rPr>
      <w:fldChar w:fldCharType="begin"/>
    </w:r>
    <w:r w:rsidRPr="00CD4A84">
      <w:rPr>
        <w:color w:val="EB8C00" w:themeColor="text2"/>
      </w:rPr>
      <w:instrText xml:space="preserve"> PAGE  \* MERGEFORMAT </w:instrText>
    </w:r>
    <w:r w:rsidRPr="00CD4A84">
      <w:rPr>
        <w:color w:val="EB8C00" w:themeColor="text2"/>
      </w:rPr>
      <w:fldChar w:fldCharType="separate"/>
    </w:r>
    <w:r>
      <w:rPr>
        <w:noProof/>
        <w:color w:val="EB8C00" w:themeColor="text2"/>
      </w:rPr>
      <w:instrText>i</w:instrText>
    </w:r>
    <w:r w:rsidRPr="00CD4A84">
      <w:rPr>
        <w:color w:val="EB8C00" w:themeColor="text2"/>
      </w:rPr>
      <w:fldChar w:fldCharType="end"/>
    </w:r>
    <w:r w:rsidRPr="00CD4A84">
      <w:instrText xml:space="preserve"> </w:instrText>
    </w:r>
    <w:r w:rsidRPr="00CE1D9D">
      <w:rPr>
        <w:color w:val="FFFFFF" w:themeColor="background1"/>
      </w:rPr>
      <w:instrText xml:space="preserve">| </w:instrText>
    </w:r>
    <w:r w:rsidRPr="00CE1D9D">
      <w:rPr>
        <w:color w:val="FFFFFF" w:themeColor="background1"/>
      </w:rPr>
      <w:fldChar w:fldCharType="begin"/>
    </w:r>
    <w:r w:rsidRPr="00CE1D9D">
      <w:rPr>
        <w:color w:val="FFFFFF" w:themeColor="background1"/>
      </w:rPr>
      <w:instrText xml:space="preserve"> STYLEREF "Cover Title" </w:instrText>
    </w:r>
    <w:r w:rsidRPr="00CE1D9D">
      <w:rPr>
        <w:color w:val="FFFFFF" w:themeColor="background1"/>
      </w:rPr>
      <w:fldChar w:fldCharType="separate"/>
    </w:r>
    <w:r>
      <w:rPr>
        <w:noProof/>
        <w:color w:val="FFFFFF" w:themeColor="background1"/>
      </w:rPr>
      <w:instrText>Department of Social Services</w:instrText>
    </w:r>
    <w:r w:rsidRPr="00CE1D9D">
      <w:rPr>
        <w:color w:val="FFFFFF" w:themeColor="background1"/>
      </w:rPr>
      <w:fldChar w:fldCharType="end"/>
    </w:r>
    <w:r w:rsidRPr="00CD4A84">
      <w:instrText xml:space="preserve">" </w:instrText>
    </w:r>
    <w:r w:rsidRPr="00CD4A84">
      <w:fldChar w:fldCharType="separate"/>
    </w:r>
    <w:r>
      <w:rPr>
        <w:noProof/>
      </w:rPr>
      <w:ptab w:relativeTo="margin" w:alignment="right" w:leader="none"/>
    </w:r>
    <w:r>
      <w:rPr>
        <w:b/>
        <w:bCs/>
        <w:noProof/>
        <w:color w:val="FFFFFF" w:themeColor="background1"/>
        <w:lang w:val="en-US"/>
      </w:rPr>
      <w:t>Error! No text of specified style in document.</w:t>
    </w:r>
    <w:r w:rsidRPr="00CE1D9D">
      <w:rPr>
        <w:noProof/>
        <w:color w:val="FFFFFF" w:themeColor="background1"/>
      </w:rPr>
      <w:t xml:space="preserve"> |</w:t>
    </w:r>
    <w:r w:rsidRPr="00CD4A84">
      <w:rPr>
        <w:noProof/>
      </w:rPr>
      <w:t xml:space="preserve"> </w:t>
    </w:r>
    <w:r>
      <w:rPr>
        <w:noProof/>
        <w:color w:val="EB8C00" w:themeColor="text2"/>
      </w:rPr>
      <w:t>i</w:t>
    </w:r>
    <w:r w:rsidRPr="00CD4A8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8A66B" w14:textId="77777777" w:rsidR="005E5F09" w:rsidRPr="00CC5ACB" w:rsidRDefault="005E5F09" w:rsidP="00CC5ACB">
    <w:pPr>
      <w:pStyle w:val="Footer"/>
      <w:jc w:val="right"/>
    </w:pPr>
    <w:r>
      <w:rPr>
        <w:noProof/>
      </w:rPr>
      <w:t xml:space="preserve">Department of Social Services | </w:t>
    </w: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2</w:t>
    </w:r>
    <w:r w:rsidRPr="00A4206D">
      <w:rPr>
        <w:noProof/>
        <w:color w:val="E0262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68FF4" w14:textId="744FF7E0" w:rsidR="005E5F09" w:rsidRPr="00CC5ACB" w:rsidRDefault="005E5F09" w:rsidP="00CC5ACB">
    <w:pPr>
      <w:pStyle w:val="Footer-ToC"/>
      <w:jc w:val="right"/>
    </w:pPr>
    <w:r>
      <w:rPr>
        <w:noProof/>
      </w:rPr>
      <w:t xml:space="preserve">Department of Social Services | </w:t>
    </w:r>
    <w:r w:rsidRPr="00A4206D">
      <w:rPr>
        <w:color w:val="E02628"/>
      </w:rPr>
      <w:fldChar w:fldCharType="begin"/>
    </w:r>
    <w:r w:rsidRPr="00A4206D">
      <w:rPr>
        <w:color w:val="E02628"/>
      </w:rPr>
      <w:instrText xml:space="preserve"> PAGE  \* MERGEFORMAT </w:instrText>
    </w:r>
    <w:r w:rsidRPr="00A4206D">
      <w:rPr>
        <w:color w:val="E02628"/>
      </w:rPr>
      <w:fldChar w:fldCharType="separate"/>
    </w:r>
    <w:r w:rsidR="0094767F">
      <w:rPr>
        <w:noProof/>
        <w:color w:val="E02628"/>
      </w:rPr>
      <w:t>17</w:t>
    </w:r>
    <w:r w:rsidRPr="00A4206D">
      <w:rPr>
        <w:noProof/>
        <w:color w:val="E0262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39F73" w14:textId="77777777" w:rsidR="005E5F09" w:rsidRPr="0075290F" w:rsidRDefault="005E5F09" w:rsidP="0075290F">
    <w:pPr>
      <w:pStyle w:val="Footer-ToC"/>
      <w:jc w:val="right"/>
    </w:pPr>
    <w:r>
      <w:fldChar w:fldCharType="begin"/>
    </w:r>
    <w:r>
      <w:instrText xml:space="preserve"> STYLEREF "Cover Title" </w:instrText>
    </w:r>
    <w:r>
      <w:fldChar w:fldCharType="separate"/>
    </w:r>
    <w:r>
      <w:rPr>
        <w:b/>
        <w:bCs/>
        <w:noProof/>
        <w:lang w:val="en-US"/>
      </w:rPr>
      <w:t>Error! No text of specified style in document.</w:t>
    </w:r>
    <w:r>
      <w:rPr>
        <w:noProof/>
      </w:rPr>
      <w:fldChar w:fldCharType="end"/>
    </w:r>
    <w:r>
      <w:rPr>
        <w:noProof/>
      </w:rPr>
      <w:t xml:space="preserve"> |</w:t>
    </w:r>
    <w:r w:rsidRPr="009B4134">
      <w:rPr>
        <w:noProof/>
        <w:color w:val="EB8C00" w:themeColor="text2"/>
      </w:rPr>
      <w:t xml:space="preserve"> </w:t>
    </w: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w:t>
    </w:r>
    <w:r w:rsidRPr="00A4206D">
      <w:rPr>
        <w:noProof/>
        <w:color w:val="E026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BB1B0" w14:textId="77777777" w:rsidR="001F72B3" w:rsidRDefault="001F72B3" w:rsidP="004343B3">
      <w:pPr>
        <w:pStyle w:val="Separator"/>
      </w:pPr>
      <w:r>
        <w:separator/>
      </w:r>
    </w:p>
    <w:p w14:paraId="5D5C5553" w14:textId="77777777" w:rsidR="001F72B3" w:rsidRDefault="001F72B3"/>
  </w:footnote>
  <w:footnote w:type="continuationSeparator" w:id="0">
    <w:p w14:paraId="16EB4A49" w14:textId="77777777" w:rsidR="001F72B3" w:rsidRDefault="001F72B3" w:rsidP="004343B3">
      <w:pPr>
        <w:pStyle w:val="Separator"/>
      </w:pPr>
      <w:r>
        <w:continuationSeparator/>
      </w:r>
    </w:p>
    <w:p w14:paraId="5B8D8FA9" w14:textId="77777777" w:rsidR="001F72B3" w:rsidRDefault="001F72B3"/>
  </w:footnote>
  <w:footnote w:type="continuationNotice" w:id="1">
    <w:p w14:paraId="399C60FC" w14:textId="77777777" w:rsidR="001F72B3" w:rsidRPr="00F20B7D" w:rsidRDefault="001F72B3" w:rsidP="00F20B7D">
      <w:pPr>
        <w:pStyle w:val="Footer"/>
        <w:rPr>
          <w:sz w:val="2"/>
          <w:szCs w:val="2"/>
        </w:rPr>
      </w:pPr>
    </w:p>
    <w:p w14:paraId="3F417BBD" w14:textId="77777777" w:rsidR="001F72B3" w:rsidRDefault="001F72B3"/>
    <w:p w14:paraId="4E34D37B" w14:textId="77777777" w:rsidR="001F72B3" w:rsidRDefault="001F72B3"/>
  </w:footnote>
  <w:footnote w:id="2">
    <w:p w14:paraId="03833A67" w14:textId="77777777" w:rsidR="005E5F09" w:rsidRDefault="005E5F09" w:rsidP="00332404">
      <w:pPr>
        <w:pStyle w:val="FootnoteText"/>
      </w:pPr>
      <w:r>
        <w:rPr>
          <w:rStyle w:val="FootnoteReference"/>
        </w:rPr>
        <w:footnoteRef/>
      </w:r>
      <w:r>
        <w:t xml:space="preserve"> </w:t>
      </w:r>
      <w:r>
        <w:tab/>
        <w:t>ABS 2011 Census of Population and Housing, undertaken 9 August 2011.</w:t>
      </w:r>
    </w:p>
  </w:footnote>
  <w:footnote w:id="3">
    <w:p w14:paraId="5C6436EA" w14:textId="77777777" w:rsidR="005E5F09" w:rsidRDefault="005E5F09" w:rsidP="00332404">
      <w:pPr>
        <w:pStyle w:val="FootnoteText"/>
      </w:pPr>
      <w:r>
        <w:rPr>
          <w:rStyle w:val="FootnoteReference"/>
        </w:rPr>
        <w:footnoteRef/>
      </w:r>
      <w:r>
        <w:t xml:space="preserve"> </w:t>
      </w:r>
      <w:r>
        <w:tab/>
      </w:r>
      <w:r w:rsidRPr="00C11D54">
        <w:t>http://www.abs.gov.au/websitedbs/censushome.nsf/home/tablebuilder?opendocument&amp;navpos=240</w:t>
      </w:r>
    </w:p>
  </w:footnote>
  <w:footnote w:id="4">
    <w:p w14:paraId="0B9BA360" w14:textId="77777777" w:rsidR="005E5F09" w:rsidRDefault="005E5F09" w:rsidP="00332404">
      <w:pPr>
        <w:pStyle w:val="FootnoteText"/>
      </w:pPr>
      <w:r>
        <w:rPr>
          <w:rStyle w:val="FootnoteReference"/>
        </w:rPr>
        <w:footnoteRef/>
      </w:r>
      <w:r>
        <w:t xml:space="preserve"> </w:t>
      </w:r>
      <w:r>
        <w:tab/>
      </w:r>
      <w:r w:rsidRPr="002400C7">
        <w:t>http://www.aga.gov.au/publications/life_table_2010-12/</w:t>
      </w:r>
    </w:p>
  </w:footnote>
  <w:footnote w:id="5">
    <w:p w14:paraId="6CD750B8" w14:textId="77777777" w:rsidR="005E5F09" w:rsidRDefault="005E5F09" w:rsidP="00F618B5">
      <w:pPr>
        <w:pStyle w:val="FootnoteText"/>
      </w:pPr>
      <w:r>
        <w:rPr>
          <w:rStyle w:val="FootnoteReference"/>
        </w:rPr>
        <w:footnoteRef/>
      </w:r>
      <w:r>
        <w:t xml:space="preserve"> ABS – Measures of Australia’s Progress, 2010 – Socioeconomic Disadvantage (Catalog 1370.0)</w:t>
      </w:r>
    </w:p>
    <w:p w14:paraId="1B40A18D" w14:textId="77777777" w:rsidR="005E5F09" w:rsidRDefault="005E5F09" w:rsidP="00F618B5">
      <w:pPr>
        <w:pStyle w:val="FootnoteText"/>
      </w:pPr>
      <w:r>
        <w:t>NSW Public Health Bulletin Vol 12 No. 5 (</w:t>
      </w:r>
      <w:r w:rsidRPr="009B01B5">
        <w:t>http://www.health.nsw.gov.au/phb/Documents/2001-5.pdf</w:t>
      </w:r>
      <w:r>
        <w:t>)</w:t>
      </w:r>
    </w:p>
  </w:footnote>
  <w:footnote w:id="6">
    <w:p w14:paraId="198257B2" w14:textId="77777777" w:rsidR="005E5F09" w:rsidRDefault="005E5F09" w:rsidP="00883CC7">
      <w:pPr>
        <w:pStyle w:val="FootnoteText"/>
      </w:pPr>
      <w:r>
        <w:rPr>
          <w:rStyle w:val="FootnoteReference"/>
        </w:rPr>
        <w:footnoteRef/>
      </w:r>
      <w:r>
        <w:t xml:space="preserve"> </w:t>
      </w:r>
      <w:r>
        <w:tab/>
        <w:t>Source: ABS – 2015 estimated resident population projected to 2016 by PwC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CDF12" w14:textId="6958890F" w:rsidR="005E5F09" w:rsidRPr="008F0566" w:rsidRDefault="005E5F09" w:rsidP="008F0566">
    <w:pPr>
      <w:pStyle w:val="Header"/>
    </w:pPr>
    <w:r>
      <w:rPr>
        <w:rFonts w:ascii="Georgia" w:eastAsia="+mn-ea" w:hAnsi="Georgia"/>
        <w:noProof/>
        <w:szCs w:val="20"/>
        <w:lang w:eastAsia="en-AU"/>
      </w:rPr>
      <mc:AlternateContent>
        <mc:Choice Requires="wps">
          <w:drawing>
            <wp:anchor distT="0" distB="0" distL="114300" distR="114300" simplePos="0" relativeHeight="251653632" behindDoc="1" locked="0" layoutInCell="0" allowOverlap="1" wp14:anchorId="274CF94C" wp14:editId="76385AB9">
              <wp:simplePos x="0" y="0"/>
              <wp:positionH relativeFrom="margin">
                <wp:align>center</wp:align>
              </wp:positionH>
              <wp:positionV relativeFrom="margin">
                <wp:align>center</wp:align>
              </wp:positionV>
              <wp:extent cx="5772150" cy="2308860"/>
              <wp:effectExtent l="0" t="1562100" r="0" b="1263015"/>
              <wp:wrapNone/>
              <wp:docPr id="1079"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EE8475" w14:textId="77777777" w:rsidR="005E5F09" w:rsidRDefault="005E5F09" w:rsidP="00A578C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4CF94C" id="_x0000_t202" coordsize="21600,21600" o:spt="202" path="m,l,21600r21600,l21600,xe">
              <v:stroke joinstyle="miter"/>
              <v:path gradientshapeok="t" o:connecttype="rect"/>
            </v:shapetype>
            <v:shape id="WordArt 35" o:spid="_x0000_s1026" type="#_x0000_t202" style="position:absolute;margin-left:0;margin-top:0;width:454.5pt;height:181.8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" o:allowincell="f" filled="f" stroked="f">
              <v:stroke joinstyle="round"/>
              <o:lock v:ext="edit" shapetype="t"/>
              <v:textbox style="mso-fit-shape-to-text:t">
                <w:txbxContent>
                  <w:p w14:paraId="26EE8475" w14:textId="77777777" w:rsidR="005E5F09" w:rsidRDefault="005E5F09" w:rsidP="00A578C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napToGrid/>
        <w:lang w:eastAsia="en-AU"/>
      </w:rPr>
      <mc:AlternateContent>
        <mc:Choice Requires="wpg">
          <w:drawing>
            <wp:anchor distT="0" distB="0" distL="114300" distR="114300" simplePos="0" relativeHeight="251655680" behindDoc="0" locked="0" layoutInCell="1" allowOverlap="1" wp14:anchorId="7EE61DFC" wp14:editId="6AFD6C75">
              <wp:simplePos x="0" y="0"/>
              <wp:positionH relativeFrom="page">
                <wp:posOffset>0</wp:posOffset>
              </wp:positionH>
              <wp:positionV relativeFrom="page">
                <wp:posOffset>0</wp:posOffset>
              </wp:positionV>
              <wp:extent cx="6912610" cy="10692130"/>
              <wp:effectExtent l="9525" t="9525" r="12065" b="13970"/>
              <wp:wrapNone/>
              <wp:docPr id="71" name="EvenGrid" descr="Gr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10692130"/>
                        <a:chOff x="0" y="0"/>
                        <a:chExt cx="10886" cy="16838"/>
                      </a:xfrm>
                    </wpg:grpSpPr>
                    <wpg:grpSp>
                      <wpg:cNvPr id="72" name="Group 2851"/>
                      <wpg:cNvGrpSpPr>
                        <a:grpSpLocks/>
                      </wpg:cNvGrpSpPr>
                      <wpg:grpSpPr bwMode="auto">
                        <a:xfrm>
                          <a:off x="1021" y="567"/>
                          <a:ext cx="9251" cy="15704"/>
                          <a:chOff x="1021" y="567"/>
                          <a:chExt cx="9251" cy="15704"/>
                        </a:xfrm>
                      </wpg:grpSpPr>
                      <wps:wsp>
                        <wps:cNvPr id="73" name="AutoShape 2852"/>
                        <wps:cNvCnPr>
                          <a:cxnSpLocks noChangeShapeType="1"/>
                        </wps:cNvCnPr>
                        <wps:spPr bwMode="auto">
                          <a:xfrm>
                            <a:off x="1021"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4" name="AutoShape 2853"/>
                        <wps:cNvCnPr>
                          <a:cxnSpLocks noChangeShapeType="1"/>
                        </wps:cNvCnPr>
                        <wps:spPr bwMode="auto">
                          <a:xfrm>
                            <a:off x="186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5" name="AutoShape 2854"/>
                        <wps:cNvCnPr>
                          <a:cxnSpLocks noChangeShapeType="1"/>
                        </wps:cNvCnPr>
                        <wps:spPr bwMode="auto">
                          <a:xfrm>
                            <a:off x="2703"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6" name="AutoShape 2855"/>
                        <wps:cNvCnPr>
                          <a:cxnSpLocks noChangeShapeType="1"/>
                        </wps:cNvCnPr>
                        <wps:spPr bwMode="auto">
                          <a:xfrm>
                            <a:off x="3544"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7" name="AutoShape 2856"/>
                        <wps:cNvCnPr>
                          <a:cxnSpLocks noChangeShapeType="1"/>
                        </wps:cNvCnPr>
                        <wps:spPr bwMode="auto">
                          <a:xfrm>
                            <a:off x="438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8" name="AutoShape 2857"/>
                        <wps:cNvCnPr>
                          <a:cxnSpLocks noChangeShapeType="1"/>
                        </wps:cNvCnPr>
                        <wps:spPr bwMode="auto">
                          <a:xfrm>
                            <a:off x="522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9" name="AutoShape 2858"/>
                        <wps:cNvCnPr>
                          <a:cxnSpLocks noChangeShapeType="1"/>
                        </wps:cNvCnPr>
                        <wps:spPr bwMode="auto">
                          <a:xfrm>
                            <a:off x="606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0" name="AutoShape 2859"/>
                        <wps:cNvCnPr>
                          <a:cxnSpLocks noChangeShapeType="1"/>
                        </wps:cNvCnPr>
                        <wps:spPr bwMode="auto">
                          <a:xfrm>
                            <a:off x="690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1" name="AutoShape 2860"/>
                        <wps:cNvCnPr>
                          <a:cxnSpLocks noChangeShapeType="1"/>
                        </wps:cNvCnPr>
                        <wps:spPr bwMode="auto">
                          <a:xfrm>
                            <a:off x="774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2" name="AutoShape 2861"/>
                        <wps:cNvCnPr>
                          <a:cxnSpLocks noChangeShapeType="1"/>
                        </wps:cNvCnPr>
                        <wps:spPr bwMode="auto">
                          <a:xfrm>
                            <a:off x="859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3" name="AutoShape 2862"/>
                        <wps:cNvCnPr>
                          <a:cxnSpLocks noChangeShapeType="1"/>
                        </wps:cNvCnPr>
                        <wps:spPr bwMode="auto">
                          <a:xfrm>
                            <a:off x="943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4" name="AutoShape 2863"/>
                        <wps:cNvCnPr>
                          <a:cxnSpLocks noChangeShapeType="1"/>
                        </wps:cNvCnPr>
                        <wps:spPr bwMode="auto">
                          <a:xfrm>
                            <a:off x="1027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85" name="AutoShape 2864"/>
                      <wps:cNvCnPr>
                        <a:cxnSpLocks noChangeShapeType="1"/>
                      </wps:cNvCnPr>
                      <wps:spPr bwMode="auto">
                        <a:xfrm>
                          <a:off x="0"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s:wsp>
                      <wps:cNvPr id="86" name="AutoShape 2865"/>
                      <wps:cNvCnPr>
                        <a:cxnSpLocks noChangeShapeType="1"/>
                      </wps:cNvCnPr>
                      <wps:spPr bwMode="auto">
                        <a:xfrm>
                          <a:off x="794"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g:grpSp>
                      <wpg:cNvPr id="87" name="Group 2866"/>
                      <wpg:cNvGrpSpPr>
                        <a:grpSpLocks/>
                      </wpg:cNvGrpSpPr>
                      <wpg:grpSpPr bwMode="auto">
                        <a:xfrm>
                          <a:off x="1021" y="567"/>
                          <a:ext cx="9865" cy="15706"/>
                          <a:chOff x="907" y="567"/>
                          <a:chExt cx="9865" cy="15706"/>
                        </a:xfrm>
                      </wpg:grpSpPr>
                      <wps:wsp>
                        <wps:cNvPr id="88" name="AutoShape 2867"/>
                        <wps:cNvCnPr>
                          <a:cxnSpLocks noChangeShapeType="1"/>
                        </wps:cNvCnPr>
                        <wps:spPr bwMode="auto">
                          <a:xfrm>
                            <a:off x="907" y="16273"/>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9" name="AutoShape 2868"/>
                        <wps:cNvCnPr>
                          <a:cxnSpLocks noChangeShapeType="1"/>
                        </wps:cNvCnPr>
                        <wps:spPr bwMode="auto">
                          <a:xfrm>
                            <a:off x="907" y="1452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0" name="AutoShape 2869"/>
                        <wps:cNvCnPr>
                          <a:cxnSpLocks noChangeShapeType="1"/>
                        </wps:cNvCnPr>
                        <wps:spPr bwMode="auto">
                          <a:xfrm>
                            <a:off x="907" y="567"/>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91" name="AutoShape 2870"/>
                        <wps:cNvCnPr>
                          <a:cxnSpLocks noChangeShapeType="1"/>
                        </wps:cNvCnPr>
                        <wps:spPr bwMode="auto">
                          <a:xfrm>
                            <a:off x="907" y="143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2" name="AutoShape 2871"/>
                        <wps:cNvCnPr>
                          <a:cxnSpLocks noChangeShapeType="1"/>
                        </wps:cNvCnPr>
                        <wps:spPr bwMode="auto">
                          <a:xfrm>
                            <a:off x="907" y="231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3" name="AutoShape 2872"/>
                        <wps:cNvCnPr>
                          <a:cxnSpLocks noChangeShapeType="1"/>
                        </wps:cNvCnPr>
                        <wps:spPr bwMode="auto">
                          <a:xfrm>
                            <a:off x="907" y="318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4" name="AutoShape 2873"/>
                        <wps:cNvCnPr>
                          <a:cxnSpLocks noChangeShapeType="1"/>
                        </wps:cNvCnPr>
                        <wps:spPr bwMode="auto">
                          <a:xfrm>
                            <a:off x="907" y="405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5" name="AutoShape 2874"/>
                        <wps:cNvCnPr>
                          <a:cxnSpLocks noChangeShapeType="1"/>
                        </wps:cNvCnPr>
                        <wps:spPr bwMode="auto">
                          <a:xfrm>
                            <a:off x="907" y="492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6" name="AutoShape 2875"/>
                        <wps:cNvCnPr>
                          <a:cxnSpLocks noChangeShapeType="1"/>
                        </wps:cNvCnPr>
                        <wps:spPr bwMode="auto">
                          <a:xfrm>
                            <a:off x="907" y="580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7" name="AutoShape 2876"/>
                        <wps:cNvCnPr>
                          <a:cxnSpLocks noChangeShapeType="1"/>
                        </wps:cNvCnPr>
                        <wps:spPr bwMode="auto">
                          <a:xfrm>
                            <a:off x="907" y="667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8" name="AutoShape 2877"/>
                        <wps:cNvCnPr>
                          <a:cxnSpLocks noChangeShapeType="1"/>
                        </wps:cNvCnPr>
                        <wps:spPr bwMode="auto">
                          <a:xfrm>
                            <a:off x="907" y="754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9" name="AutoShape 2878"/>
                        <wps:cNvCnPr>
                          <a:cxnSpLocks noChangeShapeType="1"/>
                        </wps:cNvCnPr>
                        <wps:spPr bwMode="auto">
                          <a:xfrm>
                            <a:off x="907" y="842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0" name="AutoShape 2879"/>
                        <wps:cNvCnPr>
                          <a:cxnSpLocks noChangeShapeType="1"/>
                        </wps:cNvCnPr>
                        <wps:spPr bwMode="auto">
                          <a:xfrm>
                            <a:off x="907" y="929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1" name="AutoShape 2880"/>
                        <wps:cNvCnPr>
                          <a:cxnSpLocks noChangeShapeType="1"/>
                        </wps:cNvCnPr>
                        <wps:spPr bwMode="auto">
                          <a:xfrm>
                            <a:off x="907" y="1016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2" name="AutoShape 2881"/>
                        <wps:cNvCnPr>
                          <a:cxnSpLocks noChangeShapeType="1"/>
                        </wps:cNvCnPr>
                        <wps:spPr bwMode="auto">
                          <a:xfrm>
                            <a:off x="907" y="1103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3" name="AutoShape 2882"/>
                        <wps:cNvCnPr>
                          <a:cxnSpLocks noChangeShapeType="1"/>
                        </wps:cNvCnPr>
                        <wps:spPr bwMode="auto">
                          <a:xfrm>
                            <a:off x="907" y="1191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4" name="AutoShape 2883"/>
                        <wps:cNvCnPr>
                          <a:cxnSpLocks noChangeShapeType="1"/>
                        </wps:cNvCnPr>
                        <wps:spPr bwMode="auto">
                          <a:xfrm>
                            <a:off x="907" y="1278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5" name="AutoShape 2884"/>
                        <wps:cNvCnPr>
                          <a:cxnSpLocks noChangeShapeType="1"/>
                        </wps:cNvCnPr>
                        <wps:spPr bwMode="auto">
                          <a:xfrm>
                            <a:off x="907" y="1365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6" name="AutoShape 2885"/>
                        <wps:cNvCnPr>
                          <a:cxnSpLocks noChangeShapeType="1"/>
                        </wps:cNvCnPr>
                        <wps:spPr bwMode="auto">
                          <a:xfrm>
                            <a:off x="907" y="1540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g:grpSp>
                      <wpg:cNvPr id="107" name="Group 2886"/>
                      <wpg:cNvGrpSpPr>
                        <a:grpSpLocks/>
                      </wpg:cNvGrpSpPr>
                      <wpg:grpSpPr bwMode="auto">
                        <a:xfrm>
                          <a:off x="1633" y="567"/>
                          <a:ext cx="9251" cy="15704"/>
                          <a:chOff x="1635" y="567"/>
                          <a:chExt cx="9251" cy="15704"/>
                        </a:xfrm>
                      </wpg:grpSpPr>
                      <wps:wsp>
                        <wps:cNvPr id="108" name="AutoShape 2887"/>
                        <wps:cNvCnPr>
                          <a:cxnSpLocks noChangeShapeType="1"/>
                        </wps:cNvCnPr>
                        <wps:spPr bwMode="auto">
                          <a:xfrm>
                            <a:off x="163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9" name="AutoShape 2888"/>
                        <wps:cNvCnPr>
                          <a:cxnSpLocks noChangeShapeType="1"/>
                        </wps:cNvCnPr>
                        <wps:spPr bwMode="auto">
                          <a:xfrm>
                            <a:off x="247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0" name="AutoShape 2889"/>
                        <wps:cNvCnPr>
                          <a:cxnSpLocks noChangeShapeType="1"/>
                        </wps:cNvCnPr>
                        <wps:spPr bwMode="auto">
                          <a:xfrm>
                            <a:off x="331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1" name="AutoShape 2890"/>
                        <wps:cNvCnPr>
                          <a:cxnSpLocks noChangeShapeType="1"/>
                        </wps:cNvCnPr>
                        <wps:spPr bwMode="auto">
                          <a:xfrm>
                            <a:off x="415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2" name="AutoShape 2891"/>
                        <wps:cNvCnPr>
                          <a:cxnSpLocks noChangeShapeType="1"/>
                        </wps:cNvCnPr>
                        <wps:spPr bwMode="auto">
                          <a:xfrm>
                            <a:off x="499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3" name="AutoShape 2892"/>
                        <wps:cNvCnPr>
                          <a:cxnSpLocks noChangeShapeType="1"/>
                        </wps:cNvCnPr>
                        <wps:spPr bwMode="auto">
                          <a:xfrm>
                            <a:off x="584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4" name="AutoShape 2893"/>
                        <wps:cNvCnPr>
                          <a:cxnSpLocks noChangeShapeType="1"/>
                        </wps:cNvCnPr>
                        <wps:spPr bwMode="auto">
                          <a:xfrm>
                            <a:off x="668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5" name="AutoShape 2894"/>
                        <wps:cNvCnPr>
                          <a:cxnSpLocks noChangeShapeType="1"/>
                        </wps:cNvCnPr>
                        <wps:spPr bwMode="auto">
                          <a:xfrm>
                            <a:off x="752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6" name="AutoShape 2895"/>
                        <wps:cNvCnPr>
                          <a:cxnSpLocks noChangeShapeType="1"/>
                        </wps:cNvCnPr>
                        <wps:spPr bwMode="auto">
                          <a:xfrm>
                            <a:off x="8363"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7" name="AutoShape 2896"/>
                        <wps:cNvCnPr>
                          <a:cxnSpLocks noChangeShapeType="1"/>
                        </wps:cNvCnPr>
                        <wps:spPr bwMode="auto">
                          <a:xfrm>
                            <a:off x="9204"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8" name="AutoShape 2897"/>
                        <wps:cNvCnPr>
                          <a:cxnSpLocks noChangeShapeType="1"/>
                        </wps:cNvCnPr>
                        <wps:spPr bwMode="auto">
                          <a:xfrm>
                            <a:off x="1004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9" name="AutoShape 2898"/>
                        <wps:cNvCnPr>
                          <a:cxnSpLocks noChangeShapeType="1"/>
                        </wps:cNvCnPr>
                        <wps:spPr bwMode="auto">
                          <a:xfrm>
                            <a:off x="10886"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F600568" id="EvenGrid" o:spid="_x0000_s1026" alt="Grid" style="position:absolute;margin-left:0;margin-top:0;width:544.3pt;height:841.9pt;z-index:251655680;mso-position-horizontal-relative:page;mso-position-vertical-relative:page" coordsize="1088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">
              <v:group id="Group 2851" o:spid="_x0000_s1027" style="position:absolute;left:1021;top:567;width:9251;height:15704" coordorigin="1021,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32" coordsize="21600,21600" o:spt="32" o:oned="t" path="m,l21600,21600e" filled="f">
                  <v:path arrowok="t" fillok="f" o:connecttype="none"/>
                  <o:lock v:ext="edit" shapetype="t"/>
                </v:shapetype>
                <v:shape id="AutoShape 2852" o:spid="_x0000_s1028" type="#_x0000_t32" style="position:absolute;left:102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" strokecolor="#002060"/>
                <v:shape id="AutoShape 2853" o:spid="_x0000_s1029" type="#_x0000_t32" style="position:absolute;left:186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" strokecolor="#00b0f0"/>
                <v:shape id="AutoShape 2854" o:spid="_x0000_s1030" type="#_x0000_t32" style="position:absolute;left:270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" strokecolor="#00b0f0"/>
                <v:shape id="AutoShape 2855" o:spid="_x0000_s1031" type="#_x0000_t32" style="position:absolute;left:354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" strokecolor="#002060"/>
                <v:shape id="AutoShape 2856" o:spid="_x0000_s1032" type="#_x0000_t32" style="position:absolute;left:438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" strokecolor="#00b0f0"/>
                <v:shape id="AutoShape 2857" o:spid="_x0000_s1033" type="#_x0000_t32" style="position:absolute;left:522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" strokecolor="#00b0f0"/>
                <v:shape id="AutoShape 2858" o:spid="_x0000_s1034" type="#_x0000_t32" style="position:absolute;left:606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" strokecolor="#002060"/>
                <v:shape id="AutoShape 2859" o:spid="_x0000_s1035" type="#_x0000_t32" style="position:absolute;left:690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" strokecolor="#00b0f0"/>
                <v:shape id="AutoShape 2860" o:spid="_x0000_s1036" type="#_x0000_t32" style="position:absolute;left:774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" strokecolor="#00b0f0"/>
                <v:shape id="AutoShape 2861" o:spid="_x0000_s1037" type="#_x0000_t32" style="position:absolute;left:859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" strokecolor="#002060"/>
                <v:shape id="AutoShape 2862" o:spid="_x0000_s1038" type="#_x0000_t32" style="position:absolute;left:943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" strokecolor="#00b0f0"/>
                <v:shape id="AutoShape 2863" o:spid="_x0000_s1039" type="#_x0000_t32" style="position:absolute;left:1027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" strokecolor="#00b0f0"/>
              </v:group>
              <v:shape id="AutoShape 2864" o:spid="_x0000_s1040" type="#_x0000_t32" style="position:absolute;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" strokecolor="#f6f"/>
              <v:shape id="AutoShape 2865" o:spid="_x0000_s1041" type="#_x0000_t32" style="position:absolute;left:794;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" strokecolor="#f6f"/>
              <v:group id="Group 2866" o:spid="_x0000_s1042" style="position:absolute;left:1021;top:567;width:9865;height:15706" coordorigin="907,567" coordsize="9865,1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utoShape 2867" o:spid="_x0000_s1043" type="#_x0000_t32" style="position:absolute;left:907;top:16273;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" strokecolor="#002060"/>
                <v:shape id="AutoShape 2868" o:spid="_x0000_s1044" type="#_x0000_t32" style="position:absolute;left:907;top:1452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" strokecolor="#00b0f0"/>
                <v:shape id="AutoShape 2869" o:spid="_x0000_s1045" type="#_x0000_t32" style="position:absolute;left:907;top:56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" strokecolor="#002060"/>
                <v:shape id="AutoShape 2870" o:spid="_x0000_s1046" type="#_x0000_t32" style="position:absolute;left:907;top:143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" strokecolor="#00b0f0"/>
                <v:shape id="AutoShape 2871" o:spid="_x0000_s1047" type="#_x0000_t32" style="position:absolute;left:907;top:231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" strokecolor="#00b0f0"/>
                <v:shape id="AutoShape 2872" o:spid="_x0000_s1048" type="#_x0000_t32" style="position:absolute;left:907;top:318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" strokecolor="#00b0f0"/>
                <v:shape id="AutoShape 2873" o:spid="_x0000_s1049" type="#_x0000_t32" style="position:absolute;left:907;top:405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" strokecolor="#00b0f0"/>
                <v:shape id="AutoShape 2874" o:spid="_x0000_s1050" type="#_x0000_t32" style="position:absolute;left:907;top:492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" strokecolor="#00b0f0"/>
                <v:shape id="AutoShape 2875" o:spid="_x0000_s1051" type="#_x0000_t32" style="position:absolute;left:907;top:580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" strokecolor="#00b0f0"/>
                <v:shape id="AutoShape 2876" o:spid="_x0000_s1052" type="#_x0000_t32" style="position:absolute;left:907;top:667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" strokecolor="#00b0f0"/>
                <v:shape id="AutoShape 2877" o:spid="_x0000_s1053" type="#_x0000_t32" style="position:absolute;left:907;top:754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" strokecolor="#00b0f0"/>
                <v:shape id="AutoShape 2878" o:spid="_x0000_s1054" type="#_x0000_t32" style="position:absolute;left:907;top:842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" strokecolor="#00b0f0"/>
                <v:shape id="AutoShape 2879" o:spid="_x0000_s1055" type="#_x0000_t32" style="position:absolute;left:907;top:929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" strokecolor="#00b0f0"/>
                <v:shape id="AutoShape 2880" o:spid="_x0000_s1056" type="#_x0000_t32" style="position:absolute;left:907;top:1016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" strokecolor="#00b0f0"/>
                <v:shape id="AutoShape 2881" o:spid="_x0000_s1057" type="#_x0000_t32" style="position:absolute;left:907;top:1103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" strokecolor="#00b0f0"/>
                <v:shape id="AutoShape 2882" o:spid="_x0000_s1058" type="#_x0000_t32" style="position:absolute;left:907;top:1191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" strokecolor="#00b0f0"/>
                <v:shape id="AutoShape 2883" o:spid="_x0000_s1059" type="#_x0000_t32" style="position:absolute;left:907;top:1278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" strokecolor="#00b0f0"/>
                <v:shape id="AutoShape 2884" o:spid="_x0000_s1060" type="#_x0000_t32" style="position:absolute;left:907;top:1365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" strokecolor="#00b0f0"/>
                <v:shape id="AutoShape 2885" o:spid="_x0000_s1061" type="#_x0000_t32" style="position:absolute;left:907;top:1540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" strokecolor="#00b0f0"/>
              </v:group>
              <v:group id="Group 2886" o:spid="_x0000_s1062" style="position:absolute;left:1633;top:567;width:9251;height:15704" coordorigin="1635,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AutoShape 2887" o:spid="_x0000_s1063" type="#_x0000_t32" style="position:absolute;left:163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" strokecolor="#00b0f0"/>
                <v:shape id="AutoShape 2888" o:spid="_x0000_s1064" type="#_x0000_t32" style="position:absolute;left:247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" strokecolor="#00b0f0"/>
                <v:shape id="AutoShape 2889" o:spid="_x0000_s1065" type="#_x0000_t32" style="position:absolute;left:331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" strokecolor="#002060"/>
                <v:shape id="AutoShape 2890" o:spid="_x0000_s1066" type="#_x0000_t32" style="position:absolute;left:415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" strokecolor="#00b0f0"/>
                <v:shape id="AutoShape 2891" o:spid="_x0000_s1067" type="#_x0000_t32" style="position:absolute;left:499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" strokecolor="#00b0f0"/>
                <v:shape id="AutoShape 2892" o:spid="_x0000_s1068" type="#_x0000_t32" style="position:absolute;left:584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" strokecolor="#002060"/>
                <v:shape id="AutoShape 2893" o:spid="_x0000_s1069" type="#_x0000_t32" style="position:absolute;left:668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" strokecolor="#00b0f0"/>
                <v:shape id="AutoShape 2894" o:spid="_x0000_s1070" type="#_x0000_t32" style="position:absolute;left:752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" strokecolor="#00b0f0"/>
                <v:shape id="AutoShape 2895" o:spid="_x0000_s1071" type="#_x0000_t32" style="position:absolute;left:836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" strokecolor="#002060"/>
                <v:shape id="AutoShape 2896" o:spid="_x0000_s1072" type="#_x0000_t32" style="position:absolute;left:920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" strokecolor="#00b0f0"/>
                <v:shape id="AutoShape 2897" o:spid="_x0000_s1073" type="#_x0000_t32" style="position:absolute;left:1004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" strokecolor="#00b0f0"/>
                <v:shape id="AutoShape 2898" o:spid="_x0000_s1074" type="#_x0000_t32" style="position:absolute;left:1088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" strokecolor="#002060"/>
              </v:group>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11792" w14:textId="07785F0C" w:rsidR="005E5F09" w:rsidRPr="00A4206D" w:rsidRDefault="005E5F09" w:rsidP="00CD4A84">
    <w:pPr>
      <w:pStyle w:val="Header"/>
    </w:pPr>
    <w:r w:rsidRPr="00A4206D">
      <w:rPr>
        <w:noProof/>
        <w:snapToGrid/>
        <w:lang w:eastAsia="en-AU"/>
      </w:rPr>
      <w:fldChar w:fldCharType="begin"/>
    </w:r>
    <w:r w:rsidRPr="00A4206D">
      <w:rPr>
        <w:noProof/>
        <w:snapToGrid/>
        <w:lang w:eastAsia="en-AU"/>
      </w:rPr>
      <w:instrText xml:space="preserve"> STYLEREF "Heading 2" </w:instrText>
    </w:r>
    <w:r w:rsidRPr="00A4206D">
      <w:rPr>
        <w:noProof/>
        <w:snapToGrid/>
        <w:lang w:eastAsia="en-AU"/>
      </w:rPr>
      <w:fldChar w:fldCharType="separate"/>
    </w:r>
    <w:r>
      <w:rPr>
        <w:noProof/>
        <w:snapToGrid/>
        <w:lang w:eastAsia="en-AU"/>
      </w:rPr>
      <w:t>Introduction</w:t>
    </w:r>
    <w:r w:rsidRPr="00A4206D">
      <w:rPr>
        <w:noProof/>
        <w:snapToGrid/>
        <w:lang w:eastAsia="en-AU"/>
      </w:rPr>
      <w:fldChar w:fldCharType="end"/>
    </w:r>
    <w:r w:rsidRPr="00A4206D">
      <w:rPr>
        <w:noProof/>
        <w:snapToGrid/>
        <w:lang w:eastAsia="en-AU"/>
      </w:rPr>
      <w:ptab w:relativeTo="margin" w:alignment="right" w:leader="none"/>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28592" w14:textId="3FEA8903" w:rsidR="005E5F09" w:rsidRPr="00A4206D" w:rsidRDefault="005E5F09" w:rsidP="00202D53">
    <w:pPr>
      <w:pStyle w:val="Header"/>
    </w:pPr>
    <w:r w:rsidRPr="00A4206D">
      <w:rPr>
        <w:noProof/>
        <w:snapToGrid/>
        <w:lang w:eastAsia="en-AU"/>
      </w:rPr>
      <w:fldChar w:fldCharType="begin"/>
    </w:r>
    <w:r w:rsidRPr="00A4206D">
      <w:rPr>
        <w:noProof/>
        <w:snapToGrid/>
        <w:lang w:eastAsia="en-AU"/>
      </w:rPr>
      <w:instrText xml:space="preserve"> STYLEREF "Heading 2" </w:instrText>
    </w:r>
    <w:r w:rsidRPr="00A4206D">
      <w:rPr>
        <w:noProof/>
        <w:snapToGrid/>
        <w:lang w:eastAsia="en-AU"/>
      </w:rPr>
      <w:fldChar w:fldCharType="separate"/>
    </w:r>
    <w:r w:rsidR="0094767F">
      <w:rPr>
        <w:noProof/>
        <w:snapToGrid/>
        <w:lang w:eastAsia="en-AU"/>
      </w:rPr>
      <w:t>Introduction</w:t>
    </w:r>
    <w:r w:rsidRPr="00A4206D">
      <w:rPr>
        <w:noProof/>
        <w:snapToGrid/>
        <w:lang w:eastAsia="en-AU"/>
      </w:rPr>
      <w:fldChar w:fldCharType="end"/>
    </w:r>
    <w:r w:rsidRPr="00A4206D">
      <w:rPr>
        <w:noProof/>
        <w:snapToGrid/>
        <w:color w:val="000000" w:themeColor="text1"/>
        <w:lang w:eastAsia="en-AU"/>
      </w:rPr>
      <w:ptab w:relativeTo="margin" w:alignment="right" w:leader="none"/>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8E03" w14:textId="4126C5A0" w:rsidR="005E5F09" w:rsidRPr="001F627D" w:rsidRDefault="005E5F09" w:rsidP="001F627D">
    <w:pPr>
      <w:pStyle w:val="Footer"/>
      <w:rPr>
        <w:b/>
        <w:color w:val="FFFFFF" w:themeColor="background1"/>
      </w:rPr>
    </w:pPr>
    <w:r w:rsidRPr="001F627D">
      <w:rPr>
        <w:b/>
        <w:color w:val="FFFFFF" w:themeColor="background1"/>
      </w:rPr>
      <w:ptab w:relativeTo="margin" w:alignment="right" w:leader="none"/>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30BA6" w14:textId="12343585" w:rsidR="005E5F09" w:rsidRPr="00A4206D" w:rsidRDefault="005E5F09" w:rsidP="00AA5D12">
    <w:pPr>
      <w:pStyle w:val="Header"/>
    </w:pPr>
    <w:r w:rsidRPr="00814CE1">
      <w:rPr>
        <w:noProof/>
        <w:snapToGrid/>
        <w:lang w:eastAsia="en-AU"/>
      </w:rPr>
      <w:fldChar w:fldCharType="begin"/>
    </w:r>
    <w:r w:rsidRPr="00814CE1">
      <w:rPr>
        <w:noProof/>
        <w:snapToGrid/>
        <w:lang w:eastAsia="en-AU"/>
      </w:rPr>
      <w:instrText xml:space="preserve"> STYLEREF "Heading 2" </w:instrText>
    </w:r>
    <w:r w:rsidRPr="00814CE1">
      <w:rPr>
        <w:noProof/>
        <w:snapToGrid/>
        <w:lang w:eastAsia="en-AU"/>
      </w:rPr>
      <w:fldChar w:fldCharType="separate"/>
    </w:r>
    <w:r w:rsidR="0094767F">
      <w:rPr>
        <w:noProof/>
        <w:snapToGrid/>
        <w:lang w:eastAsia="en-AU"/>
      </w:rPr>
      <w:t>Refinements for 2016 valuation</w:t>
    </w:r>
    <w:r w:rsidRPr="00814CE1">
      <w:rPr>
        <w:noProof/>
        <w:snapToGrid/>
        <w:lang w:eastAsia="en-AU"/>
      </w:rPr>
      <w:fldChar w:fldCharType="end"/>
    </w:r>
    <w:r w:rsidRPr="00A4206D">
      <w:rPr>
        <w:noProof/>
        <w:snapToGrid/>
        <w:color w:val="000000" w:themeColor="text1"/>
        <w:lang w:eastAsia="en-AU"/>
      </w:rPr>
      <w:ptab w:relativeTo="margin" w:alignment="right" w:leader="none"/>
    </w:r>
    <w:r w:rsidRPr="00AA5D12">
      <w:rPr>
        <w:b/>
        <w:noProof/>
        <w:snapToGrid/>
        <w:color w:val="808080" w:themeColor="background1" w:themeShade="80"/>
        <w:sz w:val="24"/>
        <w:lang w:eastAsia="en-AU"/>
      </w:rPr>
      <w:t xml:space="preserve"> </w:t>
    </w:r>
  </w:p>
  <w:p w14:paraId="0E32C270" w14:textId="77777777" w:rsidR="005E5F09" w:rsidRPr="00477399" w:rsidRDefault="005E5F09" w:rsidP="00862DF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C1253" w14:textId="51706C68" w:rsidR="005E5F09" w:rsidRPr="00A4206D" w:rsidRDefault="005E5F09" w:rsidP="00CD4A84">
    <w:pPr>
      <w:pStyle w:val="Header"/>
    </w:pPr>
    <w:r>
      <w:rPr>
        <w:noProof/>
        <w:snapToGrid/>
        <w:lang w:eastAsia="en-AU"/>
      </w:rPr>
      <w:ptab w:relativeTo="margin" w:alignment="right" w:leader="none"/>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B8240" w14:textId="60FBA733" w:rsidR="005E5F09" w:rsidRPr="00477399" w:rsidRDefault="005E5F09" w:rsidP="00862DF5">
    <w:pPr>
      <w:pStyle w:val="Header"/>
    </w:pPr>
    <w:r w:rsidRPr="00814CE1">
      <w:rPr>
        <w:noProof/>
        <w:snapToGrid/>
        <w:lang w:eastAsia="en-AU"/>
      </w:rPr>
      <w:fldChar w:fldCharType="begin"/>
    </w:r>
    <w:r w:rsidRPr="00814CE1">
      <w:rPr>
        <w:noProof/>
        <w:snapToGrid/>
        <w:lang w:eastAsia="en-AU"/>
      </w:rPr>
      <w:instrText xml:space="preserve"> STYLEREF "Heading 2" </w:instrText>
    </w:r>
    <w:r w:rsidRPr="00814CE1">
      <w:rPr>
        <w:noProof/>
        <w:snapToGrid/>
        <w:lang w:eastAsia="en-AU"/>
      </w:rPr>
      <w:fldChar w:fldCharType="separate"/>
    </w:r>
    <w:r>
      <w:rPr>
        <w:noProof/>
        <w:snapToGrid/>
        <w:lang w:eastAsia="en-AU"/>
      </w:rPr>
      <w:t>Refinements for 2016 valuation</w:t>
    </w:r>
    <w:r w:rsidRPr="00814CE1">
      <w:rPr>
        <w:noProof/>
        <w:snapToGrid/>
        <w:lang w:eastAsia="en-AU"/>
      </w:rPr>
      <w:fldChar w:fldCharType="end"/>
    </w:r>
    <w:r>
      <w:rPr>
        <w:noProof/>
        <w:snapToGrid/>
        <w:lang w:eastAsia="en-AU"/>
      </w:rPr>
      <w:ptab w:relativeTo="margin" w:alignment="right" w:leader="none"/>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B0F1C" w14:textId="21D42A9F" w:rsidR="005E5F09" w:rsidRPr="009B05E3" w:rsidRDefault="005E5F09" w:rsidP="009B05E3">
    <w:pPr>
      <w:pStyle w:val="Header"/>
    </w:pPr>
    <w:r w:rsidRPr="00814CE1">
      <w:rPr>
        <w:noProof/>
        <w:snapToGrid/>
        <w:lang w:eastAsia="en-AU"/>
      </w:rPr>
      <w:fldChar w:fldCharType="begin"/>
    </w:r>
    <w:r w:rsidRPr="00814CE1">
      <w:rPr>
        <w:noProof/>
        <w:snapToGrid/>
        <w:lang w:eastAsia="en-AU"/>
      </w:rPr>
      <w:instrText xml:space="preserve"> STYLEREF "Heading 2" </w:instrText>
    </w:r>
    <w:r w:rsidRPr="00814CE1">
      <w:rPr>
        <w:noProof/>
        <w:snapToGrid/>
        <w:lang w:eastAsia="en-AU"/>
      </w:rPr>
      <w:fldChar w:fldCharType="separate"/>
    </w:r>
    <w:r w:rsidR="0094767F">
      <w:rPr>
        <w:noProof/>
        <w:snapToGrid/>
        <w:lang w:eastAsia="en-AU"/>
      </w:rPr>
      <w:t>Model population</w:t>
    </w:r>
    <w:r w:rsidRPr="00814CE1">
      <w:rPr>
        <w:noProof/>
        <w:snapToGrid/>
        <w:lang w:eastAsia="en-AU"/>
      </w:rPr>
      <w:fldChar w:fldCharType="end"/>
    </w:r>
    <w:r w:rsidRPr="00A4206D">
      <w:rPr>
        <w:noProof/>
        <w:snapToGrid/>
        <w:color w:val="000000" w:themeColor="text1"/>
        <w:lang w:eastAsia="en-AU"/>
      </w:rPr>
      <w:ptab w:relativeTo="margin" w:alignment="right" w:leader="none"/>
    </w:r>
    <w:r w:rsidRPr="00AA5D12">
      <w:rPr>
        <w:b/>
        <w:noProof/>
        <w:snapToGrid/>
        <w:color w:val="808080" w:themeColor="background1" w:themeShade="80"/>
        <w:sz w:val="24"/>
        <w:lang w:eastAsia="en-AU"/>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7CA46" w14:textId="7896E4BA" w:rsidR="005E5F09" w:rsidRPr="00477399" w:rsidRDefault="005E5F09" w:rsidP="00862DF5">
    <w:pPr>
      <w:pStyle w:val="Header"/>
    </w:pPr>
    <w:r w:rsidRPr="00814CE1">
      <w:rPr>
        <w:noProof/>
        <w:snapToGrid/>
        <w:lang w:eastAsia="en-AU"/>
      </w:rPr>
      <w:fldChar w:fldCharType="begin"/>
    </w:r>
    <w:r w:rsidRPr="00814CE1">
      <w:rPr>
        <w:noProof/>
        <w:snapToGrid/>
        <w:lang w:eastAsia="en-AU"/>
      </w:rPr>
      <w:instrText xml:space="preserve"> STYLEREF "Heading 2" </w:instrText>
    </w:r>
    <w:r w:rsidRPr="00814CE1">
      <w:rPr>
        <w:noProof/>
        <w:snapToGrid/>
        <w:lang w:eastAsia="en-AU"/>
      </w:rPr>
      <w:fldChar w:fldCharType="separate"/>
    </w:r>
    <w:r w:rsidR="0094767F">
      <w:rPr>
        <w:noProof/>
        <w:snapToGrid/>
        <w:lang w:eastAsia="en-AU"/>
      </w:rPr>
      <w:t>Results for income support recipients</w:t>
    </w:r>
    <w:r w:rsidRPr="00814CE1">
      <w:rPr>
        <w:noProof/>
        <w:snapToGrid/>
        <w:lang w:eastAsia="en-AU"/>
      </w:rPr>
      <w:fldChar w:fldCharType="end"/>
    </w:r>
    <w:r w:rsidRPr="00A4206D">
      <w:rPr>
        <w:noProof/>
        <w:snapToGrid/>
        <w:color w:val="000000" w:themeColor="text1"/>
        <w:lang w:eastAsia="en-AU"/>
      </w:rPr>
      <w:ptab w:relativeTo="margin" w:alignment="right" w:leader="none"/>
    </w:r>
    <w:r w:rsidRPr="00AA5D12">
      <w:rPr>
        <w:b/>
        <w:noProof/>
        <w:snapToGrid/>
        <w:color w:val="808080" w:themeColor="background1" w:themeShade="80"/>
        <w:sz w:val="24"/>
        <w:lang w:eastAsia="en-AU"/>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B3CB4" w14:textId="7EA251BD" w:rsidR="005E5F09" w:rsidRPr="00814CE1" w:rsidRDefault="005E5F09" w:rsidP="00CD4A84">
    <w:pPr>
      <w:pStyle w:val="Header"/>
    </w:pPr>
    <w:r>
      <w:rPr>
        <w:noProof/>
        <w:snapToGrid/>
        <w:lang w:eastAsia="en-AU"/>
      </w:rPr>
      <w:ptab w:relativeTo="margin" w:alignment="right" w:leader="none"/>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CDF25" w14:textId="3426C1BD" w:rsidR="005E5F09" w:rsidRPr="007E5215" w:rsidRDefault="005E5F09" w:rsidP="000702F7">
    <w:pPr>
      <w:pStyle w:val="Header"/>
    </w:pPr>
    <w:r w:rsidRPr="00AB5A95">
      <w:rPr>
        <w:noProof/>
        <w:snapToGrid/>
        <w:color w:val="FFFFFF" w:themeColor="background1"/>
        <w:lang w:eastAsia="en-AU"/>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BF1E" w14:textId="048EFAC4" w:rsidR="005E5F09" w:rsidRPr="008F0566" w:rsidRDefault="005E5F09" w:rsidP="008F0566">
    <w:pPr>
      <w:pStyle w:val="Header"/>
    </w:pPr>
    <w:r>
      <w:rPr>
        <w:rFonts w:ascii="Georgia" w:eastAsia="+mn-ea" w:hAnsi="Georgia"/>
        <w:noProof/>
        <w:szCs w:val="20"/>
        <w:lang w:eastAsia="en-AU"/>
      </w:rPr>
      <mc:AlternateContent>
        <mc:Choice Requires="wps">
          <w:drawing>
            <wp:anchor distT="0" distB="0" distL="114300" distR="114300" simplePos="0" relativeHeight="251652608" behindDoc="1" locked="0" layoutInCell="0" allowOverlap="1" wp14:anchorId="2EA23380" wp14:editId="1736AB15">
              <wp:simplePos x="0" y="0"/>
              <wp:positionH relativeFrom="margin">
                <wp:align>center</wp:align>
              </wp:positionH>
              <wp:positionV relativeFrom="margin">
                <wp:align>center</wp:align>
              </wp:positionV>
              <wp:extent cx="5772150" cy="2308860"/>
              <wp:effectExtent l="0" t="1562100" r="0" b="1263015"/>
              <wp:wrapNone/>
              <wp:docPr id="1068"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5882F3" w14:textId="77777777" w:rsidR="005E5F09" w:rsidRDefault="005E5F09" w:rsidP="00A578C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A23380" id="_x0000_t202" coordsize="21600,21600" o:spt="202" path="m,l,21600r21600,l21600,xe">
              <v:stroke joinstyle="miter"/>
              <v:path gradientshapeok="t" o:connecttype="rect"/>
            </v:shapetype>
            <v:shape id="WordArt 33" o:spid="_x0000_s1027" type="#_x0000_t202" style="position:absolute;margin-left:0;margin-top:0;width:454.5pt;height:181.8pt;rotation:-45;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" o:allowincell="f" filled="f" stroked="f">
              <v:stroke joinstyle="round"/>
              <o:lock v:ext="edit" shapetype="t"/>
              <v:textbox style="mso-fit-shape-to-text:t">
                <w:txbxContent>
                  <w:p w14:paraId="195882F3" w14:textId="77777777" w:rsidR="005E5F09" w:rsidRDefault="005E5F09" w:rsidP="00A578C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napToGrid/>
        <w:lang w:eastAsia="en-AU"/>
      </w:rPr>
      <mc:AlternateContent>
        <mc:Choice Requires="wpg">
          <w:drawing>
            <wp:anchor distT="0" distB="0" distL="114300" distR="114300" simplePos="0" relativeHeight="251654656" behindDoc="0" locked="0" layoutInCell="1" allowOverlap="1" wp14:anchorId="1C28253E" wp14:editId="274E11BB">
              <wp:simplePos x="0" y="0"/>
              <wp:positionH relativeFrom="page">
                <wp:posOffset>0</wp:posOffset>
              </wp:positionH>
              <wp:positionV relativeFrom="page">
                <wp:posOffset>0</wp:posOffset>
              </wp:positionV>
              <wp:extent cx="6912610" cy="10692130"/>
              <wp:effectExtent l="9525" t="9525" r="12065" b="13970"/>
              <wp:wrapNone/>
              <wp:docPr id="17" name="OddGrid" descr="Gr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10692130"/>
                        <a:chOff x="0" y="0"/>
                        <a:chExt cx="10886" cy="16838"/>
                      </a:xfrm>
                    </wpg:grpSpPr>
                    <wpg:grpSp>
                      <wpg:cNvPr id="18" name="Group 2018"/>
                      <wpg:cNvGrpSpPr>
                        <a:grpSpLocks/>
                      </wpg:cNvGrpSpPr>
                      <wpg:grpSpPr bwMode="auto">
                        <a:xfrm>
                          <a:off x="1021" y="567"/>
                          <a:ext cx="9251" cy="15704"/>
                          <a:chOff x="1021" y="567"/>
                          <a:chExt cx="9251" cy="15704"/>
                        </a:xfrm>
                      </wpg:grpSpPr>
                      <wps:wsp>
                        <wps:cNvPr id="21" name="AutoShape 2019"/>
                        <wps:cNvCnPr>
                          <a:cxnSpLocks noChangeShapeType="1"/>
                        </wps:cNvCnPr>
                        <wps:spPr bwMode="auto">
                          <a:xfrm>
                            <a:off x="1021"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2" name="AutoShape 2020"/>
                        <wps:cNvCnPr>
                          <a:cxnSpLocks noChangeShapeType="1"/>
                        </wps:cNvCnPr>
                        <wps:spPr bwMode="auto">
                          <a:xfrm>
                            <a:off x="186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3" name="AutoShape 2021"/>
                        <wps:cNvCnPr>
                          <a:cxnSpLocks noChangeShapeType="1"/>
                        </wps:cNvCnPr>
                        <wps:spPr bwMode="auto">
                          <a:xfrm>
                            <a:off x="2703"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4" name="AutoShape 2022"/>
                        <wps:cNvCnPr>
                          <a:cxnSpLocks noChangeShapeType="1"/>
                        </wps:cNvCnPr>
                        <wps:spPr bwMode="auto">
                          <a:xfrm>
                            <a:off x="3544"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5" name="AutoShape 2023"/>
                        <wps:cNvCnPr>
                          <a:cxnSpLocks noChangeShapeType="1"/>
                        </wps:cNvCnPr>
                        <wps:spPr bwMode="auto">
                          <a:xfrm>
                            <a:off x="438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6" name="AutoShape 2024"/>
                        <wps:cNvCnPr>
                          <a:cxnSpLocks noChangeShapeType="1"/>
                        </wps:cNvCnPr>
                        <wps:spPr bwMode="auto">
                          <a:xfrm>
                            <a:off x="522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7" name="AutoShape 2025"/>
                        <wps:cNvCnPr>
                          <a:cxnSpLocks noChangeShapeType="1"/>
                        </wps:cNvCnPr>
                        <wps:spPr bwMode="auto">
                          <a:xfrm>
                            <a:off x="606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8" name="AutoShape 2026"/>
                        <wps:cNvCnPr>
                          <a:cxnSpLocks noChangeShapeType="1"/>
                        </wps:cNvCnPr>
                        <wps:spPr bwMode="auto">
                          <a:xfrm>
                            <a:off x="690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9" name="AutoShape 2027"/>
                        <wps:cNvCnPr>
                          <a:cxnSpLocks noChangeShapeType="1"/>
                        </wps:cNvCnPr>
                        <wps:spPr bwMode="auto">
                          <a:xfrm>
                            <a:off x="774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 name="AutoShape 2028"/>
                        <wps:cNvCnPr>
                          <a:cxnSpLocks noChangeShapeType="1"/>
                        </wps:cNvCnPr>
                        <wps:spPr bwMode="auto">
                          <a:xfrm>
                            <a:off x="859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1" name="AutoShape 2029"/>
                        <wps:cNvCnPr>
                          <a:cxnSpLocks noChangeShapeType="1"/>
                        </wps:cNvCnPr>
                        <wps:spPr bwMode="auto">
                          <a:xfrm>
                            <a:off x="943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 name="AutoShape 2030"/>
                        <wps:cNvCnPr>
                          <a:cxnSpLocks noChangeShapeType="1"/>
                        </wps:cNvCnPr>
                        <wps:spPr bwMode="auto">
                          <a:xfrm>
                            <a:off x="1027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33" name="AutoShape 2031"/>
                      <wps:cNvCnPr>
                        <a:cxnSpLocks noChangeShapeType="1"/>
                      </wps:cNvCnPr>
                      <wps:spPr bwMode="auto">
                        <a:xfrm>
                          <a:off x="0"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s:wsp>
                      <wps:cNvPr id="34" name="AutoShape 2032"/>
                      <wps:cNvCnPr>
                        <a:cxnSpLocks noChangeShapeType="1"/>
                      </wps:cNvCnPr>
                      <wps:spPr bwMode="auto">
                        <a:xfrm>
                          <a:off x="794"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g:grpSp>
                      <wpg:cNvPr id="35" name="Group 2033"/>
                      <wpg:cNvGrpSpPr>
                        <a:grpSpLocks/>
                      </wpg:cNvGrpSpPr>
                      <wpg:grpSpPr bwMode="auto">
                        <a:xfrm>
                          <a:off x="1021" y="567"/>
                          <a:ext cx="9865" cy="15706"/>
                          <a:chOff x="907" y="567"/>
                          <a:chExt cx="9865" cy="15706"/>
                        </a:xfrm>
                      </wpg:grpSpPr>
                      <wps:wsp>
                        <wps:cNvPr id="36" name="AutoShape 2034"/>
                        <wps:cNvCnPr>
                          <a:cxnSpLocks noChangeShapeType="1"/>
                        </wps:cNvCnPr>
                        <wps:spPr bwMode="auto">
                          <a:xfrm>
                            <a:off x="907" y="16273"/>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7" name="AutoShape 2035"/>
                        <wps:cNvCnPr>
                          <a:cxnSpLocks noChangeShapeType="1"/>
                        </wps:cNvCnPr>
                        <wps:spPr bwMode="auto">
                          <a:xfrm>
                            <a:off x="907" y="1452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8" name="AutoShape 2036"/>
                        <wps:cNvCnPr>
                          <a:cxnSpLocks noChangeShapeType="1"/>
                        </wps:cNvCnPr>
                        <wps:spPr bwMode="auto">
                          <a:xfrm>
                            <a:off x="907" y="567"/>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9" name="AutoShape 2037"/>
                        <wps:cNvCnPr>
                          <a:cxnSpLocks noChangeShapeType="1"/>
                        </wps:cNvCnPr>
                        <wps:spPr bwMode="auto">
                          <a:xfrm>
                            <a:off x="907" y="143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0" name="AutoShape 2038"/>
                        <wps:cNvCnPr>
                          <a:cxnSpLocks noChangeShapeType="1"/>
                        </wps:cNvCnPr>
                        <wps:spPr bwMode="auto">
                          <a:xfrm>
                            <a:off x="907" y="231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1" name="AutoShape 2039"/>
                        <wps:cNvCnPr>
                          <a:cxnSpLocks noChangeShapeType="1"/>
                        </wps:cNvCnPr>
                        <wps:spPr bwMode="auto">
                          <a:xfrm>
                            <a:off x="907" y="318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2" name="AutoShape 2040"/>
                        <wps:cNvCnPr>
                          <a:cxnSpLocks noChangeShapeType="1"/>
                        </wps:cNvCnPr>
                        <wps:spPr bwMode="auto">
                          <a:xfrm>
                            <a:off x="907" y="405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3" name="AutoShape 2041"/>
                        <wps:cNvCnPr>
                          <a:cxnSpLocks noChangeShapeType="1"/>
                        </wps:cNvCnPr>
                        <wps:spPr bwMode="auto">
                          <a:xfrm>
                            <a:off x="907" y="492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4" name="AutoShape 2042"/>
                        <wps:cNvCnPr>
                          <a:cxnSpLocks noChangeShapeType="1"/>
                        </wps:cNvCnPr>
                        <wps:spPr bwMode="auto">
                          <a:xfrm>
                            <a:off x="907" y="580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5" name="AutoShape 2043"/>
                        <wps:cNvCnPr>
                          <a:cxnSpLocks noChangeShapeType="1"/>
                        </wps:cNvCnPr>
                        <wps:spPr bwMode="auto">
                          <a:xfrm>
                            <a:off x="907" y="667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6" name="AutoShape 2044"/>
                        <wps:cNvCnPr>
                          <a:cxnSpLocks noChangeShapeType="1"/>
                        </wps:cNvCnPr>
                        <wps:spPr bwMode="auto">
                          <a:xfrm>
                            <a:off x="907" y="754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7" name="AutoShape 2045"/>
                        <wps:cNvCnPr>
                          <a:cxnSpLocks noChangeShapeType="1"/>
                        </wps:cNvCnPr>
                        <wps:spPr bwMode="auto">
                          <a:xfrm>
                            <a:off x="907" y="842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8" name="AutoShape 2046"/>
                        <wps:cNvCnPr>
                          <a:cxnSpLocks noChangeShapeType="1"/>
                        </wps:cNvCnPr>
                        <wps:spPr bwMode="auto">
                          <a:xfrm>
                            <a:off x="907" y="929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9" name="AutoShape 2047"/>
                        <wps:cNvCnPr>
                          <a:cxnSpLocks noChangeShapeType="1"/>
                        </wps:cNvCnPr>
                        <wps:spPr bwMode="auto">
                          <a:xfrm>
                            <a:off x="907" y="1016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0" name="AutoShape 2048"/>
                        <wps:cNvCnPr>
                          <a:cxnSpLocks noChangeShapeType="1"/>
                        </wps:cNvCnPr>
                        <wps:spPr bwMode="auto">
                          <a:xfrm>
                            <a:off x="907" y="1103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1" name="AutoShape 2049"/>
                        <wps:cNvCnPr>
                          <a:cxnSpLocks noChangeShapeType="1"/>
                        </wps:cNvCnPr>
                        <wps:spPr bwMode="auto">
                          <a:xfrm>
                            <a:off x="907" y="1191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2" name="AutoShape 2050"/>
                        <wps:cNvCnPr>
                          <a:cxnSpLocks noChangeShapeType="1"/>
                        </wps:cNvCnPr>
                        <wps:spPr bwMode="auto">
                          <a:xfrm>
                            <a:off x="907" y="1278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3" name="AutoShape 2051"/>
                        <wps:cNvCnPr>
                          <a:cxnSpLocks noChangeShapeType="1"/>
                        </wps:cNvCnPr>
                        <wps:spPr bwMode="auto">
                          <a:xfrm>
                            <a:off x="907" y="1365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4" name="AutoShape 2052"/>
                        <wps:cNvCnPr>
                          <a:cxnSpLocks noChangeShapeType="1"/>
                        </wps:cNvCnPr>
                        <wps:spPr bwMode="auto">
                          <a:xfrm>
                            <a:off x="907" y="1540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g:grpSp>
                      <wpg:cNvPr id="58" name="Group 2053"/>
                      <wpg:cNvGrpSpPr>
                        <a:grpSpLocks/>
                      </wpg:cNvGrpSpPr>
                      <wpg:grpSpPr bwMode="auto">
                        <a:xfrm>
                          <a:off x="1633" y="567"/>
                          <a:ext cx="9251" cy="15704"/>
                          <a:chOff x="1635" y="567"/>
                          <a:chExt cx="9251" cy="15704"/>
                        </a:xfrm>
                      </wpg:grpSpPr>
                      <wps:wsp>
                        <wps:cNvPr id="59" name="AutoShape 2054"/>
                        <wps:cNvCnPr>
                          <a:cxnSpLocks noChangeShapeType="1"/>
                        </wps:cNvCnPr>
                        <wps:spPr bwMode="auto">
                          <a:xfrm>
                            <a:off x="163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0" name="AutoShape 2055"/>
                        <wps:cNvCnPr>
                          <a:cxnSpLocks noChangeShapeType="1"/>
                        </wps:cNvCnPr>
                        <wps:spPr bwMode="auto">
                          <a:xfrm>
                            <a:off x="247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1" name="AutoShape 2056"/>
                        <wps:cNvCnPr>
                          <a:cxnSpLocks noChangeShapeType="1"/>
                        </wps:cNvCnPr>
                        <wps:spPr bwMode="auto">
                          <a:xfrm>
                            <a:off x="331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2" name="AutoShape 2057"/>
                        <wps:cNvCnPr>
                          <a:cxnSpLocks noChangeShapeType="1"/>
                        </wps:cNvCnPr>
                        <wps:spPr bwMode="auto">
                          <a:xfrm>
                            <a:off x="415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3" name="AutoShape 2058"/>
                        <wps:cNvCnPr>
                          <a:cxnSpLocks noChangeShapeType="1"/>
                        </wps:cNvCnPr>
                        <wps:spPr bwMode="auto">
                          <a:xfrm>
                            <a:off x="499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4" name="AutoShape 2059"/>
                        <wps:cNvCnPr>
                          <a:cxnSpLocks noChangeShapeType="1"/>
                        </wps:cNvCnPr>
                        <wps:spPr bwMode="auto">
                          <a:xfrm>
                            <a:off x="584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5" name="AutoShape 2060"/>
                        <wps:cNvCnPr>
                          <a:cxnSpLocks noChangeShapeType="1"/>
                        </wps:cNvCnPr>
                        <wps:spPr bwMode="auto">
                          <a:xfrm>
                            <a:off x="668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6" name="AutoShape 2061"/>
                        <wps:cNvCnPr>
                          <a:cxnSpLocks noChangeShapeType="1"/>
                        </wps:cNvCnPr>
                        <wps:spPr bwMode="auto">
                          <a:xfrm>
                            <a:off x="752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7" name="AutoShape 2062"/>
                        <wps:cNvCnPr>
                          <a:cxnSpLocks noChangeShapeType="1"/>
                        </wps:cNvCnPr>
                        <wps:spPr bwMode="auto">
                          <a:xfrm>
                            <a:off x="8363"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8" name="AutoShape 2063"/>
                        <wps:cNvCnPr>
                          <a:cxnSpLocks noChangeShapeType="1"/>
                        </wps:cNvCnPr>
                        <wps:spPr bwMode="auto">
                          <a:xfrm>
                            <a:off x="9204"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9" name="AutoShape 2064"/>
                        <wps:cNvCnPr>
                          <a:cxnSpLocks noChangeShapeType="1"/>
                        </wps:cNvCnPr>
                        <wps:spPr bwMode="auto">
                          <a:xfrm>
                            <a:off x="1004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0" name="AutoShape 2065"/>
                        <wps:cNvCnPr>
                          <a:cxnSpLocks noChangeShapeType="1"/>
                        </wps:cNvCnPr>
                        <wps:spPr bwMode="auto">
                          <a:xfrm>
                            <a:off x="10886"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A09B0C5" id="OddGrid" o:spid="_x0000_s1026" alt="Grid" style="position:absolute;margin-left:0;margin-top:0;width:544.3pt;height:841.9pt;z-index:251654656;mso-position-horizontal-relative:page;mso-position-vertical-relative:page" coordsize="1088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">
              <v:group id="Group 2018" o:spid="_x0000_s1027" style="position:absolute;left:1021;top:567;width:9251;height:15704" coordorigin="1021,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32" coordsize="21600,21600" o:spt="32" o:oned="t" path="m,l21600,21600e" filled="f">
                  <v:path arrowok="t" fillok="f" o:connecttype="none"/>
                  <o:lock v:ext="edit" shapetype="t"/>
                </v:shapetype>
                <v:shape id="AutoShape 2019" o:spid="_x0000_s1028" type="#_x0000_t32" style="position:absolute;left:102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" strokecolor="#002060"/>
                <v:shape id="AutoShape 2020" o:spid="_x0000_s1029" type="#_x0000_t32" style="position:absolute;left:186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" strokecolor="#00b0f0"/>
                <v:shape id="AutoShape 2021" o:spid="_x0000_s1030" type="#_x0000_t32" style="position:absolute;left:270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" strokecolor="#00b0f0"/>
                <v:shape id="AutoShape 2022" o:spid="_x0000_s1031" type="#_x0000_t32" style="position:absolute;left:354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" strokecolor="#002060"/>
                <v:shape id="AutoShape 2023" o:spid="_x0000_s1032" type="#_x0000_t32" style="position:absolute;left:438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" strokecolor="#00b0f0"/>
                <v:shape id="AutoShape 2024" o:spid="_x0000_s1033" type="#_x0000_t32" style="position:absolute;left:522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" strokecolor="#00b0f0"/>
                <v:shape id="AutoShape 2025" o:spid="_x0000_s1034" type="#_x0000_t32" style="position:absolute;left:606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" strokecolor="#002060"/>
                <v:shape id="AutoShape 2026" o:spid="_x0000_s1035" type="#_x0000_t32" style="position:absolute;left:690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" strokecolor="#00b0f0"/>
                <v:shape id="AutoShape 2027" o:spid="_x0000_s1036" type="#_x0000_t32" style="position:absolute;left:774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" strokecolor="#00b0f0"/>
                <v:shape id="AutoShape 2028" o:spid="_x0000_s1037" type="#_x0000_t32" style="position:absolute;left:859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" strokecolor="#002060"/>
                <v:shape id="AutoShape 2029" o:spid="_x0000_s1038" type="#_x0000_t32" style="position:absolute;left:943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" strokecolor="#00b0f0"/>
                <v:shape id="AutoShape 2030" o:spid="_x0000_s1039" type="#_x0000_t32" style="position:absolute;left:1027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" strokecolor="#00b0f0"/>
              </v:group>
              <v:shape id="AutoShape 2031" o:spid="_x0000_s1040" type="#_x0000_t32" style="position:absolute;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" strokecolor="#f6f"/>
              <v:shape id="AutoShape 2032" o:spid="_x0000_s1041" type="#_x0000_t32" style="position:absolute;left:794;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" strokecolor="#f6f"/>
              <v:group id="Group 2033" o:spid="_x0000_s1042" style="position:absolute;left:1021;top:567;width:9865;height:15706" coordorigin="907,567" coordsize="9865,1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2034" o:spid="_x0000_s1043" type="#_x0000_t32" style="position:absolute;left:907;top:16273;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" strokecolor="#002060"/>
                <v:shape id="AutoShape 2035" o:spid="_x0000_s1044" type="#_x0000_t32" style="position:absolute;left:907;top:1452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" strokecolor="#00b0f0"/>
                <v:shape id="AutoShape 2036" o:spid="_x0000_s1045" type="#_x0000_t32" style="position:absolute;left:907;top:56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" strokecolor="#002060"/>
                <v:shape id="AutoShape 2037" o:spid="_x0000_s1046" type="#_x0000_t32" style="position:absolute;left:907;top:143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" strokecolor="#00b0f0"/>
                <v:shape id="AutoShape 2038" o:spid="_x0000_s1047" type="#_x0000_t32" style="position:absolute;left:907;top:231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" strokecolor="#00b0f0"/>
                <v:shape id="AutoShape 2039" o:spid="_x0000_s1048" type="#_x0000_t32" style="position:absolute;left:907;top:318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" strokecolor="#00b0f0"/>
                <v:shape id="AutoShape 2040" o:spid="_x0000_s1049" type="#_x0000_t32" style="position:absolute;left:907;top:405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" strokecolor="#00b0f0"/>
                <v:shape id="AutoShape 2041" o:spid="_x0000_s1050" type="#_x0000_t32" style="position:absolute;left:907;top:492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" strokecolor="#00b0f0"/>
                <v:shape id="AutoShape 2042" o:spid="_x0000_s1051" type="#_x0000_t32" style="position:absolute;left:907;top:580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" strokecolor="#00b0f0"/>
                <v:shape id="AutoShape 2043" o:spid="_x0000_s1052" type="#_x0000_t32" style="position:absolute;left:907;top:667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" strokecolor="#00b0f0"/>
                <v:shape id="AutoShape 2044" o:spid="_x0000_s1053" type="#_x0000_t32" style="position:absolute;left:907;top:754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" strokecolor="#00b0f0"/>
                <v:shape id="AutoShape 2045" o:spid="_x0000_s1054" type="#_x0000_t32" style="position:absolute;left:907;top:842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" strokecolor="#00b0f0"/>
                <v:shape id="AutoShape 2046" o:spid="_x0000_s1055" type="#_x0000_t32" style="position:absolute;left:907;top:929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" strokecolor="#00b0f0"/>
                <v:shape id="AutoShape 2047" o:spid="_x0000_s1056" type="#_x0000_t32" style="position:absolute;left:907;top:1016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" strokecolor="#00b0f0"/>
                <v:shape id="AutoShape 2048" o:spid="_x0000_s1057" type="#_x0000_t32" style="position:absolute;left:907;top:1103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" strokecolor="#00b0f0"/>
                <v:shape id="AutoShape 2049" o:spid="_x0000_s1058" type="#_x0000_t32" style="position:absolute;left:907;top:1191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" strokecolor="#00b0f0"/>
                <v:shape id="AutoShape 2050" o:spid="_x0000_s1059" type="#_x0000_t32" style="position:absolute;left:907;top:1278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" strokecolor="#00b0f0"/>
                <v:shape id="AutoShape 2051" o:spid="_x0000_s1060" type="#_x0000_t32" style="position:absolute;left:907;top:1365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" strokecolor="#00b0f0"/>
                <v:shape id="AutoShape 2052" o:spid="_x0000_s1061" type="#_x0000_t32" style="position:absolute;left:907;top:1540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" strokecolor="#00b0f0"/>
              </v:group>
              <v:group id="Group 2053" o:spid="_x0000_s1062" style="position:absolute;left:1633;top:567;width:9251;height:15704" coordorigin="1635,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utoShape 2054" o:spid="_x0000_s1063" type="#_x0000_t32" style="position:absolute;left:163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" strokecolor="#00b0f0"/>
                <v:shape id="AutoShape 2055" o:spid="_x0000_s1064" type="#_x0000_t32" style="position:absolute;left:247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" strokecolor="#00b0f0"/>
                <v:shape id="AutoShape 2056" o:spid="_x0000_s1065" type="#_x0000_t32" style="position:absolute;left:331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" strokecolor="#002060"/>
                <v:shape id="AutoShape 2057" o:spid="_x0000_s1066" type="#_x0000_t32" style="position:absolute;left:415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" strokecolor="#00b0f0"/>
                <v:shape id="AutoShape 2058" o:spid="_x0000_s1067" type="#_x0000_t32" style="position:absolute;left:499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" strokecolor="#00b0f0"/>
                <v:shape id="AutoShape 2059" o:spid="_x0000_s1068" type="#_x0000_t32" style="position:absolute;left:584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" strokecolor="#002060"/>
                <v:shape id="AutoShape 2060" o:spid="_x0000_s1069" type="#_x0000_t32" style="position:absolute;left:668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" strokecolor="#00b0f0"/>
                <v:shape id="AutoShape 2061" o:spid="_x0000_s1070" type="#_x0000_t32" style="position:absolute;left:752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" strokecolor="#00b0f0"/>
                <v:shape id="AutoShape 2062" o:spid="_x0000_s1071" type="#_x0000_t32" style="position:absolute;left:836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" strokecolor="#002060"/>
                <v:shape id="AutoShape 2063" o:spid="_x0000_s1072" type="#_x0000_t32" style="position:absolute;left:920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" strokecolor="#00b0f0"/>
                <v:shape id="AutoShape 2064" o:spid="_x0000_s1073" type="#_x0000_t32" style="position:absolute;left:1004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" strokecolor="#00b0f0"/>
                <v:shape id="AutoShape 2065" o:spid="_x0000_s1074" type="#_x0000_t32" style="position:absolute;left:1088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" strokecolor="#002060"/>
              </v:group>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8279F" w14:textId="08EDB5FD" w:rsidR="005E5F09" w:rsidRPr="00A4206D" w:rsidRDefault="005E5F09" w:rsidP="00AA5D12">
    <w:pPr>
      <w:pStyle w:val="Header"/>
    </w:pPr>
    <w:r>
      <w:rPr>
        <w:noProof/>
        <w:snapToGrid/>
        <w:color w:val="000000" w:themeColor="text1"/>
        <w:lang w:eastAsia="en-AU"/>
      </w:rPr>
      <w:fldChar w:fldCharType="begin"/>
    </w:r>
    <w:r>
      <w:rPr>
        <w:noProof/>
        <w:snapToGrid/>
        <w:color w:val="000000" w:themeColor="text1"/>
        <w:lang w:eastAsia="en-AU"/>
      </w:rPr>
      <w:instrText xml:space="preserve"> STYLEREF  "Heading 2 Appendix" \w </w:instrText>
    </w:r>
    <w:r>
      <w:rPr>
        <w:noProof/>
        <w:snapToGrid/>
        <w:color w:val="000000" w:themeColor="text1"/>
        <w:lang w:eastAsia="en-AU"/>
      </w:rPr>
      <w:fldChar w:fldCharType="separate"/>
    </w:r>
    <w:r w:rsidR="0094767F">
      <w:rPr>
        <w:noProof/>
        <w:snapToGrid/>
        <w:color w:val="000000" w:themeColor="text1"/>
        <w:lang w:eastAsia="en-AU"/>
      </w:rPr>
      <w:t>Appendix B</w:t>
    </w:r>
    <w:r>
      <w:rPr>
        <w:noProof/>
        <w:snapToGrid/>
        <w:color w:val="000000" w:themeColor="text1"/>
        <w:lang w:eastAsia="en-AU"/>
      </w:rPr>
      <w:fldChar w:fldCharType="end"/>
    </w:r>
    <w:r>
      <w:rPr>
        <w:noProof/>
        <w:snapToGrid/>
        <w:color w:val="000000" w:themeColor="text1"/>
        <w:lang w:eastAsia="en-AU"/>
      </w:rPr>
      <w:t xml:space="preserve"> </w:t>
    </w:r>
    <w:r>
      <w:rPr>
        <w:noProof/>
        <w:snapToGrid/>
        <w:color w:val="000000" w:themeColor="text1"/>
        <w:lang w:eastAsia="en-AU"/>
      </w:rPr>
      <w:fldChar w:fldCharType="begin"/>
    </w:r>
    <w:r>
      <w:rPr>
        <w:noProof/>
        <w:snapToGrid/>
        <w:color w:val="000000" w:themeColor="text1"/>
        <w:lang w:eastAsia="en-AU"/>
      </w:rPr>
      <w:instrText xml:space="preserve"> STYLEREF  "Heading 2 Appendix" </w:instrText>
    </w:r>
    <w:r>
      <w:rPr>
        <w:noProof/>
        <w:snapToGrid/>
        <w:color w:val="000000" w:themeColor="text1"/>
        <w:lang w:eastAsia="en-AU"/>
      </w:rPr>
      <w:fldChar w:fldCharType="separate"/>
    </w:r>
    <w:r w:rsidR="0094767F">
      <w:rPr>
        <w:noProof/>
        <w:snapToGrid/>
        <w:color w:val="000000" w:themeColor="text1"/>
        <w:lang w:eastAsia="en-AU"/>
      </w:rPr>
      <w:t>Data</w:t>
    </w:r>
    <w:r>
      <w:rPr>
        <w:noProof/>
        <w:snapToGrid/>
        <w:color w:val="000000" w:themeColor="text1"/>
        <w:lang w:eastAsia="en-AU"/>
      </w:rPr>
      <w:fldChar w:fldCharType="end"/>
    </w:r>
    <w:r w:rsidRPr="00A4206D">
      <w:rPr>
        <w:noProof/>
        <w:snapToGrid/>
        <w:color w:val="000000" w:themeColor="text1"/>
        <w:lang w:eastAsia="en-AU"/>
      </w:rPr>
      <w:ptab w:relativeTo="margin" w:alignment="right" w:leader="none"/>
    </w:r>
    <w:r w:rsidRPr="00AA5D12">
      <w:rPr>
        <w:b/>
        <w:noProof/>
        <w:snapToGrid/>
        <w:color w:val="808080" w:themeColor="background1" w:themeShade="80"/>
        <w:sz w:val="24"/>
        <w:lang w:eastAsia="en-AU"/>
      </w:rPr>
      <w:t xml:space="preserve"> </w:t>
    </w:r>
  </w:p>
  <w:p w14:paraId="7214F0BA" w14:textId="77777777" w:rsidR="005E5F09" w:rsidRPr="00464A2B" w:rsidRDefault="005E5F09" w:rsidP="00464A2B">
    <w:pPr>
      <w:pStyle w:val="Header"/>
      <w:tabs>
        <w:tab w:val="clear" w:pos="8220"/>
        <w:tab w:val="left" w:pos="2693"/>
      </w:tabs>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38095" w14:textId="2FFBA207" w:rsidR="005E5F09" w:rsidRPr="00202D53" w:rsidRDefault="005E5F09" w:rsidP="000702F7">
    <w:pPr>
      <w:pStyle w:val="Header"/>
      <w:rPr>
        <w:color w:val="auto"/>
      </w:rPr>
    </w:pPr>
    <w:r>
      <w:rPr>
        <w:noProof/>
        <w:snapToGrid/>
        <w:color w:val="000000" w:themeColor="text1"/>
        <w:lang w:eastAsia="en-AU"/>
      </w:rPr>
      <w:fldChar w:fldCharType="begin"/>
    </w:r>
    <w:r>
      <w:rPr>
        <w:noProof/>
        <w:snapToGrid/>
        <w:color w:val="000000" w:themeColor="text1"/>
        <w:lang w:eastAsia="en-AU"/>
      </w:rPr>
      <w:instrText xml:space="preserve"> STYLEREF  "Heading 2 Appendix" \w </w:instrText>
    </w:r>
    <w:r>
      <w:rPr>
        <w:noProof/>
        <w:snapToGrid/>
        <w:color w:val="000000" w:themeColor="text1"/>
        <w:lang w:eastAsia="en-AU"/>
      </w:rPr>
      <w:fldChar w:fldCharType="separate"/>
    </w:r>
    <w:r w:rsidR="0094767F">
      <w:rPr>
        <w:noProof/>
        <w:snapToGrid/>
        <w:color w:val="000000" w:themeColor="text1"/>
        <w:lang w:eastAsia="en-AU"/>
      </w:rPr>
      <w:t>Appendix C</w:t>
    </w:r>
    <w:r>
      <w:rPr>
        <w:noProof/>
        <w:snapToGrid/>
        <w:color w:val="000000" w:themeColor="text1"/>
        <w:lang w:eastAsia="en-AU"/>
      </w:rPr>
      <w:fldChar w:fldCharType="end"/>
    </w:r>
    <w:r>
      <w:rPr>
        <w:noProof/>
        <w:snapToGrid/>
        <w:color w:val="000000" w:themeColor="text1"/>
        <w:lang w:eastAsia="en-AU"/>
      </w:rPr>
      <w:t xml:space="preserve"> </w:t>
    </w:r>
    <w:r>
      <w:rPr>
        <w:noProof/>
        <w:snapToGrid/>
        <w:color w:val="000000" w:themeColor="text1"/>
        <w:lang w:eastAsia="en-AU"/>
      </w:rPr>
      <w:fldChar w:fldCharType="begin"/>
    </w:r>
    <w:r>
      <w:rPr>
        <w:noProof/>
        <w:snapToGrid/>
        <w:color w:val="000000" w:themeColor="text1"/>
        <w:lang w:eastAsia="en-AU"/>
      </w:rPr>
      <w:instrText xml:space="preserve"> STYLEREF  "Heading 2 Appendix" </w:instrText>
    </w:r>
    <w:r>
      <w:rPr>
        <w:noProof/>
        <w:snapToGrid/>
        <w:color w:val="000000" w:themeColor="text1"/>
        <w:lang w:eastAsia="en-AU"/>
      </w:rPr>
      <w:fldChar w:fldCharType="separate"/>
    </w:r>
    <w:r w:rsidR="0094767F">
      <w:rPr>
        <w:noProof/>
        <w:snapToGrid/>
        <w:color w:val="000000" w:themeColor="text1"/>
        <w:lang w:eastAsia="en-AU"/>
      </w:rPr>
      <w:t>Model validation</w:t>
    </w:r>
    <w:r>
      <w:rPr>
        <w:noProof/>
        <w:snapToGrid/>
        <w:color w:val="000000" w:themeColor="text1"/>
        <w:lang w:eastAsia="en-AU"/>
      </w:rPr>
      <w:fldChar w:fldCharType="end"/>
    </w:r>
    <w:r w:rsidRPr="00202D53">
      <w:rPr>
        <w:noProof/>
        <w:snapToGrid/>
        <w:color w:val="auto"/>
        <w:lang w:eastAsia="en-AU"/>
      </w:rPr>
      <w:ptab w:relativeTo="margin" w:alignment="right" w:leader="none"/>
    </w:r>
    <w:r w:rsidRPr="00AA5D12">
      <w:rPr>
        <w:b/>
        <w:noProof/>
        <w:snapToGrid/>
        <w:color w:val="808080" w:themeColor="background1" w:themeShade="80"/>
        <w:sz w:val="24"/>
        <w:lang w:eastAsia="en-AU"/>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50105" w14:textId="08BC6DE5" w:rsidR="005E5F09" w:rsidRPr="009B05E3" w:rsidRDefault="005E5F09" w:rsidP="009B05E3">
    <w:pPr>
      <w:pStyle w:val="Header"/>
    </w:pPr>
    <w:r>
      <w:rPr>
        <w:noProof/>
        <w:snapToGrid/>
        <w:color w:val="000000" w:themeColor="text1"/>
        <w:lang w:eastAsia="en-AU"/>
      </w:rPr>
      <w:fldChar w:fldCharType="begin"/>
    </w:r>
    <w:r>
      <w:rPr>
        <w:noProof/>
        <w:snapToGrid/>
        <w:color w:val="000000" w:themeColor="text1"/>
        <w:lang w:eastAsia="en-AU"/>
      </w:rPr>
      <w:instrText xml:space="preserve"> STYLEREF  "Heading 2 Appendix" \w </w:instrText>
    </w:r>
    <w:r>
      <w:rPr>
        <w:noProof/>
        <w:snapToGrid/>
        <w:color w:val="000000" w:themeColor="text1"/>
        <w:lang w:eastAsia="en-AU"/>
      </w:rPr>
      <w:fldChar w:fldCharType="separate"/>
    </w:r>
    <w:r w:rsidR="0094767F">
      <w:rPr>
        <w:noProof/>
        <w:snapToGrid/>
        <w:color w:val="000000" w:themeColor="text1"/>
        <w:lang w:eastAsia="en-AU"/>
      </w:rPr>
      <w:t>Appendix D</w:t>
    </w:r>
    <w:r>
      <w:rPr>
        <w:noProof/>
        <w:snapToGrid/>
        <w:color w:val="000000" w:themeColor="text1"/>
        <w:lang w:eastAsia="en-AU"/>
      </w:rPr>
      <w:fldChar w:fldCharType="end"/>
    </w:r>
    <w:r>
      <w:rPr>
        <w:noProof/>
        <w:snapToGrid/>
        <w:color w:val="000000" w:themeColor="text1"/>
        <w:lang w:eastAsia="en-AU"/>
      </w:rPr>
      <w:t xml:space="preserve"> </w:t>
    </w:r>
    <w:r>
      <w:rPr>
        <w:noProof/>
        <w:snapToGrid/>
        <w:color w:val="000000" w:themeColor="text1"/>
        <w:lang w:eastAsia="en-AU"/>
      </w:rPr>
      <w:fldChar w:fldCharType="begin"/>
    </w:r>
    <w:r>
      <w:rPr>
        <w:noProof/>
        <w:snapToGrid/>
        <w:color w:val="000000" w:themeColor="text1"/>
        <w:lang w:eastAsia="en-AU"/>
      </w:rPr>
      <w:instrText xml:space="preserve"> STYLEREF  "Heading 2 Appendix" </w:instrText>
    </w:r>
    <w:r>
      <w:rPr>
        <w:noProof/>
        <w:snapToGrid/>
        <w:color w:val="000000" w:themeColor="text1"/>
        <w:lang w:eastAsia="en-AU"/>
      </w:rPr>
      <w:fldChar w:fldCharType="separate"/>
    </w:r>
    <w:r w:rsidR="0094767F">
      <w:rPr>
        <w:noProof/>
        <w:snapToGrid/>
        <w:color w:val="000000" w:themeColor="text1"/>
        <w:lang w:eastAsia="en-AU"/>
      </w:rPr>
      <w:t>Model factors</w:t>
    </w:r>
    <w:r>
      <w:rPr>
        <w:noProof/>
        <w:snapToGrid/>
        <w:color w:val="000000" w:themeColor="text1"/>
        <w:lang w:eastAsia="en-AU"/>
      </w:rPr>
      <w:fldChar w:fldCharType="end"/>
    </w:r>
    <w:r w:rsidRPr="00A4206D">
      <w:rPr>
        <w:noProof/>
        <w:snapToGrid/>
        <w:color w:val="000000" w:themeColor="text1"/>
        <w:lang w:eastAsia="en-AU"/>
      </w:rPr>
      <w:ptab w:relativeTo="margin" w:alignment="right" w:leader="none"/>
    </w:r>
    <w:r w:rsidRPr="00AA5D12">
      <w:rPr>
        <w:b/>
        <w:noProof/>
        <w:snapToGrid/>
        <w:color w:val="808080" w:themeColor="background1" w:themeShade="80"/>
        <w:sz w:val="24"/>
        <w:lang w:eastAsia="en-AU"/>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BF82D" w14:textId="31546944" w:rsidR="005E5F09" w:rsidRPr="00662D6A" w:rsidRDefault="005E5F09" w:rsidP="00662D6A">
    <w:pPr>
      <w:pStyle w:val="Footer"/>
      <w:rPr>
        <w:b/>
        <w:color w:val="FFFFFF" w:themeColor="background1"/>
      </w:rPr>
    </w:pPr>
    <w:r w:rsidRPr="00662D6A">
      <w:rPr>
        <w:noProof/>
        <w:snapToGrid/>
        <w:color w:val="FFFFFF" w:themeColor="background1"/>
        <w:lang w:eastAsia="en-AU"/>
      </w:rPr>
      <w:drawing>
        <wp:anchor distT="0" distB="0" distL="114300" distR="114300" simplePos="0" relativeHeight="251644928" behindDoc="1" locked="0" layoutInCell="1" allowOverlap="1" wp14:anchorId="4808D44F" wp14:editId="099151D0">
          <wp:simplePos x="0" y="0"/>
          <wp:positionH relativeFrom="page">
            <wp:posOffset>144379</wp:posOffset>
          </wp:positionH>
          <wp:positionV relativeFrom="page">
            <wp:posOffset>144378</wp:posOffset>
          </wp:positionV>
          <wp:extent cx="7270728" cy="10371221"/>
          <wp:effectExtent l="0" t="0" r="6985" b="0"/>
          <wp:wrapNone/>
          <wp:docPr id="120" name="Picture 120" descr="Decorative grey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n Wright\Desktop\01 Initial Files for TAG\127028556_app and back cov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2000" cy="103730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themeColor="background1"/>
        <w:lang w:eastAsia="en-AU"/>
      </w:rPr>
      <mc:AlternateContent>
        <mc:Choice Requires="wps">
          <w:drawing>
            <wp:anchor distT="0" distB="0" distL="114300" distR="114300" simplePos="0" relativeHeight="251648000" behindDoc="1" locked="0" layoutInCell="0" allowOverlap="1" wp14:anchorId="5E2752BB" wp14:editId="26FC45E5">
              <wp:simplePos x="0" y="0"/>
              <wp:positionH relativeFrom="margin">
                <wp:align>center</wp:align>
              </wp:positionH>
              <wp:positionV relativeFrom="margin">
                <wp:align>center</wp:align>
              </wp:positionV>
              <wp:extent cx="5520055" cy="1839595"/>
              <wp:effectExtent l="0" t="1562100" r="0" b="1351280"/>
              <wp:wrapNone/>
              <wp:docPr id="55" name="WordAr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0055" cy="1839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060AE2" w14:textId="77777777" w:rsidR="005E5F09" w:rsidRDefault="005E5F09"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2752BB" id="_x0000_t202" coordsize="21600,21600" o:spt="202" path="m,l,21600r21600,l21600,xe">
              <v:stroke joinstyle="miter"/>
              <v:path gradientshapeok="t" o:connecttype="rect"/>
            </v:shapetype>
            <v:shape id="WordArt 190" o:spid="_x0000_s1029" type="#_x0000_t202" style="position:absolute;margin-left:0;margin-top:0;width:434.65pt;height:144.85pt;rotation:-45;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" o:allowincell="f" filled="f" stroked="f">
              <v:stroke joinstyle="round"/>
              <o:lock v:ext="edit" shapetype="t"/>
              <v:textbox style="mso-fit-shape-to-text:t">
                <w:txbxContent>
                  <w:p w14:paraId="70060AE2" w14:textId="77777777" w:rsidR="005E5F09" w:rsidRDefault="005E5F09"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662D6A">
      <w:rPr>
        <w:b/>
        <w:color w:val="FFFFFF" w:themeColor="background1"/>
      </w:rPr>
      <w:ptab w:relativeTo="margin" w:alignment="right" w:leader="none"/>
    </w:r>
    <w:r>
      <w:rPr>
        <w:noProof/>
        <w:color w:val="FFFFFF" w:themeColor="background1"/>
        <w:lang w:eastAsia="en-AU"/>
      </w:rPr>
      <mc:AlternateContent>
        <mc:Choice Requires="wps">
          <w:drawing>
            <wp:anchor distT="0" distB="0" distL="114300" distR="114300" simplePos="0" relativeHeight="251646976" behindDoc="1" locked="0" layoutInCell="0" allowOverlap="1" wp14:anchorId="312CED10" wp14:editId="371237E9">
              <wp:simplePos x="0" y="0"/>
              <wp:positionH relativeFrom="margin">
                <wp:align>center</wp:align>
              </wp:positionH>
              <wp:positionV relativeFrom="margin">
                <wp:align>center</wp:align>
              </wp:positionV>
              <wp:extent cx="5520055" cy="1839595"/>
              <wp:effectExtent l="0" t="1562100" r="0" b="1351280"/>
              <wp:wrapNone/>
              <wp:docPr id="4" name="WordAr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0055" cy="1839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BD52E5" w14:textId="77777777" w:rsidR="005E5F09" w:rsidRDefault="005E5F09"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2CED10" id="WordArt 189" o:spid="_x0000_s1030" type="#_x0000_t202" style="position:absolute;margin-left:0;margin-top:0;width:434.65pt;height:144.85pt;rotation:-45;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" o:allowincell="f" filled="f" stroked="f">
              <v:stroke joinstyle="round"/>
              <o:lock v:ext="edit" shapetype="t"/>
              <v:textbox style="mso-fit-shape-to-text:t">
                <w:txbxContent>
                  <w:p w14:paraId="4EBD52E5" w14:textId="77777777" w:rsidR="005E5F09" w:rsidRDefault="005E5F09"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043FA" w14:textId="5D6341A7" w:rsidR="005E5F09" w:rsidRPr="00CC704B" w:rsidRDefault="005E5F09" w:rsidP="00AA5D12">
    <w:pPr>
      <w:pStyle w:val="Header"/>
      <w:rPr>
        <w:color w:val="auto"/>
      </w:rPr>
    </w:pPr>
    <w:r>
      <w:rPr>
        <w:noProof/>
        <w:snapToGrid/>
        <w:color w:val="000000" w:themeColor="text1"/>
        <w:lang w:eastAsia="en-AU"/>
      </w:rPr>
      <w:fldChar w:fldCharType="begin"/>
    </w:r>
    <w:r>
      <w:rPr>
        <w:noProof/>
        <w:snapToGrid/>
        <w:color w:val="000000" w:themeColor="text1"/>
        <w:lang w:eastAsia="en-AU"/>
      </w:rPr>
      <w:instrText xml:space="preserve"> STYLEREF  "Heading 2 Appendix" \w </w:instrText>
    </w:r>
    <w:r>
      <w:rPr>
        <w:noProof/>
        <w:snapToGrid/>
        <w:color w:val="000000" w:themeColor="text1"/>
        <w:lang w:eastAsia="en-AU"/>
      </w:rPr>
      <w:fldChar w:fldCharType="separate"/>
    </w:r>
    <w:r w:rsidR="0094767F">
      <w:rPr>
        <w:noProof/>
        <w:snapToGrid/>
        <w:color w:val="000000" w:themeColor="text1"/>
        <w:lang w:eastAsia="en-AU"/>
      </w:rPr>
      <w:t>Appendix E</w:t>
    </w:r>
    <w:r>
      <w:rPr>
        <w:noProof/>
        <w:snapToGrid/>
        <w:color w:val="000000" w:themeColor="text1"/>
        <w:lang w:eastAsia="en-AU"/>
      </w:rPr>
      <w:fldChar w:fldCharType="end"/>
    </w:r>
    <w:r>
      <w:rPr>
        <w:noProof/>
        <w:snapToGrid/>
        <w:color w:val="000000" w:themeColor="text1"/>
        <w:lang w:eastAsia="en-AU"/>
      </w:rPr>
      <w:t xml:space="preserve"> </w:t>
    </w:r>
    <w:r>
      <w:rPr>
        <w:noProof/>
        <w:snapToGrid/>
        <w:color w:val="000000" w:themeColor="text1"/>
        <w:lang w:eastAsia="en-AU"/>
      </w:rPr>
      <w:fldChar w:fldCharType="begin"/>
    </w:r>
    <w:r>
      <w:rPr>
        <w:noProof/>
        <w:snapToGrid/>
        <w:color w:val="000000" w:themeColor="text1"/>
        <w:lang w:eastAsia="en-AU"/>
      </w:rPr>
      <w:instrText xml:space="preserve"> STYLEREF  "Heading 2 Appendix" </w:instrText>
    </w:r>
    <w:r>
      <w:rPr>
        <w:noProof/>
        <w:snapToGrid/>
        <w:color w:val="000000" w:themeColor="text1"/>
        <w:lang w:eastAsia="en-AU"/>
      </w:rPr>
      <w:fldChar w:fldCharType="separate"/>
    </w:r>
    <w:r w:rsidR="0094767F">
      <w:rPr>
        <w:noProof/>
        <w:snapToGrid/>
        <w:color w:val="000000" w:themeColor="text1"/>
        <w:lang w:eastAsia="en-AU"/>
      </w:rPr>
      <w:t>Glossary</w:t>
    </w:r>
    <w:r>
      <w:rPr>
        <w:noProof/>
        <w:snapToGrid/>
        <w:color w:val="000000" w:themeColor="text1"/>
        <w:lang w:eastAsia="en-AU"/>
      </w:rPr>
      <w:fldChar w:fldCharType="end"/>
    </w:r>
    <w:r w:rsidRPr="00CC704B">
      <w:rPr>
        <w:color w:val="auto"/>
      </w:rPr>
      <w:ptab w:relativeTo="margin" w:alignment="right" w:leader="none"/>
    </w:r>
    <w:r w:rsidRPr="00AA5D12">
      <w:rPr>
        <w:b/>
        <w:noProof/>
        <w:snapToGrid/>
        <w:color w:val="808080" w:themeColor="background1" w:themeShade="80"/>
        <w:sz w:val="24"/>
        <w:lang w:eastAsia="en-AU"/>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A716F" w14:textId="12FDE55A" w:rsidR="005E5F09" w:rsidRPr="00662D6A" w:rsidRDefault="005E5F09" w:rsidP="00662D6A">
    <w:pPr>
      <w:pStyle w:val="Footer"/>
      <w:rPr>
        <w:b/>
        <w:color w:val="FFFFFF" w:themeColor="background1"/>
      </w:rPr>
    </w:pPr>
    <w:r w:rsidRPr="00662D6A">
      <w:rPr>
        <w:b/>
        <w:color w:val="FFFFFF" w:themeColor="background1"/>
      </w:rPr>
      <w:ptab w:relativeTo="margin" w:alignment="right" w:leader="none"/>
    </w:r>
  </w:p>
  <w:p w14:paraId="36AE6DAA" w14:textId="77777777" w:rsidR="005E5F09" w:rsidRPr="00662D6A" w:rsidRDefault="005E5F09" w:rsidP="00662D6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D6F91" w14:textId="4433575C" w:rsidR="005E5F09" w:rsidRDefault="005E5F09" w:rsidP="00CD4A84">
    <w:pPr>
      <w:pStyle w:val="URL"/>
      <w:framePr w:wrap="around" w:x="1004" w:y="437"/>
      <w:numPr>
        <w:ilvl w:val="0"/>
        <w:numId w:val="1"/>
      </w:numPr>
    </w:pPr>
    <w:r>
      <w:t>www.pwc.com.au</w:t>
    </w:r>
  </w:p>
  <w:p w14:paraId="439DDE39" w14:textId="77777777" w:rsidR="005E5F09" w:rsidRPr="00B51431" w:rsidRDefault="005E5F09" w:rsidP="00CD4A84">
    <w:pPr>
      <w:pStyle w:val="Header"/>
      <w:rPr>
        <w:color w:val="FFFFFF" w:themeColor="background1"/>
      </w:rPr>
    </w:pPr>
    <w:r>
      <w:rPr>
        <w:noProof/>
        <w:snapToGrid/>
        <w:lang w:eastAsia="en-AU"/>
      </w:rPr>
      <w:drawing>
        <wp:anchor distT="0" distB="0" distL="114300" distR="114300" simplePos="0" relativeHeight="251643904" behindDoc="1" locked="0" layoutInCell="1" allowOverlap="1" wp14:anchorId="4A7FF06A" wp14:editId="50F7B7B1">
          <wp:simplePos x="0" y="0"/>
          <wp:positionH relativeFrom="page">
            <wp:posOffset>144379</wp:posOffset>
          </wp:positionH>
          <wp:positionV relativeFrom="page">
            <wp:posOffset>144379</wp:posOffset>
          </wp:positionV>
          <wp:extent cx="7271599" cy="10443410"/>
          <wp:effectExtent l="0" t="0" r="5715" b="0"/>
          <wp:wrapNone/>
          <wp:docPr id="389" name="Picture 389" descr="Decorative grey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n Wright\Desktop\01 Initial Files for TAG\127028556_app and back cover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2000" cy="104439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AU"/>
      </w:rPr>
      <w:ptab w:relativeTo="margin" w:alignment="right" w:leader="none"/>
    </w:r>
  </w:p>
  <w:p w14:paraId="1A6314AA" w14:textId="77777777" w:rsidR="005E5F09" w:rsidRPr="00B51431" w:rsidRDefault="005E5F09" w:rsidP="00CD4A84">
    <w:pPr>
      <w:pStyle w:val="Header"/>
    </w:pPr>
  </w:p>
  <w:p w14:paraId="661C7D12" w14:textId="77777777" w:rsidR="005E5F09" w:rsidRPr="00CD4A84" w:rsidRDefault="005E5F09" w:rsidP="00CD4A8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C1BB5" w14:textId="00AB337A" w:rsidR="005E5F09" w:rsidRPr="0073669D" w:rsidRDefault="005E5F09" w:rsidP="00662D6A">
    <w:pPr>
      <w:pStyle w:val="Footer"/>
      <w:rPr>
        <w:b/>
        <w:color w:val="FFFFFF" w:themeColor="background1"/>
      </w:rPr>
    </w:pPr>
    <w:r w:rsidRPr="0073669D">
      <w:rPr>
        <w:color w:val="FFFFFF" w:themeColor="background1"/>
        <w:sz w:val="36"/>
        <w:szCs w:val="36"/>
      </w:rPr>
      <w:t>www.pwc.com.au</w:t>
    </w:r>
    <w:r>
      <w:rPr>
        <w:noProof/>
        <w:snapToGrid/>
        <w:lang w:eastAsia="en-AU"/>
      </w:rPr>
      <w:drawing>
        <wp:anchor distT="0" distB="0" distL="114300" distR="114300" simplePos="0" relativeHeight="251645952" behindDoc="1" locked="0" layoutInCell="1" allowOverlap="1" wp14:anchorId="38F3BC94" wp14:editId="4A4ED72B">
          <wp:simplePos x="0" y="0"/>
          <wp:positionH relativeFrom="page">
            <wp:align>center</wp:align>
          </wp:positionH>
          <wp:positionV relativeFrom="page">
            <wp:align>center</wp:align>
          </wp:positionV>
          <wp:extent cx="7272000" cy="10443600"/>
          <wp:effectExtent l="0" t="0" r="5715" b="0"/>
          <wp:wrapNone/>
          <wp:docPr id="11" name="Picture 11" descr="Decorative grey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n Wright\Desktop\01 Initial Files for TAG\127028556_app and back cover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2000" cy="1044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69D">
      <w:rPr>
        <w:b/>
        <w:color w:val="FFFFFF" w:themeColor="background1"/>
      </w:rPr>
      <w:ptab w:relativeTo="margin" w:alignment="right" w:leader="none"/>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A2F2" w14:textId="3E5B009D" w:rsidR="005E5F09" w:rsidRPr="00CD4A84" w:rsidRDefault="005E5F09" w:rsidP="00CD4A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75DE1" w14:textId="0B4DBF7A" w:rsidR="005E5F09" w:rsidRPr="000F4EB8" w:rsidRDefault="005E5F09" w:rsidP="00CD4A84">
    <w:pPr>
      <w:pStyle w:val="URLCover"/>
      <w:rPr>
        <w:rFonts w:eastAsia="+mn-ea"/>
      </w:rPr>
    </w:pPr>
    <w:r>
      <w:rPr>
        <w:noProof/>
        <w:snapToGrid/>
        <w:lang w:eastAsia="en-AU"/>
      </w:rPr>
      <w:drawing>
        <wp:anchor distT="0" distB="0" distL="114300" distR="114300" simplePos="0" relativeHeight="251662848" behindDoc="0" locked="0" layoutInCell="1" allowOverlap="1" wp14:anchorId="1345DA20" wp14:editId="2A27BDEE">
          <wp:simplePos x="0" y="0"/>
          <wp:positionH relativeFrom="page">
            <wp:posOffset>94891</wp:posOffset>
          </wp:positionH>
          <wp:positionV relativeFrom="page">
            <wp:posOffset>147094</wp:posOffset>
          </wp:positionV>
          <wp:extent cx="7380000" cy="10439110"/>
          <wp:effectExtent l="0" t="0" r="0" b="635"/>
          <wp:wrapNone/>
          <wp:docPr id="2" name="Picture 2" descr="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n Wright\Desktop\01 Initial Files for TAG\127028556_DSS Cover only.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380000" cy="104391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A7B96" w14:textId="5FD8E56D" w:rsidR="005E5F09" w:rsidRPr="00AB5A95" w:rsidRDefault="005E5F09" w:rsidP="00CD4A84">
    <w:pPr>
      <w:pStyle w:val="Header"/>
      <w:rPr>
        <w:color w:val="FFFFFF" w:themeColor="background1"/>
      </w:rPr>
    </w:pPr>
    <w:r w:rsidRPr="00AB5A95">
      <w:rPr>
        <w:noProof/>
        <w:snapToGrid/>
        <w:color w:val="FFFFFF" w:themeColor="background1"/>
        <w:lang w:eastAsia="en-AU"/>
      </w:rP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F72A2" w14:textId="1EE6702D" w:rsidR="005E5F09" w:rsidRPr="00AB5A95" w:rsidRDefault="005E5F09" w:rsidP="008D5428">
    <w:pPr>
      <w:pStyle w:val="Header"/>
      <w:rPr>
        <w:color w:val="FFFFFF" w:themeColor="background1"/>
      </w:rPr>
    </w:pPr>
    <w:r w:rsidRPr="00AB5A95">
      <w:rPr>
        <w:noProof/>
        <w:snapToGrid/>
        <w:color w:val="FFFFFF" w:themeColor="background1"/>
        <w:lang w:eastAsia="en-AU"/>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9E06" w14:textId="7C36DD68" w:rsidR="005E5F09" w:rsidRPr="00AB5A95" w:rsidRDefault="005E5F09" w:rsidP="00CD4A84">
    <w:pPr>
      <w:pStyle w:val="Header"/>
      <w:rPr>
        <w:color w:val="FFFFFF" w:themeColor="background1"/>
      </w:rPr>
    </w:pPr>
    <w:r>
      <w:rPr>
        <w:noProof/>
        <w:color w:val="FFFFFF" w:themeColor="background1"/>
        <w:lang w:eastAsia="en-AU"/>
      </w:rPr>
      <mc:AlternateContent>
        <mc:Choice Requires="wps">
          <w:drawing>
            <wp:anchor distT="0" distB="0" distL="114300" distR="114300" simplePos="0" relativeHeight="251659264" behindDoc="1" locked="0" layoutInCell="0" allowOverlap="1" wp14:anchorId="3221133A" wp14:editId="376EBFAE">
              <wp:simplePos x="0" y="0"/>
              <wp:positionH relativeFrom="margin">
                <wp:align>center</wp:align>
              </wp:positionH>
              <wp:positionV relativeFrom="margin">
                <wp:align>center</wp:align>
              </wp:positionV>
              <wp:extent cx="5520055" cy="1839595"/>
              <wp:effectExtent l="0" t="1562100" r="0" b="1351280"/>
              <wp:wrapNone/>
              <wp:docPr id="1058" name="WordArt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0055" cy="1839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9623F8" w14:textId="77777777" w:rsidR="005E5F09" w:rsidRDefault="005E5F09"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21133A" id="_x0000_t202" coordsize="21600,21600" o:spt="202" path="m,l,21600r21600,l21600,xe">
              <v:stroke joinstyle="miter"/>
              <v:path gradientshapeok="t" o:connecttype="rect"/>
            </v:shapetype>
            <v:shape id="WordArt 149" o:spid="_x0000_s1028" type="#_x0000_t202" style="position:absolute;margin-left:0;margin-top:0;width:434.65pt;height:144.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" o:allowincell="f" filled="f" stroked="f">
              <v:stroke joinstyle="round"/>
              <o:lock v:ext="edit" shapetype="t"/>
              <v:textbox style="mso-fit-shape-to-text:t">
                <w:txbxContent>
                  <w:p w14:paraId="049623F8" w14:textId="77777777" w:rsidR="005E5F09" w:rsidRDefault="005E5F09"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AB5A95">
      <w:rPr>
        <w:noProof/>
        <w:snapToGrid/>
        <w:color w:val="FFFFFF" w:themeColor="background1"/>
        <w:lang w:eastAsia="en-AU"/>
      </w:rPr>
      <w:ptab w:relativeTo="margin" w:alignment="right" w:leader="none"/>
    </w:r>
    <w:r w:rsidRPr="00AB5A95">
      <w:rPr>
        <w:b/>
        <w:noProof/>
        <w:snapToGrid/>
        <w:color w:val="FFFFFF" w:themeColor="background1"/>
        <w:lang w:eastAsia="en-AU"/>
      </w:rPr>
      <w:t>Confidential</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591" w14:textId="473BD1DA" w:rsidR="005E5F09" w:rsidRPr="00A4206D" w:rsidRDefault="005E5F09" w:rsidP="008D5428">
    <w:pPr>
      <w:pStyle w:val="Header"/>
      <w:rPr>
        <w:color w:val="000000" w:themeColor="text1"/>
      </w:rPr>
    </w:pPr>
    <w:r w:rsidRPr="00A4206D">
      <w:rPr>
        <w:noProof/>
        <w:snapToGrid/>
        <w:color w:val="000000" w:themeColor="text1"/>
        <w:lang w:eastAsia="en-AU"/>
      </w:rPr>
      <w:fldChar w:fldCharType="begin"/>
    </w:r>
    <w:r w:rsidRPr="00A4206D">
      <w:rPr>
        <w:noProof/>
        <w:snapToGrid/>
        <w:color w:val="000000" w:themeColor="text1"/>
        <w:lang w:eastAsia="en-AU"/>
      </w:rPr>
      <w:instrText xml:space="preserve"> STYLEREF "Heading 1" </w:instrText>
    </w:r>
    <w:r w:rsidRPr="00A4206D">
      <w:rPr>
        <w:noProof/>
        <w:snapToGrid/>
        <w:color w:val="000000" w:themeColor="text1"/>
        <w:lang w:eastAsia="en-AU"/>
      </w:rPr>
      <w:fldChar w:fldCharType="separate"/>
    </w:r>
    <w:r>
      <w:rPr>
        <w:noProof/>
        <w:snapToGrid/>
        <w:color w:val="000000" w:themeColor="text1"/>
        <w:lang w:eastAsia="en-AU"/>
      </w:rPr>
      <w:t>Part I: Executive summary</w:t>
    </w:r>
    <w:r w:rsidRPr="00A4206D">
      <w:rPr>
        <w:noProof/>
        <w:snapToGrid/>
        <w:color w:val="000000" w:themeColor="text1"/>
        <w:lang w:eastAsia="en-AU"/>
      </w:rPr>
      <w:fldChar w:fldCharType="end"/>
    </w:r>
    <w:r w:rsidRPr="00A4206D">
      <w:rPr>
        <w:noProof/>
        <w:snapToGrid/>
        <w:color w:val="000000" w:themeColor="text1"/>
        <w:lang w:eastAsia="en-AU"/>
      </w:rP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24413" w14:textId="467BFF2D" w:rsidR="005E5F09" w:rsidRPr="00A4206D" w:rsidRDefault="005E5F09" w:rsidP="00202D53">
    <w:pPr>
      <w:pStyle w:val="Header"/>
      <w:rPr>
        <w:color w:val="000000" w:themeColor="text1"/>
      </w:rPr>
    </w:pPr>
    <w:r>
      <w:rPr>
        <w:noProof/>
        <w:snapToGrid/>
        <w:color w:val="000000" w:themeColor="text1"/>
        <w:lang w:eastAsia="en-AU"/>
      </w:rPr>
      <w:t>Executive Summary</w:t>
    </w:r>
    <w:r w:rsidRPr="00A4206D">
      <w:rPr>
        <w:noProof/>
        <w:snapToGrid/>
        <w:color w:val="000000" w:themeColor="text1"/>
        <w:lang w:eastAsia="en-AU"/>
      </w:rPr>
      <w:ptab w:relativeTo="margin" w:alignment="right" w:leader="none"/>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5839" w14:textId="096A1F34" w:rsidR="005E5F09" w:rsidRPr="001F627D" w:rsidRDefault="005E5F09" w:rsidP="001F627D">
    <w:pPr>
      <w:pStyle w:val="Footer"/>
      <w:rPr>
        <w:b/>
        <w:color w:val="FFFFFF" w:themeColor="background1"/>
      </w:rPr>
    </w:pPr>
    <w:r w:rsidRPr="001F627D">
      <w:rPr>
        <w:noProof/>
        <w:snapToGrid/>
        <w:color w:val="FFFFFF" w:themeColor="background1"/>
        <w:lang w:eastAsia="en-AU"/>
      </w:rPr>
      <w:drawing>
        <wp:anchor distT="0" distB="0" distL="114300" distR="114300" simplePos="0" relativeHeight="251657216" behindDoc="1" locked="0" layoutInCell="1" allowOverlap="1" wp14:anchorId="196DCE85" wp14:editId="2EBC518D">
          <wp:simplePos x="0" y="0"/>
          <wp:positionH relativeFrom="page">
            <wp:posOffset>144379</wp:posOffset>
          </wp:positionH>
          <wp:positionV relativeFrom="page">
            <wp:posOffset>144378</wp:posOffset>
          </wp:positionV>
          <wp:extent cx="7270728" cy="10371221"/>
          <wp:effectExtent l="0" t="0" r="6985" b="0"/>
          <wp:wrapNone/>
          <wp:docPr id="10" name="Picture 10"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n Wright\Desktop\01 Initial Files for TAG\127028556_app and back cov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2000" cy="10373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27D">
      <w:rPr>
        <w:b/>
        <w:color w:val="FFFFFF" w:themeColor="background1"/>
      </w:rPr>
      <w:ptab w:relativeTo="margin" w:alignment="right" w:leader="none"/>
    </w:r>
    <w:r w:rsidRPr="001F627D">
      <w:rPr>
        <w:b/>
        <w:color w:val="FFFFFF" w:themeColor="background1"/>
      </w:rPr>
      <w:t>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BE414B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F84BB3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30F15E9"/>
    <w:multiLevelType w:val="multilevel"/>
    <w:tmpl w:val="0C70999A"/>
    <w:styleLink w:val="NormalWhiteBullet"/>
    <w:lvl w:ilvl="0">
      <w:start w:val="1"/>
      <w:numFmt w:val="bullet"/>
      <w:pStyle w:val="TableTextNormalWhiteBullet"/>
      <w:lvlText w:val=""/>
      <w:lvlJc w:val="left"/>
      <w:pPr>
        <w:ind w:left="284" w:hanging="284"/>
      </w:pPr>
      <w:rPr>
        <w:rFonts w:ascii="Symbol" w:hAnsi="Symbol"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5" w15:restartNumberingAfterBreak="0">
    <w:nsid w:val="08112352"/>
    <w:multiLevelType w:val="multilevel"/>
    <w:tmpl w:val="A0E0581C"/>
    <w:styleLink w:val="Bullets"/>
    <w:lvl w:ilvl="0">
      <w:start w:val="1"/>
      <w:numFmt w:val="bullet"/>
      <w:pStyle w:val="Bullet1"/>
      <w:lvlText w:val=""/>
      <w:lvlJc w:val="left"/>
      <w:pPr>
        <w:tabs>
          <w:tab w:val="num" w:pos="284"/>
        </w:tabs>
        <w:ind w:left="284" w:hanging="284"/>
      </w:pPr>
      <w:rPr>
        <w:rFonts w:ascii="Symbol" w:hAnsi="Symbol" w:hint="default"/>
        <w:color w:val="404040" w:themeColor="text1" w:themeTint="BF"/>
      </w:rPr>
    </w:lvl>
    <w:lvl w:ilvl="1">
      <w:start w:val="1"/>
      <w:numFmt w:val="bullet"/>
      <w:pStyle w:val="Bullet2"/>
      <w:lvlText w:val="–"/>
      <w:lvlJc w:val="left"/>
      <w:pPr>
        <w:tabs>
          <w:tab w:val="num" w:pos="567"/>
        </w:tabs>
        <w:ind w:left="568" w:hanging="284"/>
      </w:pPr>
      <w:rPr>
        <w:rFonts w:ascii="Arial" w:hAnsi="Arial" w:hint="default"/>
        <w:color w:val="404040" w:themeColor="text1" w:themeTint="BF"/>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6"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8" w15:restartNumberingAfterBreak="0">
    <w:nsid w:val="0B086541"/>
    <w:multiLevelType w:val="multilevel"/>
    <w:tmpl w:val="572824AC"/>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E0F7965"/>
    <w:multiLevelType w:val="hybridMultilevel"/>
    <w:tmpl w:val="D72EBA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11" w15:restartNumberingAfterBreak="0">
    <w:nsid w:val="133F0943"/>
    <w:multiLevelType w:val="hybridMultilevel"/>
    <w:tmpl w:val="D72EBA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9C76DA"/>
    <w:multiLevelType w:val="hybridMultilevel"/>
    <w:tmpl w:val="D72EBA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D755DA"/>
    <w:multiLevelType w:val="hybridMultilevel"/>
    <w:tmpl w:val="CE4A87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5" w15:restartNumberingAfterBreak="0">
    <w:nsid w:val="16AE49E4"/>
    <w:multiLevelType w:val="hybridMultilevel"/>
    <w:tmpl w:val="CDBC35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6D2359F"/>
    <w:multiLevelType w:val="hybridMultilevel"/>
    <w:tmpl w:val="8BA0F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0" w15:restartNumberingAfterBreak="0">
    <w:nsid w:val="24F87509"/>
    <w:multiLevelType w:val="hybridMultilevel"/>
    <w:tmpl w:val="5A003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83947C2"/>
    <w:multiLevelType w:val="multilevel"/>
    <w:tmpl w:val="50B20D3A"/>
    <w:numStyleLink w:val="TableNumberedListSmall"/>
  </w:abstractNum>
  <w:abstractNum w:abstractNumId="22" w15:restartNumberingAfterBreak="0">
    <w:nsid w:val="285C09A9"/>
    <w:multiLevelType w:val="multilevel"/>
    <w:tmpl w:val="9E5EE414"/>
    <w:styleLink w:val="Appendixheading"/>
    <w:lvl w:ilvl="0">
      <w:start w:val="1"/>
      <w:numFmt w:val="none"/>
      <w:lvlRestart w:val="0"/>
      <w:suff w:val="nothing"/>
      <w:lvlText w:val=""/>
      <w:lvlJc w:val="left"/>
      <w:pPr>
        <w:ind w:left="0" w:firstLine="0"/>
      </w:pPr>
      <w:rPr>
        <w:rFonts w:hint="default"/>
      </w:rPr>
    </w:lvl>
    <w:lvl w:ilvl="1">
      <w:start w:val="1"/>
      <w:numFmt w:val="upperLetter"/>
      <w:lvlRestart w:val="0"/>
      <w:lvlText w:val="%1%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upperLetter"/>
      <w:lvlRestart w:val="0"/>
      <w:lvlText w:val="Appendix %5"/>
      <w:lvlJc w:val="left"/>
      <w:pPr>
        <w:tabs>
          <w:tab w:val="num" w:pos="2552"/>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val="0"/>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23" w15:restartNumberingAfterBreak="0">
    <w:nsid w:val="29F60073"/>
    <w:multiLevelType w:val="multilevel"/>
    <w:tmpl w:val="28909FD8"/>
    <w:lvl w:ilvl="0">
      <w:start w:val="1"/>
      <w:numFmt w:val="decimal"/>
      <w:lvlRestart w:val="0"/>
      <w:pStyle w:val="TableNumberedList1"/>
      <w:lvlText w:val="%1"/>
      <w:lvlJc w:val="left"/>
      <w:pPr>
        <w:tabs>
          <w:tab w:val="num" w:pos="283"/>
        </w:tabs>
        <w:ind w:left="284" w:hanging="284"/>
      </w:pPr>
      <w:rPr>
        <w:rFonts w:ascii="Times New Roman" w:hAnsi="Times New Roman" w:hint="default"/>
        <w:b w:val="0"/>
        <w:i w:val="0"/>
        <w:color w:val="auto"/>
        <w:sz w:val="20"/>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4" w15:restartNumberingAfterBreak="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5"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3AE522F"/>
    <w:multiLevelType w:val="hybridMultilevel"/>
    <w:tmpl w:val="175EC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A69089E"/>
    <w:multiLevelType w:val="hybridMultilevel"/>
    <w:tmpl w:val="5B0A04EE"/>
    <w:lvl w:ilvl="0" w:tplc="0C090017">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3E4F29E4"/>
    <w:multiLevelType w:val="multilevel"/>
    <w:tmpl w:val="D310ABA0"/>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31" w15:restartNumberingAfterBreak="0">
    <w:nsid w:val="3E533147"/>
    <w:multiLevelType w:val="hybridMultilevel"/>
    <w:tmpl w:val="36AE0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E52A50"/>
    <w:multiLevelType w:val="multilevel"/>
    <w:tmpl w:val="EE12AE72"/>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2267E70"/>
    <w:multiLevelType w:val="hybridMultilevel"/>
    <w:tmpl w:val="A880A7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5" w15:restartNumberingAfterBreak="0">
    <w:nsid w:val="47F42844"/>
    <w:multiLevelType w:val="hybridMultilevel"/>
    <w:tmpl w:val="D72EBA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AAB5470"/>
    <w:multiLevelType w:val="multilevel"/>
    <w:tmpl w:val="70E46C8A"/>
    <w:lvl w:ilvl="0">
      <w:start w:val="1"/>
      <w:numFmt w:val="bullet"/>
      <w:lvlRestart w:val="0"/>
      <w:pStyle w:val="ListBullet"/>
      <w:lvlText w:val=""/>
      <w:lvlJc w:val="left"/>
      <w:pPr>
        <w:tabs>
          <w:tab w:val="num" w:pos="284"/>
        </w:tabs>
        <w:ind w:left="284" w:hanging="284"/>
      </w:pPr>
      <w:rPr>
        <w:rFonts w:ascii="Symbol" w:hAnsi="Symbol" w:hint="default"/>
        <w:b w:val="0"/>
        <w:i w:val="0"/>
        <w:color w:val="auto"/>
      </w:rPr>
    </w:lvl>
    <w:lvl w:ilvl="1">
      <w:start w:val="1"/>
      <w:numFmt w:val="bullet"/>
      <w:pStyle w:val="ListBullet2"/>
      <w:lvlText w:val="–"/>
      <w:lvlJc w:val="left"/>
      <w:pPr>
        <w:tabs>
          <w:tab w:val="num" w:pos="567"/>
        </w:tabs>
        <w:ind w:left="568" w:hanging="284"/>
      </w:pPr>
      <w:rPr>
        <w:rFonts w:ascii="Arial" w:hAnsi="Arial" w:hint="default"/>
        <w:b w:val="0"/>
        <w:i w:val="0"/>
        <w:color w:val="auto"/>
      </w:rPr>
    </w:lvl>
    <w:lvl w:ilvl="2">
      <w:start w:val="1"/>
      <w:numFmt w:val="bullet"/>
      <w:pStyle w:val="ListBullet3"/>
      <w:lvlText w:val="◦"/>
      <w:lvlJc w:val="left"/>
      <w:pPr>
        <w:tabs>
          <w:tab w:val="num" w:pos="851"/>
        </w:tabs>
        <w:ind w:left="852" w:hanging="284"/>
      </w:pPr>
      <w:rPr>
        <w:rFonts w:ascii="Georgia" w:hAnsi="Georgia" w:hint="default"/>
        <w:b w:val="0"/>
        <w:i w:val="0"/>
        <w:color w:val="auto"/>
        <w:sz w:val="18"/>
        <w:szCs w:val="10"/>
      </w:rPr>
    </w:lvl>
    <w:lvl w:ilvl="3">
      <w:start w:val="1"/>
      <w:numFmt w:val="bullet"/>
      <w:pStyle w:val="ListBullet4"/>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37" w15:restartNumberingAfterBreak="0">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8" w15:restartNumberingAfterBreak="0">
    <w:nsid w:val="504C3E6C"/>
    <w:multiLevelType w:val="multilevel"/>
    <w:tmpl w:val="9078E2FE"/>
    <w:lvl w:ilvl="0">
      <w:start w:val="1"/>
      <w:numFmt w:val="decimal"/>
      <w:lvlRestart w:val="0"/>
      <w:suff w:val="nothing"/>
      <w:lvlText w:val="%1"/>
      <w:lvlJc w:val="left"/>
      <w:pPr>
        <w:ind w:left="0" w:firstLine="0"/>
      </w:pPr>
      <w:rPr>
        <w:rFonts w:hint="default"/>
      </w:rPr>
    </w:lvl>
    <w:lvl w:ilvl="1">
      <w:start w:val="1"/>
      <w:numFmt w:val="decimal"/>
      <w:pStyle w:val="Heading2ExecutiveSummary"/>
      <w:lvlText w:val="%2."/>
      <w:lvlJc w:val="left"/>
      <w:pPr>
        <w:tabs>
          <w:tab w:val="num" w:pos="851"/>
        </w:tabs>
        <w:ind w:left="851" w:hanging="851"/>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val="0"/>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39" w15:restartNumberingAfterBreak="0">
    <w:nsid w:val="518C39C9"/>
    <w:multiLevelType w:val="multilevel"/>
    <w:tmpl w:val="D93463A2"/>
    <w:styleLink w:val="Style1"/>
    <w:lvl w:ilvl="0">
      <w:start w:val="1"/>
      <w:numFmt w:val="decimal"/>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8520262"/>
    <w:multiLevelType w:val="hybridMultilevel"/>
    <w:tmpl w:val="1FFA1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DC76B7F"/>
    <w:multiLevelType w:val="multilevel"/>
    <w:tmpl w:val="3BF69606"/>
    <w:lvl w:ilvl="0">
      <w:start w:val="1"/>
      <w:numFmt w:val="none"/>
      <w:lvlRestart w:val="0"/>
      <w:suff w:val="nothing"/>
      <w:lvlText w:val=""/>
      <w:lvlJc w:val="left"/>
      <w:pPr>
        <w:ind w:left="0" w:firstLine="0"/>
      </w:pPr>
      <w:rPr>
        <w:rFonts w:hint="default"/>
      </w:rPr>
    </w:lvl>
    <w:lvl w:ilvl="1">
      <w:start w:val="1"/>
      <w:numFmt w:val="upperLetter"/>
      <w:lvlRestart w:val="0"/>
      <w:pStyle w:val="Heading2Appendix"/>
      <w:lvlText w:val="%1%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upperLetter"/>
      <w:lvlRestart w:val="0"/>
      <w:lvlText w:val="Appendix %5"/>
      <w:lvlJc w:val="left"/>
      <w:pPr>
        <w:tabs>
          <w:tab w:val="num" w:pos="2552"/>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val="0"/>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42" w15:restartNumberingAfterBreak="0">
    <w:nsid w:val="5E2324AA"/>
    <w:multiLevelType w:val="multilevel"/>
    <w:tmpl w:val="0F0A3E24"/>
    <w:lvl w:ilvl="0">
      <w:start w:val="1"/>
      <w:numFmt w:val="none"/>
      <w:lvlRestart w:val="0"/>
      <w:pStyle w:val="ChapterNumberLong"/>
      <w:suff w:val="nothing"/>
      <w:lvlText w:val="%1"/>
      <w:lvlJc w:val="left"/>
      <w:pPr>
        <w:ind w:left="0" w:firstLine="0"/>
      </w:pPr>
      <w:rPr>
        <w:rFonts w:hint="default"/>
      </w:rPr>
    </w:lvl>
    <w:lvl w:ilvl="1">
      <w:start w:val="1"/>
      <w:numFmt w:val="decimal"/>
      <w:lvlRestart w:val="0"/>
      <w:pStyle w:val="Heading2"/>
      <w:lvlText w:val="%2"/>
      <w:lvlJc w:val="left"/>
      <w:pPr>
        <w:tabs>
          <w:tab w:val="num" w:pos="851"/>
        </w:tabs>
        <w:ind w:left="851" w:hanging="851"/>
      </w:pPr>
      <w:rPr>
        <w:rFonts w:hint="default"/>
      </w:rPr>
    </w:lvl>
    <w:lvl w:ilvl="2">
      <w:start w:val="1"/>
      <w:numFmt w:val="decimal"/>
      <w:pStyle w:val="Heading3"/>
      <w:lvlText w:val="%2.%3"/>
      <w:lvlJc w:val="left"/>
      <w:pPr>
        <w:tabs>
          <w:tab w:val="num" w:pos="851"/>
        </w:tabs>
        <w:ind w:left="851" w:hanging="851"/>
      </w:pPr>
      <w:rPr>
        <w:rFonts w:hint="default"/>
      </w:rPr>
    </w:lvl>
    <w:lvl w:ilvl="3">
      <w:start w:val="1"/>
      <w:numFmt w:val="decimal"/>
      <w:lvlText w:val="%2.%3.%4"/>
      <w:lvlJc w:val="left"/>
      <w:pPr>
        <w:tabs>
          <w:tab w:val="num" w:pos="851"/>
        </w:tabs>
        <w:ind w:left="851" w:hanging="851"/>
      </w:pPr>
      <w:rPr>
        <w:rFonts w:hint="default"/>
      </w:rPr>
    </w:lvl>
    <w:lvl w:ilvl="4">
      <w:start w:val="1"/>
      <w:numFmt w:val="none"/>
      <w:lvlRestart w:val="0"/>
      <w:lvlText w:val=""/>
      <w:lvlJc w:val="left"/>
      <w:pPr>
        <w:tabs>
          <w:tab w:val="num" w:pos="2552"/>
        </w:tabs>
        <w:ind w:left="0" w:firstLine="0"/>
      </w:pPr>
      <w:rPr>
        <w:rFonts w:hint="default"/>
      </w:rPr>
    </w:lvl>
    <w:lvl w:ilvl="5">
      <w:start w:val="1"/>
      <w:numFmt w:val="none"/>
      <w:lvlRestart w:val="0"/>
      <w:pStyle w:val="AppendixNumberLong"/>
      <w:suff w:val="nothing"/>
      <w:lvlText w:val=""/>
      <w:lvlJc w:val="left"/>
      <w:pPr>
        <w:ind w:left="0" w:firstLine="0"/>
      </w:pPr>
      <w:rPr>
        <w:rFonts w:hint="default"/>
      </w:rPr>
    </w:lvl>
    <w:lvl w:ilvl="6">
      <w:start w:val="1"/>
      <w:numFmt w:val="decimal"/>
      <w:pStyle w:val="Heading8"/>
      <w:lvlText w:val="%7"/>
      <w:lvlJc w:val="left"/>
      <w:pPr>
        <w:tabs>
          <w:tab w:val="num" w:pos="567"/>
        </w:tabs>
        <w:ind w:left="567" w:hanging="567"/>
      </w:pPr>
      <w:rPr>
        <w:rFonts w:hint="default"/>
        <w:b/>
        <w:i/>
      </w:rPr>
    </w:lvl>
    <w:lvl w:ilvl="7">
      <w:start w:val="1"/>
      <w:numFmt w:val="decimal"/>
      <w:pStyle w:val="ChapterNumberedList1"/>
      <w:lvlText w:val="%8"/>
      <w:lvlJc w:val="left"/>
      <w:pPr>
        <w:tabs>
          <w:tab w:val="num" w:pos="567"/>
        </w:tabs>
        <w:ind w:left="567" w:hanging="567"/>
      </w:pPr>
      <w:rPr>
        <w:rFonts w:hint="default"/>
        <w:b w:val="0"/>
        <w:i w:val="0"/>
        <w:color w:val="auto"/>
      </w:rPr>
    </w:lvl>
    <w:lvl w:ilvl="8">
      <w:start w:val="1"/>
      <w:numFmt w:val="lowerLetter"/>
      <w:pStyle w:val="ChapterNumberedList2"/>
      <w:lvlText w:val="%9"/>
      <w:lvlJc w:val="left"/>
      <w:pPr>
        <w:tabs>
          <w:tab w:val="num" w:pos="1134"/>
        </w:tabs>
        <w:ind w:left="1134" w:hanging="567"/>
      </w:pPr>
      <w:rPr>
        <w:rFonts w:hint="default"/>
        <w:b w:val="0"/>
        <w:i w:val="0"/>
        <w:color w:val="auto"/>
      </w:rPr>
    </w:lvl>
  </w:abstractNum>
  <w:abstractNum w:abstractNumId="43" w15:restartNumberingAfterBreak="0">
    <w:nsid w:val="63917BB9"/>
    <w:multiLevelType w:val="multilevel"/>
    <w:tmpl w:val="D286DFA4"/>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44" w15:restartNumberingAfterBreak="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5" w15:restartNumberingAfterBreak="0">
    <w:nsid w:val="6D0E1125"/>
    <w:multiLevelType w:val="hybridMultilevel"/>
    <w:tmpl w:val="E3720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7518CF"/>
    <w:multiLevelType w:val="multilevel"/>
    <w:tmpl w:val="A0E0581C"/>
    <w:name w:val="Bullets2"/>
    <w:numStyleLink w:val="Bullets"/>
  </w:abstractNum>
  <w:abstractNum w:abstractNumId="47" w15:restartNumberingAfterBreak="0">
    <w:nsid w:val="78745F8E"/>
    <w:multiLevelType w:val="hybridMultilevel"/>
    <w:tmpl w:val="2C3C62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91D0EC4"/>
    <w:multiLevelType w:val="hybridMultilevel"/>
    <w:tmpl w:val="D72EBA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92A2490"/>
    <w:multiLevelType w:val="hybridMultilevel"/>
    <w:tmpl w:val="E30CCB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0" w15:restartNumberingAfterBreak="0">
    <w:nsid w:val="7C9B0FD4"/>
    <w:multiLevelType w:val="hybridMultilevel"/>
    <w:tmpl w:val="FB6AC24A"/>
    <w:lvl w:ilvl="0" w:tplc="6A54A3A2">
      <w:start w:val="2016"/>
      <w:numFmt w:val="bullet"/>
      <w:lvlText w:val="-"/>
      <w:lvlJc w:val="left"/>
      <w:pPr>
        <w:ind w:left="405" w:hanging="360"/>
      </w:pPr>
      <w:rPr>
        <w:rFonts w:ascii="Arial" w:eastAsia="Times New Roman" w:hAnsi="Arial" w:cs="Arial"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num w:numId="1">
    <w:abstractNumId w:val="43"/>
  </w:num>
  <w:num w:numId="2">
    <w:abstractNumId w:val="18"/>
  </w:num>
  <w:num w:numId="3">
    <w:abstractNumId w:val="2"/>
  </w:num>
  <w:num w:numId="4">
    <w:abstractNumId w:val="38"/>
  </w:num>
  <w:num w:numId="5">
    <w:abstractNumId w:val="25"/>
  </w:num>
  <w:num w:numId="6">
    <w:abstractNumId w:val="4"/>
  </w:num>
  <w:num w:numId="7">
    <w:abstractNumId w:val="5"/>
  </w:num>
  <w:num w:numId="8">
    <w:abstractNumId w:val="30"/>
  </w:num>
  <w:num w:numId="9">
    <w:abstractNumId w:val="6"/>
  </w:num>
  <w:num w:numId="10">
    <w:abstractNumId w:val="26"/>
  </w:num>
  <w:num w:numId="11">
    <w:abstractNumId w:val="10"/>
  </w:num>
  <w:num w:numId="12">
    <w:abstractNumId w:val="36"/>
  </w:num>
  <w:num w:numId="13">
    <w:abstractNumId w:val="8"/>
  </w:num>
  <w:num w:numId="14">
    <w:abstractNumId w:val="17"/>
  </w:num>
  <w:num w:numId="15">
    <w:abstractNumId w:val="3"/>
  </w:num>
  <w:num w:numId="16">
    <w:abstractNumId w:val="32"/>
  </w:num>
  <w:num w:numId="17">
    <w:abstractNumId w:val="7"/>
  </w:num>
  <w:num w:numId="18">
    <w:abstractNumId w:val="39"/>
  </w:num>
  <w:num w:numId="19">
    <w:abstractNumId w:val="37"/>
  </w:num>
  <w:num w:numId="20">
    <w:abstractNumId w:val="24"/>
  </w:num>
  <w:num w:numId="21">
    <w:abstractNumId w:val="44"/>
  </w:num>
  <w:num w:numId="22">
    <w:abstractNumId w:val="34"/>
  </w:num>
  <w:num w:numId="23">
    <w:abstractNumId w:val="19"/>
  </w:num>
  <w:num w:numId="24">
    <w:abstractNumId w:val="23"/>
  </w:num>
  <w:num w:numId="25">
    <w:abstractNumId w:val="14"/>
  </w:num>
  <w:num w:numId="26">
    <w:abstractNumId w:val="21"/>
  </w:num>
  <w:num w:numId="27">
    <w:abstractNumId w:val="3"/>
  </w:num>
  <w:num w:numId="28">
    <w:abstractNumId w:val="39"/>
  </w:num>
  <w:num w:numId="29">
    <w:abstractNumId w:val="43"/>
  </w:num>
  <w:num w:numId="30">
    <w:abstractNumId w:val="46"/>
  </w:num>
  <w:num w:numId="31">
    <w:abstractNumId w:val="27"/>
  </w:num>
  <w:num w:numId="32">
    <w:abstractNumId w:val="45"/>
  </w:num>
  <w:num w:numId="33">
    <w:abstractNumId w:val="22"/>
  </w:num>
  <w:num w:numId="34">
    <w:abstractNumId w:val="42"/>
  </w:num>
  <w:num w:numId="35">
    <w:abstractNumId w:val="41"/>
    <w:lvlOverride w:ilvl="0">
      <w:lvl w:ilvl="0">
        <w:start w:val="1"/>
        <w:numFmt w:val="none"/>
        <w:lvlRestart w:val="0"/>
        <w:suff w:val="nothing"/>
        <w:lvlText w:val=""/>
        <w:lvlJc w:val="left"/>
        <w:pPr>
          <w:ind w:left="0" w:firstLine="0"/>
        </w:pPr>
        <w:rPr>
          <w:rFonts w:hint="default"/>
        </w:rPr>
      </w:lvl>
    </w:lvlOverride>
    <w:lvlOverride w:ilvl="1">
      <w:lvl w:ilvl="1">
        <w:start w:val="1"/>
        <w:numFmt w:val="upperLetter"/>
        <w:lvlRestart w:val="0"/>
        <w:pStyle w:val="Heading2Appendix"/>
        <w:lvlText w:val="Appendix %1%2"/>
        <w:lvlJc w:val="left"/>
        <w:pPr>
          <w:tabs>
            <w:tab w:val="num" w:pos="2268"/>
          </w:tabs>
          <w:ind w:left="2268" w:hanging="2268"/>
        </w:pPr>
        <w:rPr>
          <w:rFonts w:hint="default"/>
        </w:rPr>
      </w:lvl>
    </w:lvlOverride>
    <w:lvlOverride w:ilvl="2">
      <w:lvl w:ilvl="2">
        <w:start w:val="1"/>
        <w:numFmt w:val="decimal"/>
        <w:lvlText w:val="%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upperLetter"/>
        <w:lvlRestart w:val="0"/>
        <w:lvlText w:val="Appendix %5"/>
        <w:lvlJc w:val="left"/>
        <w:pPr>
          <w:tabs>
            <w:tab w:val="num" w:pos="2552"/>
          </w:tabs>
          <w:ind w:left="0" w:firstLine="0"/>
        </w:pPr>
        <w:rPr>
          <w:rFonts w:hint="default"/>
        </w:rPr>
      </w:lvl>
    </w:lvlOverride>
    <w:lvlOverride w:ilvl="5">
      <w:lvl w:ilvl="5">
        <w:start w:val="1"/>
        <w:numFmt w:val="upperLetter"/>
        <w:lvlRestart w:val="0"/>
        <w:suff w:val="nothing"/>
        <w:lvlText w:val="Appendix %6"/>
        <w:lvlJc w:val="left"/>
        <w:pPr>
          <w:ind w:left="0" w:firstLine="0"/>
        </w:pPr>
        <w:rPr>
          <w:rFonts w:hint="default"/>
        </w:rPr>
      </w:lvl>
    </w:lvlOverride>
    <w:lvlOverride w:ilvl="6">
      <w:lvl w:ilvl="6">
        <w:start w:val="1"/>
        <w:numFmt w:val="decimal"/>
        <w:lvlText w:val="%7"/>
        <w:lvlJc w:val="left"/>
        <w:pPr>
          <w:tabs>
            <w:tab w:val="num" w:pos="567"/>
          </w:tabs>
          <w:ind w:left="567" w:hanging="567"/>
        </w:pPr>
        <w:rPr>
          <w:rFonts w:hint="default"/>
          <w:b/>
          <w:i/>
        </w:rPr>
      </w:lvl>
    </w:lvlOverride>
    <w:lvlOverride w:ilvl="7">
      <w:lvl w:ilvl="7">
        <w:start w:val="1"/>
        <w:numFmt w:val="decimal"/>
        <w:lvlText w:val="%8"/>
        <w:lvlJc w:val="left"/>
        <w:pPr>
          <w:tabs>
            <w:tab w:val="num" w:pos="567"/>
          </w:tabs>
          <w:ind w:left="567" w:hanging="567"/>
        </w:pPr>
        <w:rPr>
          <w:rFonts w:hint="default"/>
          <w:b w:val="0"/>
          <w:i w:val="0"/>
          <w:color w:val="auto"/>
        </w:rPr>
      </w:lvl>
    </w:lvlOverride>
    <w:lvlOverride w:ilvl="8">
      <w:lvl w:ilvl="8">
        <w:start w:val="1"/>
        <w:numFmt w:val="lowerLetter"/>
        <w:lvlText w:val="%9"/>
        <w:lvlJc w:val="left"/>
        <w:pPr>
          <w:tabs>
            <w:tab w:val="num" w:pos="1134"/>
          </w:tabs>
          <w:ind w:left="1134" w:hanging="567"/>
        </w:pPr>
        <w:rPr>
          <w:rFonts w:hint="default"/>
          <w:b w:val="0"/>
          <w:i w:val="0"/>
          <w:color w:val="auto"/>
        </w:rPr>
      </w:lvl>
    </w:lvlOverride>
  </w:num>
  <w:num w:numId="36">
    <w:abstractNumId w:val="49"/>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33"/>
  </w:num>
  <w:num w:numId="48">
    <w:abstractNumId w:val="20"/>
  </w:num>
  <w:num w:numId="49">
    <w:abstractNumId w:val="47"/>
  </w:num>
  <w:num w:numId="50">
    <w:abstractNumId w:val="40"/>
  </w:num>
  <w:num w:numId="51">
    <w:abstractNumId w:val="15"/>
  </w:num>
  <w:num w:numId="52">
    <w:abstractNumId w:val="13"/>
  </w:num>
  <w:num w:numId="53">
    <w:abstractNumId w:val="48"/>
  </w:num>
  <w:num w:numId="54">
    <w:abstractNumId w:val="29"/>
  </w:num>
  <w:num w:numId="55">
    <w:abstractNumId w:val="35"/>
  </w:num>
  <w:num w:numId="56">
    <w:abstractNumId w:val="9"/>
  </w:num>
  <w:num w:numId="57">
    <w:abstractNumId w:val="11"/>
  </w:num>
  <w:num w:numId="58">
    <w:abstractNumId w:val="12"/>
  </w:num>
  <w:num w:numId="59">
    <w:abstractNumId w:val="0"/>
  </w:num>
  <w:num w:numId="60">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isplayHorizontalDrawingGridEvery w:val="2"/>
  <w:characterSpacingControl w:val="doNotCompress"/>
  <w:hdrShapeDefaults>
    <o:shapedefaults v:ext="edit" spidmax="2049"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399"/>
    <w:rsid w:val="00000267"/>
    <w:rsid w:val="000008BE"/>
    <w:rsid w:val="00000E07"/>
    <w:rsid w:val="00000E27"/>
    <w:rsid w:val="000010DC"/>
    <w:rsid w:val="000012FE"/>
    <w:rsid w:val="00001404"/>
    <w:rsid w:val="00001687"/>
    <w:rsid w:val="000017C4"/>
    <w:rsid w:val="00002F7F"/>
    <w:rsid w:val="00002F85"/>
    <w:rsid w:val="0000452C"/>
    <w:rsid w:val="000046CA"/>
    <w:rsid w:val="00004A4E"/>
    <w:rsid w:val="00004C82"/>
    <w:rsid w:val="00004E44"/>
    <w:rsid w:val="00005044"/>
    <w:rsid w:val="0000587B"/>
    <w:rsid w:val="00005CEB"/>
    <w:rsid w:val="00006B9F"/>
    <w:rsid w:val="00006DC6"/>
    <w:rsid w:val="00007406"/>
    <w:rsid w:val="00007599"/>
    <w:rsid w:val="00007EFD"/>
    <w:rsid w:val="00010A5D"/>
    <w:rsid w:val="00011B56"/>
    <w:rsid w:val="000139B6"/>
    <w:rsid w:val="00013C0E"/>
    <w:rsid w:val="00013DFD"/>
    <w:rsid w:val="000143E9"/>
    <w:rsid w:val="000148A7"/>
    <w:rsid w:val="00014CFF"/>
    <w:rsid w:val="00015271"/>
    <w:rsid w:val="00015598"/>
    <w:rsid w:val="00015F3F"/>
    <w:rsid w:val="000165FF"/>
    <w:rsid w:val="00017186"/>
    <w:rsid w:val="000203C2"/>
    <w:rsid w:val="00020D16"/>
    <w:rsid w:val="00020F39"/>
    <w:rsid w:val="00020F7F"/>
    <w:rsid w:val="00020F8D"/>
    <w:rsid w:val="00021020"/>
    <w:rsid w:val="000219D0"/>
    <w:rsid w:val="000226D8"/>
    <w:rsid w:val="00022F70"/>
    <w:rsid w:val="00023712"/>
    <w:rsid w:val="00023C97"/>
    <w:rsid w:val="00023EAB"/>
    <w:rsid w:val="0002400B"/>
    <w:rsid w:val="00025387"/>
    <w:rsid w:val="00025538"/>
    <w:rsid w:val="000258DF"/>
    <w:rsid w:val="00025D5E"/>
    <w:rsid w:val="00027B5F"/>
    <w:rsid w:val="0003004A"/>
    <w:rsid w:val="000308DC"/>
    <w:rsid w:val="00031309"/>
    <w:rsid w:val="000316F9"/>
    <w:rsid w:val="000317A6"/>
    <w:rsid w:val="000318E9"/>
    <w:rsid w:val="000324F8"/>
    <w:rsid w:val="000326BA"/>
    <w:rsid w:val="000327FB"/>
    <w:rsid w:val="00032B92"/>
    <w:rsid w:val="000334A2"/>
    <w:rsid w:val="00033E5E"/>
    <w:rsid w:val="000346A9"/>
    <w:rsid w:val="00035288"/>
    <w:rsid w:val="0003531D"/>
    <w:rsid w:val="0003687B"/>
    <w:rsid w:val="00037061"/>
    <w:rsid w:val="00037542"/>
    <w:rsid w:val="000377D1"/>
    <w:rsid w:val="00037911"/>
    <w:rsid w:val="00037D92"/>
    <w:rsid w:val="0004030F"/>
    <w:rsid w:val="00040BC7"/>
    <w:rsid w:val="0004161E"/>
    <w:rsid w:val="00041787"/>
    <w:rsid w:val="000418DB"/>
    <w:rsid w:val="00041E14"/>
    <w:rsid w:val="00042109"/>
    <w:rsid w:val="000423B6"/>
    <w:rsid w:val="00042517"/>
    <w:rsid w:val="0004263B"/>
    <w:rsid w:val="0004285E"/>
    <w:rsid w:val="00042AE7"/>
    <w:rsid w:val="00043650"/>
    <w:rsid w:val="0004409E"/>
    <w:rsid w:val="00044237"/>
    <w:rsid w:val="000444FF"/>
    <w:rsid w:val="000473AE"/>
    <w:rsid w:val="00047714"/>
    <w:rsid w:val="000506A5"/>
    <w:rsid w:val="000509A8"/>
    <w:rsid w:val="00050ACB"/>
    <w:rsid w:val="00051862"/>
    <w:rsid w:val="00051AB3"/>
    <w:rsid w:val="00051F41"/>
    <w:rsid w:val="000520AB"/>
    <w:rsid w:val="0005222A"/>
    <w:rsid w:val="0005289F"/>
    <w:rsid w:val="00052948"/>
    <w:rsid w:val="000529A7"/>
    <w:rsid w:val="000531AA"/>
    <w:rsid w:val="00053B82"/>
    <w:rsid w:val="00054424"/>
    <w:rsid w:val="00054C40"/>
    <w:rsid w:val="00055A6A"/>
    <w:rsid w:val="00055AC1"/>
    <w:rsid w:val="00055BAE"/>
    <w:rsid w:val="00055EA9"/>
    <w:rsid w:val="0005601E"/>
    <w:rsid w:val="000564EC"/>
    <w:rsid w:val="0005674C"/>
    <w:rsid w:val="00056B25"/>
    <w:rsid w:val="00056E48"/>
    <w:rsid w:val="00056FF3"/>
    <w:rsid w:val="000576C1"/>
    <w:rsid w:val="000576C4"/>
    <w:rsid w:val="000606D1"/>
    <w:rsid w:val="000608D7"/>
    <w:rsid w:val="00061068"/>
    <w:rsid w:val="000619A2"/>
    <w:rsid w:val="00061DA1"/>
    <w:rsid w:val="000634B8"/>
    <w:rsid w:val="00063503"/>
    <w:rsid w:val="00063BE4"/>
    <w:rsid w:val="00064170"/>
    <w:rsid w:val="00064A4C"/>
    <w:rsid w:val="00064A8F"/>
    <w:rsid w:val="00064B40"/>
    <w:rsid w:val="00064EB8"/>
    <w:rsid w:val="0006530A"/>
    <w:rsid w:val="000655AF"/>
    <w:rsid w:val="00065B5B"/>
    <w:rsid w:val="0006621A"/>
    <w:rsid w:val="00066753"/>
    <w:rsid w:val="00066A3D"/>
    <w:rsid w:val="00066E33"/>
    <w:rsid w:val="00067532"/>
    <w:rsid w:val="000679F1"/>
    <w:rsid w:val="00067A90"/>
    <w:rsid w:val="00067EC5"/>
    <w:rsid w:val="00067FC5"/>
    <w:rsid w:val="00070164"/>
    <w:rsid w:val="000702F7"/>
    <w:rsid w:val="00070486"/>
    <w:rsid w:val="00070875"/>
    <w:rsid w:val="000713BA"/>
    <w:rsid w:val="0007221A"/>
    <w:rsid w:val="00072236"/>
    <w:rsid w:val="00072850"/>
    <w:rsid w:val="00072D5B"/>
    <w:rsid w:val="0007417E"/>
    <w:rsid w:val="000747FE"/>
    <w:rsid w:val="00074BD9"/>
    <w:rsid w:val="0007527B"/>
    <w:rsid w:val="00076C97"/>
    <w:rsid w:val="000778D4"/>
    <w:rsid w:val="00077BEE"/>
    <w:rsid w:val="00077EBF"/>
    <w:rsid w:val="00077F1D"/>
    <w:rsid w:val="0008001B"/>
    <w:rsid w:val="00080254"/>
    <w:rsid w:val="00080442"/>
    <w:rsid w:val="00080AF8"/>
    <w:rsid w:val="00080D50"/>
    <w:rsid w:val="0008139D"/>
    <w:rsid w:val="00081A58"/>
    <w:rsid w:val="00081A83"/>
    <w:rsid w:val="00082CD9"/>
    <w:rsid w:val="00083051"/>
    <w:rsid w:val="00083357"/>
    <w:rsid w:val="000833A2"/>
    <w:rsid w:val="000836DA"/>
    <w:rsid w:val="00083E99"/>
    <w:rsid w:val="00083FFC"/>
    <w:rsid w:val="000847B3"/>
    <w:rsid w:val="00084B93"/>
    <w:rsid w:val="00084BD2"/>
    <w:rsid w:val="00084C5B"/>
    <w:rsid w:val="0008679C"/>
    <w:rsid w:val="00087048"/>
    <w:rsid w:val="00087C5B"/>
    <w:rsid w:val="000905BA"/>
    <w:rsid w:val="000907F6"/>
    <w:rsid w:val="00090AAB"/>
    <w:rsid w:val="00091458"/>
    <w:rsid w:val="000922E9"/>
    <w:rsid w:val="0009340E"/>
    <w:rsid w:val="00093848"/>
    <w:rsid w:val="00093972"/>
    <w:rsid w:val="00093B18"/>
    <w:rsid w:val="00093B4E"/>
    <w:rsid w:val="00094408"/>
    <w:rsid w:val="00094721"/>
    <w:rsid w:val="0009489E"/>
    <w:rsid w:val="00096CE6"/>
    <w:rsid w:val="00096F31"/>
    <w:rsid w:val="000974E7"/>
    <w:rsid w:val="00097676"/>
    <w:rsid w:val="00097678"/>
    <w:rsid w:val="00097740"/>
    <w:rsid w:val="000A0570"/>
    <w:rsid w:val="000A0836"/>
    <w:rsid w:val="000A0BCD"/>
    <w:rsid w:val="000A19BE"/>
    <w:rsid w:val="000A1F3F"/>
    <w:rsid w:val="000A21A7"/>
    <w:rsid w:val="000A2303"/>
    <w:rsid w:val="000A27B8"/>
    <w:rsid w:val="000A30F0"/>
    <w:rsid w:val="000A35DE"/>
    <w:rsid w:val="000A38AA"/>
    <w:rsid w:val="000A3986"/>
    <w:rsid w:val="000A3D3E"/>
    <w:rsid w:val="000A4154"/>
    <w:rsid w:val="000A4352"/>
    <w:rsid w:val="000A51EE"/>
    <w:rsid w:val="000A5360"/>
    <w:rsid w:val="000A6014"/>
    <w:rsid w:val="000A67AE"/>
    <w:rsid w:val="000A6C7B"/>
    <w:rsid w:val="000A6F12"/>
    <w:rsid w:val="000A7182"/>
    <w:rsid w:val="000A744F"/>
    <w:rsid w:val="000A770F"/>
    <w:rsid w:val="000A78CD"/>
    <w:rsid w:val="000A7A1E"/>
    <w:rsid w:val="000B00A4"/>
    <w:rsid w:val="000B0862"/>
    <w:rsid w:val="000B0A40"/>
    <w:rsid w:val="000B1068"/>
    <w:rsid w:val="000B1935"/>
    <w:rsid w:val="000B1C9E"/>
    <w:rsid w:val="000B2A0C"/>
    <w:rsid w:val="000B2B48"/>
    <w:rsid w:val="000B319E"/>
    <w:rsid w:val="000B3A67"/>
    <w:rsid w:val="000B510F"/>
    <w:rsid w:val="000B5AFD"/>
    <w:rsid w:val="000B6197"/>
    <w:rsid w:val="000B61EE"/>
    <w:rsid w:val="000B62A0"/>
    <w:rsid w:val="000B65CE"/>
    <w:rsid w:val="000B6F63"/>
    <w:rsid w:val="000B741C"/>
    <w:rsid w:val="000B74A8"/>
    <w:rsid w:val="000B7AB9"/>
    <w:rsid w:val="000B7AC9"/>
    <w:rsid w:val="000B7E22"/>
    <w:rsid w:val="000B7F93"/>
    <w:rsid w:val="000C009C"/>
    <w:rsid w:val="000C0109"/>
    <w:rsid w:val="000C0DC8"/>
    <w:rsid w:val="000C0F43"/>
    <w:rsid w:val="000C10E3"/>
    <w:rsid w:val="000C17D9"/>
    <w:rsid w:val="000C1B8D"/>
    <w:rsid w:val="000C2EC5"/>
    <w:rsid w:val="000C312A"/>
    <w:rsid w:val="000C313F"/>
    <w:rsid w:val="000C321B"/>
    <w:rsid w:val="000C3423"/>
    <w:rsid w:val="000C360D"/>
    <w:rsid w:val="000C4204"/>
    <w:rsid w:val="000C427F"/>
    <w:rsid w:val="000C4821"/>
    <w:rsid w:val="000C4EB1"/>
    <w:rsid w:val="000C56BD"/>
    <w:rsid w:val="000C5D73"/>
    <w:rsid w:val="000C5EEC"/>
    <w:rsid w:val="000C5F39"/>
    <w:rsid w:val="000C6A99"/>
    <w:rsid w:val="000C6DD7"/>
    <w:rsid w:val="000C6F10"/>
    <w:rsid w:val="000C7202"/>
    <w:rsid w:val="000C759B"/>
    <w:rsid w:val="000D0E17"/>
    <w:rsid w:val="000D1127"/>
    <w:rsid w:val="000D1395"/>
    <w:rsid w:val="000D190E"/>
    <w:rsid w:val="000D21C3"/>
    <w:rsid w:val="000D2E44"/>
    <w:rsid w:val="000D34E8"/>
    <w:rsid w:val="000D3B7B"/>
    <w:rsid w:val="000D3C42"/>
    <w:rsid w:val="000D3C62"/>
    <w:rsid w:val="000D3DB2"/>
    <w:rsid w:val="000D4216"/>
    <w:rsid w:val="000D4527"/>
    <w:rsid w:val="000D48CF"/>
    <w:rsid w:val="000D4EA5"/>
    <w:rsid w:val="000D665D"/>
    <w:rsid w:val="000D68C7"/>
    <w:rsid w:val="000D6C29"/>
    <w:rsid w:val="000D6FAA"/>
    <w:rsid w:val="000D7A0A"/>
    <w:rsid w:val="000D7DDD"/>
    <w:rsid w:val="000E0D37"/>
    <w:rsid w:val="000E0E16"/>
    <w:rsid w:val="000E126D"/>
    <w:rsid w:val="000E146D"/>
    <w:rsid w:val="000E14AD"/>
    <w:rsid w:val="000E152F"/>
    <w:rsid w:val="000E199E"/>
    <w:rsid w:val="000E1CDF"/>
    <w:rsid w:val="000E2F96"/>
    <w:rsid w:val="000E3802"/>
    <w:rsid w:val="000E4B48"/>
    <w:rsid w:val="000E5857"/>
    <w:rsid w:val="000E5D59"/>
    <w:rsid w:val="000E6459"/>
    <w:rsid w:val="000E6525"/>
    <w:rsid w:val="000E65B2"/>
    <w:rsid w:val="000E751E"/>
    <w:rsid w:val="000E7917"/>
    <w:rsid w:val="000E7BB5"/>
    <w:rsid w:val="000E7F0D"/>
    <w:rsid w:val="000F030F"/>
    <w:rsid w:val="000F0E2B"/>
    <w:rsid w:val="000F0EBA"/>
    <w:rsid w:val="000F118B"/>
    <w:rsid w:val="000F2138"/>
    <w:rsid w:val="000F233E"/>
    <w:rsid w:val="000F2BA5"/>
    <w:rsid w:val="000F30B6"/>
    <w:rsid w:val="000F45E1"/>
    <w:rsid w:val="000F4EB8"/>
    <w:rsid w:val="000F4EE1"/>
    <w:rsid w:val="000F5BBE"/>
    <w:rsid w:val="000F61CA"/>
    <w:rsid w:val="000F6418"/>
    <w:rsid w:val="000F6F51"/>
    <w:rsid w:val="000F76FF"/>
    <w:rsid w:val="000F77C6"/>
    <w:rsid w:val="000F78FC"/>
    <w:rsid w:val="000F7C0B"/>
    <w:rsid w:val="001002E4"/>
    <w:rsid w:val="00100306"/>
    <w:rsid w:val="00100753"/>
    <w:rsid w:val="001013F4"/>
    <w:rsid w:val="001015D1"/>
    <w:rsid w:val="00101E7E"/>
    <w:rsid w:val="001023C0"/>
    <w:rsid w:val="001026F1"/>
    <w:rsid w:val="00102D31"/>
    <w:rsid w:val="00103591"/>
    <w:rsid w:val="00103BB4"/>
    <w:rsid w:val="00103CDF"/>
    <w:rsid w:val="00105AA9"/>
    <w:rsid w:val="00106911"/>
    <w:rsid w:val="00106975"/>
    <w:rsid w:val="00107250"/>
    <w:rsid w:val="0010742A"/>
    <w:rsid w:val="00110F8B"/>
    <w:rsid w:val="00111324"/>
    <w:rsid w:val="0011147A"/>
    <w:rsid w:val="00111544"/>
    <w:rsid w:val="00111A1B"/>
    <w:rsid w:val="00112921"/>
    <w:rsid w:val="00112A1C"/>
    <w:rsid w:val="00112C54"/>
    <w:rsid w:val="00113B06"/>
    <w:rsid w:val="00113D7F"/>
    <w:rsid w:val="0011421B"/>
    <w:rsid w:val="00114E32"/>
    <w:rsid w:val="0011562A"/>
    <w:rsid w:val="00115B5C"/>
    <w:rsid w:val="00116A0C"/>
    <w:rsid w:val="00116C85"/>
    <w:rsid w:val="001179B7"/>
    <w:rsid w:val="00117CC2"/>
    <w:rsid w:val="00117D9C"/>
    <w:rsid w:val="00120321"/>
    <w:rsid w:val="00120380"/>
    <w:rsid w:val="001209DC"/>
    <w:rsid w:val="00121828"/>
    <w:rsid w:val="0012197A"/>
    <w:rsid w:val="001226BE"/>
    <w:rsid w:val="0012354E"/>
    <w:rsid w:val="00123EF1"/>
    <w:rsid w:val="0012447C"/>
    <w:rsid w:val="0012467F"/>
    <w:rsid w:val="00124924"/>
    <w:rsid w:val="00124E9B"/>
    <w:rsid w:val="00125AFC"/>
    <w:rsid w:val="00125D74"/>
    <w:rsid w:val="00125F7E"/>
    <w:rsid w:val="00126AFF"/>
    <w:rsid w:val="00126DC3"/>
    <w:rsid w:val="00126FF0"/>
    <w:rsid w:val="00127187"/>
    <w:rsid w:val="00127829"/>
    <w:rsid w:val="00127E6F"/>
    <w:rsid w:val="00130007"/>
    <w:rsid w:val="00130727"/>
    <w:rsid w:val="00130745"/>
    <w:rsid w:val="00132660"/>
    <w:rsid w:val="001326F4"/>
    <w:rsid w:val="00132A5A"/>
    <w:rsid w:val="00132EED"/>
    <w:rsid w:val="0013454A"/>
    <w:rsid w:val="00135AE9"/>
    <w:rsid w:val="0013632E"/>
    <w:rsid w:val="001365C4"/>
    <w:rsid w:val="00136B0C"/>
    <w:rsid w:val="00137B03"/>
    <w:rsid w:val="0014062F"/>
    <w:rsid w:val="00141457"/>
    <w:rsid w:val="001415DD"/>
    <w:rsid w:val="001420B0"/>
    <w:rsid w:val="00142D25"/>
    <w:rsid w:val="00142D83"/>
    <w:rsid w:val="00142F9D"/>
    <w:rsid w:val="0014358B"/>
    <w:rsid w:val="001436B6"/>
    <w:rsid w:val="001437A7"/>
    <w:rsid w:val="00143C1A"/>
    <w:rsid w:val="00144465"/>
    <w:rsid w:val="00144864"/>
    <w:rsid w:val="00145367"/>
    <w:rsid w:val="00145BAE"/>
    <w:rsid w:val="00145EB4"/>
    <w:rsid w:val="001469D4"/>
    <w:rsid w:val="00146E85"/>
    <w:rsid w:val="00146EF1"/>
    <w:rsid w:val="0014703A"/>
    <w:rsid w:val="001476BD"/>
    <w:rsid w:val="001476BE"/>
    <w:rsid w:val="001479C2"/>
    <w:rsid w:val="0015001A"/>
    <w:rsid w:val="00151DA9"/>
    <w:rsid w:val="00152498"/>
    <w:rsid w:val="00152A10"/>
    <w:rsid w:val="00152AEF"/>
    <w:rsid w:val="00152FD4"/>
    <w:rsid w:val="00152FE9"/>
    <w:rsid w:val="0015303F"/>
    <w:rsid w:val="00154EC7"/>
    <w:rsid w:val="001550CA"/>
    <w:rsid w:val="00155C0E"/>
    <w:rsid w:val="00155FE3"/>
    <w:rsid w:val="00157444"/>
    <w:rsid w:val="001604B6"/>
    <w:rsid w:val="0016127C"/>
    <w:rsid w:val="001612A7"/>
    <w:rsid w:val="00161330"/>
    <w:rsid w:val="00161790"/>
    <w:rsid w:val="00162F5D"/>
    <w:rsid w:val="00163AC6"/>
    <w:rsid w:val="00163ED4"/>
    <w:rsid w:val="001642BE"/>
    <w:rsid w:val="0016454D"/>
    <w:rsid w:val="001645C2"/>
    <w:rsid w:val="001647B8"/>
    <w:rsid w:val="00164A8D"/>
    <w:rsid w:val="00164B09"/>
    <w:rsid w:val="00165AC0"/>
    <w:rsid w:val="00165BBB"/>
    <w:rsid w:val="00166AE4"/>
    <w:rsid w:val="00166CCF"/>
    <w:rsid w:val="00166F4F"/>
    <w:rsid w:val="001675BA"/>
    <w:rsid w:val="001678D6"/>
    <w:rsid w:val="0016798D"/>
    <w:rsid w:val="00167EE0"/>
    <w:rsid w:val="00167F7E"/>
    <w:rsid w:val="00170238"/>
    <w:rsid w:val="001708CB"/>
    <w:rsid w:val="00170DF6"/>
    <w:rsid w:val="0017101B"/>
    <w:rsid w:val="0017124A"/>
    <w:rsid w:val="00171B4A"/>
    <w:rsid w:val="001738A0"/>
    <w:rsid w:val="001739CF"/>
    <w:rsid w:val="00174043"/>
    <w:rsid w:val="00174342"/>
    <w:rsid w:val="001743B1"/>
    <w:rsid w:val="0017542E"/>
    <w:rsid w:val="00175613"/>
    <w:rsid w:val="00175A3C"/>
    <w:rsid w:val="00175A81"/>
    <w:rsid w:val="001766BA"/>
    <w:rsid w:val="001769E9"/>
    <w:rsid w:val="00176D14"/>
    <w:rsid w:val="00176D38"/>
    <w:rsid w:val="00176FDF"/>
    <w:rsid w:val="00177095"/>
    <w:rsid w:val="00180895"/>
    <w:rsid w:val="00181EAE"/>
    <w:rsid w:val="0018224C"/>
    <w:rsid w:val="001824CB"/>
    <w:rsid w:val="00182598"/>
    <w:rsid w:val="001827F1"/>
    <w:rsid w:val="001832F3"/>
    <w:rsid w:val="001838D0"/>
    <w:rsid w:val="00184855"/>
    <w:rsid w:val="00185379"/>
    <w:rsid w:val="001856FB"/>
    <w:rsid w:val="00185720"/>
    <w:rsid w:val="00185E01"/>
    <w:rsid w:val="00185E2B"/>
    <w:rsid w:val="00185F6F"/>
    <w:rsid w:val="001861C1"/>
    <w:rsid w:val="001865EC"/>
    <w:rsid w:val="0018665D"/>
    <w:rsid w:val="00187218"/>
    <w:rsid w:val="00187352"/>
    <w:rsid w:val="001874CF"/>
    <w:rsid w:val="00187C15"/>
    <w:rsid w:val="00190483"/>
    <w:rsid w:val="00191076"/>
    <w:rsid w:val="001915C8"/>
    <w:rsid w:val="00192241"/>
    <w:rsid w:val="001924FF"/>
    <w:rsid w:val="00192A42"/>
    <w:rsid w:val="00192F51"/>
    <w:rsid w:val="00193295"/>
    <w:rsid w:val="0019335C"/>
    <w:rsid w:val="00193397"/>
    <w:rsid w:val="001945FA"/>
    <w:rsid w:val="00195219"/>
    <w:rsid w:val="00195642"/>
    <w:rsid w:val="00196839"/>
    <w:rsid w:val="00196D70"/>
    <w:rsid w:val="00197595"/>
    <w:rsid w:val="00197937"/>
    <w:rsid w:val="00197C7A"/>
    <w:rsid w:val="001A01CF"/>
    <w:rsid w:val="001A0B0A"/>
    <w:rsid w:val="001A129B"/>
    <w:rsid w:val="001A1790"/>
    <w:rsid w:val="001A1C17"/>
    <w:rsid w:val="001A20E7"/>
    <w:rsid w:val="001A24EE"/>
    <w:rsid w:val="001A2696"/>
    <w:rsid w:val="001A4293"/>
    <w:rsid w:val="001A4479"/>
    <w:rsid w:val="001A529E"/>
    <w:rsid w:val="001A577E"/>
    <w:rsid w:val="001A6378"/>
    <w:rsid w:val="001A68D6"/>
    <w:rsid w:val="001A6EFD"/>
    <w:rsid w:val="001A7428"/>
    <w:rsid w:val="001A7CC0"/>
    <w:rsid w:val="001B0063"/>
    <w:rsid w:val="001B09CD"/>
    <w:rsid w:val="001B141E"/>
    <w:rsid w:val="001B1431"/>
    <w:rsid w:val="001B1514"/>
    <w:rsid w:val="001B154C"/>
    <w:rsid w:val="001B1C7F"/>
    <w:rsid w:val="001B1E72"/>
    <w:rsid w:val="001B2382"/>
    <w:rsid w:val="001B3327"/>
    <w:rsid w:val="001B345C"/>
    <w:rsid w:val="001B34FF"/>
    <w:rsid w:val="001B3C7F"/>
    <w:rsid w:val="001B43B4"/>
    <w:rsid w:val="001B4F8A"/>
    <w:rsid w:val="001B4FBA"/>
    <w:rsid w:val="001B51D8"/>
    <w:rsid w:val="001B5215"/>
    <w:rsid w:val="001B58F2"/>
    <w:rsid w:val="001B601B"/>
    <w:rsid w:val="001B678D"/>
    <w:rsid w:val="001B7C26"/>
    <w:rsid w:val="001C0782"/>
    <w:rsid w:val="001C0BC4"/>
    <w:rsid w:val="001C1369"/>
    <w:rsid w:val="001C1846"/>
    <w:rsid w:val="001C19A3"/>
    <w:rsid w:val="001C2061"/>
    <w:rsid w:val="001C20C6"/>
    <w:rsid w:val="001C28BE"/>
    <w:rsid w:val="001C32F9"/>
    <w:rsid w:val="001C3BAB"/>
    <w:rsid w:val="001C4468"/>
    <w:rsid w:val="001C447B"/>
    <w:rsid w:val="001C47A5"/>
    <w:rsid w:val="001C4FE3"/>
    <w:rsid w:val="001C5347"/>
    <w:rsid w:val="001C5B48"/>
    <w:rsid w:val="001C5F00"/>
    <w:rsid w:val="001C5F7C"/>
    <w:rsid w:val="001C6506"/>
    <w:rsid w:val="001C6B01"/>
    <w:rsid w:val="001C6BE8"/>
    <w:rsid w:val="001C6D16"/>
    <w:rsid w:val="001C6DA4"/>
    <w:rsid w:val="001C71C1"/>
    <w:rsid w:val="001D0E4F"/>
    <w:rsid w:val="001D11DC"/>
    <w:rsid w:val="001D1630"/>
    <w:rsid w:val="001D1AF5"/>
    <w:rsid w:val="001D1E2E"/>
    <w:rsid w:val="001D2237"/>
    <w:rsid w:val="001D29AE"/>
    <w:rsid w:val="001D3DD1"/>
    <w:rsid w:val="001D3FEB"/>
    <w:rsid w:val="001D4D60"/>
    <w:rsid w:val="001D5C0C"/>
    <w:rsid w:val="001D5CDB"/>
    <w:rsid w:val="001D6392"/>
    <w:rsid w:val="001D65CA"/>
    <w:rsid w:val="001D6816"/>
    <w:rsid w:val="001D6B9F"/>
    <w:rsid w:val="001D77A6"/>
    <w:rsid w:val="001E06FE"/>
    <w:rsid w:val="001E2F91"/>
    <w:rsid w:val="001E31A4"/>
    <w:rsid w:val="001E3EA7"/>
    <w:rsid w:val="001E41D9"/>
    <w:rsid w:val="001E4682"/>
    <w:rsid w:val="001E5304"/>
    <w:rsid w:val="001E620F"/>
    <w:rsid w:val="001E62C4"/>
    <w:rsid w:val="001E6A5E"/>
    <w:rsid w:val="001E6CE0"/>
    <w:rsid w:val="001E725C"/>
    <w:rsid w:val="001E7EBB"/>
    <w:rsid w:val="001F0210"/>
    <w:rsid w:val="001F0793"/>
    <w:rsid w:val="001F0DAD"/>
    <w:rsid w:val="001F2764"/>
    <w:rsid w:val="001F2BB2"/>
    <w:rsid w:val="001F2C4E"/>
    <w:rsid w:val="001F3220"/>
    <w:rsid w:val="001F37B9"/>
    <w:rsid w:val="001F41B7"/>
    <w:rsid w:val="001F486B"/>
    <w:rsid w:val="001F523A"/>
    <w:rsid w:val="001F55EB"/>
    <w:rsid w:val="001F58E8"/>
    <w:rsid w:val="001F61A3"/>
    <w:rsid w:val="001F627D"/>
    <w:rsid w:val="001F6464"/>
    <w:rsid w:val="001F72B3"/>
    <w:rsid w:val="001F7587"/>
    <w:rsid w:val="001F765D"/>
    <w:rsid w:val="001F798F"/>
    <w:rsid w:val="002007B1"/>
    <w:rsid w:val="00200817"/>
    <w:rsid w:val="0020088F"/>
    <w:rsid w:val="00200A39"/>
    <w:rsid w:val="002013D3"/>
    <w:rsid w:val="002014CF"/>
    <w:rsid w:val="00201BC9"/>
    <w:rsid w:val="00202810"/>
    <w:rsid w:val="0020287A"/>
    <w:rsid w:val="00202C76"/>
    <w:rsid w:val="00202D53"/>
    <w:rsid w:val="002030A3"/>
    <w:rsid w:val="00203710"/>
    <w:rsid w:val="00203E56"/>
    <w:rsid w:val="00203E6C"/>
    <w:rsid w:val="00204388"/>
    <w:rsid w:val="00204F10"/>
    <w:rsid w:val="00205442"/>
    <w:rsid w:val="0020574E"/>
    <w:rsid w:val="00205D40"/>
    <w:rsid w:val="00206B35"/>
    <w:rsid w:val="00207C24"/>
    <w:rsid w:val="00207E36"/>
    <w:rsid w:val="00207E42"/>
    <w:rsid w:val="00210614"/>
    <w:rsid w:val="00210620"/>
    <w:rsid w:val="002108D1"/>
    <w:rsid w:val="0021094E"/>
    <w:rsid w:val="00211991"/>
    <w:rsid w:val="00212B01"/>
    <w:rsid w:val="002138D2"/>
    <w:rsid w:val="00213C42"/>
    <w:rsid w:val="00214F63"/>
    <w:rsid w:val="0021543C"/>
    <w:rsid w:val="002154D9"/>
    <w:rsid w:val="00215850"/>
    <w:rsid w:val="00215D7C"/>
    <w:rsid w:val="00215E7D"/>
    <w:rsid w:val="00216245"/>
    <w:rsid w:val="00217032"/>
    <w:rsid w:val="00217154"/>
    <w:rsid w:val="00217B45"/>
    <w:rsid w:val="00220510"/>
    <w:rsid w:val="00220C69"/>
    <w:rsid w:val="002219F5"/>
    <w:rsid w:val="00221B74"/>
    <w:rsid w:val="00221F55"/>
    <w:rsid w:val="002224A3"/>
    <w:rsid w:val="002228B6"/>
    <w:rsid w:val="00222EC0"/>
    <w:rsid w:val="002233A8"/>
    <w:rsid w:val="00224BA5"/>
    <w:rsid w:val="00225A43"/>
    <w:rsid w:val="00225C9A"/>
    <w:rsid w:val="00225EC4"/>
    <w:rsid w:val="00226CEA"/>
    <w:rsid w:val="00227AEC"/>
    <w:rsid w:val="00227DDB"/>
    <w:rsid w:val="00230266"/>
    <w:rsid w:val="00230A18"/>
    <w:rsid w:val="00231135"/>
    <w:rsid w:val="0023113D"/>
    <w:rsid w:val="00232B15"/>
    <w:rsid w:val="002330A0"/>
    <w:rsid w:val="002336D0"/>
    <w:rsid w:val="00233D2C"/>
    <w:rsid w:val="00234835"/>
    <w:rsid w:val="00234F3A"/>
    <w:rsid w:val="002353A9"/>
    <w:rsid w:val="00235653"/>
    <w:rsid w:val="0023597B"/>
    <w:rsid w:val="00235E6E"/>
    <w:rsid w:val="00235FED"/>
    <w:rsid w:val="00236445"/>
    <w:rsid w:val="002365C3"/>
    <w:rsid w:val="00237A79"/>
    <w:rsid w:val="00237BCC"/>
    <w:rsid w:val="002400C7"/>
    <w:rsid w:val="002407B2"/>
    <w:rsid w:val="00240B8E"/>
    <w:rsid w:val="00240FC8"/>
    <w:rsid w:val="00240FCD"/>
    <w:rsid w:val="002413B5"/>
    <w:rsid w:val="00241695"/>
    <w:rsid w:val="002427DC"/>
    <w:rsid w:val="00242FDD"/>
    <w:rsid w:val="00243108"/>
    <w:rsid w:val="00243127"/>
    <w:rsid w:val="002433E0"/>
    <w:rsid w:val="00243644"/>
    <w:rsid w:val="002445FF"/>
    <w:rsid w:val="0024482C"/>
    <w:rsid w:val="00245400"/>
    <w:rsid w:val="00245C02"/>
    <w:rsid w:val="002463A7"/>
    <w:rsid w:val="00247067"/>
    <w:rsid w:val="00247954"/>
    <w:rsid w:val="002504DF"/>
    <w:rsid w:val="00250D85"/>
    <w:rsid w:val="00250DD5"/>
    <w:rsid w:val="00252639"/>
    <w:rsid w:val="002534B3"/>
    <w:rsid w:val="00253519"/>
    <w:rsid w:val="002542AB"/>
    <w:rsid w:val="00254659"/>
    <w:rsid w:val="0025481F"/>
    <w:rsid w:val="00254915"/>
    <w:rsid w:val="00254B03"/>
    <w:rsid w:val="00255ECC"/>
    <w:rsid w:val="002566D3"/>
    <w:rsid w:val="00256B17"/>
    <w:rsid w:val="00256F0A"/>
    <w:rsid w:val="00257062"/>
    <w:rsid w:val="002570A9"/>
    <w:rsid w:val="00257526"/>
    <w:rsid w:val="00257712"/>
    <w:rsid w:val="00257794"/>
    <w:rsid w:val="00257A82"/>
    <w:rsid w:val="0026018D"/>
    <w:rsid w:val="002604F0"/>
    <w:rsid w:val="00260A31"/>
    <w:rsid w:val="00260B1B"/>
    <w:rsid w:val="00261B4E"/>
    <w:rsid w:val="00261C7F"/>
    <w:rsid w:val="002621EE"/>
    <w:rsid w:val="002627A5"/>
    <w:rsid w:val="002628D1"/>
    <w:rsid w:val="0026338F"/>
    <w:rsid w:val="00263753"/>
    <w:rsid w:val="002638EB"/>
    <w:rsid w:val="00263969"/>
    <w:rsid w:val="002639CC"/>
    <w:rsid w:val="00263AE9"/>
    <w:rsid w:val="00265253"/>
    <w:rsid w:val="0026608B"/>
    <w:rsid w:val="00266A04"/>
    <w:rsid w:val="0026709E"/>
    <w:rsid w:val="00270109"/>
    <w:rsid w:val="00270144"/>
    <w:rsid w:val="002701A6"/>
    <w:rsid w:val="00270315"/>
    <w:rsid w:val="002703AB"/>
    <w:rsid w:val="002705DA"/>
    <w:rsid w:val="002709D2"/>
    <w:rsid w:val="00270C90"/>
    <w:rsid w:val="00270F6A"/>
    <w:rsid w:val="002718BB"/>
    <w:rsid w:val="00271CB6"/>
    <w:rsid w:val="00272599"/>
    <w:rsid w:val="002730F0"/>
    <w:rsid w:val="00273234"/>
    <w:rsid w:val="002736C6"/>
    <w:rsid w:val="00273C03"/>
    <w:rsid w:val="00273D52"/>
    <w:rsid w:val="00273EF9"/>
    <w:rsid w:val="0027446F"/>
    <w:rsid w:val="002745E9"/>
    <w:rsid w:val="0027472A"/>
    <w:rsid w:val="00275248"/>
    <w:rsid w:val="00275813"/>
    <w:rsid w:val="00275B4D"/>
    <w:rsid w:val="00276748"/>
    <w:rsid w:val="00276DF5"/>
    <w:rsid w:val="00277441"/>
    <w:rsid w:val="002801C6"/>
    <w:rsid w:val="0028036C"/>
    <w:rsid w:val="00280476"/>
    <w:rsid w:val="00281EAB"/>
    <w:rsid w:val="00281F92"/>
    <w:rsid w:val="00281FD0"/>
    <w:rsid w:val="002825BF"/>
    <w:rsid w:val="00282F45"/>
    <w:rsid w:val="00283175"/>
    <w:rsid w:val="0028328C"/>
    <w:rsid w:val="002833F5"/>
    <w:rsid w:val="002843A0"/>
    <w:rsid w:val="00284521"/>
    <w:rsid w:val="002848F8"/>
    <w:rsid w:val="002850FC"/>
    <w:rsid w:val="0028516D"/>
    <w:rsid w:val="00285547"/>
    <w:rsid w:val="0028561C"/>
    <w:rsid w:val="00285AAD"/>
    <w:rsid w:val="0028639C"/>
    <w:rsid w:val="002866D9"/>
    <w:rsid w:val="002875A5"/>
    <w:rsid w:val="00287BBC"/>
    <w:rsid w:val="00290763"/>
    <w:rsid w:val="002908C9"/>
    <w:rsid w:val="00291202"/>
    <w:rsid w:val="00291C31"/>
    <w:rsid w:val="00292BF1"/>
    <w:rsid w:val="00293A5F"/>
    <w:rsid w:val="002940CD"/>
    <w:rsid w:val="00294214"/>
    <w:rsid w:val="00294FBA"/>
    <w:rsid w:val="00295ADA"/>
    <w:rsid w:val="002960CE"/>
    <w:rsid w:val="002962D1"/>
    <w:rsid w:val="00296433"/>
    <w:rsid w:val="00296814"/>
    <w:rsid w:val="00296E69"/>
    <w:rsid w:val="00297CF4"/>
    <w:rsid w:val="002A04B5"/>
    <w:rsid w:val="002A07D8"/>
    <w:rsid w:val="002A0A1A"/>
    <w:rsid w:val="002A0A25"/>
    <w:rsid w:val="002A0C42"/>
    <w:rsid w:val="002A10A3"/>
    <w:rsid w:val="002A1520"/>
    <w:rsid w:val="002A349E"/>
    <w:rsid w:val="002A4114"/>
    <w:rsid w:val="002A420F"/>
    <w:rsid w:val="002A4C7C"/>
    <w:rsid w:val="002A4E44"/>
    <w:rsid w:val="002A5354"/>
    <w:rsid w:val="002A69AD"/>
    <w:rsid w:val="002A7403"/>
    <w:rsid w:val="002A7FD4"/>
    <w:rsid w:val="002B093C"/>
    <w:rsid w:val="002B1002"/>
    <w:rsid w:val="002B10D1"/>
    <w:rsid w:val="002B1225"/>
    <w:rsid w:val="002B1624"/>
    <w:rsid w:val="002B1CD2"/>
    <w:rsid w:val="002B2426"/>
    <w:rsid w:val="002B27CC"/>
    <w:rsid w:val="002B298D"/>
    <w:rsid w:val="002B2DDD"/>
    <w:rsid w:val="002B2F43"/>
    <w:rsid w:val="002B3373"/>
    <w:rsid w:val="002B4BC4"/>
    <w:rsid w:val="002B4C2E"/>
    <w:rsid w:val="002B4C86"/>
    <w:rsid w:val="002B4EA5"/>
    <w:rsid w:val="002B4F2E"/>
    <w:rsid w:val="002B5288"/>
    <w:rsid w:val="002B52D0"/>
    <w:rsid w:val="002B540A"/>
    <w:rsid w:val="002B56CB"/>
    <w:rsid w:val="002B5C64"/>
    <w:rsid w:val="002B60B6"/>
    <w:rsid w:val="002B612D"/>
    <w:rsid w:val="002B6195"/>
    <w:rsid w:val="002B6E6E"/>
    <w:rsid w:val="002B782D"/>
    <w:rsid w:val="002B7A82"/>
    <w:rsid w:val="002B7C8E"/>
    <w:rsid w:val="002C0004"/>
    <w:rsid w:val="002C016F"/>
    <w:rsid w:val="002C0347"/>
    <w:rsid w:val="002C08A6"/>
    <w:rsid w:val="002C0972"/>
    <w:rsid w:val="002C149A"/>
    <w:rsid w:val="002C205D"/>
    <w:rsid w:val="002C2762"/>
    <w:rsid w:val="002C2815"/>
    <w:rsid w:val="002C29F8"/>
    <w:rsid w:val="002C2D55"/>
    <w:rsid w:val="002C3ABA"/>
    <w:rsid w:val="002C44EA"/>
    <w:rsid w:val="002C4763"/>
    <w:rsid w:val="002C502E"/>
    <w:rsid w:val="002C5954"/>
    <w:rsid w:val="002C6FB3"/>
    <w:rsid w:val="002C719E"/>
    <w:rsid w:val="002C7853"/>
    <w:rsid w:val="002D0A6D"/>
    <w:rsid w:val="002D1B11"/>
    <w:rsid w:val="002D2380"/>
    <w:rsid w:val="002D2514"/>
    <w:rsid w:val="002D38DD"/>
    <w:rsid w:val="002D4F4C"/>
    <w:rsid w:val="002D5CE4"/>
    <w:rsid w:val="002D5D7E"/>
    <w:rsid w:val="002D5DC3"/>
    <w:rsid w:val="002D6616"/>
    <w:rsid w:val="002D6FED"/>
    <w:rsid w:val="002E0F9C"/>
    <w:rsid w:val="002E11FC"/>
    <w:rsid w:val="002E1E04"/>
    <w:rsid w:val="002E2AA4"/>
    <w:rsid w:val="002E350F"/>
    <w:rsid w:val="002E481F"/>
    <w:rsid w:val="002E4B69"/>
    <w:rsid w:val="002E53ED"/>
    <w:rsid w:val="002E5940"/>
    <w:rsid w:val="002E5B95"/>
    <w:rsid w:val="002E6590"/>
    <w:rsid w:val="002E7455"/>
    <w:rsid w:val="002E7818"/>
    <w:rsid w:val="002E7BDE"/>
    <w:rsid w:val="002E7E25"/>
    <w:rsid w:val="002E7FA2"/>
    <w:rsid w:val="002F02A4"/>
    <w:rsid w:val="002F0793"/>
    <w:rsid w:val="002F1364"/>
    <w:rsid w:val="002F15B1"/>
    <w:rsid w:val="002F323F"/>
    <w:rsid w:val="002F3B91"/>
    <w:rsid w:val="002F4B25"/>
    <w:rsid w:val="002F5A74"/>
    <w:rsid w:val="002F5B71"/>
    <w:rsid w:val="002F6082"/>
    <w:rsid w:val="002F6BF5"/>
    <w:rsid w:val="002F7661"/>
    <w:rsid w:val="002F7A8E"/>
    <w:rsid w:val="0030011D"/>
    <w:rsid w:val="00300596"/>
    <w:rsid w:val="00301999"/>
    <w:rsid w:val="00301A2E"/>
    <w:rsid w:val="00302278"/>
    <w:rsid w:val="00302BCF"/>
    <w:rsid w:val="00303067"/>
    <w:rsid w:val="00303266"/>
    <w:rsid w:val="00303A90"/>
    <w:rsid w:val="00303E1F"/>
    <w:rsid w:val="00303F34"/>
    <w:rsid w:val="00304624"/>
    <w:rsid w:val="00304820"/>
    <w:rsid w:val="003051B4"/>
    <w:rsid w:val="00305C59"/>
    <w:rsid w:val="00305E10"/>
    <w:rsid w:val="00305F4B"/>
    <w:rsid w:val="00306F4B"/>
    <w:rsid w:val="0030736C"/>
    <w:rsid w:val="003074EE"/>
    <w:rsid w:val="00307781"/>
    <w:rsid w:val="00307C9B"/>
    <w:rsid w:val="00307EF7"/>
    <w:rsid w:val="00310381"/>
    <w:rsid w:val="003103E1"/>
    <w:rsid w:val="003107AC"/>
    <w:rsid w:val="00310CB2"/>
    <w:rsid w:val="00310CFE"/>
    <w:rsid w:val="00310E14"/>
    <w:rsid w:val="003114C1"/>
    <w:rsid w:val="0031224D"/>
    <w:rsid w:val="003129D2"/>
    <w:rsid w:val="00312C57"/>
    <w:rsid w:val="003137BD"/>
    <w:rsid w:val="00313BD3"/>
    <w:rsid w:val="00314461"/>
    <w:rsid w:val="003146EB"/>
    <w:rsid w:val="00315CD9"/>
    <w:rsid w:val="00316D34"/>
    <w:rsid w:val="00317710"/>
    <w:rsid w:val="0031787A"/>
    <w:rsid w:val="00317DE7"/>
    <w:rsid w:val="0032007F"/>
    <w:rsid w:val="0032020C"/>
    <w:rsid w:val="0032020E"/>
    <w:rsid w:val="00320F32"/>
    <w:rsid w:val="003212B5"/>
    <w:rsid w:val="003213FB"/>
    <w:rsid w:val="00321A6F"/>
    <w:rsid w:val="00321EAC"/>
    <w:rsid w:val="00322093"/>
    <w:rsid w:val="00323BF8"/>
    <w:rsid w:val="0032436F"/>
    <w:rsid w:val="00324DEE"/>
    <w:rsid w:val="00324F7E"/>
    <w:rsid w:val="003250F5"/>
    <w:rsid w:val="003250F7"/>
    <w:rsid w:val="00325697"/>
    <w:rsid w:val="00325C37"/>
    <w:rsid w:val="00325FD3"/>
    <w:rsid w:val="00326353"/>
    <w:rsid w:val="0032654B"/>
    <w:rsid w:val="003270A5"/>
    <w:rsid w:val="00327A62"/>
    <w:rsid w:val="00327C6B"/>
    <w:rsid w:val="00330EAA"/>
    <w:rsid w:val="003314D3"/>
    <w:rsid w:val="003318BA"/>
    <w:rsid w:val="00331C11"/>
    <w:rsid w:val="00331CA0"/>
    <w:rsid w:val="00331DAA"/>
    <w:rsid w:val="0033202D"/>
    <w:rsid w:val="00332404"/>
    <w:rsid w:val="00332DB6"/>
    <w:rsid w:val="003333C5"/>
    <w:rsid w:val="003335E9"/>
    <w:rsid w:val="003343D7"/>
    <w:rsid w:val="003349EB"/>
    <w:rsid w:val="00334CDC"/>
    <w:rsid w:val="00336221"/>
    <w:rsid w:val="003364E5"/>
    <w:rsid w:val="00337F76"/>
    <w:rsid w:val="0034051B"/>
    <w:rsid w:val="00340545"/>
    <w:rsid w:val="00340549"/>
    <w:rsid w:val="003405EA"/>
    <w:rsid w:val="0034129E"/>
    <w:rsid w:val="0034289D"/>
    <w:rsid w:val="00342966"/>
    <w:rsid w:val="003435BE"/>
    <w:rsid w:val="0034389F"/>
    <w:rsid w:val="0034450E"/>
    <w:rsid w:val="003445FC"/>
    <w:rsid w:val="003450A8"/>
    <w:rsid w:val="003452B2"/>
    <w:rsid w:val="0034537A"/>
    <w:rsid w:val="00345821"/>
    <w:rsid w:val="00345BB6"/>
    <w:rsid w:val="00346235"/>
    <w:rsid w:val="003464D7"/>
    <w:rsid w:val="00346BEB"/>
    <w:rsid w:val="00347CE8"/>
    <w:rsid w:val="00350AF0"/>
    <w:rsid w:val="00350B99"/>
    <w:rsid w:val="00351241"/>
    <w:rsid w:val="003515A2"/>
    <w:rsid w:val="00351DE1"/>
    <w:rsid w:val="00351FA6"/>
    <w:rsid w:val="003522D8"/>
    <w:rsid w:val="00352966"/>
    <w:rsid w:val="00352CB2"/>
    <w:rsid w:val="0035350F"/>
    <w:rsid w:val="0035429F"/>
    <w:rsid w:val="00354ADA"/>
    <w:rsid w:val="00355117"/>
    <w:rsid w:val="00357088"/>
    <w:rsid w:val="003576A6"/>
    <w:rsid w:val="00360109"/>
    <w:rsid w:val="003604EB"/>
    <w:rsid w:val="00360615"/>
    <w:rsid w:val="003613F0"/>
    <w:rsid w:val="0036203C"/>
    <w:rsid w:val="0036241E"/>
    <w:rsid w:val="0036277C"/>
    <w:rsid w:val="00362C71"/>
    <w:rsid w:val="00362CC6"/>
    <w:rsid w:val="00362D5E"/>
    <w:rsid w:val="00364886"/>
    <w:rsid w:val="00364B74"/>
    <w:rsid w:val="00364C26"/>
    <w:rsid w:val="003652C6"/>
    <w:rsid w:val="0036551B"/>
    <w:rsid w:val="0036618A"/>
    <w:rsid w:val="00366205"/>
    <w:rsid w:val="003666AA"/>
    <w:rsid w:val="00366C83"/>
    <w:rsid w:val="00366CD5"/>
    <w:rsid w:val="00367142"/>
    <w:rsid w:val="00367462"/>
    <w:rsid w:val="00367555"/>
    <w:rsid w:val="00367708"/>
    <w:rsid w:val="00367B96"/>
    <w:rsid w:val="0037035D"/>
    <w:rsid w:val="003707BD"/>
    <w:rsid w:val="0037093B"/>
    <w:rsid w:val="00371AEC"/>
    <w:rsid w:val="00373021"/>
    <w:rsid w:val="00373362"/>
    <w:rsid w:val="00373B4F"/>
    <w:rsid w:val="00373D2F"/>
    <w:rsid w:val="00374764"/>
    <w:rsid w:val="00374E5B"/>
    <w:rsid w:val="00374F88"/>
    <w:rsid w:val="0037558E"/>
    <w:rsid w:val="003758FB"/>
    <w:rsid w:val="0037694D"/>
    <w:rsid w:val="0037696F"/>
    <w:rsid w:val="003769C7"/>
    <w:rsid w:val="00376AD8"/>
    <w:rsid w:val="00376CBB"/>
    <w:rsid w:val="00377287"/>
    <w:rsid w:val="00377556"/>
    <w:rsid w:val="003779E0"/>
    <w:rsid w:val="00377B1F"/>
    <w:rsid w:val="0038008F"/>
    <w:rsid w:val="0038033A"/>
    <w:rsid w:val="00380A28"/>
    <w:rsid w:val="00380B7A"/>
    <w:rsid w:val="00380F77"/>
    <w:rsid w:val="00381350"/>
    <w:rsid w:val="00381696"/>
    <w:rsid w:val="0038213B"/>
    <w:rsid w:val="003828AA"/>
    <w:rsid w:val="00382963"/>
    <w:rsid w:val="003829FB"/>
    <w:rsid w:val="00382A9D"/>
    <w:rsid w:val="00382F2E"/>
    <w:rsid w:val="00383009"/>
    <w:rsid w:val="00384A17"/>
    <w:rsid w:val="00384AB2"/>
    <w:rsid w:val="003854AB"/>
    <w:rsid w:val="003855EF"/>
    <w:rsid w:val="00385B5F"/>
    <w:rsid w:val="00385C5B"/>
    <w:rsid w:val="003860F1"/>
    <w:rsid w:val="00386327"/>
    <w:rsid w:val="00386AFD"/>
    <w:rsid w:val="003870A9"/>
    <w:rsid w:val="003872EA"/>
    <w:rsid w:val="00387420"/>
    <w:rsid w:val="00387A26"/>
    <w:rsid w:val="00387A67"/>
    <w:rsid w:val="0039047A"/>
    <w:rsid w:val="00390EC5"/>
    <w:rsid w:val="00391648"/>
    <w:rsid w:val="00392372"/>
    <w:rsid w:val="00392564"/>
    <w:rsid w:val="0039265E"/>
    <w:rsid w:val="003927F7"/>
    <w:rsid w:val="003929DD"/>
    <w:rsid w:val="00392FE7"/>
    <w:rsid w:val="003955B3"/>
    <w:rsid w:val="00395BE1"/>
    <w:rsid w:val="00395CFA"/>
    <w:rsid w:val="00395D37"/>
    <w:rsid w:val="00396422"/>
    <w:rsid w:val="00396E63"/>
    <w:rsid w:val="00397559"/>
    <w:rsid w:val="00397976"/>
    <w:rsid w:val="00397CA7"/>
    <w:rsid w:val="003A0407"/>
    <w:rsid w:val="003A046D"/>
    <w:rsid w:val="003A0783"/>
    <w:rsid w:val="003A0C75"/>
    <w:rsid w:val="003A0D86"/>
    <w:rsid w:val="003A10D3"/>
    <w:rsid w:val="003A1137"/>
    <w:rsid w:val="003A1204"/>
    <w:rsid w:val="003A1DD5"/>
    <w:rsid w:val="003A2132"/>
    <w:rsid w:val="003A21C9"/>
    <w:rsid w:val="003A23DC"/>
    <w:rsid w:val="003A2DA2"/>
    <w:rsid w:val="003A2E2A"/>
    <w:rsid w:val="003A3C92"/>
    <w:rsid w:val="003A49A4"/>
    <w:rsid w:val="003A4A6F"/>
    <w:rsid w:val="003A4C27"/>
    <w:rsid w:val="003A4C33"/>
    <w:rsid w:val="003A51E6"/>
    <w:rsid w:val="003A6032"/>
    <w:rsid w:val="003A7368"/>
    <w:rsid w:val="003A797E"/>
    <w:rsid w:val="003A7FC0"/>
    <w:rsid w:val="003B128B"/>
    <w:rsid w:val="003B1871"/>
    <w:rsid w:val="003B1B8B"/>
    <w:rsid w:val="003B1DFD"/>
    <w:rsid w:val="003B326B"/>
    <w:rsid w:val="003B3ACD"/>
    <w:rsid w:val="003B3B4F"/>
    <w:rsid w:val="003B429A"/>
    <w:rsid w:val="003B4480"/>
    <w:rsid w:val="003B514A"/>
    <w:rsid w:val="003B5590"/>
    <w:rsid w:val="003B559D"/>
    <w:rsid w:val="003B5733"/>
    <w:rsid w:val="003B58FB"/>
    <w:rsid w:val="003B5AAE"/>
    <w:rsid w:val="003B5C06"/>
    <w:rsid w:val="003B5C78"/>
    <w:rsid w:val="003B6600"/>
    <w:rsid w:val="003B663F"/>
    <w:rsid w:val="003B666B"/>
    <w:rsid w:val="003B69A9"/>
    <w:rsid w:val="003B6AA0"/>
    <w:rsid w:val="003B6FDA"/>
    <w:rsid w:val="003B752C"/>
    <w:rsid w:val="003B7938"/>
    <w:rsid w:val="003B7B4A"/>
    <w:rsid w:val="003C08A5"/>
    <w:rsid w:val="003C0EFE"/>
    <w:rsid w:val="003C14CA"/>
    <w:rsid w:val="003C1ACC"/>
    <w:rsid w:val="003C1B0D"/>
    <w:rsid w:val="003C28A6"/>
    <w:rsid w:val="003C2CF0"/>
    <w:rsid w:val="003C3C52"/>
    <w:rsid w:val="003C3D9B"/>
    <w:rsid w:val="003C42CF"/>
    <w:rsid w:val="003C4B33"/>
    <w:rsid w:val="003C4E48"/>
    <w:rsid w:val="003C52DC"/>
    <w:rsid w:val="003C54D1"/>
    <w:rsid w:val="003C5C43"/>
    <w:rsid w:val="003C5E57"/>
    <w:rsid w:val="003C6224"/>
    <w:rsid w:val="003C6DF7"/>
    <w:rsid w:val="003C71A5"/>
    <w:rsid w:val="003C787C"/>
    <w:rsid w:val="003C7E3E"/>
    <w:rsid w:val="003D06E6"/>
    <w:rsid w:val="003D0850"/>
    <w:rsid w:val="003D1206"/>
    <w:rsid w:val="003D1C40"/>
    <w:rsid w:val="003D20AF"/>
    <w:rsid w:val="003D21C8"/>
    <w:rsid w:val="003D26DD"/>
    <w:rsid w:val="003D28AE"/>
    <w:rsid w:val="003D3020"/>
    <w:rsid w:val="003D3282"/>
    <w:rsid w:val="003D3657"/>
    <w:rsid w:val="003D3972"/>
    <w:rsid w:val="003D41CD"/>
    <w:rsid w:val="003D429E"/>
    <w:rsid w:val="003D51A5"/>
    <w:rsid w:val="003D5331"/>
    <w:rsid w:val="003D54AD"/>
    <w:rsid w:val="003D6B51"/>
    <w:rsid w:val="003D708E"/>
    <w:rsid w:val="003E028B"/>
    <w:rsid w:val="003E0A22"/>
    <w:rsid w:val="003E12D4"/>
    <w:rsid w:val="003E1642"/>
    <w:rsid w:val="003E1EAF"/>
    <w:rsid w:val="003E3939"/>
    <w:rsid w:val="003E4458"/>
    <w:rsid w:val="003E452A"/>
    <w:rsid w:val="003E4707"/>
    <w:rsid w:val="003E4862"/>
    <w:rsid w:val="003E4C68"/>
    <w:rsid w:val="003E4E85"/>
    <w:rsid w:val="003E5019"/>
    <w:rsid w:val="003E58FF"/>
    <w:rsid w:val="003E5A24"/>
    <w:rsid w:val="003E688E"/>
    <w:rsid w:val="003E6FC9"/>
    <w:rsid w:val="003E70D0"/>
    <w:rsid w:val="003F0189"/>
    <w:rsid w:val="003F0C96"/>
    <w:rsid w:val="003F11FD"/>
    <w:rsid w:val="003F1387"/>
    <w:rsid w:val="003F14CD"/>
    <w:rsid w:val="003F1BDC"/>
    <w:rsid w:val="003F2651"/>
    <w:rsid w:val="003F2926"/>
    <w:rsid w:val="003F2A12"/>
    <w:rsid w:val="003F33BA"/>
    <w:rsid w:val="003F4C35"/>
    <w:rsid w:val="003F56F2"/>
    <w:rsid w:val="003F6EB4"/>
    <w:rsid w:val="003F6FD1"/>
    <w:rsid w:val="003F70F7"/>
    <w:rsid w:val="003F7436"/>
    <w:rsid w:val="003F79F5"/>
    <w:rsid w:val="003F7D30"/>
    <w:rsid w:val="004005DC"/>
    <w:rsid w:val="004007E3"/>
    <w:rsid w:val="00400C5B"/>
    <w:rsid w:val="00400D4D"/>
    <w:rsid w:val="00400FFA"/>
    <w:rsid w:val="004011CB"/>
    <w:rsid w:val="00401DDE"/>
    <w:rsid w:val="004021B5"/>
    <w:rsid w:val="00402620"/>
    <w:rsid w:val="00402830"/>
    <w:rsid w:val="004031B8"/>
    <w:rsid w:val="0040376A"/>
    <w:rsid w:val="00403848"/>
    <w:rsid w:val="0040384E"/>
    <w:rsid w:val="004038BD"/>
    <w:rsid w:val="00403CC6"/>
    <w:rsid w:val="00403F4B"/>
    <w:rsid w:val="004040CE"/>
    <w:rsid w:val="00404399"/>
    <w:rsid w:val="00404528"/>
    <w:rsid w:val="0040469D"/>
    <w:rsid w:val="0040480E"/>
    <w:rsid w:val="00404994"/>
    <w:rsid w:val="004051D6"/>
    <w:rsid w:val="004057BD"/>
    <w:rsid w:val="004059BA"/>
    <w:rsid w:val="00405C3C"/>
    <w:rsid w:val="0040648C"/>
    <w:rsid w:val="00406928"/>
    <w:rsid w:val="00406BD8"/>
    <w:rsid w:val="004070DF"/>
    <w:rsid w:val="00407FC7"/>
    <w:rsid w:val="00410342"/>
    <w:rsid w:val="00410435"/>
    <w:rsid w:val="00410D4B"/>
    <w:rsid w:val="00410FEA"/>
    <w:rsid w:val="00411104"/>
    <w:rsid w:val="00411D0F"/>
    <w:rsid w:val="00412140"/>
    <w:rsid w:val="00412358"/>
    <w:rsid w:val="004126C7"/>
    <w:rsid w:val="004130FF"/>
    <w:rsid w:val="004138E6"/>
    <w:rsid w:val="004139B5"/>
    <w:rsid w:val="00414885"/>
    <w:rsid w:val="0041517E"/>
    <w:rsid w:val="00415D8B"/>
    <w:rsid w:val="00416280"/>
    <w:rsid w:val="004167A1"/>
    <w:rsid w:val="00416B9F"/>
    <w:rsid w:val="0041762D"/>
    <w:rsid w:val="00417CA1"/>
    <w:rsid w:val="00420601"/>
    <w:rsid w:val="00420A74"/>
    <w:rsid w:val="0042103E"/>
    <w:rsid w:val="0042206D"/>
    <w:rsid w:val="00422095"/>
    <w:rsid w:val="004224F9"/>
    <w:rsid w:val="00422859"/>
    <w:rsid w:val="00423054"/>
    <w:rsid w:val="0042362C"/>
    <w:rsid w:val="00424836"/>
    <w:rsid w:val="0042496C"/>
    <w:rsid w:val="00424E0E"/>
    <w:rsid w:val="00424FE7"/>
    <w:rsid w:val="0042514D"/>
    <w:rsid w:val="00425581"/>
    <w:rsid w:val="004256E9"/>
    <w:rsid w:val="00425B10"/>
    <w:rsid w:val="00425FC5"/>
    <w:rsid w:val="00426225"/>
    <w:rsid w:val="004273ED"/>
    <w:rsid w:val="004276AE"/>
    <w:rsid w:val="0043003C"/>
    <w:rsid w:val="00430521"/>
    <w:rsid w:val="00430B64"/>
    <w:rsid w:val="00431B15"/>
    <w:rsid w:val="00431F76"/>
    <w:rsid w:val="00432309"/>
    <w:rsid w:val="004323FB"/>
    <w:rsid w:val="00432A28"/>
    <w:rsid w:val="00433033"/>
    <w:rsid w:val="004335C7"/>
    <w:rsid w:val="004343B3"/>
    <w:rsid w:val="004348F0"/>
    <w:rsid w:val="00434994"/>
    <w:rsid w:val="00435286"/>
    <w:rsid w:val="00435E29"/>
    <w:rsid w:val="00436418"/>
    <w:rsid w:val="00436560"/>
    <w:rsid w:val="00437157"/>
    <w:rsid w:val="004378E6"/>
    <w:rsid w:val="00437A92"/>
    <w:rsid w:val="00437C2B"/>
    <w:rsid w:val="00437DC1"/>
    <w:rsid w:val="00437DF8"/>
    <w:rsid w:val="00440020"/>
    <w:rsid w:val="0044108D"/>
    <w:rsid w:val="004411D9"/>
    <w:rsid w:val="00441864"/>
    <w:rsid w:val="00441D52"/>
    <w:rsid w:val="004421F6"/>
    <w:rsid w:val="004425FD"/>
    <w:rsid w:val="00442D69"/>
    <w:rsid w:val="00442DFE"/>
    <w:rsid w:val="00442F25"/>
    <w:rsid w:val="00443211"/>
    <w:rsid w:val="004435DF"/>
    <w:rsid w:val="0044374E"/>
    <w:rsid w:val="004438AC"/>
    <w:rsid w:val="004438FA"/>
    <w:rsid w:val="00445323"/>
    <w:rsid w:val="00445846"/>
    <w:rsid w:val="004461F7"/>
    <w:rsid w:val="004461F9"/>
    <w:rsid w:val="00446231"/>
    <w:rsid w:val="004465CA"/>
    <w:rsid w:val="004469DB"/>
    <w:rsid w:val="00446AAF"/>
    <w:rsid w:val="00447A2D"/>
    <w:rsid w:val="00450038"/>
    <w:rsid w:val="004500A8"/>
    <w:rsid w:val="00450840"/>
    <w:rsid w:val="00450E38"/>
    <w:rsid w:val="004518C9"/>
    <w:rsid w:val="00452188"/>
    <w:rsid w:val="004521EC"/>
    <w:rsid w:val="00453A75"/>
    <w:rsid w:val="00453B71"/>
    <w:rsid w:val="004542DF"/>
    <w:rsid w:val="0045450B"/>
    <w:rsid w:val="004546E4"/>
    <w:rsid w:val="00454C7F"/>
    <w:rsid w:val="00455062"/>
    <w:rsid w:val="00455308"/>
    <w:rsid w:val="00455789"/>
    <w:rsid w:val="00455C8F"/>
    <w:rsid w:val="00455EDD"/>
    <w:rsid w:val="00456882"/>
    <w:rsid w:val="00456BE5"/>
    <w:rsid w:val="00456E8B"/>
    <w:rsid w:val="00457217"/>
    <w:rsid w:val="004574EC"/>
    <w:rsid w:val="00457A85"/>
    <w:rsid w:val="00457BE2"/>
    <w:rsid w:val="00460052"/>
    <w:rsid w:val="00460AAD"/>
    <w:rsid w:val="00460C9E"/>
    <w:rsid w:val="00460E80"/>
    <w:rsid w:val="00461AF8"/>
    <w:rsid w:val="00461B56"/>
    <w:rsid w:val="00462400"/>
    <w:rsid w:val="00462590"/>
    <w:rsid w:val="0046265A"/>
    <w:rsid w:val="00462E79"/>
    <w:rsid w:val="00463277"/>
    <w:rsid w:val="00463833"/>
    <w:rsid w:val="004648F0"/>
    <w:rsid w:val="00464A2B"/>
    <w:rsid w:val="0046540E"/>
    <w:rsid w:val="004659BC"/>
    <w:rsid w:val="00465A6D"/>
    <w:rsid w:val="00465D73"/>
    <w:rsid w:val="00466C53"/>
    <w:rsid w:val="00466DEA"/>
    <w:rsid w:val="00467124"/>
    <w:rsid w:val="00467AD9"/>
    <w:rsid w:val="0047015C"/>
    <w:rsid w:val="00470697"/>
    <w:rsid w:val="004706E4"/>
    <w:rsid w:val="00470BC4"/>
    <w:rsid w:val="00471D0C"/>
    <w:rsid w:val="00471E7F"/>
    <w:rsid w:val="004721AF"/>
    <w:rsid w:val="004726F1"/>
    <w:rsid w:val="00472FEB"/>
    <w:rsid w:val="00473679"/>
    <w:rsid w:val="0047382B"/>
    <w:rsid w:val="00473AF5"/>
    <w:rsid w:val="00473BDA"/>
    <w:rsid w:val="00474576"/>
    <w:rsid w:val="00474A08"/>
    <w:rsid w:val="00474D5D"/>
    <w:rsid w:val="00475CE4"/>
    <w:rsid w:val="00475DC4"/>
    <w:rsid w:val="004761EA"/>
    <w:rsid w:val="004765F0"/>
    <w:rsid w:val="004766FD"/>
    <w:rsid w:val="00477399"/>
    <w:rsid w:val="004774AF"/>
    <w:rsid w:val="00477D62"/>
    <w:rsid w:val="004806E1"/>
    <w:rsid w:val="0048097C"/>
    <w:rsid w:val="00480BDE"/>
    <w:rsid w:val="00480C7A"/>
    <w:rsid w:val="00481964"/>
    <w:rsid w:val="00482046"/>
    <w:rsid w:val="0048265F"/>
    <w:rsid w:val="00482B86"/>
    <w:rsid w:val="00483E95"/>
    <w:rsid w:val="0048436D"/>
    <w:rsid w:val="00484A8E"/>
    <w:rsid w:val="00484EF4"/>
    <w:rsid w:val="004860A4"/>
    <w:rsid w:val="00486ED8"/>
    <w:rsid w:val="0048701E"/>
    <w:rsid w:val="00487300"/>
    <w:rsid w:val="00487907"/>
    <w:rsid w:val="00487BB7"/>
    <w:rsid w:val="00487CD9"/>
    <w:rsid w:val="004900F6"/>
    <w:rsid w:val="00490157"/>
    <w:rsid w:val="00490283"/>
    <w:rsid w:val="0049045D"/>
    <w:rsid w:val="0049074E"/>
    <w:rsid w:val="0049090B"/>
    <w:rsid w:val="00490A39"/>
    <w:rsid w:val="00490AC3"/>
    <w:rsid w:val="004910FA"/>
    <w:rsid w:val="00491364"/>
    <w:rsid w:val="00492F53"/>
    <w:rsid w:val="0049357A"/>
    <w:rsid w:val="004938B4"/>
    <w:rsid w:val="00493EE3"/>
    <w:rsid w:val="00494C5D"/>
    <w:rsid w:val="004954CF"/>
    <w:rsid w:val="00495DEA"/>
    <w:rsid w:val="004963A8"/>
    <w:rsid w:val="00496610"/>
    <w:rsid w:val="004971E8"/>
    <w:rsid w:val="004977E5"/>
    <w:rsid w:val="00497C68"/>
    <w:rsid w:val="004A0652"/>
    <w:rsid w:val="004A0693"/>
    <w:rsid w:val="004A0AF2"/>
    <w:rsid w:val="004A1CC0"/>
    <w:rsid w:val="004A276A"/>
    <w:rsid w:val="004A3749"/>
    <w:rsid w:val="004A38DD"/>
    <w:rsid w:val="004A41F1"/>
    <w:rsid w:val="004A4ADE"/>
    <w:rsid w:val="004A4C70"/>
    <w:rsid w:val="004A4C81"/>
    <w:rsid w:val="004A565F"/>
    <w:rsid w:val="004A5FE8"/>
    <w:rsid w:val="004A66F0"/>
    <w:rsid w:val="004A699F"/>
    <w:rsid w:val="004A766A"/>
    <w:rsid w:val="004A7D50"/>
    <w:rsid w:val="004B02C4"/>
    <w:rsid w:val="004B1012"/>
    <w:rsid w:val="004B18C3"/>
    <w:rsid w:val="004B1C72"/>
    <w:rsid w:val="004B1E27"/>
    <w:rsid w:val="004B24C5"/>
    <w:rsid w:val="004B40D9"/>
    <w:rsid w:val="004B464F"/>
    <w:rsid w:val="004B4B04"/>
    <w:rsid w:val="004B4DEA"/>
    <w:rsid w:val="004B50AF"/>
    <w:rsid w:val="004B5327"/>
    <w:rsid w:val="004B5674"/>
    <w:rsid w:val="004B5F32"/>
    <w:rsid w:val="004B605A"/>
    <w:rsid w:val="004B7042"/>
    <w:rsid w:val="004B7602"/>
    <w:rsid w:val="004B7C65"/>
    <w:rsid w:val="004B7D70"/>
    <w:rsid w:val="004B7E73"/>
    <w:rsid w:val="004C0466"/>
    <w:rsid w:val="004C094B"/>
    <w:rsid w:val="004C09AF"/>
    <w:rsid w:val="004C1F04"/>
    <w:rsid w:val="004C3158"/>
    <w:rsid w:val="004C315F"/>
    <w:rsid w:val="004C38B6"/>
    <w:rsid w:val="004C3B2E"/>
    <w:rsid w:val="004C41B5"/>
    <w:rsid w:val="004C4433"/>
    <w:rsid w:val="004C4A86"/>
    <w:rsid w:val="004C54D0"/>
    <w:rsid w:val="004C5873"/>
    <w:rsid w:val="004C5B61"/>
    <w:rsid w:val="004C5FE6"/>
    <w:rsid w:val="004C63BE"/>
    <w:rsid w:val="004C6CDA"/>
    <w:rsid w:val="004C748D"/>
    <w:rsid w:val="004C7A29"/>
    <w:rsid w:val="004D0110"/>
    <w:rsid w:val="004D01E2"/>
    <w:rsid w:val="004D033A"/>
    <w:rsid w:val="004D03AF"/>
    <w:rsid w:val="004D10AA"/>
    <w:rsid w:val="004D1C43"/>
    <w:rsid w:val="004D1C8E"/>
    <w:rsid w:val="004D1D4F"/>
    <w:rsid w:val="004D22A8"/>
    <w:rsid w:val="004D2525"/>
    <w:rsid w:val="004D2632"/>
    <w:rsid w:val="004D2D20"/>
    <w:rsid w:val="004D2E17"/>
    <w:rsid w:val="004D3514"/>
    <w:rsid w:val="004D3CB2"/>
    <w:rsid w:val="004D5456"/>
    <w:rsid w:val="004D59B5"/>
    <w:rsid w:val="004D5AD7"/>
    <w:rsid w:val="004D5BD4"/>
    <w:rsid w:val="004D6986"/>
    <w:rsid w:val="004D69DD"/>
    <w:rsid w:val="004D73E5"/>
    <w:rsid w:val="004D7992"/>
    <w:rsid w:val="004E0593"/>
    <w:rsid w:val="004E0740"/>
    <w:rsid w:val="004E079F"/>
    <w:rsid w:val="004E0A02"/>
    <w:rsid w:val="004E0B72"/>
    <w:rsid w:val="004E1D6E"/>
    <w:rsid w:val="004E1EB1"/>
    <w:rsid w:val="004E2302"/>
    <w:rsid w:val="004E34D6"/>
    <w:rsid w:val="004E35A7"/>
    <w:rsid w:val="004E3B38"/>
    <w:rsid w:val="004E41EF"/>
    <w:rsid w:val="004E42F0"/>
    <w:rsid w:val="004E4D4F"/>
    <w:rsid w:val="004E623E"/>
    <w:rsid w:val="004E67A6"/>
    <w:rsid w:val="004F0878"/>
    <w:rsid w:val="004F0B10"/>
    <w:rsid w:val="004F2104"/>
    <w:rsid w:val="004F24B3"/>
    <w:rsid w:val="004F261E"/>
    <w:rsid w:val="004F263E"/>
    <w:rsid w:val="004F286B"/>
    <w:rsid w:val="004F28E6"/>
    <w:rsid w:val="004F2CED"/>
    <w:rsid w:val="004F3702"/>
    <w:rsid w:val="004F3A3F"/>
    <w:rsid w:val="004F3CD5"/>
    <w:rsid w:val="004F417E"/>
    <w:rsid w:val="004F4C9D"/>
    <w:rsid w:val="004F4F65"/>
    <w:rsid w:val="004F58B8"/>
    <w:rsid w:val="004F5CAC"/>
    <w:rsid w:val="004F6651"/>
    <w:rsid w:val="004F682D"/>
    <w:rsid w:val="004F69DD"/>
    <w:rsid w:val="004F78E9"/>
    <w:rsid w:val="0050235C"/>
    <w:rsid w:val="00502A29"/>
    <w:rsid w:val="00502D91"/>
    <w:rsid w:val="00502F4D"/>
    <w:rsid w:val="00503844"/>
    <w:rsid w:val="00503A1D"/>
    <w:rsid w:val="00504873"/>
    <w:rsid w:val="00505891"/>
    <w:rsid w:val="00505A11"/>
    <w:rsid w:val="00505D2B"/>
    <w:rsid w:val="0050706C"/>
    <w:rsid w:val="00507856"/>
    <w:rsid w:val="005104B3"/>
    <w:rsid w:val="00510814"/>
    <w:rsid w:val="00510B83"/>
    <w:rsid w:val="0051141E"/>
    <w:rsid w:val="00511B4C"/>
    <w:rsid w:val="00511D1F"/>
    <w:rsid w:val="00511F69"/>
    <w:rsid w:val="00512359"/>
    <w:rsid w:val="00513616"/>
    <w:rsid w:val="00513754"/>
    <w:rsid w:val="005137DE"/>
    <w:rsid w:val="00513885"/>
    <w:rsid w:val="00514109"/>
    <w:rsid w:val="005145AA"/>
    <w:rsid w:val="0051577C"/>
    <w:rsid w:val="00516747"/>
    <w:rsid w:val="005178DE"/>
    <w:rsid w:val="00520519"/>
    <w:rsid w:val="00520F1E"/>
    <w:rsid w:val="005211BC"/>
    <w:rsid w:val="00522039"/>
    <w:rsid w:val="0052254D"/>
    <w:rsid w:val="005227F1"/>
    <w:rsid w:val="005228B8"/>
    <w:rsid w:val="005236F7"/>
    <w:rsid w:val="00524384"/>
    <w:rsid w:val="00524531"/>
    <w:rsid w:val="00524862"/>
    <w:rsid w:val="0052509C"/>
    <w:rsid w:val="00525BD1"/>
    <w:rsid w:val="0052606E"/>
    <w:rsid w:val="00526158"/>
    <w:rsid w:val="005263EB"/>
    <w:rsid w:val="005267A6"/>
    <w:rsid w:val="00526E2E"/>
    <w:rsid w:val="00527333"/>
    <w:rsid w:val="00527B93"/>
    <w:rsid w:val="00530A80"/>
    <w:rsid w:val="00530FBF"/>
    <w:rsid w:val="00531214"/>
    <w:rsid w:val="00531E1B"/>
    <w:rsid w:val="00532267"/>
    <w:rsid w:val="0053283B"/>
    <w:rsid w:val="005337B1"/>
    <w:rsid w:val="00533D2D"/>
    <w:rsid w:val="00533F07"/>
    <w:rsid w:val="005345AB"/>
    <w:rsid w:val="0053485B"/>
    <w:rsid w:val="00534EA5"/>
    <w:rsid w:val="00534FD3"/>
    <w:rsid w:val="00535AE8"/>
    <w:rsid w:val="00535CEA"/>
    <w:rsid w:val="00535DF5"/>
    <w:rsid w:val="005360DD"/>
    <w:rsid w:val="00536499"/>
    <w:rsid w:val="00536994"/>
    <w:rsid w:val="00537FB3"/>
    <w:rsid w:val="005402E0"/>
    <w:rsid w:val="0054053E"/>
    <w:rsid w:val="00540647"/>
    <w:rsid w:val="005409A2"/>
    <w:rsid w:val="005414DA"/>
    <w:rsid w:val="00541783"/>
    <w:rsid w:val="005417FB"/>
    <w:rsid w:val="0054192C"/>
    <w:rsid w:val="00541E00"/>
    <w:rsid w:val="00542596"/>
    <w:rsid w:val="005428AF"/>
    <w:rsid w:val="00543317"/>
    <w:rsid w:val="005439F8"/>
    <w:rsid w:val="0054436B"/>
    <w:rsid w:val="00544D91"/>
    <w:rsid w:val="00544E3B"/>
    <w:rsid w:val="00544EFD"/>
    <w:rsid w:val="005454EC"/>
    <w:rsid w:val="005473BA"/>
    <w:rsid w:val="00547892"/>
    <w:rsid w:val="005478F4"/>
    <w:rsid w:val="00547AE6"/>
    <w:rsid w:val="00550307"/>
    <w:rsid w:val="005503CA"/>
    <w:rsid w:val="0055086B"/>
    <w:rsid w:val="00551020"/>
    <w:rsid w:val="005512EE"/>
    <w:rsid w:val="00551710"/>
    <w:rsid w:val="00551B85"/>
    <w:rsid w:val="00552677"/>
    <w:rsid w:val="0055267F"/>
    <w:rsid w:val="00552832"/>
    <w:rsid w:val="00552B16"/>
    <w:rsid w:val="00552D1C"/>
    <w:rsid w:val="00552E32"/>
    <w:rsid w:val="00553010"/>
    <w:rsid w:val="00553472"/>
    <w:rsid w:val="0055347D"/>
    <w:rsid w:val="0055372B"/>
    <w:rsid w:val="00554C90"/>
    <w:rsid w:val="005554A9"/>
    <w:rsid w:val="00555705"/>
    <w:rsid w:val="00555FB5"/>
    <w:rsid w:val="00556EB3"/>
    <w:rsid w:val="005570A4"/>
    <w:rsid w:val="0056000D"/>
    <w:rsid w:val="005609DA"/>
    <w:rsid w:val="00560F4C"/>
    <w:rsid w:val="00561641"/>
    <w:rsid w:val="005617D8"/>
    <w:rsid w:val="00561A6D"/>
    <w:rsid w:val="00561C16"/>
    <w:rsid w:val="00561DDC"/>
    <w:rsid w:val="00561E07"/>
    <w:rsid w:val="00561E91"/>
    <w:rsid w:val="005623CF"/>
    <w:rsid w:val="005627BE"/>
    <w:rsid w:val="005628A2"/>
    <w:rsid w:val="00562D58"/>
    <w:rsid w:val="00562E72"/>
    <w:rsid w:val="005632D1"/>
    <w:rsid w:val="005633D2"/>
    <w:rsid w:val="00563609"/>
    <w:rsid w:val="00563863"/>
    <w:rsid w:val="00563A58"/>
    <w:rsid w:val="005644B1"/>
    <w:rsid w:val="0056474D"/>
    <w:rsid w:val="00564B88"/>
    <w:rsid w:val="005661C8"/>
    <w:rsid w:val="00566515"/>
    <w:rsid w:val="00567009"/>
    <w:rsid w:val="00567207"/>
    <w:rsid w:val="00567703"/>
    <w:rsid w:val="005700DB"/>
    <w:rsid w:val="005701BB"/>
    <w:rsid w:val="005706BA"/>
    <w:rsid w:val="0057072F"/>
    <w:rsid w:val="005709EB"/>
    <w:rsid w:val="00570AA9"/>
    <w:rsid w:val="00570B39"/>
    <w:rsid w:val="00570C99"/>
    <w:rsid w:val="005710D8"/>
    <w:rsid w:val="005713C0"/>
    <w:rsid w:val="005714E3"/>
    <w:rsid w:val="00571AAD"/>
    <w:rsid w:val="00571B55"/>
    <w:rsid w:val="00571B86"/>
    <w:rsid w:val="00571EAB"/>
    <w:rsid w:val="00572319"/>
    <w:rsid w:val="00572378"/>
    <w:rsid w:val="00572B8F"/>
    <w:rsid w:val="00572B9E"/>
    <w:rsid w:val="00572BA7"/>
    <w:rsid w:val="005730EB"/>
    <w:rsid w:val="00573518"/>
    <w:rsid w:val="00573529"/>
    <w:rsid w:val="00573A08"/>
    <w:rsid w:val="00574287"/>
    <w:rsid w:val="0057523A"/>
    <w:rsid w:val="0057534D"/>
    <w:rsid w:val="00575B36"/>
    <w:rsid w:val="005800CD"/>
    <w:rsid w:val="00580BD6"/>
    <w:rsid w:val="0058154F"/>
    <w:rsid w:val="00581D05"/>
    <w:rsid w:val="00582B60"/>
    <w:rsid w:val="005832D9"/>
    <w:rsid w:val="00583637"/>
    <w:rsid w:val="00583881"/>
    <w:rsid w:val="0058390B"/>
    <w:rsid w:val="005846DC"/>
    <w:rsid w:val="005857F3"/>
    <w:rsid w:val="00585BCD"/>
    <w:rsid w:val="005860AE"/>
    <w:rsid w:val="005861D4"/>
    <w:rsid w:val="005869A1"/>
    <w:rsid w:val="00587A84"/>
    <w:rsid w:val="005904FC"/>
    <w:rsid w:val="00590615"/>
    <w:rsid w:val="00591FCE"/>
    <w:rsid w:val="00591FD8"/>
    <w:rsid w:val="00592A54"/>
    <w:rsid w:val="00594078"/>
    <w:rsid w:val="005940D6"/>
    <w:rsid w:val="00594443"/>
    <w:rsid w:val="00594876"/>
    <w:rsid w:val="00594D4F"/>
    <w:rsid w:val="00594D78"/>
    <w:rsid w:val="00595101"/>
    <w:rsid w:val="00595141"/>
    <w:rsid w:val="00595D93"/>
    <w:rsid w:val="00596223"/>
    <w:rsid w:val="0059630D"/>
    <w:rsid w:val="00596311"/>
    <w:rsid w:val="00596687"/>
    <w:rsid w:val="00596893"/>
    <w:rsid w:val="005970F9"/>
    <w:rsid w:val="005972B4"/>
    <w:rsid w:val="005974CD"/>
    <w:rsid w:val="00597603"/>
    <w:rsid w:val="00597D06"/>
    <w:rsid w:val="005A0C82"/>
    <w:rsid w:val="005A0E0F"/>
    <w:rsid w:val="005A13D0"/>
    <w:rsid w:val="005A2566"/>
    <w:rsid w:val="005A2931"/>
    <w:rsid w:val="005A2ADD"/>
    <w:rsid w:val="005A3234"/>
    <w:rsid w:val="005A3A30"/>
    <w:rsid w:val="005A3BE1"/>
    <w:rsid w:val="005A4605"/>
    <w:rsid w:val="005A5369"/>
    <w:rsid w:val="005A629A"/>
    <w:rsid w:val="005A6332"/>
    <w:rsid w:val="005A69E4"/>
    <w:rsid w:val="005A6C41"/>
    <w:rsid w:val="005A6E4D"/>
    <w:rsid w:val="005A6F29"/>
    <w:rsid w:val="005A738B"/>
    <w:rsid w:val="005A7A6C"/>
    <w:rsid w:val="005B048F"/>
    <w:rsid w:val="005B0B5E"/>
    <w:rsid w:val="005B0CD2"/>
    <w:rsid w:val="005B176D"/>
    <w:rsid w:val="005B2536"/>
    <w:rsid w:val="005B25AF"/>
    <w:rsid w:val="005B2D99"/>
    <w:rsid w:val="005B2DD3"/>
    <w:rsid w:val="005B3422"/>
    <w:rsid w:val="005B3A0F"/>
    <w:rsid w:val="005B3C4A"/>
    <w:rsid w:val="005B4370"/>
    <w:rsid w:val="005B4509"/>
    <w:rsid w:val="005B4676"/>
    <w:rsid w:val="005B46C6"/>
    <w:rsid w:val="005B4824"/>
    <w:rsid w:val="005B4828"/>
    <w:rsid w:val="005B4BF3"/>
    <w:rsid w:val="005B521A"/>
    <w:rsid w:val="005B56E9"/>
    <w:rsid w:val="005B6E0E"/>
    <w:rsid w:val="005B7998"/>
    <w:rsid w:val="005B7FDD"/>
    <w:rsid w:val="005B7FED"/>
    <w:rsid w:val="005C0346"/>
    <w:rsid w:val="005C0870"/>
    <w:rsid w:val="005C1115"/>
    <w:rsid w:val="005C16A0"/>
    <w:rsid w:val="005C1925"/>
    <w:rsid w:val="005C1972"/>
    <w:rsid w:val="005C1ED3"/>
    <w:rsid w:val="005C25D5"/>
    <w:rsid w:val="005C2EC6"/>
    <w:rsid w:val="005C5E65"/>
    <w:rsid w:val="005C5F81"/>
    <w:rsid w:val="005C6197"/>
    <w:rsid w:val="005C66F3"/>
    <w:rsid w:val="005C6761"/>
    <w:rsid w:val="005C6E53"/>
    <w:rsid w:val="005C6ECC"/>
    <w:rsid w:val="005C7AB1"/>
    <w:rsid w:val="005D032E"/>
    <w:rsid w:val="005D0331"/>
    <w:rsid w:val="005D0A25"/>
    <w:rsid w:val="005D0C51"/>
    <w:rsid w:val="005D0D75"/>
    <w:rsid w:val="005D10EB"/>
    <w:rsid w:val="005D160B"/>
    <w:rsid w:val="005D173D"/>
    <w:rsid w:val="005D17E7"/>
    <w:rsid w:val="005D1FC6"/>
    <w:rsid w:val="005D2E8C"/>
    <w:rsid w:val="005D3EA4"/>
    <w:rsid w:val="005D4EE2"/>
    <w:rsid w:val="005D5096"/>
    <w:rsid w:val="005D5AF6"/>
    <w:rsid w:val="005D5E74"/>
    <w:rsid w:val="005D5EB4"/>
    <w:rsid w:val="005D6424"/>
    <w:rsid w:val="005D6CEC"/>
    <w:rsid w:val="005D72C4"/>
    <w:rsid w:val="005E08F2"/>
    <w:rsid w:val="005E0D33"/>
    <w:rsid w:val="005E111E"/>
    <w:rsid w:val="005E11B3"/>
    <w:rsid w:val="005E146A"/>
    <w:rsid w:val="005E175A"/>
    <w:rsid w:val="005E1875"/>
    <w:rsid w:val="005E1CC7"/>
    <w:rsid w:val="005E20AB"/>
    <w:rsid w:val="005E2106"/>
    <w:rsid w:val="005E23E6"/>
    <w:rsid w:val="005E2460"/>
    <w:rsid w:val="005E2656"/>
    <w:rsid w:val="005E2BC9"/>
    <w:rsid w:val="005E3034"/>
    <w:rsid w:val="005E3B2E"/>
    <w:rsid w:val="005E3C26"/>
    <w:rsid w:val="005E3C65"/>
    <w:rsid w:val="005E3E42"/>
    <w:rsid w:val="005E3FB7"/>
    <w:rsid w:val="005E4264"/>
    <w:rsid w:val="005E446F"/>
    <w:rsid w:val="005E4F3B"/>
    <w:rsid w:val="005E52F3"/>
    <w:rsid w:val="005E58A5"/>
    <w:rsid w:val="005E5BEB"/>
    <w:rsid w:val="005E5F09"/>
    <w:rsid w:val="005E6A8A"/>
    <w:rsid w:val="005E7035"/>
    <w:rsid w:val="005E70C2"/>
    <w:rsid w:val="005E7D3E"/>
    <w:rsid w:val="005F0001"/>
    <w:rsid w:val="005F018B"/>
    <w:rsid w:val="005F048C"/>
    <w:rsid w:val="005F07CE"/>
    <w:rsid w:val="005F11E9"/>
    <w:rsid w:val="005F1607"/>
    <w:rsid w:val="005F16AA"/>
    <w:rsid w:val="005F23FB"/>
    <w:rsid w:val="005F5A53"/>
    <w:rsid w:val="005F5E23"/>
    <w:rsid w:val="005F7135"/>
    <w:rsid w:val="005F71A7"/>
    <w:rsid w:val="005F7794"/>
    <w:rsid w:val="005F7C89"/>
    <w:rsid w:val="005F7D60"/>
    <w:rsid w:val="005F7F64"/>
    <w:rsid w:val="006028C4"/>
    <w:rsid w:val="00602A9F"/>
    <w:rsid w:val="00602ABF"/>
    <w:rsid w:val="0060364A"/>
    <w:rsid w:val="00603784"/>
    <w:rsid w:val="00603F80"/>
    <w:rsid w:val="0060432B"/>
    <w:rsid w:val="006050E2"/>
    <w:rsid w:val="006054A0"/>
    <w:rsid w:val="0060612D"/>
    <w:rsid w:val="006061A5"/>
    <w:rsid w:val="00606BE8"/>
    <w:rsid w:val="00606D96"/>
    <w:rsid w:val="00606DFC"/>
    <w:rsid w:val="00606ED7"/>
    <w:rsid w:val="00606FC1"/>
    <w:rsid w:val="00607528"/>
    <w:rsid w:val="00607B15"/>
    <w:rsid w:val="00610731"/>
    <w:rsid w:val="00610A70"/>
    <w:rsid w:val="00611B43"/>
    <w:rsid w:val="0061276C"/>
    <w:rsid w:val="006132EB"/>
    <w:rsid w:val="00613ACB"/>
    <w:rsid w:val="00613C35"/>
    <w:rsid w:val="00613D97"/>
    <w:rsid w:val="006152F1"/>
    <w:rsid w:val="00615C81"/>
    <w:rsid w:val="006162DC"/>
    <w:rsid w:val="0061694E"/>
    <w:rsid w:val="006170EB"/>
    <w:rsid w:val="00617202"/>
    <w:rsid w:val="006172CD"/>
    <w:rsid w:val="00617515"/>
    <w:rsid w:val="006176B2"/>
    <w:rsid w:val="00617CBF"/>
    <w:rsid w:val="00620DC8"/>
    <w:rsid w:val="00621016"/>
    <w:rsid w:val="0062142F"/>
    <w:rsid w:val="006217A4"/>
    <w:rsid w:val="00621998"/>
    <w:rsid w:val="00621D5F"/>
    <w:rsid w:val="00621F91"/>
    <w:rsid w:val="0062242D"/>
    <w:rsid w:val="0062299C"/>
    <w:rsid w:val="00623B12"/>
    <w:rsid w:val="00623EBB"/>
    <w:rsid w:val="00624368"/>
    <w:rsid w:val="006245CA"/>
    <w:rsid w:val="00624F31"/>
    <w:rsid w:val="00625051"/>
    <w:rsid w:val="00625555"/>
    <w:rsid w:val="00625A51"/>
    <w:rsid w:val="00625F6B"/>
    <w:rsid w:val="00626556"/>
    <w:rsid w:val="0062685D"/>
    <w:rsid w:val="006269DD"/>
    <w:rsid w:val="00626A34"/>
    <w:rsid w:val="00626D21"/>
    <w:rsid w:val="00626E73"/>
    <w:rsid w:val="00627214"/>
    <w:rsid w:val="006277AA"/>
    <w:rsid w:val="0063015B"/>
    <w:rsid w:val="0063022D"/>
    <w:rsid w:val="0063031B"/>
    <w:rsid w:val="006304C7"/>
    <w:rsid w:val="00630887"/>
    <w:rsid w:val="00630B42"/>
    <w:rsid w:val="00631B17"/>
    <w:rsid w:val="006320C9"/>
    <w:rsid w:val="00632311"/>
    <w:rsid w:val="006325B8"/>
    <w:rsid w:val="00632677"/>
    <w:rsid w:val="00633B33"/>
    <w:rsid w:val="006340DF"/>
    <w:rsid w:val="006341D0"/>
    <w:rsid w:val="006344C3"/>
    <w:rsid w:val="0063451F"/>
    <w:rsid w:val="0063455D"/>
    <w:rsid w:val="006346E1"/>
    <w:rsid w:val="0063476A"/>
    <w:rsid w:val="006347C6"/>
    <w:rsid w:val="006351DA"/>
    <w:rsid w:val="006357F1"/>
    <w:rsid w:val="00635B8C"/>
    <w:rsid w:val="00635CCF"/>
    <w:rsid w:val="00635F94"/>
    <w:rsid w:val="00637CE4"/>
    <w:rsid w:val="006403F0"/>
    <w:rsid w:val="00640F4C"/>
    <w:rsid w:val="00640F6F"/>
    <w:rsid w:val="00640F80"/>
    <w:rsid w:val="006415CB"/>
    <w:rsid w:val="00641D31"/>
    <w:rsid w:val="0064358E"/>
    <w:rsid w:val="006445CD"/>
    <w:rsid w:val="006446F3"/>
    <w:rsid w:val="0064496A"/>
    <w:rsid w:val="00644D7F"/>
    <w:rsid w:val="0064516F"/>
    <w:rsid w:val="00646809"/>
    <w:rsid w:val="00647294"/>
    <w:rsid w:val="0064756D"/>
    <w:rsid w:val="006476A3"/>
    <w:rsid w:val="006476D4"/>
    <w:rsid w:val="00647B4B"/>
    <w:rsid w:val="00650140"/>
    <w:rsid w:val="0065049A"/>
    <w:rsid w:val="0065094B"/>
    <w:rsid w:val="00650B20"/>
    <w:rsid w:val="00650CCD"/>
    <w:rsid w:val="00651457"/>
    <w:rsid w:val="00652397"/>
    <w:rsid w:val="00652A42"/>
    <w:rsid w:val="00652B90"/>
    <w:rsid w:val="006530A9"/>
    <w:rsid w:val="006531AB"/>
    <w:rsid w:val="006535BE"/>
    <w:rsid w:val="00654954"/>
    <w:rsid w:val="00655490"/>
    <w:rsid w:val="00655A58"/>
    <w:rsid w:val="00655CB8"/>
    <w:rsid w:val="00657518"/>
    <w:rsid w:val="00657E4D"/>
    <w:rsid w:val="00660376"/>
    <w:rsid w:val="00660DAC"/>
    <w:rsid w:val="006618F5"/>
    <w:rsid w:val="00662D6A"/>
    <w:rsid w:val="00662F50"/>
    <w:rsid w:val="00663B5E"/>
    <w:rsid w:val="00663FE2"/>
    <w:rsid w:val="00663FFE"/>
    <w:rsid w:val="00664187"/>
    <w:rsid w:val="0066440E"/>
    <w:rsid w:val="00664768"/>
    <w:rsid w:val="00664C79"/>
    <w:rsid w:val="006650EF"/>
    <w:rsid w:val="006656F3"/>
    <w:rsid w:val="006657FB"/>
    <w:rsid w:val="00665BD6"/>
    <w:rsid w:val="00665C4E"/>
    <w:rsid w:val="00666C31"/>
    <w:rsid w:val="006673A9"/>
    <w:rsid w:val="0066781C"/>
    <w:rsid w:val="00667D57"/>
    <w:rsid w:val="0067238C"/>
    <w:rsid w:val="0067255E"/>
    <w:rsid w:val="00672AD3"/>
    <w:rsid w:val="0067365F"/>
    <w:rsid w:val="00673894"/>
    <w:rsid w:val="006742E0"/>
    <w:rsid w:val="00674C02"/>
    <w:rsid w:val="00674E42"/>
    <w:rsid w:val="006752A8"/>
    <w:rsid w:val="0067567C"/>
    <w:rsid w:val="006756C9"/>
    <w:rsid w:val="006769F2"/>
    <w:rsid w:val="00676D42"/>
    <w:rsid w:val="00677678"/>
    <w:rsid w:val="006777C0"/>
    <w:rsid w:val="00677CDB"/>
    <w:rsid w:val="00680965"/>
    <w:rsid w:val="00680E49"/>
    <w:rsid w:val="00680F21"/>
    <w:rsid w:val="00681753"/>
    <w:rsid w:val="006818CB"/>
    <w:rsid w:val="006819C0"/>
    <w:rsid w:val="00681B38"/>
    <w:rsid w:val="00681B3B"/>
    <w:rsid w:val="00681F17"/>
    <w:rsid w:val="00681F1D"/>
    <w:rsid w:val="0068249B"/>
    <w:rsid w:val="00682CF4"/>
    <w:rsid w:val="00683838"/>
    <w:rsid w:val="00683AF6"/>
    <w:rsid w:val="00683C98"/>
    <w:rsid w:val="00683D2B"/>
    <w:rsid w:val="006841F4"/>
    <w:rsid w:val="00684846"/>
    <w:rsid w:val="006848AB"/>
    <w:rsid w:val="00684BF4"/>
    <w:rsid w:val="00684FAE"/>
    <w:rsid w:val="00685194"/>
    <w:rsid w:val="00685FC7"/>
    <w:rsid w:val="00686700"/>
    <w:rsid w:val="00687829"/>
    <w:rsid w:val="00687B54"/>
    <w:rsid w:val="00690A60"/>
    <w:rsid w:val="00690E62"/>
    <w:rsid w:val="0069111D"/>
    <w:rsid w:val="00691438"/>
    <w:rsid w:val="00691D03"/>
    <w:rsid w:val="00692632"/>
    <w:rsid w:val="0069271B"/>
    <w:rsid w:val="00692BD3"/>
    <w:rsid w:val="00692E57"/>
    <w:rsid w:val="00693075"/>
    <w:rsid w:val="00693BC3"/>
    <w:rsid w:val="00694456"/>
    <w:rsid w:val="0069460D"/>
    <w:rsid w:val="00694ED0"/>
    <w:rsid w:val="00695761"/>
    <w:rsid w:val="00695B02"/>
    <w:rsid w:val="00696210"/>
    <w:rsid w:val="00696262"/>
    <w:rsid w:val="00696937"/>
    <w:rsid w:val="00696A10"/>
    <w:rsid w:val="0069728F"/>
    <w:rsid w:val="006A00AE"/>
    <w:rsid w:val="006A011A"/>
    <w:rsid w:val="006A0244"/>
    <w:rsid w:val="006A0282"/>
    <w:rsid w:val="006A112C"/>
    <w:rsid w:val="006A21BB"/>
    <w:rsid w:val="006A28E3"/>
    <w:rsid w:val="006A2923"/>
    <w:rsid w:val="006A2CA2"/>
    <w:rsid w:val="006A3160"/>
    <w:rsid w:val="006A36F2"/>
    <w:rsid w:val="006A3CC0"/>
    <w:rsid w:val="006A3E03"/>
    <w:rsid w:val="006A3E2A"/>
    <w:rsid w:val="006A4C35"/>
    <w:rsid w:val="006A4D14"/>
    <w:rsid w:val="006A5437"/>
    <w:rsid w:val="006A58A3"/>
    <w:rsid w:val="006A61A6"/>
    <w:rsid w:val="006A699F"/>
    <w:rsid w:val="006A6CEF"/>
    <w:rsid w:val="006A70C0"/>
    <w:rsid w:val="006A773D"/>
    <w:rsid w:val="006B02C1"/>
    <w:rsid w:val="006B0820"/>
    <w:rsid w:val="006B08BA"/>
    <w:rsid w:val="006B0F21"/>
    <w:rsid w:val="006B1B51"/>
    <w:rsid w:val="006B1F50"/>
    <w:rsid w:val="006B2456"/>
    <w:rsid w:val="006B2636"/>
    <w:rsid w:val="006B2B5A"/>
    <w:rsid w:val="006B2D22"/>
    <w:rsid w:val="006B2DC2"/>
    <w:rsid w:val="006B36EB"/>
    <w:rsid w:val="006B38CA"/>
    <w:rsid w:val="006B3DED"/>
    <w:rsid w:val="006B4002"/>
    <w:rsid w:val="006B44F7"/>
    <w:rsid w:val="006B48ED"/>
    <w:rsid w:val="006B4937"/>
    <w:rsid w:val="006B4DBC"/>
    <w:rsid w:val="006B51D0"/>
    <w:rsid w:val="006B5497"/>
    <w:rsid w:val="006B612D"/>
    <w:rsid w:val="006B70E7"/>
    <w:rsid w:val="006B761D"/>
    <w:rsid w:val="006B7E3E"/>
    <w:rsid w:val="006C0939"/>
    <w:rsid w:val="006C1783"/>
    <w:rsid w:val="006C1B72"/>
    <w:rsid w:val="006C1EC2"/>
    <w:rsid w:val="006C1EE6"/>
    <w:rsid w:val="006C21B8"/>
    <w:rsid w:val="006C2660"/>
    <w:rsid w:val="006C2A0E"/>
    <w:rsid w:val="006C2FAD"/>
    <w:rsid w:val="006C38E7"/>
    <w:rsid w:val="006C43CE"/>
    <w:rsid w:val="006C53A8"/>
    <w:rsid w:val="006C5E97"/>
    <w:rsid w:val="006C6200"/>
    <w:rsid w:val="006C69AC"/>
    <w:rsid w:val="006C69AF"/>
    <w:rsid w:val="006C72C4"/>
    <w:rsid w:val="006C74A0"/>
    <w:rsid w:val="006C7A35"/>
    <w:rsid w:val="006C7A4B"/>
    <w:rsid w:val="006D02D7"/>
    <w:rsid w:val="006D0491"/>
    <w:rsid w:val="006D0650"/>
    <w:rsid w:val="006D11EE"/>
    <w:rsid w:val="006D22E1"/>
    <w:rsid w:val="006D31E3"/>
    <w:rsid w:val="006D3CBB"/>
    <w:rsid w:val="006D40BA"/>
    <w:rsid w:val="006D545D"/>
    <w:rsid w:val="006D67E8"/>
    <w:rsid w:val="006D709A"/>
    <w:rsid w:val="006D70E7"/>
    <w:rsid w:val="006D7FC4"/>
    <w:rsid w:val="006E00AC"/>
    <w:rsid w:val="006E040D"/>
    <w:rsid w:val="006E051D"/>
    <w:rsid w:val="006E1381"/>
    <w:rsid w:val="006E13BC"/>
    <w:rsid w:val="006E1411"/>
    <w:rsid w:val="006E1D6D"/>
    <w:rsid w:val="006E2235"/>
    <w:rsid w:val="006E2523"/>
    <w:rsid w:val="006E32DA"/>
    <w:rsid w:val="006E35E8"/>
    <w:rsid w:val="006E3ED1"/>
    <w:rsid w:val="006E3FB3"/>
    <w:rsid w:val="006E45C1"/>
    <w:rsid w:val="006E4610"/>
    <w:rsid w:val="006E480A"/>
    <w:rsid w:val="006E4F15"/>
    <w:rsid w:val="006E5225"/>
    <w:rsid w:val="006E5264"/>
    <w:rsid w:val="006E52F7"/>
    <w:rsid w:val="006E548B"/>
    <w:rsid w:val="006E5DB8"/>
    <w:rsid w:val="006E5F49"/>
    <w:rsid w:val="006E6755"/>
    <w:rsid w:val="006E6DBD"/>
    <w:rsid w:val="006E750B"/>
    <w:rsid w:val="006E7788"/>
    <w:rsid w:val="006F057B"/>
    <w:rsid w:val="006F0B66"/>
    <w:rsid w:val="006F0C3C"/>
    <w:rsid w:val="006F0EE4"/>
    <w:rsid w:val="006F13DF"/>
    <w:rsid w:val="006F1513"/>
    <w:rsid w:val="006F193C"/>
    <w:rsid w:val="006F1D25"/>
    <w:rsid w:val="006F1FC7"/>
    <w:rsid w:val="006F2CBC"/>
    <w:rsid w:val="006F2D7B"/>
    <w:rsid w:val="006F2EB2"/>
    <w:rsid w:val="006F31E9"/>
    <w:rsid w:val="006F400A"/>
    <w:rsid w:val="006F48A8"/>
    <w:rsid w:val="006F4D5D"/>
    <w:rsid w:val="006F5C81"/>
    <w:rsid w:val="006F603C"/>
    <w:rsid w:val="006F61BC"/>
    <w:rsid w:val="006F62BF"/>
    <w:rsid w:val="006F6F72"/>
    <w:rsid w:val="006F70BE"/>
    <w:rsid w:val="006F727E"/>
    <w:rsid w:val="006F771E"/>
    <w:rsid w:val="006F7F6A"/>
    <w:rsid w:val="007006DB"/>
    <w:rsid w:val="00700E67"/>
    <w:rsid w:val="00702377"/>
    <w:rsid w:val="0070342C"/>
    <w:rsid w:val="0070367F"/>
    <w:rsid w:val="00705B2E"/>
    <w:rsid w:val="00706385"/>
    <w:rsid w:val="00706579"/>
    <w:rsid w:val="0070673A"/>
    <w:rsid w:val="00706A36"/>
    <w:rsid w:val="00706D9E"/>
    <w:rsid w:val="0070711B"/>
    <w:rsid w:val="0070717F"/>
    <w:rsid w:val="007074DC"/>
    <w:rsid w:val="00707627"/>
    <w:rsid w:val="00707822"/>
    <w:rsid w:val="00707875"/>
    <w:rsid w:val="00707C1E"/>
    <w:rsid w:val="00707D08"/>
    <w:rsid w:val="0071038A"/>
    <w:rsid w:val="007103FF"/>
    <w:rsid w:val="00710980"/>
    <w:rsid w:val="00710D81"/>
    <w:rsid w:val="00711389"/>
    <w:rsid w:val="007115C7"/>
    <w:rsid w:val="00711610"/>
    <w:rsid w:val="0071186F"/>
    <w:rsid w:val="00711A6E"/>
    <w:rsid w:val="00711E1A"/>
    <w:rsid w:val="007124CD"/>
    <w:rsid w:val="007124D9"/>
    <w:rsid w:val="0071304E"/>
    <w:rsid w:val="00713349"/>
    <w:rsid w:val="00713A51"/>
    <w:rsid w:val="00713B34"/>
    <w:rsid w:val="00713DB8"/>
    <w:rsid w:val="00713FDF"/>
    <w:rsid w:val="007141F6"/>
    <w:rsid w:val="00715253"/>
    <w:rsid w:val="00715364"/>
    <w:rsid w:val="00715435"/>
    <w:rsid w:val="00715C99"/>
    <w:rsid w:val="00716076"/>
    <w:rsid w:val="00716483"/>
    <w:rsid w:val="00716535"/>
    <w:rsid w:val="007165D2"/>
    <w:rsid w:val="007167DF"/>
    <w:rsid w:val="00716B1D"/>
    <w:rsid w:val="00716C29"/>
    <w:rsid w:val="00716FF0"/>
    <w:rsid w:val="007177D8"/>
    <w:rsid w:val="00717C0D"/>
    <w:rsid w:val="00717D4B"/>
    <w:rsid w:val="007209E5"/>
    <w:rsid w:val="00721183"/>
    <w:rsid w:val="00721328"/>
    <w:rsid w:val="00721586"/>
    <w:rsid w:val="007215FA"/>
    <w:rsid w:val="00721AFB"/>
    <w:rsid w:val="00721C39"/>
    <w:rsid w:val="00722C67"/>
    <w:rsid w:val="00723595"/>
    <w:rsid w:val="00724332"/>
    <w:rsid w:val="0072436B"/>
    <w:rsid w:val="007244C8"/>
    <w:rsid w:val="00725170"/>
    <w:rsid w:val="00725961"/>
    <w:rsid w:val="007261FA"/>
    <w:rsid w:val="00726503"/>
    <w:rsid w:val="00726AB8"/>
    <w:rsid w:val="00726D14"/>
    <w:rsid w:val="00727763"/>
    <w:rsid w:val="00727CE0"/>
    <w:rsid w:val="00730A5F"/>
    <w:rsid w:val="00730E72"/>
    <w:rsid w:val="00731184"/>
    <w:rsid w:val="00732168"/>
    <w:rsid w:val="007323DA"/>
    <w:rsid w:val="00733245"/>
    <w:rsid w:val="00733D32"/>
    <w:rsid w:val="00733F9A"/>
    <w:rsid w:val="00734043"/>
    <w:rsid w:val="00734EFF"/>
    <w:rsid w:val="00735084"/>
    <w:rsid w:val="00735194"/>
    <w:rsid w:val="0073539F"/>
    <w:rsid w:val="00736168"/>
    <w:rsid w:val="0073669D"/>
    <w:rsid w:val="00736732"/>
    <w:rsid w:val="00736A7A"/>
    <w:rsid w:val="00737873"/>
    <w:rsid w:val="00737B91"/>
    <w:rsid w:val="0074002B"/>
    <w:rsid w:val="00740CFF"/>
    <w:rsid w:val="00741AF4"/>
    <w:rsid w:val="00742423"/>
    <w:rsid w:val="007427DD"/>
    <w:rsid w:val="00742E96"/>
    <w:rsid w:val="007430CB"/>
    <w:rsid w:val="007430E3"/>
    <w:rsid w:val="00743679"/>
    <w:rsid w:val="00743DD2"/>
    <w:rsid w:val="00744519"/>
    <w:rsid w:val="00744AAF"/>
    <w:rsid w:val="0074577D"/>
    <w:rsid w:val="00746074"/>
    <w:rsid w:val="007461ED"/>
    <w:rsid w:val="00746A19"/>
    <w:rsid w:val="00746FC9"/>
    <w:rsid w:val="007472CE"/>
    <w:rsid w:val="00747F87"/>
    <w:rsid w:val="00750082"/>
    <w:rsid w:val="0075024A"/>
    <w:rsid w:val="00750782"/>
    <w:rsid w:val="007509E9"/>
    <w:rsid w:val="00751719"/>
    <w:rsid w:val="00751797"/>
    <w:rsid w:val="00751C1F"/>
    <w:rsid w:val="00751EF4"/>
    <w:rsid w:val="00751FFD"/>
    <w:rsid w:val="0075283D"/>
    <w:rsid w:val="0075290F"/>
    <w:rsid w:val="00752B4D"/>
    <w:rsid w:val="00752BA6"/>
    <w:rsid w:val="0075490D"/>
    <w:rsid w:val="0075497C"/>
    <w:rsid w:val="00754A71"/>
    <w:rsid w:val="00754D5D"/>
    <w:rsid w:val="00755627"/>
    <w:rsid w:val="0075588B"/>
    <w:rsid w:val="007560B3"/>
    <w:rsid w:val="00756D25"/>
    <w:rsid w:val="00757056"/>
    <w:rsid w:val="0075764B"/>
    <w:rsid w:val="007601BA"/>
    <w:rsid w:val="007604AC"/>
    <w:rsid w:val="00760610"/>
    <w:rsid w:val="00760EDA"/>
    <w:rsid w:val="00761182"/>
    <w:rsid w:val="007613D6"/>
    <w:rsid w:val="00762003"/>
    <w:rsid w:val="007625E6"/>
    <w:rsid w:val="00762694"/>
    <w:rsid w:val="007628A0"/>
    <w:rsid w:val="00763503"/>
    <w:rsid w:val="0076395D"/>
    <w:rsid w:val="00763E72"/>
    <w:rsid w:val="007641CF"/>
    <w:rsid w:val="00764263"/>
    <w:rsid w:val="0076499E"/>
    <w:rsid w:val="007655DE"/>
    <w:rsid w:val="007659D0"/>
    <w:rsid w:val="00765BBA"/>
    <w:rsid w:val="00765F22"/>
    <w:rsid w:val="00766DE8"/>
    <w:rsid w:val="00767A35"/>
    <w:rsid w:val="00770178"/>
    <w:rsid w:val="00770598"/>
    <w:rsid w:val="007705EC"/>
    <w:rsid w:val="0077092E"/>
    <w:rsid w:val="007716BE"/>
    <w:rsid w:val="00771DD4"/>
    <w:rsid w:val="00771FB0"/>
    <w:rsid w:val="00773825"/>
    <w:rsid w:val="00773D74"/>
    <w:rsid w:val="0077432E"/>
    <w:rsid w:val="007743C0"/>
    <w:rsid w:val="007745B2"/>
    <w:rsid w:val="007749AA"/>
    <w:rsid w:val="00774A1E"/>
    <w:rsid w:val="00774DA3"/>
    <w:rsid w:val="00775092"/>
    <w:rsid w:val="00775B7B"/>
    <w:rsid w:val="007769D7"/>
    <w:rsid w:val="007771FD"/>
    <w:rsid w:val="00777852"/>
    <w:rsid w:val="00777C3A"/>
    <w:rsid w:val="00780977"/>
    <w:rsid w:val="007812BB"/>
    <w:rsid w:val="007818B9"/>
    <w:rsid w:val="007823D9"/>
    <w:rsid w:val="00782413"/>
    <w:rsid w:val="007830C0"/>
    <w:rsid w:val="007840E3"/>
    <w:rsid w:val="007844EB"/>
    <w:rsid w:val="00784842"/>
    <w:rsid w:val="00784A67"/>
    <w:rsid w:val="00784B2F"/>
    <w:rsid w:val="00784FDB"/>
    <w:rsid w:val="00785A0D"/>
    <w:rsid w:val="00785F24"/>
    <w:rsid w:val="00785FA2"/>
    <w:rsid w:val="007862F6"/>
    <w:rsid w:val="00786363"/>
    <w:rsid w:val="00786D0C"/>
    <w:rsid w:val="007870DA"/>
    <w:rsid w:val="00787410"/>
    <w:rsid w:val="0079053E"/>
    <w:rsid w:val="007905D9"/>
    <w:rsid w:val="00790639"/>
    <w:rsid w:val="0079098F"/>
    <w:rsid w:val="00790E5F"/>
    <w:rsid w:val="00791DF0"/>
    <w:rsid w:val="00792BBE"/>
    <w:rsid w:val="00792CC0"/>
    <w:rsid w:val="007930CE"/>
    <w:rsid w:val="00793253"/>
    <w:rsid w:val="00793655"/>
    <w:rsid w:val="00793E5A"/>
    <w:rsid w:val="00794483"/>
    <w:rsid w:val="007946D4"/>
    <w:rsid w:val="00794A63"/>
    <w:rsid w:val="00794E6F"/>
    <w:rsid w:val="00795805"/>
    <w:rsid w:val="00795B27"/>
    <w:rsid w:val="00795C7A"/>
    <w:rsid w:val="007961D1"/>
    <w:rsid w:val="00796ABF"/>
    <w:rsid w:val="00797CF4"/>
    <w:rsid w:val="007A093E"/>
    <w:rsid w:val="007A11FB"/>
    <w:rsid w:val="007A16E8"/>
    <w:rsid w:val="007A1B38"/>
    <w:rsid w:val="007A1BD2"/>
    <w:rsid w:val="007A2E06"/>
    <w:rsid w:val="007A3A0F"/>
    <w:rsid w:val="007A3C9B"/>
    <w:rsid w:val="007A42DF"/>
    <w:rsid w:val="007A4B35"/>
    <w:rsid w:val="007A4CDC"/>
    <w:rsid w:val="007A4F13"/>
    <w:rsid w:val="007A6091"/>
    <w:rsid w:val="007A6306"/>
    <w:rsid w:val="007A693C"/>
    <w:rsid w:val="007A6CEF"/>
    <w:rsid w:val="007A6E98"/>
    <w:rsid w:val="007A6EC6"/>
    <w:rsid w:val="007A6FF5"/>
    <w:rsid w:val="007B0121"/>
    <w:rsid w:val="007B0F12"/>
    <w:rsid w:val="007B0FF0"/>
    <w:rsid w:val="007B11F1"/>
    <w:rsid w:val="007B21B0"/>
    <w:rsid w:val="007B287F"/>
    <w:rsid w:val="007B3153"/>
    <w:rsid w:val="007B3269"/>
    <w:rsid w:val="007B3424"/>
    <w:rsid w:val="007B3D09"/>
    <w:rsid w:val="007B434B"/>
    <w:rsid w:val="007B4453"/>
    <w:rsid w:val="007B4628"/>
    <w:rsid w:val="007B58CF"/>
    <w:rsid w:val="007B6032"/>
    <w:rsid w:val="007B62B8"/>
    <w:rsid w:val="007B6743"/>
    <w:rsid w:val="007B692F"/>
    <w:rsid w:val="007B793C"/>
    <w:rsid w:val="007B7E8B"/>
    <w:rsid w:val="007C0635"/>
    <w:rsid w:val="007C07DB"/>
    <w:rsid w:val="007C088E"/>
    <w:rsid w:val="007C0AA9"/>
    <w:rsid w:val="007C0BC8"/>
    <w:rsid w:val="007C1B83"/>
    <w:rsid w:val="007C1C41"/>
    <w:rsid w:val="007C24C8"/>
    <w:rsid w:val="007C2E80"/>
    <w:rsid w:val="007C30DF"/>
    <w:rsid w:val="007C38BF"/>
    <w:rsid w:val="007C3AA1"/>
    <w:rsid w:val="007C4000"/>
    <w:rsid w:val="007C4C32"/>
    <w:rsid w:val="007C4E49"/>
    <w:rsid w:val="007C519D"/>
    <w:rsid w:val="007C60FB"/>
    <w:rsid w:val="007C649B"/>
    <w:rsid w:val="007C66EF"/>
    <w:rsid w:val="007C6E6D"/>
    <w:rsid w:val="007C6E9A"/>
    <w:rsid w:val="007C7C3E"/>
    <w:rsid w:val="007D04AC"/>
    <w:rsid w:val="007D0619"/>
    <w:rsid w:val="007D087E"/>
    <w:rsid w:val="007D0D57"/>
    <w:rsid w:val="007D1823"/>
    <w:rsid w:val="007D1C0E"/>
    <w:rsid w:val="007D1C4E"/>
    <w:rsid w:val="007D2AD9"/>
    <w:rsid w:val="007D35EF"/>
    <w:rsid w:val="007D3894"/>
    <w:rsid w:val="007D3C47"/>
    <w:rsid w:val="007D3C9B"/>
    <w:rsid w:val="007D432A"/>
    <w:rsid w:val="007D440B"/>
    <w:rsid w:val="007D44AB"/>
    <w:rsid w:val="007D46C0"/>
    <w:rsid w:val="007D5558"/>
    <w:rsid w:val="007D600E"/>
    <w:rsid w:val="007D65B4"/>
    <w:rsid w:val="007D68FC"/>
    <w:rsid w:val="007D6CB6"/>
    <w:rsid w:val="007D6CE2"/>
    <w:rsid w:val="007D75DA"/>
    <w:rsid w:val="007D7716"/>
    <w:rsid w:val="007D7B09"/>
    <w:rsid w:val="007E0B9A"/>
    <w:rsid w:val="007E1F62"/>
    <w:rsid w:val="007E2338"/>
    <w:rsid w:val="007E28A3"/>
    <w:rsid w:val="007E2D9D"/>
    <w:rsid w:val="007E2E8F"/>
    <w:rsid w:val="007E2F90"/>
    <w:rsid w:val="007E3953"/>
    <w:rsid w:val="007E4ACE"/>
    <w:rsid w:val="007E512F"/>
    <w:rsid w:val="007E5215"/>
    <w:rsid w:val="007E531F"/>
    <w:rsid w:val="007E5AD8"/>
    <w:rsid w:val="007E5B05"/>
    <w:rsid w:val="007E5EA3"/>
    <w:rsid w:val="007E708A"/>
    <w:rsid w:val="007E714D"/>
    <w:rsid w:val="007E78AB"/>
    <w:rsid w:val="007F0EE0"/>
    <w:rsid w:val="007F1ABC"/>
    <w:rsid w:val="007F1B0D"/>
    <w:rsid w:val="007F1EBC"/>
    <w:rsid w:val="007F2123"/>
    <w:rsid w:val="007F23EA"/>
    <w:rsid w:val="007F2910"/>
    <w:rsid w:val="007F32C3"/>
    <w:rsid w:val="007F33BF"/>
    <w:rsid w:val="007F3813"/>
    <w:rsid w:val="007F48E8"/>
    <w:rsid w:val="007F4D8D"/>
    <w:rsid w:val="007F5257"/>
    <w:rsid w:val="007F5293"/>
    <w:rsid w:val="007F5E4D"/>
    <w:rsid w:val="007F6AAF"/>
    <w:rsid w:val="007F6B0F"/>
    <w:rsid w:val="007F7C45"/>
    <w:rsid w:val="007F7D51"/>
    <w:rsid w:val="00801E6C"/>
    <w:rsid w:val="00801E9B"/>
    <w:rsid w:val="00802E8C"/>
    <w:rsid w:val="008032CF"/>
    <w:rsid w:val="00804F04"/>
    <w:rsid w:val="00804FBB"/>
    <w:rsid w:val="00805111"/>
    <w:rsid w:val="0080566E"/>
    <w:rsid w:val="00805857"/>
    <w:rsid w:val="00805A20"/>
    <w:rsid w:val="00805B0B"/>
    <w:rsid w:val="008072BC"/>
    <w:rsid w:val="008073A9"/>
    <w:rsid w:val="00807435"/>
    <w:rsid w:val="00807B4A"/>
    <w:rsid w:val="00807BE9"/>
    <w:rsid w:val="00807D20"/>
    <w:rsid w:val="00807DBA"/>
    <w:rsid w:val="00810280"/>
    <w:rsid w:val="008109E4"/>
    <w:rsid w:val="00811C1B"/>
    <w:rsid w:val="0081232E"/>
    <w:rsid w:val="00812B9A"/>
    <w:rsid w:val="00812DCF"/>
    <w:rsid w:val="00813172"/>
    <w:rsid w:val="0081399A"/>
    <w:rsid w:val="008140E0"/>
    <w:rsid w:val="0081608F"/>
    <w:rsid w:val="0081675B"/>
    <w:rsid w:val="00816C60"/>
    <w:rsid w:val="00820787"/>
    <w:rsid w:val="00820AD2"/>
    <w:rsid w:val="00821557"/>
    <w:rsid w:val="00822702"/>
    <w:rsid w:val="00822855"/>
    <w:rsid w:val="00823090"/>
    <w:rsid w:val="008238CE"/>
    <w:rsid w:val="00823E0F"/>
    <w:rsid w:val="0082405B"/>
    <w:rsid w:val="0082480A"/>
    <w:rsid w:val="00824D72"/>
    <w:rsid w:val="0082546A"/>
    <w:rsid w:val="0082574C"/>
    <w:rsid w:val="00825756"/>
    <w:rsid w:val="008258D6"/>
    <w:rsid w:val="00825C76"/>
    <w:rsid w:val="0082664A"/>
    <w:rsid w:val="00826A35"/>
    <w:rsid w:val="0082744D"/>
    <w:rsid w:val="00827796"/>
    <w:rsid w:val="00827BD0"/>
    <w:rsid w:val="00830810"/>
    <w:rsid w:val="00830DF5"/>
    <w:rsid w:val="00830E46"/>
    <w:rsid w:val="00831B3B"/>
    <w:rsid w:val="00831B9E"/>
    <w:rsid w:val="00831CA5"/>
    <w:rsid w:val="00831EAF"/>
    <w:rsid w:val="00831FAE"/>
    <w:rsid w:val="0083203A"/>
    <w:rsid w:val="00832B42"/>
    <w:rsid w:val="00833113"/>
    <w:rsid w:val="00833C7E"/>
    <w:rsid w:val="00834114"/>
    <w:rsid w:val="00834690"/>
    <w:rsid w:val="00834B39"/>
    <w:rsid w:val="0083579F"/>
    <w:rsid w:val="0083596F"/>
    <w:rsid w:val="00835DA2"/>
    <w:rsid w:val="00835F9E"/>
    <w:rsid w:val="0083623D"/>
    <w:rsid w:val="008364DB"/>
    <w:rsid w:val="008371DC"/>
    <w:rsid w:val="00837305"/>
    <w:rsid w:val="0083756D"/>
    <w:rsid w:val="00837616"/>
    <w:rsid w:val="008376AD"/>
    <w:rsid w:val="008401A8"/>
    <w:rsid w:val="0084022E"/>
    <w:rsid w:val="00840291"/>
    <w:rsid w:val="0084080C"/>
    <w:rsid w:val="008411BC"/>
    <w:rsid w:val="00841521"/>
    <w:rsid w:val="00841AA4"/>
    <w:rsid w:val="0084202D"/>
    <w:rsid w:val="00842371"/>
    <w:rsid w:val="008426CF"/>
    <w:rsid w:val="00842D2B"/>
    <w:rsid w:val="008433EE"/>
    <w:rsid w:val="00843CC2"/>
    <w:rsid w:val="00844394"/>
    <w:rsid w:val="00844468"/>
    <w:rsid w:val="00844DC6"/>
    <w:rsid w:val="00845250"/>
    <w:rsid w:val="00845350"/>
    <w:rsid w:val="00846248"/>
    <w:rsid w:val="0084635B"/>
    <w:rsid w:val="00846702"/>
    <w:rsid w:val="008471B8"/>
    <w:rsid w:val="0084748B"/>
    <w:rsid w:val="0085015D"/>
    <w:rsid w:val="0085029E"/>
    <w:rsid w:val="00850FEE"/>
    <w:rsid w:val="0085196D"/>
    <w:rsid w:val="00851A26"/>
    <w:rsid w:val="00851DF4"/>
    <w:rsid w:val="0085286B"/>
    <w:rsid w:val="008532E1"/>
    <w:rsid w:val="00853355"/>
    <w:rsid w:val="00853630"/>
    <w:rsid w:val="008536E9"/>
    <w:rsid w:val="00853955"/>
    <w:rsid w:val="00853BCC"/>
    <w:rsid w:val="00853FE9"/>
    <w:rsid w:val="00854109"/>
    <w:rsid w:val="00854E22"/>
    <w:rsid w:val="008556C0"/>
    <w:rsid w:val="00855B65"/>
    <w:rsid w:val="00855C36"/>
    <w:rsid w:val="00855D61"/>
    <w:rsid w:val="008561D0"/>
    <w:rsid w:val="008566F4"/>
    <w:rsid w:val="00856F04"/>
    <w:rsid w:val="00857D22"/>
    <w:rsid w:val="00857D9D"/>
    <w:rsid w:val="00857FEE"/>
    <w:rsid w:val="008603F1"/>
    <w:rsid w:val="008610B9"/>
    <w:rsid w:val="008616B4"/>
    <w:rsid w:val="00861774"/>
    <w:rsid w:val="00861F37"/>
    <w:rsid w:val="00862373"/>
    <w:rsid w:val="0086272C"/>
    <w:rsid w:val="00862DF5"/>
    <w:rsid w:val="008634BA"/>
    <w:rsid w:val="00863503"/>
    <w:rsid w:val="008635CD"/>
    <w:rsid w:val="00864553"/>
    <w:rsid w:val="00865063"/>
    <w:rsid w:val="0086506F"/>
    <w:rsid w:val="008651C6"/>
    <w:rsid w:val="00865694"/>
    <w:rsid w:val="008662EB"/>
    <w:rsid w:val="008668CC"/>
    <w:rsid w:val="00866D21"/>
    <w:rsid w:val="008679A5"/>
    <w:rsid w:val="00867ACD"/>
    <w:rsid w:val="00870239"/>
    <w:rsid w:val="0087094B"/>
    <w:rsid w:val="00870C81"/>
    <w:rsid w:val="00870E03"/>
    <w:rsid w:val="00871054"/>
    <w:rsid w:val="0087163F"/>
    <w:rsid w:val="00871D57"/>
    <w:rsid w:val="008729A7"/>
    <w:rsid w:val="00872A1A"/>
    <w:rsid w:val="00872CE6"/>
    <w:rsid w:val="008737B1"/>
    <w:rsid w:val="008737F2"/>
    <w:rsid w:val="00873DF2"/>
    <w:rsid w:val="00873FEE"/>
    <w:rsid w:val="00874169"/>
    <w:rsid w:val="00874B24"/>
    <w:rsid w:val="00874C2C"/>
    <w:rsid w:val="00875144"/>
    <w:rsid w:val="00875412"/>
    <w:rsid w:val="0087555A"/>
    <w:rsid w:val="008755A3"/>
    <w:rsid w:val="00875C24"/>
    <w:rsid w:val="008760F6"/>
    <w:rsid w:val="008761D6"/>
    <w:rsid w:val="00876814"/>
    <w:rsid w:val="00876B12"/>
    <w:rsid w:val="00876FD4"/>
    <w:rsid w:val="008775F4"/>
    <w:rsid w:val="00877E93"/>
    <w:rsid w:val="008803F2"/>
    <w:rsid w:val="008806F9"/>
    <w:rsid w:val="00880967"/>
    <w:rsid w:val="0088117E"/>
    <w:rsid w:val="008812E2"/>
    <w:rsid w:val="00881F47"/>
    <w:rsid w:val="00881FC5"/>
    <w:rsid w:val="008828C3"/>
    <w:rsid w:val="00882CFD"/>
    <w:rsid w:val="0088304B"/>
    <w:rsid w:val="0088370E"/>
    <w:rsid w:val="00883CC7"/>
    <w:rsid w:val="0088409F"/>
    <w:rsid w:val="008843C0"/>
    <w:rsid w:val="0088486A"/>
    <w:rsid w:val="00884E4A"/>
    <w:rsid w:val="0088514D"/>
    <w:rsid w:val="008856B6"/>
    <w:rsid w:val="0088594C"/>
    <w:rsid w:val="00885E43"/>
    <w:rsid w:val="00886058"/>
    <w:rsid w:val="0088649E"/>
    <w:rsid w:val="008865B7"/>
    <w:rsid w:val="00887535"/>
    <w:rsid w:val="00887DE5"/>
    <w:rsid w:val="008901BA"/>
    <w:rsid w:val="00890717"/>
    <w:rsid w:val="0089095A"/>
    <w:rsid w:val="00890FB4"/>
    <w:rsid w:val="0089108D"/>
    <w:rsid w:val="00891536"/>
    <w:rsid w:val="00891766"/>
    <w:rsid w:val="00891A50"/>
    <w:rsid w:val="008922C6"/>
    <w:rsid w:val="00892614"/>
    <w:rsid w:val="0089355A"/>
    <w:rsid w:val="00893BA0"/>
    <w:rsid w:val="00893F62"/>
    <w:rsid w:val="008941F2"/>
    <w:rsid w:val="008951AE"/>
    <w:rsid w:val="008951E1"/>
    <w:rsid w:val="00895447"/>
    <w:rsid w:val="0089579C"/>
    <w:rsid w:val="00895CCF"/>
    <w:rsid w:val="00895DD6"/>
    <w:rsid w:val="00897261"/>
    <w:rsid w:val="00897F2C"/>
    <w:rsid w:val="00897FEB"/>
    <w:rsid w:val="008A03ED"/>
    <w:rsid w:val="008A0AED"/>
    <w:rsid w:val="008A0B4C"/>
    <w:rsid w:val="008A0C5A"/>
    <w:rsid w:val="008A152C"/>
    <w:rsid w:val="008A16CC"/>
    <w:rsid w:val="008A1800"/>
    <w:rsid w:val="008A1AF9"/>
    <w:rsid w:val="008A2638"/>
    <w:rsid w:val="008A3C08"/>
    <w:rsid w:val="008A3D59"/>
    <w:rsid w:val="008A3E55"/>
    <w:rsid w:val="008A4218"/>
    <w:rsid w:val="008A422D"/>
    <w:rsid w:val="008A46E9"/>
    <w:rsid w:val="008A4CCC"/>
    <w:rsid w:val="008A4F4E"/>
    <w:rsid w:val="008A5295"/>
    <w:rsid w:val="008A5C59"/>
    <w:rsid w:val="008A630A"/>
    <w:rsid w:val="008A64A5"/>
    <w:rsid w:val="008A65AF"/>
    <w:rsid w:val="008A6A78"/>
    <w:rsid w:val="008A6C5C"/>
    <w:rsid w:val="008A6D4A"/>
    <w:rsid w:val="008A70D3"/>
    <w:rsid w:val="008A737F"/>
    <w:rsid w:val="008A7927"/>
    <w:rsid w:val="008B0EDF"/>
    <w:rsid w:val="008B0EF8"/>
    <w:rsid w:val="008B1125"/>
    <w:rsid w:val="008B114E"/>
    <w:rsid w:val="008B1250"/>
    <w:rsid w:val="008B1881"/>
    <w:rsid w:val="008B1EA5"/>
    <w:rsid w:val="008B25B5"/>
    <w:rsid w:val="008B2C81"/>
    <w:rsid w:val="008B3F6B"/>
    <w:rsid w:val="008B4032"/>
    <w:rsid w:val="008B4066"/>
    <w:rsid w:val="008B40AA"/>
    <w:rsid w:val="008B53FB"/>
    <w:rsid w:val="008B5C64"/>
    <w:rsid w:val="008B6048"/>
    <w:rsid w:val="008B6146"/>
    <w:rsid w:val="008B61D6"/>
    <w:rsid w:val="008B6397"/>
    <w:rsid w:val="008B66A3"/>
    <w:rsid w:val="008B6F9F"/>
    <w:rsid w:val="008B7110"/>
    <w:rsid w:val="008B7F5F"/>
    <w:rsid w:val="008C02C3"/>
    <w:rsid w:val="008C0B83"/>
    <w:rsid w:val="008C0C37"/>
    <w:rsid w:val="008C0CB4"/>
    <w:rsid w:val="008C0F2E"/>
    <w:rsid w:val="008C17CB"/>
    <w:rsid w:val="008C1B15"/>
    <w:rsid w:val="008C24E9"/>
    <w:rsid w:val="008C2A37"/>
    <w:rsid w:val="008C2B82"/>
    <w:rsid w:val="008C2D4F"/>
    <w:rsid w:val="008C30D6"/>
    <w:rsid w:val="008C3299"/>
    <w:rsid w:val="008C3353"/>
    <w:rsid w:val="008C4DF9"/>
    <w:rsid w:val="008C52D3"/>
    <w:rsid w:val="008C5676"/>
    <w:rsid w:val="008C575A"/>
    <w:rsid w:val="008C5A39"/>
    <w:rsid w:val="008C5F44"/>
    <w:rsid w:val="008C62D5"/>
    <w:rsid w:val="008C63F7"/>
    <w:rsid w:val="008C6722"/>
    <w:rsid w:val="008C71BB"/>
    <w:rsid w:val="008C74F5"/>
    <w:rsid w:val="008C7B0F"/>
    <w:rsid w:val="008C7E39"/>
    <w:rsid w:val="008D288B"/>
    <w:rsid w:val="008D3914"/>
    <w:rsid w:val="008D3BDB"/>
    <w:rsid w:val="008D4477"/>
    <w:rsid w:val="008D4702"/>
    <w:rsid w:val="008D4B93"/>
    <w:rsid w:val="008D4EBC"/>
    <w:rsid w:val="008D4EEE"/>
    <w:rsid w:val="008D5428"/>
    <w:rsid w:val="008D5604"/>
    <w:rsid w:val="008D5612"/>
    <w:rsid w:val="008D562C"/>
    <w:rsid w:val="008D6782"/>
    <w:rsid w:val="008D7692"/>
    <w:rsid w:val="008D7BC4"/>
    <w:rsid w:val="008D7BDE"/>
    <w:rsid w:val="008E141F"/>
    <w:rsid w:val="008E1D20"/>
    <w:rsid w:val="008E2612"/>
    <w:rsid w:val="008E2AF8"/>
    <w:rsid w:val="008E3858"/>
    <w:rsid w:val="008E3BD6"/>
    <w:rsid w:val="008E4328"/>
    <w:rsid w:val="008E64F8"/>
    <w:rsid w:val="008E66E8"/>
    <w:rsid w:val="008E6C2B"/>
    <w:rsid w:val="008E7013"/>
    <w:rsid w:val="008E710D"/>
    <w:rsid w:val="008E731C"/>
    <w:rsid w:val="008E7403"/>
    <w:rsid w:val="008E75A3"/>
    <w:rsid w:val="008E7789"/>
    <w:rsid w:val="008E7FB6"/>
    <w:rsid w:val="008F0566"/>
    <w:rsid w:val="008F0E36"/>
    <w:rsid w:val="008F0E5F"/>
    <w:rsid w:val="008F1823"/>
    <w:rsid w:val="008F21C0"/>
    <w:rsid w:val="008F2882"/>
    <w:rsid w:val="008F2C41"/>
    <w:rsid w:val="008F3976"/>
    <w:rsid w:val="008F465E"/>
    <w:rsid w:val="008F46CE"/>
    <w:rsid w:val="008F4F1A"/>
    <w:rsid w:val="008F4FB7"/>
    <w:rsid w:val="008F5487"/>
    <w:rsid w:val="008F5BF8"/>
    <w:rsid w:val="008F5ECB"/>
    <w:rsid w:val="008F6978"/>
    <w:rsid w:val="008F6AF0"/>
    <w:rsid w:val="008F6E81"/>
    <w:rsid w:val="008F725E"/>
    <w:rsid w:val="009001A9"/>
    <w:rsid w:val="00900ACE"/>
    <w:rsid w:val="0090109C"/>
    <w:rsid w:val="009011E4"/>
    <w:rsid w:val="00901CCB"/>
    <w:rsid w:val="00901DED"/>
    <w:rsid w:val="009025BF"/>
    <w:rsid w:val="0090298C"/>
    <w:rsid w:val="00903121"/>
    <w:rsid w:val="00903479"/>
    <w:rsid w:val="00903BC4"/>
    <w:rsid w:val="00904C82"/>
    <w:rsid w:val="00904E74"/>
    <w:rsid w:val="00904EAA"/>
    <w:rsid w:val="00905380"/>
    <w:rsid w:val="00905C6C"/>
    <w:rsid w:val="00905CE2"/>
    <w:rsid w:val="009060A0"/>
    <w:rsid w:val="0090634D"/>
    <w:rsid w:val="00907125"/>
    <w:rsid w:val="0090724C"/>
    <w:rsid w:val="009079B9"/>
    <w:rsid w:val="0091050E"/>
    <w:rsid w:val="009108B3"/>
    <w:rsid w:val="009111B1"/>
    <w:rsid w:val="00911D4D"/>
    <w:rsid w:val="00911D6C"/>
    <w:rsid w:val="009120D7"/>
    <w:rsid w:val="0091235D"/>
    <w:rsid w:val="00913043"/>
    <w:rsid w:val="00913136"/>
    <w:rsid w:val="00914F3F"/>
    <w:rsid w:val="00914F41"/>
    <w:rsid w:val="009150B1"/>
    <w:rsid w:val="009153C4"/>
    <w:rsid w:val="00915F2F"/>
    <w:rsid w:val="009165C0"/>
    <w:rsid w:val="0091689C"/>
    <w:rsid w:val="00916C7F"/>
    <w:rsid w:val="00916FBE"/>
    <w:rsid w:val="009178E9"/>
    <w:rsid w:val="00917E84"/>
    <w:rsid w:val="0092075D"/>
    <w:rsid w:val="00920CFD"/>
    <w:rsid w:val="009225A4"/>
    <w:rsid w:val="009231BC"/>
    <w:rsid w:val="009235C1"/>
    <w:rsid w:val="00923A80"/>
    <w:rsid w:val="00924CA6"/>
    <w:rsid w:val="00925349"/>
    <w:rsid w:val="009254FD"/>
    <w:rsid w:val="0092632C"/>
    <w:rsid w:val="00926DD5"/>
    <w:rsid w:val="00926FAA"/>
    <w:rsid w:val="0092720E"/>
    <w:rsid w:val="009273B8"/>
    <w:rsid w:val="009278D4"/>
    <w:rsid w:val="00927EEB"/>
    <w:rsid w:val="009301DC"/>
    <w:rsid w:val="00930AB8"/>
    <w:rsid w:val="00930D3B"/>
    <w:rsid w:val="00931257"/>
    <w:rsid w:val="009312BB"/>
    <w:rsid w:val="009315A4"/>
    <w:rsid w:val="0093165A"/>
    <w:rsid w:val="00931AA8"/>
    <w:rsid w:val="00931F8A"/>
    <w:rsid w:val="0093272E"/>
    <w:rsid w:val="009328F3"/>
    <w:rsid w:val="00933433"/>
    <w:rsid w:val="009336C0"/>
    <w:rsid w:val="009339DA"/>
    <w:rsid w:val="00934061"/>
    <w:rsid w:val="00934425"/>
    <w:rsid w:val="00935358"/>
    <w:rsid w:val="0093614E"/>
    <w:rsid w:val="009362DD"/>
    <w:rsid w:val="00936DC8"/>
    <w:rsid w:val="00936E99"/>
    <w:rsid w:val="00936F37"/>
    <w:rsid w:val="00936FB8"/>
    <w:rsid w:val="0093744A"/>
    <w:rsid w:val="00937568"/>
    <w:rsid w:val="009379C1"/>
    <w:rsid w:val="00940040"/>
    <w:rsid w:val="0094067B"/>
    <w:rsid w:val="009419A4"/>
    <w:rsid w:val="009419FB"/>
    <w:rsid w:val="009422F7"/>
    <w:rsid w:val="0094284D"/>
    <w:rsid w:val="00943298"/>
    <w:rsid w:val="00943452"/>
    <w:rsid w:val="0094363D"/>
    <w:rsid w:val="00944B8D"/>
    <w:rsid w:val="00944D28"/>
    <w:rsid w:val="009458CB"/>
    <w:rsid w:val="00945A3A"/>
    <w:rsid w:val="009471D4"/>
    <w:rsid w:val="0094724C"/>
    <w:rsid w:val="0094767F"/>
    <w:rsid w:val="00947BDB"/>
    <w:rsid w:val="00947D69"/>
    <w:rsid w:val="009502C7"/>
    <w:rsid w:val="00952019"/>
    <w:rsid w:val="009520F2"/>
    <w:rsid w:val="00952243"/>
    <w:rsid w:val="009526F9"/>
    <w:rsid w:val="009527FB"/>
    <w:rsid w:val="0095290F"/>
    <w:rsid w:val="009539A9"/>
    <w:rsid w:val="00954044"/>
    <w:rsid w:val="0095411A"/>
    <w:rsid w:val="00954713"/>
    <w:rsid w:val="00954AF7"/>
    <w:rsid w:val="00954C78"/>
    <w:rsid w:val="00954E80"/>
    <w:rsid w:val="00955216"/>
    <w:rsid w:val="00955806"/>
    <w:rsid w:val="00955968"/>
    <w:rsid w:val="009560B7"/>
    <w:rsid w:val="009568D2"/>
    <w:rsid w:val="00956AAD"/>
    <w:rsid w:val="00956C4D"/>
    <w:rsid w:val="00956CF1"/>
    <w:rsid w:val="00956CFA"/>
    <w:rsid w:val="00956ECC"/>
    <w:rsid w:val="00957082"/>
    <w:rsid w:val="00957602"/>
    <w:rsid w:val="00957E58"/>
    <w:rsid w:val="0096019E"/>
    <w:rsid w:val="00960746"/>
    <w:rsid w:val="00960849"/>
    <w:rsid w:val="00960BC8"/>
    <w:rsid w:val="00961CB3"/>
    <w:rsid w:val="009622EA"/>
    <w:rsid w:val="00962770"/>
    <w:rsid w:val="00962D16"/>
    <w:rsid w:val="009648FA"/>
    <w:rsid w:val="00965504"/>
    <w:rsid w:val="00965A44"/>
    <w:rsid w:val="00965B9B"/>
    <w:rsid w:val="00966041"/>
    <w:rsid w:val="009668E2"/>
    <w:rsid w:val="009672F6"/>
    <w:rsid w:val="00967358"/>
    <w:rsid w:val="009679FB"/>
    <w:rsid w:val="00967BEE"/>
    <w:rsid w:val="00967C0A"/>
    <w:rsid w:val="00967F98"/>
    <w:rsid w:val="0097004D"/>
    <w:rsid w:val="00970F21"/>
    <w:rsid w:val="0097140D"/>
    <w:rsid w:val="00971CD3"/>
    <w:rsid w:val="00972797"/>
    <w:rsid w:val="00972C26"/>
    <w:rsid w:val="00972D54"/>
    <w:rsid w:val="009739C5"/>
    <w:rsid w:val="009747DF"/>
    <w:rsid w:val="00974A4D"/>
    <w:rsid w:val="00975188"/>
    <w:rsid w:val="00975419"/>
    <w:rsid w:val="009760EC"/>
    <w:rsid w:val="00976504"/>
    <w:rsid w:val="00976D38"/>
    <w:rsid w:val="0097760A"/>
    <w:rsid w:val="00977D67"/>
    <w:rsid w:val="00977E24"/>
    <w:rsid w:val="009800AF"/>
    <w:rsid w:val="0098057D"/>
    <w:rsid w:val="009810EC"/>
    <w:rsid w:val="00981F00"/>
    <w:rsid w:val="00982793"/>
    <w:rsid w:val="00982C1A"/>
    <w:rsid w:val="00982FA7"/>
    <w:rsid w:val="009839AD"/>
    <w:rsid w:val="0098403B"/>
    <w:rsid w:val="00984F02"/>
    <w:rsid w:val="009851D9"/>
    <w:rsid w:val="0098524A"/>
    <w:rsid w:val="009856FE"/>
    <w:rsid w:val="00985921"/>
    <w:rsid w:val="00985933"/>
    <w:rsid w:val="00985C82"/>
    <w:rsid w:val="00985DA3"/>
    <w:rsid w:val="0098603E"/>
    <w:rsid w:val="00986DF4"/>
    <w:rsid w:val="009873D0"/>
    <w:rsid w:val="00987415"/>
    <w:rsid w:val="00987E5E"/>
    <w:rsid w:val="009909A1"/>
    <w:rsid w:val="00990BBE"/>
    <w:rsid w:val="0099104D"/>
    <w:rsid w:val="0099178C"/>
    <w:rsid w:val="00991BCC"/>
    <w:rsid w:val="00992B0A"/>
    <w:rsid w:val="00992C9A"/>
    <w:rsid w:val="00993259"/>
    <w:rsid w:val="009938FE"/>
    <w:rsid w:val="00993DBB"/>
    <w:rsid w:val="00994402"/>
    <w:rsid w:val="00994A0F"/>
    <w:rsid w:val="00994EFA"/>
    <w:rsid w:val="009951BD"/>
    <w:rsid w:val="009952F8"/>
    <w:rsid w:val="00995D21"/>
    <w:rsid w:val="00997D00"/>
    <w:rsid w:val="009A0A1E"/>
    <w:rsid w:val="009A0C49"/>
    <w:rsid w:val="009A0CB3"/>
    <w:rsid w:val="009A1146"/>
    <w:rsid w:val="009A217D"/>
    <w:rsid w:val="009A2E69"/>
    <w:rsid w:val="009A3B2E"/>
    <w:rsid w:val="009A427B"/>
    <w:rsid w:val="009A44D6"/>
    <w:rsid w:val="009A4847"/>
    <w:rsid w:val="009A4951"/>
    <w:rsid w:val="009A5C1D"/>
    <w:rsid w:val="009A5DCD"/>
    <w:rsid w:val="009A613B"/>
    <w:rsid w:val="009A62AB"/>
    <w:rsid w:val="009A646C"/>
    <w:rsid w:val="009A7A6E"/>
    <w:rsid w:val="009A7ECF"/>
    <w:rsid w:val="009A7F01"/>
    <w:rsid w:val="009B0527"/>
    <w:rsid w:val="009B05E3"/>
    <w:rsid w:val="009B09DB"/>
    <w:rsid w:val="009B0D8E"/>
    <w:rsid w:val="009B14A1"/>
    <w:rsid w:val="009B162F"/>
    <w:rsid w:val="009B1EFA"/>
    <w:rsid w:val="009B2962"/>
    <w:rsid w:val="009B2D09"/>
    <w:rsid w:val="009B3BB6"/>
    <w:rsid w:val="009B3D70"/>
    <w:rsid w:val="009B3E02"/>
    <w:rsid w:val="009B3EC8"/>
    <w:rsid w:val="009B3F67"/>
    <w:rsid w:val="009B46D3"/>
    <w:rsid w:val="009B46FF"/>
    <w:rsid w:val="009B48F0"/>
    <w:rsid w:val="009B4ED6"/>
    <w:rsid w:val="009B4FDB"/>
    <w:rsid w:val="009B5164"/>
    <w:rsid w:val="009B5431"/>
    <w:rsid w:val="009B58B4"/>
    <w:rsid w:val="009B5E0B"/>
    <w:rsid w:val="009B6972"/>
    <w:rsid w:val="009B69BD"/>
    <w:rsid w:val="009B6B62"/>
    <w:rsid w:val="009B6C17"/>
    <w:rsid w:val="009B738A"/>
    <w:rsid w:val="009B77D4"/>
    <w:rsid w:val="009C01B1"/>
    <w:rsid w:val="009C0340"/>
    <w:rsid w:val="009C097B"/>
    <w:rsid w:val="009C0A22"/>
    <w:rsid w:val="009C1E40"/>
    <w:rsid w:val="009C22A2"/>
    <w:rsid w:val="009C372F"/>
    <w:rsid w:val="009C3B0C"/>
    <w:rsid w:val="009C3BE3"/>
    <w:rsid w:val="009C447B"/>
    <w:rsid w:val="009C475F"/>
    <w:rsid w:val="009C60B9"/>
    <w:rsid w:val="009C613B"/>
    <w:rsid w:val="009C6553"/>
    <w:rsid w:val="009C65E6"/>
    <w:rsid w:val="009C6795"/>
    <w:rsid w:val="009C6FA7"/>
    <w:rsid w:val="009C7186"/>
    <w:rsid w:val="009D051D"/>
    <w:rsid w:val="009D0CB5"/>
    <w:rsid w:val="009D10DF"/>
    <w:rsid w:val="009D1354"/>
    <w:rsid w:val="009D13AE"/>
    <w:rsid w:val="009D18AB"/>
    <w:rsid w:val="009D1955"/>
    <w:rsid w:val="009D1B64"/>
    <w:rsid w:val="009D1DD2"/>
    <w:rsid w:val="009D213A"/>
    <w:rsid w:val="009D2160"/>
    <w:rsid w:val="009D3146"/>
    <w:rsid w:val="009D3857"/>
    <w:rsid w:val="009D3AAD"/>
    <w:rsid w:val="009D42CA"/>
    <w:rsid w:val="009D5391"/>
    <w:rsid w:val="009D5414"/>
    <w:rsid w:val="009D55F1"/>
    <w:rsid w:val="009D5DC5"/>
    <w:rsid w:val="009D6F67"/>
    <w:rsid w:val="009D7202"/>
    <w:rsid w:val="009D7309"/>
    <w:rsid w:val="009D746F"/>
    <w:rsid w:val="009D76D0"/>
    <w:rsid w:val="009D7C35"/>
    <w:rsid w:val="009E09F2"/>
    <w:rsid w:val="009E0C12"/>
    <w:rsid w:val="009E0F33"/>
    <w:rsid w:val="009E16EE"/>
    <w:rsid w:val="009E19C8"/>
    <w:rsid w:val="009E1AC2"/>
    <w:rsid w:val="009E2B18"/>
    <w:rsid w:val="009E2D9D"/>
    <w:rsid w:val="009E3331"/>
    <w:rsid w:val="009E3452"/>
    <w:rsid w:val="009E3B43"/>
    <w:rsid w:val="009E3D5A"/>
    <w:rsid w:val="009E4832"/>
    <w:rsid w:val="009E48F4"/>
    <w:rsid w:val="009E51B7"/>
    <w:rsid w:val="009E5218"/>
    <w:rsid w:val="009E54C5"/>
    <w:rsid w:val="009E5535"/>
    <w:rsid w:val="009E6814"/>
    <w:rsid w:val="009E6F26"/>
    <w:rsid w:val="009E7639"/>
    <w:rsid w:val="009F0715"/>
    <w:rsid w:val="009F08BD"/>
    <w:rsid w:val="009F1098"/>
    <w:rsid w:val="009F16D4"/>
    <w:rsid w:val="009F1CBC"/>
    <w:rsid w:val="009F2AB4"/>
    <w:rsid w:val="009F2BEA"/>
    <w:rsid w:val="009F2C00"/>
    <w:rsid w:val="009F2D50"/>
    <w:rsid w:val="009F30BD"/>
    <w:rsid w:val="009F3269"/>
    <w:rsid w:val="009F36D7"/>
    <w:rsid w:val="009F38AA"/>
    <w:rsid w:val="009F3E4A"/>
    <w:rsid w:val="009F4326"/>
    <w:rsid w:val="009F451E"/>
    <w:rsid w:val="009F46C0"/>
    <w:rsid w:val="009F4FE8"/>
    <w:rsid w:val="009F51D7"/>
    <w:rsid w:val="009F526A"/>
    <w:rsid w:val="009F574D"/>
    <w:rsid w:val="009F5B9F"/>
    <w:rsid w:val="009F6B52"/>
    <w:rsid w:val="009F6C3C"/>
    <w:rsid w:val="009F749E"/>
    <w:rsid w:val="009F74CE"/>
    <w:rsid w:val="009F7A49"/>
    <w:rsid w:val="00A0089B"/>
    <w:rsid w:val="00A008C3"/>
    <w:rsid w:val="00A01560"/>
    <w:rsid w:val="00A01ACD"/>
    <w:rsid w:val="00A01E30"/>
    <w:rsid w:val="00A0215D"/>
    <w:rsid w:val="00A02636"/>
    <w:rsid w:val="00A02B3B"/>
    <w:rsid w:val="00A03684"/>
    <w:rsid w:val="00A040EF"/>
    <w:rsid w:val="00A05B67"/>
    <w:rsid w:val="00A0655E"/>
    <w:rsid w:val="00A06660"/>
    <w:rsid w:val="00A06C7D"/>
    <w:rsid w:val="00A07A91"/>
    <w:rsid w:val="00A07C5F"/>
    <w:rsid w:val="00A10C1C"/>
    <w:rsid w:val="00A1114D"/>
    <w:rsid w:val="00A112A1"/>
    <w:rsid w:val="00A11570"/>
    <w:rsid w:val="00A11BE0"/>
    <w:rsid w:val="00A11DE0"/>
    <w:rsid w:val="00A1212B"/>
    <w:rsid w:val="00A137E4"/>
    <w:rsid w:val="00A13FE6"/>
    <w:rsid w:val="00A145DF"/>
    <w:rsid w:val="00A146B7"/>
    <w:rsid w:val="00A14944"/>
    <w:rsid w:val="00A15F96"/>
    <w:rsid w:val="00A16606"/>
    <w:rsid w:val="00A16C47"/>
    <w:rsid w:val="00A1745F"/>
    <w:rsid w:val="00A175AE"/>
    <w:rsid w:val="00A17CB2"/>
    <w:rsid w:val="00A20437"/>
    <w:rsid w:val="00A2104C"/>
    <w:rsid w:val="00A21336"/>
    <w:rsid w:val="00A2141C"/>
    <w:rsid w:val="00A216FE"/>
    <w:rsid w:val="00A21B80"/>
    <w:rsid w:val="00A22283"/>
    <w:rsid w:val="00A22386"/>
    <w:rsid w:val="00A227A5"/>
    <w:rsid w:val="00A22822"/>
    <w:rsid w:val="00A2289D"/>
    <w:rsid w:val="00A23BBC"/>
    <w:rsid w:val="00A24223"/>
    <w:rsid w:val="00A2469A"/>
    <w:rsid w:val="00A24B44"/>
    <w:rsid w:val="00A2517B"/>
    <w:rsid w:val="00A25AE2"/>
    <w:rsid w:val="00A25CAA"/>
    <w:rsid w:val="00A26023"/>
    <w:rsid w:val="00A26194"/>
    <w:rsid w:val="00A26199"/>
    <w:rsid w:val="00A26551"/>
    <w:rsid w:val="00A2666A"/>
    <w:rsid w:val="00A266AD"/>
    <w:rsid w:val="00A26AAD"/>
    <w:rsid w:val="00A26AEC"/>
    <w:rsid w:val="00A26F10"/>
    <w:rsid w:val="00A2708C"/>
    <w:rsid w:val="00A27095"/>
    <w:rsid w:val="00A27609"/>
    <w:rsid w:val="00A277D3"/>
    <w:rsid w:val="00A30709"/>
    <w:rsid w:val="00A3174C"/>
    <w:rsid w:val="00A31B64"/>
    <w:rsid w:val="00A3213F"/>
    <w:rsid w:val="00A322DD"/>
    <w:rsid w:val="00A327F2"/>
    <w:rsid w:val="00A32F7E"/>
    <w:rsid w:val="00A33A53"/>
    <w:rsid w:val="00A34A9D"/>
    <w:rsid w:val="00A35222"/>
    <w:rsid w:val="00A3564B"/>
    <w:rsid w:val="00A3584A"/>
    <w:rsid w:val="00A35B20"/>
    <w:rsid w:val="00A35E5F"/>
    <w:rsid w:val="00A36255"/>
    <w:rsid w:val="00A36A0A"/>
    <w:rsid w:val="00A3701E"/>
    <w:rsid w:val="00A37602"/>
    <w:rsid w:val="00A37E3E"/>
    <w:rsid w:val="00A41280"/>
    <w:rsid w:val="00A417DF"/>
    <w:rsid w:val="00A4206D"/>
    <w:rsid w:val="00A4272C"/>
    <w:rsid w:val="00A43049"/>
    <w:rsid w:val="00A4342F"/>
    <w:rsid w:val="00A44940"/>
    <w:rsid w:val="00A44D17"/>
    <w:rsid w:val="00A45668"/>
    <w:rsid w:val="00A4568B"/>
    <w:rsid w:val="00A46CE2"/>
    <w:rsid w:val="00A472A3"/>
    <w:rsid w:val="00A475C5"/>
    <w:rsid w:val="00A47BC7"/>
    <w:rsid w:val="00A507B1"/>
    <w:rsid w:val="00A51240"/>
    <w:rsid w:val="00A514CD"/>
    <w:rsid w:val="00A51793"/>
    <w:rsid w:val="00A51D36"/>
    <w:rsid w:val="00A523D9"/>
    <w:rsid w:val="00A524EB"/>
    <w:rsid w:val="00A52B3A"/>
    <w:rsid w:val="00A530C1"/>
    <w:rsid w:val="00A53A6E"/>
    <w:rsid w:val="00A53CE5"/>
    <w:rsid w:val="00A53E19"/>
    <w:rsid w:val="00A54549"/>
    <w:rsid w:val="00A5484F"/>
    <w:rsid w:val="00A5498C"/>
    <w:rsid w:val="00A54C4A"/>
    <w:rsid w:val="00A54F36"/>
    <w:rsid w:val="00A55180"/>
    <w:rsid w:val="00A55654"/>
    <w:rsid w:val="00A55B9B"/>
    <w:rsid w:val="00A5625C"/>
    <w:rsid w:val="00A564D4"/>
    <w:rsid w:val="00A56DB5"/>
    <w:rsid w:val="00A57447"/>
    <w:rsid w:val="00A578C1"/>
    <w:rsid w:val="00A578F3"/>
    <w:rsid w:val="00A57C2A"/>
    <w:rsid w:val="00A57E91"/>
    <w:rsid w:val="00A608EB"/>
    <w:rsid w:val="00A60E2A"/>
    <w:rsid w:val="00A61A20"/>
    <w:rsid w:val="00A623ED"/>
    <w:rsid w:val="00A629D4"/>
    <w:rsid w:val="00A62A48"/>
    <w:rsid w:val="00A62B1F"/>
    <w:rsid w:val="00A63E2F"/>
    <w:rsid w:val="00A6668E"/>
    <w:rsid w:val="00A66978"/>
    <w:rsid w:val="00A66DE7"/>
    <w:rsid w:val="00A674BE"/>
    <w:rsid w:val="00A67953"/>
    <w:rsid w:val="00A70291"/>
    <w:rsid w:val="00A703B9"/>
    <w:rsid w:val="00A70C5D"/>
    <w:rsid w:val="00A70DFF"/>
    <w:rsid w:val="00A70F9F"/>
    <w:rsid w:val="00A71484"/>
    <w:rsid w:val="00A7277F"/>
    <w:rsid w:val="00A734B5"/>
    <w:rsid w:val="00A73577"/>
    <w:rsid w:val="00A73DD8"/>
    <w:rsid w:val="00A73E7F"/>
    <w:rsid w:val="00A744FD"/>
    <w:rsid w:val="00A749AB"/>
    <w:rsid w:val="00A749B8"/>
    <w:rsid w:val="00A74B4B"/>
    <w:rsid w:val="00A74D02"/>
    <w:rsid w:val="00A75868"/>
    <w:rsid w:val="00A75CB4"/>
    <w:rsid w:val="00A75DBD"/>
    <w:rsid w:val="00A76733"/>
    <w:rsid w:val="00A76A90"/>
    <w:rsid w:val="00A76CDB"/>
    <w:rsid w:val="00A76ED7"/>
    <w:rsid w:val="00A773AE"/>
    <w:rsid w:val="00A7795D"/>
    <w:rsid w:val="00A8125F"/>
    <w:rsid w:val="00A81591"/>
    <w:rsid w:val="00A81767"/>
    <w:rsid w:val="00A81C28"/>
    <w:rsid w:val="00A824C3"/>
    <w:rsid w:val="00A82D43"/>
    <w:rsid w:val="00A845C8"/>
    <w:rsid w:val="00A84ADF"/>
    <w:rsid w:val="00A85D0B"/>
    <w:rsid w:val="00A861AF"/>
    <w:rsid w:val="00A8626A"/>
    <w:rsid w:val="00A86393"/>
    <w:rsid w:val="00A865F6"/>
    <w:rsid w:val="00A86693"/>
    <w:rsid w:val="00A8670D"/>
    <w:rsid w:val="00A86844"/>
    <w:rsid w:val="00A86868"/>
    <w:rsid w:val="00A86B3F"/>
    <w:rsid w:val="00A87097"/>
    <w:rsid w:val="00A870DA"/>
    <w:rsid w:val="00A8729E"/>
    <w:rsid w:val="00A87845"/>
    <w:rsid w:val="00A87947"/>
    <w:rsid w:val="00A879EE"/>
    <w:rsid w:val="00A90925"/>
    <w:rsid w:val="00A91046"/>
    <w:rsid w:val="00A911F9"/>
    <w:rsid w:val="00A91A7F"/>
    <w:rsid w:val="00A91D4B"/>
    <w:rsid w:val="00A924AD"/>
    <w:rsid w:val="00A92563"/>
    <w:rsid w:val="00A925C6"/>
    <w:rsid w:val="00A925EB"/>
    <w:rsid w:val="00A929E7"/>
    <w:rsid w:val="00A92CEF"/>
    <w:rsid w:val="00A931EF"/>
    <w:rsid w:val="00A9383A"/>
    <w:rsid w:val="00A93A63"/>
    <w:rsid w:val="00A93CC2"/>
    <w:rsid w:val="00A93DA8"/>
    <w:rsid w:val="00A94A47"/>
    <w:rsid w:val="00A94C06"/>
    <w:rsid w:val="00A95367"/>
    <w:rsid w:val="00A954D9"/>
    <w:rsid w:val="00A969A4"/>
    <w:rsid w:val="00A96D1E"/>
    <w:rsid w:val="00A974C7"/>
    <w:rsid w:val="00AA07F6"/>
    <w:rsid w:val="00AA1130"/>
    <w:rsid w:val="00AA1214"/>
    <w:rsid w:val="00AA1E21"/>
    <w:rsid w:val="00AA2C5E"/>
    <w:rsid w:val="00AA2FF7"/>
    <w:rsid w:val="00AA3B35"/>
    <w:rsid w:val="00AA3FCE"/>
    <w:rsid w:val="00AA4431"/>
    <w:rsid w:val="00AA58CF"/>
    <w:rsid w:val="00AA5961"/>
    <w:rsid w:val="00AA59E7"/>
    <w:rsid w:val="00AA5D12"/>
    <w:rsid w:val="00AA5D9E"/>
    <w:rsid w:val="00AA5F11"/>
    <w:rsid w:val="00AA6F1E"/>
    <w:rsid w:val="00AA755C"/>
    <w:rsid w:val="00AA787D"/>
    <w:rsid w:val="00AB03A9"/>
    <w:rsid w:val="00AB0550"/>
    <w:rsid w:val="00AB2036"/>
    <w:rsid w:val="00AB2B46"/>
    <w:rsid w:val="00AB2FAD"/>
    <w:rsid w:val="00AB2FB2"/>
    <w:rsid w:val="00AB32F4"/>
    <w:rsid w:val="00AB394F"/>
    <w:rsid w:val="00AB3B04"/>
    <w:rsid w:val="00AB3F85"/>
    <w:rsid w:val="00AB70B0"/>
    <w:rsid w:val="00AB740C"/>
    <w:rsid w:val="00AB7FAB"/>
    <w:rsid w:val="00AC0715"/>
    <w:rsid w:val="00AC1410"/>
    <w:rsid w:val="00AC17DE"/>
    <w:rsid w:val="00AC1D24"/>
    <w:rsid w:val="00AC1E05"/>
    <w:rsid w:val="00AC21D0"/>
    <w:rsid w:val="00AC21F7"/>
    <w:rsid w:val="00AC26E4"/>
    <w:rsid w:val="00AC2A83"/>
    <w:rsid w:val="00AC3069"/>
    <w:rsid w:val="00AC3B85"/>
    <w:rsid w:val="00AC4028"/>
    <w:rsid w:val="00AC4404"/>
    <w:rsid w:val="00AC44DC"/>
    <w:rsid w:val="00AC4AC4"/>
    <w:rsid w:val="00AC5206"/>
    <w:rsid w:val="00AC55A3"/>
    <w:rsid w:val="00AC5E34"/>
    <w:rsid w:val="00AC6681"/>
    <w:rsid w:val="00AC69AA"/>
    <w:rsid w:val="00AC6E4B"/>
    <w:rsid w:val="00AC7128"/>
    <w:rsid w:val="00AC7862"/>
    <w:rsid w:val="00AC7A97"/>
    <w:rsid w:val="00AD01A3"/>
    <w:rsid w:val="00AD0EE6"/>
    <w:rsid w:val="00AD0FB6"/>
    <w:rsid w:val="00AD1C7F"/>
    <w:rsid w:val="00AD1CCC"/>
    <w:rsid w:val="00AD305F"/>
    <w:rsid w:val="00AD3762"/>
    <w:rsid w:val="00AD433E"/>
    <w:rsid w:val="00AD4379"/>
    <w:rsid w:val="00AD470A"/>
    <w:rsid w:val="00AD49F4"/>
    <w:rsid w:val="00AD4E06"/>
    <w:rsid w:val="00AD5112"/>
    <w:rsid w:val="00AD5699"/>
    <w:rsid w:val="00AD5726"/>
    <w:rsid w:val="00AD5890"/>
    <w:rsid w:val="00AD63D8"/>
    <w:rsid w:val="00AD63E7"/>
    <w:rsid w:val="00AD6A2A"/>
    <w:rsid w:val="00AD73AE"/>
    <w:rsid w:val="00AD767C"/>
    <w:rsid w:val="00AD7864"/>
    <w:rsid w:val="00AE0703"/>
    <w:rsid w:val="00AE0ACE"/>
    <w:rsid w:val="00AE0B66"/>
    <w:rsid w:val="00AE1B6B"/>
    <w:rsid w:val="00AE1D0C"/>
    <w:rsid w:val="00AE215C"/>
    <w:rsid w:val="00AE250B"/>
    <w:rsid w:val="00AE2E75"/>
    <w:rsid w:val="00AE30C1"/>
    <w:rsid w:val="00AE35FE"/>
    <w:rsid w:val="00AE4179"/>
    <w:rsid w:val="00AE4A37"/>
    <w:rsid w:val="00AE506B"/>
    <w:rsid w:val="00AE62CC"/>
    <w:rsid w:val="00AE6422"/>
    <w:rsid w:val="00AE65B6"/>
    <w:rsid w:val="00AE695A"/>
    <w:rsid w:val="00AE71B1"/>
    <w:rsid w:val="00AE752C"/>
    <w:rsid w:val="00AE7740"/>
    <w:rsid w:val="00AE7C93"/>
    <w:rsid w:val="00AF0242"/>
    <w:rsid w:val="00AF0305"/>
    <w:rsid w:val="00AF05DB"/>
    <w:rsid w:val="00AF0E7C"/>
    <w:rsid w:val="00AF10F0"/>
    <w:rsid w:val="00AF1326"/>
    <w:rsid w:val="00AF175C"/>
    <w:rsid w:val="00AF1A70"/>
    <w:rsid w:val="00AF2A2C"/>
    <w:rsid w:val="00AF3912"/>
    <w:rsid w:val="00AF3AF0"/>
    <w:rsid w:val="00AF3EF2"/>
    <w:rsid w:val="00AF4EA2"/>
    <w:rsid w:val="00AF5966"/>
    <w:rsid w:val="00AF5A7A"/>
    <w:rsid w:val="00AF5A80"/>
    <w:rsid w:val="00AF5BE0"/>
    <w:rsid w:val="00AF5E3C"/>
    <w:rsid w:val="00AF6069"/>
    <w:rsid w:val="00AF690C"/>
    <w:rsid w:val="00AF768F"/>
    <w:rsid w:val="00AF7A21"/>
    <w:rsid w:val="00B00135"/>
    <w:rsid w:val="00B0094C"/>
    <w:rsid w:val="00B00B8D"/>
    <w:rsid w:val="00B00EA2"/>
    <w:rsid w:val="00B015AB"/>
    <w:rsid w:val="00B0235B"/>
    <w:rsid w:val="00B03042"/>
    <w:rsid w:val="00B03293"/>
    <w:rsid w:val="00B03AF8"/>
    <w:rsid w:val="00B05302"/>
    <w:rsid w:val="00B055D3"/>
    <w:rsid w:val="00B056EC"/>
    <w:rsid w:val="00B05A0F"/>
    <w:rsid w:val="00B06448"/>
    <w:rsid w:val="00B068FB"/>
    <w:rsid w:val="00B06B54"/>
    <w:rsid w:val="00B06C99"/>
    <w:rsid w:val="00B06D6C"/>
    <w:rsid w:val="00B06DED"/>
    <w:rsid w:val="00B06E1E"/>
    <w:rsid w:val="00B07965"/>
    <w:rsid w:val="00B07F76"/>
    <w:rsid w:val="00B07FC7"/>
    <w:rsid w:val="00B109B4"/>
    <w:rsid w:val="00B11003"/>
    <w:rsid w:val="00B11AA5"/>
    <w:rsid w:val="00B11C5E"/>
    <w:rsid w:val="00B11F18"/>
    <w:rsid w:val="00B123EB"/>
    <w:rsid w:val="00B126D9"/>
    <w:rsid w:val="00B1425B"/>
    <w:rsid w:val="00B14445"/>
    <w:rsid w:val="00B14943"/>
    <w:rsid w:val="00B15279"/>
    <w:rsid w:val="00B15535"/>
    <w:rsid w:val="00B15CF3"/>
    <w:rsid w:val="00B1664F"/>
    <w:rsid w:val="00B179D7"/>
    <w:rsid w:val="00B203B0"/>
    <w:rsid w:val="00B20639"/>
    <w:rsid w:val="00B20E22"/>
    <w:rsid w:val="00B21055"/>
    <w:rsid w:val="00B2141E"/>
    <w:rsid w:val="00B21667"/>
    <w:rsid w:val="00B21A08"/>
    <w:rsid w:val="00B21E29"/>
    <w:rsid w:val="00B229CC"/>
    <w:rsid w:val="00B22A98"/>
    <w:rsid w:val="00B235F7"/>
    <w:rsid w:val="00B23B1A"/>
    <w:rsid w:val="00B23C38"/>
    <w:rsid w:val="00B23CF0"/>
    <w:rsid w:val="00B23E6D"/>
    <w:rsid w:val="00B244A5"/>
    <w:rsid w:val="00B25708"/>
    <w:rsid w:val="00B26157"/>
    <w:rsid w:val="00B2669E"/>
    <w:rsid w:val="00B27285"/>
    <w:rsid w:val="00B27C24"/>
    <w:rsid w:val="00B27C47"/>
    <w:rsid w:val="00B306FB"/>
    <w:rsid w:val="00B308A1"/>
    <w:rsid w:val="00B325DC"/>
    <w:rsid w:val="00B32CE2"/>
    <w:rsid w:val="00B33BCE"/>
    <w:rsid w:val="00B35A5E"/>
    <w:rsid w:val="00B3665D"/>
    <w:rsid w:val="00B36672"/>
    <w:rsid w:val="00B3701B"/>
    <w:rsid w:val="00B376A6"/>
    <w:rsid w:val="00B37A5A"/>
    <w:rsid w:val="00B37F76"/>
    <w:rsid w:val="00B407BE"/>
    <w:rsid w:val="00B40BC2"/>
    <w:rsid w:val="00B4128E"/>
    <w:rsid w:val="00B419D1"/>
    <w:rsid w:val="00B41C6F"/>
    <w:rsid w:val="00B42303"/>
    <w:rsid w:val="00B42A7C"/>
    <w:rsid w:val="00B42F10"/>
    <w:rsid w:val="00B432F9"/>
    <w:rsid w:val="00B43465"/>
    <w:rsid w:val="00B43591"/>
    <w:rsid w:val="00B437DB"/>
    <w:rsid w:val="00B43811"/>
    <w:rsid w:val="00B43929"/>
    <w:rsid w:val="00B44799"/>
    <w:rsid w:val="00B44A78"/>
    <w:rsid w:val="00B44F46"/>
    <w:rsid w:val="00B45E3F"/>
    <w:rsid w:val="00B45EB8"/>
    <w:rsid w:val="00B46271"/>
    <w:rsid w:val="00B46D9E"/>
    <w:rsid w:val="00B471DA"/>
    <w:rsid w:val="00B47BE6"/>
    <w:rsid w:val="00B50C5A"/>
    <w:rsid w:val="00B50F20"/>
    <w:rsid w:val="00B51043"/>
    <w:rsid w:val="00B512C1"/>
    <w:rsid w:val="00B51777"/>
    <w:rsid w:val="00B51A40"/>
    <w:rsid w:val="00B51CCB"/>
    <w:rsid w:val="00B51DFA"/>
    <w:rsid w:val="00B52068"/>
    <w:rsid w:val="00B521E8"/>
    <w:rsid w:val="00B52A95"/>
    <w:rsid w:val="00B532FC"/>
    <w:rsid w:val="00B53964"/>
    <w:rsid w:val="00B5416B"/>
    <w:rsid w:val="00B54B69"/>
    <w:rsid w:val="00B54C20"/>
    <w:rsid w:val="00B54D40"/>
    <w:rsid w:val="00B5502A"/>
    <w:rsid w:val="00B553E4"/>
    <w:rsid w:val="00B556FE"/>
    <w:rsid w:val="00B55CA7"/>
    <w:rsid w:val="00B5689E"/>
    <w:rsid w:val="00B568BA"/>
    <w:rsid w:val="00B569F9"/>
    <w:rsid w:val="00B56EAB"/>
    <w:rsid w:val="00B56F49"/>
    <w:rsid w:val="00B5703B"/>
    <w:rsid w:val="00B576DA"/>
    <w:rsid w:val="00B57854"/>
    <w:rsid w:val="00B57D30"/>
    <w:rsid w:val="00B57D68"/>
    <w:rsid w:val="00B57E21"/>
    <w:rsid w:val="00B60210"/>
    <w:rsid w:val="00B603A6"/>
    <w:rsid w:val="00B60796"/>
    <w:rsid w:val="00B60CBC"/>
    <w:rsid w:val="00B60CF1"/>
    <w:rsid w:val="00B61105"/>
    <w:rsid w:val="00B61212"/>
    <w:rsid w:val="00B612AA"/>
    <w:rsid w:val="00B616D8"/>
    <w:rsid w:val="00B61DB1"/>
    <w:rsid w:val="00B62683"/>
    <w:rsid w:val="00B62F89"/>
    <w:rsid w:val="00B6312A"/>
    <w:rsid w:val="00B63291"/>
    <w:rsid w:val="00B6335A"/>
    <w:rsid w:val="00B640B8"/>
    <w:rsid w:val="00B6427D"/>
    <w:rsid w:val="00B658A6"/>
    <w:rsid w:val="00B65A69"/>
    <w:rsid w:val="00B66542"/>
    <w:rsid w:val="00B668F2"/>
    <w:rsid w:val="00B669F4"/>
    <w:rsid w:val="00B67258"/>
    <w:rsid w:val="00B67FF7"/>
    <w:rsid w:val="00B70AEF"/>
    <w:rsid w:val="00B70D47"/>
    <w:rsid w:val="00B70D7D"/>
    <w:rsid w:val="00B70D95"/>
    <w:rsid w:val="00B71296"/>
    <w:rsid w:val="00B71384"/>
    <w:rsid w:val="00B7168B"/>
    <w:rsid w:val="00B721FA"/>
    <w:rsid w:val="00B72649"/>
    <w:rsid w:val="00B72F62"/>
    <w:rsid w:val="00B73377"/>
    <w:rsid w:val="00B73A14"/>
    <w:rsid w:val="00B73DF4"/>
    <w:rsid w:val="00B743B1"/>
    <w:rsid w:val="00B75031"/>
    <w:rsid w:val="00B7511B"/>
    <w:rsid w:val="00B752E6"/>
    <w:rsid w:val="00B75977"/>
    <w:rsid w:val="00B75A6A"/>
    <w:rsid w:val="00B75AF5"/>
    <w:rsid w:val="00B764CF"/>
    <w:rsid w:val="00B76797"/>
    <w:rsid w:val="00B7690C"/>
    <w:rsid w:val="00B76A14"/>
    <w:rsid w:val="00B77719"/>
    <w:rsid w:val="00B77B4E"/>
    <w:rsid w:val="00B77DA5"/>
    <w:rsid w:val="00B77F80"/>
    <w:rsid w:val="00B77FBE"/>
    <w:rsid w:val="00B8056A"/>
    <w:rsid w:val="00B80A06"/>
    <w:rsid w:val="00B81331"/>
    <w:rsid w:val="00B818DB"/>
    <w:rsid w:val="00B81E73"/>
    <w:rsid w:val="00B82292"/>
    <w:rsid w:val="00B829EC"/>
    <w:rsid w:val="00B82CDD"/>
    <w:rsid w:val="00B84104"/>
    <w:rsid w:val="00B84E5E"/>
    <w:rsid w:val="00B85D1D"/>
    <w:rsid w:val="00B864D8"/>
    <w:rsid w:val="00B86662"/>
    <w:rsid w:val="00B86F2B"/>
    <w:rsid w:val="00B875C8"/>
    <w:rsid w:val="00B87CBF"/>
    <w:rsid w:val="00B87DBC"/>
    <w:rsid w:val="00B87E35"/>
    <w:rsid w:val="00B902D7"/>
    <w:rsid w:val="00B91177"/>
    <w:rsid w:val="00B917E2"/>
    <w:rsid w:val="00B91F34"/>
    <w:rsid w:val="00B9401B"/>
    <w:rsid w:val="00B94892"/>
    <w:rsid w:val="00B94932"/>
    <w:rsid w:val="00B95011"/>
    <w:rsid w:val="00B95989"/>
    <w:rsid w:val="00B95A5F"/>
    <w:rsid w:val="00B96B29"/>
    <w:rsid w:val="00B96D34"/>
    <w:rsid w:val="00B96ED4"/>
    <w:rsid w:val="00B97013"/>
    <w:rsid w:val="00B97163"/>
    <w:rsid w:val="00B971CD"/>
    <w:rsid w:val="00B9798F"/>
    <w:rsid w:val="00BA0277"/>
    <w:rsid w:val="00BA04D3"/>
    <w:rsid w:val="00BA0D9B"/>
    <w:rsid w:val="00BA1608"/>
    <w:rsid w:val="00BA2614"/>
    <w:rsid w:val="00BA28DB"/>
    <w:rsid w:val="00BA292D"/>
    <w:rsid w:val="00BA2944"/>
    <w:rsid w:val="00BA2FF9"/>
    <w:rsid w:val="00BA34D1"/>
    <w:rsid w:val="00BA37A6"/>
    <w:rsid w:val="00BA3982"/>
    <w:rsid w:val="00BA3C6B"/>
    <w:rsid w:val="00BA447A"/>
    <w:rsid w:val="00BA44EB"/>
    <w:rsid w:val="00BA459F"/>
    <w:rsid w:val="00BA58B0"/>
    <w:rsid w:val="00BA596E"/>
    <w:rsid w:val="00BA5F11"/>
    <w:rsid w:val="00BA66E6"/>
    <w:rsid w:val="00BA6979"/>
    <w:rsid w:val="00BA6A07"/>
    <w:rsid w:val="00BA6B01"/>
    <w:rsid w:val="00BA6C72"/>
    <w:rsid w:val="00BA6D55"/>
    <w:rsid w:val="00BA7348"/>
    <w:rsid w:val="00BA747E"/>
    <w:rsid w:val="00BA7B87"/>
    <w:rsid w:val="00BB0138"/>
    <w:rsid w:val="00BB02E7"/>
    <w:rsid w:val="00BB0739"/>
    <w:rsid w:val="00BB0BB0"/>
    <w:rsid w:val="00BB0E09"/>
    <w:rsid w:val="00BB1B02"/>
    <w:rsid w:val="00BB1D8F"/>
    <w:rsid w:val="00BB1DD4"/>
    <w:rsid w:val="00BB21B4"/>
    <w:rsid w:val="00BB25D2"/>
    <w:rsid w:val="00BB2A0E"/>
    <w:rsid w:val="00BB2A96"/>
    <w:rsid w:val="00BB2E24"/>
    <w:rsid w:val="00BB3010"/>
    <w:rsid w:val="00BB33DD"/>
    <w:rsid w:val="00BB3BF2"/>
    <w:rsid w:val="00BB4286"/>
    <w:rsid w:val="00BB5CB9"/>
    <w:rsid w:val="00BB5CD3"/>
    <w:rsid w:val="00BB6489"/>
    <w:rsid w:val="00BB6866"/>
    <w:rsid w:val="00BB700E"/>
    <w:rsid w:val="00BB74EB"/>
    <w:rsid w:val="00BB7806"/>
    <w:rsid w:val="00BB7E45"/>
    <w:rsid w:val="00BC006D"/>
    <w:rsid w:val="00BC0260"/>
    <w:rsid w:val="00BC086C"/>
    <w:rsid w:val="00BC0A43"/>
    <w:rsid w:val="00BC1DBF"/>
    <w:rsid w:val="00BC3AA3"/>
    <w:rsid w:val="00BC3B3B"/>
    <w:rsid w:val="00BC407A"/>
    <w:rsid w:val="00BC447F"/>
    <w:rsid w:val="00BC4C41"/>
    <w:rsid w:val="00BC515D"/>
    <w:rsid w:val="00BC51A5"/>
    <w:rsid w:val="00BC5284"/>
    <w:rsid w:val="00BC5AD7"/>
    <w:rsid w:val="00BC5BFF"/>
    <w:rsid w:val="00BC5F0D"/>
    <w:rsid w:val="00BC68FB"/>
    <w:rsid w:val="00BC6913"/>
    <w:rsid w:val="00BC6BFE"/>
    <w:rsid w:val="00BC7251"/>
    <w:rsid w:val="00BC733E"/>
    <w:rsid w:val="00BD03B8"/>
    <w:rsid w:val="00BD0D49"/>
    <w:rsid w:val="00BD1A3A"/>
    <w:rsid w:val="00BD1F5F"/>
    <w:rsid w:val="00BD22AF"/>
    <w:rsid w:val="00BD2651"/>
    <w:rsid w:val="00BD2673"/>
    <w:rsid w:val="00BD2B49"/>
    <w:rsid w:val="00BD4134"/>
    <w:rsid w:val="00BD41E9"/>
    <w:rsid w:val="00BD4C98"/>
    <w:rsid w:val="00BD5ECE"/>
    <w:rsid w:val="00BD6614"/>
    <w:rsid w:val="00BD67BB"/>
    <w:rsid w:val="00BD6AEC"/>
    <w:rsid w:val="00BD6FE6"/>
    <w:rsid w:val="00BD7021"/>
    <w:rsid w:val="00BD78B6"/>
    <w:rsid w:val="00BE0261"/>
    <w:rsid w:val="00BE08F2"/>
    <w:rsid w:val="00BE0FC7"/>
    <w:rsid w:val="00BE1162"/>
    <w:rsid w:val="00BE13A6"/>
    <w:rsid w:val="00BE14C5"/>
    <w:rsid w:val="00BE1E66"/>
    <w:rsid w:val="00BE29BE"/>
    <w:rsid w:val="00BE2E12"/>
    <w:rsid w:val="00BE3841"/>
    <w:rsid w:val="00BE4533"/>
    <w:rsid w:val="00BE4EA6"/>
    <w:rsid w:val="00BE4F03"/>
    <w:rsid w:val="00BE5E71"/>
    <w:rsid w:val="00BE601B"/>
    <w:rsid w:val="00BE64AC"/>
    <w:rsid w:val="00BE7287"/>
    <w:rsid w:val="00BF0391"/>
    <w:rsid w:val="00BF0598"/>
    <w:rsid w:val="00BF0860"/>
    <w:rsid w:val="00BF1834"/>
    <w:rsid w:val="00BF1D7A"/>
    <w:rsid w:val="00BF1E58"/>
    <w:rsid w:val="00BF2A14"/>
    <w:rsid w:val="00BF2B9D"/>
    <w:rsid w:val="00BF2CD7"/>
    <w:rsid w:val="00BF30A4"/>
    <w:rsid w:val="00BF3343"/>
    <w:rsid w:val="00BF4F00"/>
    <w:rsid w:val="00BF521F"/>
    <w:rsid w:val="00BF571F"/>
    <w:rsid w:val="00BF5C7E"/>
    <w:rsid w:val="00BF66CD"/>
    <w:rsid w:val="00BF6E86"/>
    <w:rsid w:val="00BF721C"/>
    <w:rsid w:val="00BF7434"/>
    <w:rsid w:val="00BF7D7C"/>
    <w:rsid w:val="00BF7DB8"/>
    <w:rsid w:val="00BF7FDB"/>
    <w:rsid w:val="00C00578"/>
    <w:rsid w:val="00C00A66"/>
    <w:rsid w:val="00C00B62"/>
    <w:rsid w:val="00C02AF3"/>
    <w:rsid w:val="00C039AD"/>
    <w:rsid w:val="00C03C5E"/>
    <w:rsid w:val="00C03E52"/>
    <w:rsid w:val="00C03EAA"/>
    <w:rsid w:val="00C04524"/>
    <w:rsid w:val="00C049B0"/>
    <w:rsid w:val="00C04E7A"/>
    <w:rsid w:val="00C04ED2"/>
    <w:rsid w:val="00C053C1"/>
    <w:rsid w:val="00C0593F"/>
    <w:rsid w:val="00C06665"/>
    <w:rsid w:val="00C069F7"/>
    <w:rsid w:val="00C07300"/>
    <w:rsid w:val="00C1016A"/>
    <w:rsid w:val="00C10259"/>
    <w:rsid w:val="00C1032B"/>
    <w:rsid w:val="00C105DC"/>
    <w:rsid w:val="00C1076E"/>
    <w:rsid w:val="00C10CF8"/>
    <w:rsid w:val="00C10EE3"/>
    <w:rsid w:val="00C11110"/>
    <w:rsid w:val="00C119FC"/>
    <w:rsid w:val="00C11A48"/>
    <w:rsid w:val="00C11D54"/>
    <w:rsid w:val="00C11E68"/>
    <w:rsid w:val="00C11EB0"/>
    <w:rsid w:val="00C11F6F"/>
    <w:rsid w:val="00C12DD4"/>
    <w:rsid w:val="00C13E7B"/>
    <w:rsid w:val="00C14118"/>
    <w:rsid w:val="00C14245"/>
    <w:rsid w:val="00C14705"/>
    <w:rsid w:val="00C14FC5"/>
    <w:rsid w:val="00C1542E"/>
    <w:rsid w:val="00C15CAA"/>
    <w:rsid w:val="00C17274"/>
    <w:rsid w:val="00C20489"/>
    <w:rsid w:val="00C20A2C"/>
    <w:rsid w:val="00C20F96"/>
    <w:rsid w:val="00C214A3"/>
    <w:rsid w:val="00C220C3"/>
    <w:rsid w:val="00C2257E"/>
    <w:rsid w:val="00C225CC"/>
    <w:rsid w:val="00C22724"/>
    <w:rsid w:val="00C23202"/>
    <w:rsid w:val="00C23E42"/>
    <w:rsid w:val="00C24185"/>
    <w:rsid w:val="00C243F1"/>
    <w:rsid w:val="00C244A3"/>
    <w:rsid w:val="00C245BB"/>
    <w:rsid w:val="00C24D68"/>
    <w:rsid w:val="00C25DC4"/>
    <w:rsid w:val="00C267F9"/>
    <w:rsid w:val="00C26982"/>
    <w:rsid w:val="00C27005"/>
    <w:rsid w:val="00C270FB"/>
    <w:rsid w:val="00C27113"/>
    <w:rsid w:val="00C27A42"/>
    <w:rsid w:val="00C27CCE"/>
    <w:rsid w:val="00C3052B"/>
    <w:rsid w:val="00C3170D"/>
    <w:rsid w:val="00C3184A"/>
    <w:rsid w:val="00C31B7E"/>
    <w:rsid w:val="00C31E83"/>
    <w:rsid w:val="00C32D8A"/>
    <w:rsid w:val="00C332E3"/>
    <w:rsid w:val="00C33738"/>
    <w:rsid w:val="00C33D75"/>
    <w:rsid w:val="00C3450F"/>
    <w:rsid w:val="00C34E4D"/>
    <w:rsid w:val="00C3527B"/>
    <w:rsid w:val="00C3616B"/>
    <w:rsid w:val="00C36814"/>
    <w:rsid w:val="00C36D61"/>
    <w:rsid w:val="00C3716A"/>
    <w:rsid w:val="00C37975"/>
    <w:rsid w:val="00C40AAE"/>
    <w:rsid w:val="00C40BCC"/>
    <w:rsid w:val="00C40E32"/>
    <w:rsid w:val="00C4108A"/>
    <w:rsid w:val="00C41C65"/>
    <w:rsid w:val="00C42722"/>
    <w:rsid w:val="00C429C5"/>
    <w:rsid w:val="00C42C32"/>
    <w:rsid w:val="00C42E3F"/>
    <w:rsid w:val="00C42E7D"/>
    <w:rsid w:val="00C431A0"/>
    <w:rsid w:val="00C44032"/>
    <w:rsid w:val="00C442D0"/>
    <w:rsid w:val="00C443B8"/>
    <w:rsid w:val="00C444AD"/>
    <w:rsid w:val="00C44537"/>
    <w:rsid w:val="00C45FC0"/>
    <w:rsid w:val="00C462DA"/>
    <w:rsid w:val="00C4653D"/>
    <w:rsid w:val="00C473AE"/>
    <w:rsid w:val="00C47F52"/>
    <w:rsid w:val="00C5017F"/>
    <w:rsid w:val="00C503CF"/>
    <w:rsid w:val="00C519E5"/>
    <w:rsid w:val="00C51DD5"/>
    <w:rsid w:val="00C51FCA"/>
    <w:rsid w:val="00C52090"/>
    <w:rsid w:val="00C520E1"/>
    <w:rsid w:val="00C52D4A"/>
    <w:rsid w:val="00C530ED"/>
    <w:rsid w:val="00C53432"/>
    <w:rsid w:val="00C537F1"/>
    <w:rsid w:val="00C538E4"/>
    <w:rsid w:val="00C54F7B"/>
    <w:rsid w:val="00C55329"/>
    <w:rsid w:val="00C5540D"/>
    <w:rsid w:val="00C5632A"/>
    <w:rsid w:val="00C563C1"/>
    <w:rsid w:val="00C5685A"/>
    <w:rsid w:val="00C57047"/>
    <w:rsid w:val="00C57882"/>
    <w:rsid w:val="00C57FAD"/>
    <w:rsid w:val="00C60C90"/>
    <w:rsid w:val="00C61D74"/>
    <w:rsid w:val="00C62115"/>
    <w:rsid w:val="00C62691"/>
    <w:rsid w:val="00C62F0B"/>
    <w:rsid w:val="00C6398F"/>
    <w:rsid w:val="00C63AD5"/>
    <w:rsid w:val="00C63B57"/>
    <w:rsid w:val="00C64042"/>
    <w:rsid w:val="00C642A4"/>
    <w:rsid w:val="00C64866"/>
    <w:rsid w:val="00C64CED"/>
    <w:rsid w:val="00C6671B"/>
    <w:rsid w:val="00C669CC"/>
    <w:rsid w:val="00C66EAD"/>
    <w:rsid w:val="00C67333"/>
    <w:rsid w:val="00C67A0B"/>
    <w:rsid w:val="00C67E65"/>
    <w:rsid w:val="00C7091D"/>
    <w:rsid w:val="00C70AB2"/>
    <w:rsid w:val="00C72147"/>
    <w:rsid w:val="00C7246A"/>
    <w:rsid w:val="00C72C7E"/>
    <w:rsid w:val="00C72F31"/>
    <w:rsid w:val="00C730AC"/>
    <w:rsid w:val="00C732FF"/>
    <w:rsid w:val="00C7351F"/>
    <w:rsid w:val="00C74502"/>
    <w:rsid w:val="00C74DD5"/>
    <w:rsid w:val="00C74EBE"/>
    <w:rsid w:val="00C75602"/>
    <w:rsid w:val="00C75673"/>
    <w:rsid w:val="00C757FE"/>
    <w:rsid w:val="00C75845"/>
    <w:rsid w:val="00C758BC"/>
    <w:rsid w:val="00C75E30"/>
    <w:rsid w:val="00C75F36"/>
    <w:rsid w:val="00C76457"/>
    <w:rsid w:val="00C7673F"/>
    <w:rsid w:val="00C76977"/>
    <w:rsid w:val="00C76B18"/>
    <w:rsid w:val="00C77BCF"/>
    <w:rsid w:val="00C77F09"/>
    <w:rsid w:val="00C8015E"/>
    <w:rsid w:val="00C80C01"/>
    <w:rsid w:val="00C80D60"/>
    <w:rsid w:val="00C813F1"/>
    <w:rsid w:val="00C81657"/>
    <w:rsid w:val="00C8262B"/>
    <w:rsid w:val="00C827E1"/>
    <w:rsid w:val="00C82C61"/>
    <w:rsid w:val="00C82DA5"/>
    <w:rsid w:val="00C83206"/>
    <w:rsid w:val="00C838A9"/>
    <w:rsid w:val="00C83991"/>
    <w:rsid w:val="00C83DCB"/>
    <w:rsid w:val="00C84157"/>
    <w:rsid w:val="00C845BD"/>
    <w:rsid w:val="00C854AE"/>
    <w:rsid w:val="00C86849"/>
    <w:rsid w:val="00C86F84"/>
    <w:rsid w:val="00C87A27"/>
    <w:rsid w:val="00C87E00"/>
    <w:rsid w:val="00C903B5"/>
    <w:rsid w:val="00C90C26"/>
    <w:rsid w:val="00C90DE6"/>
    <w:rsid w:val="00C910AE"/>
    <w:rsid w:val="00C91126"/>
    <w:rsid w:val="00C91681"/>
    <w:rsid w:val="00C92097"/>
    <w:rsid w:val="00C92BDC"/>
    <w:rsid w:val="00C94668"/>
    <w:rsid w:val="00C9488F"/>
    <w:rsid w:val="00C94CED"/>
    <w:rsid w:val="00C9513A"/>
    <w:rsid w:val="00C955A4"/>
    <w:rsid w:val="00C959A0"/>
    <w:rsid w:val="00C96183"/>
    <w:rsid w:val="00C96512"/>
    <w:rsid w:val="00C96642"/>
    <w:rsid w:val="00C97F14"/>
    <w:rsid w:val="00C97F60"/>
    <w:rsid w:val="00CA05B1"/>
    <w:rsid w:val="00CA152B"/>
    <w:rsid w:val="00CA1A2B"/>
    <w:rsid w:val="00CA1CE4"/>
    <w:rsid w:val="00CA1EB8"/>
    <w:rsid w:val="00CA288D"/>
    <w:rsid w:val="00CA2BA2"/>
    <w:rsid w:val="00CA30FF"/>
    <w:rsid w:val="00CA36B5"/>
    <w:rsid w:val="00CA3DFB"/>
    <w:rsid w:val="00CA438A"/>
    <w:rsid w:val="00CA4A00"/>
    <w:rsid w:val="00CA4E32"/>
    <w:rsid w:val="00CA59F2"/>
    <w:rsid w:val="00CA5CB2"/>
    <w:rsid w:val="00CA5E6A"/>
    <w:rsid w:val="00CA65EC"/>
    <w:rsid w:val="00CA73D7"/>
    <w:rsid w:val="00CA758E"/>
    <w:rsid w:val="00CA7B4B"/>
    <w:rsid w:val="00CA7DCA"/>
    <w:rsid w:val="00CB01B6"/>
    <w:rsid w:val="00CB04C8"/>
    <w:rsid w:val="00CB1C29"/>
    <w:rsid w:val="00CB2055"/>
    <w:rsid w:val="00CB329C"/>
    <w:rsid w:val="00CB3489"/>
    <w:rsid w:val="00CB3939"/>
    <w:rsid w:val="00CB396C"/>
    <w:rsid w:val="00CB3ABF"/>
    <w:rsid w:val="00CB3B2B"/>
    <w:rsid w:val="00CB3F65"/>
    <w:rsid w:val="00CB4088"/>
    <w:rsid w:val="00CB472C"/>
    <w:rsid w:val="00CB4F24"/>
    <w:rsid w:val="00CB62A4"/>
    <w:rsid w:val="00CB6799"/>
    <w:rsid w:val="00CB6B80"/>
    <w:rsid w:val="00CB6F22"/>
    <w:rsid w:val="00CB73C3"/>
    <w:rsid w:val="00CB7482"/>
    <w:rsid w:val="00CB7603"/>
    <w:rsid w:val="00CB7BAB"/>
    <w:rsid w:val="00CC0FEB"/>
    <w:rsid w:val="00CC15CB"/>
    <w:rsid w:val="00CC1828"/>
    <w:rsid w:val="00CC1D52"/>
    <w:rsid w:val="00CC1FBB"/>
    <w:rsid w:val="00CC25C2"/>
    <w:rsid w:val="00CC25DA"/>
    <w:rsid w:val="00CC26F1"/>
    <w:rsid w:val="00CC2713"/>
    <w:rsid w:val="00CC28E8"/>
    <w:rsid w:val="00CC3286"/>
    <w:rsid w:val="00CC33C0"/>
    <w:rsid w:val="00CC365E"/>
    <w:rsid w:val="00CC3934"/>
    <w:rsid w:val="00CC44AA"/>
    <w:rsid w:val="00CC4AA4"/>
    <w:rsid w:val="00CC520E"/>
    <w:rsid w:val="00CC57B3"/>
    <w:rsid w:val="00CC5ACB"/>
    <w:rsid w:val="00CC5FC2"/>
    <w:rsid w:val="00CC609E"/>
    <w:rsid w:val="00CC6723"/>
    <w:rsid w:val="00CC704B"/>
    <w:rsid w:val="00CC7CEE"/>
    <w:rsid w:val="00CD0396"/>
    <w:rsid w:val="00CD09B9"/>
    <w:rsid w:val="00CD0C1D"/>
    <w:rsid w:val="00CD0CBA"/>
    <w:rsid w:val="00CD0F8F"/>
    <w:rsid w:val="00CD1548"/>
    <w:rsid w:val="00CD1654"/>
    <w:rsid w:val="00CD17C4"/>
    <w:rsid w:val="00CD253F"/>
    <w:rsid w:val="00CD26D6"/>
    <w:rsid w:val="00CD28D1"/>
    <w:rsid w:val="00CD29B6"/>
    <w:rsid w:val="00CD3243"/>
    <w:rsid w:val="00CD39BE"/>
    <w:rsid w:val="00CD3E41"/>
    <w:rsid w:val="00CD4A84"/>
    <w:rsid w:val="00CD5011"/>
    <w:rsid w:val="00CD53F0"/>
    <w:rsid w:val="00CD564E"/>
    <w:rsid w:val="00CD56CF"/>
    <w:rsid w:val="00CD56E6"/>
    <w:rsid w:val="00CD6191"/>
    <w:rsid w:val="00CD728F"/>
    <w:rsid w:val="00CD7860"/>
    <w:rsid w:val="00CD7B07"/>
    <w:rsid w:val="00CD7B4E"/>
    <w:rsid w:val="00CD7DCC"/>
    <w:rsid w:val="00CE05D6"/>
    <w:rsid w:val="00CE1D9D"/>
    <w:rsid w:val="00CE2493"/>
    <w:rsid w:val="00CE2965"/>
    <w:rsid w:val="00CE2FDA"/>
    <w:rsid w:val="00CE3996"/>
    <w:rsid w:val="00CE3CFA"/>
    <w:rsid w:val="00CE40E2"/>
    <w:rsid w:val="00CE457D"/>
    <w:rsid w:val="00CE45AE"/>
    <w:rsid w:val="00CE4910"/>
    <w:rsid w:val="00CE4F9C"/>
    <w:rsid w:val="00CE522B"/>
    <w:rsid w:val="00CE5275"/>
    <w:rsid w:val="00CE6898"/>
    <w:rsid w:val="00CE6945"/>
    <w:rsid w:val="00CE71D7"/>
    <w:rsid w:val="00CE7C32"/>
    <w:rsid w:val="00CE7F6F"/>
    <w:rsid w:val="00CF0D29"/>
    <w:rsid w:val="00CF1A08"/>
    <w:rsid w:val="00CF229B"/>
    <w:rsid w:val="00CF23F4"/>
    <w:rsid w:val="00CF26D7"/>
    <w:rsid w:val="00CF28FE"/>
    <w:rsid w:val="00CF2C63"/>
    <w:rsid w:val="00CF2EEE"/>
    <w:rsid w:val="00CF306E"/>
    <w:rsid w:val="00CF3106"/>
    <w:rsid w:val="00CF3257"/>
    <w:rsid w:val="00CF3273"/>
    <w:rsid w:val="00CF36DE"/>
    <w:rsid w:val="00CF4091"/>
    <w:rsid w:val="00CF47FA"/>
    <w:rsid w:val="00CF5085"/>
    <w:rsid w:val="00CF59FA"/>
    <w:rsid w:val="00CF5AC7"/>
    <w:rsid w:val="00CF6095"/>
    <w:rsid w:val="00CF625E"/>
    <w:rsid w:val="00CF6C09"/>
    <w:rsid w:val="00CF6E42"/>
    <w:rsid w:val="00CF7070"/>
    <w:rsid w:val="00CF74F6"/>
    <w:rsid w:val="00D004ED"/>
    <w:rsid w:val="00D00FAE"/>
    <w:rsid w:val="00D01390"/>
    <w:rsid w:val="00D01DBC"/>
    <w:rsid w:val="00D01F20"/>
    <w:rsid w:val="00D0248A"/>
    <w:rsid w:val="00D02678"/>
    <w:rsid w:val="00D02811"/>
    <w:rsid w:val="00D02A8A"/>
    <w:rsid w:val="00D02F8C"/>
    <w:rsid w:val="00D03F29"/>
    <w:rsid w:val="00D041F3"/>
    <w:rsid w:val="00D048A5"/>
    <w:rsid w:val="00D04AA5"/>
    <w:rsid w:val="00D05A3B"/>
    <w:rsid w:val="00D065E0"/>
    <w:rsid w:val="00D06EF9"/>
    <w:rsid w:val="00D07163"/>
    <w:rsid w:val="00D07DD2"/>
    <w:rsid w:val="00D101C0"/>
    <w:rsid w:val="00D10B02"/>
    <w:rsid w:val="00D11399"/>
    <w:rsid w:val="00D11473"/>
    <w:rsid w:val="00D11EFB"/>
    <w:rsid w:val="00D12175"/>
    <w:rsid w:val="00D12532"/>
    <w:rsid w:val="00D129E5"/>
    <w:rsid w:val="00D12AA0"/>
    <w:rsid w:val="00D130C5"/>
    <w:rsid w:val="00D136E4"/>
    <w:rsid w:val="00D1444E"/>
    <w:rsid w:val="00D145BC"/>
    <w:rsid w:val="00D15E0F"/>
    <w:rsid w:val="00D17034"/>
    <w:rsid w:val="00D17769"/>
    <w:rsid w:val="00D21ADE"/>
    <w:rsid w:val="00D21F29"/>
    <w:rsid w:val="00D229F0"/>
    <w:rsid w:val="00D22D75"/>
    <w:rsid w:val="00D22DAB"/>
    <w:rsid w:val="00D235CC"/>
    <w:rsid w:val="00D245CB"/>
    <w:rsid w:val="00D24714"/>
    <w:rsid w:val="00D2478F"/>
    <w:rsid w:val="00D26958"/>
    <w:rsid w:val="00D26E45"/>
    <w:rsid w:val="00D2756F"/>
    <w:rsid w:val="00D27624"/>
    <w:rsid w:val="00D27B44"/>
    <w:rsid w:val="00D27DA9"/>
    <w:rsid w:val="00D31106"/>
    <w:rsid w:val="00D31E79"/>
    <w:rsid w:val="00D32D19"/>
    <w:rsid w:val="00D3305D"/>
    <w:rsid w:val="00D331A7"/>
    <w:rsid w:val="00D334A9"/>
    <w:rsid w:val="00D33673"/>
    <w:rsid w:val="00D33CC2"/>
    <w:rsid w:val="00D34095"/>
    <w:rsid w:val="00D3423A"/>
    <w:rsid w:val="00D343B5"/>
    <w:rsid w:val="00D345E9"/>
    <w:rsid w:val="00D36C40"/>
    <w:rsid w:val="00D36C6A"/>
    <w:rsid w:val="00D36CBB"/>
    <w:rsid w:val="00D409B2"/>
    <w:rsid w:val="00D409F2"/>
    <w:rsid w:val="00D4139B"/>
    <w:rsid w:val="00D41B4A"/>
    <w:rsid w:val="00D41C5E"/>
    <w:rsid w:val="00D424C7"/>
    <w:rsid w:val="00D42603"/>
    <w:rsid w:val="00D42687"/>
    <w:rsid w:val="00D427BF"/>
    <w:rsid w:val="00D42991"/>
    <w:rsid w:val="00D42A51"/>
    <w:rsid w:val="00D42F2A"/>
    <w:rsid w:val="00D43474"/>
    <w:rsid w:val="00D43991"/>
    <w:rsid w:val="00D43B7F"/>
    <w:rsid w:val="00D44475"/>
    <w:rsid w:val="00D44796"/>
    <w:rsid w:val="00D44F3C"/>
    <w:rsid w:val="00D44F86"/>
    <w:rsid w:val="00D45D16"/>
    <w:rsid w:val="00D46609"/>
    <w:rsid w:val="00D467E0"/>
    <w:rsid w:val="00D46924"/>
    <w:rsid w:val="00D46D82"/>
    <w:rsid w:val="00D479C7"/>
    <w:rsid w:val="00D47A9C"/>
    <w:rsid w:val="00D47B8F"/>
    <w:rsid w:val="00D47BF6"/>
    <w:rsid w:val="00D47D4E"/>
    <w:rsid w:val="00D506CC"/>
    <w:rsid w:val="00D508F8"/>
    <w:rsid w:val="00D50C23"/>
    <w:rsid w:val="00D522D7"/>
    <w:rsid w:val="00D52A72"/>
    <w:rsid w:val="00D54191"/>
    <w:rsid w:val="00D544F2"/>
    <w:rsid w:val="00D55490"/>
    <w:rsid w:val="00D5607D"/>
    <w:rsid w:val="00D5754B"/>
    <w:rsid w:val="00D5787C"/>
    <w:rsid w:val="00D57A12"/>
    <w:rsid w:val="00D57C59"/>
    <w:rsid w:val="00D57D96"/>
    <w:rsid w:val="00D604A7"/>
    <w:rsid w:val="00D60C62"/>
    <w:rsid w:val="00D60D12"/>
    <w:rsid w:val="00D6172F"/>
    <w:rsid w:val="00D617C4"/>
    <w:rsid w:val="00D61B32"/>
    <w:rsid w:val="00D61BF2"/>
    <w:rsid w:val="00D62FC5"/>
    <w:rsid w:val="00D641E6"/>
    <w:rsid w:val="00D64DE8"/>
    <w:rsid w:val="00D6534D"/>
    <w:rsid w:val="00D657FC"/>
    <w:rsid w:val="00D65CF6"/>
    <w:rsid w:val="00D660D5"/>
    <w:rsid w:val="00D662AA"/>
    <w:rsid w:val="00D66A5A"/>
    <w:rsid w:val="00D67083"/>
    <w:rsid w:val="00D67BA4"/>
    <w:rsid w:val="00D70140"/>
    <w:rsid w:val="00D70157"/>
    <w:rsid w:val="00D703B8"/>
    <w:rsid w:val="00D70589"/>
    <w:rsid w:val="00D70BB9"/>
    <w:rsid w:val="00D71044"/>
    <w:rsid w:val="00D714FF"/>
    <w:rsid w:val="00D719A5"/>
    <w:rsid w:val="00D7247D"/>
    <w:rsid w:val="00D726A2"/>
    <w:rsid w:val="00D72AE6"/>
    <w:rsid w:val="00D72D3E"/>
    <w:rsid w:val="00D738AF"/>
    <w:rsid w:val="00D73E2A"/>
    <w:rsid w:val="00D74052"/>
    <w:rsid w:val="00D74936"/>
    <w:rsid w:val="00D75056"/>
    <w:rsid w:val="00D752FF"/>
    <w:rsid w:val="00D76B04"/>
    <w:rsid w:val="00D77EE9"/>
    <w:rsid w:val="00D80370"/>
    <w:rsid w:val="00D80A31"/>
    <w:rsid w:val="00D80BCF"/>
    <w:rsid w:val="00D8111C"/>
    <w:rsid w:val="00D81E0E"/>
    <w:rsid w:val="00D821CD"/>
    <w:rsid w:val="00D82A82"/>
    <w:rsid w:val="00D853AC"/>
    <w:rsid w:val="00D8564A"/>
    <w:rsid w:val="00D85847"/>
    <w:rsid w:val="00D85D09"/>
    <w:rsid w:val="00D85F9C"/>
    <w:rsid w:val="00D867E9"/>
    <w:rsid w:val="00D8766E"/>
    <w:rsid w:val="00D904EF"/>
    <w:rsid w:val="00D90FCE"/>
    <w:rsid w:val="00D910D9"/>
    <w:rsid w:val="00D91214"/>
    <w:rsid w:val="00D91FEF"/>
    <w:rsid w:val="00D92C0D"/>
    <w:rsid w:val="00D938A7"/>
    <w:rsid w:val="00D93BF7"/>
    <w:rsid w:val="00D94891"/>
    <w:rsid w:val="00D95DBA"/>
    <w:rsid w:val="00D963BE"/>
    <w:rsid w:val="00D96A60"/>
    <w:rsid w:val="00D9776D"/>
    <w:rsid w:val="00D977F0"/>
    <w:rsid w:val="00D97DB5"/>
    <w:rsid w:val="00D97F54"/>
    <w:rsid w:val="00D97F5B"/>
    <w:rsid w:val="00DA01FF"/>
    <w:rsid w:val="00DA0B37"/>
    <w:rsid w:val="00DA0C88"/>
    <w:rsid w:val="00DA205C"/>
    <w:rsid w:val="00DA22AF"/>
    <w:rsid w:val="00DA247F"/>
    <w:rsid w:val="00DA28D7"/>
    <w:rsid w:val="00DA2E45"/>
    <w:rsid w:val="00DA4090"/>
    <w:rsid w:val="00DA4324"/>
    <w:rsid w:val="00DA4384"/>
    <w:rsid w:val="00DA4D95"/>
    <w:rsid w:val="00DA5507"/>
    <w:rsid w:val="00DA56E6"/>
    <w:rsid w:val="00DB0F88"/>
    <w:rsid w:val="00DB1529"/>
    <w:rsid w:val="00DB1A08"/>
    <w:rsid w:val="00DB2079"/>
    <w:rsid w:val="00DB274C"/>
    <w:rsid w:val="00DB35D1"/>
    <w:rsid w:val="00DB3DF7"/>
    <w:rsid w:val="00DB42C6"/>
    <w:rsid w:val="00DB4CE9"/>
    <w:rsid w:val="00DB5060"/>
    <w:rsid w:val="00DB5AAB"/>
    <w:rsid w:val="00DB5C54"/>
    <w:rsid w:val="00DB5FC5"/>
    <w:rsid w:val="00DB63E1"/>
    <w:rsid w:val="00DB6C69"/>
    <w:rsid w:val="00DB6EB5"/>
    <w:rsid w:val="00DB72AE"/>
    <w:rsid w:val="00DB7773"/>
    <w:rsid w:val="00DC0307"/>
    <w:rsid w:val="00DC048A"/>
    <w:rsid w:val="00DC08EE"/>
    <w:rsid w:val="00DC0BFC"/>
    <w:rsid w:val="00DC16DD"/>
    <w:rsid w:val="00DC1A1B"/>
    <w:rsid w:val="00DC209C"/>
    <w:rsid w:val="00DC271F"/>
    <w:rsid w:val="00DC2819"/>
    <w:rsid w:val="00DC3B09"/>
    <w:rsid w:val="00DC3DE1"/>
    <w:rsid w:val="00DC4055"/>
    <w:rsid w:val="00DC4649"/>
    <w:rsid w:val="00DC4F69"/>
    <w:rsid w:val="00DC5060"/>
    <w:rsid w:val="00DC5100"/>
    <w:rsid w:val="00DC511A"/>
    <w:rsid w:val="00DC5776"/>
    <w:rsid w:val="00DC5951"/>
    <w:rsid w:val="00DC5DE5"/>
    <w:rsid w:val="00DC5E24"/>
    <w:rsid w:val="00DC6208"/>
    <w:rsid w:val="00DC646F"/>
    <w:rsid w:val="00DC7677"/>
    <w:rsid w:val="00DC786E"/>
    <w:rsid w:val="00DD051A"/>
    <w:rsid w:val="00DD0976"/>
    <w:rsid w:val="00DD1831"/>
    <w:rsid w:val="00DD23A2"/>
    <w:rsid w:val="00DD2563"/>
    <w:rsid w:val="00DD298A"/>
    <w:rsid w:val="00DD2E61"/>
    <w:rsid w:val="00DD2FD6"/>
    <w:rsid w:val="00DD310D"/>
    <w:rsid w:val="00DD3408"/>
    <w:rsid w:val="00DD3585"/>
    <w:rsid w:val="00DD470F"/>
    <w:rsid w:val="00DD4F63"/>
    <w:rsid w:val="00DD5BED"/>
    <w:rsid w:val="00DD66E7"/>
    <w:rsid w:val="00DD67BC"/>
    <w:rsid w:val="00DD6CBE"/>
    <w:rsid w:val="00DD6DAC"/>
    <w:rsid w:val="00DD6E4C"/>
    <w:rsid w:val="00DD7012"/>
    <w:rsid w:val="00DD7319"/>
    <w:rsid w:val="00DD75AF"/>
    <w:rsid w:val="00DD79B9"/>
    <w:rsid w:val="00DE139A"/>
    <w:rsid w:val="00DE165D"/>
    <w:rsid w:val="00DE19E9"/>
    <w:rsid w:val="00DE1E5E"/>
    <w:rsid w:val="00DE1EFA"/>
    <w:rsid w:val="00DE2844"/>
    <w:rsid w:val="00DE2A83"/>
    <w:rsid w:val="00DE2A95"/>
    <w:rsid w:val="00DE2AD1"/>
    <w:rsid w:val="00DE32AA"/>
    <w:rsid w:val="00DE36B7"/>
    <w:rsid w:val="00DE3E92"/>
    <w:rsid w:val="00DE4169"/>
    <w:rsid w:val="00DE5D02"/>
    <w:rsid w:val="00DE6DB9"/>
    <w:rsid w:val="00DE7003"/>
    <w:rsid w:val="00DE7083"/>
    <w:rsid w:val="00DE763A"/>
    <w:rsid w:val="00DE7A46"/>
    <w:rsid w:val="00DE7AF3"/>
    <w:rsid w:val="00DF0232"/>
    <w:rsid w:val="00DF03E8"/>
    <w:rsid w:val="00DF1604"/>
    <w:rsid w:val="00DF1705"/>
    <w:rsid w:val="00DF22D7"/>
    <w:rsid w:val="00DF2C65"/>
    <w:rsid w:val="00DF34EB"/>
    <w:rsid w:val="00DF3F20"/>
    <w:rsid w:val="00DF4722"/>
    <w:rsid w:val="00DF4BE0"/>
    <w:rsid w:val="00DF7050"/>
    <w:rsid w:val="00DF7392"/>
    <w:rsid w:val="00DF7882"/>
    <w:rsid w:val="00DF7ED4"/>
    <w:rsid w:val="00E010F3"/>
    <w:rsid w:val="00E016E8"/>
    <w:rsid w:val="00E022B7"/>
    <w:rsid w:val="00E02A3C"/>
    <w:rsid w:val="00E03231"/>
    <w:rsid w:val="00E0353D"/>
    <w:rsid w:val="00E03E07"/>
    <w:rsid w:val="00E04083"/>
    <w:rsid w:val="00E04387"/>
    <w:rsid w:val="00E04C16"/>
    <w:rsid w:val="00E054F1"/>
    <w:rsid w:val="00E056A6"/>
    <w:rsid w:val="00E05989"/>
    <w:rsid w:val="00E05BD8"/>
    <w:rsid w:val="00E061E9"/>
    <w:rsid w:val="00E06FCC"/>
    <w:rsid w:val="00E074FE"/>
    <w:rsid w:val="00E07C49"/>
    <w:rsid w:val="00E10296"/>
    <w:rsid w:val="00E11907"/>
    <w:rsid w:val="00E119D9"/>
    <w:rsid w:val="00E11C73"/>
    <w:rsid w:val="00E12308"/>
    <w:rsid w:val="00E13789"/>
    <w:rsid w:val="00E13EFC"/>
    <w:rsid w:val="00E141E6"/>
    <w:rsid w:val="00E14210"/>
    <w:rsid w:val="00E14374"/>
    <w:rsid w:val="00E143D4"/>
    <w:rsid w:val="00E1467B"/>
    <w:rsid w:val="00E14A91"/>
    <w:rsid w:val="00E1529F"/>
    <w:rsid w:val="00E1581D"/>
    <w:rsid w:val="00E15B91"/>
    <w:rsid w:val="00E15E91"/>
    <w:rsid w:val="00E168D1"/>
    <w:rsid w:val="00E17274"/>
    <w:rsid w:val="00E17654"/>
    <w:rsid w:val="00E17BC7"/>
    <w:rsid w:val="00E205FB"/>
    <w:rsid w:val="00E20B76"/>
    <w:rsid w:val="00E20C92"/>
    <w:rsid w:val="00E20D69"/>
    <w:rsid w:val="00E20DA0"/>
    <w:rsid w:val="00E210F2"/>
    <w:rsid w:val="00E21757"/>
    <w:rsid w:val="00E21D48"/>
    <w:rsid w:val="00E225F2"/>
    <w:rsid w:val="00E22A14"/>
    <w:rsid w:val="00E22D04"/>
    <w:rsid w:val="00E23958"/>
    <w:rsid w:val="00E23CF1"/>
    <w:rsid w:val="00E2407D"/>
    <w:rsid w:val="00E243ED"/>
    <w:rsid w:val="00E2487C"/>
    <w:rsid w:val="00E24974"/>
    <w:rsid w:val="00E249ED"/>
    <w:rsid w:val="00E2563E"/>
    <w:rsid w:val="00E25646"/>
    <w:rsid w:val="00E25694"/>
    <w:rsid w:val="00E258AC"/>
    <w:rsid w:val="00E258B2"/>
    <w:rsid w:val="00E25AE4"/>
    <w:rsid w:val="00E25B05"/>
    <w:rsid w:val="00E25CF9"/>
    <w:rsid w:val="00E25DD0"/>
    <w:rsid w:val="00E25F2D"/>
    <w:rsid w:val="00E26431"/>
    <w:rsid w:val="00E27379"/>
    <w:rsid w:val="00E27E5B"/>
    <w:rsid w:val="00E27E60"/>
    <w:rsid w:val="00E3015E"/>
    <w:rsid w:val="00E30A90"/>
    <w:rsid w:val="00E30DA7"/>
    <w:rsid w:val="00E3102F"/>
    <w:rsid w:val="00E31137"/>
    <w:rsid w:val="00E313A9"/>
    <w:rsid w:val="00E31514"/>
    <w:rsid w:val="00E31918"/>
    <w:rsid w:val="00E3242F"/>
    <w:rsid w:val="00E3363D"/>
    <w:rsid w:val="00E34A8A"/>
    <w:rsid w:val="00E34B35"/>
    <w:rsid w:val="00E35AFF"/>
    <w:rsid w:val="00E35F96"/>
    <w:rsid w:val="00E36A04"/>
    <w:rsid w:val="00E36C05"/>
    <w:rsid w:val="00E36D60"/>
    <w:rsid w:val="00E4085D"/>
    <w:rsid w:val="00E40AC9"/>
    <w:rsid w:val="00E40D1B"/>
    <w:rsid w:val="00E40F00"/>
    <w:rsid w:val="00E4134B"/>
    <w:rsid w:val="00E41F59"/>
    <w:rsid w:val="00E425DA"/>
    <w:rsid w:val="00E425E4"/>
    <w:rsid w:val="00E42F5E"/>
    <w:rsid w:val="00E43112"/>
    <w:rsid w:val="00E436ED"/>
    <w:rsid w:val="00E43C78"/>
    <w:rsid w:val="00E43D3E"/>
    <w:rsid w:val="00E45EB1"/>
    <w:rsid w:val="00E4659E"/>
    <w:rsid w:val="00E46E0D"/>
    <w:rsid w:val="00E471BA"/>
    <w:rsid w:val="00E47439"/>
    <w:rsid w:val="00E51015"/>
    <w:rsid w:val="00E51425"/>
    <w:rsid w:val="00E51E47"/>
    <w:rsid w:val="00E522A0"/>
    <w:rsid w:val="00E522F5"/>
    <w:rsid w:val="00E523EF"/>
    <w:rsid w:val="00E53030"/>
    <w:rsid w:val="00E53ABA"/>
    <w:rsid w:val="00E53C19"/>
    <w:rsid w:val="00E542F9"/>
    <w:rsid w:val="00E55044"/>
    <w:rsid w:val="00E550EC"/>
    <w:rsid w:val="00E5587A"/>
    <w:rsid w:val="00E55EB2"/>
    <w:rsid w:val="00E564C5"/>
    <w:rsid w:val="00E56FE3"/>
    <w:rsid w:val="00E57991"/>
    <w:rsid w:val="00E60028"/>
    <w:rsid w:val="00E60152"/>
    <w:rsid w:val="00E60424"/>
    <w:rsid w:val="00E604BD"/>
    <w:rsid w:val="00E60769"/>
    <w:rsid w:val="00E60784"/>
    <w:rsid w:val="00E607E4"/>
    <w:rsid w:val="00E6094F"/>
    <w:rsid w:val="00E61580"/>
    <w:rsid w:val="00E62A6B"/>
    <w:rsid w:val="00E62BA9"/>
    <w:rsid w:val="00E62BE9"/>
    <w:rsid w:val="00E63434"/>
    <w:rsid w:val="00E63712"/>
    <w:rsid w:val="00E6378A"/>
    <w:rsid w:val="00E63A6A"/>
    <w:rsid w:val="00E64403"/>
    <w:rsid w:val="00E64D9B"/>
    <w:rsid w:val="00E64F1E"/>
    <w:rsid w:val="00E65535"/>
    <w:rsid w:val="00E656D1"/>
    <w:rsid w:val="00E665F8"/>
    <w:rsid w:val="00E66BF3"/>
    <w:rsid w:val="00E66EF5"/>
    <w:rsid w:val="00E67CEF"/>
    <w:rsid w:val="00E70287"/>
    <w:rsid w:val="00E70B97"/>
    <w:rsid w:val="00E71130"/>
    <w:rsid w:val="00E71D13"/>
    <w:rsid w:val="00E72353"/>
    <w:rsid w:val="00E7333F"/>
    <w:rsid w:val="00E7403D"/>
    <w:rsid w:val="00E7549A"/>
    <w:rsid w:val="00E758AF"/>
    <w:rsid w:val="00E75A8A"/>
    <w:rsid w:val="00E76799"/>
    <w:rsid w:val="00E76CA1"/>
    <w:rsid w:val="00E77003"/>
    <w:rsid w:val="00E77455"/>
    <w:rsid w:val="00E7762B"/>
    <w:rsid w:val="00E82397"/>
    <w:rsid w:val="00E8244A"/>
    <w:rsid w:val="00E8295F"/>
    <w:rsid w:val="00E82E43"/>
    <w:rsid w:val="00E8374F"/>
    <w:rsid w:val="00E83BC5"/>
    <w:rsid w:val="00E844A1"/>
    <w:rsid w:val="00E84622"/>
    <w:rsid w:val="00E84E02"/>
    <w:rsid w:val="00E8574E"/>
    <w:rsid w:val="00E85CF6"/>
    <w:rsid w:val="00E863A3"/>
    <w:rsid w:val="00E872DC"/>
    <w:rsid w:val="00E879B3"/>
    <w:rsid w:val="00E87A5F"/>
    <w:rsid w:val="00E907D2"/>
    <w:rsid w:val="00E907E0"/>
    <w:rsid w:val="00E908C4"/>
    <w:rsid w:val="00E90BFA"/>
    <w:rsid w:val="00E91340"/>
    <w:rsid w:val="00E915CF"/>
    <w:rsid w:val="00E916DE"/>
    <w:rsid w:val="00E91EB7"/>
    <w:rsid w:val="00E91F2C"/>
    <w:rsid w:val="00E92056"/>
    <w:rsid w:val="00E92094"/>
    <w:rsid w:val="00E9258A"/>
    <w:rsid w:val="00E92E1A"/>
    <w:rsid w:val="00E930B7"/>
    <w:rsid w:val="00E933C6"/>
    <w:rsid w:val="00E93718"/>
    <w:rsid w:val="00E95A1E"/>
    <w:rsid w:val="00E95E8D"/>
    <w:rsid w:val="00E96365"/>
    <w:rsid w:val="00E964B9"/>
    <w:rsid w:val="00E96AC0"/>
    <w:rsid w:val="00E96ED1"/>
    <w:rsid w:val="00E97608"/>
    <w:rsid w:val="00EA1093"/>
    <w:rsid w:val="00EA124E"/>
    <w:rsid w:val="00EA18BE"/>
    <w:rsid w:val="00EA1ED9"/>
    <w:rsid w:val="00EA2254"/>
    <w:rsid w:val="00EA22F3"/>
    <w:rsid w:val="00EA2B4B"/>
    <w:rsid w:val="00EA3331"/>
    <w:rsid w:val="00EA3808"/>
    <w:rsid w:val="00EA3E90"/>
    <w:rsid w:val="00EA3ED2"/>
    <w:rsid w:val="00EA47AB"/>
    <w:rsid w:val="00EA56E4"/>
    <w:rsid w:val="00EA582A"/>
    <w:rsid w:val="00EA5D7F"/>
    <w:rsid w:val="00EA6604"/>
    <w:rsid w:val="00EA6623"/>
    <w:rsid w:val="00EA6A76"/>
    <w:rsid w:val="00EA6C53"/>
    <w:rsid w:val="00EA7526"/>
    <w:rsid w:val="00EA7C45"/>
    <w:rsid w:val="00EB0584"/>
    <w:rsid w:val="00EB0B4E"/>
    <w:rsid w:val="00EB0C3A"/>
    <w:rsid w:val="00EB1102"/>
    <w:rsid w:val="00EB1934"/>
    <w:rsid w:val="00EB1EC2"/>
    <w:rsid w:val="00EB2569"/>
    <w:rsid w:val="00EB281E"/>
    <w:rsid w:val="00EB292D"/>
    <w:rsid w:val="00EB2D1E"/>
    <w:rsid w:val="00EB35B5"/>
    <w:rsid w:val="00EB4012"/>
    <w:rsid w:val="00EB5DAE"/>
    <w:rsid w:val="00EB61EA"/>
    <w:rsid w:val="00EB638C"/>
    <w:rsid w:val="00EB6400"/>
    <w:rsid w:val="00EB6711"/>
    <w:rsid w:val="00EB67A3"/>
    <w:rsid w:val="00EB6C3B"/>
    <w:rsid w:val="00EB709B"/>
    <w:rsid w:val="00EB7502"/>
    <w:rsid w:val="00EB7766"/>
    <w:rsid w:val="00EB78D2"/>
    <w:rsid w:val="00EB7B97"/>
    <w:rsid w:val="00EB7E63"/>
    <w:rsid w:val="00EC083B"/>
    <w:rsid w:val="00EC0F9A"/>
    <w:rsid w:val="00EC101E"/>
    <w:rsid w:val="00EC149C"/>
    <w:rsid w:val="00EC197F"/>
    <w:rsid w:val="00EC1D99"/>
    <w:rsid w:val="00EC1E7F"/>
    <w:rsid w:val="00EC2915"/>
    <w:rsid w:val="00EC2C57"/>
    <w:rsid w:val="00EC326F"/>
    <w:rsid w:val="00EC32B4"/>
    <w:rsid w:val="00EC35F7"/>
    <w:rsid w:val="00EC4100"/>
    <w:rsid w:val="00EC4281"/>
    <w:rsid w:val="00EC4B51"/>
    <w:rsid w:val="00EC52A6"/>
    <w:rsid w:val="00EC5AF8"/>
    <w:rsid w:val="00EC5EC8"/>
    <w:rsid w:val="00EC604B"/>
    <w:rsid w:val="00EC6480"/>
    <w:rsid w:val="00EC68BF"/>
    <w:rsid w:val="00EC7A7B"/>
    <w:rsid w:val="00ED0184"/>
    <w:rsid w:val="00ED146A"/>
    <w:rsid w:val="00ED1911"/>
    <w:rsid w:val="00ED194F"/>
    <w:rsid w:val="00ED1E8B"/>
    <w:rsid w:val="00ED276C"/>
    <w:rsid w:val="00ED27EB"/>
    <w:rsid w:val="00ED2AF0"/>
    <w:rsid w:val="00ED339A"/>
    <w:rsid w:val="00ED3F01"/>
    <w:rsid w:val="00ED40E6"/>
    <w:rsid w:val="00ED41D6"/>
    <w:rsid w:val="00ED4341"/>
    <w:rsid w:val="00ED4751"/>
    <w:rsid w:val="00ED4B9F"/>
    <w:rsid w:val="00ED5392"/>
    <w:rsid w:val="00ED5B65"/>
    <w:rsid w:val="00ED66A5"/>
    <w:rsid w:val="00ED7079"/>
    <w:rsid w:val="00ED713D"/>
    <w:rsid w:val="00ED7282"/>
    <w:rsid w:val="00ED7453"/>
    <w:rsid w:val="00ED7595"/>
    <w:rsid w:val="00ED7E63"/>
    <w:rsid w:val="00EE04CE"/>
    <w:rsid w:val="00EE0666"/>
    <w:rsid w:val="00EE0762"/>
    <w:rsid w:val="00EE1628"/>
    <w:rsid w:val="00EE1BA5"/>
    <w:rsid w:val="00EE29A5"/>
    <w:rsid w:val="00EE2B1B"/>
    <w:rsid w:val="00EE2DCC"/>
    <w:rsid w:val="00EE313B"/>
    <w:rsid w:val="00EE3DB2"/>
    <w:rsid w:val="00EE492D"/>
    <w:rsid w:val="00EE500A"/>
    <w:rsid w:val="00EE579C"/>
    <w:rsid w:val="00EE743C"/>
    <w:rsid w:val="00EE79F7"/>
    <w:rsid w:val="00EE7CA1"/>
    <w:rsid w:val="00EF05F6"/>
    <w:rsid w:val="00EF0821"/>
    <w:rsid w:val="00EF0944"/>
    <w:rsid w:val="00EF0A8D"/>
    <w:rsid w:val="00EF1825"/>
    <w:rsid w:val="00EF1AF7"/>
    <w:rsid w:val="00EF209D"/>
    <w:rsid w:val="00EF2B1A"/>
    <w:rsid w:val="00EF2CC8"/>
    <w:rsid w:val="00EF2E9F"/>
    <w:rsid w:val="00EF34A2"/>
    <w:rsid w:val="00EF52CF"/>
    <w:rsid w:val="00EF5973"/>
    <w:rsid w:val="00EF5E71"/>
    <w:rsid w:val="00EF6487"/>
    <w:rsid w:val="00EF661E"/>
    <w:rsid w:val="00EF66C6"/>
    <w:rsid w:val="00EF6A15"/>
    <w:rsid w:val="00EF6A6C"/>
    <w:rsid w:val="00EF71C9"/>
    <w:rsid w:val="00EF7825"/>
    <w:rsid w:val="00EF787F"/>
    <w:rsid w:val="00EF7C59"/>
    <w:rsid w:val="00F013DE"/>
    <w:rsid w:val="00F0147A"/>
    <w:rsid w:val="00F0184D"/>
    <w:rsid w:val="00F019CF"/>
    <w:rsid w:val="00F01C83"/>
    <w:rsid w:val="00F0228C"/>
    <w:rsid w:val="00F0231E"/>
    <w:rsid w:val="00F025A9"/>
    <w:rsid w:val="00F02A33"/>
    <w:rsid w:val="00F02E2C"/>
    <w:rsid w:val="00F034CF"/>
    <w:rsid w:val="00F0395B"/>
    <w:rsid w:val="00F03ACC"/>
    <w:rsid w:val="00F041EF"/>
    <w:rsid w:val="00F0487D"/>
    <w:rsid w:val="00F053B9"/>
    <w:rsid w:val="00F05934"/>
    <w:rsid w:val="00F059D5"/>
    <w:rsid w:val="00F05CE5"/>
    <w:rsid w:val="00F05CEC"/>
    <w:rsid w:val="00F06130"/>
    <w:rsid w:val="00F0671E"/>
    <w:rsid w:val="00F06BAE"/>
    <w:rsid w:val="00F07468"/>
    <w:rsid w:val="00F1093E"/>
    <w:rsid w:val="00F11132"/>
    <w:rsid w:val="00F11369"/>
    <w:rsid w:val="00F11BB9"/>
    <w:rsid w:val="00F11C3B"/>
    <w:rsid w:val="00F11CDA"/>
    <w:rsid w:val="00F11D82"/>
    <w:rsid w:val="00F11DF8"/>
    <w:rsid w:val="00F12699"/>
    <w:rsid w:val="00F1274E"/>
    <w:rsid w:val="00F1281A"/>
    <w:rsid w:val="00F13726"/>
    <w:rsid w:val="00F13D27"/>
    <w:rsid w:val="00F1414F"/>
    <w:rsid w:val="00F14608"/>
    <w:rsid w:val="00F147AD"/>
    <w:rsid w:val="00F14DA8"/>
    <w:rsid w:val="00F15352"/>
    <w:rsid w:val="00F15382"/>
    <w:rsid w:val="00F15CB4"/>
    <w:rsid w:val="00F163AB"/>
    <w:rsid w:val="00F177DF"/>
    <w:rsid w:val="00F17B07"/>
    <w:rsid w:val="00F17FEE"/>
    <w:rsid w:val="00F20B7D"/>
    <w:rsid w:val="00F20CBD"/>
    <w:rsid w:val="00F20E70"/>
    <w:rsid w:val="00F20F88"/>
    <w:rsid w:val="00F21094"/>
    <w:rsid w:val="00F212A5"/>
    <w:rsid w:val="00F21627"/>
    <w:rsid w:val="00F21799"/>
    <w:rsid w:val="00F225B7"/>
    <w:rsid w:val="00F229A4"/>
    <w:rsid w:val="00F23FA8"/>
    <w:rsid w:val="00F24140"/>
    <w:rsid w:val="00F24C99"/>
    <w:rsid w:val="00F24DE8"/>
    <w:rsid w:val="00F25180"/>
    <w:rsid w:val="00F25796"/>
    <w:rsid w:val="00F25CF7"/>
    <w:rsid w:val="00F25F72"/>
    <w:rsid w:val="00F25FE3"/>
    <w:rsid w:val="00F265DE"/>
    <w:rsid w:val="00F26868"/>
    <w:rsid w:val="00F26DF8"/>
    <w:rsid w:val="00F27FA9"/>
    <w:rsid w:val="00F3080D"/>
    <w:rsid w:val="00F30A70"/>
    <w:rsid w:val="00F31A22"/>
    <w:rsid w:val="00F3239E"/>
    <w:rsid w:val="00F323DC"/>
    <w:rsid w:val="00F3272C"/>
    <w:rsid w:val="00F329D9"/>
    <w:rsid w:val="00F32B71"/>
    <w:rsid w:val="00F33531"/>
    <w:rsid w:val="00F339AB"/>
    <w:rsid w:val="00F33B08"/>
    <w:rsid w:val="00F343F1"/>
    <w:rsid w:val="00F34FDF"/>
    <w:rsid w:val="00F35803"/>
    <w:rsid w:val="00F35893"/>
    <w:rsid w:val="00F35D1F"/>
    <w:rsid w:val="00F35DC7"/>
    <w:rsid w:val="00F3660E"/>
    <w:rsid w:val="00F367AC"/>
    <w:rsid w:val="00F36AAD"/>
    <w:rsid w:val="00F36F13"/>
    <w:rsid w:val="00F373A7"/>
    <w:rsid w:val="00F37CC2"/>
    <w:rsid w:val="00F40526"/>
    <w:rsid w:val="00F415CD"/>
    <w:rsid w:val="00F4190E"/>
    <w:rsid w:val="00F4206B"/>
    <w:rsid w:val="00F420A1"/>
    <w:rsid w:val="00F4243C"/>
    <w:rsid w:val="00F4299D"/>
    <w:rsid w:val="00F43461"/>
    <w:rsid w:val="00F4435E"/>
    <w:rsid w:val="00F444E3"/>
    <w:rsid w:val="00F44E34"/>
    <w:rsid w:val="00F4509B"/>
    <w:rsid w:val="00F45253"/>
    <w:rsid w:val="00F45DBE"/>
    <w:rsid w:val="00F45E2D"/>
    <w:rsid w:val="00F45F5D"/>
    <w:rsid w:val="00F468D6"/>
    <w:rsid w:val="00F479AD"/>
    <w:rsid w:val="00F5172F"/>
    <w:rsid w:val="00F51B7D"/>
    <w:rsid w:val="00F51C62"/>
    <w:rsid w:val="00F5271C"/>
    <w:rsid w:val="00F52A42"/>
    <w:rsid w:val="00F532A7"/>
    <w:rsid w:val="00F541C6"/>
    <w:rsid w:val="00F544AB"/>
    <w:rsid w:val="00F54775"/>
    <w:rsid w:val="00F547F1"/>
    <w:rsid w:val="00F54A5D"/>
    <w:rsid w:val="00F54BE7"/>
    <w:rsid w:val="00F54D12"/>
    <w:rsid w:val="00F56C9F"/>
    <w:rsid w:val="00F56CC7"/>
    <w:rsid w:val="00F56D88"/>
    <w:rsid w:val="00F57799"/>
    <w:rsid w:val="00F5795D"/>
    <w:rsid w:val="00F57AB1"/>
    <w:rsid w:val="00F57EA9"/>
    <w:rsid w:val="00F605A9"/>
    <w:rsid w:val="00F61080"/>
    <w:rsid w:val="00F614AA"/>
    <w:rsid w:val="00F618B5"/>
    <w:rsid w:val="00F61E31"/>
    <w:rsid w:val="00F62E80"/>
    <w:rsid w:val="00F6362D"/>
    <w:rsid w:val="00F63976"/>
    <w:rsid w:val="00F65AEF"/>
    <w:rsid w:val="00F66A0D"/>
    <w:rsid w:val="00F66D6C"/>
    <w:rsid w:val="00F67248"/>
    <w:rsid w:val="00F675BC"/>
    <w:rsid w:val="00F6774E"/>
    <w:rsid w:val="00F70147"/>
    <w:rsid w:val="00F70462"/>
    <w:rsid w:val="00F7058D"/>
    <w:rsid w:val="00F716C7"/>
    <w:rsid w:val="00F72D83"/>
    <w:rsid w:val="00F7320D"/>
    <w:rsid w:val="00F7340F"/>
    <w:rsid w:val="00F73CD5"/>
    <w:rsid w:val="00F73FB9"/>
    <w:rsid w:val="00F7411C"/>
    <w:rsid w:val="00F74386"/>
    <w:rsid w:val="00F7494B"/>
    <w:rsid w:val="00F74AC2"/>
    <w:rsid w:val="00F74B0D"/>
    <w:rsid w:val="00F74E53"/>
    <w:rsid w:val="00F7576C"/>
    <w:rsid w:val="00F75E43"/>
    <w:rsid w:val="00F76649"/>
    <w:rsid w:val="00F76D9E"/>
    <w:rsid w:val="00F76E38"/>
    <w:rsid w:val="00F76EE1"/>
    <w:rsid w:val="00F771A0"/>
    <w:rsid w:val="00F77275"/>
    <w:rsid w:val="00F773A4"/>
    <w:rsid w:val="00F77695"/>
    <w:rsid w:val="00F7788A"/>
    <w:rsid w:val="00F77E6A"/>
    <w:rsid w:val="00F8025A"/>
    <w:rsid w:val="00F806E4"/>
    <w:rsid w:val="00F80F10"/>
    <w:rsid w:val="00F815AF"/>
    <w:rsid w:val="00F817C8"/>
    <w:rsid w:val="00F8263E"/>
    <w:rsid w:val="00F826C3"/>
    <w:rsid w:val="00F82771"/>
    <w:rsid w:val="00F82B0F"/>
    <w:rsid w:val="00F82C85"/>
    <w:rsid w:val="00F8314A"/>
    <w:rsid w:val="00F8345B"/>
    <w:rsid w:val="00F83C53"/>
    <w:rsid w:val="00F83E94"/>
    <w:rsid w:val="00F84BA0"/>
    <w:rsid w:val="00F853FA"/>
    <w:rsid w:val="00F85716"/>
    <w:rsid w:val="00F85AE8"/>
    <w:rsid w:val="00F8614A"/>
    <w:rsid w:val="00F8631A"/>
    <w:rsid w:val="00F869D4"/>
    <w:rsid w:val="00F86D96"/>
    <w:rsid w:val="00F8777E"/>
    <w:rsid w:val="00F87ADC"/>
    <w:rsid w:val="00F87DBF"/>
    <w:rsid w:val="00F87F3C"/>
    <w:rsid w:val="00F903F5"/>
    <w:rsid w:val="00F90746"/>
    <w:rsid w:val="00F90FFB"/>
    <w:rsid w:val="00F910AD"/>
    <w:rsid w:val="00F9162B"/>
    <w:rsid w:val="00F918C5"/>
    <w:rsid w:val="00F91CA9"/>
    <w:rsid w:val="00F92210"/>
    <w:rsid w:val="00F92A74"/>
    <w:rsid w:val="00F92F5A"/>
    <w:rsid w:val="00F9397A"/>
    <w:rsid w:val="00F93F7D"/>
    <w:rsid w:val="00F94369"/>
    <w:rsid w:val="00F94902"/>
    <w:rsid w:val="00F94BE7"/>
    <w:rsid w:val="00F95695"/>
    <w:rsid w:val="00F95822"/>
    <w:rsid w:val="00F9598E"/>
    <w:rsid w:val="00F95F3C"/>
    <w:rsid w:val="00F962F2"/>
    <w:rsid w:val="00F963BD"/>
    <w:rsid w:val="00F9645E"/>
    <w:rsid w:val="00F96FDA"/>
    <w:rsid w:val="00F97124"/>
    <w:rsid w:val="00FA0056"/>
    <w:rsid w:val="00FA06E8"/>
    <w:rsid w:val="00FA092A"/>
    <w:rsid w:val="00FA0EED"/>
    <w:rsid w:val="00FA0F8B"/>
    <w:rsid w:val="00FA1039"/>
    <w:rsid w:val="00FA158F"/>
    <w:rsid w:val="00FA2C74"/>
    <w:rsid w:val="00FA2E44"/>
    <w:rsid w:val="00FA2EB6"/>
    <w:rsid w:val="00FA2F5E"/>
    <w:rsid w:val="00FA3661"/>
    <w:rsid w:val="00FA3D3D"/>
    <w:rsid w:val="00FA3EB4"/>
    <w:rsid w:val="00FA58DE"/>
    <w:rsid w:val="00FA5C81"/>
    <w:rsid w:val="00FA5D8E"/>
    <w:rsid w:val="00FA6878"/>
    <w:rsid w:val="00FA7755"/>
    <w:rsid w:val="00FA789F"/>
    <w:rsid w:val="00FA7FEE"/>
    <w:rsid w:val="00FB082F"/>
    <w:rsid w:val="00FB0893"/>
    <w:rsid w:val="00FB0EBA"/>
    <w:rsid w:val="00FB123B"/>
    <w:rsid w:val="00FB25EA"/>
    <w:rsid w:val="00FB2B19"/>
    <w:rsid w:val="00FB3264"/>
    <w:rsid w:val="00FB3622"/>
    <w:rsid w:val="00FB366B"/>
    <w:rsid w:val="00FB3A8D"/>
    <w:rsid w:val="00FB3BBD"/>
    <w:rsid w:val="00FB3D01"/>
    <w:rsid w:val="00FB4393"/>
    <w:rsid w:val="00FB5712"/>
    <w:rsid w:val="00FB6123"/>
    <w:rsid w:val="00FB679F"/>
    <w:rsid w:val="00FC088C"/>
    <w:rsid w:val="00FC09AA"/>
    <w:rsid w:val="00FC0D1B"/>
    <w:rsid w:val="00FC0E42"/>
    <w:rsid w:val="00FC1352"/>
    <w:rsid w:val="00FC1A1B"/>
    <w:rsid w:val="00FC1CE7"/>
    <w:rsid w:val="00FC27A1"/>
    <w:rsid w:val="00FC286A"/>
    <w:rsid w:val="00FC2987"/>
    <w:rsid w:val="00FC2E67"/>
    <w:rsid w:val="00FC30AF"/>
    <w:rsid w:val="00FC3233"/>
    <w:rsid w:val="00FC3475"/>
    <w:rsid w:val="00FC465D"/>
    <w:rsid w:val="00FC49F8"/>
    <w:rsid w:val="00FC4C84"/>
    <w:rsid w:val="00FC5A83"/>
    <w:rsid w:val="00FC5BEC"/>
    <w:rsid w:val="00FC60A3"/>
    <w:rsid w:val="00FC65A7"/>
    <w:rsid w:val="00FC69CD"/>
    <w:rsid w:val="00FC6ECC"/>
    <w:rsid w:val="00FC73D9"/>
    <w:rsid w:val="00FC7A76"/>
    <w:rsid w:val="00FD0854"/>
    <w:rsid w:val="00FD137B"/>
    <w:rsid w:val="00FD1CBE"/>
    <w:rsid w:val="00FD1E73"/>
    <w:rsid w:val="00FD20E4"/>
    <w:rsid w:val="00FD22C7"/>
    <w:rsid w:val="00FD2D61"/>
    <w:rsid w:val="00FD3F85"/>
    <w:rsid w:val="00FD40FA"/>
    <w:rsid w:val="00FD46A5"/>
    <w:rsid w:val="00FD48D0"/>
    <w:rsid w:val="00FD5C02"/>
    <w:rsid w:val="00FD600F"/>
    <w:rsid w:val="00FD655D"/>
    <w:rsid w:val="00FD66DC"/>
    <w:rsid w:val="00FD7158"/>
    <w:rsid w:val="00FD7584"/>
    <w:rsid w:val="00FD7C88"/>
    <w:rsid w:val="00FE0EB7"/>
    <w:rsid w:val="00FE0F96"/>
    <w:rsid w:val="00FE112E"/>
    <w:rsid w:val="00FE1B44"/>
    <w:rsid w:val="00FE2625"/>
    <w:rsid w:val="00FE2C42"/>
    <w:rsid w:val="00FE3835"/>
    <w:rsid w:val="00FE3D02"/>
    <w:rsid w:val="00FE3DC3"/>
    <w:rsid w:val="00FE3E27"/>
    <w:rsid w:val="00FE4010"/>
    <w:rsid w:val="00FE422A"/>
    <w:rsid w:val="00FE43E5"/>
    <w:rsid w:val="00FE4F9F"/>
    <w:rsid w:val="00FE634D"/>
    <w:rsid w:val="00FE6871"/>
    <w:rsid w:val="00FE6AFE"/>
    <w:rsid w:val="00FE6D38"/>
    <w:rsid w:val="00FE72BF"/>
    <w:rsid w:val="00FE7495"/>
    <w:rsid w:val="00FE794C"/>
    <w:rsid w:val="00FE7984"/>
    <w:rsid w:val="00FF00A0"/>
    <w:rsid w:val="00FF03BE"/>
    <w:rsid w:val="00FF0BC1"/>
    <w:rsid w:val="00FF13C4"/>
    <w:rsid w:val="00FF13D9"/>
    <w:rsid w:val="00FF1445"/>
    <w:rsid w:val="00FF1945"/>
    <w:rsid w:val="00FF1B92"/>
    <w:rsid w:val="00FF22EA"/>
    <w:rsid w:val="00FF2D23"/>
    <w:rsid w:val="00FF3001"/>
    <w:rsid w:val="00FF31AF"/>
    <w:rsid w:val="00FF3FDC"/>
    <w:rsid w:val="00FF4126"/>
    <w:rsid w:val="00FF4242"/>
    <w:rsid w:val="00FF4360"/>
    <w:rsid w:val="00FF5840"/>
    <w:rsid w:val="00FF5C61"/>
    <w:rsid w:val="00FF5D9C"/>
    <w:rsid w:val="00FF61CE"/>
    <w:rsid w:val="00FF63DC"/>
    <w:rsid w:val="00FF6A86"/>
    <w:rsid w:val="00FF707C"/>
    <w:rsid w:val="00FF77C1"/>
    <w:rsid w:val="00FF79E7"/>
    <w:rsid w:val="00FF79FE"/>
    <w:rsid w:val="00FF7AD3"/>
    <w:rsid w:val="00FF7EC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5]" stroke="f">
      <v:fill color="none [3215]"/>
      <v:stroke on="f"/>
    </o:shapedefaults>
    <o:shapelayout v:ext="edit">
      <o:idmap v:ext="edit" data="1"/>
    </o:shapelayout>
  </w:shapeDefaults>
  <w:decimalSymbol w:val="."/>
  <w:listSeparator w:val=","/>
  <w14:docId w14:val="5138B7BE"/>
  <w15:docId w15:val="{7985491A-3B36-4F96-91CB-561AB36B3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iPriority="99" w:unhideWhenUsed="1" w:qFormat="1"/>
    <w:lsdException w:name="heading 8" w:locked="0" w:semiHidden="1" w:unhideWhenUsed="1" w:qFormat="1"/>
    <w:lsdException w:name="heading 9" w:locked="0" w:semiHidden="1" w:uiPriority="99" w:unhideWhenUsed="1" w:qFormat="1"/>
    <w:lsdException w:name="index 1" w:locked="0" w:semiHidden="1" w:uiPriority="99"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99" w:unhideWhenUsed="1"/>
    <w:lsdException w:name="footnote text" w:locked="0"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locked="0" w:semiHidden="1" w:uiPriority="99" w:unhideWhenUsed="1"/>
    <w:lsdException w:name="caption" w:locked="0" w:semiHidden="1" w:unhideWhenUsed="1" w:qFormat="1"/>
    <w:lsdException w:name="table of figures" w:locked="0" w:semiHidden="1" w:uiPriority="99" w:unhideWhenUsed="1"/>
    <w:lsdException w:name="envelope address" w:semiHidden="1" w:uiPriority="99" w:unhideWhenUsed="1"/>
    <w:lsdException w:name="envelope return" w:semiHidden="1" w:uiPriority="99"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iPriority="99" w:unhideWhenUsed="1"/>
    <w:lsdException w:name="table of authorities" w:locked="0" w:semiHidden="1" w:uiPriority="99" w:unhideWhenUsed="1"/>
    <w:lsdException w:name="macro" w:semiHidden="1" w:uiPriority="99" w:unhideWhenUsed="1"/>
    <w:lsdException w:name="toa heading" w:locked="0" w:semiHidden="1" w:uiPriority="99" w:unhideWhenUsed="1"/>
    <w:lsdException w:name="List" w:semiHidden="1" w:unhideWhenUsed="1"/>
    <w:lsdException w:name="List Bullet" w:semiHidden="1" w:uiPriority="14"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uiPriority="99" w:qFormat="1"/>
    <w:lsdException w:name="Closing" w:locked="0" w:semiHidden="1" w:uiPriority="99" w:unhideWhenUsed="1"/>
    <w:lsdException w:name="Signature" w:locked="0" w:semiHidden="1" w:uiPriority="99" w:unhideWhenUsed="1"/>
    <w:lsdException w:name="Default Paragraph Font" w:locked="0"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locked="0" w:semiHidden="1" w:uiPriority="99" w:unhideWhenUsed="1"/>
    <w:lsdException w:name="Subtitle" w:locked="0" w:semiHidden="1" w:qFormat="1"/>
    <w:lsdException w:name="Salutation" w:locked="0" w:semiHidden="1" w:uiPriority="99" w:unhideWhenUsed="1"/>
    <w:lsdException w:name="Date" w:locked="0" w:uiPriority="99"/>
    <w:lsdException w:name="Body Text First Indent" w:semiHidden="1" w:uiPriority="99"/>
    <w:lsdException w:name="Body Text First Indent 2" w:semiHidden="1" w:uiPriority="99" w:unhideWhenUsed="1"/>
    <w:lsdException w:name="Note Heading" w:locked="0"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locked="0" w:semiHidden="1" w:uiPriority="99" w:unhideWhenUsed="1" w:qFormat="1"/>
    <w:lsdException w:name="Hyperlink" w:locked="0" w:semiHidden="1" w:uiPriority="99" w:unhideWhenUsed="1"/>
    <w:lsdException w:name="FollowedHyperlink" w:locked="0" w:semiHidden="1" w:unhideWhenUsed="1"/>
    <w:lsdException w:name="Strong" w:locked="0" w:qFormat="1"/>
    <w:lsdException w:name="Emphasis" w:uiPriority="20" w:qFormat="1"/>
    <w:lsdException w:name="Document Map" w:locked="0" w:semiHidden="1" w:uiPriority="99" w:unhideWhenUsed="1"/>
    <w:lsdException w:name="Plain Text" w:locked="0"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568BA"/>
    <w:pPr>
      <w:kinsoku w:val="0"/>
      <w:overflowPunct w:val="0"/>
      <w:autoSpaceDE w:val="0"/>
      <w:autoSpaceDN w:val="0"/>
      <w:adjustRightInd w:val="0"/>
      <w:snapToGrid w:val="0"/>
    </w:pPr>
    <w:rPr>
      <w:rFonts w:asciiTheme="minorHAnsi" w:hAnsiTheme="minorHAnsi" w:cs="Arial"/>
      <w:snapToGrid w:val="0"/>
      <w:color w:val="404040" w:themeColor="text1" w:themeTint="BF"/>
      <w:lang w:eastAsia="en-US"/>
    </w:rPr>
  </w:style>
  <w:style w:type="paragraph" w:styleId="Heading1">
    <w:name w:val="heading 1"/>
    <w:basedOn w:val="Normal"/>
    <w:next w:val="PwCNormal"/>
    <w:link w:val="Heading1Char"/>
    <w:qFormat/>
    <w:rsid w:val="00124924"/>
    <w:pPr>
      <w:outlineLvl w:val="0"/>
    </w:pPr>
    <w:rPr>
      <w:rFonts w:asciiTheme="majorHAnsi" w:hAnsiTheme="majorHAnsi"/>
      <w:bCs/>
      <w:color w:val="E0301E"/>
      <w:sz w:val="64"/>
      <w:szCs w:val="72"/>
    </w:rPr>
  </w:style>
  <w:style w:type="paragraph" w:styleId="Heading2">
    <w:name w:val="heading 2"/>
    <w:basedOn w:val="Normal"/>
    <w:next w:val="PwCNormal"/>
    <w:link w:val="Heading2Char"/>
    <w:qFormat/>
    <w:rsid w:val="004C748D"/>
    <w:pPr>
      <w:keepNext/>
      <w:keepLines/>
      <w:numPr>
        <w:ilvl w:val="1"/>
        <w:numId w:val="34"/>
      </w:numPr>
      <w:spacing w:after="240" w:line="400" w:lineRule="atLeast"/>
      <w:outlineLvl w:val="1"/>
    </w:pPr>
    <w:rPr>
      <w:rFonts w:asciiTheme="majorHAnsi" w:hAnsiTheme="majorHAnsi"/>
      <w:bCs/>
      <w:iCs/>
      <w:color w:val="E0301E"/>
      <w:sz w:val="40"/>
      <w:szCs w:val="36"/>
    </w:rPr>
  </w:style>
  <w:style w:type="paragraph" w:styleId="Heading3">
    <w:name w:val="heading 3"/>
    <w:basedOn w:val="Normal"/>
    <w:next w:val="PwCNormal"/>
    <w:link w:val="Heading3Char"/>
    <w:qFormat/>
    <w:rsid w:val="00BF7DB8"/>
    <w:pPr>
      <w:keepNext/>
      <w:numPr>
        <w:ilvl w:val="2"/>
        <w:numId w:val="34"/>
      </w:numPr>
      <w:spacing w:before="240" w:after="120"/>
      <w:outlineLvl w:val="2"/>
    </w:pPr>
    <w:rPr>
      <w:bCs/>
      <w:color w:val="E03028"/>
      <w:sz w:val="28"/>
    </w:rPr>
  </w:style>
  <w:style w:type="paragraph" w:styleId="Heading4">
    <w:name w:val="heading 4"/>
    <w:basedOn w:val="Normal"/>
    <w:next w:val="PwCNormal"/>
    <w:link w:val="Heading4Char"/>
    <w:qFormat/>
    <w:rsid w:val="00175A3C"/>
    <w:pPr>
      <w:keepNext/>
      <w:spacing w:before="240" w:after="120"/>
      <w:outlineLvl w:val="3"/>
    </w:pPr>
    <w:rPr>
      <w:bCs/>
      <w:color w:val="E03028"/>
      <w:sz w:val="24"/>
    </w:rPr>
  </w:style>
  <w:style w:type="paragraph" w:styleId="Heading5">
    <w:name w:val="heading 5"/>
    <w:basedOn w:val="Heading2"/>
    <w:next w:val="PwCNormal"/>
    <w:link w:val="Heading5Char"/>
    <w:qFormat/>
    <w:rsid w:val="00CD4A84"/>
    <w:pPr>
      <w:numPr>
        <w:ilvl w:val="0"/>
        <w:numId w:val="0"/>
      </w:numPr>
      <w:spacing w:before="360" w:line="380" w:lineRule="atLeast"/>
      <w:outlineLvl w:val="4"/>
    </w:pPr>
    <w:rPr>
      <w:bCs w:val="0"/>
      <w:iCs w:val="0"/>
      <w:sz w:val="32"/>
      <w:szCs w:val="32"/>
    </w:rPr>
  </w:style>
  <w:style w:type="paragraph" w:styleId="Heading6">
    <w:name w:val="heading 6"/>
    <w:basedOn w:val="Heading2"/>
    <w:next w:val="PwCNormal"/>
    <w:link w:val="Heading6Char"/>
    <w:qFormat/>
    <w:rsid w:val="008A65AF"/>
    <w:pPr>
      <w:spacing w:before="240" w:after="120" w:line="240" w:lineRule="auto"/>
      <w:outlineLvl w:val="5"/>
    </w:pPr>
    <w:rPr>
      <w:bCs w:val="0"/>
      <w:sz w:val="28"/>
    </w:rPr>
  </w:style>
  <w:style w:type="paragraph" w:styleId="Heading7">
    <w:name w:val="heading 7"/>
    <w:aliases w:val="Legal Level 1.1."/>
    <w:basedOn w:val="Heading6"/>
    <w:next w:val="PwCNormal"/>
    <w:link w:val="Heading7Char"/>
    <w:uiPriority w:val="99"/>
    <w:qFormat/>
    <w:rsid w:val="00CD4A84"/>
    <w:pPr>
      <w:outlineLvl w:val="6"/>
    </w:pPr>
    <w:rPr>
      <w:b/>
      <w:szCs w:val="28"/>
    </w:rPr>
  </w:style>
  <w:style w:type="paragraph" w:styleId="Heading8">
    <w:name w:val="heading 8"/>
    <w:aliases w:val="Legal Level 1.1.1."/>
    <w:basedOn w:val="Majorheading"/>
    <w:next w:val="PwCNormal"/>
    <w:link w:val="Heading8Char"/>
    <w:qFormat/>
    <w:rsid w:val="00CD4A84"/>
    <w:pPr>
      <w:numPr>
        <w:ilvl w:val="6"/>
        <w:numId w:val="34"/>
      </w:numPr>
      <w:outlineLvl w:val="7"/>
    </w:pPr>
    <w:rPr>
      <w:sz w:val="32"/>
      <w:szCs w:val="21"/>
    </w:rPr>
  </w:style>
  <w:style w:type="paragraph" w:styleId="Heading9">
    <w:name w:val="heading 9"/>
    <w:basedOn w:val="Heading8"/>
    <w:next w:val="PwCNormal"/>
    <w:link w:val="Heading9Char"/>
    <w:uiPriority w:val="99"/>
    <w:qFormat/>
    <w:rsid w:val="00CD4A84"/>
    <w:pPr>
      <w:numPr>
        <w:ilvl w:val="0"/>
        <w:numId w:val="0"/>
      </w:numPr>
      <w:outlineLvl w:val="8"/>
    </w:pPr>
    <w:rPr>
      <w:b w:val="0"/>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D4A84"/>
    <w:pPr>
      <w:tabs>
        <w:tab w:val="right" w:pos="8220"/>
      </w:tabs>
    </w:pPr>
    <w:rPr>
      <w:rFonts w:ascii="Arial" w:hAnsi="Arial"/>
      <w:sz w:val="19"/>
      <w:szCs w:val="18"/>
    </w:rPr>
  </w:style>
  <w:style w:type="paragraph" w:styleId="Footer">
    <w:name w:val="footer"/>
    <w:basedOn w:val="Normal"/>
    <w:link w:val="FooterChar"/>
    <w:uiPriority w:val="99"/>
    <w:rsid w:val="00CD4A84"/>
    <w:pPr>
      <w:tabs>
        <w:tab w:val="right" w:pos="8220"/>
      </w:tabs>
      <w:spacing w:line="0" w:lineRule="atLeast"/>
    </w:pPr>
    <w:rPr>
      <w:rFonts w:ascii="Arial" w:hAnsi="Arial"/>
      <w:sz w:val="19"/>
      <w:szCs w:val="18"/>
    </w:rPr>
  </w:style>
  <w:style w:type="paragraph" w:customStyle="1" w:styleId="Heading1TOC">
    <w:name w:val="Heading 1 TOC"/>
    <w:basedOn w:val="Heading1"/>
    <w:next w:val="PwCNormal"/>
    <w:uiPriority w:val="99"/>
    <w:unhideWhenUsed/>
    <w:rsid w:val="00143C1A"/>
    <w:rPr>
      <w:sz w:val="66"/>
    </w:rPr>
  </w:style>
  <w:style w:type="paragraph" w:customStyle="1" w:styleId="Covertitle">
    <w:name w:val="Cover title"/>
    <w:basedOn w:val="KeySentenceInside"/>
    <w:next w:val="HeadingCoverPageSecond"/>
    <w:uiPriority w:val="99"/>
    <w:rsid w:val="00CD4A84"/>
    <w:pPr>
      <w:framePr w:w="0" w:wrap="auto" w:vAnchor="margin" w:hAnchor="text" w:xAlign="left" w:yAlign="inline"/>
      <w:spacing w:before="200"/>
      <w:ind w:left="113"/>
      <w:jc w:val="center"/>
    </w:pPr>
    <w:rPr>
      <w:rFonts w:asciiTheme="majorHAnsi" w:hAnsiTheme="majorHAnsi"/>
      <w:b/>
      <w:i w:val="0"/>
      <w:color w:val="FFFFFF" w:themeColor="background1"/>
      <w:sz w:val="56"/>
      <w:lang w:val="en-GB"/>
    </w:rPr>
  </w:style>
  <w:style w:type="paragraph" w:customStyle="1" w:styleId="HeadingCoverPageSecond">
    <w:name w:val="Heading Cover Page Second"/>
    <w:basedOn w:val="Heading1Cover"/>
    <w:rsid w:val="00124924"/>
    <w:pPr>
      <w:spacing w:before="5600"/>
    </w:pPr>
    <w:rPr>
      <w:b/>
      <w:bCs w:val="0"/>
      <w:color w:val="FFFFFF" w:themeColor="background2"/>
      <w:sz w:val="36"/>
      <w:szCs w:val="64"/>
    </w:rPr>
  </w:style>
  <w:style w:type="paragraph" w:customStyle="1" w:styleId="AppendixNumberLong">
    <w:name w:val="Appendix Number (Long)"/>
    <w:basedOn w:val="Heading3"/>
    <w:next w:val="Heading3"/>
    <w:rsid w:val="00CD4A84"/>
    <w:pPr>
      <w:pageBreakBefore/>
      <w:numPr>
        <w:ilvl w:val="5"/>
      </w:numPr>
    </w:pPr>
    <w:rPr>
      <w:color w:val="000000" w:themeColor="text1"/>
    </w:rPr>
  </w:style>
  <w:style w:type="paragraph" w:customStyle="1" w:styleId="ChapterNumberLong">
    <w:name w:val="Chapter Number (Long)"/>
    <w:basedOn w:val="Heading1"/>
    <w:next w:val="Heading1"/>
    <w:rsid w:val="00CD4A84"/>
    <w:pPr>
      <w:pageBreakBefore/>
      <w:numPr>
        <w:numId w:val="34"/>
      </w:numPr>
    </w:pPr>
  </w:style>
  <w:style w:type="paragraph" w:customStyle="1" w:styleId="Footer-Even">
    <w:name w:val="Footer - Even"/>
    <w:basedOn w:val="Footer"/>
    <w:uiPriority w:val="99"/>
    <w:rsid w:val="00CD4A84"/>
  </w:style>
  <w:style w:type="paragraph" w:customStyle="1" w:styleId="URL">
    <w:name w:val="URL"/>
    <w:basedOn w:val="PwCNormal"/>
    <w:next w:val="PwCNormal"/>
    <w:uiPriority w:val="99"/>
    <w:rsid w:val="00CD4A84"/>
    <w:pPr>
      <w:framePr w:wrap="around" w:vAnchor="page" w:hAnchor="page" w:x="1022" w:y="568"/>
      <w:numPr>
        <w:numId w:val="0"/>
      </w:numPr>
      <w:spacing w:after="0"/>
    </w:pPr>
    <w:rPr>
      <w:rFonts w:eastAsia="+mn-ea"/>
      <w:snapToGrid/>
      <w:color w:val="FFFFFF" w:themeColor="background1"/>
      <w:sz w:val="36"/>
    </w:rPr>
  </w:style>
  <w:style w:type="paragraph" w:customStyle="1" w:styleId="Indent1">
    <w:name w:val="Indent 1"/>
    <w:basedOn w:val="Normal"/>
    <w:rsid w:val="00CD4A84"/>
    <w:pPr>
      <w:numPr>
        <w:ilvl w:val="1"/>
        <w:numId w:val="29"/>
      </w:numPr>
      <w:spacing w:before="100" w:after="100"/>
    </w:pPr>
    <w:rPr>
      <w:rFonts w:cs="Times New Roman"/>
    </w:rPr>
  </w:style>
  <w:style w:type="paragraph" w:customStyle="1" w:styleId="Indent2">
    <w:name w:val="Indent 2"/>
    <w:basedOn w:val="Indent1"/>
    <w:rsid w:val="00CD4A84"/>
    <w:pPr>
      <w:numPr>
        <w:ilvl w:val="2"/>
      </w:numPr>
    </w:pPr>
  </w:style>
  <w:style w:type="paragraph" w:customStyle="1" w:styleId="Indent3">
    <w:name w:val="Indent 3"/>
    <w:basedOn w:val="Indent2"/>
    <w:rsid w:val="00CD4A84"/>
    <w:pPr>
      <w:numPr>
        <w:ilvl w:val="3"/>
      </w:numPr>
    </w:pPr>
  </w:style>
  <w:style w:type="paragraph" w:customStyle="1" w:styleId="Indent5">
    <w:name w:val="Indent 5"/>
    <w:basedOn w:val="Indent4"/>
    <w:rsid w:val="00CD4A84"/>
    <w:pPr>
      <w:numPr>
        <w:ilvl w:val="5"/>
      </w:numPr>
    </w:pPr>
  </w:style>
  <w:style w:type="paragraph" w:customStyle="1" w:styleId="Indent6">
    <w:name w:val="Indent 6"/>
    <w:basedOn w:val="Indent5"/>
    <w:rsid w:val="00CD4A84"/>
    <w:pPr>
      <w:numPr>
        <w:ilvl w:val="6"/>
      </w:numPr>
    </w:pPr>
  </w:style>
  <w:style w:type="paragraph" w:customStyle="1" w:styleId="Indent7">
    <w:name w:val="Indent 7"/>
    <w:basedOn w:val="Indent6"/>
    <w:rsid w:val="00CD4A84"/>
    <w:pPr>
      <w:numPr>
        <w:ilvl w:val="7"/>
      </w:numPr>
    </w:pPr>
  </w:style>
  <w:style w:type="numbering" w:customStyle="1" w:styleId="Indents">
    <w:name w:val="Indents"/>
    <w:rsid w:val="00CD4A84"/>
    <w:pPr>
      <w:numPr>
        <w:numId w:val="11"/>
      </w:numPr>
    </w:pPr>
  </w:style>
  <w:style w:type="paragraph" w:customStyle="1" w:styleId="Copyright">
    <w:name w:val="Copyright"/>
    <w:basedOn w:val="Normal"/>
    <w:uiPriority w:val="99"/>
    <w:rsid w:val="00CD4A84"/>
    <w:pPr>
      <w:framePr w:w="7938" w:wrap="around" w:vAnchor="page" w:hAnchor="page" w:x="1022" w:y="15196"/>
      <w:spacing w:before="150" w:after="150" w:line="150" w:lineRule="atLeast"/>
      <w:ind w:right="816"/>
    </w:pPr>
    <w:rPr>
      <w:rFonts w:ascii="Arial" w:hAnsi="Arial"/>
      <w:color w:val="FFFFFF" w:themeColor="background1"/>
      <w:sz w:val="16"/>
      <w:lang w:val="en-US"/>
    </w:rPr>
  </w:style>
  <w:style w:type="paragraph" w:customStyle="1" w:styleId="Header-Even">
    <w:name w:val="Header - Even"/>
    <w:basedOn w:val="Header"/>
    <w:uiPriority w:val="99"/>
    <w:rsid w:val="00CD4A84"/>
  </w:style>
  <w:style w:type="paragraph" w:customStyle="1" w:styleId="PleaseNote">
    <w:name w:val="Please Note"/>
    <w:basedOn w:val="PrefaceTitle"/>
    <w:next w:val="PwCNormal"/>
    <w:uiPriority w:val="99"/>
    <w:rsid w:val="00CD4A84"/>
    <w:rPr>
      <w:iCs w:val="0"/>
    </w:rPr>
  </w:style>
  <w:style w:type="paragraph" w:customStyle="1" w:styleId="Indent4">
    <w:name w:val="Indent 4"/>
    <w:basedOn w:val="Indent3"/>
    <w:rsid w:val="00CD4A84"/>
    <w:pPr>
      <w:numPr>
        <w:ilvl w:val="4"/>
      </w:numPr>
    </w:pPr>
  </w:style>
  <w:style w:type="paragraph" w:styleId="TOC2">
    <w:name w:val="toc 2"/>
    <w:basedOn w:val="TOC1"/>
    <w:next w:val="PwCNormal"/>
    <w:uiPriority w:val="39"/>
    <w:qFormat/>
    <w:rsid w:val="000D6FAA"/>
    <w:pPr>
      <w:keepNext/>
      <w:keepLines/>
      <w:tabs>
        <w:tab w:val="left" w:pos="1701"/>
      </w:tabs>
      <w:spacing w:before="60" w:after="0"/>
      <w:ind w:left="1701" w:hanging="567"/>
    </w:pPr>
  </w:style>
  <w:style w:type="paragraph" w:styleId="TOC4">
    <w:name w:val="toc 4"/>
    <w:basedOn w:val="TOC2"/>
    <w:next w:val="PwCNormal"/>
    <w:uiPriority w:val="39"/>
    <w:rsid w:val="00CD4A84"/>
    <w:pPr>
      <w:ind w:left="4253" w:hanging="1418"/>
    </w:pPr>
  </w:style>
  <w:style w:type="paragraph" w:styleId="TOC7">
    <w:name w:val="toc 7"/>
    <w:basedOn w:val="TOC6"/>
    <w:next w:val="PwCNormal"/>
    <w:uiPriority w:val="39"/>
    <w:rsid w:val="00CD4A84"/>
    <w:pPr>
      <w:tabs>
        <w:tab w:val="left" w:pos="1985"/>
      </w:tabs>
      <w:ind w:left="1985" w:hanging="851"/>
    </w:pPr>
  </w:style>
  <w:style w:type="paragraph" w:customStyle="1" w:styleId="KeySentenceInside">
    <w:name w:val="Key Sentence Inside"/>
    <w:basedOn w:val="KeySentence"/>
    <w:uiPriority w:val="99"/>
    <w:rsid w:val="00CD4A84"/>
    <w:pPr>
      <w:framePr w:w="2296" w:wrap="notBeside" w:vAnchor="text" w:hAnchor="margin" w:x="-2521" w:y="1" w:anchorLock="1"/>
    </w:pPr>
  </w:style>
  <w:style w:type="paragraph" w:customStyle="1" w:styleId="ChapterNumberedList1">
    <w:name w:val="Chapter Numbered List 1"/>
    <w:basedOn w:val="PwCNormal"/>
    <w:rsid w:val="00CD4A84"/>
    <w:pPr>
      <w:numPr>
        <w:ilvl w:val="7"/>
        <w:numId w:val="34"/>
      </w:numPr>
    </w:pPr>
  </w:style>
  <w:style w:type="paragraph" w:customStyle="1" w:styleId="ChapterNumberedList2">
    <w:name w:val="Chapter Numbered List 2"/>
    <w:basedOn w:val="ChapterNumberedList1"/>
    <w:rsid w:val="00CD4A84"/>
    <w:pPr>
      <w:numPr>
        <w:ilvl w:val="8"/>
      </w:numPr>
    </w:pPr>
  </w:style>
  <w:style w:type="paragraph" w:styleId="TOC6">
    <w:name w:val="toc 6"/>
    <w:basedOn w:val="TOC2"/>
    <w:next w:val="PwCNormal"/>
    <w:uiPriority w:val="39"/>
    <w:rsid w:val="00C14245"/>
    <w:pPr>
      <w:keepNext w:val="0"/>
      <w:keepLines w:val="0"/>
      <w:tabs>
        <w:tab w:val="left" w:pos="3969"/>
      </w:tabs>
      <w:spacing w:before="0"/>
      <w:ind w:left="3969"/>
    </w:pPr>
  </w:style>
  <w:style w:type="paragraph" w:customStyle="1" w:styleId="PwCNormal">
    <w:name w:val="PwC Normal"/>
    <w:basedOn w:val="Normal"/>
    <w:link w:val="PwCNormalChar"/>
    <w:qFormat/>
    <w:rsid w:val="001A7428"/>
    <w:pPr>
      <w:numPr>
        <w:numId w:val="29"/>
      </w:numPr>
      <w:spacing w:before="120" w:after="120"/>
    </w:pPr>
  </w:style>
  <w:style w:type="paragraph" w:customStyle="1" w:styleId="CoverDate">
    <w:name w:val="Cover Date"/>
    <w:basedOn w:val="HeadingCoverPageSecond"/>
    <w:uiPriority w:val="99"/>
    <w:rsid w:val="00CD4A84"/>
    <w:pPr>
      <w:framePr w:wrap="notBeside" w:hAnchor="text"/>
    </w:pPr>
  </w:style>
  <w:style w:type="paragraph" w:customStyle="1" w:styleId="KeySentenceOutside">
    <w:name w:val="Key Sentence Outside"/>
    <w:basedOn w:val="KeySentence"/>
    <w:uiPriority w:val="99"/>
    <w:rsid w:val="00CD4A84"/>
    <w:pPr>
      <w:framePr w:w="2410" w:wrap="around" w:vAnchor="text" w:hAnchor="margin" w:x="7909" w:y="1" w:anchorLock="1"/>
    </w:pPr>
  </w:style>
  <w:style w:type="character" w:customStyle="1" w:styleId="PwCNormalChar">
    <w:name w:val="PwC Normal Char"/>
    <w:basedOn w:val="DefaultParagraphFont"/>
    <w:link w:val="PwCNormal"/>
    <w:rsid w:val="001A7428"/>
    <w:rPr>
      <w:rFonts w:asciiTheme="minorHAnsi" w:hAnsiTheme="minorHAnsi" w:cs="Arial"/>
      <w:snapToGrid w:val="0"/>
      <w:color w:val="404040" w:themeColor="text1" w:themeTint="BF"/>
      <w:lang w:eastAsia="en-US"/>
    </w:rPr>
  </w:style>
  <w:style w:type="paragraph" w:styleId="TOC1">
    <w:name w:val="toc 1"/>
    <w:basedOn w:val="Normal"/>
    <w:next w:val="PwCNormal"/>
    <w:uiPriority w:val="39"/>
    <w:qFormat/>
    <w:rsid w:val="000D6FAA"/>
    <w:pPr>
      <w:tabs>
        <w:tab w:val="right" w:pos="9809"/>
      </w:tabs>
      <w:spacing w:before="120" w:after="120"/>
      <w:ind w:left="1134" w:right="851"/>
    </w:pPr>
    <w:rPr>
      <w:b/>
      <w:noProof/>
      <w:color w:val="auto"/>
    </w:rPr>
  </w:style>
  <w:style w:type="paragraph" w:customStyle="1" w:styleId="CREATISID">
    <w:name w:val="CREATISID"/>
    <w:basedOn w:val="PwCNormal"/>
    <w:uiPriority w:val="99"/>
    <w:unhideWhenUsed/>
    <w:rsid w:val="00CD4A84"/>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CD4A84"/>
    <w:pPr>
      <w:numPr>
        <w:numId w:val="6"/>
      </w:numPr>
    </w:pPr>
  </w:style>
  <w:style w:type="paragraph" w:customStyle="1" w:styleId="Footer-Landscape">
    <w:name w:val="Footer - Landscape"/>
    <w:basedOn w:val="Footer"/>
    <w:uiPriority w:val="99"/>
    <w:rsid w:val="00CD4A84"/>
    <w:pPr>
      <w:tabs>
        <w:tab w:val="clear" w:pos="8220"/>
        <w:tab w:val="right" w:pos="14797"/>
      </w:tabs>
    </w:pPr>
  </w:style>
  <w:style w:type="paragraph" w:customStyle="1" w:styleId="TableBullet1Normal">
    <w:name w:val="Table Bullet 1 Normal"/>
    <w:basedOn w:val="TableTextNormal"/>
    <w:uiPriority w:val="99"/>
    <w:rsid w:val="00CD4A84"/>
    <w:pPr>
      <w:numPr>
        <w:numId w:val="19"/>
      </w:numPr>
      <w:spacing w:before="40" w:after="40"/>
    </w:pPr>
  </w:style>
  <w:style w:type="paragraph" w:customStyle="1" w:styleId="TableTextNormal">
    <w:name w:val="Table Text Normal"/>
    <w:basedOn w:val="Normal"/>
    <w:rsid w:val="001A7428"/>
    <w:pPr>
      <w:spacing w:before="80" w:after="80"/>
    </w:pPr>
  </w:style>
  <w:style w:type="paragraph" w:customStyle="1" w:styleId="TableBullet1Small">
    <w:name w:val="Table Bullet 1 Small"/>
    <w:basedOn w:val="TableTextSmall"/>
    <w:uiPriority w:val="99"/>
    <w:rsid w:val="00CD4A84"/>
    <w:pPr>
      <w:numPr>
        <w:numId w:val="20"/>
      </w:numPr>
      <w:spacing w:before="20" w:after="20"/>
    </w:pPr>
  </w:style>
  <w:style w:type="paragraph" w:customStyle="1" w:styleId="TableTextSmall">
    <w:name w:val="Table Text Small"/>
    <w:basedOn w:val="Normal"/>
    <w:link w:val="TableTextSmallChar"/>
    <w:rsid w:val="00CD4A84"/>
    <w:pPr>
      <w:spacing w:before="40" w:after="40"/>
    </w:pPr>
    <w:rPr>
      <w:sz w:val="16"/>
      <w:szCs w:val="18"/>
    </w:rPr>
  </w:style>
  <w:style w:type="paragraph" w:customStyle="1" w:styleId="TableBullet3Normal">
    <w:name w:val="Table Bullet 3 Normal"/>
    <w:basedOn w:val="TableBullet2Normal"/>
    <w:uiPriority w:val="99"/>
    <w:rsid w:val="00CD4A84"/>
    <w:pPr>
      <w:numPr>
        <w:ilvl w:val="2"/>
      </w:numPr>
    </w:pPr>
  </w:style>
  <w:style w:type="paragraph" w:customStyle="1" w:styleId="TableBullet3Small">
    <w:name w:val="Table Bullet 3 Small"/>
    <w:basedOn w:val="TableBullet2Small"/>
    <w:uiPriority w:val="99"/>
    <w:rsid w:val="00CD4A84"/>
    <w:pPr>
      <w:numPr>
        <w:ilvl w:val="2"/>
      </w:numPr>
    </w:pPr>
    <w:rPr>
      <w:szCs w:val="16"/>
    </w:rPr>
  </w:style>
  <w:style w:type="paragraph" w:customStyle="1" w:styleId="BlockText2">
    <w:name w:val="Block Text 2"/>
    <w:basedOn w:val="Normal"/>
    <w:uiPriority w:val="99"/>
    <w:qFormat/>
    <w:rsid w:val="00CD4A84"/>
    <w:pPr>
      <w:pBdr>
        <w:top w:val="single" w:sz="2" w:space="10" w:color="EB8C00" w:themeColor="text2"/>
        <w:left w:val="single" w:sz="2" w:space="10" w:color="EB8C00" w:themeColor="text2"/>
        <w:bottom w:val="single" w:sz="2" w:space="10" w:color="EB8C00" w:themeColor="text2"/>
        <w:right w:val="single" w:sz="2" w:space="10" w:color="EB8C00" w:themeColor="text2"/>
      </w:pBdr>
      <w:shd w:val="clear" w:color="auto" w:fill="EB8C00" w:themeFill="text2"/>
      <w:kinsoku/>
      <w:overflowPunct/>
      <w:autoSpaceDE/>
      <w:autoSpaceDN/>
      <w:adjustRightInd/>
      <w:snapToGrid/>
      <w:spacing w:after="240"/>
      <w:ind w:left="227" w:right="227"/>
    </w:pPr>
    <w:rPr>
      <w:rFonts w:eastAsiaTheme="minorHAnsi" w:cstheme="minorBidi"/>
      <w:i/>
      <w:snapToGrid/>
      <w:color w:val="FFFFFF" w:themeColor="background2"/>
      <w:sz w:val="48"/>
      <w:szCs w:val="48"/>
      <w:lang w:val="en-GB"/>
    </w:rPr>
  </w:style>
  <w:style w:type="paragraph" w:customStyle="1" w:styleId="Appendix">
    <w:name w:val="Appendix"/>
    <w:basedOn w:val="Heading1"/>
    <w:next w:val="Normal"/>
    <w:uiPriority w:val="99"/>
    <w:qFormat/>
    <w:rsid w:val="00CD4A84"/>
    <w:pPr>
      <w:keepNext/>
      <w:keepLines/>
      <w:numPr>
        <w:numId w:val="16"/>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CD4A84"/>
    <w:pPr>
      <w:numPr>
        <w:numId w:val="16"/>
      </w:numPr>
    </w:pPr>
  </w:style>
  <w:style w:type="paragraph" w:styleId="Caption">
    <w:name w:val="caption"/>
    <w:basedOn w:val="Normal"/>
    <w:next w:val="Normal"/>
    <w:unhideWhenUsed/>
    <w:qFormat/>
    <w:rsid w:val="00401DDE"/>
    <w:pPr>
      <w:keepNext/>
      <w:keepLines/>
      <w:tabs>
        <w:tab w:val="left" w:pos="992"/>
      </w:tabs>
      <w:spacing w:before="180" w:after="40"/>
    </w:pPr>
    <w:rPr>
      <w:rFonts w:asciiTheme="majorHAnsi" w:hAnsiTheme="majorHAnsi"/>
      <w:b/>
      <w:bCs/>
      <w:color w:val="E0301E"/>
      <w:szCs w:val="18"/>
    </w:rPr>
  </w:style>
  <w:style w:type="paragraph" w:customStyle="1" w:styleId="Majorheading">
    <w:name w:val="Major heading"/>
    <w:basedOn w:val="Normal"/>
    <w:next w:val="PwCNormal"/>
    <w:link w:val="MajorheadingChar"/>
    <w:rsid w:val="00175A3C"/>
    <w:pPr>
      <w:keepNext/>
      <w:keepLines/>
      <w:spacing w:before="240" w:after="120"/>
    </w:pPr>
    <w:rPr>
      <w:rFonts w:asciiTheme="majorHAnsi" w:hAnsiTheme="majorHAnsi"/>
      <w:b/>
      <w:color w:val="E0301E"/>
      <w:sz w:val="24"/>
      <w:szCs w:val="24"/>
    </w:rPr>
  </w:style>
  <w:style w:type="numbering" w:customStyle="1" w:styleId="TableBulletNormalList">
    <w:name w:val="Table Bullet Normal List"/>
    <w:rsid w:val="00CD4A84"/>
    <w:pPr>
      <w:numPr>
        <w:numId w:val="21"/>
      </w:numPr>
    </w:pPr>
  </w:style>
  <w:style w:type="paragraph" w:customStyle="1" w:styleId="Disclaimer">
    <w:name w:val="Disclaimer"/>
    <w:basedOn w:val="Normal"/>
    <w:uiPriority w:val="99"/>
    <w:unhideWhenUsed/>
    <w:rsid w:val="00CD4A84"/>
    <w:pPr>
      <w:spacing w:after="140"/>
    </w:pPr>
    <w:rPr>
      <w:rFonts w:ascii="Arial" w:hAnsi="Arial"/>
      <w:sz w:val="16"/>
    </w:rPr>
  </w:style>
  <w:style w:type="paragraph" w:customStyle="1" w:styleId="Footer-LandscapeEven">
    <w:name w:val="Footer - Landscape Even"/>
    <w:basedOn w:val="Footer-Landscape"/>
    <w:uiPriority w:val="99"/>
    <w:rsid w:val="00CD4A84"/>
  </w:style>
  <w:style w:type="paragraph" w:customStyle="1" w:styleId="PwCNormal-Single">
    <w:name w:val="PwC Normal - Single"/>
    <w:basedOn w:val="PwCNormal"/>
    <w:rsid w:val="00CD4A84"/>
    <w:pPr>
      <w:numPr>
        <w:numId w:val="0"/>
      </w:numPr>
      <w:spacing w:before="0" w:after="0"/>
    </w:pPr>
  </w:style>
  <w:style w:type="numbering" w:customStyle="1" w:styleId="TableNumberdListNormal">
    <w:name w:val="Table Numberd List Normal"/>
    <w:uiPriority w:val="99"/>
    <w:rsid w:val="00CD4A84"/>
    <w:pPr>
      <w:numPr>
        <w:numId w:val="23"/>
      </w:numPr>
    </w:pPr>
  </w:style>
  <w:style w:type="numbering" w:customStyle="1" w:styleId="TableNumberedListSmall">
    <w:name w:val="Table Numbered List Small"/>
    <w:uiPriority w:val="99"/>
    <w:rsid w:val="00CD4A84"/>
    <w:pPr>
      <w:numPr>
        <w:numId w:val="25"/>
      </w:numPr>
    </w:pPr>
  </w:style>
  <w:style w:type="paragraph" w:customStyle="1" w:styleId="TableIndent2Normal">
    <w:name w:val="Table Indent 2 Normal"/>
    <w:basedOn w:val="TableIndent1Normal"/>
    <w:uiPriority w:val="99"/>
    <w:rsid w:val="00CD4A84"/>
    <w:pPr>
      <w:ind w:left="567"/>
    </w:pPr>
  </w:style>
  <w:style w:type="paragraph" w:customStyle="1" w:styleId="TableIndent2Small">
    <w:name w:val="Table Indent 2 Small"/>
    <w:basedOn w:val="TableIndent1Small"/>
    <w:uiPriority w:val="99"/>
    <w:rsid w:val="00CD4A84"/>
    <w:pPr>
      <w:ind w:left="567"/>
    </w:pPr>
    <w:rPr>
      <w:szCs w:val="16"/>
    </w:rPr>
  </w:style>
  <w:style w:type="paragraph" w:customStyle="1" w:styleId="KeySentence">
    <w:name w:val="Key Sentence"/>
    <w:basedOn w:val="Normal"/>
    <w:uiPriority w:val="99"/>
    <w:rsid w:val="00CD4A84"/>
    <w:pPr>
      <w:spacing w:after="160" w:line="260" w:lineRule="atLeast"/>
    </w:pPr>
    <w:rPr>
      <w:i/>
      <w:color w:val="EB8C00" w:themeColor="text2"/>
      <w:sz w:val="16"/>
      <w:szCs w:val="18"/>
    </w:rPr>
  </w:style>
  <w:style w:type="numbering" w:customStyle="1" w:styleId="TableNumberedListS">
    <w:name w:val="Table Numbered List S"/>
    <w:rsid w:val="00CD4A84"/>
  </w:style>
  <w:style w:type="paragraph" w:customStyle="1" w:styleId="PrefaceTitle">
    <w:name w:val="Preface Title"/>
    <w:basedOn w:val="Heading2"/>
    <w:next w:val="PwCNormal"/>
    <w:uiPriority w:val="99"/>
    <w:rsid w:val="00CD4A84"/>
    <w:pPr>
      <w:numPr>
        <w:ilvl w:val="0"/>
        <w:numId w:val="0"/>
      </w:numPr>
      <w:spacing w:before="480" w:line="240" w:lineRule="auto"/>
    </w:pPr>
    <w:rPr>
      <w:b/>
      <w:color w:val="FFFFFF" w:themeColor="background1"/>
    </w:rPr>
  </w:style>
  <w:style w:type="paragraph" w:customStyle="1" w:styleId="Sources">
    <w:name w:val="Sources"/>
    <w:basedOn w:val="Normal"/>
    <w:next w:val="PwCNormal"/>
    <w:rsid w:val="003F6FD1"/>
    <w:pPr>
      <w:spacing w:before="80" w:after="80" w:line="180" w:lineRule="atLeast"/>
    </w:pPr>
    <w:rPr>
      <w:color w:val="E0301E"/>
      <w:sz w:val="16"/>
    </w:rPr>
  </w:style>
  <w:style w:type="paragraph" w:customStyle="1" w:styleId="Minorheading">
    <w:name w:val="Minor heading"/>
    <w:basedOn w:val="Majorheading"/>
    <w:next w:val="PwCNormal"/>
    <w:link w:val="MinorheadingChar"/>
    <w:rsid w:val="00C14245"/>
    <w:pPr>
      <w:spacing w:line="180" w:lineRule="atLeast"/>
    </w:pPr>
    <w:rPr>
      <w:b w:val="0"/>
      <w:i/>
      <w:sz w:val="22"/>
    </w:rPr>
  </w:style>
  <w:style w:type="paragraph" w:customStyle="1" w:styleId="Minorheading2">
    <w:name w:val="Minor heading 2"/>
    <w:basedOn w:val="Minorheading"/>
    <w:next w:val="PwCNormal"/>
    <w:uiPriority w:val="99"/>
    <w:rsid w:val="00A507B1"/>
    <w:pPr>
      <w:spacing w:line="240" w:lineRule="auto"/>
    </w:pPr>
    <w:rPr>
      <w:b/>
      <w:i w:val="0"/>
      <w:sz w:val="20"/>
    </w:rPr>
  </w:style>
  <w:style w:type="numbering" w:customStyle="1" w:styleId="PwCListNumbers1">
    <w:name w:val="PwC List Numbers 1"/>
    <w:uiPriority w:val="99"/>
    <w:rsid w:val="00CD4A84"/>
    <w:pPr>
      <w:numPr>
        <w:numId w:val="17"/>
      </w:numPr>
    </w:pPr>
  </w:style>
  <w:style w:type="paragraph" w:customStyle="1" w:styleId="BlockText3">
    <w:name w:val="Block Text 3"/>
    <w:basedOn w:val="BlockText"/>
    <w:uiPriority w:val="99"/>
    <w:qFormat/>
    <w:rsid w:val="00CD4A84"/>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kinsoku/>
      <w:overflowPunct/>
      <w:autoSpaceDE/>
      <w:autoSpaceDN/>
      <w:adjustRightInd/>
      <w:snapToGrid/>
      <w:ind w:left="227" w:right="227"/>
    </w:pPr>
    <w:rPr>
      <w:snapToGrid/>
      <w:sz w:val="96"/>
      <w:lang w:val="en-GB"/>
    </w:rPr>
  </w:style>
  <w:style w:type="paragraph" w:customStyle="1" w:styleId="TableBullet2Normal">
    <w:name w:val="Table Bullet 2 Normal"/>
    <w:basedOn w:val="TableBullet1Normal"/>
    <w:uiPriority w:val="99"/>
    <w:rsid w:val="00CD4A84"/>
    <w:pPr>
      <w:numPr>
        <w:ilvl w:val="1"/>
      </w:numPr>
    </w:pPr>
  </w:style>
  <w:style w:type="paragraph" w:customStyle="1" w:styleId="TableBullet2Small">
    <w:name w:val="Table Bullet 2 Small"/>
    <w:basedOn w:val="TableBullet1Small"/>
    <w:uiPriority w:val="99"/>
    <w:rsid w:val="00CD4A84"/>
    <w:pPr>
      <w:numPr>
        <w:ilvl w:val="1"/>
      </w:numPr>
    </w:pPr>
  </w:style>
  <w:style w:type="paragraph" w:customStyle="1" w:styleId="TableIndent1Normal">
    <w:name w:val="Table Indent 1 Normal"/>
    <w:basedOn w:val="TableBullet1Normal"/>
    <w:uiPriority w:val="99"/>
    <w:rsid w:val="00CD4A84"/>
    <w:pPr>
      <w:numPr>
        <w:numId w:val="0"/>
      </w:numPr>
      <w:ind w:left="284"/>
    </w:pPr>
  </w:style>
  <w:style w:type="paragraph" w:customStyle="1" w:styleId="TableIndent1Small">
    <w:name w:val="Table Indent 1 Small"/>
    <w:basedOn w:val="TableBullet1Small"/>
    <w:uiPriority w:val="99"/>
    <w:rsid w:val="00CD4A84"/>
    <w:pPr>
      <w:numPr>
        <w:numId w:val="0"/>
      </w:numPr>
      <w:ind w:left="284"/>
    </w:pPr>
  </w:style>
  <w:style w:type="paragraph" w:customStyle="1" w:styleId="SubHeading">
    <w:name w:val="Sub Heading"/>
    <w:basedOn w:val="PwCNormal"/>
    <w:uiPriority w:val="99"/>
    <w:rsid w:val="00CD4A84"/>
    <w:pPr>
      <w:numPr>
        <w:numId w:val="0"/>
      </w:numPr>
      <w:spacing w:after="480" w:line="600" w:lineRule="atLeast"/>
    </w:pPr>
    <w:rPr>
      <w:sz w:val="56"/>
    </w:rPr>
  </w:style>
  <w:style w:type="paragraph" w:styleId="FootnoteText">
    <w:name w:val="footnote text"/>
    <w:basedOn w:val="Normal"/>
    <w:link w:val="FootnoteTextChar"/>
    <w:rsid w:val="00C97F14"/>
    <w:pPr>
      <w:tabs>
        <w:tab w:val="left" w:pos="284"/>
      </w:tabs>
      <w:spacing w:before="80" w:after="80"/>
      <w:ind w:left="227" w:hanging="227"/>
    </w:pPr>
    <w:rPr>
      <w:sz w:val="16"/>
    </w:rPr>
  </w:style>
  <w:style w:type="character" w:styleId="FootnoteReference">
    <w:name w:val="footnote reference"/>
    <w:basedOn w:val="DefaultParagraphFont"/>
    <w:rsid w:val="00CD4A84"/>
    <w:rPr>
      <w:rFonts w:cs="Arial"/>
      <w:sz w:val="21"/>
      <w:vertAlign w:val="superscript"/>
    </w:rPr>
  </w:style>
  <w:style w:type="character" w:styleId="EndnoteReference">
    <w:name w:val="endnote reference"/>
    <w:basedOn w:val="DefaultParagraphFont"/>
    <w:semiHidden/>
    <w:unhideWhenUsed/>
    <w:rsid w:val="00CD4A84"/>
    <w:rPr>
      <w:rFonts w:ascii="Arial" w:hAnsi="Arial" w:cs="Arial"/>
      <w:sz w:val="21"/>
      <w:vertAlign w:val="superscript"/>
    </w:rPr>
  </w:style>
  <w:style w:type="paragraph" w:styleId="EndnoteText">
    <w:name w:val="endnote text"/>
    <w:basedOn w:val="FootnoteText"/>
    <w:link w:val="EndnoteTextChar"/>
    <w:uiPriority w:val="99"/>
    <w:semiHidden/>
    <w:unhideWhenUsed/>
    <w:rsid w:val="00CD4A84"/>
  </w:style>
  <w:style w:type="paragraph" w:customStyle="1" w:styleId="Address">
    <w:name w:val="Address"/>
    <w:basedOn w:val="Normal"/>
    <w:uiPriority w:val="99"/>
    <w:qFormat/>
    <w:rsid w:val="00CD4A84"/>
    <w:pPr>
      <w:kinsoku/>
      <w:overflowPunct/>
      <w:autoSpaceDE/>
      <w:autoSpaceDN/>
      <w:adjustRightInd/>
      <w:snapToGrid/>
      <w:spacing w:line="200" w:lineRule="atLeast"/>
    </w:pPr>
    <w:rPr>
      <w:rFonts w:eastAsiaTheme="minorHAnsi" w:cstheme="minorBidi"/>
      <w:i/>
      <w:noProof/>
      <w:snapToGrid/>
      <w:sz w:val="18"/>
      <w:szCs w:val="22"/>
      <w:lang w:val="en-GB" w:eastAsia="en-GB"/>
    </w:rPr>
  </w:style>
  <w:style w:type="table" w:styleId="TableGrid">
    <w:name w:val="Table Grid"/>
    <w:aliases w:val="Smart Text Table"/>
    <w:basedOn w:val="TableNormal"/>
    <w:uiPriority w:val="59"/>
    <w:locked/>
    <w:rsid w:val="00CD4A84"/>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uiPriority w:val="39"/>
    <w:qFormat/>
    <w:rsid w:val="000D6FAA"/>
    <w:pPr>
      <w:numPr>
        <w:ilvl w:val="2"/>
      </w:numPr>
      <w:tabs>
        <w:tab w:val="left" w:pos="2268"/>
      </w:tabs>
      <w:ind w:left="2268" w:hanging="567"/>
      <w:contextualSpacing/>
    </w:pPr>
    <w:rPr>
      <w:b w:val="0"/>
    </w:rPr>
  </w:style>
  <w:style w:type="paragraph" w:styleId="TOC5">
    <w:name w:val="toc 5"/>
    <w:basedOn w:val="TOC2"/>
    <w:next w:val="PwCNormal"/>
    <w:uiPriority w:val="39"/>
    <w:rsid w:val="00CD4A84"/>
  </w:style>
  <w:style w:type="paragraph" w:styleId="TOC8">
    <w:name w:val="toc 8"/>
    <w:basedOn w:val="TOC7"/>
    <w:next w:val="PwCNormal"/>
    <w:uiPriority w:val="39"/>
    <w:rsid w:val="00CD4A84"/>
    <w:pPr>
      <w:tabs>
        <w:tab w:val="clear" w:pos="1985"/>
        <w:tab w:val="left" w:pos="3402"/>
      </w:tabs>
      <w:ind w:left="3403"/>
    </w:pPr>
  </w:style>
  <w:style w:type="paragraph" w:styleId="TOC9">
    <w:name w:val="toc 9"/>
    <w:basedOn w:val="TOC8"/>
    <w:next w:val="PwCNormal"/>
    <w:uiPriority w:val="39"/>
    <w:rsid w:val="00CD4A84"/>
    <w:pPr>
      <w:tabs>
        <w:tab w:val="clear" w:pos="3402"/>
        <w:tab w:val="left" w:pos="4253"/>
      </w:tabs>
      <w:ind w:left="4253"/>
    </w:pPr>
  </w:style>
  <w:style w:type="paragraph" w:customStyle="1" w:styleId="Separator">
    <w:name w:val="Separator"/>
    <w:basedOn w:val="Normal"/>
    <w:uiPriority w:val="99"/>
    <w:semiHidden/>
    <w:rsid w:val="00CD4A84"/>
    <w:pPr>
      <w:spacing w:before="240" w:after="120"/>
    </w:pPr>
    <w:rPr>
      <w:sz w:val="16"/>
    </w:rPr>
  </w:style>
  <w:style w:type="numbering" w:customStyle="1" w:styleId="TableNumberedListN">
    <w:name w:val="Table Numbered List N"/>
    <w:rsid w:val="00CD4A84"/>
  </w:style>
  <w:style w:type="paragraph" w:customStyle="1" w:styleId="TableColumnHeadingNormal">
    <w:name w:val="Table Column Heading Normal"/>
    <w:basedOn w:val="TableTextNormal"/>
    <w:uiPriority w:val="99"/>
    <w:rsid w:val="002C7853"/>
    <w:pPr>
      <w:keepNext/>
      <w:keepLines/>
    </w:pPr>
    <w:rPr>
      <w:b/>
      <w:color w:val="FFFFFF" w:themeColor="background1"/>
    </w:rPr>
  </w:style>
  <w:style w:type="paragraph" w:customStyle="1" w:styleId="TableColumnHeadingSmall">
    <w:name w:val="Table Column Heading Small"/>
    <w:basedOn w:val="TableTextSmall"/>
    <w:next w:val="TableTextSmall"/>
    <w:rsid w:val="00CD4A84"/>
    <w:pPr>
      <w:keepNext/>
      <w:keepLines/>
    </w:pPr>
    <w:rPr>
      <w:b/>
      <w:color w:val="FFFFFF" w:themeColor="background2"/>
      <w:szCs w:val="16"/>
    </w:rPr>
  </w:style>
  <w:style w:type="numbering" w:customStyle="1" w:styleId="TableBulletSmallList">
    <w:name w:val="Table Bullet Small List"/>
    <w:rsid w:val="00CD4A84"/>
    <w:pPr>
      <w:numPr>
        <w:numId w:val="22"/>
      </w:numPr>
    </w:pPr>
  </w:style>
  <w:style w:type="paragraph" w:customStyle="1" w:styleId="Header-Landscape">
    <w:name w:val="Header - Landscape"/>
    <w:basedOn w:val="Header"/>
    <w:uiPriority w:val="99"/>
    <w:rsid w:val="00CD4A84"/>
  </w:style>
  <w:style w:type="character" w:styleId="PageNumber">
    <w:name w:val="page number"/>
    <w:semiHidden/>
    <w:unhideWhenUsed/>
    <w:rsid w:val="00CD4A84"/>
  </w:style>
  <w:style w:type="paragraph" w:styleId="Date">
    <w:name w:val="Date"/>
    <w:basedOn w:val="Normal"/>
    <w:next w:val="PwCNormal"/>
    <w:link w:val="DateChar"/>
    <w:uiPriority w:val="99"/>
    <w:semiHidden/>
    <w:rsid w:val="00CD4A84"/>
  </w:style>
  <w:style w:type="paragraph" w:customStyle="1" w:styleId="Indent8">
    <w:name w:val="Indent 8"/>
    <w:basedOn w:val="Indent7"/>
    <w:rsid w:val="00CD4A84"/>
    <w:pPr>
      <w:numPr>
        <w:ilvl w:val="8"/>
      </w:numPr>
    </w:pPr>
  </w:style>
  <w:style w:type="paragraph" w:customStyle="1" w:styleId="Header-LandscapeEven">
    <w:name w:val="Header - Landscape Even"/>
    <w:basedOn w:val="Header-Landscape"/>
    <w:uiPriority w:val="99"/>
    <w:rsid w:val="00CD4A84"/>
    <w:pPr>
      <w:tabs>
        <w:tab w:val="right" w:pos="14661"/>
      </w:tabs>
    </w:pPr>
  </w:style>
  <w:style w:type="paragraph" w:customStyle="1" w:styleId="Footer-ToC">
    <w:name w:val="Footer - ToC"/>
    <w:basedOn w:val="Footer"/>
    <w:uiPriority w:val="99"/>
    <w:rsid w:val="00CD4A84"/>
  </w:style>
  <w:style w:type="paragraph" w:customStyle="1" w:styleId="Footer-ToCEven">
    <w:name w:val="Footer - ToC Even"/>
    <w:basedOn w:val="Footer-ToC"/>
    <w:uiPriority w:val="99"/>
    <w:rsid w:val="00CD4A84"/>
  </w:style>
  <w:style w:type="table" w:customStyle="1" w:styleId="Tables-APBase">
    <w:name w:val="Tables - AP Base"/>
    <w:basedOn w:val="TableNormal"/>
    <w:rsid w:val="00CD4A84"/>
    <w:tblPr>
      <w:tblStyleRowBandSize w:val="1"/>
      <w:tblStyleColBandSize w:val="1"/>
      <w:tblBorders>
        <w:top w:val="single" w:sz="4" w:space="0" w:color="FFFFFF"/>
        <w:left w:val="single" w:sz="4" w:space="0" w:color="FFFFFF"/>
        <w:bottom w:val="single" w:sz="6" w:space="0" w:color="EB8C00" w:themeColor="text2"/>
        <w:right w:val="single" w:sz="4" w:space="0" w:color="FFFFFF"/>
        <w:insideH w:val="single" w:sz="6" w:space="0" w:color="EB8C00" w:themeColor="text2"/>
        <w:insideV w:val="single" w:sz="4" w:space="0" w:color="FFFFFF"/>
      </w:tblBorders>
    </w:tblPr>
    <w:tcPr>
      <w:shd w:val="clear" w:color="auto" w:fill="FFFFFF" w:themeFill="background2"/>
      <w:tcMar>
        <w:top w:w="0" w:type="dxa"/>
        <w:left w:w="108" w:type="dxa"/>
        <w:bottom w:w="0" w:type="dxa"/>
        <w:right w:w="108" w:type="dxa"/>
      </w:tcMar>
    </w:tcPr>
    <w:tblStylePr w:type="firstRow">
      <w:pPr>
        <w:jc w:val="left"/>
      </w:pPr>
      <w:rPr>
        <w:rFonts w:ascii="Georgia" w:hAnsi="Georgia"/>
        <w:b w:val="0"/>
        <w:color w:val="auto"/>
      </w:rPr>
      <w:tblPr/>
      <w:trPr>
        <w:tblHeader/>
      </w:trPr>
      <w:tcPr>
        <w:shd w:val="clear" w:color="auto" w:fill="EB8C00" w:themeFill="text2"/>
        <w:vAlign w:val="bottom"/>
      </w:tcPr>
    </w:tblStylePr>
    <w:tblStylePr w:type="lastRow">
      <w:rPr>
        <w:color w:val="auto"/>
      </w:rPr>
      <w:tblPr/>
      <w:tcPr>
        <w:tcBorders>
          <w:top w:val="single" w:sz="4" w:space="0" w:color="EB8C00"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rsid w:val="00CD4A84"/>
    <w:pPr>
      <w:pBdr>
        <w:bottom w:val="none" w:sz="0" w:space="0" w:color="00457C"/>
      </w:pBdr>
    </w:pPr>
    <w:rPr>
      <w:i/>
      <w:color w:val="EB8C00" w:themeColor="text2"/>
      <w:sz w:val="24"/>
      <w:szCs w:val="24"/>
    </w:rPr>
  </w:style>
  <w:style w:type="paragraph" w:customStyle="1" w:styleId="ListBullet1">
    <w:name w:val="List Bullet 1"/>
    <w:basedOn w:val="Normal"/>
    <w:uiPriority w:val="99"/>
    <w:semiHidden/>
    <w:locked/>
    <w:rsid w:val="00CD4A84"/>
    <w:pPr>
      <w:tabs>
        <w:tab w:val="num" w:pos="720"/>
      </w:tabs>
      <w:spacing w:before="100" w:after="100"/>
      <w:ind w:left="720" w:hanging="720"/>
    </w:pPr>
  </w:style>
  <w:style w:type="paragraph" w:styleId="ListBullet2">
    <w:name w:val="List Bullet 2"/>
    <w:basedOn w:val="ListBullet1"/>
    <w:qFormat/>
    <w:locked/>
    <w:rsid w:val="00985933"/>
    <w:pPr>
      <w:numPr>
        <w:ilvl w:val="1"/>
        <w:numId w:val="12"/>
      </w:numPr>
      <w:spacing w:before="120" w:after="120"/>
    </w:pPr>
  </w:style>
  <w:style w:type="paragraph" w:styleId="ListBullet4">
    <w:name w:val="List Bullet 4"/>
    <w:basedOn w:val="ListBullet3"/>
    <w:unhideWhenUsed/>
    <w:locked/>
    <w:rsid w:val="00CD4A84"/>
    <w:pPr>
      <w:numPr>
        <w:ilvl w:val="3"/>
      </w:numPr>
    </w:pPr>
  </w:style>
  <w:style w:type="paragraph" w:customStyle="1" w:styleId="CVBullet1">
    <w:name w:val="CV Bullet 1"/>
    <w:basedOn w:val="CVText"/>
    <w:uiPriority w:val="99"/>
    <w:rsid w:val="00CD4A84"/>
    <w:pPr>
      <w:numPr>
        <w:numId w:val="9"/>
      </w:numPr>
      <w:spacing w:before="40" w:after="40"/>
    </w:pPr>
  </w:style>
  <w:style w:type="paragraph" w:customStyle="1" w:styleId="CVDetails">
    <w:name w:val="CV Details"/>
    <w:basedOn w:val="CVRoleTitle"/>
    <w:uiPriority w:val="99"/>
    <w:rsid w:val="00CD4A84"/>
    <w:pPr>
      <w:spacing w:before="120" w:after="40"/>
    </w:pPr>
    <w:rPr>
      <w:sz w:val="14"/>
    </w:rPr>
  </w:style>
  <w:style w:type="paragraph" w:customStyle="1" w:styleId="CVHeading2">
    <w:name w:val="CV Heading 2"/>
    <w:basedOn w:val="CVHeading1"/>
    <w:next w:val="CVText"/>
    <w:uiPriority w:val="99"/>
    <w:rsid w:val="00CD4A84"/>
    <w:pPr>
      <w:pBdr>
        <w:bottom w:val="none" w:sz="0" w:space="0" w:color="00457C"/>
      </w:pBdr>
    </w:pPr>
    <w:rPr>
      <w:b w:val="0"/>
      <w:sz w:val="18"/>
      <w:szCs w:val="24"/>
    </w:rPr>
  </w:style>
  <w:style w:type="paragraph" w:styleId="ListBullet3">
    <w:name w:val="List Bullet 3"/>
    <w:basedOn w:val="ListBullet2"/>
    <w:qFormat/>
    <w:locked/>
    <w:rsid w:val="00CD4A84"/>
    <w:pPr>
      <w:numPr>
        <w:ilvl w:val="2"/>
      </w:numPr>
    </w:pPr>
  </w:style>
  <w:style w:type="paragraph" w:customStyle="1" w:styleId="CVHeading1">
    <w:name w:val="CV Heading 1"/>
    <w:basedOn w:val="CVText"/>
    <w:next w:val="CVText"/>
    <w:uiPriority w:val="99"/>
    <w:rsid w:val="00CD4A84"/>
    <w:pPr>
      <w:keepNext/>
      <w:keepLines/>
      <w:spacing w:before="120"/>
    </w:pPr>
    <w:rPr>
      <w:b/>
      <w:i/>
      <w:color w:val="EB8C00" w:themeColor="text2"/>
    </w:rPr>
  </w:style>
  <w:style w:type="paragraph" w:customStyle="1" w:styleId="CVPhoto">
    <w:name w:val="CV Photo"/>
    <w:basedOn w:val="CVHeading2"/>
    <w:uiPriority w:val="99"/>
    <w:rsid w:val="00CD4A84"/>
    <w:rPr>
      <w:sz w:val="21"/>
    </w:rPr>
  </w:style>
  <w:style w:type="paragraph" w:customStyle="1" w:styleId="CVText">
    <w:name w:val="CV Text"/>
    <w:basedOn w:val="PwCNormal"/>
    <w:uiPriority w:val="99"/>
    <w:rsid w:val="00CD4A84"/>
    <w:pPr>
      <w:numPr>
        <w:numId w:val="0"/>
      </w:numPr>
      <w:spacing w:before="80" w:after="80"/>
    </w:pPr>
  </w:style>
  <w:style w:type="paragraph" w:customStyle="1" w:styleId="CVNamelarge">
    <w:name w:val="CV Name large"/>
    <w:basedOn w:val="CVText"/>
    <w:next w:val="CVRoleTitle"/>
    <w:uiPriority w:val="99"/>
    <w:rsid w:val="00CD4A84"/>
    <w:pPr>
      <w:spacing w:before="0"/>
    </w:pPr>
    <w:rPr>
      <w:b/>
      <w:i/>
      <w:color w:val="EB8C00" w:themeColor="text2"/>
      <w:sz w:val="36"/>
      <w:szCs w:val="24"/>
    </w:rPr>
  </w:style>
  <w:style w:type="paragraph" w:customStyle="1" w:styleId="CVBullet2">
    <w:name w:val="CV Bullet 2"/>
    <w:basedOn w:val="CVBullet1"/>
    <w:uiPriority w:val="99"/>
    <w:rsid w:val="00CD4A84"/>
    <w:pPr>
      <w:numPr>
        <w:ilvl w:val="1"/>
      </w:numPr>
    </w:pPr>
  </w:style>
  <w:style w:type="paragraph" w:styleId="Title">
    <w:name w:val="Title"/>
    <w:basedOn w:val="Normal"/>
    <w:link w:val="TitleChar"/>
    <w:uiPriority w:val="99"/>
    <w:qFormat/>
    <w:rsid w:val="00CD4A84"/>
    <w:pPr>
      <w:spacing w:before="240" w:after="60"/>
      <w:jc w:val="center"/>
      <w:outlineLvl w:val="0"/>
    </w:pPr>
    <w:rPr>
      <w:b/>
      <w:bCs/>
      <w:color w:val="EB8C00" w:themeColor="text2"/>
      <w:kern w:val="28"/>
      <w:sz w:val="32"/>
      <w:szCs w:val="32"/>
    </w:rPr>
  </w:style>
  <w:style w:type="paragraph" w:styleId="BalloonText">
    <w:name w:val="Balloon Text"/>
    <w:basedOn w:val="Normal"/>
    <w:link w:val="BalloonTextChar"/>
    <w:uiPriority w:val="99"/>
    <w:semiHidden/>
    <w:locked/>
    <w:rsid w:val="00CD4A84"/>
    <w:rPr>
      <w:rFonts w:ascii="Tahoma" w:hAnsi="Tahoma"/>
      <w:sz w:val="16"/>
      <w:szCs w:val="16"/>
    </w:rPr>
  </w:style>
  <w:style w:type="numbering" w:customStyle="1" w:styleId="Style1">
    <w:name w:val="Style1"/>
    <w:uiPriority w:val="99"/>
    <w:rsid w:val="00CD4A84"/>
    <w:pPr>
      <w:numPr>
        <w:numId w:val="18"/>
      </w:numPr>
    </w:pPr>
  </w:style>
  <w:style w:type="numbering" w:customStyle="1" w:styleId="IndentList">
    <w:name w:val="IndentList"/>
    <w:basedOn w:val="NoList"/>
    <w:rsid w:val="00CD4A84"/>
  </w:style>
  <w:style w:type="paragraph" w:customStyle="1" w:styleId="VersionControl">
    <w:name w:val="Version Control"/>
    <w:basedOn w:val="Heading1TOC"/>
    <w:uiPriority w:val="99"/>
    <w:unhideWhenUsed/>
    <w:rsid w:val="00CD4A84"/>
    <w:pPr>
      <w:framePr w:w="9923" w:wrap="around" w:vAnchor="text" w:hAnchor="page" w:x="1498" w:y="1"/>
      <w:spacing w:before="360"/>
    </w:pPr>
    <w:rPr>
      <w:sz w:val="28"/>
    </w:rPr>
  </w:style>
  <w:style w:type="paragraph" w:customStyle="1" w:styleId="VersionTableHeading">
    <w:name w:val="Version Table Heading"/>
    <w:basedOn w:val="VersionTableText"/>
    <w:uiPriority w:val="99"/>
    <w:unhideWhenUsed/>
    <w:rsid w:val="00CD4A84"/>
    <w:pPr>
      <w:framePr w:wrap="around"/>
    </w:pPr>
  </w:style>
  <w:style w:type="paragraph" w:customStyle="1" w:styleId="VersionTableText">
    <w:name w:val="Version Table Text"/>
    <w:basedOn w:val="VersionControl"/>
    <w:uiPriority w:val="99"/>
    <w:unhideWhenUsed/>
    <w:rsid w:val="00CD4A84"/>
    <w:pPr>
      <w:framePr w:wrap="around"/>
      <w:spacing w:before="80" w:after="80"/>
      <w:outlineLvl w:val="9"/>
    </w:pPr>
    <w:rPr>
      <w:rFonts w:ascii="Georgia" w:hAnsi="Georgia"/>
      <w:sz w:val="21"/>
      <w:szCs w:val="20"/>
    </w:rPr>
  </w:style>
  <w:style w:type="table" w:customStyle="1" w:styleId="Tables-APBase2">
    <w:name w:val="Tables - AP Base 2"/>
    <w:basedOn w:val="Tables-APBase"/>
    <w:uiPriority w:val="99"/>
    <w:qFormat/>
    <w:rsid w:val="00CD4A84"/>
    <w:tblPr/>
    <w:tcPr>
      <w:shd w:val="clear" w:color="auto" w:fill="FFFFFF" w:themeFill="background2"/>
    </w:tcPr>
    <w:tblStylePr w:type="firstRow">
      <w:pPr>
        <w:jc w:val="center"/>
      </w:pPr>
      <w:rPr>
        <w:rFonts w:asciiTheme="minorHAnsi" w:hAnsiTheme="minorHAnsi"/>
        <w:b/>
        <w:color w:val="FFFFFF" w:themeColor="background2"/>
      </w:rPr>
      <w:tblPr/>
      <w:trPr>
        <w:tblHeader/>
      </w:trPr>
      <w:tcPr>
        <w:tcBorders>
          <w:top w:val="single" w:sz="4" w:space="0" w:color="EB8C00" w:themeColor="text2"/>
          <w:bottom w:val="single" w:sz="4" w:space="0" w:color="EB8C00" w:themeColor="text2"/>
        </w:tcBorders>
        <w:shd w:val="clear" w:color="auto" w:fill="EB8C00" w:themeFill="text2"/>
        <w:vAlign w:val="bottom"/>
      </w:tcPr>
    </w:tblStylePr>
    <w:tblStylePr w:type="lastRow">
      <w:rPr>
        <w:color w:val="FFFFFF" w:themeColor="background1"/>
      </w:rPr>
      <w:tblPr/>
      <w:tcPr>
        <w:tcBorders>
          <w:top w:val="single" w:sz="4" w:space="0" w:color="EB8C00" w:themeColor="text2"/>
        </w:tcBorders>
        <w:shd w:val="clear" w:color="auto" w:fill="EB8C00"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2Vert">
      <w:tblPr/>
      <w:tcPr>
        <w:shd w:val="clear" w:color="auto" w:fill="FFE8C8" w:themeFill="text2" w:themeFillTint="33"/>
      </w:tcPr>
    </w:tblStylePr>
    <w:tblStylePr w:type="band2Horz">
      <w:tblPr/>
      <w:tcPr>
        <w:shd w:val="clear" w:color="auto" w:fill="FFE8C8"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uiPriority w:val="99"/>
    <w:locked/>
    <w:rsid w:val="00CD4A84"/>
    <w:rPr>
      <w:rFonts w:ascii="Arial" w:hAnsi="Arial" w:cs="Arial"/>
      <w:snapToGrid w:val="0"/>
      <w:color w:val="404040" w:themeColor="text1" w:themeTint="BF"/>
      <w:sz w:val="19"/>
      <w:szCs w:val="18"/>
      <w:lang w:eastAsia="en-US"/>
    </w:rPr>
  </w:style>
  <w:style w:type="character" w:customStyle="1" w:styleId="FooterChar">
    <w:name w:val="Footer Char"/>
    <w:basedOn w:val="DefaultParagraphFont"/>
    <w:link w:val="Footer"/>
    <w:uiPriority w:val="99"/>
    <w:locked/>
    <w:rsid w:val="00CD4A84"/>
    <w:rPr>
      <w:rFonts w:ascii="Arial" w:hAnsi="Arial" w:cs="Arial"/>
      <w:snapToGrid w:val="0"/>
      <w:color w:val="404040" w:themeColor="text1" w:themeTint="BF"/>
      <w:sz w:val="19"/>
      <w:szCs w:val="18"/>
      <w:lang w:eastAsia="en-US"/>
    </w:rPr>
  </w:style>
  <w:style w:type="paragraph" w:customStyle="1" w:styleId="Header-FirstPage">
    <w:name w:val="Header - First Page"/>
    <w:basedOn w:val="Header"/>
    <w:uiPriority w:val="99"/>
    <w:rsid w:val="00CD4A84"/>
  </w:style>
  <w:style w:type="paragraph" w:customStyle="1" w:styleId="Appendicestitle">
    <w:name w:val="Appendices title"/>
    <w:basedOn w:val="Heading1TOC"/>
    <w:uiPriority w:val="99"/>
    <w:qFormat/>
    <w:rsid w:val="000702F7"/>
    <w:pPr>
      <w:numPr>
        <w:ilvl w:val="1"/>
        <w:numId w:val="28"/>
      </w:numPr>
      <w:spacing w:before="7200"/>
    </w:pPr>
  </w:style>
  <w:style w:type="numbering" w:customStyle="1" w:styleId="CVBullets">
    <w:name w:val="CV Bullets"/>
    <w:uiPriority w:val="99"/>
    <w:rsid w:val="00CD4A84"/>
    <w:pPr>
      <w:numPr>
        <w:numId w:val="10"/>
      </w:numPr>
    </w:pPr>
  </w:style>
  <w:style w:type="paragraph" w:styleId="DocumentMap">
    <w:name w:val="Document Map"/>
    <w:basedOn w:val="Normal"/>
    <w:link w:val="DocumentMapChar"/>
    <w:uiPriority w:val="99"/>
    <w:semiHidden/>
    <w:rsid w:val="00CD4A84"/>
    <w:rPr>
      <w:rFonts w:ascii="Tahoma" w:hAnsi="Tahoma" w:cs="Tahoma"/>
      <w:sz w:val="16"/>
      <w:szCs w:val="16"/>
    </w:rPr>
  </w:style>
  <w:style w:type="character" w:customStyle="1" w:styleId="DocumentMapChar">
    <w:name w:val="Document Map Char"/>
    <w:basedOn w:val="DefaultParagraphFont"/>
    <w:link w:val="DocumentMap"/>
    <w:uiPriority w:val="99"/>
    <w:semiHidden/>
    <w:rsid w:val="00CD4A84"/>
    <w:rPr>
      <w:rFonts w:ascii="Tahoma" w:hAnsi="Tahoma" w:cs="Tahoma"/>
      <w:snapToGrid w:val="0"/>
      <w:color w:val="404040" w:themeColor="text1" w:themeTint="BF"/>
      <w:sz w:val="16"/>
      <w:szCs w:val="16"/>
      <w:lang w:eastAsia="en-US"/>
    </w:rPr>
  </w:style>
  <w:style w:type="table" w:styleId="TableGrid1">
    <w:name w:val="Table Grid 1"/>
    <w:basedOn w:val="TableNormal"/>
    <w:semiHidden/>
    <w:locked/>
    <w:rsid w:val="00CD4A84"/>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D4A84"/>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D4A84"/>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D4A84"/>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D4A84"/>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D4A84"/>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D4A84"/>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D4A84"/>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CD4A84"/>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CD4A84"/>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iPriority w:val="99"/>
    <w:unhideWhenUsed/>
    <w:locked/>
    <w:rsid w:val="00CD4A84"/>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uiPriority w:val="99"/>
    <w:rsid w:val="00CD4A84"/>
    <w:rPr>
      <w:rFonts w:ascii="Consolas" w:hAnsi="Consolas" w:cs="Arial"/>
      <w:snapToGrid w:val="0"/>
      <w:lang w:eastAsia="en-US"/>
    </w:rPr>
  </w:style>
  <w:style w:type="paragraph" w:styleId="Bibliography">
    <w:name w:val="Bibliography"/>
    <w:basedOn w:val="Normal"/>
    <w:next w:val="Normal"/>
    <w:uiPriority w:val="37"/>
    <w:semiHidden/>
    <w:locked/>
    <w:rsid w:val="00CD4A84"/>
  </w:style>
  <w:style w:type="paragraph" w:styleId="BlockText">
    <w:name w:val="Block Text"/>
    <w:basedOn w:val="Normal"/>
    <w:uiPriority w:val="99"/>
    <w:qFormat/>
    <w:rsid w:val="00CD4A84"/>
    <w:pPr>
      <w:spacing w:after="240"/>
    </w:pPr>
    <w:rPr>
      <w:rFonts w:eastAsiaTheme="minorEastAsia" w:cstheme="minorBidi"/>
      <w:b/>
      <w:i/>
      <w:iCs/>
      <w:color w:val="EB8C00" w:themeColor="accent1"/>
      <w:sz w:val="48"/>
    </w:rPr>
  </w:style>
  <w:style w:type="paragraph" w:styleId="BodyText">
    <w:name w:val="Body Text"/>
    <w:basedOn w:val="Normal"/>
    <w:link w:val="BodyTextChar"/>
    <w:uiPriority w:val="99"/>
    <w:semiHidden/>
    <w:locked/>
    <w:rsid w:val="00CD4A84"/>
    <w:pPr>
      <w:spacing w:after="120"/>
    </w:pPr>
  </w:style>
  <w:style w:type="character" w:customStyle="1" w:styleId="BodyTextChar">
    <w:name w:val="Body Text Char"/>
    <w:basedOn w:val="DefaultParagraphFont"/>
    <w:link w:val="BodyText"/>
    <w:uiPriority w:val="99"/>
    <w:semiHidden/>
    <w:rsid w:val="00CD4A84"/>
    <w:rPr>
      <w:rFonts w:asciiTheme="minorHAnsi" w:hAnsiTheme="minorHAnsi" w:cs="Arial"/>
      <w:snapToGrid w:val="0"/>
      <w:color w:val="404040" w:themeColor="text1" w:themeTint="BF"/>
      <w:sz w:val="22"/>
      <w:lang w:eastAsia="en-US"/>
    </w:rPr>
  </w:style>
  <w:style w:type="paragraph" w:styleId="BodyText2">
    <w:name w:val="Body Text 2"/>
    <w:basedOn w:val="Normal"/>
    <w:link w:val="BodyText2Char"/>
    <w:uiPriority w:val="99"/>
    <w:semiHidden/>
    <w:locked/>
    <w:rsid w:val="00CD4A84"/>
    <w:pPr>
      <w:spacing w:after="120" w:line="480" w:lineRule="auto"/>
    </w:pPr>
  </w:style>
  <w:style w:type="character" w:customStyle="1" w:styleId="BodyText2Char">
    <w:name w:val="Body Text 2 Char"/>
    <w:basedOn w:val="DefaultParagraphFont"/>
    <w:link w:val="BodyText2"/>
    <w:uiPriority w:val="99"/>
    <w:semiHidden/>
    <w:rsid w:val="00CD4A84"/>
    <w:rPr>
      <w:rFonts w:asciiTheme="minorHAnsi" w:hAnsiTheme="minorHAnsi" w:cs="Arial"/>
      <w:snapToGrid w:val="0"/>
      <w:color w:val="404040" w:themeColor="text1" w:themeTint="BF"/>
      <w:sz w:val="22"/>
      <w:lang w:eastAsia="en-US"/>
    </w:rPr>
  </w:style>
  <w:style w:type="paragraph" w:styleId="BodyText3">
    <w:name w:val="Body Text 3"/>
    <w:basedOn w:val="Normal"/>
    <w:link w:val="BodyText3Char"/>
    <w:uiPriority w:val="99"/>
    <w:semiHidden/>
    <w:locked/>
    <w:rsid w:val="00CD4A84"/>
    <w:pPr>
      <w:spacing w:after="120"/>
    </w:pPr>
    <w:rPr>
      <w:sz w:val="16"/>
      <w:szCs w:val="16"/>
    </w:rPr>
  </w:style>
  <w:style w:type="character" w:customStyle="1" w:styleId="BodyText3Char">
    <w:name w:val="Body Text 3 Char"/>
    <w:basedOn w:val="DefaultParagraphFont"/>
    <w:link w:val="BodyText3"/>
    <w:uiPriority w:val="99"/>
    <w:semiHidden/>
    <w:rsid w:val="00CD4A84"/>
    <w:rPr>
      <w:rFonts w:asciiTheme="minorHAnsi" w:hAnsiTheme="minorHAnsi" w:cs="Arial"/>
      <w:snapToGrid w:val="0"/>
      <w:color w:val="404040" w:themeColor="text1" w:themeTint="BF"/>
      <w:sz w:val="16"/>
      <w:szCs w:val="16"/>
      <w:lang w:eastAsia="en-US"/>
    </w:rPr>
  </w:style>
  <w:style w:type="paragraph" w:styleId="BodyTextFirstIndent">
    <w:name w:val="Body Text First Indent"/>
    <w:basedOn w:val="BodyText"/>
    <w:link w:val="BodyTextFirstIndentChar"/>
    <w:uiPriority w:val="99"/>
    <w:semiHidden/>
    <w:locked/>
    <w:rsid w:val="00CD4A84"/>
    <w:pPr>
      <w:spacing w:after="0"/>
      <w:ind w:firstLine="360"/>
    </w:pPr>
  </w:style>
  <w:style w:type="character" w:customStyle="1" w:styleId="BodyTextFirstIndentChar">
    <w:name w:val="Body Text First Indent Char"/>
    <w:basedOn w:val="BodyTextChar"/>
    <w:link w:val="BodyTextFirstIndent"/>
    <w:uiPriority w:val="99"/>
    <w:semiHidden/>
    <w:rsid w:val="00CD4A84"/>
    <w:rPr>
      <w:rFonts w:asciiTheme="minorHAnsi" w:hAnsiTheme="minorHAnsi" w:cs="Arial"/>
      <w:snapToGrid w:val="0"/>
      <w:color w:val="404040" w:themeColor="text1" w:themeTint="BF"/>
      <w:sz w:val="22"/>
      <w:lang w:eastAsia="en-US"/>
    </w:rPr>
  </w:style>
  <w:style w:type="paragraph" w:styleId="BodyTextIndent">
    <w:name w:val="Body Text Indent"/>
    <w:basedOn w:val="Normal"/>
    <w:link w:val="BodyTextIndentChar"/>
    <w:uiPriority w:val="99"/>
    <w:semiHidden/>
    <w:locked/>
    <w:rsid w:val="00CD4A84"/>
    <w:pPr>
      <w:spacing w:after="120"/>
      <w:ind w:left="283"/>
    </w:pPr>
  </w:style>
  <w:style w:type="character" w:customStyle="1" w:styleId="BodyTextIndentChar">
    <w:name w:val="Body Text Indent Char"/>
    <w:basedOn w:val="DefaultParagraphFont"/>
    <w:link w:val="BodyTextIndent"/>
    <w:uiPriority w:val="99"/>
    <w:semiHidden/>
    <w:rsid w:val="00CD4A84"/>
    <w:rPr>
      <w:rFonts w:asciiTheme="minorHAnsi" w:hAnsiTheme="minorHAnsi" w:cs="Arial"/>
      <w:snapToGrid w:val="0"/>
      <w:color w:val="404040" w:themeColor="text1" w:themeTint="BF"/>
      <w:sz w:val="22"/>
      <w:lang w:eastAsia="en-US"/>
    </w:rPr>
  </w:style>
  <w:style w:type="paragraph" w:styleId="BodyTextFirstIndent2">
    <w:name w:val="Body Text First Indent 2"/>
    <w:basedOn w:val="BodyTextIndent"/>
    <w:link w:val="BodyTextFirstIndent2Char"/>
    <w:uiPriority w:val="99"/>
    <w:semiHidden/>
    <w:locked/>
    <w:rsid w:val="00CD4A84"/>
    <w:pPr>
      <w:spacing w:after="0"/>
      <w:ind w:left="360" w:firstLine="360"/>
    </w:pPr>
  </w:style>
  <w:style w:type="character" w:customStyle="1" w:styleId="BodyTextFirstIndent2Char">
    <w:name w:val="Body Text First Indent 2 Char"/>
    <w:basedOn w:val="BodyTextIndentChar"/>
    <w:link w:val="BodyTextFirstIndent2"/>
    <w:uiPriority w:val="99"/>
    <w:semiHidden/>
    <w:rsid w:val="00CD4A84"/>
    <w:rPr>
      <w:rFonts w:asciiTheme="minorHAnsi" w:hAnsiTheme="minorHAnsi" w:cs="Arial"/>
      <w:snapToGrid w:val="0"/>
      <w:color w:val="404040" w:themeColor="text1" w:themeTint="BF"/>
      <w:sz w:val="22"/>
      <w:lang w:eastAsia="en-US"/>
    </w:rPr>
  </w:style>
  <w:style w:type="paragraph" w:styleId="BodyTextIndent2">
    <w:name w:val="Body Text Indent 2"/>
    <w:basedOn w:val="Normal"/>
    <w:link w:val="BodyTextIndent2Char"/>
    <w:uiPriority w:val="99"/>
    <w:semiHidden/>
    <w:locked/>
    <w:rsid w:val="00CD4A84"/>
    <w:pPr>
      <w:spacing w:after="120" w:line="480" w:lineRule="auto"/>
      <w:ind w:left="283"/>
    </w:pPr>
  </w:style>
  <w:style w:type="character" w:customStyle="1" w:styleId="BodyTextIndent2Char">
    <w:name w:val="Body Text Indent 2 Char"/>
    <w:basedOn w:val="DefaultParagraphFont"/>
    <w:link w:val="BodyTextIndent2"/>
    <w:uiPriority w:val="99"/>
    <w:semiHidden/>
    <w:rsid w:val="00CD4A84"/>
    <w:rPr>
      <w:rFonts w:asciiTheme="minorHAnsi" w:hAnsiTheme="minorHAnsi" w:cs="Arial"/>
      <w:snapToGrid w:val="0"/>
      <w:color w:val="404040" w:themeColor="text1" w:themeTint="BF"/>
      <w:sz w:val="22"/>
      <w:lang w:eastAsia="en-US"/>
    </w:rPr>
  </w:style>
  <w:style w:type="paragraph" w:styleId="BodyTextIndent3">
    <w:name w:val="Body Text Indent 3"/>
    <w:basedOn w:val="Normal"/>
    <w:link w:val="BodyTextIndent3Char"/>
    <w:uiPriority w:val="99"/>
    <w:semiHidden/>
    <w:locked/>
    <w:rsid w:val="00CD4A8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D4A84"/>
    <w:rPr>
      <w:rFonts w:asciiTheme="minorHAnsi" w:hAnsiTheme="minorHAnsi" w:cs="Arial"/>
      <w:snapToGrid w:val="0"/>
      <w:color w:val="404040" w:themeColor="text1" w:themeTint="BF"/>
      <w:sz w:val="16"/>
      <w:szCs w:val="16"/>
      <w:lang w:eastAsia="en-US"/>
    </w:rPr>
  </w:style>
  <w:style w:type="character" w:styleId="BookTitle">
    <w:name w:val="Book Title"/>
    <w:basedOn w:val="DefaultParagraphFont"/>
    <w:uiPriority w:val="33"/>
    <w:qFormat/>
    <w:locked/>
    <w:rsid w:val="00CD4A84"/>
    <w:rPr>
      <w:rFonts w:ascii="Georgia" w:hAnsi="Georgia"/>
      <w:b/>
      <w:bCs/>
      <w:smallCaps/>
      <w:spacing w:val="5"/>
    </w:rPr>
  </w:style>
  <w:style w:type="paragraph" w:styleId="Closing">
    <w:name w:val="Closing"/>
    <w:basedOn w:val="Normal"/>
    <w:link w:val="ClosingChar"/>
    <w:uiPriority w:val="99"/>
    <w:semiHidden/>
    <w:unhideWhenUsed/>
    <w:rsid w:val="00CD4A84"/>
    <w:pPr>
      <w:ind w:left="4252"/>
    </w:pPr>
  </w:style>
  <w:style w:type="character" w:customStyle="1" w:styleId="ClosingChar">
    <w:name w:val="Closing Char"/>
    <w:basedOn w:val="DefaultParagraphFont"/>
    <w:link w:val="Closing"/>
    <w:uiPriority w:val="99"/>
    <w:semiHidden/>
    <w:rsid w:val="00CD4A84"/>
    <w:rPr>
      <w:rFonts w:asciiTheme="minorHAnsi" w:hAnsiTheme="minorHAnsi" w:cs="Arial"/>
      <w:snapToGrid w:val="0"/>
      <w:color w:val="404040" w:themeColor="text1" w:themeTint="BF"/>
      <w:sz w:val="22"/>
      <w:lang w:eastAsia="en-US"/>
    </w:rPr>
  </w:style>
  <w:style w:type="character" w:styleId="CommentReference">
    <w:name w:val="annotation reference"/>
    <w:basedOn w:val="DefaultParagraphFont"/>
    <w:semiHidden/>
    <w:rsid w:val="00CD4A84"/>
    <w:rPr>
      <w:rFonts w:ascii="Georgia" w:hAnsi="Georgia"/>
      <w:sz w:val="16"/>
      <w:szCs w:val="16"/>
    </w:rPr>
  </w:style>
  <w:style w:type="paragraph" w:styleId="CommentText">
    <w:name w:val="annotation text"/>
    <w:basedOn w:val="Normal"/>
    <w:link w:val="CommentTextChar"/>
    <w:uiPriority w:val="99"/>
    <w:semiHidden/>
    <w:rsid w:val="00CD4A84"/>
  </w:style>
  <w:style w:type="character" w:customStyle="1" w:styleId="CommentTextChar">
    <w:name w:val="Comment Text Char"/>
    <w:basedOn w:val="DefaultParagraphFont"/>
    <w:link w:val="CommentText"/>
    <w:uiPriority w:val="99"/>
    <w:semiHidden/>
    <w:rsid w:val="00CD4A84"/>
    <w:rPr>
      <w:rFonts w:asciiTheme="minorHAnsi" w:hAnsiTheme="minorHAnsi" w:cs="Arial"/>
      <w:snapToGrid w:val="0"/>
      <w:color w:val="404040" w:themeColor="text1" w:themeTint="BF"/>
      <w:sz w:val="22"/>
      <w:lang w:eastAsia="en-US"/>
    </w:rPr>
  </w:style>
  <w:style w:type="paragraph" w:styleId="CommentSubject">
    <w:name w:val="annotation subject"/>
    <w:basedOn w:val="CommentText"/>
    <w:next w:val="CommentText"/>
    <w:link w:val="CommentSubjectChar"/>
    <w:uiPriority w:val="99"/>
    <w:semiHidden/>
    <w:rsid w:val="00CD4A84"/>
    <w:rPr>
      <w:b/>
      <w:bCs/>
    </w:rPr>
  </w:style>
  <w:style w:type="character" w:customStyle="1" w:styleId="CommentSubjectChar">
    <w:name w:val="Comment Subject Char"/>
    <w:basedOn w:val="CommentTextChar"/>
    <w:link w:val="CommentSubject"/>
    <w:uiPriority w:val="99"/>
    <w:semiHidden/>
    <w:rsid w:val="00CD4A84"/>
    <w:rPr>
      <w:rFonts w:asciiTheme="minorHAnsi" w:hAnsiTheme="minorHAnsi" w:cs="Arial"/>
      <w:b/>
      <w:bCs/>
      <w:snapToGrid w:val="0"/>
      <w:color w:val="404040" w:themeColor="text1" w:themeTint="BF"/>
      <w:sz w:val="22"/>
      <w:lang w:eastAsia="en-US"/>
    </w:rPr>
  </w:style>
  <w:style w:type="paragraph" w:styleId="EnvelopeAddress">
    <w:name w:val="envelope address"/>
    <w:basedOn w:val="Normal"/>
    <w:uiPriority w:val="99"/>
    <w:semiHidden/>
    <w:unhideWhenUsed/>
    <w:locked/>
    <w:rsid w:val="00CD4A8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locked/>
    <w:rsid w:val="00CD4A84"/>
    <w:rPr>
      <w:rFonts w:asciiTheme="majorHAnsi" w:eastAsiaTheme="majorEastAsia" w:hAnsiTheme="majorHAnsi" w:cstheme="majorBidi"/>
    </w:rPr>
  </w:style>
  <w:style w:type="character" w:styleId="FollowedHyperlink">
    <w:name w:val="FollowedHyperlink"/>
    <w:basedOn w:val="DefaultParagraphFont"/>
    <w:semiHidden/>
    <w:rsid w:val="00CD4A84"/>
    <w:rPr>
      <w:color w:val="EB8C00" w:themeColor="followedHyperlink"/>
      <w:u w:val="single"/>
    </w:rPr>
  </w:style>
  <w:style w:type="character" w:styleId="Hyperlink">
    <w:name w:val="Hyperlink"/>
    <w:basedOn w:val="DefaultParagraphFont"/>
    <w:uiPriority w:val="99"/>
    <w:rsid w:val="00CD4A84"/>
    <w:rPr>
      <w:color w:val="EB8C00" w:themeColor="text2"/>
      <w:u w:val="single"/>
    </w:rPr>
  </w:style>
  <w:style w:type="paragraph" w:styleId="IndexHeading">
    <w:name w:val="index heading"/>
    <w:basedOn w:val="Normal"/>
    <w:next w:val="Normal"/>
    <w:uiPriority w:val="99"/>
    <w:semiHidden/>
    <w:rsid w:val="00CD4A84"/>
    <w:rPr>
      <w:rFonts w:asciiTheme="majorHAnsi" w:eastAsiaTheme="majorEastAsia" w:hAnsiTheme="majorHAnsi" w:cstheme="majorBidi"/>
      <w:b/>
      <w:bCs/>
    </w:rPr>
  </w:style>
  <w:style w:type="paragraph" w:customStyle="1" w:styleId="BlockTextClient">
    <w:name w:val="Block Text Client"/>
    <w:basedOn w:val="BlockText"/>
    <w:uiPriority w:val="99"/>
    <w:rsid w:val="00CD4A84"/>
    <w:pPr>
      <w:spacing w:after="0"/>
    </w:pPr>
    <w:rPr>
      <w:b w:val="0"/>
      <w:sz w:val="20"/>
    </w:rPr>
  </w:style>
  <w:style w:type="paragraph" w:customStyle="1" w:styleId="BlockTextPosition">
    <w:name w:val="Block Text Position"/>
    <w:basedOn w:val="BlockText"/>
    <w:uiPriority w:val="99"/>
    <w:rsid w:val="00CD4A84"/>
    <w:rPr>
      <w:b w:val="0"/>
      <w:i w:val="0"/>
      <w:sz w:val="20"/>
    </w:rPr>
  </w:style>
  <w:style w:type="paragraph" w:customStyle="1" w:styleId="BlockText2Client">
    <w:name w:val="Block Text 2 Client"/>
    <w:basedOn w:val="BlockText2"/>
    <w:uiPriority w:val="99"/>
    <w:rsid w:val="00CD4A84"/>
    <w:pPr>
      <w:spacing w:after="0"/>
    </w:pPr>
    <w:rPr>
      <w:sz w:val="20"/>
      <w:szCs w:val="20"/>
    </w:rPr>
  </w:style>
  <w:style w:type="paragraph" w:customStyle="1" w:styleId="BlockText2Position">
    <w:name w:val="Block Text 2 Position"/>
    <w:basedOn w:val="BlockText2"/>
    <w:uiPriority w:val="99"/>
    <w:rsid w:val="00CD4A84"/>
    <w:rPr>
      <w:i w:val="0"/>
      <w:sz w:val="20"/>
      <w:szCs w:val="20"/>
    </w:rPr>
  </w:style>
  <w:style w:type="character" w:styleId="LineNumber">
    <w:name w:val="line number"/>
    <w:basedOn w:val="DefaultParagraphFont"/>
    <w:semiHidden/>
    <w:rsid w:val="00CD4A84"/>
  </w:style>
  <w:style w:type="paragraph" w:styleId="ListBullet">
    <w:name w:val="List Bullet"/>
    <w:basedOn w:val="Normal"/>
    <w:link w:val="ListBulletChar"/>
    <w:uiPriority w:val="14"/>
    <w:qFormat/>
    <w:locked/>
    <w:rsid w:val="001F627D"/>
    <w:pPr>
      <w:numPr>
        <w:numId w:val="12"/>
      </w:numPr>
      <w:spacing w:before="120" w:after="120"/>
    </w:pPr>
  </w:style>
  <w:style w:type="paragraph" w:styleId="ListBullet5">
    <w:name w:val="List Bullet 5"/>
    <w:basedOn w:val="ListBullet4"/>
    <w:unhideWhenUsed/>
    <w:locked/>
    <w:rsid w:val="00CD4A84"/>
    <w:pPr>
      <w:numPr>
        <w:ilvl w:val="4"/>
      </w:numPr>
      <w:contextualSpacing/>
    </w:pPr>
  </w:style>
  <w:style w:type="paragraph" w:styleId="ListNumber">
    <w:name w:val="List Number"/>
    <w:basedOn w:val="Normal"/>
    <w:uiPriority w:val="13"/>
    <w:unhideWhenUsed/>
    <w:qFormat/>
    <w:locked/>
    <w:rsid w:val="00CD4A84"/>
    <w:pPr>
      <w:numPr>
        <w:numId w:val="13"/>
      </w:numPr>
      <w:contextualSpacing/>
    </w:pPr>
  </w:style>
  <w:style w:type="paragraph" w:styleId="ListNumber2">
    <w:name w:val="List Number 2"/>
    <w:basedOn w:val="ListNumber"/>
    <w:uiPriority w:val="13"/>
    <w:unhideWhenUsed/>
    <w:qFormat/>
    <w:locked/>
    <w:rsid w:val="00CD4A84"/>
    <w:pPr>
      <w:numPr>
        <w:ilvl w:val="1"/>
      </w:numPr>
    </w:pPr>
  </w:style>
  <w:style w:type="paragraph" w:styleId="ListNumber3">
    <w:name w:val="List Number 3"/>
    <w:basedOn w:val="ListNumber2"/>
    <w:uiPriority w:val="13"/>
    <w:unhideWhenUsed/>
    <w:qFormat/>
    <w:locked/>
    <w:rsid w:val="00CD4A84"/>
    <w:pPr>
      <w:numPr>
        <w:ilvl w:val="2"/>
      </w:numPr>
    </w:pPr>
  </w:style>
  <w:style w:type="paragraph" w:styleId="ListNumber4">
    <w:name w:val="List Number 4"/>
    <w:basedOn w:val="ListNumber3"/>
    <w:uiPriority w:val="13"/>
    <w:unhideWhenUsed/>
    <w:locked/>
    <w:rsid w:val="00CD4A84"/>
    <w:pPr>
      <w:numPr>
        <w:ilvl w:val="3"/>
      </w:numPr>
    </w:pPr>
  </w:style>
  <w:style w:type="paragraph" w:styleId="ListNumber5">
    <w:name w:val="List Number 5"/>
    <w:basedOn w:val="ListNumber4"/>
    <w:uiPriority w:val="13"/>
    <w:unhideWhenUsed/>
    <w:locked/>
    <w:rsid w:val="00CD4A84"/>
    <w:pPr>
      <w:numPr>
        <w:ilvl w:val="4"/>
      </w:numPr>
    </w:pPr>
  </w:style>
  <w:style w:type="paragraph" w:styleId="ListParagraph">
    <w:name w:val="List Paragraph"/>
    <w:basedOn w:val="Normal"/>
    <w:uiPriority w:val="34"/>
    <w:qFormat/>
    <w:locked/>
    <w:rsid w:val="00CD4A84"/>
    <w:pPr>
      <w:ind w:left="720"/>
      <w:contextualSpacing/>
    </w:pPr>
  </w:style>
  <w:style w:type="paragraph" w:styleId="MessageHeader">
    <w:name w:val="Message Header"/>
    <w:basedOn w:val="Normal"/>
    <w:link w:val="MessageHeaderChar"/>
    <w:uiPriority w:val="99"/>
    <w:semiHidden/>
    <w:rsid w:val="00CD4A8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D4A84"/>
    <w:rPr>
      <w:rFonts w:asciiTheme="majorHAnsi" w:eastAsiaTheme="majorEastAsia" w:hAnsiTheme="majorHAnsi" w:cstheme="majorBidi"/>
      <w:snapToGrid w:val="0"/>
      <w:color w:val="404040" w:themeColor="text1" w:themeTint="BF"/>
      <w:sz w:val="24"/>
      <w:szCs w:val="24"/>
      <w:shd w:val="pct20" w:color="auto" w:fill="auto"/>
      <w:lang w:eastAsia="en-US"/>
    </w:rPr>
  </w:style>
  <w:style w:type="paragraph" w:styleId="NoSpacing">
    <w:name w:val="No Spacing"/>
    <w:uiPriority w:val="1"/>
    <w:qFormat/>
    <w:rsid w:val="00CD4A84"/>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uiPriority w:val="99"/>
    <w:semiHidden/>
    <w:rsid w:val="00CD4A84"/>
    <w:pPr>
      <w:ind w:left="720"/>
    </w:pPr>
  </w:style>
  <w:style w:type="paragraph" w:styleId="NoteHeading">
    <w:name w:val="Note Heading"/>
    <w:basedOn w:val="Normal"/>
    <w:next w:val="Normal"/>
    <w:link w:val="NoteHeadingChar"/>
    <w:uiPriority w:val="99"/>
    <w:unhideWhenUsed/>
    <w:rsid w:val="00CD4A84"/>
  </w:style>
  <w:style w:type="character" w:customStyle="1" w:styleId="NoteHeadingChar">
    <w:name w:val="Note Heading Char"/>
    <w:basedOn w:val="DefaultParagraphFont"/>
    <w:link w:val="NoteHeading"/>
    <w:uiPriority w:val="99"/>
    <w:rsid w:val="00CD4A84"/>
    <w:rPr>
      <w:rFonts w:asciiTheme="minorHAnsi" w:hAnsiTheme="minorHAnsi" w:cs="Arial"/>
      <w:snapToGrid w:val="0"/>
      <w:color w:val="404040" w:themeColor="text1" w:themeTint="BF"/>
      <w:sz w:val="22"/>
      <w:lang w:eastAsia="en-US"/>
    </w:rPr>
  </w:style>
  <w:style w:type="character" w:styleId="PlaceholderText">
    <w:name w:val="Placeholder Text"/>
    <w:basedOn w:val="DefaultParagraphFont"/>
    <w:uiPriority w:val="99"/>
    <w:semiHidden/>
    <w:rsid w:val="00CD4A84"/>
    <w:rPr>
      <w:color w:val="808080"/>
    </w:rPr>
  </w:style>
  <w:style w:type="paragraph" w:styleId="PlainText">
    <w:name w:val="Plain Text"/>
    <w:basedOn w:val="Normal"/>
    <w:link w:val="PlainTextChar"/>
    <w:uiPriority w:val="99"/>
    <w:semiHidden/>
    <w:rsid w:val="00CD4A84"/>
    <w:rPr>
      <w:rFonts w:ascii="Consolas" w:hAnsi="Consolas"/>
    </w:rPr>
  </w:style>
  <w:style w:type="character" w:customStyle="1" w:styleId="PlainTextChar">
    <w:name w:val="Plain Text Char"/>
    <w:basedOn w:val="DefaultParagraphFont"/>
    <w:link w:val="PlainText"/>
    <w:uiPriority w:val="99"/>
    <w:semiHidden/>
    <w:rsid w:val="00CD4A84"/>
    <w:rPr>
      <w:rFonts w:ascii="Consolas" w:hAnsi="Consolas" w:cs="Arial"/>
      <w:snapToGrid w:val="0"/>
      <w:color w:val="404040" w:themeColor="text1" w:themeTint="BF"/>
      <w:sz w:val="22"/>
      <w:lang w:eastAsia="en-US"/>
    </w:rPr>
  </w:style>
  <w:style w:type="paragraph" w:styleId="Quote">
    <w:name w:val="Quote"/>
    <w:basedOn w:val="Normal"/>
    <w:next w:val="Normal"/>
    <w:link w:val="QuoteChar"/>
    <w:uiPriority w:val="29"/>
    <w:qFormat/>
    <w:rsid w:val="00CD4A84"/>
    <w:rPr>
      <w:i/>
      <w:iCs/>
      <w:color w:val="000000" w:themeColor="text1"/>
    </w:rPr>
  </w:style>
  <w:style w:type="character" w:customStyle="1" w:styleId="QuoteChar">
    <w:name w:val="Quote Char"/>
    <w:basedOn w:val="DefaultParagraphFont"/>
    <w:link w:val="Quote"/>
    <w:uiPriority w:val="29"/>
    <w:rsid w:val="00CD4A84"/>
    <w:rPr>
      <w:rFonts w:asciiTheme="minorHAnsi" w:hAnsiTheme="minorHAnsi" w:cs="Arial"/>
      <w:i/>
      <w:iCs/>
      <w:snapToGrid w:val="0"/>
      <w:color w:val="000000" w:themeColor="text1"/>
      <w:sz w:val="22"/>
      <w:lang w:eastAsia="en-US"/>
    </w:rPr>
  </w:style>
  <w:style w:type="paragraph" w:styleId="Salutation">
    <w:name w:val="Salutation"/>
    <w:basedOn w:val="Normal"/>
    <w:next w:val="Normal"/>
    <w:link w:val="SalutationChar"/>
    <w:uiPriority w:val="99"/>
    <w:semiHidden/>
    <w:unhideWhenUsed/>
    <w:rsid w:val="00CD4A84"/>
  </w:style>
  <w:style w:type="character" w:customStyle="1" w:styleId="SalutationChar">
    <w:name w:val="Salutation Char"/>
    <w:basedOn w:val="DefaultParagraphFont"/>
    <w:link w:val="Salutation"/>
    <w:uiPriority w:val="99"/>
    <w:semiHidden/>
    <w:rsid w:val="00CD4A84"/>
    <w:rPr>
      <w:rFonts w:asciiTheme="minorHAnsi" w:hAnsiTheme="minorHAnsi" w:cs="Arial"/>
      <w:snapToGrid w:val="0"/>
      <w:color w:val="404040" w:themeColor="text1" w:themeTint="BF"/>
      <w:sz w:val="22"/>
      <w:lang w:eastAsia="en-US"/>
    </w:rPr>
  </w:style>
  <w:style w:type="paragraph" w:styleId="Signature">
    <w:name w:val="Signature"/>
    <w:basedOn w:val="Normal"/>
    <w:link w:val="SignatureChar"/>
    <w:uiPriority w:val="99"/>
    <w:semiHidden/>
    <w:rsid w:val="00CD4A84"/>
    <w:pPr>
      <w:ind w:left="4252"/>
    </w:pPr>
  </w:style>
  <w:style w:type="character" w:customStyle="1" w:styleId="SignatureChar">
    <w:name w:val="Signature Char"/>
    <w:basedOn w:val="DefaultParagraphFont"/>
    <w:link w:val="Signature"/>
    <w:uiPriority w:val="99"/>
    <w:semiHidden/>
    <w:rsid w:val="00CD4A84"/>
    <w:rPr>
      <w:rFonts w:asciiTheme="minorHAnsi" w:hAnsiTheme="minorHAnsi" w:cs="Arial"/>
      <w:snapToGrid w:val="0"/>
      <w:color w:val="404040" w:themeColor="text1" w:themeTint="BF"/>
      <w:sz w:val="22"/>
      <w:lang w:eastAsia="en-US"/>
    </w:rPr>
  </w:style>
  <w:style w:type="paragraph" w:styleId="TableofAuthorities">
    <w:name w:val="table of authorities"/>
    <w:basedOn w:val="Normal"/>
    <w:next w:val="Normal"/>
    <w:uiPriority w:val="99"/>
    <w:semiHidden/>
    <w:unhideWhenUsed/>
    <w:rsid w:val="00CD4A84"/>
    <w:pPr>
      <w:ind w:left="210" w:hanging="210"/>
    </w:pPr>
  </w:style>
  <w:style w:type="paragraph" w:styleId="TableofFigures">
    <w:name w:val="table of figures"/>
    <w:basedOn w:val="Normal"/>
    <w:next w:val="Normal"/>
    <w:uiPriority w:val="99"/>
    <w:semiHidden/>
    <w:unhideWhenUsed/>
    <w:rsid w:val="00CD4A84"/>
  </w:style>
  <w:style w:type="paragraph" w:styleId="TOAHeading">
    <w:name w:val="toa heading"/>
    <w:basedOn w:val="Normal"/>
    <w:next w:val="Normal"/>
    <w:uiPriority w:val="99"/>
    <w:semiHidden/>
    <w:unhideWhenUsed/>
    <w:rsid w:val="00CD4A8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D4A84"/>
    <w:pPr>
      <w:keepNext/>
      <w:keepLines/>
      <w:spacing w:before="480"/>
      <w:outlineLvl w:val="9"/>
    </w:pPr>
    <w:rPr>
      <w:rFonts w:eastAsiaTheme="majorEastAsia" w:cstheme="majorBidi"/>
      <w:color w:val="B06800" w:themeColor="accent1" w:themeShade="BF"/>
      <w:sz w:val="28"/>
      <w:szCs w:val="28"/>
    </w:rPr>
  </w:style>
  <w:style w:type="paragraph" w:customStyle="1" w:styleId="CoverPanelFrame">
    <w:name w:val="Cover Panel Frame"/>
    <w:basedOn w:val="Coverpulloutframe"/>
    <w:uiPriority w:val="99"/>
    <w:rsid w:val="00CD4A84"/>
    <w:pPr>
      <w:framePr w:w="7441" w:wrap="notBeside" w:vAnchor="margin" w:hAnchor="text" w:x="-112" w:y="1"/>
      <w:pBdr>
        <w:top w:val="single" w:sz="4" w:space="1" w:color="auto"/>
        <w:left w:val="single" w:sz="4" w:space="4" w:color="auto"/>
      </w:pBdr>
    </w:pPr>
    <w:rPr>
      <w:rFonts w:eastAsia="+mn-ea"/>
    </w:rPr>
  </w:style>
  <w:style w:type="paragraph" w:customStyle="1" w:styleId="LogoActivated">
    <w:name w:val="Logo Activated"/>
    <w:basedOn w:val="Normal"/>
    <w:uiPriority w:val="99"/>
    <w:rsid w:val="00CD4A84"/>
    <w:pPr>
      <w:framePr w:w="3119" w:h="1412" w:hRule="exact" w:wrap="around" w:vAnchor="page" w:hAnchor="page" w:x="1543" w:y="15299"/>
      <w:tabs>
        <w:tab w:val="center" w:pos="2551"/>
        <w:tab w:val="right" w:pos="7682"/>
      </w:tabs>
      <w:spacing w:line="0" w:lineRule="atLeast"/>
    </w:pPr>
    <w:rPr>
      <w:rFonts w:asciiTheme="majorHAnsi" w:hAnsiTheme="majorHAnsi"/>
      <w:noProof/>
      <w:snapToGrid/>
      <w:sz w:val="18"/>
      <w:szCs w:val="32"/>
      <w:lang w:eastAsia="en-AU"/>
    </w:rPr>
  </w:style>
  <w:style w:type="paragraph" w:customStyle="1" w:styleId="FirstPagePanelFrame">
    <w:name w:val="First Page Panel Frame"/>
    <w:basedOn w:val="CoverPanelFrame"/>
    <w:uiPriority w:val="99"/>
    <w:rsid w:val="00CD4A84"/>
    <w:pPr>
      <w:framePr w:w="8334" w:h="227" w:hRule="exact" w:wrap="notBeside" w:y="-169"/>
      <w:pBdr>
        <w:top w:val="single" w:sz="6" w:space="1" w:color="EB8C00" w:themeColor="text2"/>
        <w:left w:val="single" w:sz="6" w:space="4" w:color="EB8C00" w:themeColor="text2"/>
      </w:pBdr>
    </w:pPr>
  </w:style>
  <w:style w:type="paragraph" w:customStyle="1" w:styleId="URLCover">
    <w:name w:val="URL Cover"/>
    <w:basedOn w:val="Normal"/>
    <w:uiPriority w:val="99"/>
    <w:rsid w:val="00CD4A84"/>
    <w:rPr>
      <w:color w:val="000000" w:themeColor="text1"/>
      <w:sz w:val="19"/>
    </w:rPr>
  </w:style>
  <w:style w:type="paragraph" w:customStyle="1" w:styleId="Coverpulloutframe">
    <w:name w:val="Cover pull out frame"/>
    <w:basedOn w:val="KeySentenceInside"/>
    <w:uiPriority w:val="99"/>
    <w:rsid w:val="00CD4A84"/>
    <w:pPr>
      <w:framePr w:w="2189" w:h="227" w:wrap="notBeside" w:vAnchor="page" w:hAnchor="page" w:x="908" w:y="8415"/>
      <w:pBdr>
        <w:top w:val="dotted" w:sz="8" w:space="1" w:color="EB8C00" w:themeColor="text2"/>
        <w:left w:val="dotted" w:sz="8" w:space="4" w:color="EB8C00" w:themeColor="text2"/>
      </w:pBdr>
      <w:spacing w:after="0" w:line="0" w:lineRule="atLeast"/>
    </w:pPr>
    <w:rPr>
      <w:color w:val="auto"/>
      <w:sz w:val="8"/>
      <w:lang w:val="en-GB"/>
    </w:rPr>
  </w:style>
  <w:style w:type="paragraph" w:customStyle="1" w:styleId="Heading1Cover">
    <w:name w:val="Heading 1 Cover"/>
    <w:basedOn w:val="Heading1"/>
    <w:uiPriority w:val="99"/>
    <w:rsid w:val="000B7AB9"/>
    <w:pPr>
      <w:spacing w:line="960" w:lineRule="atLeast"/>
      <w:jc w:val="center"/>
    </w:pPr>
    <w:rPr>
      <w:color w:val="auto"/>
      <w:sz w:val="92"/>
      <w:szCs w:val="88"/>
      <w:lang w:val="en-GB"/>
    </w:rPr>
  </w:style>
  <w:style w:type="paragraph" w:customStyle="1" w:styleId="Heading1ChapterHeading">
    <w:name w:val="Heading 1 Chapter Heading"/>
    <w:basedOn w:val="Heading1"/>
    <w:uiPriority w:val="99"/>
    <w:rsid w:val="000A7A1E"/>
    <w:rPr>
      <w:bCs w:val="0"/>
      <w:color w:val="E03028"/>
    </w:rPr>
  </w:style>
  <w:style w:type="paragraph" w:customStyle="1" w:styleId="LogoFixed">
    <w:name w:val="Logo Fixed"/>
    <w:basedOn w:val="LogoActivated"/>
    <w:uiPriority w:val="99"/>
    <w:rsid w:val="00CD4A84"/>
    <w:pPr>
      <w:framePr w:h="2733" w:hRule="exact" w:wrap="around" w:x="1322" w:y="14125"/>
    </w:pPr>
  </w:style>
  <w:style w:type="paragraph" w:customStyle="1" w:styleId="NumericCaption">
    <w:name w:val="Numeric Caption"/>
    <w:basedOn w:val="Caption"/>
    <w:uiPriority w:val="99"/>
    <w:rsid w:val="00CD4A84"/>
    <w:rPr>
      <w:rFonts w:ascii="Arial" w:hAnsi="Arial"/>
    </w:rPr>
  </w:style>
  <w:style w:type="paragraph" w:customStyle="1" w:styleId="NumericTableColumnHeadingNormal">
    <w:name w:val="Numeric Table Column Heading Normal"/>
    <w:basedOn w:val="TableColumnHeadingNormal"/>
    <w:uiPriority w:val="99"/>
    <w:rsid w:val="00CD4A84"/>
    <w:rPr>
      <w:rFonts w:ascii="Arial" w:hAnsi="Arial"/>
    </w:rPr>
  </w:style>
  <w:style w:type="paragraph" w:customStyle="1" w:styleId="NumericTableTextNormal">
    <w:name w:val="Numeric Table Text Normal"/>
    <w:basedOn w:val="TableTextNormal"/>
    <w:uiPriority w:val="99"/>
    <w:rsid w:val="00CD4A84"/>
    <w:rPr>
      <w:rFonts w:ascii="Arial" w:hAnsi="Arial"/>
    </w:rPr>
  </w:style>
  <w:style w:type="paragraph" w:customStyle="1" w:styleId="NumericSources">
    <w:name w:val="Numeric Sources"/>
    <w:basedOn w:val="Sources"/>
    <w:uiPriority w:val="99"/>
    <w:rsid w:val="00CD4A84"/>
    <w:rPr>
      <w:rFonts w:ascii="Arial" w:hAnsi="Arial"/>
    </w:rPr>
  </w:style>
  <w:style w:type="paragraph" w:customStyle="1" w:styleId="NumericTableColumnHeadingSmall">
    <w:name w:val="Numeric Table Column Heading Small"/>
    <w:basedOn w:val="NumericTableColumnHeadingNormal"/>
    <w:uiPriority w:val="99"/>
    <w:rsid w:val="00CD4A84"/>
    <w:rPr>
      <w:sz w:val="16"/>
      <w:szCs w:val="16"/>
    </w:rPr>
  </w:style>
  <w:style w:type="paragraph" w:customStyle="1" w:styleId="NumericTableTextSmall">
    <w:name w:val="Numeric Table Text Small"/>
    <w:basedOn w:val="NumericTableTextNormal"/>
    <w:uiPriority w:val="99"/>
    <w:rsid w:val="00CD4A84"/>
    <w:rPr>
      <w:sz w:val="16"/>
      <w:szCs w:val="16"/>
    </w:rPr>
  </w:style>
  <w:style w:type="paragraph" w:customStyle="1" w:styleId="NumericTableTextDecimalNormal">
    <w:name w:val="Numeric Table Text Decimal Normal"/>
    <w:basedOn w:val="NumericTableTextNormal"/>
    <w:uiPriority w:val="99"/>
    <w:rsid w:val="00CD4A84"/>
    <w:pPr>
      <w:tabs>
        <w:tab w:val="decimal" w:pos="1004"/>
      </w:tabs>
    </w:pPr>
  </w:style>
  <w:style w:type="paragraph" w:customStyle="1" w:styleId="NumericTableTextDecimalSmall">
    <w:name w:val="Numeric Table Text Decimal Small"/>
    <w:basedOn w:val="NumericTableTextDecimalNormal"/>
    <w:uiPriority w:val="99"/>
    <w:rsid w:val="00CD4A84"/>
    <w:rPr>
      <w:sz w:val="16"/>
      <w:szCs w:val="16"/>
    </w:rPr>
  </w:style>
  <w:style w:type="paragraph" w:customStyle="1" w:styleId="Heading2Nospacing">
    <w:name w:val="Heading 2 No spacing"/>
    <w:basedOn w:val="Heading2"/>
    <w:uiPriority w:val="99"/>
    <w:rsid w:val="00CD4A84"/>
    <w:pPr>
      <w:numPr>
        <w:ilvl w:val="0"/>
        <w:numId w:val="0"/>
      </w:numPr>
      <w:spacing w:after="0" w:line="0" w:lineRule="atLeast"/>
    </w:pPr>
  </w:style>
  <w:style w:type="paragraph" w:customStyle="1" w:styleId="TableNumberedList1">
    <w:name w:val="Table Numbered List 1"/>
    <w:basedOn w:val="TableTextNormal"/>
    <w:uiPriority w:val="99"/>
    <w:rsid w:val="00CD4A84"/>
    <w:pPr>
      <w:numPr>
        <w:numId w:val="24"/>
      </w:numPr>
    </w:pPr>
  </w:style>
  <w:style w:type="paragraph" w:customStyle="1" w:styleId="TableNumberedList2">
    <w:name w:val="Table Numbered List 2"/>
    <w:basedOn w:val="TableNumberedList1"/>
    <w:uiPriority w:val="99"/>
    <w:rsid w:val="00CD4A84"/>
    <w:pPr>
      <w:numPr>
        <w:ilvl w:val="1"/>
      </w:numPr>
      <w:spacing w:before="40" w:after="40"/>
    </w:pPr>
  </w:style>
  <w:style w:type="paragraph" w:customStyle="1" w:styleId="TableNumberedList3">
    <w:name w:val="Table Numbered List 3"/>
    <w:basedOn w:val="TableNumberedList2"/>
    <w:uiPriority w:val="99"/>
    <w:rsid w:val="00CD4A84"/>
    <w:pPr>
      <w:numPr>
        <w:ilvl w:val="2"/>
      </w:numPr>
    </w:pPr>
  </w:style>
  <w:style w:type="paragraph" w:customStyle="1" w:styleId="TableNumberedListSmall1">
    <w:name w:val="Table Numbered List Small 1"/>
    <w:basedOn w:val="TableTextSmall"/>
    <w:uiPriority w:val="99"/>
    <w:rsid w:val="00CD4A84"/>
    <w:pPr>
      <w:numPr>
        <w:numId w:val="26"/>
      </w:numPr>
    </w:pPr>
  </w:style>
  <w:style w:type="paragraph" w:customStyle="1" w:styleId="TableNumberedListSmall2">
    <w:name w:val="Table Numbered List Small 2"/>
    <w:basedOn w:val="TableNumberedListSmall1"/>
    <w:uiPriority w:val="99"/>
    <w:rsid w:val="00CD4A84"/>
    <w:pPr>
      <w:numPr>
        <w:ilvl w:val="1"/>
      </w:numPr>
    </w:pPr>
    <w:rPr>
      <w:szCs w:val="21"/>
    </w:rPr>
  </w:style>
  <w:style w:type="paragraph" w:customStyle="1" w:styleId="TableNumberedListSmall3">
    <w:name w:val="Table Numbered List Small 3"/>
    <w:basedOn w:val="TableNumberedListSmall2"/>
    <w:uiPriority w:val="99"/>
    <w:rsid w:val="00CD4A84"/>
    <w:pPr>
      <w:numPr>
        <w:ilvl w:val="2"/>
      </w:numPr>
    </w:pPr>
  </w:style>
  <w:style w:type="numbering" w:customStyle="1" w:styleId="ListNumberList">
    <w:name w:val="List Number List"/>
    <w:uiPriority w:val="99"/>
    <w:rsid w:val="00CD4A84"/>
    <w:pPr>
      <w:numPr>
        <w:numId w:val="14"/>
      </w:numPr>
    </w:pPr>
  </w:style>
  <w:style w:type="numbering" w:styleId="111111">
    <w:name w:val="Outline List 2"/>
    <w:basedOn w:val="NoList"/>
    <w:rsid w:val="00070164"/>
    <w:pPr>
      <w:numPr>
        <w:numId w:val="2"/>
      </w:numPr>
    </w:pPr>
  </w:style>
  <w:style w:type="numbering" w:styleId="1ai">
    <w:name w:val="Outline List 1"/>
    <w:basedOn w:val="NoList"/>
    <w:rsid w:val="00070164"/>
    <w:pPr>
      <w:numPr>
        <w:numId w:val="3"/>
      </w:numPr>
    </w:pPr>
  </w:style>
  <w:style w:type="numbering" w:styleId="ArticleSection">
    <w:name w:val="Outline List 3"/>
    <w:basedOn w:val="NoList"/>
    <w:rsid w:val="00CD4A84"/>
    <w:pPr>
      <w:numPr>
        <w:numId w:val="5"/>
      </w:numPr>
    </w:pPr>
  </w:style>
  <w:style w:type="paragraph" w:customStyle="1" w:styleId="Minorheading3">
    <w:name w:val="Minor heading 3"/>
    <w:basedOn w:val="Minorheading2"/>
    <w:uiPriority w:val="99"/>
    <w:rsid w:val="00CD4A84"/>
    <w:rPr>
      <w:b w:val="0"/>
      <w:i/>
    </w:rPr>
  </w:style>
  <w:style w:type="table" w:customStyle="1" w:styleId="Tables-APLines">
    <w:name w:val="Tables - AP Lines"/>
    <w:basedOn w:val="TableNormal"/>
    <w:rsid w:val="00CD4A84"/>
    <w:tblPr>
      <w:tblStyleRowBandSize w:val="1"/>
      <w:tblStyleColBandSize w:val="1"/>
      <w:tblBorders>
        <w:insideH w:val="single" w:sz="4" w:space="0" w:color="EB8C00" w:themeColor="text2"/>
        <w:insideV w:val="single" w:sz="4" w:space="0" w:color="EB8C00" w:themeColor="text2"/>
      </w:tblBorders>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CD4A84"/>
    <w:pPr>
      <w:spacing w:line="227" w:lineRule="exact"/>
    </w:pPr>
    <w:rPr>
      <w:sz w:val="8"/>
    </w:rPr>
    <w:tblPr>
      <w:tblBorders>
        <w:top w:val="single" w:sz="8" w:space="0" w:color="EB8C00" w:themeColor="text2"/>
        <w:left w:val="single" w:sz="8" w:space="0" w:color="EB8C00" w:themeColor="text2"/>
      </w:tblBorders>
      <w:tblCellMar>
        <w:left w:w="227" w:type="dxa"/>
        <w:right w:w="0" w:type="dxa"/>
      </w:tblCellMar>
    </w:tblPr>
    <w:tcPr>
      <w:shd w:val="clear" w:color="auto" w:fill="auto"/>
    </w:tcPr>
  </w:style>
  <w:style w:type="table" w:customStyle="1" w:styleId="PwCpull-outframe">
    <w:name w:val="PwC pull-out frame"/>
    <w:basedOn w:val="PwCPanelframe"/>
    <w:uiPriority w:val="99"/>
    <w:rsid w:val="00CD4A84"/>
    <w:tblPr>
      <w:tblBorders>
        <w:top w:val="dotted" w:sz="8" w:space="0" w:color="EB8C00" w:themeColor="text2"/>
        <w:left w:val="dotted" w:sz="8" w:space="0" w:color="EB8C00" w:themeColor="text2"/>
      </w:tblBorders>
    </w:tblPr>
    <w:tcPr>
      <w:shd w:val="clear" w:color="auto" w:fill="auto"/>
    </w:tcPr>
  </w:style>
  <w:style w:type="paragraph" w:customStyle="1" w:styleId="Bullet1">
    <w:name w:val="Bullet 1"/>
    <w:basedOn w:val="PwCNormal"/>
    <w:rsid w:val="00CD4A84"/>
    <w:pPr>
      <w:numPr>
        <w:numId w:val="7"/>
      </w:numPr>
      <w:spacing w:after="80"/>
    </w:pPr>
  </w:style>
  <w:style w:type="paragraph" w:customStyle="1" w:styleId="Bullet2">
    <w:name w:val="Bullet 2"/>
    <w:basedOn w:val="Bullet1"/>
    <w:rsid w:val="00CD4A84"/>
    <w:pPr>
      <w:numPr>
        <w:ilvl w:val="1"/>
      </w:numPr>
    </w:pPr>
  </w:style>
  <w:style w:type="paragraph" w:customStyle="1" w:styleId="Bullet3">
    <w:name w:val="Bullet 3"/>
    <w:basedOn w:val="Bullet2"/>
    <w:rsid w:val="00CD4A84"/>
    <w:pPr>
      <w:numPr>
        <w:ilvl w:val="2"/>
      </w:numPr>
    </w:pPr>
  </w:style>
  <w:style w:type="paragraph" w:customStyle="1" w:styleId="Bullet4">
    <w:name w:val="Bullet 4"/>
    <w:basedOn w:val="Bullet3"/>
    <w:rsid w:val="00CD4A84"/>
    <w:pPr>
      <w:numPr>
        <w:ilvl w:val="3"/>
      </w:numPr>
    </w:pPr>
  </w:style>
  <w:style w:type="numbering" w:customStyle="1" w:styleId="Bullets">
    <w:name w:val="Bullets"/>
    <w:uiPriority w:val="99"/>
    <w:rsid w:val="00CD4A84"/>
    <w:pPr>
      <w:numPr>
        <w:numId w:val="7"/>
      </w:numPr>
    </w:pPr>
  </w:style>
  <w:style w:type="paragraph" w:customStyle="1" w:styleId="FirstPagePanelFrame-Contents">
    <w:name w:val="First Page Panel Frame - Contents"/>
    <w:basedOn w:val="FirstPagePanelFrame"/>
    <w:uiPriority w:val="99"/>
    <w:rsid w:val="00CD4A84"/>
    <w:pPr>
      <w:framePr w:wrap="notBeside"/>
    </w:pPr>
  </w:style>
  <w:style w:type="numbering" w:customStyle="1" w:styleId="ChapterNumberingList">
    <w:name w:val="Chapter Numbering List"/>
    <w:uiPriority w:val="99"/>
    <w:rsid w:val="00CD4A84"/>
    <w:pPr>
      <w:numPr>
        <w:numId w:val="8"/>
      </w:numPr>
    </w:pPr>
  </w:style>
  <w:style w:type="character" w:customStyle="1" w:styleId="TableTextSmallChar">
    <w:name w:val="Table Text Small Char"/>
    <w:basedOn w:val="DefaultParagraphFont"/>
    <w:link w:val="TableTextSmall"/>
    <w:rsid w:val="00CD4A84"/>
    <w:rPr>
      <w:rFonts w:asciiTheme="minorHAnsi" w:hAnsiTheme="minorHAnsi" w:cs="Arial"/>
      <w:snapToGrid w:val="0"/>
      <w:color w:val="404040" w:themeColor="text1" w:themeTint="BF"/>
      <w:sz w:val="16"/>
      <w:szCs w:val="18"/>
      <w:lang w:eastAsia="en-US"/>
    </w:rPr>
  </w:style>
  <w:style w:type="table" w:customStyle="1" w:styleId="Tables-APBase1">
    <w:name w:val="Tables - AP Base1"/>
    <w:basedOn w:val="TableNormal"/>
    <w:rsid w:val="00CD4A84"/>
    <w:rPr>
      <w:rFonts w:ascii="Arial" w:hAnsi="Arial"/>
      <w:sz w:val="21"/>
      <w:szCs w:val="21"/>
    </w:rPr>
    <w:tblPr>
      <w:tblStyleRowBandSize w:val="1"/>
      <w:tblStyleColBandSize w:val="1"/>
      <w:tblBorders>
        <w:top w:val="single" w:sz="4" w:space="0" w:color="FFFFFF"/>
        <w:left w:val="single" w:sz="4" w:space="0" w:color="FFFFFF"/>
        <w:bottom w:val="single" w:sz="6" w:space="0" w:color="EB8C00" w:themeColor="text2"/>
        <w:right w:val="single" w:sz="4" w:space="0" w:color="FFFFFF"/>
        <w:insideH w:val="dotted" w:sz="8" w:space="0" w:color="EB8C00" w:themeColor="text2"/>
        <w:insideV w:val="single" w:sz="4" w:space="0" w:color="FFFFFF"/>
      </w:tblBorders>
    </w:tblPr>
    <w:tcPr>
      <w:shd w:val="clear" w:color="auto" w:fill="auto"/>
      <w:tcMar>
        <w:top w:w="0" w:type="dxa"/>
        <w:left w:w="108" w:type="dxa"/>
        <w:bottom w:w="0" w:type="dxa"/>
        <w:right w:w="108" w:type="dxa"/>
      </w:tcMar>
    </w:tcPr>
    <w:tblStylePr w:type="firstRow">
      <w:pPr>
        <w:jc w:val="left"/>
      </w:pPr>
      <w:rPr>
        <w:rFonts w:asciiTheme="minorHAnsi" w:hAnsiTheme="minorHAnsi"/>
        <w:b w:val="0"/>
        <w:color w:val="auto"/>
      </w:rPr>
      <w:tblPr/>
      <w:trPr>
        <w:tblHeader/>
      </w:trPr>
      <w:tcPr>
        <w:tcBorders>
          <w:top w:val="single" w:sz="4" w:space="0" w:color="EB8C00" w:themeColor="text2"/>
          <w:bottom w:val="single" w:sz="4" w:space="0" w:color="EB8C00" w:themeColor="text2"/>
        </w:tcBorders>
      </w:tcPr>
    </w:tblStylePr>
    <w:tblStylePr w:type="lastRow">
      <w:rPr>
        <w:color w:val="auto"/>
      </w:rPr>
      <w:tblPr/>
      <w:tcPr>
        <w:tcBorders>
          <w:top w:val="single" w:sz="4" w:space="0" w:color="EB8C00" w:themeColor="text2"/>
        </w:tcBorders>
        <w:shd w:val="clear" w:color="auto" w:fill="auto"/>
      </w:tcPr>
    </w:tblStylePr>
    <w:tblStylePr w:type="nwCell">
      <w:pPr>
        <w:jc w:val="left"/>
      </w:pPr>
      <w:tblPr/>
      <w:tcPr>
        <w:vAlign w:val="bottom"/>
      </w:tcPr>
    </w:tblStylePr>
  </w:style>
  <w:style w:type="paragraph" w:customStyle="1" w:styleId="TableText">
    <w:name w:val="Table Text"/>
    <w:basedOn w:val="Normal"/>
    <w:uiPriority w:val="99"/>
    <w:qFormat/>
    <w:rsid w:val="00EE500A"/>
    <w:pPr>
      <w:kinsoku/>
      <w:overflowPunct/>
      <w:autoSpaceDE/>
      <w:autoSpaceDN/>
      <w:adjustRightInd/>
      <w:snapToGrid/>
      <w:spacing w:line="264" w:lineRule="auto"/>
      <w:contextualSpacing/>
    </w:pPr>
    <w:rPr>
      <w:rFonts w:ascii="Arial" w:hAnsi="Arial" w:cs="Times New Roman"/>
      <w:snapToGrid/>
      <w:sz w:val="16"/>
      <w:lang w:val="en-US"/>
    </w:rPr>
  </w:style>
  <w:style w:type="paragraph" w:customStyle="1" w:styleId="ListBulletsingle">
    <w:name w:val="List Bullet single"/>
    <w:basedOn w:val="ListBullet"/>
    <w:link w:val="ListBulletsingleChar"/>
    <w:qFormat/>
    <w:rsid w:val="00CD4A84"/>
    <w:pPr>
      <w:numPr>
        <w:numId w:val="0"/>
      </w:numPr>
      <w:tabs>
        <w:tab w:val="num" w:pos="283"/>
      </w:tabs>
      <w:spacing w:before="0" w:after="0"/>
      <w:ind w:left="284" w:hanging="284"/>
    </w:pPr>
    <w:rPr>
      <w:szCs w:val="21"/>
      <w:lang w:val="en-NZ"/>
    </w:rPr>
  </w:style>
  <w:style w:type="paragraph" w:styleId="ListContinue">
    <w:name w:val="List Continue"/>
    <w:basedOn w:val="Normal"/>
    <w:semiHidden/>
    <w:locked/>
    <w:rsid w:val="00CD4A84"/>
    <w:pPr>
      <w:spacing w:after="120"/>
      <w:ind w:left="283"/>
      <w:contextualSpacing/>
    </w:pPr>
  </w:style>
  <w:style w:type="paragraph" w:customStyle="1" w:styleId="Tabletext0">
    <w:name w:val="Table text"/>
    <w:basedOn w:val="BodyText"/>
    <w:uiPriority w:val="99"/>
    <w:qFormat/>
    <w:rsid w:val="00345821"/>
    <w:pPr>
      <w:kinsoku/>
      <w:overflowPunct/>
      <w:autoSpaceDE/>
      <w:autoSpaceDN/>
      <w:adjustRightInd/>
      <w:snapToGrid/>
      <w:spacing w:before="40" w:after="40"/>
    </w:pPr>
    <w:rPr>
      <w:rFonts w:eastAsiaTheme="minorHAnsi" w:cstheme="minorBidi"/>
      <w:snapToGrid/>
      <w:sz w:val="18"/>
      <w:lang w:val="en-GB"/>
    </w:rPr>
  </w:style>
  <w:style w:type="table" w:styleId="LightList">
    <w:name w:val="Light List"/>
    <w:basedOn w:val="TableNormal"/>
    <w:uiPriority w:val="61"/>
    <w:locked/>
    <w:rsid w:val="00CD4A84"/>
    <w:rPr>
      <w:rFonts w:eastAsiaTheme="minorHAnsi" w:cstheme="minorBidi"/>
      <w:lang w:val="en-GB"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s-APBase20">
    <w:name w:val="Tables - AP Base2"/>
    <w:basedOn w:val="TableNormal"/>
    <w:rsid w:val="00CD4A84"/>
    <w:tblPr>
      <w:tblStyleRowBandSize w:val="1"/>
      <w:tblStyleColBandSize w:val="1"/>
      <w:tblBorders>
        <w:top w:val="single" w:sz="4" w:space="0" w:color="FFFFFF"/>
        <w:left w:val="single" w:sz="4" w:space="0" w:color="FFFFFF"/>
        <w:bottom w:val="single" w:sz="6" w:space="0" w:color="EB8C00" w:themeColor="text2"/>
        <w:right w:val="single" w:sz="4" w:space="0" w:color="FFFFFF"/>
        <w:insideH w:val="dotted" w:sz="8" w:space="0" w:color="EB8C00"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EB8C00" w:themeColor="text2"/>
          <w:bottom w:val="single" w:sz="4" w:space="0" w:color="EB8C00" w:themeColor="text2"/>
        </w:tcBorders>
      </w:tcPr>
    </w:tblStylePr>
    <w:tblStylePr w:type="lastRow">
      <w:rPr>
        <w:color w:val="auto"/>
      </w:rPr>
      <w:tblPr/>
      <w:tcPr>
        <w:tcBorders>
          <w:top w:val="single" w:sz="4" w:space="0" w:color="EB8C00" w:themeColor="text2"/>
        </w:tcBorders>
        <w:shd w:val="clear" w:color="auto" w:fill="auto"/>
      </w:tcPr>
    </w:tblStylePr>
    <w:tblStylePr w:type="nwCell">
      <w:pPr>
        <w:jc w:val="left"/>
      </w:pPr>
      <w:tblPr/>
      <w:tcPr>
        <w:vAlign w:val="bottom"/>
      </w:tcPr>
    </w:tblStylePr>
  </w:style>
  <w:style w:type="table" w:customStyle="1" w:styleId="Tables-APBase3">
    <w:name w:val="Tables - AP Base3"/>
    <w:basedOn w:val="TableNormal"/>
    <w:rsid w:val="00CD4A84"/>
    <w:tblPr>
      <w:tblStyleRowBandSize w:val="1"/>
      <w:tblStyleColBandSize w:val="1"/>
      <w:tblBorders>
        <w:top w:val="single" w:sz="4" w:space="0" w:color="FFFFFF"/>
        <w:left w:val="single" w:sz="4" w:space="0" w:color="FFFFFF"/>
        <w:bottom w:val="single" w:sz="6" w:space="0" w:color="EB8C00" w:themeColor="text2"/>
        <w:right w:val="single" w:sz="4" w:space="0" w:color="FFFFFF"/>
        <w:insideH w:val="dotted" w:sz="8" w:space="0" w:color="EB8C00"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EB8C00" w:themeColor="text2"/>
          <w:bottom w:val="single" w:sz="4" w:space="0" w:color="EB8C00" w:themeColor="text2"/>
        </w:tcBorders>
      </w:tcPr>
    </w:tblStylePr>
    <w:tblStylePr w:type="lastRow">
      <w:rPr>
        <w:color w:val="auto"/>
      </w:rPr>
      <w:tblPr/>
      <w:tcPr>
        <w:tcBorders>
          <w:top w:val="single" w:sz="4" w:space="0" w:color="EB8C00" w:themeColor="text2"/>
        </w:tcBorders>
        <w:shd w:val="clear" w:color="auto" w:fill="auto"/>
      </w:tcPr>
    </w:tblStylePr>
    <w:tblStylePr w:type="nwCell">
      <w:pPr>
        <w:jc w:val="left"/>
      </w:pPr>
      <w:tblPr/>
      <w:tcPr>
        <w:vAlign w:val="bottom"/>
      </w:tcPr>
    </w:tblStylePr>
  </w:style>
  <w:style w:type="paragraph" w:styleId="Revision">
    <w:name w:val="Revision"/>
    <w:hidden/>
    <w:uiPriority w:val="99"/>
    <w:semiHidden/>
    <w:rsid w:val="008C0C37"/>
    <w:rPr>
      <w:rFonts w:cs="Arial"/>
      <w:snapToGrid w:val="0"/>
      <w:lang w:eastAsia="en-US"/>
    </w:rPr>
  </w:style>
  <w:style w:type="paragraph" w:customStyle="1" w:styleId="Heading2ExecutiveSummary">
    <w:name w:val="Heading 2 Executive Summary"/>
    <w:basedOn w:val="Heading2"/>
    <w:link w:val="Heading2ExecutiveSummaryChar"/>
    <w:uiPriority w:val="99"/>
    <w:qFormat/>
    <w:rsid w:val="00C23E42"/>
    <w:pPr>
      <w:numPr>
        <w:numId w:val="4"/>
      </w:numPr>
      <w:spacing w:before="240" w:after="0" w:line="240" w:lineRule="auto"/>
    </w:pPr>
    <w:rPr>
      <w:sz w:val="32"/>
    </w:rPr>
  </w:style>
  <w:style w:type="paragraph" w:customStyle="1" w:styleId="ExecSummaryheading3">
    <w:name w:val="Exec Summary heading 3"/>
    <w:basedOn w:val="PwCNormal"/>
    <w:link w:val="ExecSummaryheading3Char"/>
    <w:uiPriority w:val="99"/>
    <w:qFormat/>
    <w:rsid w:val="00B67FF7"/>
    <w:rPr>
      <w:color w:val="EB8C00"/>
      <w:sz w:val="32"/>
      <w:szCs w:val="32"/>
    </w:rPr>
  </w:style>
  <w:style w:type="character" w:customStyle="1" w:styleId="Heading2Char">
    <w:name w:val="Heading 2 Char"/>
    <w:basedOn w:val="DefaultParagraphFont"/>
    <w:link w:val="Heading2"/>
    <w:rsid w:val="008D3BDB"/>
    <w:rPr>
      <w:rFonts w:asciiTheme="majorHAnsi" w:hAnsiTheme="majorHAnsi" w:cs="Arial"/>
      <w:bCs/>
      <w:iCs/>
      <w:snapToGrid w:val="0"/>
      <w:color w:val="E0301E"/>
      <w:sz w:val="40"/>
      <w:szCs w:val="36"/>
      <w:lang w:eastAsia="en-US"/>
    </w:rPr>
  </w:style>
  <w:style w:type="character" w:customStyle="1" w:styleId="Heading2ExecutiveSummaryChar">
    <w:name w:val="Heading 2 Executive Summary Char"/>
    <w:basedOn w:val="Heading2Char"/>
    <w:link w:val="Heading2ExecutiveSummary"/>
    <w:uiPriority w:val="99"/>
    <w:rsid w:val="00C23E42"/>
    <w:rPr>
      <w:rFonts w:asciiTheme="majorHAnsi" w:hAnsiTheme="majorHAnsi" w:cs="Arial"/>
      <w:bCs/>
      <w:iCs/>
      <w:snapToGrid w:val="0"/>
      <w:color w:val="E0301E"/>
      <w:sz w:val="32"/>
      <w:szCs w:val="36"/>
      <w:lang w:eastAsia="en-US"/>
    </w:rPr>
  </w:style>
  <w:style w:type="character" w:customStyle="1" w:styleId="ExecSummaryheading3Char">
    <w:name w:val="Exec Summary heading 3 Char"/>
    <w:basedOn w:val="PwCNormalChar"/>
    <w:link w:val="ExecSummaryheading3"/>
    <w:uiPriority w:val="99"/>
    <w:rsid w:val="00B67FF7"/>
    <w:rPr>
      <w:rFonts w:asciiTheme="minorHAnsi" w:hAnsiTheme="minorHAnsi" w:cs="Arial"/>
      <w:snapToGrid w:val="0"/>
      <w:color w:val="EB8C00"/>
      <w:sz w:val="32"/>
      <w:szCs w:val="32"/>
      <w:lang w:eastAsia="en-US"/>
    </w:rPr>
  </w:style>
  <w:style w:type="paragraph" w:styleId="NormalWeb">
    <w:name w:val="Normal (Web)"/>
    <w:basedOn w:val="Normal"/>
    <w:uiPriority w:val="99"/>
    <w:semiHidden/>
    <w:unhideWhenUsed/>
    <w:rsid w:val="00BB25D2"/>
    <w:pPr>
      <w:kinsoku/>
      <w:overflowPunct/>
      <w:autoSpaceDE/>
      <w:autoSpaceDN/>
      <w:adjustRightInd/>
      <w:snapToGrid/>
      <w:spacing w:before="100" w:beforeAutospacing="1" w:after="100" w:afterAutospacing="1"/>
    </w:pPr>
    <w:rPr>
      <w:rFonts w:ascii="Times New Roman" w:eastAsiaTheme="minorEastAsia" w:hAnsi="Times New Roman" w:cs="Times New Roman"/>
      <w:snapToGrid/>
      <w:sz w:val="24"/>
      <w:szCs w:val="24"/>
      <w:lang w:eastAsia="en-AU"/>
    </w:rPr>
  </w:style>
  <w:style w:type="paragraph" w:customStyle="1" w:styleId="PwCNormal-notefordraft">
    <w:name w:val="PwC Normal - note for draft"/>
    <w:basedOn w:val="PwCNormal"/>
    <w:link w:val="PwCNormal-notefordraftChar"/>
    <w:uiPriority w:val="99"/>
    <w:qFormat/>
    <w:rsid w:val="009A0C49"/>
    <w:pPr>
      <w:spacing w:before="240" w:after="240"/>
    </w:pPr>
    <w:rPr>
      <w:color w:val="FF0000"/>
    </w:rPr>
  </w:style>
  <w:style w:type="character" w:customStyle="1" w:styleId="PwCNormal-notefordraftChar">
    <w:name w:val="PwC Normal - note for draft Char"/>
    <w:basedOn w:val="PwCNormalChar"/>
    <w:link w:val="PwCNormal-notefordraft"/>
    <w:uiPriority w:val="99"/>
    <w:rsid w:val="009A0C49"/>
    <w:rPr>
      <w:rFonts w:asciiTheme="minorHAnsi" w:hAnsiTheme="minorHAnsi" w:cs="Arial"/>
      <w:snapToGrid w:val="0"/>
      <w:color w:val="FF0000"/>
      <w:lang w:eastAsia="en-US"/>
    </w:rPr>
  </w:style>
  <w:style w:type="paragraph" w:styleId="ListContinue2">
    <w:name w:val="List Continue 2"/>
    <w:basedOn w:val="Normal"/>
    <w:uiPriority w:val="99"/>
    <w:semiHidden/>
    <w:locked/>
    <w:rsid w:val="00C91126"/>
    <w:pPr>
      <w:spacing w:after="120"/>
      <w:ind w:left="566"/>
      <w:contextualSpacing/>
    </w:pPr>
  </w:style>
  <w:style w:type="paragraph" w:customStyle="1" w:styleId="Listbulletsingle-red">
    <w:name w:val="List bullet single - red"/>
    <w:basedOn w:val="ListBulletsingle"/>
    <w:link w:val="Listbulletsingle-redChar"/>
    <w:qFormat/>
    <w:rsid w:val="001C3BAB"/>
    <w:rPr>
      <w:color w:val="E0301E" w:themeColor="accent6"/>
    </w:rPr>
  </w:style>
  <w:style w:type="character" w:customStyle="1" w:styleId="ListBulletChar">
    <w:name w:val="List Bullet Char"/>
    <w:basedOn w:val="DefaultParagraphFont"/>
    <w:link w:val="ListBullet"/>
    <w:uiPriority w:val="14"/>
    <w:rsid w:val="001F627D"/>
    <w:rPr>
      <w:rFonts w:asciiTheme="minorHAnsi" w:hAnsiTheme="minorHAnsi" w:cs="Arial"/>
      <w:snapToGrid w:val="0"/>
      <w:color w:val="404040" w:themeColor="text1" w:themeTint="BF"/>
      <w:lang w:eastAsia="en-US"/>
    </w:rPr>
  </w:style>
  <w:style w:type="character" w:customStyle="1" w:styleId="ListBulletsingleChar">
    <w:name w:val="List Bullet single Char"/>
    <w:basedOn w:val="ListBulletChar"/>
    <w:link w:val="ListBulletsingle"/>
    <w:rsid w:val="001C3BAB"/>
    <w:rPr>
      <w:rFonts w:asciiTheme="minorHAnsi" w:hAnsiTheme="minorHAnsi" w:cs="Arial"/>
      <w:snapToGrid w:val="0"/>
      <w:color w:val="404040" w:themeColor="text1" w:themeTint="BF"/>
      <w:sz w:val="22"/>
      <w:szCs w:val="21"/>
      <w:lang w:val="en-NZ" w:eastAsia="en-US"/>
    </w:rPr>
  </w:style>
  <w:style w:type="character" w:customStyle="1" w:styleId="Listbulletsingle-redChar">
    <w:name w:val="List bullet single - red Char"/>
    <w:basedOn w:val="ListBulletsingleChar"/>
    <w:link w:val="Listbulletsingle-red"/>
    <w:rsid w:val="001C3BAB"/>
    <w:rPr>
      <w:rFonts w:asciiTheme="minorHAnsi" w:hAnsiTheme="minorHAnsi" w:cs="Arial"/>
      <w:snapToGrid w:val="0"/>
      <w:color w:val="E0301E" w:themeColor="accent6"/>
      <w:sz w:val="22"/>
      <w:szCs w:val="21"/>
      <w:lang w:val="en-NZ" w:eastAsia="en-US"/>
    </w:rPr>
  </w:style>
  <w:style w:type="table" w:customStyle="1" w:styleId="TableGrid10">
    <w:name w:val="Table Grid1"/>
    <w:basedOn w:val="TableNormal"/>
    <w:next w:val="TableGrid"/>
    <w:uiPriority w:val="59"/>
    <w:rsid w:val="007277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ingindent1">
    <w:name w:val="Hanging indent 1"/>
    <w:basedOn w:val="Bullet1"/>
    <w:uiPriority w:val="99"/>
    <w:qFormat/>
    <w:rsid w:val="00CD4A84"/>
    <w:pPr>
      <w:numPr>
        <w:numId w:val="0"/>
      </w:numPr>
      <w:ind w:left="284"/>
    </w:pPr>
  </w:style>
  <w:style w:type="numbering" w:customStyle="1" w:styleId="NormalWhiteBullet">
    <w:name w:val="Normal White Bullet"/>
    <w:uiPriority w:val="99"/>
    <w:rsid w:val="00CD4A84"/>
    <w:pPr>
      <w:numPr>
        <w:numId w:val="15"/>
      </w:numPr>
    </w:pPr>
  </w:style>
  <w:style w:type="paragraph" w:customStyle="1" w:styleId="TableTextNormalWhiteBullet">
    <w:name w:val="Table Text Normal White Bullet"/>
    <w:basedOn w:val="TableTextNormal"/>
    <w:uiPriority w:val="99"/>
    <w:qFormat/>
    <w:rsid w:val="00CD4A84"/>
    <w:pPr>
      <w:numPr>
        <w:numId w:val="27"/>
      </w:numPr>
      <w:spacing w:before="40" w:after="40"/>
    </w:pPr>
    <w:rPr>
      <w:color w:val="FFFFFF" w:themeColor="background1"/>
    </w:rPr>
  </w:style>
  <w:style w:type="paragraph" w:customStyle="1" w:styleId="TableTextSmalltopic">
    <w:name w:val="Table Text Small topic"/>
    <w:basedOn w:val="TableTextSmall"/>
    <w:uiPriority w:val="99"/>
    <w:qFormat/>
    <w:rsid w:val="00732168"/>
    <w:rPr>
      <w:b/>
    </w:rPr>
  </w:style>
  <w:style w:type="paragraph" w:customStyle="1" w:styleId="Summarytext">
    <w:name w:val="Summary text"/>
    <w:basedOn w:val="PwCNormal"/>
    <w:uiPriority w:val="99"/>
    <w:qFormat/>
    <w:rsid w:val="00371AEC"/>
    <w:pPr>
      <w:numPr>
        <w:numId w:val="0"/>
      </w:numPr>
    </w:pPr>
    <w:rPr>
      <w:color w:val="EB8C00" w:themeColor="text2"/>
      <w:sz w:val="26"/>
      <w:szCs w:val="22"/>
    </w:rPr>
  </w:style>
  <w:style w:type="table" w:styleId="MediumShading1-Accent1">
    <w:name w:val="Medium Shading 1 Accent 1"/>
    <w:basedOn w:val="TableNormal"/>
    <w:uiPriority w:val="63"/>
    <w:locked/>
    <w:rsid w:val="00456BE5"/>
    <w:tblPr>
      <w:tblStyleRowBandSize w:val="1"/>
      <w:tblStyleColBandSize w:val="1"/>
      <w:tblBorders>
        <w:top w:val="single" w:sz="8" w:space="0" w:color="FFAA31" w:themeColor="accent1" w:themeTint="BF"/>
        <w:left w:val="single" w:sz="8" w:space="0" w:color="FFAA31" w:themeColor="accent1" w:themeTint="BF"/>
        <w:bottom w:val="single" w:sz="8" w:space="0" w:color="FFAA31" w:themeColor="accent1" w:themeTint="BF"/>
        <w:right w:val="single" w:sz="8" w:space="0" w:color="FFAA31" w:themeColor="accent1" w:themeTint="BF"/>
        <w:insideH w:val="single" w:sz="8" w:space="0" w:color="FFAA31" w:themeColor="accent1" w:themeTint="BF"/>
      </w:tblBorders>
    </w:tblPr>
    <w:tblStylePr w:type="firstRow">
      <w:pPr>
        <w:spacing w:before="0" w:after="0" w:line="240" w:lineRule="auto"/>
      </w:pPr>
      <w:rPr>
        <w:b/>
        <w:bCs/>
        <w:color w:val="FFFFFF" w:themeColor="background1"/>
      </w:rPr>
      <w:tblPr/>
      <w:tcPr>
        <w:tcBorders>
          <w:top w:val="single" w:sz="8" w:space="0" w:color="FFAA31" w:themeColor="accent1" w:themeTint="BF"/>
          <w:left w:val="single" w:sz="8" w:space="0" w:color="FFAA31" w:themeColor="accent1" w:themeTint="BF"/>
          <w:bottom w:val="single" w:sz="8" w:space="0" w:color="FFAA31" w:themeColor="accent1" w:themeTint="BF"/>
          <w:right w:val="single" w:sz="8" w:space="0" w:color="FFAA31" w:themeColor="accent1" w:themeTint="BF"/>
          <w:insideH w:val="nil"/>
          <w:insideV w:val="nil"/>
        </w:tcBorders>
        <w:shd w:val="clear" w:color="auto" w:fill="EB8C00" w:themeFill="accent1"/>
      </w:tcPr>
    </w:tblStylePr>
    <w:tblStylePr w:type="lastRow">
      <w:pPr>
        <w:spacing w:before="0" w:after="0" w:line="240" w:lineRule="auto"/>
      </w:pPr>
      <w:rPr>
        <w:b/>
        <w:bCs/>
      </w:rPr>
      <w:tblPr/>
      <w:tcPr>
        <w:tcBorders>
          <w:top w:val="double" w:sz="6" w:space="0" w:color="FFAA31" w:themeColor="accent1" w:themeTint="BF"/>
          <w:left w:val="single" w:sz="8" w:space="0" w:color="FFAA31" w:themeColor="accent1" w:themeTint="BF"/>
          <w:bottom w:val="single" w:sz="8" w:space="0" w:color="FFAA31" w:themeColor="accent1" w:themeTint="BF"/>
          <w:right w:val="single" w:sz="8" w:space="0" w:color="FFAA3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3BB" w:themeFill="accent1" w:themeFillTint="3F"/>
      </w:tcPr>
    </w:tblStylePr>
    <w:tblStylePr w:type="band1Horz">
      <w:tblPr/>
      <w:tcPr>
        <w:tcBorders>
          <w:insideH w:val="nil"/>
          <w:insideV w:val="nil"/>
        </w:tcBorders>
        <w:shd w:val="clear" w:color="auto" w:fill="FFE3BB"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1769E9"/>
  </w:style>
  <w:style w:type="character" w:styleId="Emphasis">
    <w:name w:val="Emphasis"/>
    <w:basedOn w:val="DefaultParagraphFont"/>
    <w:uiPriority w:val="20"/>
    <w:qFormat/>
    <w:locked/>
    <w:rsid w:val="001769E9"/>
    <w:rPr>
      <w:i/>
      <w:iCs/>
    </w:rPr>
  </w:style>
  <w:style w:type="character" w:customStyle="1" w:styleId="StyleHeadingsArial33ptText2">
    <w:name w:val="Style +Headings (Arial) 33 pt Text 2"/>
    <w:basedOn w:val="DefaultParagraphFont"/>
    <w:rsid w:val="003F6FD1"/>
    <w:rPr>
      <w:rFonts w:asciiTheme="majorHAnsi" w:hAnsiTheme="majorHAnsi"/>
      <w:color w:val="E0301E"/>
      <w:sz w:val="66"/>
    </w:rPr>
  </w:style>
  <w:style w:type="paragraph" w:customStyle="1" w:styleId="StyleTableTextNormal8ptBoldText2">
    <w:name w:val="Style Table Text Normal + 8 pt Bold Text 2"/>
    <w:basedOn w:val="TableTextNormal"/>
    <w:rsid w:val="003F6FD1"/>
    <w:rPr>
      <w:b/>
      <w:bCs/>
      <w:color w:val="E0301E"/>
      <w:sz w:val="16"/>
    </w:rPr>
  </w:style>
  <w:style w:type="character" w:customStyle="1" w:styleId="Style8ptText2">
    <w:name w:val="Style 8 pt Text 2"/>
    <w:basedOn w:val="DefaultParagraphFont"/>
    <w:rsid w:val="003F6FD1"/>
    <w:rPr>
      <w:color w:val="E0301E"/>
      <w:sz w:val="16"/>
    </w:rPr>
  </w:style>
  <w:style w:type="paragraph" w:customStyle="1" w:styleId="StyleTableTextNormal8ptBoldText21">
    <w:name w:val="Style Table Text Normal + 8 pt Bold Text 21"/>
    <w:basedOn w:val="TableTextNormal"/>
    <w:uiPriority w:val="99"/>
    <w:rsid w:val="003F6FD1"/>
    <w:rPr>
      <w:b/>
      <w:bCs/>
      <w:color w:val="E0301E"/>
      <w:sz w:val="16"/>
    </w:rPr>
  </w:style>
  <w:style w:type="paragraph" w:customStyle="1" w:styleId="StylePwCNormalHeadingsArial14ptText2">
    <w:name w:val="Style PwC Normal + +Headings (Arial) 14 pt Text 2"/>
    <w:basedOn w:val="PwCNormal"/>
    <w:uiPriority w:val="99"/>
    <w:rsid w:val="003F6FD1"/>
    <w:rPr>
      <w:rFonts w:asciiTheme="majorHAnsi" w:hAnsiTheme="majorHAnsi"/>
      <w:color w:val="E0301E"/>
      <w:sz w:val="28"/>
    </w:rPr>
  </w:style>
  <w:style w:type="paragraph" w:customStyle="1" w:styleId="StylePwCNormalText2">
    <w:name w:val="Style PwC Normal + Text 2"/>
    <w:basedOn w:val="PwCNormal"/>
    <w:uiPriority w:val="99"/>
    <w:rsid w:val="003F6FD1"/>
    <w:rPr>
      <w:color w:val="E0301E"/>
    </w:rPr>
  </w:style>
  <w:style w:type="paragraph" w:customStyle="1" w:styleId="StylePwCNormalHeadingsArial18ptText2Centered">
    <w:name w:val="Style PwC Normal + +Headings (Arial) 18 pt Text 2 Centered"/>
    <w:basedOn w:val="PwCNormal"/>
    <w:uiPriority w:val="99"/>
    <w:rsid w:val="003F6FD1"/>
    <w:pPr>
      <w:jc w:val="center"/>
    </w:pPr>
    <w:rPr>
      <w:rFonts w:asciiTheme="majorHAnsi" w:hAnsiTheme="majorHAnsi" w:cs="Times New Roman"/>
      <w:color w:val="E0301E"/>
      <w:sz w:val="36"/>
    </w:rPr>
  </w:style>
  <w:style w:type="paragraph" w:customStyle="1" w:styleId="StyleSourcesCentered">
    <w:name w:val="Style Sources + Centered"/>
    <w:basedOn w:val="Sources"/>
    <w:uiPriority w:val="99"/>
    <w:rsid w:val="003F6FD1"/>
    <w:pPr>
      <w:jc w:val="center"/>
    </w:pPr>
    <w:rPr>
      <w:rFonts w:cs="Times New Roman"/>
    </w:rPr>
  </w:style>
  <w:style w:type="paragraph" w:customStyle="1" w:styleId="StylePwCNormalBoldText2">
    <w:name w:val="Style PwC Normal + Bold Text 2"/>
    <w:basedOn w:val="PwCNormal"/>
    <w:uiPriority w:val="99"/>
    <w:rsid w:val="003F6FD1"/>
    <w:rPr>
      <w:b/>
      <w:bCs/>
      <w:color w:val="E0301E"/>
    </w:rPr>
  </w:style>
  <w:style w:type="paragraph" w:customStyle="1" w:styleId="StyleTableTextNormal9ptBoldText2">
    <w:name w:val="Style Table Text Normal + 9 pt Bold Text 2"/>
    <w:basedOn w:val="TableTextNormal"/>
    <w:rsid w:val="003F6FD1"/>
    <w:rPr>
      <w:b/>
      <w:bCs/>
      <w:color w:val="E0301E"/>
      <w:sz w:val="18"/>
    </w:rPr>
  </w:style>
  <w:style w:type="paragraph" w:customStyle="1" w:styleId="StyleTableTextSmall9ptBoldText2">
    <w:name w:val="Style Table Text Small + 9 pt Bold Text 2"/>
    <w:basedOn w:val="TableTextSmall"/>
    <w:uiPriority w:val="99"/>
    <w:rsid w:val="003F6FD1"/>
    <w:rPr>
      <w:b/>
      <w:bCs/>
      <w:color w:val="E0301E"/>
      <w:sz w:val="18"/>
    </w:rPr>
  </w:style>
  <w:style w:type="paragraph" w:customStyle="1" w:styleId="StyleTableTextNormal9ptText2Before3ptAfter2pt">
    <w:name w:val="Style Table Text Normal + 9 pt Text 2 Before:  3 pt After:  2 pt"/>
    <w:basedOn w:val="TableTextNormal"/>
    <w:uiPriority w:val="99"/>
    <w:rsid w:val="003F6FD1"/>
    <w:pPr>
      <w:spacing w:before="60" w:after="40"/>
    </w:pPr>
    <w:rPr>
      <w:rFonts w:cs="Times New Roman"/>
      <w:color w:val="E0301E"/>
      <w:sz w:val="18"/>
    </w:rPr>
  </w:style>
  <w:style w:type="paragraph" w:customStyle="1" w:styleId="StyleTableTextNormal9ptText2Before3ptAfter2pt1">
    <w:name w:val="Style Table Text Normal + 9 pt Text 2 Before:  3 pt After:  2 pt1"/>
    <w:basedOn w:val="TableTextNormal"/>
    <w:uiPriority w:val="99"/>
    <w:rsid w:val="003F6FD1"/>
    <w:pPr>
      <w:spacing w:before="60" w:after="40"/>
    </w:pPr>
    <w:rPr>
      <w:rFonts w:cs="Times New Roman"/>
      <w:color w:val="E0301E"/>
      <w:sz w:val="18"/>
    </w:rPr>
  </w:style>
  <w:style w:type="numbering" w:customStyle="1" w:styleId="Appendixheading">
    <w:name w:val="Appendix heading"/>
    <w:uiPriority w:val="99"/>
    <w:rsid w:val="0037035D"/>
    <w:pPr>
      <w:numPr>
        <w:numId w:val="33"/>
      </w:numPr>
    </w:pPr>
  </w:style>
  <w:style w:type="paragraph" w:customStyle="1" w:styleId="StyleCaptionAfter0pt">
    <w:name w:val="Style Caption + After:  0 pt"/>
    <w:basedOn w:val="Caption"/>
    <w:uiPriority w:val="99"/>
    <w:rsid w:val="00401DDE"/>
    <w:pPr>
      <w:spacing w:after="0"/>
    </w:pPr>
    <w:rPr>
      <w:rFonts w:cs="Times New Roman"/>
      <w:szCs w:val="20"/>
    </w:rPr>
  </w:style>
  <w:style w:type="character" w:customStyle="1" w:styleId="StyleHeadingsArialBoldCustomColorRGB963532">
    <w:name w:val="Style +Headings (Arial) Bold Custom Color(RGB(963532))"/>
    <w:basedOn w:val="DefaultParagraphFont"/>
    <w:rsid w:val="005714E3"/>
    <w:rPr>
      <w:rFonts w:asciiTheme="majorHAnsi" w:hAnsiTheme="majorHAnsi"/>
      <w:b/>
      <w:bCs/>
      <w:color w:val="E0301E"/>
    </w:rPr>
  </w:style>
  <w:style w:type="paragraph" w:customStyle="1" w:styleId="StyleCaptionAfter0pt1">
    <w:name w:val="Style Caption + After:  0 pt1"/>
    <w:basedOn w:val="Caption"/>
    <w:uiPriority w:val="99"/>
    <w:rsid w:val="00401DDE"/>
    <w:pPr>
      <w:spacing w:after="0"/>
    </w:pPr>
    <w:rPr>
      <w:rFonts w:cs="Times New Roman"/>
      <w:szCs w:val="20"/>
    </w:rPr>
  </w:style>
  <w:style w:type="paragraph" w:customStyle="1" w:styleId="HeadingCoverPage">
    <w:name w:val="Heading Cover Page"/>
    <w:basedOn w:val="Normal"/>
    <w:next w:val="HeadingCoverPageSecond"/>
    <w:uiPriority w:val="99"/>
    <w:rsid w:val="00124924"/>
    <w:pPr>
      <w:jc w:val="center"/>
    </w:pPr>
    <w:rPr>
      <w:rFonts w:cs="Times New Roman"/>
      <w:bCs/>
      <w:color w:val="000000" w:themeColor="text1"/>
      <w:sz w:val="96"/>
    </w:rPr>
  </w:style>
  <w:style w:type="paragraph" w:customStyle="1" w:styleId="HeadingCoverPageSecondTitle">
    <w:name w:val="Heading Cover Page Second Title"/>
    <w:basedOn w:val="HeadingCoverPage"/>
    <w:uiPriority w:val="99"/>
    <w:rsid w:val="00124924"/>
    <w:pPr>
      <w:spacing w:before="6000" w:line="640" w:lineRule="atLeast"/>
    </w:pPr>
    <w:rPr>
      <w:bCs w:val="0"/>
      <w:color w:val="FFFFFF" w:themeColor="background1"/>
      <w:sz w:val="56"/>
    </w:rPr>
  </w:style>
  <w:style w:type="paragraph" w:customStyle="1" w:styleId="Heading1ValuationResults">
    <w:name w:val="Heading 1 Valuation Results"/>
    <w:basedOn w:val="Heading1"/>
    <w:uiPriority w:val="99"/>
    <w:rsid w:val="000A7A1E"/>
    <w:pPr>
      <w:spacing w:before="9000"/>
    </w:pPr>
    <w:rPr>
      <w:rFonts w:cs="Times New Roman"/>
      <w:bCs w:val="0"/>
      <w:color w:val="E03028"/>
      <w:szCs w:val="20"/>
    </w:rPr>
  </w:style>
  <w:style w:type="paragraph" w:customStyle="1" w:styleId="HeadingCoverPageSecondSubtitleLinespacingAtleast">
    <w:name w:val="Heading Cover Page Second Subtitle + Line spacing:  At least ..."/>
    <w:basedOn w:val="HeadingCoverPageSecondTitle"/>
    <w:uiPriority w:val="99"/>
    <w:rsid w:val="00124924"/>
    <w:pPr>
      <w:spacing w:before="0" w:line="480" w:lineRule="atLeast"/>
    </w:pPr>
  </w:style>
  <w:style w:type="paragraph" w:customStyle="1" w:styleId="HeadingCoverPageSecondSubtitle">
    <w:name w:val="Heading Cover Page Second Subtitle"/>
    <w:basedOn w:val="HeadingCoverPageSecondTitle"/>
    <w:uiPriority w:val="99"/>
    <w:qFormat/>
    <w:rsid w:val="00124924"/>
    <w:pPr>
      <w:spacing w:before="0"/>
    </w:pPr>
    <w:rPr>
      <w:sz w:val="36"/>
    </w:rPr>
  </w:style>
  <w:style w:type="paragraph" w:customStyle="1" w:styleId="Heading1ExecutiveSummary">
    <w:name w:val="Heading 1 Executive Summary"/>
    <w:basedOn w:val="Heading1"/>
    <w:uiPriority w:val="99"/>
    <w:qFormat/>
    <w:rsid w:val="00124924"/>
    <w:pPr>
      <w:spacing w:before="7200"/>
    </w:pPr>
    <w:rPr>
      <w:noProof/>
      <w:lang w:eastAsia="en-AU"/>
    </w:rPr>
  </w:style>
  <w:style w:type="paragraph" w:customStyle="1" w:styleId="Heading1Appendix">
    <w:name w:val="Heading 1 Appendix"/>
    <w:basedOn w:val="Heading1"/>
    <w:uiPriority w:val="99"/>
    <w:qFormat/>
    <w:rsid w:val="00124924"/>
    <w:pPr>
      <w:spacing w:before="7200"/>
    </w:pPr>
  </w:style>
  <w:style w:type="paragraph" w:customStyle="1" w:styleId="Heading3ExecutiveSummary">
    <w:name w:val="Heading 3 Executive Summary"/>
    <w:basedOn w:val="Heading3"/>
    <w:uiPriority w:val="99"/>
    <w:qFormat/>
    <w:rsid w:val="004963A8"/>
    <w:pPr>
      <w:numPr>
        <w:ilvl w:val="0"/>
        <w:numId w:val="0"/>
      </w:numPr>
      <w:spacing w:after="40" w:line="320" w:lineRule="atLeast"/>
    </w:pPr>
  </w:style>
  <w:style w:type="paragraph" w:customStyle="1" w:styleId="Heading2ChapterHeading">
    <w:name w:val="Heading 2 Chapter Heading"/>
    <w:basedOn w:val="Heading2"/>
    <w:uiPriority w:val="99"/>
    <w:qFormat/>
    <w:rsid w:val="008D3BDB"/>
  </w:style>
  <w:style w:type="paragraph" w:customStyle="1" w:styleId="Heading4a">
    <w:name w:val="Heading 4a"/>
    <w:basedOn w:val="Minorheading"/>
    <w:link w:val="Heading4aChar"/>
    <w:qFormat/>
    <w:rsid w:val="004F69DD"/>
    <w:pPr>
      <w:spacing w:before="120"/>
    </w:pPr>
  </w:style>
  <w:style w:type="character" w:customStyle="1" w:styleId="MajorheadingChar">
    <w:name w:val="Major heading Char"/>
    <w:basedOn w:val="DefaultParagraphFont"/>
    <w:link w:val="Majorheading"/>
    <w:rsid w:val="00175A3C"/>
    <w:rPr>
      <w:rFonts w:asciiTheme="majorHAnsi" w:hAnsiTheme="majorHAnsi" w:cs="Arial"/>
      <w:b/>
      <w:snapToGrid w:val="0"/>
      <w:color w:val="E0301E"/>
      <w:sz w:val="24"/>
      <w:szCs w:val="24"/>
      <w:lang w:eastAsia="en-US"/>
    </w:rPr>
  </w:style>
  <w:style w:type="character" w:customStyle="1" w:styleId="MinorheadingChar">
    <w:name w:val="Minor heading Char"/>
    <w:basedOn w:val="MajorheadingChar"/>
    <w:link w:val="Minorheading"/>
    <w:rsid w:val="004F69DD"/>
    <w:rPr>
      <w:rFonts w:asciiTheme="majorHAnsi" w:hAnsiTheme="majorHAnsi" w:cs="Arial"/>
      <w:b w:val="0"/>
      <w:i/>
      <w:snapToGrid w:val="0"/>
      <w:color w:val="E0301E"/>
      <w:sz w:val="22"/>
      <w:szCs w:val="24"/>
      <w:lang w:eastAsia="en-US"/>
    </w:rPr>
  </w:style>
  <w:style w:type="character" w:customStyle="1" w:styleId="Heading4aChar">
    <w:name w:val="Heading 4a Char"/>
    <w:basedOn w:val="MinorheadingChar"/>
    <w:link w:val="Heading4a"/>
    <w:rsid w:val="004F69DD"/>
    <w:rPr>
      <w:rFonts w:asciiTheme="majorHAnsi" w:hAnsiTheme="majorHAnsi" w:cs="Arial"/>
      <w:b w:val="0"/>
      <w:i/>
      <w:snapToGrid w:val="0"/>
      <w:color w:val="E0301E"/>
      <w:sz w:val="22"/>
      <w:szCs w:val="24"/>
      <w:lang w:eastAsia="en-US"/>
    </w:rPr>
  </w:style>
  <w:style w:type="paragraph" w:customStyle="1" w:styleId="PwCNormal-keepwithnext">
    <w:name w:val="PwC Normal - keep with next"/>
    <w:basedOn w:val="PwCNormal"/>
    <w:qFormat/>
    <w:rsid w:val="001B0063"/>
    <w:pPr>
      <w:keepNext/>
    </w:pPr>
  </w:style>
  <w:style w:type="paragraph" w:customStyle="1" w:styleId="ContentsPageTitle">
    <w:name w:val="Contents Page Title"/>
    <w:basedOn w:val="Normal"/>
    <w:next w:val="Normal"/>
    <w:uiPriority w:val="99"/>
    <w:qFormat/>
    <w:rsid w:val="000D6FAA"/>
    <w:rPr>
      <w:color w:val="FF0000"/>
      <w:sz w:val="48"/>
    </w:rPr>
  </w:style>
  <w:style w:type="paragraph" w:customStyle="1" w:styleId="AppendixPageTitle">
    <w:name w:val="Appendix Page Title"/>
    <w:basedOn w:val="Normal"/>
    <w:next w:val="Normal"/>
    <w:uiPriority w:val="99"/>
    <w:qFormat/>
    <w:rsid w:val="007D75DA"/>
    <w:pPr>
      <w:spacing w:before="6240"/>
    </w:pPr>
    <w:rPr>
      <w:color w:val="FF0000"/>
      <w:sz w:val="48"/>
    </w:rPr>
  </w:style>
  <w:style w:type="table" w:customStyle="1" w:styleId="PwCTableText">
    <w:name w:val="PwC Table Text"/>
    <w:basedOn w:val="TableNormal"/>
    <w:uiPriority w:val="99"/>
    <w:qFormat/>
    <w:rsid w:val="000E6459"/>
    <w:pPr>
      <w:spacing w:before="60" w:after="60"/>
    </w:pPr>
    <w:rPr>
      <w:rFonts w:eastAsiaTheme="minorHAnsi" w:cstheme="minorBidi"/>
      <w:lang w:val="en-GB" w:eastAsia="en-US"/>
    </w:rPr>
    <w:tblPr>
      <w:tblStyleRowBandSize w:val="1"/>
      <w:tblBorders>
        <w:insideH w:val="dotted" w:sz="4" w:space="0" w:color="EB8C00" w:themeColor="text2"/>
      </w:tblBorders>
    </w:tblPr>
    <w:tblStylePr w:type="firstRow">
      <w:rPr>
        <w:b/>
      </w:rPr>
      <w:tblPr/>
      <w:tcPr>
        <w:tcBorders>
          <w:top w:val="single" w:sz="6" w:space="0" w:color="EB8C00" w:themeColor="text2"/>
          <w:bottom w:val="single" w:sz="6" w:space="0" w:color="EB8C00" w:themeColor="text2"/>
        </w:tcBorders>
      </w:tcPr>
    </w:tblStylePr>
    <w:tblStylePr w:type="lastRow">
      <w:rPr>
        <w:b/>
      </w:rPr>
      <w:tblPr/>
      <w:tcPr>
        <w:tcBorders>
          <w:top w:val="single" w:sz="6" w:space="0" w:color="EB8C00" w:themeColor="text2"/>
          <w:bottom w:val="single" w:sz="6" w:space="0" w:color="EB8C00" w:themeColor="text2"/>
        </w:tcBorders>
      </w:tcPr>
    </w:tblStylePr>
    <w:tblStylePr w:type="band1Horz">
      <w:tblPr/>
      <w:tcPr>
        <w:tcBorders>
          <w:bottom w:val="nil"/>
        </w:tcBorders>
      </w:tcPr>
    </w:tblStylePr>
  </w:style>
  <w:style w:type="paragraph" w:styleId="IntenseQuote">
    <w:name w:val="Intense Quote"/>
    <w:basedOn w:val="Normal"/>
    <w:next w:val="Normal"/>
    <w:link w:val="IntenseQuoteChar"/>
    <w:uiPriority w:val="30"/>
    <w:qFormat/>
    <w:locked/>
    <w:rsid w:val="00B46271"/>
    <w:pPr>
      <w:pBdr>
        <w:top w:val="single" w:sz="4" w:space="10" w:color="EB8C00" w:themeColor="accent1"/>
        <w:bottom w:val="single" w:sz="4" w:space="10" w:color="EB8C00" w:themeColor="accent1"/>
      </w:pBdr>
      <w:spacing w:before="360" w:after="360"/>
      <w:ind w:left="864" w:right="864"/>
      <w:jc w:val="center"/>
    </w:pPr>
    <w:rPr>
      <w:i/>
      <w:iCs/>
      <w:color w:val="EB8C00" w:themeColor="accent1"/>
    </w:rPr>
  </w:style>
  <w:style w:type="character" w:customStyle="1" w:styleId="IntenseQuoteChar">
    <w:name w:val="Intense Quote Char"/>
    <w:basedOn w:val="DefaultParagraphFont"/>
    <w:link w:val="IntenseQuote"/>
    <w:uiPriority w:val="30"/>
    <w:rsid w:val="00B46271"/>
    <w:rPr>
      <w:rFonts w:asciiTheme="minorHAnsi" w:hAnsiTheme="minorHAnsi" w:cs="Arial"/>
      <w:i/>
      <w:iCs/>
      <w:snapToGrid w:val="0"/>
      <w:color w:val="EB8C00" w:themeColor="accent1"/>
      <w:lang w:eastAsia="en-US"/>
    </w:rPr>
  </w:style>
  <w:style w:type="character" w:styleId="IntenseEmphasis">
    <w:name w:val="Intense Emphasis"/>
    <w:basedOn w:val="DefaultParagraphFont"/>
    <w:uiPriority w:val="21"/>
    <w:qFormat/>
    <w:locked/>
    <w:rsid w:val="00B46271"/>
    <w:rPr>
      <w:i/>
      <w:iCs/>
      <w:color w:val="EB8C00" w:themeColor="accent1"/>
    </w:rPr>
  </w:style>
  <w:style w:type="table" w:styleId="LightList-Accent6">
    <w:name w:val="Light List Accent 6"/>
    <w:basedOn w:val="TableNormal"/>
    <w:uiPriority w:val="61"/>
    <w:locked/>
    <w:rsid w:val="00470BC4"/>
    <w:rPr>
      <w:rFonts w:ascii="Times New Roman" w:hAnsi="Times New Roman"/>
    </w:rPr>
    <w:tblPr>
      <w:tblStyleRowBandSize w:val="1"/>
      <w:tblStyleColBandSize w:val="1"/>
      <w:tblBorders>
        <w:top w:val="single" w:sz="8" w:space="0" w:color="E0301E" w:themeColor="accent6"/>
        <w:left w:val="single" w:sz="8" w:space="0" w:color="E0301E" w:themeColor="accent6"/>
        <w:bottom w:val="single" w:sz="8" w:space="0" w:color="E0301E" w:themeColor="accent6"/>
        <w:right w:val="single" w:sz="8" w:space="0" w:color="E0301E" w:themeColor="accent6"/>
      </w:tblBorders>
    </w:tblPr>
    <w:tblStylePr w:type="firstRow">
      <w:pPr>
        <w:spacing w:before="0" w:after="0" w:line="240" w:lineRule="auto"/>
      </w:pPr>
      <w:rPr>
        <w:b/>
        <w:bCs/>
        <w:color w:val="FFFFFF" w:themeColor="background1"/>
      </w:rPr>
      <w:tblPr/>
      <w:tcPr>
        <w:shd w:val="clear" w:color="auto" w:fill="E0301E" w:themeFill="accent6"/>
      </w:tcPr>
    </w:tblStylePr>
    <w:tblStylePr w:type="lastRow">
      <w:pPr>
        <w:spacing w:before="0" w:after="0" w:line="240" w:lineRule="auto"/>
      </w:pPr>
      <w:rPr>
        <w:b/>
        <w:bCs/>
      </w:rPr>
      <w:tblPr/>
      <w:tcPr>
        <w:tcBorders>
          <w:top w:val="double" w:sz="6" w:space="0" w:color="E0301E" w:themeColor="accent6"/>
          <w:left w:val="single" w:sz="8" w:space="0" w:color="E0301E" w:themeColor="accent6"/>
          <w:bottom w:val="single" w:sz="8" w:space="0" w:color="E0301E" w:themeColor="accent6"/>
          <w:right w:val="single" w:sz="8" w:space="0" w:color="E0301E" w:themeColor="accent6"/>
        </w:tcBorders>
      </w:tcPr>
    </w:tblStylePr>
    <w:tblStylePr w:type="firstCol">
      <w:rPr>
        <w:b/>
        <w:bCs/>
      </w:rPr>
    </w:tblStylePr>
    <w:tblStylePr w:type="lastCol">
      <w:rPr>
        <w:b/>
        <w:bCs/>
      </w:rPr>
    </w:tblStylePr>
    <w:tblStylePr w:type="band1Vert">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tblStylePr w:type="band1Horz">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style>
  <w:style w:type="paragraph" w:customStyle="1" w:styleId="Bodytext-single">
    <w:name w:val="Body text - single"/>
    <w:basedOn w:val="BodyText"/>
    <w:uiPriority w:val="99"/>
    <w:qFormat/>
    <w:rsid w:val="00470BC4"/>
    <w:pPr>
      <w:kinsoku/>
      <w:overflowPunct/>
      <w:autoSpaceDE/>
      <w:autoSpaceDN/>
      <w:adjustRightInd/>
      <w:snapToGrid/>
      <w:spacing w:after="0"/>
    </w:pPr>
    <w:rPr>
      <w:rFonts w:ascii="Georgia" w:eastAsiaTheme="minorHAnsi" w:hAnsi="Georgia" w:cstheme="minorBidi"/>
      <w:snapToGrid/>
      <w:color w:val="auto"/>
      <w:sz w:val="18"/>
      <w:szCs w:val="18"/>
    </w:rPr>
  </w:style>
  <w:style w:type="table" w:customStyle="1" w:styleId="ListTable3-Accent61">
    <w:name w:val="List Table 3 - Accent 61"/>
    <w:basedOn w:val="TableNormal"/>
    <w:uiPriority w:val="48"/>
    <w:rsid w:val="005A4605"/>
    <w:tblPr>
      <w:tblStyleRowBandSize w:val="1"/>
      <w:tblStyleColBandSize w:val="1"/>
      <w:tblBorders>
        <w:top w:val="single" w:sz="4" w:space="0" w:color="E0301E" w:themeColor="accent6"/>
        <w:left w:val="single" w:sz="4" w:space="0" w:color="E0301E" w:themeColor="accent6"/>
        <w:bottom w:val="single" w:sz="4" w:space="0" w:color="E0301E" w:themeColor="accent6"/>
        <w:right w:val="single" w:sz="4" w:space="0" w:color="E0301E" w:themeColor="accent6"/>
      </w:tblBorders>
    </w:tblPr>
    <w:tblStylePr w:type="firstRow">
      <w:rPr>
        <w:b/>
        <w:bCs/>
        <w:color w:val="FFFFFF" w:themeColor="background1"/>
      </w:rPr>
      <w:tblPr/>
      <w:tcPr>
        <w:shd w:val="clear" w:color="auto" w:fill="E0301E" w:themeFill="accent6"/>
      </w:tcPr>
    </w:tblStylePr>
    <w:tblStylePr w:type="lastRow">
      <w:rPr>
        <w:b/>
        <w:bCs/>
      </w:rPr>
      <w:tblPr/>
      <w:tcPr>
        <w:tcBorders>
          <w:top w:val="double" w:sz="4" w:space="0" w:color="E030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01E" w:themeColor="accent6"/>
          <w:right w:val="single" w:sz="4" w:space="0" w:color="E0301E" w:themeColor="accent6"/>
        </w:tcBorders>
      </w:tcPr>
    </w:tblStylePr>
    <w:tblStylePr w:type="band1Horz">
      <w:tblPr/>
      <w:tcPr>
        <w:tcBorders>
          <w:top w:val="single" w:sz="4" w:space="0" w:color="E0301E" w:themeColor="accent6"/>
          <w:bottom w:val="single" w:sz="4" w:space="0" w:color="E030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01E" w:themeColor="accent6"/>
          <w:left w:val="nil"/>
        </w:tcBorders>
      </w:tcPr>
    </w:tblStylePr>
    <w:tblStylePr w:type="swCell">
      <w:tblPr/>
      <w:tcPr>
        <w:tcBorders>
          <w:top w:val="double" w:sz="4" w:space="0" w:color="E0301E" w:themeColor="accent6"/>
          <w:right w:val="nil"/>
        </w:tcBorders>
      </w:tcPr>
    </w:tblStylePr>
  </w:style>
  <w:style w:type="character" w:customStyle="1" w:styleId="FootnoteTextChar">
    <w:name w:val="Footnote Text Char"/>
    <w:basedOn w:val="DefaultParagraphFont"/>
    <w:link w:val="FootnoteText"/>
    <w:rsid w:val="00883CC7"/>
    <w:rPr>
      <w:rFonts w:asciiTheme="minorHAnsi" w:hAnsiTheme="minorHAnsi" w:cs="Arial"/>
      <w:snapToGrid w:val="0"/>
      <w:color w:val="404040" w:themeColor="text1" w:themeTint="BF"/>
      <w:sz w:val="16"/>
      <w:lang w:eastAsia="en-US"/>
    </w:rPr>
  </w:style>
  <w:style w:type="character" w:customStyle="1" w:styleId="Heading1Char">
    <w:name w:val="Heading 1 Char"/>
    <w:basedOn w:val="DefaultParagraphFont"/>
    <w:link w:val="Heading1"/>
    <w:rsid w:val="00F7320D"/>
    <w:rPr>
      <w:rFonts w:asciiTheme="majorHAnsi" w:hAnsiTheme="majorHAnsi" w:cs="Arial"/>
      <w:bCs/>
      <w:snapToGrid w:val="0"/>
      <w:color w:val="E0301E"/>
      <w:sz w:val="64"/>
      <w:szCs w:val="72"/>
      <w:lang w:eastAsia="en-US"/>
    </w:rPr>
  </w:style>
  <w:style w:type="character" w:customStyle="1" w:styleId="Heading3Char">
    <w:name w:val="Heading 3 Char"/>
    <w:basedOn w:val="DefaultParagraphFont"/>
    <w:link w:val="Heading3"/>
    <w:rsid w:val="00F7320D"/>
    <w:rPr>
      <w:rFonts w:asciiTheme="minorHAnsi" w:hAnsiTheme="minorHAnsi" w:cs="Arial"/>
      <w:bCs/>
      <w:snapToGrid w:val="0"/>
      <w:color w:val="E03028"/>
      <w:sz w:val="28"/>
      <w:lang w:eastAsia="en-US"/>
    </w:rPr>
  </w:style>
  <w:style w:type="character" w:customStyle="1" w:styleId="Heading4Char">
    <w:name w:val="Heading 4 Char"/>
    <w:basedOn w:val="DefaultParagraphFont"/>
    <w:link w:val="Heading4"/>
    <w:rsid w:val="00F7320D"/>
    <w:rPr>
      <w:rFonts w:asciiTheme="minorHAnsi" w:hAnsiTheme="minorHAnsi" w:cs="Arial"/>
      <w:bCs/>
      <w:snapToGrid w:val="0"/>
      <w:color w:val="E03028"/>
      <w:sz w:val="24"/>
      <w:lang w:eastAsia="en-US"/>
    </w:rPr>
  </w:style>
  <w:style w:type="character" w:customStyle="1" w:styleId="Heading5Char">
    <w:name w:val="Heading 5 Char"/>
    <w:basedOn w:val="DefaultParagraphFont"/>
    <w:link w:val="Heading5"/>
    <w:rsid w:val="00F7320D"/>
    <w:rPr>
      <w:rFonts w:asciiTheme="majorHAnsi" w:hAnsiTheme="majorHAnsi" w:cs="Arial"/>
      <w:snapToGrid w:val="0"/>
      <w:color w:val="E0301E"/>
      <w:sz w:val="32"/>
      <w:szCs w:val="32"/>
      <w:lang w:eastAsia="en-US"/>
    </w:rPr>
  </w:style>
  <w:style w:type="character" w:customStyle="1" w:styleId="Heading6Char">
    <w:name w:val="Heading 6 Char"/>
    <w:basedOn w:val="DefaultParagraphFont"/>
    <w:link w:val="Heading6"/>
    <w:rsid w:val="00F7320D"/>
    <w:rPr>
      <w:rFonts w:asciiTheme="majorHAnsi" w:hAnsiTheme="majorHAnsi" w:cs="Arial"/>
      <w:iCs/>
      <w:snapToGrid w:val="0"/>
      <w:color w:val="E0301E"/>
      <w:sz w:val="28"/>
      <w:szCs w:val="36"/>
      <w:lang w:eastAsia="en-US"/>
    </w:rPr>
  </w:style>
  <w:style w:type="character" w:customStyle="1" w:styleId="Heading7Char">
    <w:name w:val="Heading 7 Char"/>
    <w:aliases w:val="Legal Level 1.1. Char1"/>
    <w:basedOn w:val="DefaultParagraphFont"/>
    <w:link w:val="Heading7"/>
    <w:uiPriority w:val="99"/>
    <w:rsid w:val="00F7320D"/>
    <w:rPr>
      <w:rFonts w:asciiTheme="majorHAnsi" w:hAnsiTheme="majorHAnsi" w:cs="Arial"/>
      <w:b/>
      <w:iCs/>
      <w:snapToGrid w:val="0"/>
      <w:color w:val="E0301E"/>
      <w:sz w:val="28"/>
      <w:szCs w:val="28"/>
      <w:lang w:eastAsia="en-US"/>
    </w:rPr>
  </w:style>
  <w:style w:type="character" w:customStyle="1" w:styleId="Heading8Char">
    <w:name w:val="Heading 8 Char"/>
    <w:aliases w:val="Legal Level 1.1.1. Char"/>
    <w:basedOn w:val="DefaultParagraphFont"/>
    <w:link w:val="Heading8"/>
    <w:rsid w:val="00F7320D"/>
    <w:rPr>
      <w:rFonts w:asciiTheme="majorHAnsi" w:hAnsiTheme="majorHAnsi" w:cs="Arial"/>
      <w:b/>
      <w:snapToGrid w:val="0"/>
      <w:color w:val="E0301E"/>
      <w:sz w:val="32"/>
      <w:szCs w:val="21"/>
      <w:lang w:eastAsia="en-US"/>
    </w:rPr>
  </w:style>
  <w:style w:type="character" w:customStyle="1" w:styleId="Heading9Char">
    <w:name w:val="Heading 9 Char"/>
    <w:basedOn w:val="DefaultParagraphFont"/>
    <w:link w:val="Heading9"/>
    <w:uiPriority w:val="99"/>
    <w:rsid w:val="00F7320D"/>
    <w:rPr>
      <w:rFonts w:asciiTheme="majorHAnsi" w:hAnsiTheme="majorHAnsi" w:cs="Arial"/>
      <w:i/>
      <w:snapToGrid w:val="0"/>
      <w:color w:val="E0301E"/>
      <w:szCs w:val="21"/>
      <w:lang w:eastAsia="en-US"/>
    </w:rPr>
  </w:style>
  <w:style w:type="character" w:customStyle="1" w:styleId="Heading7Char1">
    <w:name w:val="Heading 7 Char1"/>
    <w:aliases w:val="Legal Level 1.1. Char"/>
    <w:basedOn w:val="DefaultParagraphFont"/>
    <w:semiHidden/>
    <w:rsid w:val="00F7320D"/>
    <w:rPr>
      <w:rFonts w:asciiTheme="majorHAnsi" w:eastAsiaTheme="majorEastAsia" w:hAnsiTheme="majorHAnsi" w:cstheme="majorBidi"/>
      <w:i/>
      <w:iCs/>
      <w:color w:val="754500" w:themeColor="accent1" w:themeShade="7F"/>
      <w:lang w:eastAsia="en-US"/>
    </w:rPr>
  </w:style>
  <w:style w:type="paragraph" w:styleId="Index1">
    <w:name w:val="index 1"/>
    <w:basedOn w:val="Normal"/>
    <w:next w:val="Normal"/>
    <w:autoRedefine/>
    <w:uiPriority w:val="99"/>
    <w:semiHidden/>
    <w:unhideWhenUsed/>
    <w:rsid w:val="00F7320D"/>
    <w:pPr>
      <w:ind w:left="200" w:hanging="200"/>
    </w:pPr>
    <w:rPr>
      <w:snapToGrid/>
    </w:rPr>
  </w:style>
  <w:style w:type="character" w:customStyle="1" w:styleId="EndnoteTextChar">
    <w:name w:val="Endnote Text Char"/>
    <w:basedOn w:val="DefaultParagraphFont"/>
    <w:link w:val="EndnoteText"/>
    <w:uiPriority w:val="99"/>
    <w:semiHidden/>
    <w:rsid w:val="00F7320D"/>
    <w:rPr>
      <w:rFonts w:asciiTheme="minorHAnsi" w:hAnsiTheme="minorHAnsi" w:cs="Arial"/>
      <w:snapToGrid w:val="0"/>
      <w:color w:val="404040" w:themeColor="text1" w:themeTint="BF"/>
      <w:sz w:val="16"/>
      <w:lang w:eastAsia="en-US"/>
    </w:rPr>
  </w:style>
  <w:style w:type="character" w:customStyle="1" w:styleId="TitleChar">
    <w:name w:val="Title Char"/>
    <w:basedOn w:val="DefaultParagraphFont"/>
    <w:link w:val="Title"/>
    <w:uiPriority w:val="99"/>
    <w:rsid w:val="00F7320D"/>
    <w:rPr>
      <w:rFonts w:asciiTheme="minorHAnsi" w:hAnsiTheme="minorHAnsi" w:cs="Arial"/>
      <w:b/>
      <w:bCs/>
      <w:snapToGrid w:val="0"/>
      <w:color w:val="EB8C00" w:themeColor="text2"/>
      <w:kern w:val="28"/>
      <w:sz w:val="32"/>
      <w:szCs w:val="32"/>
      <w:lang w:eastAsia="en-US"/>
    </w:rPr>
  </w:style>
  <w:style w:type="character" w:customStyle="1" w:styleId="DateChar">
    <w:name w:val="Date Char"/>
    <w:basedOn w:val="DefaultParagraphFont"/>
    <w:link w:val="Date"/>
    <w:uiPriority w:val="99"/>
    <w:semiHidden/>
    <w:rsid w:val="00F7320D"/>
    <w:rPr>
      <w:rFonts w:asciiTheme="minorHAnsi" w:hAnsiTheme="minorHAnsi" w:cs="Arial"/>
      <w:snapToGrid w:val="0"/>
      <w:color w:val="404040" w:themeColor="text1" w:themeTint="BF"/>
      <w:lang w:eastAsia="en-US"/>
    </w:rPr>
  </w:style>
  <w:style w:type="character" w:customStyle="1" w:styleId="BalloonTextChar">
    <w:name w:val="Balloon Text Char"/>
    <w:basedOn w:val="DefaultParagraphFont"/>
    <w:link w:val="BalloonText"/>
    <w:uiPriority w:val="99"/>
    <w:semiHidden/>
    <w:rsid w:val="00F7320D"/>
    <w:rPr>
      <w:rFonts w:ascii="Tahoma" w:hAnsi="Tahoma" w:cs="Arial"/>
      <w:snapToGrid w:val="0"/>
      <w:color w:val="404040" w:themeColor="text1" w:themeTint="BF"/>
      <w:sz w:val="16"/>
      <w:szCs w:val="16"/>
      <w:lang w:eastAsia="en-US"/>
    </w:rPr>
  </w:style>
  <w:style w:type="table" w:customStyle="1" w:styleId="ListTable3-Accent62">
    <w:name w:val="List Table 3 - Accent 62"/>
    <w:basedOn w:val="TableNormal"/>
    <w:uiPriority w:val="48"/>
    <w:rsid w:val="00362C71"/>
    <w:tblPr>
      <w:tblStyleRowBandSize w:val="1"/>
      <w:tblStyleColBandSize w:val="1"/>
      <w:tblBorders>
        <w:top w:val="single" w:sz="4" w:space="0" w:color="E0301E" w:themeColor="accent6"/>
        <w:left w:val="single" w:sz="4" w:space="0" w:color="E0301E" w:themeColor="accent6"/>
        <w:bottom w:val="single" w:sz="4" w:space="0" w:color="E0301E" w:themeColor="accent6"/>
        <w:right w:val="single" w:sz="4" w:space="0" w:color="E0301E" w:themeColor="accent6"/>
      </w:tblBorders>
    </w:tblPr>
    <w:tblStylePr w:type="firstRow">
      <w:rPr>
        <w:b/>
        <w:bCs/>
        <w:color w:val="FFFFFF" w:themeColor="background1"/>
      </w:rPr>
      <w:tblPr/>
      <w:tcPr>
        <w:shd w:val="clear" w:color="auto" w:fill="E0301E" w:themeFill="accent6"/>
      </w:tcPr>
    </w:tblStylePr>
    <w:tblStylePr w:type="lastRow">
      <w:rPr>
        <w:b/>
        <w:bCs/>
      </w:rPr>
      <w:tblPr/>
      <w:tcPr>
        <w:tcBorders>
          <w:top w:val="double" w:sz="4" w:space="0" w:color="E030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01E" w:themeColor="accent6"/>
          <w:right w:val="single" w:sz="4" w:space="0" w:color="E0301E" w:themeColor="accent6"/>
        </w:tcBorders>
      </w:tcPr>
    </w:tblStylePr>
    <w:tblStylePr w:type="band1Horz">
      <w:tblPr/>
      <w:tcPr>
        <w:tcBorders>
          <w:top w:val="single" w:sz="4" w:space="0" w:color="E0301E" w:themeColor="accent6"/>
          <w:bottom w:val="single" w:sz="4" w:space="0" w:color="E030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01E" w:themeColor="accent6"/>
          <w:left w:val="nil"/>
        </w:tcBorders>
      </w:tcPr>
    </w:tblStylePr>
    <w:tblStylePr w:type="swCell">
      <w:tblPr/>
      <w:tcPr>
        <w:tcBorders>
          <w:top w:val="double" w:sz="4" w:space="0" w:color="E0301E" w:themeColor="accent6"/>
          <w:right w:val="nil"/>
        </w:tcBorders>
      </w:tcPr>
    </w:tblStylePr>
  </w:style>
  <w:style w:type="paragraph" w:customStyle="1" w:styleId="Heading2Appendix">
    <w:name w:val="Heading 2 Appendix"/>
    <w:basedOn w:val="Heading2"/>
    <w:qFormat/>
    <w:rsid w:val="0037093B"/>
    <w:pPr>
      <w:numPr>
        <w:numId w:val="35"/>
      </w:numPr>
    </w:pPr>
  </w:style>
  <w:style w:type="table" w:customStyle="1" w:styleId="ListTable3-Accent63">
    <w:name w:val="List Table 3 - Accent 63"/>
    <w:basedOn w:val="TableNormal"/>
    <w:uiPriority w:val="48"/>
    <w:rsid w:val="001A4479"/>
    <w:tblPr>
      <w:tblStyleRowBandSize w:val="1"/>
      <w:tblStyleColBandSize w:val="1"/>
      <w:tblInd w:w="0" w:type="nil"/>
      <w:tblBorders>
        <w:top w:val="single" w:sz="4" w:space="0" w:color="E0301E" w:themeColor="accent6"/>
        <w:left w:val="single" w:sz="4" w:space="0" w:color="E0301E" w:themeColor="accent6"/>
        <w:bottom w:val="single" w:sz="4" w:space="0" w:color="E0301E" w:themeColor="accent6"/>
        <w:right w:val="single" w:sz="4" w:space="0" w:color="E0301E" w:themeColor="accent6"/>
      </w:tblBorders>
    </w:tblPr>
    <w:tblStylePr w:type="firstRow">
      <w:rPr>
        <w:b/>
        <w:bCs/>
        <w:color w:val="FFFFFF" w:themeColor="background1"/>
      </w:rPr>
      <w:tblPr/>
      <w:tcPr>
        <w:shd w:val="clear" w:color="auto" w:fill="E0301E" w:themeFill="accent6"/>
      </w:tcPr>
    </w:tblStylePr>
    <w:tblStylePr w:type="lastRow">
      <w:rPr>
        <w:b/>
        <w:bCs/>
      </w:rPr>
      <w:tblPr/>
      <w:tcPr>
        <w:tcBorders>
          <w:top w:val="double" w:sz="4" w:space="0" w:color="E030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01E" w:themeColor="accent6"/>
          <w:right w:val="single" w:sz="4" w:space="0" w:color="E0301E" w:themeColor="accent6"/>
        </w:tcBorders>
      </w:tcPr>
    </w:tblStylePr>
    <w:tblStylePr w:type="band1Horz">
      <w:tblPr/>
      <w:tcPr>
        <w:tcBorders>
          <w:top w:val="single" w:sz="4" w:space="0" w:color="E0301E" w:themeColor="accent6"/>
          <w:bottom w:val="single" w:sz="4" w:space="0" w:color="E030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01E" w:themeColor="accent6"/>
          <w:left w:val="nil"/>
        </w:tcBorders>
      </w:tcPr>
    </w:tblStylePr>
    <w:tblStylePr w:type="swCell">
      <w:tblPr/>
      <w:tcPr>
        <w:tcBorders>
          <w:top w:val="double" w:sz="4" w:space="0" w:color="E0301E" w:themeColor="accent6"/>
          <w:right w:val="nil"/>
        </w:tcBorders>
      </w:tcPr>
    </w:tblStylePr>
  </w:style>
  <w:style w:type="paragraph" w:customStyle="1" w:styleId="StyleListBulletAccent1">
    <w:name w:val="Style List Bullet + Accent 1"/>
    <w:basedOn w:val="ListBullet"/>
    <w:rsid w:val="00EB35B5"/>
    <w:rPr>
      <w:color w:val="E0301E"/>
    </w:rPr>
  </w:style>
  <w:style w:type="table" w:customStyle="1" w:styleId="Tables-APBase4">
    <w:name w:val="Tables - AP Base4"/>
    <w:basedOn w:val="TableNormal"/>
    <w:rsid w:val="00E31918"/>
    <w:tblPr>
      <w:tblStyleRowBandSize w:val="1"/>
      <w:tblStyleColBandSize w:val="1"/>
      <w:tblBorders>
        <w:top w:val="single" w:sz="4" w:space="0" w:color="FFFFFF"/>
        <w:left w:val="single" w:sz="4" w:space="0" w:color="FFFFFF"/>
        <w:bottom w:val="single" w:sz="6" w:space="0" w:color="EB8C00" w:themeColor="text2"/>
        <w:right w:val="single" w:sz="4" w:space="0" w:color="FFFFFF"/>
        <w:insideH w:val="single" w:sz="6" w:space="0" w:color="EB8C00" w:themeColor="text2"/>
        <w:insideV w:val="single" w:sz="4" w:space="0" w:color="FFFFFF"/>
      </w:tblBorders>
    </w:tblPr>
    <w:tcPr>
      <w:shd w:val="clear" w:color="auto" w:fill="FFFFFF" w:themeFill="background2"/>
      <w:tcMar>
        <w:top w:w="0" w:type="dxa"/>
        <w:left w:w="108" w:type="dxa"/>
        <w:bottom w:w="0" w:type="dxa"/>
        <w:right w:w="108" w:type="dxa"/>
      </w:tcMar>
    </w:tcPr>
    <w:tblStylePr w:type="firstRow">
      <w:pPr>
        <w:jc w:val="left"/>
      </w:pPr>
      <w:rPr>
        <w:rFonts w:ascii="Georgia" w:hAnsi="Georgia"/>
        <w:b w:val="0"/>
        <w:color w:val="auto"/>
      </w:rPr>
      <w:tblPr/>
      <w:trPr>
        <w:tblHeader/>
      </w:trPr>
      <w:tcPr>
        <w:shd w:val="clear" w:color="auto" w:fill="EB8C00" w:themeFill="text2"/>
        <w:vAlign w:val="bottom"/>
      </w:tcPr>
    </w:tblStylePr>
    <w:tblStylePr w:type="lastRow">
      <w:rPr>
        <w:color w:val="auto"/>
      </w:rPr>
      <w:tblPr/>
      <w:tcPr>
        <w:tcBorders>
          <w:top w:val="single" w:sz="4" w:space="0" w:color="EB8C00" w:themeColor="text2"/>
        </w:tcBorders>
        <w:shd w:val="clear" w:color="auto" w:fill="auto"/>
      </w:tcPr>
    </w:tblStylePr>
    <w:tblStylePr w:type="nwCell">
      <w:pPr>
        <w:jc w:val="left"/>
      </w:pPr>
      <w:tblPr/>
      <w:tcPr>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6087">
      <w:bodyDiv w:val="1"/>
      <w:marLeft w:val="0"/>
      <w:marRight w:val="0"/>
      <w:marTop w:val="0"/>
      <w:marBottom w:val="0"/>
      <w:divBdr>
        <w:top w:val="none" w:sz="0" w:space="0" w:color="auto"/>
        <w:left w:val="none" w:sz="0" w:space="0" w:color="auto"/>
        <w:bottom w:val="none" w:sz="0" w:space="0" w:color="auto"/>
        <w:right w:val="none" w:sz="0" w:space="0" w:color="auto"/>
      </w:divBdr>
    </w:div>
    <w:div w:id="89476583">
      <w:bodyDiv w:val="1"/>
      <w:marLeft w:val="0"/>
      <w:marRight w:val="0"/>
      <w:marTop w:val="0"/>
      <w:marBottom w:val="0"/>
      <w:divBdr>
        <w:top w:val="none" w:sz="0" w:space="0" w:color="auto"/>
        <w:left w:val="none" w:sz="0" w:space="0" w:color="auto"/>
        <w:bottom w:val="none" w:sz="0" w:space="0" w:color="auto"/>
        <w:right w:val="none" w:sz="0" w:space="0" w:color="auto"/>
      </w:divBdr>
    </w:div>
    <w:div w:id="145900208">
      <w:bodyDiv w:val="1"/>
      <w:marLeft w:val="0"/>
      <w:marRight w:val="0"/>
      <w:marTop w:val="0"/>
      <w:marBottom w:val="0"/>
      <w:divBdr>
        <w:top w:val="none" w:sz="0" w:space="0" w:color="auto"/>
        <w:left w:val="none" w:sz="0" w:space="0" w:color="auto"/>
        <w:bottom w:val="none" w:sz="0" w:space="0" w:color="auto"/>
        <w:right w:val="none" w:sz="0" w:space="0" w:color="auto"/>
      </w:divBdr>
    </w:div>
    <w:div w:id="175996464">
      <w:bodyDiv w:val="1"/>
      <w:marLeft w:val="0"/>
      <w:marRight w:val="0"/>
      <w:marTop w:val="0"/>
      <w:marBottom w:val="0"/>
      <w:divBdr>
        <w:top w:val="none" w:sz="0" w:space="0" w:color="auto"/>
        <w:left w:val="none" w:sz="0" w:space="0" w:color="auto"/>
        <w:bottom w:val="none" w:sz="0" w:space="0" w:color="auto"/>
        <w:right w:val="none" w:sz="0" w:space="0" w:color="auto"/>
      </w:divBdr>
    </w:div>
    <w:div w:id="190996143">
      <w:bodyDiv w:val="1"/>
      <w:marLeft w:val="0"/>
      <w:marRight w:val="0"/>
      <w:marTop w:val="0"/>
      <w:marBottom w:val="0"/>
      <w:divBdr>
        <w:top w:val="none" w:sz="0" w:space="0" w:color="auto"/>
        <w:left w:val="none" w:sz="0" w:space="0" w:color="auto"/>
        <w:bottom w:val="none" w:sz="0" w:space="0" w:color="auto"/>
        <w:right w:val="none" w:sz="0" w:space="0" w:color="auto"/>
      </w:divBdr>
    </w:div>
    <w:div w:id="276185603">
      <w:bodyDiv w:val="1"/>
      <w:marLeft w:val="0"/>
      <w:marRight w:val="0"/>
      <w:marTop w:val="0"/>
      <w:marBottom w:val="0"/>
      <w:divBdr>
        <w:top w:val="none" w:sz="0" w:space="0" w:color="auto"/>
        <w:left w:val="none" w:sz="0" w:space="0" w:color="auto"/>
        <w:bottom w:val="none" w:sz="0" w:space="0" w:color="auto"/>
        <w:right w:val="none" w:sz="0" w:space="0" w:color="auto"/>
      </w:divBdr>
    </w:div>
    <w:div w:id="313527517">
      <w:bodyDiv w:val="1"/>
      <w:marLeft w:val="0"/>
      <w:marRight w:val="0"/>
      <w:marTop w:val="0"/>
      <w:marBottom w:val="0"/>
      <w:divBdr>
        <w:top w:val="none" w:sz="0" w:space="0" w:color="auto"/>
        <w:left w:val="none" w:sz="0" w:space="0" w:color="auto"/>
        <w:bottom w:val="none" w:sz="0" w:space="0" w:color="auto"/>
        <w:right w:val="none" w:sz="0" w:space="0" w:color="auto"/>
      </w:divBdr>
      <w:divsChild>
        <w:div w:id="1322198423">
          <w:marLeft w:val="0"/>
          <w:marRight w:val="0"/>
          <w:marTop w:val="0"/>
          <w:marBottom w:val="0"/>
          <w:divBdr>
            <w:top w:val="none" w:sz="0" w:space="0" w:color="auto"/>
            <w:left w:val="none" w:sz="0" w:space="0" w:color="auto"/>
            <w:bottom w:val="none" w:sz="0" w:space="0" w:color="auto"/>
            <w:right w:val="none" w:sz="0" w:space="0" w:color="auto"/>
          </w:divBdr>
        </w:div>
      </w:divsChild>
    </w:div>
    <w:div w:id="315762986">
      <w:bodyDiv w:val="1"/>
      <w:marLeft w:val="0"/>
      <w:marRight w:val="0"/>
      <w:marTop w:val="0"/>
      <w:marBottom w:val="0"/>
      <w:divBdr>
        <w:top w:val="none" w:sz="0" w:space="0" w:color="auto"/>
        <w:left w:val="none" w:sz="0" w:space="0" w:color="auto"/>
        <w:bottom w:val="none" w:sz="0" w:space="0" w:color="auto"/>
        <w:right w:val="none" w:sz="0" w:space="0" w:color="auto"/>
      </w:divBdr>
    </w:div>
    <w:div w:id="397897340">
      <w:bodyDiv w:val="1"/>
      <w:marLeft w:val="0"/>
      <w:marRight w:val="0"/>
      <w:marTop w:val="0"/>
      <w:marBottom w:val="0"/>
      <w:divBdr>
        <w:top w:val="none" w:sz="0" w:space="0" w:color="auto"/>
        <w:left w:val="none" w:sz="0" w:space="0" w:color="auto"/>
        <w:bottom w:val="none" w:sz="0" w:space="0" w:color="auto"/>
        <w:right w:val="none" w:sz="0" w:space="0" w:color="auto"/>
      </w:divBdr>
    </w:div>
    <w:div w:id="398023053">
      <w:bodyDiv w:val="1"/>
      <w:marLeft w:val="0"/>
      <w:marRight w:val="0"/>
      <w:marTop w:val="0"/>
      <w:marBottom w:val="0"/>
      <w:divBdr>
        <w:top w:val="none" w:sz="0" w:space="0" w:color="auto"/>
        <w:left w:val="none" w:sz="0" w:space="0" w:color="auto"/>
        <w:bottom w:val="none" w:sz="0" w:space="0" w:color="auto"/>
        <w:right w:val="none" w:sz="0" w:space="0" w:color="auto"/>
      </w:divBdr>
    </w:div>
    <w:div w:id="422409807">
      <w:bodyDiv w:val="1"/>
      <w:marLeft w:val="0"/>
      <w:marRight w:val="0"/>
      <w:marTop w:val="0"/>
      <w:marBottom w:val="0"/>
      <w:divBdr>
        <w:top w:val="none" w:sz="0" w:space="0" w:color="auto"/>
        <w:left w:val="none" w:sz="0" w:space="0" w:color="auto"/>
        <w:bottom w:val="none" w:sz="0" w:space="0" w:color="auto"/>
        <w:right w:val="none" w:sz="0" w:space="0" w:color="auto"/>
      </w:divBdr>
    </w:div>
    <w:div w:id="449934595">
      <w:bodyDiv w:val="1"/>
      <w:marLeft w:val="0"/>
      <w:marRight w:val="0"/>
      <w:marTop w:val="0"/>
      <w:marBottom w:val="0"/>
      <w:divBdr>
        <w:top w:val="none" w:sz="0" w:space="0" w:color="auto"/>
        <w:left w:val="none" w:sz="0" w:space="0" w:color="auto"/>
        <w:bottom w:val="none" w:sz="0" w:space="0" w:color="auto"/>
        <w:right w:val="none" w:sz="0" w:space="0" w:color="auto"/>
      </w:divBdr>
    </w:div>
    <w:div w:id="468590084">
      <w:bodyDiv w:val="1"/>
      <w:marLeft w:val="0"/>
      <w:marRight w:val="0"/>
      <w:marTop w:val="0"/>
      <w:marBottom w:val="0"/>
      <w:divBdr>
        <w:top w:val="none" w:sz="0" w:space="0" w:color="auto"/>
        <w:left w:val="none" w:sz="0" w:space="0" w:color="auto"/>
        <w:bottom w:val="none" w:sz="0" w:space="0" w:color="auto"/>
        <w:right w:val="none" w:sz="0" w:space="0" w:color="auto"/>
      </w:divBdr>
    </w:div>
    <w:div w:id="500005860">
      <w:bodyDiv w:val="1"/>
      <w:marLeft w:val="0"/>
      <w:marRight w:val="0"/>
      <w:marTop w:val="0"/>
      <w:marBottom w:val="0"/>
      <w:divBdr>
        <w:top w:val="none" w:sz="0" w:space="0" w:color="auto"/>
        <w:left w:val="none" w:sz="0" w:space="0" w:color="auto"/>
        <w:bottom w:val="none" w:sz="0" w:space="0" w:color="auto"/>
        <w:right w:val="none" w:sz="0" w:space="0" w:color="auto"/>
      </w:divBdr>
    </w:div>
    <w:div w:id="534540550">
      <w:bodyDiv w:val="1"/>
      <w:marLeft w:val="0"/>
      <w:marRight w:val="0"/>
      <w:marTop w:val="0"/>
      <w:marBottom w:val="0"/>
      <w:divBdr>
        <w:top w:val="none" w:sz="0" w:space="0" w:color="auto"/>
        <w:left w:val="none" w:sz="0" w:space="0" w:color="auto"/>
        <w:bottom w:val="none" w:sz="0" w:space="0" w:color="auto"/>
        <w:right w:val="none" w:sz="0" w:space="0" w:color="auto"/>
      </w:divBdr>
    </w:div>
    <w:div w:id="569077742">
      <w:bodyDiv w:val="1"/>
      <w:marLeft w:val="0"/>
      <w:marRight w:val="0"/>
      <w:marTop w:val="0"/>
      <w:marBottom w:val="0"/>
      <w:divBdr>
        <w:top w:val="none" w:sz="0" w:space="0" w:color="auto"/>
        <w:left w:val="none" w:sz="0" w:space="0" w:color="auto"/>
        <w:bottom w:val="none" w:sz="0" w:space="0" w:color="auto"/>
        <w:right w:val="none" w:sz="0" w:space="0" w:color="auto"/>
      </w:divBdr>
    </w:div>
    <w:div w:id="570040573">
      <w:bodyDiv w:val="1"/>
      <w:marLeft w:val="0"/>
      <w:marRight w:val="0"/>
      <w:marTop w:val="0"/>
      <w:marBottom w:val="0"/>
      <w:divBdr>
        <w:top w:val="none" w:sz="0" w:space="0" w:color="auto"/>
        <w:left w:val="none" w:sz="0" w:space="0" w:color="auto"/>
        <w:bottom w:val="none" w:sz="0" w:space="0" w:color="auto"/>
        <w:right w:val="none" w:sz="0" w:space="0" w:color="auto"/>
      </w:divBdr>
    </w:div>
    <w:div w:id="611590316">
      <w:bodyDiv w:val="1"/>
      <w:marLeft w:val="0"/>
      <w:marRight w:val="0"/>
      <w:marTop w:val="0"/>
      <w:marBottom w:val="0"/>
      <w:divBdr>
        <w:top w:val="none" w:sz="0" w:space="0" w:color="auto"/>
        <w:left w:val="none" w:sz="0" w:space="0" w:color="auto"/>
        <w:bottom w:val="none" w:sz="0" w:space="0" w:color="auto"/>
        <w:right w:val="none" w:sz="0" w:space="0" w:color="auto"/>
      </w:divBdr>
    </w:div>
    <w:div w:id="629357857">
      <w:bodyDiv w:val="1"/>
      <w:marLeft w:val="0"/>
      <w:marRight w:val="0"/>
      <w:marTop w:val="0"/>
      <w:marBottom w:val="0"/>
      <w:divBdr>
        <w:top w:val="none" w:sz="0" w:space="0" w:color="auto"/>
        <w:left w:val="none" w:sz="0" w:space="0" w:color="auto"/>
        <w:bottom w:val="none" w:sz="0" w:space="0" w:color="auto"/>
        <w:right w:val="none" w:sz="0" w:space="0" w:color="auto"/>
      </w:divBdr>
    </w:div>
    <w:div w:id="658462131">
      <w:bodyDiv w:val="1"/>
      <w:marLeft w:val="0"/>
      <w:marRight w:val="0"/>
      <w:marTop w:val="0"/>
      <w:marBottom w:val="0"/>
      <w:divBdr>
        <w:top w:val="none" w:sz="0" w:space="0" w:color="auto"/>
        <w:left w:val="none" w:sz="0" w:space="0" w:color="auto"/>
        <w:bottom w:val="none" w:sz="0" w:space="0" w:color="auto"/>
        <w:right w:val="none" w:sz="0" w:space="0" w:color="auto"/>
      </w:divBdr>
    </w:div>
    <w:div w:id="722601481">
      <w:bodyDiv w:val="1"/>
      <w:marLeft w:val="0"/>
      <w:marRight w:val="0"/>
      <w:marTop w:val="0"/>
      <w:marBottom w:val="0"/>
      <w:divBdr>
        <w:top w:val="none" w:sz="0" w:space="0" w:color="auto"/>
        <w:left w:val="none" w:sz="0" w:space="0" w:color="auto"/>
        <w:bottom w:val="none" w:sz="0" w:space="0" w:color="auto"/>
        <w:right w:val="none" w:sz="0" w:space="0" w:color="auto"/>
      </w:divBdr>
    </w:div>
    <w:div w:id="761803774">
      <w:bodyDiv w:val="1"/>
      <w:marLeft w:val="0"/>
      <w:marRight w:val="0"/>
      <w:marTop w:val="0"/>
      <w:marBottom w:val="0"/>
      <w:divBdr>
        <w:top w:val="none" w:sz="0" w:space="0" w:color="auto"/>
        <w:left w:val="none" w:sz="0" w:space="0" w:color="auto"/>
        <w:bottom w:val="none" w:sz="0" w:space="0" w:color="auto"/>
        <w:right w:val="none" w:sz="0" w:space="0" w:color="auto"/>
      </w:divBdr>
    </w:div>
    <w:div w:id="802236297">
      <w:bodyDiv w:val="1"/>
      <w:marLeft w:val="0"/>
      <w:marRight w:val="0"/>
      <w:marTop w:val="0"/>
      <w:marBottom w:val="0"/>
      <w:divBdr>
        <w:top w:val="none" w:sz="0" w:space="0" w:color="auto"/>
        <w:left w:val="none" w:sz="0" w:space="0" w:color="auto"/>
        <w:bottom w:val="none" w:sz="0" w:space="0" w:color="auto"/>
        <w:right w:val="none" w:sz="0" w:space="0" w:color="auto"/>
      </w:divBdr>
    </w:div>
    <w:div w:id="820462480">
      <w:bodyDiv w:val="1"/>
      <w:marLeft w:val="0"/>
      <w:marRight w:val="0"/>
      <w:marTop w:val="0"/>
      <w:marBottom w:val="0"/>
      <w:divBdr>
        <w:top w:val="none" w:sz="0" w:space="0" w:color="auto"/>
        <w:left w:val="none" w:sz="0" w:space="0" w:color="auto"/>
        <w:bottom w:val="none" w:sz="0" w:space="0" w:color="auto"/>
        <w:right w:val="none" w:sz="0" w:space="0" w:color="auto"/>
      </w:divBdr>
    </w:div>
    <w:div w:id="843128111">
      <w:bodyDiv w:val="1"/>
      <w:marLeft w:val="0"/>
      <w:marRight w:val="0"/>
      <w:marTop w:val="0"/>
      <w:marBottom w:val="0"/>
      <w:divBdr>
        <w:top w:val="none" w:sz="0" w:space="0" w:color="auto"/>
        <w:left w:val="none" w:sz="0" w:space="0" w:color="auto"/>
        <w:bottom w:val="none" w:sz="0" w:space="0" w:color="auto"/>
        <w:right w:val="none" w:sz="0" w:space="0" w:color="auto"/>
      </w:divBdr>
    </w:div>
    <w:div w:id="846745625">
      <w:bodyDiv w:val="1"/>
      <w:marLeft w:val="0"/>
      <w:marRight w:val="0"/>
      <w:marTop w:val="0"/>
      <w:marBottom w:val="0"/>
      <w:divBdr>
        <w:top w:val="none" w:sz="0" w:space="0" w:color="auto"/>
        <w:left w:val="none" w:sz="0" w:space="0" w:color="auto"/>
        <w:bottom w:val="none" w:sz="0" w:space="0" w:color="auto"/>
        <w:right w:val="none" w:sz="0" w:space="0" w:color="auto"/>
      </w:divBdr>
    </w:div>
    <w:div w:id="863174833">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894582383">
      <w:bodyDiv w:val="1"/>
      <w:marLeft w:val="0"/>
      <w:marRight w:val="0"/>
      <w:marTop w:val="0"/>
      <w:marBottom w:val="0"/>
      <w:divBdr>
        <w:top w:val="none" w:sz="0" w:space="0" w:color="auto"/>
        <w:left w:val="none" w:sz="0" w:space="0" w:color="auto"/>
        <w:bottom w:val="none" w:sz="0" w:space="0" w:color="auto"/>
        <w:right w:val="none" w:sz="0" w:space="0" w:color="auto"/>
      </w:divBdr>
    </w:div>
    <w:div w:id="949434305">
      <w:bodyDiv w:val="1"/>
      <w:marLeft w:val="0"/>
      <w:marRight w:val="0"/>
      <w:marTop w:val="0"/>
      <w:marBottom w:val="0"/>
      <w:divBdr>
        <w:top w:val="none" w:sz="0" w:space="0" w:color="auto"/>
        <w:left w:val="none" w:sz="0" w:space="0" w:color="auto"/>
        <w:bottom w:val="none" w:sz="0" w:space="0" w:color="auto"/>
        <w:right w:val="none" w:sz="0" w:space="0" w:color="auto"/>
      </w:divBdr>
    </w:div>
    <w:div w:id="967468039">
      <w:bodyDiv w:val="1"/>
      <w:marLeft w:val="0"/>
      <w:marRight w:val="0"/>
      <w:marTop w:val="0"/>
      <w:marBottom w:val="0"/>
      <w:divBdr>
        <w:top w:val="none" w:sz="0" w:space="0" w:color="auto"/>
        <w:left w:val="none" w:sz="0" w:space="0" w:color="auto"/>
        <w:bottom w:val="none" w:sz="0" w:space="0" w:color="auto"/>
        <w:right w:val="none" w:sz="0" w:space="0" w:color="auto"/>
      </w:divBdr>
    </w:div>
    <w:div w:id="986283822">
      <w:bodyDiv w:val="1"/>
      <w:marLeft w:val="0"/>
      <w:marRight w:val="0"/>
      <w:marTop w:val="0"/>
      <w:marBottom w:val="0"/>
      <w:divBdr>
        <w:top w:val="none" w:sz="0" w:space="0" w:color="auto"/>
        <w:left w:val="none" w:sz="0" w:space="0" w:color="auto"/>
        <w:bottom w:val="none" w:sz="0" w:space="0" w:color="auto"/>
        <w:right w:val="none" w:sz="0" w:space="0" w:color="auto"/>
      </w:divBdr>
    </w:div>
    <w:div w:id="1040397466">
      <w:bodyDiv w:val="1"/>
      <w:marLeft w:val="0"/>
      <w:marRight w:val="0"/>
      <w:marTop w:val="0"/>
      <w:marBottom w:val="0"/>
      <w:divBdr>
        <w:top w:val="none" w:sz="0" w:space="0" w:color="auto"/>
        <w:left w:val="none" w:sz="0" w:space="0" w:color="auto"/>
        <w:bottom w:val="none" w:sz="0" w:space="0" w:color="auto"/>
        <w:right w:val="none" w:sz="0" w:space="0" w:color="auto"/>
      </w:divBdr>
    </w:div>
    <w:div w:id="1101873604">
      <w:bodyDiv w:val="1"/>
      <w:marLeft w:val="0"/>
      <w:marRight w:val="0"/>
      <w:marTop w:val="0"/>
      <w:marBottom w:val="0"/>
      <w:divBdr>
        <w:top w:val="none" w:sz="0" w:space="0" w:color="auto"/>
        <w:left w:val="none" w:sz="0" w:space="0" w:color="auto"/>
        <w:bottom w:val="none" w:sz="0" w:space="0" w:color="auto"/>
        <w:right w:val="none" w:sz="0" w:space="0" w:color="auto"/>
      </w:divBdr>
    </w:div>
    <w:div w:id="1105347945">
      <w:bodyDiv w:val="1"/>
      <w:marLeft w:val="0"/>
      <w:marRight w:val="0"/>
      <w:marTop w:val="0"/>
      <w:marBottom w:val="0"/>
      <w:divBdr>
        <w:top w:val="none" w:sz="0" w:space="0" w:color="auto"/>
        <w:left w:val="none" w:sz="0" w:space="0" w:color="auto"/>
        <w:bottom w:val="none" w:sz="0" w:space="0" w:color="auto"/>
        <w:right w:val="none" w:sz="0" w:space="0" w:color="auto"/>
      </w:divBdr>
    </w:div>
    <w:div w:id="1106463750">
      <w:bodyDiv w:val="1"/>
      <w:marLeft w:val="0"/>
      <w:marRight w:val="0"/>
      <w:marTop w:val="0"/>
      <w:marBottom w:val="0"/>
      <w:divBdr>
        <w:top w:val="none" w:sz="0" w:space="0" w:color="auto"/>
        <w:left w:val="none" w:sz="0" w:space="0" w:color="auto"/>
        <w:bottom w:val="none" w:sz="0" w:space="0" w:color="auto"/>
        <w:right w:val="none" w:sz="0" w:space="0" w:color="auto"/>
      </w:divBdr>
    </w:div>
    <w:div w:id="1188643946">
      <w:bodyDiv w:val="1"/>
      <w:marLeft w:val="0"/>
      <w:marRight w:val="0"/>
      <w:marTop w:val="0"/>
      <w:marBottom w:val="0"/>
      <w:divBdr>
        <w:top w:val="none" w:sz="0" w:space="0" w:color="auto"/>
        <w:left w:val="none" w:sz="0" w:space="0" w:color="auto"/>
        <w:bottom w:val="none" w:sz="0" w:space="0" w:color="auto"/>
        <w:right w:val="none" w:sz="0" w:space="0" w:color="auto"/>
      </w:divBdr>
    </w:div>
    <w:div w:id="1292983529">
      <w:bodyDiv w:val="1"/>
      <w:marLeft w:val="0"/>
      <w:marRight w:val="0"/>
      <w:marTop w:val="0"/>
      <w:marBottom w:val="0"/>
      <w:divBdr>
        <w:top w:val="none" w:sz="0" w:space="0" w:color="auto"/>
        <w:left w:val="none" w:sz="0" w:space="0" w:color="auto"/>
        <w:bottom w:val="none" w:sz="0" w:space="0" w:color="auto"/>
        <w:right w:val="none" w:sz="0" w:space="0" w:color="auto"/>
      </w:divBdr>
    </w:div>
    <w:div w:id="1370566784">
      <w:bodyDiv w:val="1"/>
      <w:marLeft w:val="0"/>
      <w:marRight w:val="0"/>
      <w:marTop w:val="0"/>
      <w:marBottom w:val="0"/>
      <w:divBdr>
        <w:top w:val="none" w:sz="0" w:space="0" w:color="auto"/>
        <w:left w:val="none" w:sz="0" w:space="0" w:color="auto"/>
        <w:bottom w:val="none" w:sz="0" w:space="0" w:color="auto"/>
        <w:right w:val="none" w:sz="0" w:space="0" w:color="auto"/>
      </w:divBdr>
    </w:div>
    <w:div w:id="1372731102">
      <w:bodyDiv w:val="1"/>
      <w:marLeft w:val="0"/>
      <w:marRight w:val="0"/>
      <w:marTop w:val="0"/>
      <w:marBottom w:val="0"/>
      <w:divBdr>
        <w:top w:val="none" w:sz="0" w:space="0" w:color="auto"/>
        <w:left w:val="none" w:sz="0" w:space="0" w:color="auto"/>
        <w:bottom w:val="none" w:sz="0" w:space="0" w:color="auto"/>
        <w:right w:val="none" w:sz="0" w:space="0" w:color="auto"/>
      </w:divBdr>
    </w:div>
    <w:div w:id="1383749316">
      <w:bodyDiv w:val="1"/>
      <w:marLeft w:val="0"/>
      <w:marRight w:val="0"/>
      <w:marTop w:val="0"/>
      <w:marBottom w:val="0"/>
      <w:divBdr>
        <w:top w:val="none" w:sz="0" w:space="0" w:color="auto"/>
        <w:left w:val="none" w:sz="0" w:space="0" w:color="auto"/>
        <w:bottom w:val="none" w:sz="0" w:space="0" w:color="auto"/>
        <w:right w:val="none" w:sz="0" w:space="0" w:color="auto"/>
      </w:divBdr>
    </w:div>
    <w:div w:id="1405026679">
      <w:bodyDiv w:val="1"/>
      <w:marLeft w:val="0"/>
      <w:marRight w:val="0"/>
      <w:marTop w:val="0"/>
      <w:marBottom w:val="0"/>
      <w:divBdr>
        <w:top w:val="none" w:sz="0" w:space="0" w:color="auto"/>
        <w:left w:val="none" w:sz="0" w:space="0" w:color="auto"/>
        <w:bottom w:val="none" w:sz="0" w:space="0" w:color="auto"/>
        <w:right w:val="none" w:sz="0" w:space="0" w:color="auto"/>
      </w:divBdr>
    </w:div>
    <w:div w:id="1405956617">
      <w:bodyDiv w:val="1"/>
      <w:marLeft w:val="0"/>
      <w:marRight w:val="0"/>
      <w:marTop w:val="0"/>
      <w:marBottom w:val="0"/>
      <w:divBdr>
        <w:top w:val="none" w:sz="0" w:space="0" w:color="auto"/>
        <w:left w:val="none" w:sz="0" w:space="0" w:color="auto"/>
        <w:bottom w:val="none" w:sz="0" w:space="0" w:color="auto"/>
        <w:right w:val="none" w:sz="0" w:space="0" w:color="auto"/>
      </w:divBdr>
    </w:div>
    <w:div w:id="1408838870">
      <w:bodyDiv w:val="1"/>
      <w:marLeft w:val="0"/>
      <w:marRight w:val="0"/>
      <w:marTop w:val="0"/>
      <w:marBottom w:val="0"/>
      <w:divBdr>
        <w:top w:val="none" w:sz="0" w:space="0" w:color="auto"/>
        <w:left w:val="none" w:sz="0" w:space="0" w:color="auto"/>
        <w:bottom w:val="none" w:sz="0" w:space="0" w:color="auto"/>
        <w:right w:val="none" w:sz="0" w:space="0" w:color="auto"/>
      </w:divBdr>
    </w:div>
    <w:div w:id="1442146035">
      <w:bodyDiv w:val="1"/>
      <w:marLeft w:val="0"/>
      <w:marRight w:val="0"/>
      <w:marTop w:val="0"/>
      <w:marBottom w:val="0"/>
      <w:divBdr>
        <w:top w:val="none" w:sz="0" w:space="0" w:color="auto"/>
        <w:left w:val="none" w:sz="0" w:space="0" w:color="auto"/>
        <w:bottom w:val="none" w:sz="0" w:space="0" w:color="auto"/>
        <w:right w:val="none" w:sz="0" w:space="0" w:color="auto"/>
      </w:divBdr>
    </w:div>
    <w:div w:id="1500656462">
      <w:bodyDiv w:val="1"/>
      <w:marLeft w:val="0"/>
      <w:marRight w:val="0"/>
      <w:marTop w:val="0"/>
      <w:marBottom w:val="0"/>
      <w:divBdr>
        <w:top w:val="none" w:sz="0" w:space="0" w:color="auto"/>
        <w:left w:val="none" w:sz="0" w:space="0" w:color="auto"/>
        <w:bottom w:val="none" w:sz="0" w:space="0" w:color="auto"/>
        <w:right w:val="none" w:sz="0" w:space="0" w:color="auto"/>
      </w:divBdr>
    </w:div>
    <w:div w:id="1520852592">
      <w:bodyDiv w:val="1"/>
      <w:marLeft w:val="0"/>
      <w:marRight w:val="0"/>
      <w:marTop w:val="0"/>
      <w:marBottom w:val="0"/>
      <w:divBdr>
        <w:top w:val="none" w:sz="0" w:space="0" w:color="auto"/>
        <w:left w:val="none" w:sz="0" w:space="0" w:color="auto"/>
        <w:bottom w:val="none" w:sz="0" w:space="0" w:color="auto"/>
        <w:right w:val="none" w:sz="0" w:space="0" w:color="auto"/>
      </w:divBdr>
    </w:div>
    <w:div w:id="1558009847">
      <w:bodyDiv w:val="1"/>
      <w:marLeft w:val="0"/>
      <w:marRight w:val="0"/>
      <w:marTop w:val="0"/>
      <w:marBottom w:val="0"/>
      <w:divBdr>
        <w:top w:val="none" w:sz="0" w:space="0" w:color="auto"/>
        <w:left w:val="none" w:sz="0" w:space="0" w:color="auto"/>
        <w:bottom w:val="none" w:sz="0" w:space="0" w:color="auto"/>
        <w:right w:val="none" w:sz="0" w:space="0" w:color="auto"/>
      </w:divBdr>
    </w:div>
    <w:div w:id="1577591793">
      <w:bodyDiv w:val="1"/>
      <w:marLeft w:val="0"/>
      <w:marRight w:val="0"/>
      <w:marTop w:val="0"/>
      <w:marBottom w:val="0"/>
      <w:divBdr>
        <w:top w:val="none" w:sz="0" w:space="0" w:color="auto"/>
        <w:left w:val="none" w:sz="0" w:space="0" w:color="auto"/>
        <w:bottom w:val="none" w:sz="0" w:space="0" w:color="auto"/>
        <w:right w:val="none" w:sz="0" w:space="0" w:color="auto"/>
      </w:divBdr>
    </w:div>
    <w:div w:id="1612083479">
      <w:bodyDiv w:val="1"/>
      <w:marLeft w:val="0"/>
      <w:marRight w:val="0"/>
      <w:marTop w:val="0"/>
      <w:marBottom w:val="0"/>
      <w:divBdr>
        <w:top w:val="none" w:sz="0" w:space="0" w:color="auto"/>
        <w:left w:val="none" w:sz="0" w:space="0" w:color="auto"/>
        <w:bottom w:val="none" w:sz="0" w:space="0" w:color="auto"/>
        <w:right w:val="none" w:sz="0" w:space="0" w:color="auto"/>
      </w:divBdr>
    </w:div>
    <w:div w:id="1614286785">
      <w:bodyDiv w:val="1"/>
      <w:marLeft w:val="0"/>
      <w:marRight w:val="0"/>
      <w:marTop w:val="0"/>
      <w:marBottom w:val="0"/>
      <w:divBdr>
        <w:top w:val="none" w:sz="0" w:space="0" w:color="auto"/>
        <w:left w:val="none" w:sz="0" w:space="0" w:color="auto"/>
        <w:bottom w:val="none" w:sz="0" w:space="0" w:color="auto"/>
        <w:right w:val="none" w:sz="0" w:space="0" w:color="auto"/>
      </w:divBdr>
    </w:div>
    <w:div w:id="1623421493">
      <w:bodyDiv w:val="1"/>
      <w:marLeft w:val="0"/>
      <w:marRight w:val="0"/>
      <w:marTop w:val="0"/>
      <w:marBottom w:val="0"/>
      <w:divBdr>
        <w:top w:val="none" w:sz="0" w:space="0" w:color="auto"/>
        <w:left w:val="none" w:sz="0" w:space="0" w:color="auto"/>
        <w:bottom w:val="none" w:sz="0" w:space="0" w:color="auto"/>
        <w:right w:val="none" w:sz="0" w:space="0" w:color="auto"/>
      </w:divBdr>
    </w:div>
    <w:div w:id="1697340535">
      <w:bodyDiv w:val="1"/>
      <w:marLeft w:val="0"/>
      <w:marRight w:val="0"/>
      <w:marTop w:val="0"/>
      <w:marBottom w:val="0"/>
      <w:divBdr>
        <w:top w:val="none" w:sz="0" w:space="0" w:color="auto"/>
        <w:left w:val="none" w:sz="0" w:space="0" w:color="auto"/>
        <w:bottom w:val="none" w:sz="0" w:space="0" w:color="auto"/>
        <w:right w:val="none" w:sz="0" w:space="0" w:color="auto"/>
      </w:divBdr>
    </w:div>
    <w:div w:id="1756246338">
      <w:bodyDiv w:val="1"/>
      <w:marLeft w:val="0"/>
      <w:marRight w:val="0"/>
      <w:marTop w:val="0"/>
      <w:marBottom w:val="0"/>
      <w:divBdr>
        <w:top w:val="none" w:sz="0" w:space="0" w:color="auto"/>
        <w:left w:val="none" w:sz="0" w:space="0" w:color="auto"/>
        <w:bottom w:val="none" w:sz="0" w:space="0" w:color="auto"/>
        <w:right w:val="none" w:sz="0" w:space="0" w:color="auto"/>
      </w:divBdr>
    </w:div>
    <w:div w:id="1759711775">
      <w:bodyDiv w:val="1"/>
      <w:marLeft w:val="0"/>
      <w:marRight w:val="0"/>
      <w:marTop w:val="0"/>
      <w:marBottom w:val="0"/>
      <w:divBdr>
        <w:top w:val="none" w:sz="0" w:space="0" w:color="auto"/>
        <w:left w:val="none" w:sz="0" w:space="0" w:color="auto"/>
        <w:bottom w:val="none" w:sz="0" w:space="0" w:color="auto"/>
        <w:right w:val="none" w:sz="0" w:space="0" w:color="auto"/>
      </w:divBdr>
    </w:div>
    <w:div w:id="1826125673">
      <w:bodyDiv w:val="1"/>
      <w:marLeft w:val="0"/>
      <w:marRight w:val="0"/>
      <w:marTop w:val="0"/>
      <w:marBottom w:val="0"/>
      <w:divBdr>
        <w:top w:val="none" w:sz="0" w:space="0" w:color="auto"/>
        <w:left w:val="none" w:sz="0" w:space="0" w:color="auto"/>
        <w:bottom w:val="none" w:sz="0" w:space="0" w:color="auto"/>
        <w:right w:val="none" w:sz="0" w:space="0" w:color="auto"/>
      </w:divBdr>
    </w:div>
    <w:div w:id="1828016123">
      <w:bodyDiv w:val="1"/>
      <w:marLeft w:val="0"/>
      <w:marRight w:val="0"/>
      <w:marTop w:val="0"/>
      <w:marBottom w:val="0"/>
      <w:divBdr>
        <w:top w:val="none" w:sz="0" w:space="0" w:color="auto"/>
        <w:left w:val="none" w:sz="0" w:space="0" w:color="auto"/>
        <w:bottom w:val="none" w:sz="0" w:space="0" w:color="auto"/>
        <w:right w:val="none" w:sz="0" w:space="0" w:color="auto"/>
      </w:divBdr>
    </w:div>
    <w:div w:id="1865897609">
      <w:bodyDiv w:val="1"/>
      <w:marLeft w:val="0"/>
      <w:marRight w:val="0"/>
      <w:marTop w:val="0"/>
      <w:marBottom w:val="0"/>
      <w:divBdr>
        <w:top w:val="none" w:sz="0" w:space="0" w:color="auto"/>
        <w:left w:val="none" w:sz="0" w:space="0" w:color="auto"/>
        <w:bottom w:val="none" w:sz="0" w:space="0" w:color="auto"/>
        <w:right w:val="none" w:sz="0" w:space="0" w:color="auto"/>
      </w:divBdr>
    </w:div>
    <w:div w:id="1916669432">
      <w:bodyDiv w:val="1"/>
      <w:marLeft w:val="0"/>
      <w:marRight w:val="0"/>
      <w:marTop w:val="0"/>
      <w:marBottom w:val="0"/>
      <w:divBdr>
        <w:top w:val="none" w:sz="0" w:space="0" w:color="auto"/>
        <w:left w:val="none" w:sz="0" w:space="0" w:color="auto"/>
        <w:bottom w:val="none" w:sz="0" w:space="0" w:color="auto"/>
        <w:right w:val="none" w:sz="0" w:space="0" w:color="auto"/>
      </w:divBdr>
    </w:div>
    <w:div w:id="1993018160">
      <w:bodyDiv w:val="1"/>
      <w:marLeft w:val="0"/>
      <w:marRight w:val="0"/>
      <w:marTop w:val="0"/>
      <w:marBottom w:val="0"/>
      <w:divBdr>
        <w:top w:val="none" w:sz="0" w:space="0" w:color="auto"/>
        <w:left w:val="none" w:sz="0" w:space="0" w:color="auto"/>
        <w:bottom w:val="none" w:sz="0" w:space="0" w:color="auto"/>
        <w:right w:val="none" w:sz="0" w:space="0" w:color="auto"/>
      </w:divBdr>
    </w:div>
    <w:div w:id="2004819999">
      <w:bodyDiv w:val="1"/>
      <w:marLeft w:val="0"/>
      <w:marRight w:val="0"/>
      <w:marTop w:val="0"/>
      <w:marBottom w:val="0"/>
      <w:divBdr>
        <w:top w:val="none" w:sz="0" w:space="0" w:color="auto"/>
        <w:left w:val="none" w:sz="0" w:space="0" w:color="auto"/>
        <w:bottom w:val="none" w:sz="0" w:space="0" w:color="auto"/>
        <w:right w:val="none" w:sz="0" w:space="0" w:color="auto"/>
      </w:divBdr>
    </w:div>
    <w:div w:id="2010713204">
      <w:bodyDiv w:val="1"/>
      <w:marLeft w:val="0"/>
      <w:marRight w:val="0"/>
      <w:marTop w:val="0"/>
      <w:marBottom w:val="0"/>
      <w:divBdr>
        <w:top w:val="none" w:sz="0" w:space="0" w:color="auto"/>
        <w:left w:val="none" w:sz="0" w:space="0" w:color="auto"/>
        <w:bottom w:val="none" w:sz="0" w:space="0" w:color="auto"/>
        <w:right w:val="none" w:sz="0" w:space="0" w:color="auto"/>
      </w:divBdr>
    </w:div>
    <w:div w:id="2063140711">
      <w:bodyDiv w:val="1"/>
      <w:marLeft w:val="0"/>
      <w:marRight w:val="0"/>
      <w:marTop w:val="0"/>
      <w:marBottom w:val="0"/>
      <w:divBdr>
        <w:top w:val="none" w:sz="0" w:space="0" w:color="auto"/>
        <w:left w:val="none" w:sz="0" w:space="0" w:color="auto"/>
        <w:bottom w:val="none" w:sz="0" w:space="0" w:color="auto"/>
        <w:right w:val="none" w:sz="0" w:space="0" w:color="auto"/>
      </w:divBdr>
    </w:div>
    <w:div w:id="2074619562">
      <w:bodyDiv w:val="1"/>
      <w:marLeft w:val="0"/>
      <w:marRight w:val="0"/>
      <w:marTop w:val="0"/>
      <w:marBottom w:val="0"/>
      <w:divBdr>
        <w:top w:val="none" w:sz="0" w:space="0" w:color="auto"/>
        <w:left w:val="none" w:sz="0" w:space="0" w:color="auto"/>
        <w:bottom w:val="none" w:sz="0" w:space="0" w:color="auto"/>
        <w:right w:val="none" w:sz="0" w:space="0" w:color="auto"/>
      </w:divBdr>
    </w:div>
    <w:div w:id="2078240850">
      <w:bodyDiv w:val="1"/>
      <w:marLeft w:val="0"/>
      <w:marRight w:val="0"/>
      <w:marTop w:val="0"/>
      <w:marBottom w:val="0"/>
      <w:divBdr>
        <w:top w:val="none" w:sz="0" w:space="0" w:color="auto"/>
        <w:left w:val="none" w:sz="0" w:space="0" w:color="auto"/>
        <w:bottom w:val="none" w:sz="0" w:space="0" w:color="auto"/>
        <w:right w:val="none" w:sz="0" w:space="0" w:color="auto"/>
      </w:divBdr>
    </w:div>
    <w:div w:id="2109884468">
      <w:bodyDiv w:val="1"/>
      <w:marLeft w:val="0"/>
      <w:marRight w:val="0"/>
      <w:marTop w:val="0"/>
      <w:marBottom w:val="0"/>
      <w:divBdr>
        <w:top w:val="none" w:sz="0" w:space="0" w:color="auto"/>
        <w:left w:val="none" w:sz="0" w:space="0" w:color="auto"/>
        <w:bottom w:val="none" w:sz="0" w:space="0" w:color="auto"/>
        <w:right w:val="none" w:sz="0" w:space="0" w:color="auto"/>
      </w:divBdr>
    </w:div>
    <w:div w:id="2139834949">
      <w:bodyDiv w:val="1"/>
      <w:marLeft w:val="0"/>
      <w:marRight w:val="0"/>
      <w:marTop w:val="0"/>
      <w:marBottom w:val="0"/>
      <w:divBdr>
        <w:top w:val="none" w:sz="0" w:space="0" w:color="auto"/>
        <w:left w:val="none" w:sz="0" w:space="0" w:color="auto"/>
        <w:bottom w:val="none" w:sz="0" w:space="0" w:color="auto"/>
        <w:right w:val="none" w:sz="0" w:space="0" w:color="auto"/>
      </w:divBdr>
    </w:div>
    <w:div w:id="214377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emf"/><Relationship Id="rId21" Type="http://schemas.openxmlformats.org/officeDocument/2006/relationships/image" Target="media/image6.emf"/><Relationship Id="rId42" Type="http://schemas.openxmlformats.org/officeDocument/2006/relationships/image" Target="media/image15.emf"/><Relationship Id="rId63" Type="http://schemas.openxmlformats.org/officeDocument/2006/relationships/image" Target="media/image33.emf"/><Relationship Id="rId84" Type="http://schemas.openxmlformats.org/officeDocument/2006/relationships/image" Target="media/image52.emf"/><Relationship Id="rId138" Type="http://schemas.openxmlformats.org/officeDocument/2006/relationships/image" Target="media/image104.emf"/><Relationship Id="rId159" Type="http://schemas.openxmlformats.org/officeDocument/2006/relationships/image" Target="media/image125.emf"/><Relationship Id="rId170" Type="http://schemas.openxmlformats.org/officeDocument/2006/relationships/image" Target="media/image136.emf"/><Relationship Id="rId191" Type="http://schemas.openxmlformats.org/officeDocument/2006/relationships/image" Target="media/image155.emf"/><Relationship Id="rId205" Type="http://schemas.openxmlformats.org/officeDocument/2006/relationships/image" Target="media/image168.emf"/><Relationship Id="rId226" Type="http://schemas.openxmlformats.org/officeDocument/2006/relationships/header" Target="header28.xml"/><Relationship Id="rId107" Type="http://schemas.openxmlformats.org/officeDocument/2006/relationships/image" Target="media/image75.emf"/><Relationship Id="rId11" Type="http://schemas.openxmlformats.org/officeDocument/2006/relationships/header" Target="header4.xml"/><Relationship Id="rId32" Type="http://schemas.openxmlformats.org/officeDocument/2006/relationships/header" Target="header10.xml"/><Relationship Id="rId53" Type="http://schemas.openxmlformats.org/officeDocument/2006/relationships/image" Target="media/image24.emf"/><Relationship Id="rId74" Type="http://schemas.openxmlformats.org/officeDocument/2006/relationships/image" Target="media/image42.emf"/><Relationship Id="rId128" Type="http://schemas.openxmlformats.org/officeDocument/2006/relationships/image" Target="media/image96.emf"/><Relationship Id="rId149" Type="http://schemas.openxmlformats.org/officeDocument/2006/relationships/image" Target="media/image115.emf"/><Relationship Id="rId5" Type="http://schemas.openxmlformats.org/officeDocument/2006/relationships/webSettings" Target="webSettings.xml"/><Relationship Id="rId95" Type="http://schemas.openxmlformats.org/officeDocument/2006/relationships/image" Target="media/image63.emf"/><Relationship Id="rId160" Type="http://schemas.openxmlformats.org/officeDocument/2006/relationships/image" Target="media/image126.emf"/><Relationship Id="rId181" Type="http://schemas.openxmlformats.org/officeDocument/2006/relationships/image" Target="media/image147.emf"/><Relationship Id="rId216" Type="http://schemas.openxmlformats.org/officeDocument/2006/relationships/header" Target="header23.xml"/><Relationship Id="rId22" Type="http://schemas.openxmlformats.org/officeDocument/2006/relationships/image" Target="media/image7.emf"/><Relationship Id="rId27" Type="http://schemas.openxmlformats.org/officeDocument/2006/relationships/footer" Target="footer5.xml"/><Relationship Id="rId43" Type="http://schemas.openxmlformats.org/officeDocument/2006/relationships/image" Target="media/image16.png"/><Relationship Id="rId48" Type="http://schemas.openxmlformats.org/officeDocument/2006/relationships/header" Target="header14.xml"/><Relationship Id="rId64" Type="http://schemas.openxmlformats.org/officeDocument/2006/relationships/image" Target="media/image34.emf"/><Relationship Id="rId69" Type="http://schemas.openxmlformats.org/officeDocument/2006/relationships/image" Target="media/image38.emf"/><Relationship Id="rId113" Type="http://schemas.openxmlformats.org/officeDocument/2006/relationships/image" Target="media/image81.emf"/><Relationship Id="rId118" Type="http://schemas.openxmlformats.org/officeDocument/2006/relationships/image" Target="media/image86.emf"/><Relationship Id="rId134" Type="http://schemas.openxmlformats.org/officeDocument/2006/relationships/footer" Target="footer11.xml"/><Relationship Id="rId139" Type="http://schemas.openxmlformats.org/officeDocument/2006/relationships/image" Target="media/image105.emf"/><Relationship Id="rId80" Type="http://schemas.openxmlformats.org/officeDocument/2006/relationships/image" Target="media/image48.emf"/><Relationship Id="rId85" Type="http://schemas.openxmlformats.org/officeDocument/2006/relationships/image" Target="media/image53.emf"/><Relationship Id="rId150" Type="http://schemas.openxmlformats.org/officeDocument/2006/relationships/image" Target="media/image116.emf"/><Relationship Id="rId155" Type="http://schemas.openxmlformats.org/officeDocument/2006/relationships/image" Target="media/image121.emf"/><Relationship Id="rId171" Type="http://schemas.openxmlformats.org/officeDocument/2006/relationships/image" Target="media/image137.emf"/><Relationship Id="rId176" Type="http://schemas.openxmlformats.org/officeDocument/2006/relationships/image" Target="media/image142.emf"/><Relationship Id="rId192" Type="http://schemas.openxmlformats.org/officeDocument/2006/relationships/footer" Target="footer14.xml"/><Relationship Id="rId197" Type="http://schemas.openxmlformats.org/officeDocument/2006/relationships/image" Target="media/image160.emf"/><Relationship Id="rId206" Type="http://schemas.openxmlformats.org/officeDocument/2006/relationships/image" Target="media/image169.emf"/><Relationship Id="rId227" Type="http://schemas.openxmlformats.org/officeDocument/2006/relationships/footer" Target="footer22.xml"/><Relationship Id="rId201" Type="http://schemas.openxmlformats.org/officeDocument/2006/relationships/image" Target="media/image164.emf"/><Relationship Id="rId222" Type="http://schemas.openxmlformats.org/officeDocument/2006/relationships/header" Target="header26.xml"/><Relationship Id="rId12" Type="http://schemas.openxmlformats.org/officeDocument/2006/relationships/header" Target="header5.xml"/><Relationship Id="rId17" Type="http://schemas.openxmlformats.org/officeDocument/2006/relationships/image" Target="media/image2.jpeg"/><Relationship Id="rId33" Type="http://schemas.openxmlformats.org/officeDocument/2006/relationships/header" Target="header11.xml"/><Relationship Id="rId38" Type="http://schemas.openxmlformats.org/officeDocument/2006/relationships/image" Target="media/image12.png"/><Relationship Id="rId59" Type="http://schemas.openxmlformats.org/officeDocument/2006/relationships/header" Target="header15.xml"/><Relationship Id="rId103" Type="http://schemas.openxmlformats.org/officeDocument/2006/relationships/image" Target="media/image71.emf"/><Relationship Id="rId108" Type="http://schemas.openxmlformats.org/officeDocument/2006/relationships/image" Target="media/image76.emf"/><Relationship Id="rId124" Type="http://schemas.openxmlformats.org/officeDocument/2006/relationships/image" Target="media/image92.emf"/><Relationship Id="rId129" Type="http://schemas.openxmlformats.org/officeDocument/2006/relationships/image" Target="media/image97.emf"/><Relationship Id="rId54" Type="http://schemas.openxmlformats.org/officeDocument/2006/relationships/image" Target="media/image25.emf"/><Relationship Id="rId70" Type="http://schemas.openxmlformats.org/officeDocument/2006/relationships/image" Target="media/image39.emf"/><Relationship Id="rId75" Type="http://schemas.openxmlformats.org/officeDocument/2006/relationships/image" Target="media/image43.emf"/><Relationship Id="rId91" Type="http://schemas.openxmlformats.org/officeDocument/2006/relationships/image" Target="media/image59.emf"/><Relationship Id="rId96" Type="http://schemas.openxmlformats.org/officeDocument/2006/relationships/image" Target="media/image64.emf"/><Relationship Id="rId140" Type="http://schemas.openxmlformats.org/officeDocument/2006/relationships/image" Target="media/image106.emf"/><Relationship Id="rId145" Type="http://schemas.openxmlformats.org/officeDocument/2006/relationships/image" Target="media/image111.emf"/><Relationship Id="rId161" Type="http://schemas.openxmlformats.org/officeDocument/2006/relationships/image" Target="media/image127.emf"/><Relationship Id="rId166" Type="http://schemas.openxmlformats.org/officeDocument/2006/relationships/image" Target="media/image132.emf"/><Relationship Id="rId182" Type="http://schemas.openxmlformats.org/officeDocument/2006/relationships/image" Target="media/image148.emf"/><Relationship Id="rId187" Type="http://schemas.openxmlformats.org/officeDocument/2006/relationships/footer" Target="footer12.xml"/><Relationship Id="rId217"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21.xml"/><Relationship Id="rId23" Type="http://schemas.openxmlformats.org/officeDocument/2006/relationships/image" Target="media/image8.emf"/><Relationship Id="rId28" Type="http://schemas.openxmlformats.org/officeDocument/2006/relationships/header" Target="header9.xml"/><Relationship Id="rId49" Type="http://schemas.openxmlformats.org/officeDocument/2006/relationships/footer" Target="footer10.xml"/><Relationship Id="rId114" Type="http://schemas.openxmlformats.org/officeDocument/2006/relationships/image" Target="media/image82.emf"/><Relationship Id="rId119" Type="http://schemas.openxmlformats.org/officeDocument/2006/relationships/image" Target="media/image87.emf"/><Relationship Id="rId44" Type="http://schemas.openxmlformats.org/officeDocument/2006/relationships/image" Target="media/image17.jpeg"/><Relationship Id="rId60" Type="http://schemas.openxmlformats.org/officeDocument/2006/relationships/image" Target="media/image30.emf"/><Relationship Id="rId65" Type="http://schemas.openxmlformats.org/officeDocument/2006/relationships/image" Target="media/image35.emf"/><Relationship Id="rId81" Type="http://schemas.openxmlformats.org/officeDocument/2006/relationships/image" Target="media/image49.emf"/><Relationship Id="rId86" Type="http://schemas.openxmlformats.org/officeDocument/2006/relationships/image" Target="media/image54.emf"/><Relationship Id="rId130" Type="http://schemas.openxmlformats.org/officeDocument/2006/relationships/image" Target="media/image98.emf"/><Relationship Id="rId135" Type="http://schemas.openxmlformats.org/officeDocument/2006/relationships/image" Target="media/image101.emf"/><Relationship Id="rId151" Type="http://schemas.openxmlformats.org/officeDocument/2006/relationships/image" Target="media/image117.emf"/><Relationship Id="rId156" Type="http://schemas.openxmlformats.org/officeDocument/2006/relationships/image" Target="media/image122.emf"/><Relationship Id="rId177" Type="http://schemas.openxmlformats.org/officeDocument/2006/relationships/image" Target="media/image143.emf"/><Relationship Id="rId198" Type="http://schemas.openxmlformats.org/officeDocument/2006/relationships/image" Target="media/image161.emf"/><Relationship Id="rId172" Type="http://schemas.openxmlformats.org/officeDocument/2006/relationships/image" Target="media/image138.emf"/><Relationship Id="rId193" Type="http://schemas.openxmlformats.org/officeDocument/2006/relationships/image" Target="media/image156.emf"/><Relationship Id="rId202" Type="http://schemas.openxmlformats.org/officeDocument/2006/relationships/image" Target="media/image165.emf"/><Relationship Id="rId207" Type="http://schemas.openxmlformats.org/officeDocument/2006/relationships/image" Target="media/image170.jpeg"/><Relationship Id="rId223" Type="http://schemas.openxmlformats.org/officeDocument/2006/relationships/header" Target="header27.xml"/><Relationship Id="rId228"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header" Target="header13.xml"/><Relationship Id="rId109" Type="http://schemas.openxmlformats.org/officeDocument/2006/relationships/image" Target="media/image77.emf"/><Relationship Id="rId34" Type="http://schemas.openxmlformats.org/officeDocument/2006/relationships/footer" Target="footer7.xml"/><Relationship Id="rId50" Type="http://schemas.openxmlformats.org/officeDocument/2006/relationships/image" Target="media/image21.emf"/><Relationship Id="rId55" Type="http://schemas.openxmlformats.org/officeDocument/2006/relationships/image" Target="media/image26.emf"/><Relationship Id="rId76" Type="http://schemas.openxmlformats.org/officeDocument/2006/relationships/image" Target="media/image44.emf"/><Relationship Id="rId97" Type="http://schemas.openxmlformats.org/officeDocument/2006/relationships/image" Target="media/image65.emf"/><Relationship Id="rId104" Type="http://schemas.openxmlformats.org/officeDocument/2006/relationships/image" Target="media/image72.emf"/><Relationship Id="rId120" Type="http://schemas.openxmlformats.org/officeDocument/2006/relationships/image" Target="media/image88.emf"/><Relationship Id="rId125" Type="http://schemas.openxmlformats.org/officeDocument/2006/relationships/image" Target="media/image93.emf"/><Relationship Id="rId141" Type="http://schemas.openxmlformats.org/officeDocument/2006/relationships/image" Target="media/image107.emf"/><Relationship Id="rId146" Type="http://schemas.openxmlformats.org/officeDocument/2006/relationships/image" Target="media/image112.emf"/><Relationship Id="rId167" Type="http://schemas.openxmlformats.org/officeDocument/2006/relationships/image" Target="media/image133.emf"/><Relationship Id="rId188" Type="http://schemas.openxmlformats.org/officeDocument/2006/relationships/image" Target="media/image153.emf"/><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image" Target="media/image60.emf"/><Relationship Id="rId162" Type="http://schemas.openxmlformats.org/officeDocument/2006/relationships/image" Target="media/image128.emf"/><Relationship Id="rId183" Type="http://schemas.openxmlformats.org/officeDocument/2006/relationships/image" Target="media/image149.emf"/><Relationship Id="rId213" Type="http://schemas.openxmlformats.org/officeDocument/2006/relationships/footer" Target="footer16.xml"/><Relationship Id="rId218"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7.xml"/><Relationship Id="rId40" Type="http://schemas.openxmlformats.org/officeDocument/2006/relationships/image" Target="media/image13.emf"/><Relationship Id="rId45" Type="http://schemas.openxmlformats.org/officeDocument/2006/relationships/image" Target="media/image18.jpeg"/><Relationship Id="rId66" Type="http://schemas.openxmlformats.org/officeDocument/2006/relationships/image" Target="media/image36.emf"/><Relationship Id="rId87" Type="http://schemas.openxmlformats.org/officeDocument/2006/relationships/image" Target="media/image55.emf"/><Relationship Id="rId110" Type="http://schemas.openxmlformats.org/officeDocument/2006/relationships/image" Target="media/image78.emf"/><Relationship Id="rId115" Type="http://schemas.openxmlformats.org/officeDocument/2006/relationships/image" Target="media/image83.emf"/><Relationship Id="rId131" Type="http://schemas.openxmlformats.org/officeDocument/2006/relationships/image" Target="media/image99.emf"/><Relationship Id="rId136" Type="http://schemas.openxmlformats.org/officeDocument/2006/relationships/image" Target="media/image102.emf"/><Relationship Id="rId157" Type="http://schemas.openxmlformats.org/officeDocument/2006/relationships/image" Target="media/image123.emf"/><Relationship Id="rId178" Type="http://schemas.openxmlformats.org/officeDocument/2006/relationships/image" Target="media/image144.emf"/><Relationship Id="rId61" Type="http://schemas.openxmlformats.org/officeDocument/2006/relationships/image" Target="media/image31.emf"/><Relationship Id="rId82" Type="http://schemas.openxmlformats.org/officeDocument/2006/relationships/image" Target="media/image50.emf"/><Relationship Id="rId152" Type="http://schemas.openxmlformats.org/officeDocument/2006/relationships/image" Target="media/image118.emf"/><Relationship Id="rId173" Type="http://schemas.openxmlformats.org/officeDocument/2006/relationships/image" Target="media/image139.emf"/><Relationship Id="rId194" Type="http://schemas.openxmlformats.org/officeDocument/2006/relationships/image" Target="media/image157.emf"/><Relationship Id="rId199" Type="http://schemas.openxmlformats.org/officeDocument/2006/relationships/image" Target="media/image162.emf"/><Relationship Id="rId203" Type="http://schemas.openxmlformats.org/officeDocument/2006/relationships/image" Target="media/image166.emf"/><Relationship Id="rId208" Type="http://schemas.openxmlformats.org/officeDocument/2006/relationships/header" Target="header19.xml"/><Relationship Id="rId229" Type="http://schemas.openxmlformats.org/officeDocument/2006/relationships/theme" Target="theme/theme1.xml"/><Relationship Id="rId19" Type="http://schemas.openxmlformats.org/officeDocument/2006/relationships/image" Target="media/image4.emf"/><Relationship Id="rId224" Type="http://schemas.openxmlformats.org/officeDocument/2006/relationships/footer" Target="footer20.xml"/><Relationship Id="rId14" Type="http://schemas.openxmlformats.org/officeDocument/2006/relationships/footer" Target="footer2.xml"/><Relationship Id="rId30" Type="http://schemas.openxmlformats.org/officeDocument/2006/relationships/image" Target="media/image10.jpeg"/><Relationship Id="rId35" Type="http://schemas.openxmlformats.org/officeDocument/2006/relationships/footer" Target="footer8.xml"/><Relationship Id="rId56" Type="http://schemas.openxmlformats.org/officeDocument/2006/relationships/image" Target="media/image27.png"/><Relationship Id="rId77" Type="http://schemas.openxmlformats.org/officeDocument/2006/relationships/image" Target="media/image45.emf"/><Relationship Id="rId100" Type="http://schemas.openxmlformats.org/officeDocument/2006/relationships/image" Target="media/image68.emf"/><Relationship Id="rId105" Type="http://schemas.openxmlformats.org/officeDocument/2006/relationships/image" Target="media/image73.emf"/><Relationship Id="rId126" Type="http://schemas.openxmlformats.org/officeDocument/2006/relationships/image" Target="media/image94.emf"/><Relationship Id="rId147" Type="http://schemas.openxmlformats.org/officeDocument/2006/relationships/image" Target="media/image113.emf"/><Relationship Id="rId168" Type="http://schemas.openxmlformats.org/officeDocument/2006/relationships/image" Target="media/image134.emf"/><Relationship Id="rId8" Type="http://schemas.openxmlformats.org/officeDocument/2006/relationships/header" Target="header1.xml"/><Relationship Id="rId51" Type="http://schemas.openxmlformats.org/officeDocument/2006/relationships/image" Target="media/image22.emf"/><Relationship Id="rId72" Type="http://schemas.openxmlformats.org/officeDocument/2006/relationships/image" Target="media/image40.emf"/><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image" Target="media/image89.emf"/><Relationship Id="rId142" Type="http://schemas.openxmlformats.org/officeDocument/2006/relationships/image" Target="media/image108.emf"/><Relationship Id="rId163" Type="http://schemas.openxmlformats.org/officeDocument/2006/relationships/image" Target="media/image129.emf"/><Relationship Id="rId184" Type="http://schemas.openxmlformats.org/officeDocument/2006/relationships/image" Target="media/image150.emf"/><Relationship Id="rId189" Type="http://schemas.openxmlformats.org/officeDocument/2006/relationships/image" Target="media/image154.emf"/><Relationship Id="rId219" Type="http://schemas.openxmlformats.org/officeDocument/2006/relationships/footer" Target="footer18.xml"/><Relationship Id="rId3" Type="http://schemas.openxmlformats.org/officeDocument/2006/relationships/styles" Target="styles.xml"/><Relationship Id="rId214" Type="http://schemas.openxmlformats.org/officeDocument/2006/relationships/image" Target="media/image172.emf"/><Relationship Id="rId25" Type="http://schemas.openxmlformats.org/officeDocument/2006/relationships/header" Target="header8.xml"/><Relationship Id="rId46" Type="http://schemas.openxmlformats.org/officeDocument/2006/relationships/image" Target="media/image19.emf"/><Relationship Id="rId67" Type="http://schemas.openxmlformats.org/officeDocument/2006/relationships/header" Target="header16.xml"/><Relationship Id="rId116" Type="http://schemas.openxmlformats.org/officeDocument/2006/relationships/image" Target="media/image84.emf"/><Relationship Id="rId137" Type="http://schemas.openxmlformats.org/officeDocument/2006/relationships/image" Target="media/image103.emf"/><Relationship Id="rId158" Type="http://schemas.openxmlformats.org/officeDocument/2006/relationships/image" Target="media/image124.emf"/><Relationship Id="rId20" Type="http://schemas.openxmlformats.org/officeDocument/2006/relationships/image" Target="media/image5.emf"/><Relationship Id="rId41" Type="http://schemas.openxmlformats.org/officeDocument/2006/relationships/image" Target="media/image14.emf"/><Relationship Id="rId62" Type="http://schemas.openxmlformats.org/officeDocument/2006/relationships/image" Target="media/image32.emf"/><Relationship Id="rId83" Type="http://schemas.openxmlformats.org/officeDocument/2006/relationships/image" Target="media/image51.emf"/><Relationship Id="rId88" Type="http://schemas.openxmlformats.org/officeDocument/2006/relationships/image" Target="media/image56.emf"/><Relationship Id="rId111" Type="http://schemas.openxmlformats.org/officeDocument/2006/relationships/image" Target="media/image79.emf"/><Relationship Id="rId132" Type="http://schemas.openxmlformats.org/officeDocument/2006/relationships/image" Target="media/image100.emf"/><Relationship Id="rId153" Type="http://schemas.openxmlformats.org/officeDocument/2006/relationships/image" Target="media/image119.emf"/><Relationship Id="rId174" Type="http://schemas.openxmlformats.org/officeDocument/2006/relationships/image" Target="media/image140.emf"/><Relationship Id="rId179" Type="http://schemas.openxmlformats.org/officeDocument/2006/relationships/image" Target="media/image145.emf"/><Relationship Id="rId195" Type="http://schemas.openxmlformats.org/officeDocument/2006/relationships/image" Target="media/image158.emf"/><Relationship Id="rId209" Type="http://schemas.openxmlformats.org/officeDocument/2006/relationships/footer" Target="footer15.xml"/><Relationship Id="rId190" Type="http://schemas.openxmlformats.org/officeDocument/2006/relationships/footer" Target="footer13.xml"/><Relationship Id="rId204" Type="http://schemas.openxmlformats.org/officeDocument/2006/relationships/image" Target="media/image167.emf"/><Relationship Id="rId220" Type="http://schemas.openxmlformats.org/officeDocument/2006/relationships/header" Target="header25.xml"/><Relationship Id="rId225" Type="http://schemas.openxmlformats.org/officeDocument/2006/relationships/footer" Target="footer21.xml"/><Relationship Id="rId15" Type="http://schemas.openxmlformats.org/officeDocument/2006/relationships/header" Target="header6.xml"/><Relationship Id="rId36" Type="http://schemas.openxmlformats.org/officeDocument/2006/relationships/header" Target="header12.xml"/><Relationship Id="rId57" Type="http://schemas.openxmlformats.org/officeDocument/2006/relationships/image" Target="media/image28.emf"/><Relationship Id="rId106" Type="http://schemas.openxmlformats.org/officeDocument/2006/relationships/image" Target="media/image74.emf"/><Relationship Id="rId127" Type="http://schemas.openxmlformats.org/officeDocument/2006/relationships/image" Target="media/image95.emf"/><Relationship Id="rId10" Type="http://schemas.openxmlformats.org/officeDocument/2006/relationships/header" Target="header3.xml"/><Relationship Id="rId31" Type="http://schemas.openxmlformats.org/officeDocument/2006/relationships/image" Target="media/image11.emf"/><Relationship Id="rId52" Type="http://schemas.openxmlformats.org/officeDocument/2006/relationships/image" Target="media/image23.emf"/><Relationship Id="rId73" Type="http://schemas.openxmlformats.org/officeDocument/2006/relationships/image" Target="media/image41.emf"/><Relationship Id="rId78" Type="http://schemas.openxmlformats.org/officeDocument/2006/relationships/image" Target="media/image46.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image" Target="media/image90.emf"/><Relationship Id="rId143" Type="http://schemas.openxmlformats.org/officeDocument/2006/relationships/image" Target="media/image109.emf"/><Relationship Id="rId148" Type="http://schemas.openxmlformats.org/officeDocument/2006/relationships/image" Target="media/image114.emf"/><Relationship Id="rId164" Type="http://schemas.openxmlformats.org/officeDocument/2006/relationships/image" Target="media/image130.emf"/><Relationship Id="rId169" Type="http://schemas.openxmlformats.org/officeDocument/2006/relationships/image" Target="media/image135.emf"/><Relationship Id="rId185" Type="http://schemas.openxmlformats.org/officeDocument/2006/relationships/image" Target="media/image151.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46.emf"/><Relationship Id="rId210" Type="http://schemas.openxmlformats.org/officeDocument/2006/relationships/image" Target="media/image171.emf"/><Relationship Id="rId215" Type="http://schemas.openxmlformats.org/officeDocument/2006/relationships/header" Target="header22.xml"/><Relationship Id="rId26" Type="http://schemas.openxmlformats.org/officeDocument/2006/relationships/footer" Target="footer4.xml"/><Relationship Id="rId47" Type="http://schemas.openxmlformats.org/officeDocument/2006/relationships/image" Target="media/image20.emf"/><Relationship Id="rId68" Type="http://schemas.openxmlformats.org/officeDocument/2006/relationships/image" Target="media/image37.emf"/><Relationship Id="rId89" Type="http://schemas.openxmlformats.org/officeDocument/2006/relationships/image" Target="media/image57.emf"/><Relationship Id="rId112" Type="http://schemas.openxmlformats.org/officeDocument/2006/relationships/image" Target="media/image80.emf"/><Relationship Id="rId133" Type="http://schemas.openxmlformats.org/officeDocument/2006/relationships/header" Target="header18.xml"/><Relationship Id="rId154" Type="http://schemas.openxmlformats.org/officeDocument/2006/relationships/image" Target="media/image120.emf"/><Relationship Id="rId175" Type="http://schemas.openxmlformats.org/officeDocument/2006/relationships/image" Target="media/image141.emf"/><Relationship Id="rId196" Type="http://schemas.openxmlformats.org/officeDocument/2006/relationships/image" Target="media/image159.emf"/><Relationship Id="rId200" Type="http://schemas.openxmlformats.org/officeDocument/2006/relationships/image" Target="media/image163.emf"/><Relationship Id="rId16" Type="http://schemas.openxmlformats.org/officeDocument/2006/relationships/footer" Target="footer3.xml"/><Relationship Id="rId221" Type="http://schemas.openxmlformats.org/officeDocument/2006/relationships/footer" Target="footer19.xml"/><Relationship Id="rId37" Type="http://schemas.openxmlformats.org/officeDocument/2006/relationships/footer" Target="footer9.xml"/><Relationship Id="rId58" Type="http://schemas.openxmlformats.org/officeDocument/2006/relationships/image" Target="media/image29.emf"/><Relationship Id="rId79" Type="http://schemas.openxmlformats.org/officeDocument/2006/relationships/image" Target="media/image47.emf"/><Relationship Id="rId102" Type="http://schemas.openxmlformats.org/officeDocument/2006/relationships/image" Target="media/image70.emf"/><Relationship Id="rId123" Type="http://schemas.openxmlformats.org/officeDocument/2006/relationships/image" Target="media/image91.emf"/><Relationship Id="rId144" Type="http://schemas.openxmlformats.org/officeDocument/2006/relationships/image" Target="media/image110.emf"/><Relationship Id="rId90" Type="http://schemas.openxmlformats.org/officeDocument/2006/relationships/image" Target="media/image58.emf"/><Relationship Id="rId165" Type="http://schemas.openxmlformats.org/officeDocument/2006/relationships/image" Target="media/image131.emf"/><Relationship Id="rId186" Type="http://schemas.openxmlformats.org/officeDocument/2006/relationships/image" Target="media/image152.emf"/><Relationship Id="rId211" Type="http://schemas.openxmlformats.org/officeDocument/2006/relationships/header" Target="header20.xml"/></Relationships>
</file>

<file path=word/_rels/header23.xml.rels><?xml version="1.0" encoding="UTF-8" standalone="yes"?>
<Relationships xmlns="http://schemas.openxmlformats.org/package/2006/relationships"><Relationship Id="rId1" Type="http://schemas.openxmlformats.org/officeDocument/2006/relationships/image" Target="media/image9.jpeg"/></Relationships>
</file>

<file path=word/_rels/header26.xml.rels><?xml version="1.0" encoding="UTF-8" standalone="yes"?>
<Relationships xmlns="http://schemas.openxmlformats.org/package/2006/relationships"><Relationship Id="rId1" Type="http://schemas.openxmlformats.org/officeDocument/2006/relationships/image" Target="media/image173.jpeg"/></Relationships>
</file>

<file path=word/_rels/header27.xml.rels><?xml version="1.0" encoding="UTF-8" standalone="yes"?>
<Relationships xmlns="http://schemas.openxmlformats.org/package/2006/relationships"><Relationship Id="rId1" Type="http://schemas.openxmlformats.org/officeDocument/2006/relationships/image" Target="media/image17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PwC">
  <a:themeElements>
    <a:clrScheme name="PwC Tangerine">
      <a:dk1>
        <a:srgbClr val="000000"/>
      </a:dk1>
      <a:lt1>
        <a:srgbClr val="FFFFFF"/>
      </a:lt1>
      <a:dk2>
        <a:srgbClr val="EB8C00"/>
      </a:dk2>
      <a:lt2>
        <a:srgbClr val="FFFFFF"/>
      </a:lt2>
      <a:accent1>
        <a:srgbClr val="EB8C00"/>
      </a:accent1>
      <a:accent2>
        <a:srgbClr val="FFB600"/>
      </a:accent2>
      <a:accent3>
        <a:srgbClr val="602320"/>
      </a:accent3>
      <a:accent4>
        <a:srgbClr val="DB536A"/>
      </a:accent4>
      <a:accent5>
        <a:srgbClr val="A32020"/>
      </a:accent5>
      <a:accent6>
        <a:srgbClr val="E0301E"/>
      </a:accent6>
      <a:hlink>
        <a:srgbClr val="EB8C00"/>
      </a:hlink>
      <a:folHlink>
        <a:srgbClr val="EB8C00"/>
      </a:folHlink>
    </a:clrScheme>
    <a:fontScheme name="Arial Onl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308D0-D53E-4C42-89EB-75A3A6EA3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196</Pages>
  <Words>74564</Words>
  <Characters>425018</Characters>
  <Application>Microsoft Office Word</Application>
  <DocSecurity>0</DocSecurity>
  <Lines>3541</Lines>
  <Paragraphs>997</Paragraphs>
  <ScaleCrop>false</ScaleCrop>
  <HeadingPairs>
    <vt:vector size="2" baseType="variant">
      <vt:variant>
        <vt:lpstr>Title</vt:lpstr>
      </vt:variant>
      <vt:variant>
        <vt:i4>1</vt:i4>
      </vt:variant>
    </vt:vector>
  </HeadingPairs>
  <TitlesOfParts>
    <vt:vector size="1" baseType="lpstr">
      <vt:lpstr>Valuation Report, 30 June 2016 Valuation</vt:lpstr>
    </vt:vector>
  </TitlesOfParts>
  <Company>PricewaterhouseCoopers</Company>
  <LinksUpToDate>false</LinksUpToDate>
  <CharactersWithSpaces>498585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30 June 2016 Valuation</dc:title>
  <dc:subject>Valuation Report, 30 June 2016 Valuation</dc:subject>
  <dc:creator>PricewaterhouseCoopers Actuarial</dc:creator>
  <cp:keywords>Abstudy – studying, Austudy, Youth Allowance (Student), Working Age, Abstudy, Austudy, Newstart, Sickness Allowance, Special Benefit, Youth Allowance (other), Income support – Parents, Parenting Payment – Partnered, Parenting Payment – Single, Income support – Carer, Carer Payment, Income Support – Disability, Disability Support Pension, Income Support – Age, Age Pension, Widow B Pension, Wife Pension, Income Support Dependant, Partner Allowance, Widow Allowance, Valuation Report, Baseline valuation, Priority Investment Approach, McClure Report, Department of Social Services, Investment Approach Taskforce, PricewaterhouseCoopers, Data Analysis Australia, Australian Priority Investment Approach</cp:keywords>
  <dc:description>This report documents the second actuarial valuation, which provides an updated estimate of the total lifetime costs based on information as at 30 June 2016, together with a range of information about the current and expected use of the welfare system for different segments of the Australian population.</dc:description>
  <cp:lastModifiedBy>STANTON, Kelly</cp:lastModifiedBy>
  <cp:revision>2</cp:revision>
  <dcterms:created xsi:type="dcterms:W3CDTF">2017-11-14T02:02:00Z</dcterms:created>
  <dcterms:modified xsi:type="dcterms:W3CDTF">2017-11-14T02:02:00Z</dcterms:modified>
  <cp:category>Publication</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