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4B" w:rsidRDefault="00E1604B" w:rsidP="00E1604B">
      <w:pPr>
        <w:pStyle w:val="BodyText"/>
        <w:sectPr w:rsidR="00E1604B" w:rsidSect="00E1604B">
          <w:headerReference w:type="default" r:id="rId12"/>
          <w:footerReference w:type="default" r:id="rId13"/>
          <w:type w:val="continuous"/>
          <w:pgSz w:w="11906" w:h="16838"/>
          <w:pgMar w:top="0" w:right="1440" w:bottom="1440" w:left="0" w:header="680" w:footer="567" w:gutter="0"/>
          <w:cols w:space="708"/>
          <w:titlePg/>
          <w:docGrid w:linePitch="360"/>
        </w:sectPr>
      </w:pPr>
    </w:p>
    <w:p w:rsidR="006D5B37" w:rsidRDefault="00992A3F" w:rsidP="00992A3F">
      <w:pPr>
        <w:pStyle w:val="Title"/>
        <w:ind w:right="-23"/>
      </w:pPr>
      <w:r>
        <w:rPr>
          <w:noProof/>
          <w:lang w:eastAsia="en-AU"/>
        </w:rPr>
        <w:lastRenderedPageBreak/>
        <w:drawing>
          <wp:inline distT="0" distB="0" distL="0" distR="0" wp14:anchorId="6A269639" wp14:editId="655DFC78">
            <wp:extent cx="2880000" cy="561600"/>
            <wp:effectExtent l="0" t="0" r="0" b="0"/>
            <wp:docPr id="2" name="Picture 2" title="Department of Education and Training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 Education and Training_Inlin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B37" w:rsidRDefault="006D5B37" w:rsidP="006D5B37"/>
    <w:p w:rsidR="007022BD" w:rsidRDefault="00A735BF" w:rsidP="00992A3F">
      <w:pPr>
        <w:pStyle w:val="Title"/>
        <w:ind w:right="-23"/>
      </w:pPr>
      <w:r>
        <w:t>Ministerial Advisory Council</w:t>
      </w:r>
    </w:p>
    <w:p w:rsidR="007022BD" w:rsidRPr="006F4861" w:rsidRDefault="007022BD" w:rsidP="006F4861">
      <w:pPr>
        <w:pStyle w:val="Title"/>
      </w:pPr>
      <w:r w:rsidRPr="006F4861">
        <w:t>Child Care and Early Learning</w:t>
      </w:r>
    </w:p>
    <w:p w:rsidR="007022BD" w:rsidRDefault="00A735BF" w:rsidP="007022BD">
      <w:pPr>
        <w:pStyle w:val="Heading1"/>
      </w:pPr>
      <w:r w:rsidRPr="007022BD">
        <w:rPr>
          <w:rStyle w:val="SubtitleChar"/>
          <w:b/>
          <w:iCs w:val="0"/>
          <w:spacing w:val="0"/>
          <w:sz w:val="36"/>
          <w:szCs w:val="28"/>
        </w:rPr>
        <w:t>Inclusion Support Programme</w:t>
      </w:r>
      <w:r w:rsidR="007022BD" w:rsidRPr="007022BD">
        <w:rPr>
          <w:rStyle w:val="SubtitleChar"/>
          <w:b/>
          <w:iCs w:val="0"/>
          <w:spacing w:val="0"/>
          <w:sz w:val="36"/>
          <w:szCs w:val="28"/>
        </w:rPr>
        <w:t xml:space="preserve"> Update</w:t>
      </w:r>
    </w:p>
    <w:p w:rsidR="007022BD" w:rsidRPr="006F4861" w:rsidRDefault="00A735BF" w:rsidP="006F4861">
      <w:pPr>
        <w:pStyle w:val="Subtitle"/>
      </w:pPr>
      <w:r w:rsidRPr="006F4861">
        <w:t>18 November 2015</w:t>
      </w:r>
    </w:p>
    <w:p w:rsidR="00A735BF" w:rsidRPr="00A735BF" w:rsidRDefault="00A735BF" w:rsidP="00A735BF">
      <w:pPr>
        <w:pStyle w:val="Heading1"/>
      </w:pPr>
      <w:r w:rsidRPr="00A735BF">
        <w:t>Introduction</w:t>
      </w:r>
    </w:p>
    <w:p w:rsidR="00A735BF" w:rsidRPr="00A735BF" w:rsidRDefault="00A735BF" w:rsidP="00A735BF">
      <w:r w:rsidRPr="00A735BF">
        <w:t>This presentation outlines the Department</w:t>
      </w:r>
      <w:r w:rsidR="007022BD">
        <w:t xml:space="preserve"> of Education and Training</w:t>
      </w:r>
      <w:r w:rsidRPr="00A735BF">
        <w:t xml:space="preserve">’s </w:t>
      </w:r>
      <w:r w:rsidRPr="00A735BF">
        <w:rPr>
          <w:b/>
          <w:bCs/>
          <w:i/>
          <w:iCs/>
        </w:rPr>
        <w:t>current thinking</w:t>
      </w:r>
      <w:r w:rsidRPr="00A735BF">
        <w:t xml:space="preserve"> about the Inclusion Support Programme’s (ISP) design</w:t>
      </w:r>
      <w:r>
        <w:t>.</w:t>
      </w:r>
    </w:p>
    <w:p w:rsidR="00A735BF" w:rsidRPr="00A735BF" w:rsidRDefault="00A735BF" w:rsidP="00A735BF">
      <w:pPr>
        <w:pStyle w:val="ListParagraph"/>
        <w:numPr>
          <w:ilvl w:val="0"/>
          <w:numId w:val="21"/>
        </w:numPr>
      </w:pPr>
      <w:r w:rsidRPr="00A735BF">
        <w:t xml:space="preserve">This design will </w:t>
      </w:r>
      <w:r w:rsidRPr="00A735BF">
        <w:rPr>
          <w:b/>
          <w:bCs/>
          <w:i/>
          <w:iCs/>
        </w:rPr>
        <w:t>continue to be refined.</w:t>
      </w:r>
    </w:p>
    <w:p w:rsidR="00A735BF" w:rsidRDefault="00A735BF" w:rsidP="00A735BF">
      <w:pPr>
        <w:pStyle w:val="ListParagraph"/>
        <w:numPr>
          <w:ilvl w:val="0"/>
          <w:numId w:val="21"/>
        </w:numPr>
      </w:pPr>
      <w:r w:rsidRPr="00A735BF">
        <w:t>It has been informed by the Productivity Commission’s recommendations and feedback from the Regulation Impact Statement consultations.</w:t>
      </w:r>
    </w:p>
    <w:p w:rsidR="00A735BF" w:rsidRDefault="00A735BF" w:rsidP="00A735BF">
      <w:pPr>
        <w:pStyle w:val="Heading1"/>
      </w:pPr>
      <w:r>
        <w:t>Overview</w:t>
      </w:r>
    </w:p>
    <w:p w:rsidR="00A735BF" w:rsidRDefault="00A735BF" w:rsidP="00DA03AF">
      <w:r>
        <w:t>ISP will commence 1 July 2016.</w:t>
      </w:r>
    </w:p>
    <w:p w:rsidR="00A735BF" w:rsidRDefault="00A735BF" w:rsidP="00DA03AF">
      <w:r>
        <w:t>ISP objectives are to:</w:t>
      </w:r>
    </w:p>
    <w:p w:rsidR="00A735BF" w:rsidRDefault="00A735BF" w:rsidP="00DA03AF">
      <w:pPr>
        <w:pStyle w:val="ListParagraph"/>
        <w:numPr>
          <w:ilvl w:val="0"/>
          <w:numId w:val="36"/>
        </w:numPr>
      </w:pPr>
      <w:r>
        <w:t xml:space="preserve">support mainstream child care services improve their capacity and capability to include children with additional needs </w:t>
      </w:r>
    </w:p>
    <w:p w:rsidR="00A735BF" w:rsidRDefault="00A735BF" w:rsidP="00DA03AF">
      <w:pPr>
        <w:pStyle w:val="ListParagraph"/>
        <w:numPr>
          <w:ilvl w:val="0"/>
          <w:numId w:val="36"/>
        </w:numPr>
      </w:pPr>
      <w:proofErr w:type="gramStart"/>
      <w:r>
        <w:t>provide</w:t>
      </w:r>
      <w:proofErr w:type="gramEnd"/>
      <w:r>
        <w:t xml:space="preserve"> parents and carers with access to appropriate child care  to assist them participate in the workforce.</w:t>
      </w:r>
    </w:p>
    <w:p w:rsidR="00A735BF" w:rsidRPr="00A735BF" w:rsidRDefault="00414FF4" w:rsidP="00A735BF">
      <w:pPr>
        <w:pStyle w:val="Heading1"/>
      </w:pPr>
      <w:r>
        <w:t>Proposed ISP key f</w:t>
      </w:r>
      <w:r w:rsidR="00A735BF" w:rsidRPr="00A735BF">
        <w:t>eatures</w:t>
      </w:r>
    </w:p>
    <w:p w:rsidR="00A735BF" w:rsidRDefault="00A735BF" w:rsidP="00DA03AF">
      <w:r w:rsidRPr="00A735BF">
        <w:t>We are thinking of a programme with three main elements:</w:t>
      </w:r>
    </w:p>
    <w:p w:rsidR="00A735BF" w:rsidRDefault="00A735BF" w:rsidP="00DA03AF">
      <w:pPr>
        <w:pStyle w:val="ListParagraph"/>
        <w:numPr>
          <w:ilvl w:val="0"/>
          <w:numId w:val="37"/>
        </w:numPr>
      </w:pPr>
      <w:r w:rsidRPr="00A735BF">
        <w:t>Inclusion Consultants</w:t>
      </w:r>
    </w:p>
    <w:p w:rsidR="00A735BF" w:rsidRDefault="00A735BF" w:rsidP="00DA03AF">
      <w:pPr>
        <w:pStyle w:val="ListParagraph"/>
        <w:numPr>
          <w:ilvl w:val="0"/>
          <w:numId w:val="37"/>
        </w:numPr>
      </w:pPr>
      <w:r w:rsidRPr="00A735BF">
        <w:t xml:space="preserve">Inclusion Development Fund </w:t>
      </w:r>
    </w:p>
    <w:p w:rsidR="00A735BF" w:rsidRPr="00A735BF" w:rsidRDefault="00A735BF" w:rsidP="00DA03AF">
      <w:pPr>
        <w:pStyle w:val="ListParagraph"/>
        <w:numPr>
          <w:ilvl w:val="0"/>
          <w:numId w:val="37"/>
        </w:numPr>
      </w:pPr>
      <w:r w:rsidRPr="00A735BF">
        <w:t>Inclusion Development Fund Manager</w:t>
      </w:r>
      <w:r w:rsidR="0018633E">
        <w:t>.</w:t>
      </w:r>
    </w:p>
    <w:p w:rsidR="007022BD" w:rsidRDefault="007022BD" w:rsidP="00A735BF">
      <w:pPr>
        <w:pStyle w:val="Heading1"/>
      </w:pPr>
    </w:p>
    <w:p w:rsidR="006F4861" w:rsidRDefault="006F4861">
      <w:pPr>
        <w:rPr>
          <w:rFonts w:ascii="Calibri" w:eastAsiaTheme="majorEastAsia" w:hAnsi="Calibri" w:cstheme="majorBidi"/>
          <w:b/>
          <w:bCs/>
          <w:color w:val="522761"/>
          <w:sz w:val="36"/>
          <w:szCs w:val="28"/>
        </w:rPr>
      </w:pPr>
      <w:r>
        <w:br w:type="page"/>
      </w:r>
    </w:p>
    <w:p w:rsidR="00A735BF" w:rsidRPr="00A735BF" w:rsidRDefault="00414FF4" w:rsidP="00A735BF">
      <w:pPr>
        <w:pStyle w:val="Heading1"/>
      </w:pPr>
      <w:r>
        <w:lastRenderedPageBreak/>
        <w:t>Inclusion Consultants – c</w:t>
      </w:r>
      <w:r w:rsidR="00A735BF" w:rsidRPr="00A735BF">
        <w:t xml:space="preserve">overage </w:t>
      </w:r>
    </w:p>
    <w:p w:rsidR="00A735BF" w:rsidRPr="00A735BF" w:rsidRDefault="00A735BF" w:rsidP="00A735BF">
      <w:r w:rsidRPr="00A735BF">
        <w:t>We are looking at one Inclusion Consultant (IC) to be contracted in each state and territory (one for NSW/ACT) to establish a network of inclusion specialists across their jurisdiction</w:t>
      </w:r>
      <w:r w:rsidR="006F4861">
        <w:t>.</w:t>
      </w:r>
    </w:p>
    <w:p w:rsidR="00A735BF" w:rsidRPr="00A735BF" w:rsidRDefault="00A735BF" w:rsidP="00A735BF">
      <w:r w:rsidRPr="00A735BF">
        <w:t>The department expects ICs to provide full geographic cove</w:t>
      </w:r>
      <w:r w:rsidR="006F4861">
        <w:t>rage within their jurisdiction—</w:t>
      </w:r>
      <w:r w:rsidRPr="00A735BF">
        <w:t xml:space="preserve">this will be </w:t>
      </w:r>
      <w:r w:rsidR="00BC3BF8">
        <w:t>one of the selection criteria—</w:t>
      </w:r>
      <w:bookmarkStart w:id="0" w:name="_GoBack"/>
      <w:bookmarkEnd w:id="0"/>
      <w:r w:rsidRPr="00A735BF">
        <w:t>and it will</w:t>
      </w:r>
      <w:r w:rsidR="006F4861">
        <w:t xml:space="preserve"> be monitored in implementation.</w:t>
      </w:r>
    </w:p>
    <w:p w:rsidR="00A735BF" w:rsidRPr="00A735BF" w:rsidRDefault="00A735BF" w:rsidP="00A735BF">
      <w:pPr>
        <w:pStyle w:val="Heading1"/>
      </w:pPr>
      <w:r w:rsidRPr="00A735BF">
        <w:t>Inclusion Consultants</w:t>
      </w:r>
    </w:p>
    <w:p w:rsidR="00A735BF" w:rsidRPr="00A735BF" w:rsidRDefault="00A735BF" w:rsidP="00A735BF">
      <w:r w:rsidRPr="00A735BF">
        <w:t>IC functions proposed include:</w:t>
      </w:r>
    </w:p>
    <w:p w:rsidR="00A735BF" w:rsidRPr="00A735BF" w:rsidRDefault="00A735BF" w:rsidP="00A735BF">
      <w:pPr>
        <w:pStyle w:val="ListParagraph"/>
        <w:numPr>
          <w:ilvl w:val="0"/>
          <w:numId w:val="33"/>
        </w:numPr>
      </w:pPr>
      <w:r w:rsidRPr="00A735BF">
        <w:t>assisting services to build in</w:t>
      </w:r>
      <w:r w:rsidR="00340C3E">
        <w:t>clusion capacity and capability</w:t>
      </w:r>
    </w:p>
    <w:p w:rsidR="00A735BF" w:rsidRPr="00A735BF" w:rsidRDefault="00A735BF" w:rsidP="00A735BF">
      <w:pPr>
        <w:pStyle w:val="ListParagraph"/>
        <w:numPr>
          <w:ilvl w:val="0"/>
          <w:numId w:val="33"/>
        </w:numPr>
      </w:pPr>
      <w:r w:rsidRPr="00A735BF">
        <w:t xml:space="preserve">helping services develop an inclusion plan with short and long term strategies </w:t>
      </w:r>
    </w:p>
    <w:p w:rsidR="00A735BF" w:rsidRPr="00A735BF" w:rsidRDefault="00A735BF" w:rsidP="00A735BF">
      <w:pPr>
        <w:pStyle w:val="ListParagraph"/>
        <w:numPr>
          <w:ilvl w:val="0"/>
          <w:numId w:val="33"/>
        </w:numPr>
      </w:pPr>
      <w:r w:rsidRPr="00A735BF">
        <w:t>managing a library of specialist equipment for loan to services</w:t>
      </w:r>
    </w:p>
    <w:p w:rsidR="00A735BF" w:rsidRPr="00A735BF" w:rsidRDefault="00A735BF" w:rsidP="00A735BF">
      <w:pPr>
        <w:pStyle w:val="ListParagraph"/>
        <w:numPr>
          <w:ilvl w:val="0"/>
          <w:numId w:val="33"/>
        </w:numPr>
      </w:pPr>
      <w:proofErr w:type="gramStart"/>
      <w:r w:rsidRPr="00A735BF">
        <w:t>establishing</w:t>
      </w:r>
      <w:proofErr w:type="gramEnd"/>
      <w:r w:rsidRPr="00A735BF">
        <w:t xml:space="preserve"> collaborative partnerships with other relevant service providers (e.g. NDIS, settlement services, regulators).</w:t>
      </w:r>
    </w:p>
    <w:p w:rsidR="00A735BF" w:rsidRPr="00A735BF" w:rsidRDefault="00A735BF" w:rsidP="00A735BF">
      <w:pPr>
        <w:pStyle w:val="Heading1"/>
      </w:pPr>
      <w:r w:rsidRPr="00A735BF">
        <w:t xml:space="preserve">Inclusion Development Fund </w:t>
      </w:r>
    </w:p>
    <w:p w:rsidR="00A735BF" w:rsidRPr="00A735BF" w:rsidRDefault="00A735BF" w:rsidP="00A735BF">
      <w:pPr>
        <w:rPr>
          <w:lang w:val="en-US"/>
        </w:rPr>
      </w:pPr>
      <w:r w:rsidRPr="00A735BF">
        <w:t xml:space="preserve">The </w:t>
      </w:r>
      <w:r w:rsidR="00414FF4">
        <w:t>Inclusion Development Fund (</w:t>
      </w:r>
      <w:r w:rsidRPr="00A735BF">
        <w:t>IDF</w:t>
      </w:r>
      <w:r w:rsidR="00414FF4">
        <w:t>)</w:t>
      </w:r>
      <w:r w:rsidRPr="00A735BF">
        <w:t xml:space="preserve"> </w:t>
      </w:r>
      <w:r w:rsidRPr="00A735BF">
        <w:rPr>
          <w:lang w:val="en-US"/>
        </w:rPr>
        <w:t xml:space="preserve">will provide funding to address inclusion barriers which cannot be addressed through IC support and improve flexibility. </w:t>
      </w:r>
    </w:p>
    <w:p w:rsidR="00A735BF" w:rsidRPr="00A735BF" w:rsidRDefault="00A735BF" w:rsidP="00A735BF">
      <w:pPr>
        <w:rPr>
          <w:lang w:val="en-US"/>
        </w:rPr>
      </w:pPr>
      <w:r w:rsidRPr="00A735BF">
        <w:rPr>
          <w:lang w:val="en-US"/>
        </w:rPr>
        <w:t xml:space="preserve">Use of funding includes: </w:t>
      </w:r>
    </w:p>
    <w:p w:rsidR="00A735BF" w:rsidRPr="00DD7693" w:rsidRDefault="00A735BF" w:rsidP="00DD7693">
      <w:pPr>
        <w:pStyle w:val="ListParagraph"/>
        <w:numPr>
          <w:ilvl w:val="0"/>
          <w:numId w:val="44"/>
        </w:numPr>
        <w:rPr>
          <w:lang w:val="en-US"/>
        </w:rPr>
      </w:pPr>
      <w:r w:rsidRPr="00DD7693">
        <w:rPr>
          <w:lang w:val="en-US"/>
        </w:rPr>
        <w:t xml:space="preserve">subsidising the employment of an additional educator </w:t>
      </w:r>
    </w:p>
    <w:p w:rsidR="00A735BF" w:rsidRPr="00DD7693" w:rsidRDefault="00A735BF" w:rsidP="00DD7693">
      <w:pPr>
        <w:pStyle w:val="ListParagraph"/>
        <w:numPr>
          <w:ilvl w:val="0"/>
          <w:numId w:val="44"/>
        </w:numPr>
        <w:rPr>
          <w:lang w:val="en-US"/>
        </w:rPr>
      </w:pPr>
      <w:r w:rsidRPr="00DD7693">
        <w:rPr>
          <w:lang w:val="en-US"/>
        </w:rPr>
        <w:t xml:space="preserve">‘top-up’ fee for Family Day Care </w:t>
      </w:r>
    </w:p>
    <w:p w:rsidR="00A735BF" w:rsidRPr="00A735BF" w:rsidRDefault="00A735BF" w:rsidP="00DD7693">
      <w:pPr>
        <w:pStyle w:val="ListParagraph"/>
        <w:numPr>
          <w:ilvl w:val="0"/>
          <w:numId w:val="44"/>
        </w:numPr>
      </w:pPr>
      <w:proofErr w:type="gramStart"/>
      <w:r w:rsidRPr="00DD7693">
        <w:rPr>
          <w:lang w:val="en-US"/>
        </w:rPr>
        <w:t>innovative</w:t>
      </w:r>
      <w:proofErr w:type="gramEnd"/>
      <w:r w:rsidRPr="00DD7693">
        <w:rPr>
          <w:lang w:val="en-US"/>
        </w:rPr>
        <w:t xml:space="preserve"> and flexible solutions to inclusion barriers including bicultural support.</w:t>
      </w:r>
    </w:p>
    <w:p w:rsidR="00A735BF" w:rsidRPr="00A735BF" w:rsidRDefault="00A735BF" w:rsidP="00A735BF">
      <w:pPr>
        <w:pStyle w:val="Heading2"/>
      </w:pPr>
      <w:r w:rsidRPr="00A735BF">
        <w:t>Subsidy – Additional educator</w:t>
      </w:r>
    </w:p>
    <w:p w:rsidR="00A735BF" w:rsidRPr="00A735BF" w:rsidRDefault="00A735BF" w:rsidP="00DA03AF">
      <w:pPr>
        <w:pStyle w:val="ListParagraph"/>
        <w:numPr>
          <w:ilvl w:val="0"/>
          <w:numId w:val="35"/>
        </w:numPr>
      </w:pPr>
      <w:r w:rsidRPr="00A735BF">
        <w:t>Children with disability, including undergoing assessment for disability, with high support needs</w:t>
      </w:r>
      <w:r w:rsidR="0018633E">
        <w:t>.</w:t>
      </w:r>
    </w:p>
    <w:p w:rsidR="00A735BF" w:rsidRPr="00A735BF" w:rsidRDefault="00A735BF" w:rsidP="00DA03AF">
      <w:pPr>
        <w:pStyle w:val="ListParagraph"/>
        <w:numPr>
          <w:ilvl w:val="0"/>
          <w:numId w:val="35"/>
        </w:numPr>
      </w:pPr>
      <w:r w:rsidRPr="00A735BF">
        <w:t>Centre based services and mobiles $23 per hour for up to 25 hours per week</w:t>
      </w:r>
      <w:r w:rsidR="0018633E">
        <w:t>.</w:t>
      </w:r>
    </w:p>
    <w:p w:rsidR="00A735BF" w:rsidRPr="00A735BF" w:rsidRDefault="0018633E" w:rsidP="00DA03AF">
      <w:pPr>
        <w:pStyle w:val="ListParagraph"/>
        <w:numPr>
          <w:ilvl w:val="0"/>
          <w:numId w:val="35"/>
        </w:numPr>
      </w:pPr>
      <w:r>
        <w:t>Up to 52 weeks per year.</w:t>
      </w:r>
    </w:p>
    <w:p w:rsidR="000144DD" w:rsidRPr="007022BD" w:rsidRDefault="00A735BF" w:rsidP="007022BD">
      <w:pPr>
        <w:pStyle w:val="ListParagraph"/>
        <w:numPr>
          <w:ilvl w:val="0"/>
          <w:numId w:val="35"/>
        </w:numPr>
      </w:pPr>
      <w:r w:rsidRPr="00A735BF">
        <w:t>No daily cap</w:t>
      </w:r>
      <w:r w:rsidR="0018633E">
        <w:t>.</w:t>
      </w:r>
    </w:p>
    <w:p w:rsidR="00A735BF" w:rsidRPr="00A735BF" w:rsidRDefault="00A735BF" w:rsidP="00A735BF">
      <w:pPr>
        <w:pStyle w:val="Heading2"/>
      </w:pPr>
      <w:r w:rsidRPr="00A735BF">
        <w:t>Subsidy – Immediate/Time Limited (similar to IPSP Flexible Support)</w:t>
      </w:r>
    </w:p>
    <w:p w:rsidR="00A735BF" w:rsidRPr="00A735BF" w:rsidRDefault="00A735BF" w:rsidP="00DA03AF">
      <w:pPr>
        <w:pStyle w:val="ListParagraph"/>
        <w:numPr>
          <w:ilvl w:val="0"/>
          <w:numId w:val="38"/>
        </w:numPr>
      </w:pPr>
      <w:r w:rsidRPr="00A735BF">
        <w:t xml:space="preserve">Provides an interim or short-term arrangement to engage an additional educator while longer term solutions (if needed) are determined and put in place. </w:t>
      </w:r>
    </w:p>
    <w:p w:rsidR="00A735BF" w:rsidRPr="00A735BF" w:rsidRDefault="00A735BF" w:rsidP="00DA03AF">
      <w:pPr>
        <w:pStyle w:val="ListParagraph"/>
        <w:numPr>
          <w:ilvl w:val="0"/>
          <w:numId w:val="38"/>
        </w:numPr>
      </w:pPr>
      <w:r w:rsidRPr="00A735BF">
        <w:t>Children with disability, including undergoing assessment for disability, with high support needs</w:t>
      </w:r>
      <w:r w:rsidR="0018633E">
        <w:t>.</w:t>
      </w:r>
    </w:p>
    <w:p w:rsidR="00A735BF" w:rsidRPr="00A735BF" w:rsidRDefault="00A735BF" w:rsidP="00DA03AF">
      <w:pPr>
        <w:pStyle w:val="ListParagraph"/>
        <w:numPr>
          <w:ilvl w:val="0"/>
          <w:numId w:val="38"/>
        </w:numPr>
      </w:pPr>
      <w:r w:rsidRPr="00A735BF">
        <w:t>Centre based services and mobiles $23 per hour for 25 hours per week</w:t>
      </w:r>
      <w:r w:rsidR="0018633E">
        <w:t>.</w:t>
      </w:r>
    </w:p>
    <w:p w:rsidR="00A735BF" w:rsidRPr="00A735BF" w:rsidRDefault="00A735BF" w:rsidP="00DA03AF">
      <w:pPr>
        <w:pStyle w:val="ListParagraph"/>
        <w:numPr>
          <w:ilvl w:val="0"/>
          <w:numId w:val="38"/>
        </w:numPr>
      </w:pPr>
      <w:r w:rsidRPr="00A735BF">
        <w:t>U</w:t>
      </w:r>
      <w:r w:rsidR="0018633E">
        <w:t>p to 4 weeks per child per year.</w:t>
      </w:r>
    </w:p>
    <w:p w:rsidR="00A735BF" w:rsidRPr="00A735BF" w:rsidRDefault="00A735BF" w:rsidP="00DA03AF">
      <w:pPr>
        <w:pStyle w:val="ListParagraph"/>
        <w:numPr>
          <w:ilvl w:val="0"/>
          <w:numId w:val="38"/>
        </w:numPr>
      </w:pPr>
      <w:r w:rsidRPr="00A735BF">
        <w:t>No daily cap</w:t>
      </w:r>
      <w:r w:rsidR="0018633E">
        <w:t>.</w:t>
      </w:r>
    </w:p>
    <w:p w:rsidR="007022BD" w:rsidRDefault="007022BD" w:rsidP="00A735BF">
      <w:pPr>
        <w:pStyle w:val="Heading2"/>
      </w:pPr>
      <w:r>
        <w:br/>
      </w:r>
    </w:p>
    <w:p w:rsidR="00A735BF" w:rsidRPr="00A735BF" w:rsidRDefault="00A735BF" w:rsidP="00A735BF">
      <w:pPr>
        <w:pStyle w:val="Heading2"/>
      </w:pPr>
      <w:r w:rsidRPr="00A735BF">
        <w:lastRenderedPageBreak/>
        <w:t>Subsidy – Family Day Care (</w:t>
      </w:r>
      <w:proofErr w:type="spellStart"/>
      <w:r w:rsidRPr="00A735BF">
        <w:t>FDC</w:t>
      </w:r>
      <w:proofErr w:type="spellEnd"/>
      <w:r w:rsidRPr="00A735BF">
        <w:t>) Top Up</w:t>
      </w:r>
    </w:p>
    <w:p w:rsidR="00A735BF" w:rsidRPr="00A735BF" w:rsidRDefault="00A735BF" w:rsidP="00DA03AF">
      <w:pPr>
        <w:pStyle w:val="ListParagraph"/>
        <w:numPr>
          <w:ilvl w:val="0"/>
          <w:numId w:val="39"/>
        </w:numPr>
      </w:pPr>
      <w:r w:rsidRPr="00A735BF">
        <w:t>Children with disability, including undergoing assessment for disability, with high support needs</w:t>
      </w:r>
      <w:r w:rsidR="0018633E">
        <w:t>.</w:t>
      </w:r>
    </w:p>
    <w:p w:rsidR="00A735BF" w:rsidRPr="00A735BF" w:rsidRDefault="00A735BF" w:rsidP="00DA03AF">
      <w:pPr>
        <w:pStyle w:val="ListParagraph"/>
        <w:numPr>
          <w:ilvl w:val="0"/>
          <w:numId w:val="39"/>
        </w:numPr>
      </w:pPr>
      <w:proofErr w:type="spellStart"/>
      <w:r w:rsidRPr="00A735BF">
        <w:t>FDC</w:t>
      </w:r>
      <w:proofErr w:type="spellEnd"/>
      <w:r w:rsidRPr="00A735BF">
        <w:t xml:space="preserve"> services</w:t>
      </w:r>
      <w:r w:rsidR="0018633E">
        <w:t>.</w:t>
      </w:r>
    </w:p>
    <w:p w:rsidR="00A735BF" w:rsidRPr="00A735BF" w:rsidRDefault="00A735BF" w:rsidP="00DA03AF">
      <w:pPr>
        <w:pStyle w:val="ListParagraph"/>
        <w:numPr>
          <w:ilvl w:val="0"/>
          <w:numId w:val="39"/>
        </w:numPr>
      </w:pPr>
      <w:r w:rsidRPr="00A735BF">
        <w:t>$10.20 per hour in 2016-17</w:t>
      </w:r>
      <w:r w:rsidR="0018633E">
        <w:t>.</w:t>
      </w:r>
    </w:p>
    <w:p w:rsidR="00A735BF" w:rsidRPr="00A735BF" w:rsidRDefault="00A735BF" w:rsidP="00DA03AF">
      <w:pPr>
        <w:pStyle w:val="ListParagraph"/>
        <w:numPr>
          <w:ilvl w:val="0"/>
          <w:numId w:val="39"/>
        </w:numPr>
      </w:pPr>
      <w:r w:rsidRPr="00A735BF">
        <w:t>Up to 50 hours per week</w:t>
      </w:r>
      <w:r w:rsidR="0018633E">
        <w:t>.</w:t>
      </w:r>
    </w:p>
    <w:p w:rsidR="00A735BF" w:rsidRPr="00A735BF" w:rsidRDefault="00A735BF" w:rsidP="00DA03AF">
      <w:pPr>
        <w:pStyle w:val="ListParagraph"/>
        <w:numPr>
          <w:ilvl w:val="0"/>
          <w:numId w:val="39"/>
        </w:numPr>
      </w:pPr>
      <w:r w:rsidRPr="00A735BF">
        <w:t>Up to 52 weeks per year</w:t>
      </w:r>
      <w:r w:rsidR="0018633E">
        <w:t>.</w:t>
      </w:r>
    </w:p>
    <w:p w:rsidR="00A735BF" w:rsidRPr="00A735BF" w:rsidRDefault="00A735BF" w:rsidP="00DA03AF">
      <w:pPr>
        <w:pStyle w:val="ListParagraph"/>
        <w:numPr>
          <w:ilvl w:val="0"/>
          <w:numId w:val="39"/>
        </w:numPr>
      </w:pPr>
      <w:r w:rsidRPr="00A735BF">
        <w:t>No daily cap</w:t>
      </w:r>
      <w:r w:rsidR="0018633E">
        <w:t>.</w:t>
      </w:r>
    </w:p>
    <w:p w:rsidR="00A735BF" w:rsidRPr="00A735BF" w:rsidRDefault="00A735BF" w:rsidP="00A735BF">
      <w:r w:rsidRPr="00A735BF">
        <w:t xml:space="preserve">Given low and sharply declining uptake of the current </w:t>
      </w:r>
      <w:proofErr w:type="spellStart"/>
      <w:r w:rsidRPr="00A735BF">
        <w:t>FDC</w:t>
      </w:r>
      <w:proofErr w:type="spellEnd"/>
      <w:r w:rsidRPr="00A735BF">
        <w:t xml:space="preserve"> excursion subsidy, it is proposed this component is no longer funded. </w:t>
      </w:r>
    </w:p>
    <w:p w:rsidR="00A735BF" w:rsidRPr="00A735BF" w:rsidRDefault="00A735BF" w:rsidP="00A735BF">
      <w:pPr>
        <w:pStyle w:val="Heading2"/>
      </w:pPr>
      <w:r w:rsidRPr="00A735BF">
        <w:t>Innovative Solutions – New Element</w:t>
      </w:r>
    </w:p>
    <w:p w:rsidR="00A735BF" w:rsidRPr="00A735BF" w:rsidRDefault="00A735BF" w:rsidP="00DA03AF">
      <w:pPr>
        <w:pStyle w:val="ListParagraph"/>
        <w:numPr>
          <w:ilvl w:val="0"/>
          <w:numId w:val="40"/>
        </w:numPr>
      </w:pPr>
      <w:r w:rsidRPr="00A735BF">
        <w:t>All eligible services can apply but subject to available funds.</w:t>
      </w:r>
    </w:p>
    <w:p w:rsidR="00A735BF" w:rsidRPr="00A735BF" w:rsidRDefault="00A735BF" w:rsidP="00DA03AF">
      <w:pPr>
        <w:pStyle w:val="ListParagraph"/>
        <w:numPr>
          <w:ilvl w:val="0"/>
          <w:numId w:val="40"/>
        </w:numPr>
      </w:pPr>
      <w:r w:rsidRPr="00A735BF">
        <w:t>Supports services fund innovative and flexible solutions to inclusion barriers other than by engaging an additional educator</w:t>
      </w:r>
      <w:r w:rsidR="0018633E">
        <w:t>.</w:t>
      </w:r>
    </w:p>
    <w:p w:rsidR="00A735BF" w:rsidRPr="00A735BF" w:rsidRDefault="00A735BF" w:rsidP="00DA03AF">
      <w:pPr>
        <w:pStyle w:val="ListParagraph"/>
        <w:numPr>
          <w:ilvl w:val="0"/>
          <w:numId w:val="40"/>
        </w:numPr>
      </w:pPr>
      <w:r w:rsidRPr="00A735BF">
        <w:t>Empowers services to consider their inclusion challenges and take an active role in finding appropriate solutions</w:t>
      </w:r>
      <w:r w:rsidR="0018633E">
        <w:t>.</w:t>
      </w:r>
    </w:p>
    <w:p w:rsidR="000144DD" w:rsidRPr="007022BD" w:rsidRDefault="00A735BF" w:rsidP="007022BD">
      <w:pPr>
        <w:pStyle w:val="ListParagraph"/>
        <w:numPr>
          <w:ilvl w:val="0"/>
          <w:numId w:val="40"/>
        </w:numPr>
      </w:pPr>
      <w:r w:rsidRPr="00A735BF">
        <w:t>Includes the ‘bicultural support’ function in IPSP and potential new solutions</w:t>
      </w:r>
      <w:r w:rsidR="0018633E">
        <w:t>.</w:t>
      </w:r>
    </w:p>
    <w:p w:rsidR="00A735BF" w:rsidRPr="00A735BF" w:rsidRDefault="00A735BF" w:rsidP="00A735BF">
      <w:pPr>
        <w:pStyle w:val="Heading1"/>
      </w:pPr>
      <w:r w:rsidRPr="00A735BF">
        <w:t>Inclusion Development Fund Manager</w:t>
      </w:r>
    </w:p>
    <w:p w:rsidR="00A735BF" w:rsidRPr="00A735BF" w:rsidRDefault="00A735BF" w:rsidP="00A735BF">
      <w:r w:rsidRPr="00A735BF">
        <w:t xml:space="preserve">Proposed IDF Manager </w:t>
      </w:r>
      <w:proofErr w:type="gramStart"/>
      <w:r w:rsidRPr="00A735BF">
        <w:t>role</w:t>
      </w:r>
      <w:proofErr w:type="gramEnd"/>
      <w:r w:rsidRPr="00A735BF">
        <w:t xml:space="preserve"> includes:</w:t>
      </w:r>
    </w:p>
    <w:p w:rsidR="00A735BF" w:rsidRPr="00A735BF" w:rsidRDefault="00A735BF" w:rsidP="00DA03AF">
      <w:pPr>
        <w:pStyle w:val="ListParagraph"/>
        <w:numPr>
          <w:ilvl w:val="0"/>
          <w:numId w:val="41"/>
        </w:numPr>
      </w:pPr>
      <w:r w:rsidRPr="00A735BF">
        <w:t xml:space="preserve">providing a nationally consistent approach to assessing and approving </w:t>
      </w:r>
      <w:r w:rsidR="00533DA3">
        <w:t>IDF applications from services</w:t>
      </w:r>
    </w:p>
    <w:p w:rsidR="00A735BF" w:rsidRPr="00A735BF" w:rsidRDefault="00A735BF" w:rsidP="00DA03AF">
      <w:pPr>
        <w:pStyle w:val="ListParagraph"/>
        <w:numPr>
          <w:ilvl w:val="0"/>
          <w:numId w:val="41"/>
        </w:numPr>
      </w:pPr>
      <w:r w:rsidRPr="00A735BF">
        <w:t>advising on IDF eligibility requirements, application processes, funding</w:t>
      </w:r>
      <w:r w:rsidR="00533DA3">
        <w:t xml:space="preserve"> levels, queries and complaints</w:t>
      </w:r>
    </w:p>
    <w:p w:rsidR="00A735BF" w:rsidRPr="00A735BF" w:rsidRDefault="00A735BF" w:rsidP="00A735BF">
      <w:pPr>
        <w:pStyle w:val="ListParagraph"/>
        <w:numPr>
          <w:ilvl w:val="0"/>
          <w:numId w:val="41"/>
        </w:numPr>
      </w:pPr>
      <w:proofErr w:type="gramStart"/>
      <w:r w:rsidRPr="00A735BF">
        <w:t>compliance</w:t>
      </w:r>
      <w:proofErr w:type="gramEnd"/>
      <w:r w:rsidRPr="00A735BF">
        <w:t xml:space="preserve"> checking to confirm IDF funding is used in accordance with the service’s approved application.</w:t>
      </w:r>
    </w:p>
    <w:p w:rsidR="00A735BF" w:rsidRPr="00A735BF" w:rsidRDefault="00414FF4" w:rsidP="00A735BF">
      <w:pPr>
        <w:pStyle w:val="Heading1"/>
      </w:pPr>
      <w:r>
        <w:t>Proposed t</w:t>
      </w:r>
      <w:r w:rsidR="00A735BF" w:rsidRPr="00A735BF">
        <w:t>ransition and IT</w:t>
      </w:r>
    </w:p>
    <w:p w:rsidR="00A735BF" w:rsidRPr="00A735BF" w:rsidRDefault="00533DA3" w:rsidP="00DA03AF">
      <w:pPr>
        <w:pStyle w:val="ListParagraph"/>
        <w:numPr>
          <w:ilvl w:val="0"/>
          <w:numId w:val="42"/>
        </w:numPr>
      </w:pPr>
      <w:r>
        <w:t>The d</w:t>
      </w:r>
      <w:r w:rsidR="00A735BF" w:rsidRPr="00A735BF">
        <w:t>epartment is thinking about how it should transition IPSP cases with an orderly assessment into the new ISP programme from July 2016.</w:t>
      </w:r>
    </w:p>
    <w:p w:rsidR="00A735BF" w:rsidRPr="00A735BF" w:rsidRDefault="00A735BF" w:rsidP="00DA03AF">
      <w:pPr>
        <w:pStyle w:val="ListParagraph"/>
        <w:numPr>
          <w:ilvl w:val="0"/>
          <w:numId w:val="42"/>
        </w:numPr>
      </w:pPr>
      <w:r w:rsidRPr="00A735BF">
        <w:t>Specialist equipment will also be transitioned.</w:t>
      </w:r>
    </w:p>
    <w:p w:rsidR="00A735BF" w:rsidRPr="00A735BF" w:rsidRDefault="00A735BF" w:rsidP="00A735BF">
      <w:pPr>
        <w:pStyle w:val="ListParagraph"/>
        <w:numPr>
          <w:ilvl w:val="0"/>
          <w:numId w:val="42"/>
        </w:numPr>
      </w:pPr>
      <w:r w:rsidRPr="00A735BF">
        <w:t>A new IT system is being built to provide both better functionality and a better user experience for both providers and services.</w:t>
      </w:r>
    </w:p>
    <w:p w:rsidR="00A735BF" w:rsidRPr="00A735BF" w:rsidRDefault="00414FF4" w:rsidP="00A735BF">
      <w:pPr>
        <w:pStyle w:val="Heading1"/>
      </w:pPr>
      <w:r>
        <w:t>Next s</w:t>
      </w:r>
      <w:r w:rsidR="00A735BF" w:rsidRPr="00A735BF">
        <w:t>teps</w:t>
      </w:r>
    </w:p>
    <w:p w:rsidR="00A735BF" w:rsidRPr="00A735BF" w:rsidRDefault="00A735BF" w:rsidP="00DA03AF">
      <w:pPr>
        <w:pStyle w:val="ListParagraph"/>
        <w:numPr>
          <w:ilvl w:val="0"/>
          <w:numId w:val="43"/>
        </w:numPr>
      </w:pPr>
      <w:r w:rsidRPr="00A735BF">
        <w:t>Request for Tender (</w:t>
      </w:r>
      <w:proofErr w:type="spellStart"/>
      <w:r w:rsidRPr="00A735BF">
        <w:t>RFT</w:t>
      </w:r>
      <w:proofErr w:type="spellEnd"/>
      <w:r w:rsidRPr="00A735BF">
        <w:t>) expected in early 2016</w:t>
      </w:r>
    </w:p>
    <w:p w:rsidR="00A735BF" w:rsidRPr="00A735BF" w:rsidRDefault="00A735BF" w:rsidP="00DA03AF">
      <w:pPr>
        <w:pStyle w:val="ListParagraph"/>
        <w:numPr>
          <w:ilvl w:val="0"/>
          <w:numId w:val="43"/>
        </w:numPr>
      </w:pPr>
      <w:r w:rsidRPr="00A735BF">
        <w:t xml:space="preserve">Industry briefing/information sessions following </w:t>
      </w:r>
      <w:proofErr w:type="spellStart"/>
      <w:r w:rsidRPr="00A735BF">
        <w:t>RFT</w:t>
      </w:r>
      <w:proofErr w:type="spellEnd"/>
      <w:r w:rsidRPr="00A735BF">
        <w:t xml:space="preserve"> release</w:t>
      </w:r>
    </w:p>
    <w:p w:rsidR="00A735BF" w:rsidRPr="00A735BF" w:rsidRDefault="00A735BF" w:rsidP="00DA03AF">
      <w:pPr>
        <w:pStyle w:val="ListParagraph"/>
        <w:numPr>
          <w:ilvl w:val="0"/>
          <w:numId w:val="43"/>
        </w:numPr>
      </w:pPr>
      <w:r w:rsidRPr="00A735BF">
        <w:t>Assessment completed in March/April 2016</w:t>
      </w:r>
    </w:p>
    <w:p w:rsidR="00A735BF" w:rsidRPr="00A735BF" w:rsidRDefault="00A735BF" w:rsidP="00DA03AF">
      <w:pPr>
        <w:pStyle w:val="ListParagraph"/>
        <w:numPr>
          <w:ilvl w:val="0"/>
          <w:numId w:val="43"/>
        </w:numPr>
      </w:pPr>
      <w:r w:rsidRPr="00A735BF">
        <w:t>Successful applicants notified in April 2016</w:t>
      </w:r>
    </w:p>
    <w:p w:rsidR="00A735BF" w:rsidRPr="00A735BF" w:rsidRDefault="00A735BF" w:rsidP="00A735BF">
      <w:pPr>
        <w:pStyle w:val="ListParagraph"/>
        <w:numPr>
          <w:ilvl w:val="0"/>
          <w:numId w:val="43"/>
        </w:numPr>
      </w:pPr>
      <w:r w:rsidRPr="00A735BF">
        <w:t>Contracts executed in May 2016.</w:t>
      </w:r>
    </w:p>
    <w:sectPr w:rsidR="00A735BF" w:rsidRPr="00A735BF" w:rsidSect="007022BD">
      <w:type w:val="continuous"/>
      <w:pgSz w:w="11906" w:h="16838"/>
      <w:pgMar w:top="1135" w:right="1440" w:bottom="993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D1" w:rsidRDefault="00A50FD1" w:rsidP="00130923">
      <w:pPr>
        <w:spacing w:after="0" w:line="240" w:lineRule="auto"/>
      </w:pPr>
      <w:r>
        <w:separator/>
      </w:r>
    </w:p>
  </w:endnote>
  <w:endnote w:type="continuationSeparator" w:id="0">
    <w:p w:rsidR="00A50FD1" w:rsidRDefault="00A50FD1" w:rsidP="001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B9" w:rsidRDefault="00BC3BF8" w:rsidP="00A73406">
    <w:pPr>
      <w:pStyle w:val="Footer"/>
      <w:tabs>
        <w:tab w:val="clear" w:pos="9026"/>
        <w:tab w:val="right" w:pos="8647"/>
      </w:tabs>
      <w:ind w:firstLine="720"/>
      <w:jc w:val="right"/>
    </w:pPr>
    <w:sdt>
      <w:sdtPr>
        <w:id w:val="6389276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242B9">
          <w:fldChar w:fldCharType="begin"/>
        </w:r>
        <w:r w:rsidR="003242B9">
          <w:instrText xml:space="preserve"> PAGE   \* MERGEFORMAT </w:instrText>
        </w:r>
        <w:r w:rsidR="003242B9">
          <w:fldChar w:fldCharType="separate"/>
        </w:r>
        <w:r>
          <w:rPr>
            <w:noProof/>
          </w:rPr>
          <w:t>2</w:t>
        </w:r>
        <w:r w:rsidR="003242B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D1" w:rsidRDefault="00A50FD1" w:rsidP="00130923">
      <w:pPr>
        <w:spacing w:after="0" w:line="240" w:lineRule="auto"/>
      </w:pPr>
      <w:r>
        <w:separator/>
      </w:r>
    </w:p>
  </w:footnote>
  <w:footnote w:type="continuationSeparator" w:id="0">
    <w:p w:rsidR="00A50FD1" w:rsidRDefault="00A50FD1" w:rsidP="0013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A0" w:rsidRDefault="00DA03AF" w:rsidP="00A66052">
    <w:pPr>
      <w:pStyle w:val="Header"/>
      <w:spacing w:after="480"/>
      <w:jc w:val="right"/>
    </w:pPr>
    <w:r>
      <w:t>Ministerial Advisory Council – Inclusion Support Programme</w:t>
    </w:r>
    <w:r w:rsidR="007022BD">
      <w:t xml:space="preserve"> Update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882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C0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08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42C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EB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68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840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FE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01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32869512"/>
    <w:lvl w:ilvl="0">
      <w:numFmt w:val="bullet"/>
      <w:lvlText w:val="*"/>
      <w:lvlJc w:val="left"/>
    </w:lvl>
  </w:abstractNum>
  <w:abstractNum w:abstractNumId="10">
    <w:nsid w:val="02342DCD"/>
    <w:multiLevelType w:val="hybridMultilevel"/>
    <w:tmpl w:val="9DA2F8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0F485D"/>
    <w:multiLevelType w:val="hybridMultilevel"/>
    <w:tmpl w:val="5BE4D756"/>
    <w:lvl w:ilvl="0" w:tplc="1A440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77756E"/>
    <w:multiLevelType w:val="hybridMultilevel"/>
    <w:tmpl w:val="BFBC0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E12691"/>
    <w:multiLevelType w:val="hybridMultilevel"/>
    <w:tmpl w:val="87F08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41DF2"/>
    <w:multiLevelType w:val="hybridMultilevel"/>
    <w:tmpl w:val="F7842D62"/>
    <w:lvl w:ilvl="0" w:tplc="7F847DE4">
      <w:start w:val="1"/>
      <w:numFmt w:val="decimal"/>
      <w:pStyle w:val="numberedpara"/>
      <w:lvlText w:val="%1."/>
      <w:lvlJc w:val="right"/>
      <w:pPr>
        <w:tabs>
          <w:tab w:val="num" w:pos="567"/>
        </w:tabs>
        <w:ind w:left="0" w:hanging="567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3C5869"/>
    <w:multiLevelType w:val="hybridMultilevel"/>
    <w:tmpl w:val="D8B64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C36A09"/>
    <w:multiLevelType w:val="hybridMultilevel"/>
    <w:tmpl w:val="31EEE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E21F0F"/>
    <w:multiLevelType w:val="hybridMultilevel"/>
    <w:tmpl w:val="7488F174"/>
    <w:lvl w:ilvl="0" w:tplc="25185DA4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8A3711"/>
    <w:multiLevelType w:val="hybridMultilevel"/>
    <w:tmpl w:val="67DCF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BA5C77"/>
    <w:multiLevelType w:val="multilevel"/>
    <w:tmpl w:val="FF4E1B02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ind w:left="226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247E2423"/>
    <w:multiLevelType w:val="hybridMultilevel"/>
    <w:tmpl w:val="29F6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A96393"/>
    <w:multiLevelType w:val="hybridMultilevel"/>
    <w:tmpl w:val="A02C4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2A719A"/>
    <w:multiLevelType w:val="hybridMultilevel"/>
    <w:tmpl w:val="BCDE3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7234B2"/>
    <w:multiLevelType w:val="hybridMultilevel"/>
    <w:tmpl w:val="C284C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5865D2"/>
    <w:multiLevelType w:val="hybridMultilevel"/>
    <w:tmpl w:val="E03E3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A57BFC"/>
    <w:multiLevelType w:val="hybridMultilevel"/>
    <w:tmpl w:val="7E9EF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A3C13"/>
    <w:multiLevelType w:val="hybridMultilevel"/>
    <w:tmpl w:val="B530A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D6C19"/>
    <w:multiLevelType w:val="hybridMultilevel"/>
    <w:tmpl w:val="A2541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73210"/>
    <w:multiLevelType w:val="multilevel"/>
    <w:tmpl w:val="9C90C1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ind w:left="1531" w:hanging="39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780B2F"/>
    <w:multiLevelType w:val="hybridMultilevel"/>
    <w:tmpl w:val="71FA1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F1710"/>
    <w:multiLevelType w:val="multilevel"/>
    <w:tmpl w:val="835A88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>
    <w:nsid w:val="5BBD1E0C"/>
    <w:multiLevelType w:val="hybridMultilevel"/>
    <w:tmpl w:val="DD720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23901"/>
    <w:multiLevelType w:val="hybridMultilevel"/>
    <w:tmpl w:val="5590C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72B90"/>
    <w:multiLevelType w:val="hybridMultilevel"/>
    <w:tmpl w:val="772EA40E"/>
    <w:lvl w:ilvl="0" w:tplc="25185DA4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3544E50C">
      <w:numFmt w:val="bullet"/>
      <w:lvlText w:val="–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E2999"/>
    <w:multiLevelType w:val="hybridMultilevel"/>
    <w:tmpl w:val="BE9A9BF0"/>
    <w:lvl w:ilvl="0" w:tplc="CC82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4"/>
  </w:num>
  <w:num w:numId="15">
    <w:abstractNumId w:val="13"/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20">
    <w:abstractNumId w:val="14"/>
  </w:num>
  <w:num w:numId="21">
    <w:abstractNumId w:val="27"/>
  </w:num>
  <w:num w:numId="22">
    <w:abstractNumId w:val="31"/>
  </w:num>
  <w:num w:numId="23">
    <w:abstractNumId w:val="33"/>
  </w:num>
  <w:num w:numId="24">
    <w:abstractNumId w:val="9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2"/>
        </w:rPr>
      </w:lvl>
    </w:lvlOverride>
  </w:num>
  <w:num w:numId="25">
    <w:abstractNumId w:val="9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62"/>
        </w:rPr>
      </w:lvl>
    </w:lvlOverride>
  </w:num>
  <w:num w:numId="26">
    <w:abstractNumId w:val="9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7">
    <w:abstractNumId w:val="9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8">
    <w:abstractNumId w:val="9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9">
    <w:abstractNumId w:val="9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4"/>
        </w:rPr>
      </w:lvl>
    </w:lvlOverride>
  </w:num>
  <w:num w:numId="30">
    <w:abstractNumId w:val="22"/>
  </w:num>
  <w:num w:numId="31">
    <w:abstractNumId w:val="17"/>
  </w:num>
  <w:num w:numId="32">
    <w:abstractNumId w:val="10"/>
  </w:num>
  <w:num w:numId="33">
    <w:abstractNumId w:val="29"/>
  </w:num>
  <w:num w:numId="34">
    <w:abstractNumId w:val="32"/>
  </w:num>
  <w:num w:numId="35">
    <w:abstractNumId w:val="12"/>
  </w:num>
  <w:num w:numId="36">
    <w:abstractNumId w:val="16"/>
  </w:num>
  <w:num w:numId="37">
    <w:abstractNumId w:val="20"/>
  </w:num>
  <w:num w:numId="38">
    <w:abstractNumId w:val="23"/>
  </w:num>
  <w:num w:numId="39">
    <w:abstractNumId w:val="24"/>
  </w:num>
  <w:num w:numId="40">
    <w:abstractNumId w:val="26"/>
  </w:num>
  <w:num w:numId="41">
    <w:abstractNumId w:val="15"/>
  </w:num>
  <w:num w:numId="42">
    <w:abstractNumId w:val="21"/>
  </w:num>
  <w:num w:numId="43">
    <w:abstractNumId w:val="1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C10C19"/>
    <w:rsid w:val="00002721"/>
    <w:rsid w:val="00007E0C"/>
    <w:rsid w:val="000144DD"/>
    <w:rsid w:val="00024E24"/>
    <w:rsid w:val="00034EAA"/>
    <w:rsid w:val="00067C8F"/>
    <w:rsid w:val="000861A6"/>
    <w:rsid w:val="000D7FD3"/>
    <w:rsid w:val="000E7E7B"/>
    <w:rsid w:val="000F3BA2"/>
    <w:rsid w:val="001175BF"/>
    <w:rsid w:val="00130923"/>
    <w:rsid w:val="001414F3"/>
    <w:rsid w:val="00143FCD"/>
    <w:rsid w:val="0018633E"/>
    <w:rsid w:val="001B6467"/>
    <w:rsid w:val="001C48A7"/>
    <w:rsid w:val="00223EB1"/>
    <w:rsid w:val="00236917"/>
    <w:rsid w:val="00243D6B"/>
    <w:rsid w:val="002B06E6"/>
    <w:rsid w:val="002C3AA1"/>
    <w:rsid w:val="002D271F"/>
    <w:rsid w:val="002D2BB1"/>
    <w:rsid w:val="002D6386"/>
    <w:rsid w:val="002F1999"/>
    <w:rsid w:val="00305B35"/>
    <w:rsid w:val="003155A7"/>
    <w:rsid w:val="003166C5"/>
    <w:rsid w:val="003242B9"/>
    <w:rsid w:val="00340C3E"/>
    <w:rsid w:val="003753C7"/>
    <w:rsid w:val="003979FC"/>
    <w:rsid w:val="003D67FC"/>
    <w:rsid w:val="00406E5A"/>
    <w:rsid w:val="00414FF4"/>
    <w:rsid w:val="0042171B"/>
    <w:rsid w:val="004510E1"/>
    <w:rsid w:val="00455B34"/>
    <w:rsid w:val="00480370"/>
    <w:rsid w:val="00481F02"/>
    <w:rsid w:val="0048762C"/>
    <w:rsid w:val="004B256F"/>
    <w:rsid w:val="005113B6"/>
    <w:rsid w:val="00531817"/>
    <w:rsid w:val="00533DA3"/>
    <w:rsid w:val="00560CA0"/>
    <w:rsid w:val="005624F3"/>
    <w:rsid w:val="005811EF"/>
    <w:rsid w:val="005B0878"/>
    <w:rsid w:val="005C15C0"/>
    <w:rsid w:val="00610654"/>
    <w:rsid w:val="006318B9"/>
    <w:rsid w:val="0067026C"/>
    <w:rsid w:val="006D5B37"/>
    <w:rsid w:val="006E2D49"/>
    <w:rsid w:val="006F4861"/>
    <w:rsid w:val="007022BD"/>
    <w:rsid w:val="007063F2"/>
    <w:rsid w:val="007468FC"/>
    <w:rsid w:val="00763394"/>
    <w:rsid w:val="00792CA3"/>
    <w:rsid w:val="007B2FDD"/>
    <w:rsid w:val="007D58FB"/>
    <w:rsid w:val="00832FB2"/>
    <w:rsid w:val="0083468A"/>
    <w:rsid w:val="00842D43"/>
    <w:rsid w:val="00856D1C"/>
    <w:rsid w:val="00876AC0"/>
    <w:rsid w:val="008F622A"/>
    <w:rsid w:val="00903408"/>
    <w:rsid w:val="00905AD9"/>
    <w:rsid w:val="009116EA"/>
    <w:rsid w:val="00933671"/>
    <w:rsid w:val="00972BF7"/>
    <w:rsid w:val="00972DD5"/>
    <w:rsid w:val="00984879"/>
    <w:rsid w:val="00985632"/>
    <w:rsid w:val="00991B63"/>
    <w:rsid w:val="00992A3F"/>
    <w:rsid w:val="009B2428"/>
    <w:rsid w:val="009B5CB7"/>
    <w:rsid w:val="00A31242"/>
    <w:rsid w:val="00A475CB"/>
    <w:rsid w:val="00A50FD1"/>
    <w:rsid w:val="00A52530"/>
    <w:rsid w:val="00A551BF"/>
    <w:rsid w:val="00A66052"/>
    <w:rsid w:val="00A70524"/>
    <w:rsid w:val="00A73406"/>
    <w:rsid w:val="00A735BF"/>
    <w:rsid w:val="00AC65DA"/>
    <w:rsid w:val="00AD09E4"/>
    <w:rsid w:val="00AF1737"/>
    <w:rsid w:val="00B2722A"/>
    <w:rsid w:val="00B618BA"/>
    <w:rsid w:val="00B82137"/>
    <w:rsid w:val="00BA282D"/>
    <w:rsid w:val="00BA4D57"/>
    <w:rsid w:val="00BB6260"/>
    <w:rsid w:val="00BC3BF8"/>
    <w:rsid w:val="00C05E74"/>
    <w:rsid w:val="00C10C19"/>
    <w:rsid w:val="00C143B8"/>
    <w:rsid w:val="00C17D02"/>
    <w:rsid w:val="00C51A0E"/>
    <w:rsid w:val="00C5649C"/>
    <w:rsid w:val="00C75486"/>
    <w:rsid w:val="00C8202C"/>
    <w:rsid w:val="00C91576"/>
    <w:rsid w:val="00C92A5B"/>
    <w:rsid w:val="00CA46EC"/>
    <w:rsid w:val="00D05B29"/>
    <w:rsid w:val="00D1394D"/>
    <w:rsid w:val="00D27C2D"/>
    <w:rsid w:val="00D47740"/>
    <w:rsid w:val="00D812B9"/>
    <w:rsid w:val="00D903FD"/>
    <w:rsid w:val="00D94BC5"/>
    <w:rsid w:val="00D96C08"/>
    <w:rsid w:val="00DA03AF"/>
    <w:rsid w:val="00DC3052"/>
    <w:rsid w:val="00DD7693"/>
    <w:rsid w:val="00DF46C4"/>
    <w:rsid w:val="00DF4CA3"/>
    <w:rsid w:val="00E02515"/>
    <w:rsid w:val="00E1604B"/>
    <w:rsid w:val="00EC78E7"/>
    <w:rsid w:val="00ED43D2"/>
    <w:rsid w:val="00EE3B8C"/>
    <w:rsid w:val="00EF4A38"/>
    <w:rsid w:val="00EF5845"/>
    <w:rsid w:val="00F11B8F"/>
    <w:rsid w:val="00F47193"/>
    <w:rsid w:val="00F74011"/>
    <w:rsid w:val="00F80CFC"/>
    <w:rsid w:val="00F80DCB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uiPriority w:val="9"/>
    <w:qFormat/>
    <w:rsid w:val="002C3AA1"/>
    <w:pPr>
      <w:spacing w:after="24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52276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C3AA1"/>
    <w:rPr>
      <w:rFonts w:ascii="Calibri" w:eastAsiaTheme="majorEastAsia" w:hAnsi="Calibri" w:cstheme="majorBidi"/>
      <w:b/>
      <w:bCs/>
      <w:color w:val="52276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2A3F"/>
    <w:pPr>
      <w:spacing w:before="720" w:after="120" w:line="240" w:lineRule="auto"/>
      <w:contextualSpacing/>
    </w:pPr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A3F"/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CFC"/>
    <w:pPr>
      <w:spacing w:after="240"/>
    </w:pPr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CFC"/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uiPriority w:val="59"/>
    <w:rsid w:val="0079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EWRTable">
    <w:name w:val="DEEWR Table"/>
    <w:basedOn w:val="TableNormal"/>
    <w:uiPriority w:val="99"/>
    <w:rsid w:val="00BA4D57"/>
    <w:pPr>
      <w:spacing w:after="0" w:line="240" w:lineRule="auto"/>
    </w:pPr>
    <w:rPr>
      <w:color w:val="000000" w:themeColor="text1"/>
      <w:sz w:val="20"/>
    </w:rPr>
    <w:tblPr>
      <w:tblStyleRowBandSize w:val="1"/>
      <w:tblBorders>
        <w:bottom w:val="single" w:sz="4" w:space="0" w:color="auto"/>
      </w:tblBorders>
    </w:tblPr>
    <w:trPr>
      <w:cantSplit/>
    </w:tr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522761"/>
      </w:tc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13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130923"/>
    <w:pPr>
      <w:spacing w:after="120" w:line="240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30923"/>
    <w:rPr>
      <w:rFonts w:eastAsia="Times New Roman" w:cs="Times New Roman"/>
      <w:szCs w:val="24"/>
      <w:lang w:eastAsia="en-AU"/>
    </w:rPr>
  </w:style>
  <w:style w:type="paragraph" w:customStyle="1" w:styleId="numberedpara">
    <w:name w:val="numbered para"/>
    <w:basedOn w:val="Normal"/>
    <w:rsid w:val="00130923"/>
    <w:pPr>
      <w:numPr>
        <w:numId w:val="18"/>
      </w:numPr>
      <w:spacing w:after="0" w:line="240" w:lineRule="auto"/>
    </w:pPr>
    <w:rPr>
      <w:rFonts w:ascii="Calibri" w:eastAsiaTheme="minorHAns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30923"/>
  </w:style>
  <w:style w:type="paragraph" w:styleId="Header">
    <w:name w:val="header"/>
    <w:basedOn w:val="Normal"/>
    <w:link w:val="Head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23"/>
  </w:style>
  <w:style w:type="paragraph" w:styleId="Footer">
    <w:name w:val="footer"/>
    <w:basedOn w:val="Normal"/>
    <w:link w:val="Foot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23"/>
  </w:style>
  <w:style w:type="paragraph" w:styleId="TOC1">
    <w:name w:val="toc 1"/>
    <w:basedOn w:val="Normal"/>
    <w:next w:val="Normal"/>
    <w:autoRedefine/>
    <w:uiPriority w:val="39"/>
    <w:unhideWhenUsed/>
    <w:rsid w:val="00EF4A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A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4A38"/>
    <w:pPr>
      <w:spacing w:after="100"/>
      <w:ind w:left="440"/>
    </w:pPr>
  </w:style>
  <w:style w:type="paragraph" w:styleId="Caption">
    <w:name w:val="caption"/>
    <w:basedOn w:val="Heading4"/>
    <w:next w:val="Normal"/>
    <w:uiPriority w:val="35"/>
    <w:unhideWhenUsed/>
    <w:rsid w:val="00B2722A"/>
    <w:rPr>
      <w:i w:val="0"/>
    </w:rPr>
  </w:style>
  <w:style w:type="paragraph" w:customStyle="1" w:styleId="Source">
    <w:name w:val="Source"/>
    <w:basedOn w:val="Normal"/>
    <w:qFormat/>
    <w:rsid w:val="00B2722A"/>
    <w:rPr>
      <w:rFonts w:cstheme="minorHAnsi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282D"/>
    <w:rPr>
      <w:color w:val="808080"/>
    </w:rPr>
  </w:style>
  <w:style w:type="paragraph" w:customStyle="1" w:styleId="DeleteText">
    <w:name w:val="Delete Text"/>
    <w:basedOn w:val="Normal"/>
    <w:qFormat/>
    <w:rsid w:val="00F74011"/>
    <w:rPr>
      <w:color w:val="7030A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uiPriority w:val="9"/>
    <w:qFormat/>
    <w:rsid w:val="002C3AA1"/>
    <w:pPr>
      <w:spacing w:after="24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52276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C3AA1"/>
    <w:rPr>
      <w:rFonts w:ascii="Calibri" w:eastAsiaTheme="majorEastAsia" w:hAnsi="Calibri" w:cstheme="majorBidi"/>
      <w:b/>
      <w:bCs/>
      <w:color w:val="52276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2A3F"/>
    <w:pPr>
      <w:spacing w:before="720" w:after="120" w:line="240" w:lineRule="auto"/>
      <w:contextualSpacing/>
    </w:pPr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A3F"/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CFC"/>
    <w:pPr>
      <w:spacing w:after="240"/>
    </w:pPr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CFC"/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uiPriority w:val="59"/>
    <w:rsid w:val="0079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EWRTable">
    <w:name w:val="DEEWR Table"/>
    <w:basedOn w:val="TableNormal"/>
    <w:uiPriority w:val="99"/>
    <w:rsid w:val="00BA4D57"/>
    <w:pPr>
      <w:spacing w:after="0" w:line="240" w:lineRule="auto"/>
    </w:pPr>
    <w:rPr>
      <w:color w:val="000000" w:themeColor="text1"/>
      <w:sz w:val="20"/>
    </w:rPr>
    <w:tblPr>
      <w:tblStyleRowBandSize w:val="1"/>
      <w:tblBorders>
        <w:bottom w:val="single" w:sz="4" w:space="0" w:color="auto"/>
      </w:tblBorders>
    </w:tblPr>
    <w:trPr>
      <w:cantSplit/>
    </w:tr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522761"/>
      </w:tc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13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130923"/>
    <w:pPr>
      <w:spacing w:after="120" w:line="240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30923"/>
    <w:rPr>
      <w:rFonts w:eastAsia="Times New Roman" w:cs="Times New Roman"/>
      <w:szCs w:val="24"/>
      <w:lang w:eastAsia="en-AU"/>
    </w:rPr>
  </w:style>
  <w:style w:type="paragraph" w:customStyle="1" w:styleId="numberedpara">
    <w:name w:val="numbered para"/>
    <w:basedOn w:val="Normal"/>
    <w:rsid w:val="00130923"/>
    <w:pPr>
      <w:numPr>
        <w:numId w:val="18"/>
      </w:numPr>
      <w:spacing w:after="0" w:line="240" w:lineRule="auto"/>
    </w:pPr>
    <w:rPr>
      <w:rFonts w:ascii="Calibri" w:eastAsiaTheme="minorHAns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30923"/>
  </w:style>
  <w:style w:type="paragraph" w:styleId="Header">
    <w:name w:val="header"/>
    <w:basedOn w:val="Normal"/>
    <w:link w:val="Head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23"/>
  </w:style>
  <w:style w:type="paragraph" w:styleId="Footer">
    <w:name w:val="footer"/>
    <w:basedOn w:val="Normal"/>
    <w:link w:val="Foot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23"/>
  </w:style>
  <w:style w:type="paragraph" w:styleId="TOC1">
    <w:name w:val="toc 1"/>
    <w:basedOn w:val="Normal"/>
    <w:next w:val="Normal"/>
    <w:autoRedefine/>
    <w:uiPriority w:val="39"/>
    <w:unhideWhenUsed/>
    <w:rsid w:val="00EF4A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A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4A38"/>
    <w:pPr>
      <w:spacing w:after="100"/>
      <w:ind w:left="440"/>
    </w:pPr>
  </w:style>
  <w:style w:type="paragraph" w:styleId="Caption">
    <w:name w:val="caption"/>
    <w:basedOn w:val="Heading4"/>
    <w:next w:val="Normal"/>
    <w:uiPriority w:val="35"/>
    <w:unhideWhenUsed/>
    <w:rsid w:val="00B2722A"/>
    <w:rPr>
      <w:i w:val="0"/>
    </w:rPr>
  </w:style>
  <w:style w:type="paragraph" w:customStyle="1" w:styleId="Source">
    <w:name w:val="Source"/>
    <w:basedOn w:val="Normal"/>
    <w:qFormat/>
    <w:rsid w:val="00B2722A"/>
    <w:rPr>
      <w:rFonts w:cstheme="minorHAnsi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282D"/>
    <w:rPr>
      <w:color w:val="808080"/>
    </w:rPr>
  </w:style>
  <w:style w:type="paragraph" w:customStyle="1" w:styleId="DeleteText">
    <w:name w:val="Delete Text"/>
    <w:basedOn w:val="Normal"/>
    <w:qFormat/>
    <w:rsid w:val="00F74011"/>
    <w:rPr>
      <w:color w:val="7030A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EEWR">
      <a:dk1>
        <a:sysClr val="windowText" lastClr="000000"/>
      </a:dk1>
      <a:lt1>
        <a:srgbClr val="7F7F7F"/>
      </a:lt1>
      <a:dk2>
        <a:srgbClr val="165788"/>
      </a:dk2>
      <a:lt2>
        <a:srgbClr val="FFFFFF"/>
      </a:lt2>
      <a:accent1>
        <a:srgbClr val="165788"/>
      </a:accent1>
      <a:accent2>
        <a:srgbClr val="593674"/>
      </a:accent2>
      <a:accent3>
        <a:srgbClr val="478A57"/>
      </a:accent3>
      <a:accent4>
        <a:srgbClr val="969A52"/>
      </a:accent4>
      <a:accent5>
        <a:srgbClr val="CF9A3E"/>
      </a:accent5>
      <a:accent6>
        <a:srgbClr val="A75534"/>
      </a:accent6>
      <a:hlink>
        <a:srgbClr val="165788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Categories0 xmlns="c5a0bbd5-585e-4472-9791-5df67fe41a90">Other</Categories0>
    <PublishingStartDate xmlns="http://schemas.microsoft.com/sharepoint/v3" xsi:nil="true"/>
    <Security_x0020_Classification xmlns="c5a0bbd5-585e-4472-9791-5df67fe41a90" xsi:nil="true"/>
    <Security_x0020_DLM xmlns="c5a0bbd5-585e-4472-9791-5df67fe41a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BAE2FE061684EB3543C79CA2162FA" ma:contentTypeVersion="4" ma:contentTypeDescription="Create a new document." ma:contentTypeScope="" ma:versionID="c0169cb3ec059734b3996919675665a8">
  <xsd:schema xmlns:xsd="http://www.w3.org/2001/XMLSchema" xmlns:xs="http://www.w3.org/2001/XMLSchema" xmlns:p="http://schemas.microsoft.com/office/2006/metadata/properties" xmlns:ns1="http://schemas.microsoft.com/sharepoint/v3" xmlns:ns2="c5a0bbd5-585e-4472-9791-5df67fe41a90" targetNamespace="http://schemas.microsoft.com/office/2006/metadata/properties" ma:root="true" ma:fieldsID="e239c91d44a4bcdb4eb0fe645f6a7a08" ns1:_="" ns2:_="">
    <xsd:import namespace="http://schemas.microsoft.com/sharepoint/v3"/>
    <xsd:import namespace="c5a0bbd5-585e-4472-9791-5df67fe41a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ies0" minOccurs="0"/>
                <xsd:element ref="ns2:Security_x0020_DLM" minOccurs="0"/>
                <xsd:element ref="ns2:Security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0bbd5-585e-4472-9791-5df67fe41a90" elementFormDefault="qualified">
    <xsd:import namespace="http://schemas.microsoft.com/office/2006/documentManagement/types"/>
    <xsd:import namespace="http://schemas.microsoft.com/office/infopath/2007/PartnerControls"/>
    <xsd:element name="Categories0" ma:index="10" nillable="true" ma:displayName="Categories" ma:format="Dropdown" ma:internalName="Categories0">
      <xsd:simpleType>
        <xsd:restriction base="dms:Choice">
          <xsd:enumeration value="Fax"/>
          <xsd:enumeration value="Letter - Deputy or Associate Secretary"/>
          <xsd:enumeration value="Letter - Other"/>
          <xsd:enumeration value="Minutes and meetings"/>
          <xsd:enumeration value="Other"/>
          <xsd:enumeration value="PowerPoint"/>
          <xsd:enumeration value="Secretary"/>
          <xsd:enumeration value="Education - Fax"/>
          <xsd:enumeration value="Education - Letter - Deputy or Associate Secretary"/>
          <xsd:enumeration value="Education - Letter - Other"/>
          <xsd:enumeration value="Education - Minutes and meetings"/>
          <xsd:enumeration value="Education - Other"/>
          <xsd:enumeration value="Education - PowerPoint"/>
          <xsd:enumeration value="Education - Secretary"/>
        </xsd:restriction>
      </xsd:simpleType>
    </xsd:element>
    <xsd:element name="Security_x0020_DLM" ma:index="11" nillable="true" ma:displayName="Security DLM" ma:format="Dropdown" ma:internalName="Security_x0020_DLM">
      <xsd:simpleType>
        <xsd:restriction base="dms:Choice">
          <xsd:enumeration value="For Official Use Only"/>
          <xsd:enumeration value="Sensitive"/>
          <xsd:enumeration value="Sensitive: Personal"/>
          <xsd:enumeration value="Sensitive: Legal"/>
          <xsd:enumeration value="Sensitive: Cabinet"/>
        </xsd:restriction>
      </xsd:simpleType>
    </xsd:element>
    <xsd:element name="Security_x0020_Classification" ma:index="12" nillable="true" ma:displayName="Security Classification" ma:format="Dropdown" ma:internalName="Security_x0020_Classification">
      <xsd:simpleType>
        <xsd:restriction base="dms:Choice">
          <xsd:enumeration value="UNOFFICIAL"/>
          <xsd:enumeration value="UNCLASSIFIED"/>
          <xsd:enumeration value="PROTECTED"/>
          <xsd:enumeration value="CONFIDENTIAL"/>
          <xsd:enumeration value="SECRET"/>
          <xsd:enumeration value="TOP SECR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9EFB-7BA9-4984-B5DE-4174A4410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166C5-B1F3-49AB-8928-050D79CFF202}">
  <ds:schemaRefs>
    <ds:schemaRef ds:uri="http://schemas.microsoft.com/office/infopath/2007/PartnerControls"/>
    <ds:schemaRef ds:uri="http://purl.org/dc/elements/1.1/"/>
    <ds:schemaRef ds:uri="http://purl.org/dc/dcmitype/"/>
    <ds:schemaRef ds:uri="c5a0bbd5-585e-4472-9791-5df67fe41a90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C34212-CDED-4AAA-9C45-33D4E2BDD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a0bbd5-585e-4472-9791-5df67fe41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B4C4A3-87AD-43C2-B5E9-CB53CDDB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668FFD90.dotm</Template>
  <TotalTime>7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Ministerial Advisory Council Incllu</vt:lpstr>
    </vt:vector>
  </TitlesOfParts>
  <Company>Australian Government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 Advisory Council Incllu</dc:title>
  <dc:creator>Sonia Quinn</dc:creator>
  <cp:lastModifiedBy>Sonia Quinn</cp:lastModifiedBy>
  <cp:revision>6</cp:revision>
  <cp:lastPrinted>2015-11-18T01:11:00Z</cp:lastPrinted>
  <dcterms:created xsi:type="dcterms:W3CDTF">2015-11-18T01:28:00Z</dcterms:created>
  <dcterms:modified xsi:type="dcterms:W3CDTF">2015-11-18T01:32:00Z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0x010100CB7BAE2FE061684EB3543C79CA2162FA</vt:lpwstr>
  </property>
  <property fmtid="{D5CDD505-2E9C-101B-9397-08002B2CF9AE}" pid="3" name="Order">
    <vt:r8>1800</vt:r8>
  </property>
</Properties>
</file>