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C0" w:rsidRPr="004208E5" w:rsidRDefault="00EC79B8" w:rsidP="00EC79B8">
      <w:pPr>
        <w:pStyle w:val="Heading1"/>
      </w:pPr>
      <w:r w:rsidRPr="00EC79B8">
        <w:t>What</w:t>
      </w:r>
      <w:r w:rsidRPr="004208E5">
        <w:t xml:space="preserve"> is</w:t>
      </w:r>
      <w:r w:rsidRPr="004208E5">
        <w:rPr>
          <w:spacing w:val="-18"/>
        </w:rPr>
        <w:t xml:space="preserve"> </w:t>
      </w:r>
      <w:r w:rsidRPr="004208E5">
        <w:t>a</w:t>
      </w:r>
      <w:r w:rsidRPr="004208E5">
        <w:rPr>
          <w:spacing w:val="7"/>
        </w:rPr>
        <w:t xml:space="preserve"> </w:t>
      </w:r>
      <w:r w:rsidRPr="004208E5">
        <w:t>Di</w:t>
      </w:r>
      <w:r w:rsidRPr="004208E5">
        <w:rPr>
          <w:spacing w:val="-8"/>
        </w:rPr>
        <w:t>r</w:t>
      </w:r>
      <w:r w:rsidRPr="004208E5">
        <w:t>ection</w:t>
      </w:r>
      <w:r w:rsidRPr="004208E5">
        <w:rPr>
          <w:spacing w:val="-6"/>
        </w:rPr>
        <w:t xml:space="preserve"> </w:t>
      </w:r>
      <w:r w:rsidRPr="004208E5">
        <w:t>of the</w:t>
      </w:r>
      <w:r w:rsidRPr="004208E5">
        <w:rPr>
          <w:spacing w:val="7"/>
        </w:rPr>
        <w:t xml:space="preserve"> </w:t>
      </w:r>
      <w:r w:rsidRPr="004208E5">
        <w:t>Aged</w:t>
      </w:r>
      <w:r w:rsidRPr="004208E5">
        <w:rPr>
          <w:spacing w:val="-11"/>
        </w:rPr>
        <w:t xml:space="preserve"> </w:t>
      </w:r>
      <w:r w:rsidRPr="004208E5">
        <w:rPr>
          <w:w w:val="102"/>
        </w:rPr>
        <w:t>Ca</w:t>
      </w:r>
      <w:r w:rsidRPr="004208E5">
        <w:rPr>
          <w:spacing w:val="-8"/>
          <w:w w:val="102"/>
        </w:rPr>
        <w:t>r</w:t>
      </w:r>
      <w:r w:rsidRPr="004208E5">
        <w:rPr>
          <w:w w:val="103"/>
        </w:rPr>
        <w:t>e</w:t>
      </w:r>
      <w:r>
        <w:rPr>
          <w:w w:val="103"/>
        </w:rPr>
        <w:t xml:space="preserve"> </w:t>
      </w:r>
      <w:r w:rsidRPr="004208E5">
        <w:t>Complaints</w:t>
      </w:r>
      <w:r w:rsidRPr="004208E5">
        <w:rPr>
          <w:spacing w:val="-24"/>
        </w:rPr>
        <w:t xml:space="preserve"> </w:t>
      </w:r>
      <w:r w:rsidRPr="004208E5">
        <w:t>Scheme?</w:t>
      </w:r>
    </w:p>
    <w:p w:rsidR="00CA26C0" w:rsidRPr="004208E5" w:rsidRDefault="00CA26C0" w:rsidP="004208E5">
      <w:pPr>
        <w:spacing w:after="0" w:line="200" w:lineRule="exact"/>
        <w:ind w:right="-32"/>
        <w:rPr>
          <w:rFonts w:ascii="Arial" w:hAnsi="Arial" w:cs="Arial"/>
        </w:rPr>
      </w:pPr>
    </w:p>
    <w:p w:rsidR="00CA26C0" w:rsidRPr="004208E5" w:rsidRDefault="00EC79B8" w:rsidP="004208E5">
      <w:pPr>
        <w:rPr>
          <w:rFonts w:ascii="Arial" w:hAnsi="Arial" w:cs="Arial"/>
        </w:rPr>
      </w:pPr>
      <w:r w:rsidRPr="004208E5">
        <w:rPr>
          <w:rFonts w:ascii="Arial" w:hAnsi="Arial" w:cs="Arial"/>
        </w:rPr>
        <w:t>This</w:t>
      </w:r>
      <w:r w:rsidRPr="004208E5">
        <w:rPr>
          <w:rFonts w:ascii="Arial" w:hAnsi="Arial" w:cs="Arial"/>
          <w:spacing w:val="11"/>
        </w:rPr>
        <w:t xml:space="preserve"> </w:t>
      </w:r>
      <w:r w:rsidRPr="004208E5">
        <w:rPr>
          <w:rFonts w:ascii="Arial" w:hAnsi="Arial" w:cs="Arial"/>
        </w:rPr>
        <w:t>fact</w:t>
      </w:r>
      <w:r w:rsidRPr="004208E5">
        <w:rPr>
          <w:rFonts w:ascii="Arial" w:hAnsi="Arial" w:cs="Arial"/>
          <w:spacing w:val="44"/>
        </w:rPr>
        <w:t xml:space="preserve"> </w:t>
      </w:r>
      <w:r w:rsidRPr="004208E5">
        <w:rPr>
          <w:rFonts w:ascii="Arial" w:hAnsi="Arial" w:cs="Arial"/>
        </w:rPr>
        <w:t>sheet</w:t>
      </w:r>
      <w:r w:rsidRPr="004208E5">
        <w:rPr>
          <w:rFonts w:ascii="Arial" w:hAnsi="Arial" w:cs="Arial"/>
          <w:spacing w:val="22"/>
        </w:rPr>
        <w:t xml:space="preserve"> </w:t>
      </w:r>
      <w:r w:rsidRPr="004208E5">
        <w:rPr>
          <w:rFonts w:ascii="Arial" w:hAnsi="Arial" w:cs="Arial"/>
        </w:rPr>
        <w:t>explains</w:t>
      </w:r>
      <w:r w:rsidRPr="004208E5">
        <w:rPr>
          <w:rFonts w:ascii="Arial" w:hAnsi="Arial" w:cs="Arial"/>
          <w:spacing w:val="44"/>
        </w:rPr>
        <w:t xml:space="preserve"> </w:t>
      </w:r>
      <w:r w:rsidRPr="004208E5">
        <w:rPr>
          <w:rFonts w:ascii="Arial" w:hAnsi="Arial" w:cs="Arial"/>
        </w:rPr>
        <w:t>what</w:t>
      </w:r>
      <w:r w:rsidRPr="004208E5">
        <w:rPr>
          <w:rFonts w:ascii="Arial" w:hAnsi="Arial" w:cs="Arial"/>
          <w:spacing w:val="38"/>
        </w:rPr>
        <w:t xml:space="preserve"> </w:t>
      </w:r>
      <w:r w:rsidRPr="004208E5">
        <w:rPr>
          <w:rFonts w:ascii="Arial" w:hAnsi="Arial" w:cs="Arial"/>
        </w:rPr>
        <w:t>a Di</w:t>
      </w:r>
      <w:r w:rsidRPr="004208E5">
        <w:rPr>
          <w:rFonts w:ascii="Arial" w:hAnsi="Arial" w:cs="Arial"/>
          <w:spacing w:val="-5"/>
        </w:rPr>
        <w:t>r</w:t>
      </w:r>
      <w:r w:rsidRPr="004208E5">
        <w:rPr>
          <w:rFonts w:ascii="Arial" w:hAnsi="Arial" w:cs="Arial"/>
        </w:rPr>
        <w:t>ection</w:t>
      </w:r>
      <w:r w:rsidRPr="004208E5">
        <w:rPr>
          <w:rFonts w:ascii="Arial" w:hAnsi="Arial" w:cs="Arial"/>
          <w:spacing w:val="56"/>
        </w:rPr>
        <w:t xml:space="preserve"> </w:t>
      </w:r>
      <w:r w:rsidRPr="004208E5">
        <w:rPr>
          <w:rFonts w:ascii="Arial" w:hAnsi="Arial" w:cs="Arial"/>
        </w:rPr>
        <w:t>is</w:t>
      </w:r>
      <w:r w:rsidRPr="004208E5">
        <w:rPr>
          <w:rFonts w:ascii="Arial" w:hAnsi="Arial" w:cs="Arial"/>
          <w:spacing w:val="11"/>
        </w:rPr>
        <w:t xml:space="preserve"> </w:t>
      </w:r>
      <w:r w:rsidRPr="004208E5">
        <w:rPr>
          <w:rFonts w:ascii="Arial" w:hAnsi="Arial" w:cs="Arial"/>
        </w:rPr>
        <w:t>and</w:t>
      </w:r>
      <w:r w:rsidRPr="004208E5">
        <w:rPr>
          <w:rFonts w:ascii="Arial" w:hAnsi="Arial" w:cs="Arial"/>
          <w:spacing w:val="20"/>
        </w:rPr>
        <w:t xml:space="preserve"> </w:t>
      </w:r>
      <w:r w:rsidRPr="004208E5">
        <w:rPr>
          <w:rFonts w:ascii="Arial" w:hAnsi="Arial" w:cs="Arial"/>
        </w:rPr>
        <w:t>when</w:t>
      </w:r>
      <w:r w:rsidRPr="004208E5">
        <w:rPr>
          <w:rFonts w:ascii="Arial" w:hAnsi="Arial" w:cs="Arial"/>
          <w:spacing w:val="22"/>
        </w:rPr>
        <w:t xml:space="preserve"> </w:t>
      </w:r>
      <w:r w:rsidRPr="004208E5">
        <w:rPr>
          <w:rFonts w:ascii="Arial" w:hAnsi="Arial" w:cs="Arial"/>
        </w:rPr>
        <w:t>a</w:t>
      </w:r>
      <w:r w:rsidR="004208E5" w:rsidRPr="004208E5">
        <w:rPr>
          <w:rFonts w:ascii="Arial" w:hAnsi="Arial" w:cs="Arial"/>
        </w:rPr>
        <w:t xml:space="preserve"> </w:t>
      </w:r>
      <w:r w:rsidRPr="004208E5">
        <w:rPr>
          <w:rFonts w:ascii="Arial" w:hAnsi="Arial" w:cs="Arial"/>
        </w:rPr>
        <w:t>Di</w:t>
      </w:r>
      <w:r w:rsidRPr="004208E5">
        <w:rPr>
          <w:rFonts w:ascii="Arial" w:hAnsi="Arial" w:cs="Arial"/>
          <w:spacing w:val="-5"/>
        </w:rPr>
        <w:t>r</w:t>
      </w:r>
      <w:r w:rsidRPr="004208E5">
        <w:rPr>
          <w:rFonts w:ascii="Arial" w:hAnsi="Arial" w:cs="Arial"/>
        </w:rPr>
        <w:t>ection</w:t>
      </w:r>
      <w:r w:rsidRPr="004208E5">
        <w:rPr>
          <w:rFonts w:ascii="Arial" w:hAnsi="Arial" w:cs="Arial"/>
          <w:spacing w:val="56"/>
        </w:rPr>
        <w:t xml:space="preserve"> </w:t>
      </w:r>
      <w:r w:rsidRPr="004208E5">
        <w:rPr>
          <w:rFonts w:ascii="Arial" w:hAnsi="Arial" w:cs="Arial"/>
        </w:rPr>
        <w:t>can</w:t>
      </w:r>
      <w:r w:rsidRPr="004208E5">
        <w:rPr>
          <w:rFonts w:ascii="Arial" w:hAnsi="Arial" w:cs="Arial"/>
          <w:spacing w:val="19"/>
        </w:rPr>
        <w:t xml:space="preserve"> </w:t>
      </w:r>
      <w:r w:rsidRPr="004208E5">
        <w:rPr>
          <w:rFonts w:ascii="Arial" w:hAnsi="Arial" w:cs="Arial"/>
        </w:rPr>
        <w:t>be</w:t>
      </w:r>
      <w:r w:rsidRPr="004208E5">
        <w:rPr>
          <w:rFonts w:ascii="Arial" w:hAnsi="Arial" w:cs="Arial"/>
          <w:spacing w:val="13"/>
        </w:rPr>
        <w:t xml:space="preserve"> </w:t>
      </w:r>
      <w:r w:rsidRPr="004208E5">
        <w:rPr>
          <w:rFonts w:ascii="Arial" w:hAnsi="Arial" w:cs="Arial"/>
        </w:rPr>
        <w:t>issued</w:t>
      </w:r>
      <w:r w:rsidRPr="004208E5">
        <w:rPr>
          <w:rFonts w:ascii="Arial" w:hAnsi="Arial" w:cs="Arial"/>
          <w:spacing w:val="35"/>
        </w:rPr>
        <w:t xml:space="preserve"> </w:t>
      </w:r>
      <w:r w:rsidRPr="004208E5">
        <w:rPr>
          <w:rFonts w:ascii="Arial" w:hAnsi="Arial" w:cs="Arial"/>
        </w:rPr>
        <w:t>to</w:t>
      </w:r>
      <w:r w:rsidRPr="004208E5">
        <w:rPr>
          <w:rFonts w:ascii="Arial" w:hAnsi="Arial" w:cs="Arial"/>
          <w:spacing w:val="28"/>
        </w:rPr>
        <w:t xml:space="preserve"> </w:t>
      </w:r>
      <w:r w:rsidRPr="004208E5">
        <w:rPr>
          <w:rFonts w:ascii="Arial" w:hAnsi="Arial" w:cs="Arial"/>
        </w:rPr>
        <w:t>a service</w:t>
      </w:r>
      <w:r w:rsidRPr="004208E5">
        <w:rPr>
          <w:rFonts w:ascii="Arial" w:hAnsi="Arial" w:cs="Arial"/>
          <w:spacing w:val="38"/>
        </w:rPr>
        <w:t xml:space="preserve"> </w:t>
      </w:r>
      <w:r w:rsidRPr="004208E5">
        <w:rPr>
          <w:rFonts w:ascii="Arial" w:hAnsi="Arial" w:cs="Arial"/>
          <w:w w:val="108"/>
        </w:rPr>
        <w:t>p</w:t>
      </w:r>
      <w:r w:rsidRPr="004208E5">
        <w:rPr>
          <w:rFonts w:ascii="Arial" w:hAnsi="Arial" w:cs="Arial"/>
          <w:spacing w:val="-5"/>
          <w:w w:val="108"/>
        </w:rPr>
        <w:t>r</w:t>
      </w:r>
      <w:r w:rsidRPr="004208E5">
        <w:rPr>
          <w:rFonts w:ascii="Arial" w:hAnsi="Arial" w:cs="Arial"/>
          <w:w w:val="105"/>
        </w:rPr>
        <w:t>ovide</w:t>
      </w:r>
      <w:r w:rsidRPr="004208E5">
        <w:rPr>
          <w:rFonts w:ascii="Arial" w:hAnsi="Arial" w:cs="Arial"/>
          <w:spacing w:val="-28"/>
          <w:w w:val="105"/>
        </w:rPr>
        <w:t>r</w:t>
      </w:r>
      <w:r w:rsidRPr="004208E5">
        <w:rPr>
          <w:rFonts w:ascii="Arial" w:hAnsi="Arial" w:cs="Arial"/>
        </w:rPr>
        <w:t>.</w:t>
      </w:r>
    </w:p>
    <w:p w:rsidR="00CA26C0" w:rsidRPr="004208E5" w:rsidRDefault="00EC79B8" w:rsidP="004208E5">
      <w:pPr>
        <w:rPr>
          <w:rFonts w:ascii="Arial" w:hAnsi="Arial" w:cs="Arial"/>
        </w:rPr>
      </w:pPr>
      <w:r w:rsidRPr="004208E5">
        <w:rPr>
          <w:rFonts w:ascii="Arial" w:hAnsi="Arial" w:cs="Arial"/>
        </w:rPr>
        <w:t xml:space="preserve">The Aged Care Complaints Scheme (the Scheme) provides a free service for anyone to raise their concerns about the quality of care or services being delivered to people receiving aged care services </w:t>
      </w:r>
      <w:proofErr w:type="spellStart"/>
      <w:r w:rsidRPr="004208E5">
        <w:rPr>
          <w:rFonts w:ascii="Arial" w:hAnsi="Arial" w:cs="Arial"/>
        </w:rPr>
        <w:t>subsidised</w:t>
      </w:r>
      <w:proofErr w:type="spellEnd"/>
      <w:r w:rsidRPr="004208E5">
        <w:rPr>
          <w:rFonts w:ascii="Arial" w:hAnsi="Arial" w:cs="Arial"/>
        </w:rPr>
        <w:t xml:space="preserve"> by the Australian Government, including residential care, Home Care Packages and Commonwealth HACC services.</w:t>
      </w:r>
    </w:p>
    <w:p w:rsidR="00CA26C0" w:rsidRPr="004208E5" w:rsidRDefault="00EC79B8" w:rsidP="004208E5">
      <w:pPr>
        <w:rPr>
          <w:rFonts w:ascii="Arial" w:hAnsi="Arial" w:cs="Arial"/>
        </w:rPr>
      </w:pPr>
      <w:r w:rsidRPr="004208E5">
        <w:rPr>
          <w:rFonts w:ascii="Arial" w:hAnsi="Arial" w:cs="Arial"/>
        </w:rPr>
        <w:t>We examine complaints relating to a service provider’s responsibilities under the Aged Care Act 1997 (the Act) and the Aged Care funding agreement for Commonwealth HACC service providers.</w:t>
      </w:r>
    </w:p>
    <w:p w:rsidR="00CA26C0" w:rsidRPr="004208E5" w:rsidRDefault="00EC79B8" w:rsidP="004208E5">
      <w:pPr>
        <w:rPr>
          <w:rFonts w:ascii="Arial" w:hAnsi="Arial" w:cs="Arial"/>
        </w:rPr>
      </w:pPr>
      <w:r w:rsidRPr="004208E5">
        <w:rPr>
          <w:rFonts w:ascii="Arial" w:hAnsi="Arial" w:cs="Arial"/>
        </w:rPr>
        <w:t>We encourage and support people to raise their concern with the service</w:t>
      </w:r>
      <w:r w:rsidR="004208E5">
        <w:rPr>
          <w:rFonts w:ascii="Arial" w:hAnsi="Arial" w:cs="Arial"/>
        </w:rPr>
        <w:t xml:space="preserve"> </w:t>
      </w:r>
      <w:r w:rsidRPr="004208E5">
        <w:rPr>
          <w:rFonts w:ascii="Arial" w:hAnsi="Arial" w:cs="Arial"/>
        </w:rPr>
        <w:t>provider first because this can achieve a fast and sustainable outcome. If that approach is not possible, we can examine a person’s concern. Approaches range from those that are simple, relatively quick and informal, to more formal and lengthy processes.</w:t>
      </w:r>
    </w:p>
    <w:p w:rsidR="00CA26C0" w:rsidRPr="004208E5" w:rsidRDefault="00EC79B8" w:rsidP="00EC79B8">
      <w:pPr>
        <w:rPr>
          <w:rFonts w:ascii="Arial" w:hAnsi="Arial" w:cs="Arial"/>
        </w:rPr>
      </w:pPr>
      <w:r w:rsidRPr="004208E5">
        <w:rPr>
          <w:rFonts w:ascii="Arial" w:hAnsi="Arial" w:cs="Arial"/>
        </w:rPr>
        <w:t>Aged care providers who receive funding from the Australian Government are called ‘service providers’. A ‘complainant’ is the person who lodges a complaint with the Scheme. These terms are used throughout this fact sheet.</w:t>
      </w:r>
    </w:p>
    <w:p w:rsidR="00CA26C0" w:rsidRPr="004208E5" w:rsidRDefault="00EC79B8" w:rsidP="00EC79B8">
      <w:pPr>
        <w:pStyle w:val="Heading2"/>
      </w:pPr>
      <w:r w:rsidRPr="004208E5">
        <w:t>What is</w:t>
      </w:r>
      <w:r w:rsidRPr="004208E5">
        <w:rPr>
          <w:spacing w:val="-12"/>
        </w:rPr>
        <w:t xml:space="preserve"> </w:t>
      </w:r>
      <w:r w:rsidRPr="004208E5">
        <w:t>a</w:t>
      </w:r>
      <w:r w:rsidRPr="004208E5">
        <w:rPr>
          <w:spacing w:val="5"/>
        </w:rPr>
        <w:t xml:space="preserve"> </w:t>
      </w:r>
      <w:r w:rsidRPr="00EC79B8">
        <w:t>Direction</w:t>
      </w:r>
      <w:r w:rsidRPr="004208E5">
        <w:t>?</w:t>
      </w:r>
    </w:p>
    <w:p w:rsidR="00CA26C0" w:rsidRPr="004208E5" w:rsidRDefault="00CA26C0" w:rsidP="004208E5">
      <w:pPr>
        <w:spacing w:before="8" w:after="0" w:line="190" w:lineRule="exact"/>
        <w:ind w:right="-32"/>
        <w:rPr>
          <w:rFonts w:ascii="Arial" w:hAnsi="Arial" w:cs="Arial"/>
        </w:rPr>
      </w:pPr>
    </w:p>
    <w:p w:rsidR="00CA26C0" w:rsidRPr="004208E5" w:rsidRDefault="00EC79B8" w:rsidP="004208E5">
      <w:pPr>
        <w:rPr>
          <w:rFonts w:ascii="Arial" w:hAnsi="Arial" w:cs="Arial"/>
        </w:rPr>
      </w:pPr>
      <w:r w:rsidRPr="004208E5">
        <w:rPr>
          <w:rFonts w:ascii="Arial" w:hAnsi="Arial" w:cs="Arial"/>
        </w:rPr>
        <w:t>If we are not satisfied that a service provider is meeting its responsibilities under the Act or its Commonwealth funding agreement, in regards to a complainant’s concerns, we can issue a Direction.</w:t>
      </w:r>
    </w:p>
    <w:p w:rsidR="00CA26C0" w:rsidRPr="004208E5" w:rsidRDefault="00EC79B8" w:rsidP="004208E5">
      <w:pPr>
        <w:rPr>
          <w:rFonts w:ascii="Arial" w:hAnsi="Arial" w:cs="Arial"/>
        </w:rPr>
      </w:pPr>
      <w:r w:rsidRPr="004208E5">
        <w:rPr>
          <w:rFonts w:ascii="Arial" w:hAnsi="Arial" w:cs="Arial"/>
        </w:rPr>
        <w:t>A Direction requires the service provider to demonstrate how they have met or will meet their responsibilities under the Act or under their Commonwealth funding agreement.</w:t>
      </w:r>
    </w:p>
    <w:p w:rsidR="00CA26C0" w:rsidRPr="004208E5" w:rsidRDefault="00EC79B8" w:rsidP="004208E5">
      <w:pPr>
        <w:rPr>
          <w:rFonts w:ascii="Arial" w:hAnsi="Arial" w:cs="Arial"/>
        </w:rPr>
      </w:pPr>
      <w:r w:rsidRPr="004208E5">
        <w:rPr>
          <w:rFonts w:ascii="Arial" w:hAnsi="Arial" w:cs="Arial"/>
        </w:rPr>
        <w:t>We may inform the service provider of our intention to issue a Direction. This allows the service provider to:</w:t>
      </w:r>
    </w:p>
    <w:p w:rsidR="00CA26C0" w:rsidRPr="00EC79B8" w:rsidRDefault="00EC79B8" w:rsidP="00EC79B8">
      <w:pPr>
        <w:pStyle w:val="ListParagraph"/>
        <w:numPr>
          <w:ilvl w:val="0"/>
          <w:numId w:val="4"/>
        </w:numPr>
        <w:rPr>
          <w:rFonts w:ascii="Arial" w:hAnsi="Arial" w:cs="Arial"/>
        </w:rPr>
      </w:pPr>
      <w:r w:rsidRPr="00EC79B8">
        <w:rPr>
          <w:rFonts w:ascii="Arial" w:hAnsi="Arial" w:cs="Arial"/>
        </w:rPr>
        <w:t>outline how they have already addressed the issues (in which case</w:t>
      </w:r>
      <w:r w:rsidR="004208E5" w:rsidRPr="00EC79B8">
        <w:rPr>
          <w:rFonts w:ascii="Arial" w:hAnsi="Arial" w:cs="Arial"/>
        </w:rPr>
        <w:t xml:space="preserve"> </w:t>
      </w:r>
      <w:r w:rsidRPr="00EC79B8">
        <w:rPr>
          <w:rFonts w:ascii="Arial" w:hAnsi="Arial" w:cs="Arial"/>
        </w:rPr>
        <w:t xml:space="preserve">we may </w:t>
      </w:r>
      <w:proofErr w:type="spellStart"/>
      <w:r w:rsidRPr="00EC79B8">
        <w:rPr>
          <w:rFonts w:ascii="Arial" w:hAnsi="Arial" w:cs="Arial"/>
        </w:rPr>
        <w:t>finalise</w:t>
      </w:r>
      <w:proofErr w:type="spellEnd"/>
      <w:r w:rsidRPr="00EC79B8">
        <w:rPr>
          <w:rFonts w:ascii="Arial" w:hAnsi="Arial" w:cs="Arial"/>
        </w:rPr>
        <w:t xml:space="preserve"> the complaint and decide  not to issue a Direction)</w:t>
      </w:r>
    </w:p>
    <w:p w:rsidR="00CA26C0" w:rsidRPr="00EC79B8" w:rsidRDefault="00EC79B8" w:rsidP="00EC79B8">
      <w:pPr>
        <w:pStyle w:val="ListParagraph"/>
        <w:numPr>
          <w:ilvl w:val="0"/>
          <w:numId w:val="4"/>
        </w:numPr>
        <w:rPr>
          <w:rFonts w:ascii="Arial" w:hAnsi="Arial" w:cs="Arial"/>
        </w:rPr>
      </w:pPr>
      <w:proofErr w:type="gramStart"/>
      <w:r w:rsidRPr="00EC79B8">
        <w:rPr>
          <w:rFonts w:ascii="Arial" w:hAnsi="Arial" w:cs="Arial"/>
        </w:rPr>
        <w:t>take</w:t>
      </w:r>
      <w:proofErr w:type="gramEnd"/>
      <w:r w:rsidRPr="00EC79B8">
        <w:rPr>
          <w:rFonts w:ascii="Arial" w:hAnsi="Arial" w:cs="Arial"/>
        </w:rPr>
        <w:t xml:space="preserve"> immediate steps to address the issues and meet their responsibilities.</w:t>
      </w:r>
    </w:p>
    <w:p w:rsidR="00CA26C0" w:rsidRPr="004208E5" w:rsidRDefault="00CA26C0" w:rsidP="004208E5">
      <w:pPr>
        <w:spacing w:before="6" w:after="0" w:line="200" w:lineRule="exact"/>
        <w:ind w:right="-32"/>
        <w:rPr>
          <w:rFonts w:ascii="Arial" w:hAnsi="Arial" w:cs="Arial"/>
        </w:rPr>
      </w:pPr>
    </w:p>
    <w:p w:rsidR="00CA26C0" w:rsidRPr="00EC79B8" w:rsidRDefault="00EC79B8" w:rsidP="00EC79B8">
      <w:pPr>
        <w:rPr>
          <w:rFonts w:ascii="Arial" w:hAnsi="Arial" w:cs="Arial"/>
        </w:rPr>
      </w:pPr>
      <w:r w:rsidRPr="00EC79B8">
        <w:rPr>
          <w:rFonts w:ascii="Arial" w:hAnsi="Arial" w:cs="Arial"/>
        </w:rPr>
        <w:t>A Direction is an opportunity for the service provider to show how they have met their responsibilities under the Act or their Commonwealth funding agreement.</w:t>
      </w:r>
    </w:p>
    <w:p w:rsidR="00CA26C0" w:rsidRPr="00EC79B8" w:rsidRDefault="00EC79B8" w:rsidP="00EC79B8">
      <w:pPr>
        <w:rPr>
          <w:rFonts w:ascii="Arial" w:hAnsi="Arial" w:cs="Arial"/>
        </w:rPr>
      </w:pPr>
      <w:r w:rsidRPr="00EC79B8">
        <w:rPr>
          <w:rFonts w:ascii="Arial" w:hAnsi="Arial" w:cs="Arial"/>
        </w:rPr>
        <w:t>If the service provider takes immediate steps after we tell them that we intend to issue a Direction, we may take no further action.</w:t>
      </w:r>
    </w:p>
    <w:p w:rsidR="00CA26C0" w:rsidRPr="00EC79B8" w:rsidRDefault="00EC79B8" w:rsidP="00EC79B8">
      <w:pPr>
        <w:rPr>
          <w:rFonts w:ascii="Arial" w:hAnsi="Arial" w:cs="Arial"/>
        </w:rPr>
      </w:pPr>
      <w:r w:rsidRPr="00EC79B8">
        <w:rPr>
          <w:rFonts w:ascii="Arial" w:hAnsi="Arial" w:cs="Arial"/>
        </w:rPr>
        <w:t>If the service provider proposes to take action or does not respond within the required timeframes, we will issue the Direction. We will then monitor the Direction to ensure the service provider implements the actions they or we have outlined.</w:t>
      </w:r>
    </w:p>
    <w:p w:rsidR="00577C51" w:rsidRDefault="00577C51">
      <w:pPr>
        <w:rPr>
          <w:rFonts w:ascii="Arial" w:hAnsi="Arial" w:cs="Arial"/>
        </w:rPr>
      </w:pPr>
      <w:r>
        <w:rPr>
          <w:rFonts w:ascii="Arial" w:hAnsi="Arial" w:cs="Arial"/>
        </w:rPr>
        <w:br w:type="page"/>
      </w:r>
    </w:p>
    <w:p w:rsidR="00CA26C0" w:rsidRPr="004208E5" w:rsidRDefault="00EC79B8" w:rsidP="00EC79B8">
      <w:pPr>
        <w:pStyle w:val="Heading2"/>
      </w:pPr>
      <w:bookmarkStart w:id="0" w:name="_GoBack"/>
      <w:bookmarkEnd w:id="0"/>
      <w:r w:rsidRPr="004208E5">
        <w:lastRenderedPageBreak/>
        <w:t>Issuing</w:t>
      </w:r>
      <w:r w:rsidRPr="004208E5">
        <w:rPr>
          <w:spacing w:val="-29"/>
        </w:rPr>
        <w:t xml:space="preserve"> </w:t>
      </w:r>
      <w:r w:rsidRPr="004208E5">
        <w:t>a</w:t>
      </w:r>
      <w:r w:rsidRPr="004208E5">
        <w:rPr>
          <w:spacing w:val="5"/>
        </w:rPr>
        <w:t xml:space="preserve"> </w:t>
      </w:r>
      <w:r w:rsidRPr="004208E5">
        <w:t>Di</w:t>
      </w:r>
      <w:r w:rsidRPr="004208E5">
        <w:rPr>
          <w:spacing w:val="-5"/>
        </w:rPr>
        <w:t>r</w:t>
      </w:r>
      <w:r w:rsidRPr="004208E5">
        <w:t>ection</w:t>
      </w:r>
    </w:p>
    <w:p w:rsidR="00CA26C0" w:rsidRPr="004208E5" w:rsidRDefault="00CA26C0" w:rsidP="004208E5">
      <w:pPr>
        <w:spacing w:before="7" w:after="0" w:line="190" w:lineRule="exact"/>
        <w:ind w:right="-32"/>
        <w:rPr>
          <w:rFonts w:ascii="Arial" w:hAnsi="Arial" w:cs="Arial"/>
        </w:rPr>
      </w:pPr>
    </w:p>
    <w:p w:rsidR="00CA26C0" w:rsidRPr="00EC79B8" w:rsidRDefault="00EC79B8" w:rsidP="00EC79B8">
      <w:pPr>
        <w:rPr>
          <w:rFonts w:ascii="Arial" w:hAnsi="Arial" w:cs="Arial"/>
        </w:rPr>
      </w:pPr>
      <w:r w:rsidRPr="00EC79B8">
        <w:rPr>
          <w:rFonts w:ascii="Arial" w:hAnsi="Arial" w:cs="Arial"/>
        </w:rPr>
        <w:t>A Direction is issued in writing and outlines what the service provider must do, in what timeframes, to address the issues of the complainant and</w:t>
      </w:r>
      <w:r w:rsidR="004208E5" w:rsidRPr="00EC79B8">
        <w:rPr>
          <w:rFonts w:ascii="Arial" w:hAnsi="Arial" w:cs="Arial"/>
        </w:rPr>
        <w:t xml:space="preserve"> </w:t>
      </w:r>
      <w:r w:rsidRPr="00EC79B8">
        <w:rPr>
          <w:rFonts w:ascii="Arial" w:hAnsi="Arial" w:cs="Arial"/>
        </w:rPr>
        <w:t>meet their responsibilities.</w:t>
      </w:r>
    </w:p>
    <w:p w:rsidR="00CA26C0" w:rsidRPr="004208E5" w:rsidRDefault="00EC79B8" w:rsidP="00EC79B8">
      <w:pPr>
        <w:rPr>
          <w:rFonts w:ascii="Arial" w:hAnsi="Arial" w:cs="Arial"/>
        </w:rPr>
      </w:pPr>
      <w:r w:rsidRPr="00EC79B8">
        <w:rPr>
          <w:rFonts w:ascii="Arial" w:hAnsi="Arial" w:cs="Arial"/>
        </w:rPr>
        <w:t>We will monitor and enforce the Direction to ensure the service provider implements the required actions.</w:t>
      </w:r>
    </w:p>
    <w:p w:rsidR="00CA26C0" w:rsidRPr="00EC79B8" w:rsidRDefault="00EC79B8" w:rsidP="00EC79B8">
      <w:pPr>
        <w:rPr>
          <w:rFonts w:ascii="Arial" w:hAnsi="Arial" w:cs="Arial"/>
        </w:rPr>
      </w:pPr>
      <w:r w:rsidRPr="00EC79B8">
        <w:rPr>
          <w:rFonts w:ascii="Arial" w:hAnsi="Arial" w:cs="Arial"/>
        </w:rPr>
        <w:t>A Direction is not a Notice of Non-Compliance. We may refer a matter to the Department of Social Services’ compliance area for compliance action if we are concerned the service provider has not complied with or is not complying with its responsibilities under Parts 4.1 to 4.3 of the Act or</w:t>
      </w:r>
      <w:r w:rsidR="004208E5" w:rsidRPr="00EC79B8">
        <w:rPr>
          <w:rFonts w:ascii="Arial" w:hAnsi="Arial" w:cs="Arial"/>
        </w:rPr>
        <w:t xml:space="preserve"> </w:t>
      </w:r>
      <w:r w:rsidRPr="00EC79B8">
        <w:rPr>
          <w:rFonts w:ascii="Arial" w:hAnsi="Arial" w:cs="Arial"/>
        </w:rPr>
        <w:t>a service provider’s funding agreement with the Commonwealth.</w:t>
      </w:r>
    </w:p>
    <w:p w:rsidR="00CA26C0" w:rsidRPr="004208E5" w:rsidRDefault="00EC79B8" w:rsidP="00EC79B8">
      <w:pPr>
        <w:pStyle w:val="Heading2"/>
      </w:pPr>
      <w:r w:rsidRPr="004208E5">
        <w:rPr>
          <w:spacing w:val="-26"/>
        </w:rPr>
        <w:t>Y</w:t>
      </w:r>
      <w:r w:rsidRPr="004208E5">
        <w:t>our</w:t>
      </w:r>
      <w:r w:rsidRPr="004208E5">
        <w:rPr>
          <w:spacing w:val="-9"/>
        </w:rPr>
        <w:t xml:space="preserve"> </w:t>
      </w:r>
      <w:r w:rsidRPr="004208E5">
        <w:rPr>
          <w:spacing w:val="-5"/>
        </w:rPr>
        <w:t>r</w:t>
      </w:r>
      <w:r w:rsidRPr="004208E5">
        <w:t>eview rights</w:t>
      </w:r>
    </w:p>
    <w:p w:rsidR="00CA26C0" w:rsidRPr="004208E5" w:rsidRDefault="00CA26C0" w:rsidP="004208E5">
      <w:pPr>
        <w:spacing w:before="7" w:after="0" w:line="190" w:lineRule="exact"/>
        <w:ind w:right="-32"/>
        <w:rPr>
          <w:rFonts w:ascii="Arial" w:hAnsi="Arial" w:cs="Arial"/>
        </w:rPr>
      </w:pPr>
    </w:p>
    <w:p w:rsidR="00CA26C0" w:rsidRPr="00EC79B8" w:rsidRDefault="00EC79B8" w:rsidP="00EC79B8">
      <w:pPr>
        <w:rPr>
          <w:rFonts w:ascii="Arial" w:hAnsi="Arial" w:cs="Arial"/>
        </w:rPr>
      </w:pPr>
      <w:r w:rsidRPr="00EC79B8">
        <w:rPr>
          <w:rFonts w:ascii="Arial" w:hAnsi="Arial" w:cs="Arial"/>
        </w:rPr>
        <w:t>The ability to seek a review helps us to address any concerns you may have about our work. Your feedback also helps to improve the administration of the Scheme. We encourage you to contact us if you are not satisfied at any stage of the complaint or would like to provide feedback. Call 1800 550 552* and ask to speak to the complaints manager in your state or territory.</w:t>
      </w:r>
    </w:p>
    <w:p w:rsidR="00CA26C0" w:rsidRPr="00EC79B8" w:rsidRDefault="00EC79B8" w:rsidP="00EC79B8">
      <w:pPr>
        <w:rPr>
          <w:rFonts w:ascii="Arial" w:hAnsi="Arial" w:cs="Arial"/>
        </w:rPr>
      </w:pPr>
      <w:r w:rsidRPr="00EC79B8">
        <w:rPr>
          <w:rFonts w:ascii="Arial" w:hAnsi="Arial" w:cs="Arial"/>
        </w:rPr>
        <w:t xml:space="preserve">You can ask the Aged Care Commissioner (the Commissioner) to examine our process for handling your complaint (within 12 months of completion of the process) or examine our decision (within 28 days of receiving our letter outlining this decision). To find out more or to lodge a request, call </w:t>
      </w:r>
      <w:r w:rsidRPr="00EC79B8">
        <w:rPr>
          <w:rFonts w:ascii="Arial" w:hAnsi="Arial" w:cs="Arial"/>
          <w:b/>
        </w:rPr>
        <w:t>1800 500 294</w:t>
      </w:r>
      <w:r w:rsidRPr="00EC79B8">
        <w:rPr>
          <w:rFonts w:ascii="Arial" w:hAnsi="Arial" w:cs="Arial"/>
        </w:rPr>
        <w:t xml:space="preserve">* or visit the Commissioner’s website at </w:t>
      </w:r>
      <w:r w:rsidRPr="00EC79B8">
        <w:rPr>
          <w:rFonts w:ascii="Arial" w:hAnsi="Arial" w:cs="Arial"/>
          <w:b/>
        </w:rPr>
        <w:t>agedcarecommissioner.</w:t>
      </w:r>
      <w:r>
        <w:rPr>
          <w:rFonts w:ascii="Arial" w:hAnsi="Arial" w:cs="Arial"/>
          <w:b/>
        </w:rPr>
        <w:t>gov</w:t>
      </w:r>
      <w:r w:rsidRPr="00EC79B8">
        <w:rPr>
          <w:rFonts w:ascii="Arial" w:hAnsi="Arial" w:cs="Arial"/>
          <w:b/>
        </w:rPr>
        <w:t>.au</w:t>
      </w:r>
    </w:p>
    <w:p w:rsidR="00CA26C0" w:rsidRPr="004208E5" w:rsidRDefault="00EC79B8" w:rsidP="00EC79B8">
      <w:pPr>
        <w:pStyle w:val="Heading2"/>
      </w:pPr>
      <w:r w:rsidRPr="004208E5">
        <w:t>Aged</w:t>
      </w:r>
      <w:r w:rsidRPr="004208E5">
        <w:rPr>
          <w:spacing w:val="-7"/>
        </w:rPr>
        <w:t xml:space="preserve"> </w:t>
      </w:r>
      <w:r w:rsidRPr="004208E5">
        <w:rPr>
          <w:w w:val="102"/>
        </w:rPr>
        <w:t>Ca</w:t>
      </w:r>
      <w:r w:rsidRPr="004208E5">
        <w:rPr>
          <w:spacing w:val="-5"/>
          <w:w w:val="102"/>
        </w:rPr>
        <w:t>r</w:t>
      </w:r>
      <w:r w:rsidRPr="004208E5">
        <w:rPr>
          <w:w w:val="103"/>
        </w:rPr>
        <w:t xml:space="preserve">e </w:t>
      </w:r>
      <w:r w:rsidRPr="004208E5">
        <w:t>Complaints Scheme</w:t>
      </w:r>
    </w:p>
    <w:p w:rsidR="00CA26C0" w:rsidRPr="004208E5" w:rsidRDefault="00CA26C0" w:rsidP="004208E5">
      <w:pPr>
        <w:spacing w:before="10" w:after="0" w:line="170" w:lineRule="exact"/>
        <w:ind w:right="-32"/>
        <w:rPr>
          <w:rFonts w:ascii="Arial" w:hAnsi="Arial" w:cs="Arial"/>
        </w:rPr>
      </w:pPr>
    </w:p>
    <w:p w:rsidR="00EC79B8" w:rsidRDefault="00EC79B8" w:rsidP="00EC79B8">
      <w:pPr>
        <w:pStyle w:val="Heading3"/>
      </w:pPr>
      <w:r w:rsidRPr="00EC79B8">
        <w:t>Phone</w:t>
      </w:r>
      <w:r>
        <w:t>:</w:t>
      </w:r>
      <w:r w:rsidRPr="004208E5">
        <w:rPr>
          <w:spacing w:val="-7"/>
        </w:rPr>
        <w:t xml:space="preserve"> </w:t>
      </w:r>
      <w:r w:rsidRPr="00EC79B8">
        <w:rPr>
          <w:b w:val="0"/>
        </w:rPr>
        <w:t>1800 550 552</w:t>
      </w:r>
      <w:r w:rsidRPr="00EC79B8">
        <w:t xml:space="preserve">* </w:t>
      </w:r>
    </w:p>
    <w:p w:rsidR="00CA26C0" w:rsidRPr="004208E5" w:rsidRDefault="00EC79B8" w:rsidP="00EC79B8">
      <w:pPr>
        <w:pStyle w:val="Heading3"/>
      </w:pPr>
      <w:r w:rsidRPr="004208E5">
        <w:rPr>
          <w:spacing w:val="-4"/>
        </w:rPr>
        <w:t>W</w:t>
      </w:r>
      <w:r w:rsidRPr="004208E5">
        <w:rPr>
          <w:w w:val="101"/>
        </w:rPr>
        <w:t>rite</w:t>
      </w:r>
      <w:r>
        <w:rPr>
          <w:w w:val="101"/>
        </w:rPr>
        <w:t>:</w:t>
      </w:r>
    </w:p>
    <w:p w:rsidR="00CA26C0" w:rsidRPr="00EC79B8" w:rsidRDefault="00EC79B8" w:rsidP="00EC79B8">
      <w:pPr>
        <w:spacing w:after="0"/>
        <w:rPr>
          <w:rFonts w:ascii="Arial" w:hAnsi="Arial" w:cs="Arial"/>
        </w:rPr>
      </w:pPr>
      <w:r w:rsidRPr="00EC79B8">
        <w:rPr>
          <w:rFonts w:ascii="Arial" w:hAnsi="Arial" w:cs="Arial"/>
        </w:rPr>
        <w:t>Aged Care Complaints Scheme Department of</w:t>
      </w:r>
    </w:p>
    <w:p w:rsidR="00CA26C0" w:rsidRPr="00EC79B8" w:rsidRDefault="00EC79B8" w:rsidP="00EC79B8">
      <w:pPr>
        <w:spacing w:after="0"/>
        <w:rPr>
          <w:rFonts w:ascii="Arial" w:hAnsi="Arial" w:cs="Arial"/>
        </w:rPr>
      </w:pPr>
      <w:r w:rsidRPr="00EC79B8">
        <w:rPr>
          <w:rFonts w:ascii="Arial" w:hAnsi="Arial" w:cs="Arial"/>
        </w:rPr>
        <w:t>Social Services</w:t>
      </w:r>
    </w:p>
    <w:p w:rsidR="00CA26C0" w:rsidRPr="00EC79B8" w:rsidRDefault="00EC79B8" w:rsidP="00EC79B8">
      <w:pPr>
        <w:spacing w:after="0"/>
        <w:rPr>
          <w:rFonts w:ascii="Arial" w:hAnsi="Arial" w:cs="Arial"/>
        </w:rPr>
      </w:pPr>
      <w:r w:rsidRPr="00EC79B8">
        <w:rPr>
          <w:rFonts w:ascii="Arial" w:hAnsi="Arial" w:cs="Arial"/>
        </w:rPr>
        <w:t>GPO Box 9820</w:t>
      </w:r>
    </w:p>
    <w:p w:rsidR="00CA26C0" w:rsidRDefault="00EC79B8" w:rsidP="00EC79B8">
      <w:pPr>
        <w:spacing w:after="0"/>
        <w:rPr>
          <w:rFonts w:ascii="Arial" w:hAnsi="Arial" w:cs="Arial"/>
        </w:rPr>
      </w:pPr>
      <w:r w:rsidRPr="00EC79B8">
        <w:rPr>
          <w:rFonts w:ascii="Arial" w:hAnsi="Arial" w:cs="Arial"/>
        </w:rPr>
        <w:t>In your capital city</w:t>
      </w:r>
    </w:p>
    <w:p w:rsidR="00EC79B8" w:rsidRPr="00EC79B8" w:rsidRDefault="00EC79B8" w:rsidP="00EC79B8">
      <w:pPr>
        <w:spacing w:after="0"/>
        <w:rPr>
          <w:rFonts w:ascii="Arial" w:hAnsi="Arial" w:cs="Arial"/>
        </w:rPr>
      </w:pPr>
    </w:p>
    <w:p w:rsidR="00CA26C0" w:rsidRPr="00EC79B8" w:rsidRDefault="00EC79B8" w:rsidP="00EC79B8">
      <w:pPr>
        <w:rPr>
          <w:rFonts w:ascii="Arial" w:hAnsi="Arial" w:cs="Arial"/>
        </w:rPr>
      </w:pPr>
      <w:r w:rsidRPr="00EC79B8">
        <w:rPr>
          <w:rStyle w:val="Heading3Char"/>
        </w:rPr>
        <w:t>Online</w:t>
      </w:r>
      <w:r>
        <w:rPr>
          <w:rFonts w:ascii="Arial" w:hAnsi="Arial" w:cs="Arial"/>
        </w:rPr>
        <w:t>:</w:t>
      </w:r>
      <w:r w:rsidRPr="00EC79B8">
        <w:rPr>
          <w:rFonts w:ascii="Arial" w:hAnsi="Arial" w:cs="Arial"/>
        </w:rPr>
        <w:t xml:space="preserve"> agedcarecomplaints.govspace.gov.au</w:t>
      </w:r>
    </w:p>
    <w:p w:rsidR="00CA26C0" w:rsidRPr="00EC79B8" w:rsidRDefault="00EC79B8" w:rsidP="00EC79B8">
      <w:pPr>
        <w:rPr>
          <w:rFonts w:ascii="Arial" w:hAnsi="Arial" w:cs="Arial"/>
        </w:rPr>
      </w:pPr>
      <w:r w:rsidRPr="00EC79B8">
        <w:rPr>
          <w:rFonts w:ascii="Arial" w:hAnsi="Arial" w:cs="Arial"/>
        </w:rPr>
        <w:t>All information in this publication is correct as of June 2014.</w:t>
      </w:r>
      <w:r>
        <w:rPr>
          <w:rFonts w:ascii="Arial" w:hAnsi="Arial" w:cs="Arial"/>
        </w:rPr>
        <w:t xml:space="preserve"> </w:t>
      </w:r>
      <w:r w:rsidRPr="00EC79B8">
        <w:rPr>
          <w:rFonts w:ascii="Arial" w:hAnsi="Arial" w:cs="Arial"/>
        </w:rPr>
        <w:t>DSS12894.1402 June 2014</w:t>
      </w:r>
    </w:p>
    <w:p w:rsidR="00CA26C0" w:rsidRPr="00EC79B8" w:rsidRDefault="00EC79B8" w:rsidP="00EC79B8">
      <w:pPr>
        <w:rPr>
          <w:rFonts w:ascii="Arial" w:hAnsi="Arial" w:cs="Arial"/>
        </w:rPr>
      </w:pPr>
      <w:r w:rsidRPr="00EC79B8">
        <w:rPr>
          <w:rFonts w:ascii="Arial" w:hAnsi="Arial" w:cs="Arial"/>
        </w:rPr>
        <w:t>* 1800 calls are free from fixed lines; however calls from mobiles may be charged.</w:t>
      </w:r>
    </w:p>
    <w:sectPr w:rsidR="00CA26C0" w:rsidRPr="00EC79B8" w:rsidSect="004208E5">
      <w:type w:val="continuous"/>
      <w:pgSz w:w="1192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1D6"/>
    <w:multiLevelType w:val="hybridMultilevel"/>
    <w:tmpl w:val="443E66F0"/>
    <w:lvl w:ilvl="0" w:tplc="F822C5AA">
      <w:numFmt w:val="bullet"/>
      <w:lvlText w:val="•"/>
      <w:lvlJc w:val="left"/>
      <w:pPr>
        <w:ind w:left="720"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CF1B1E"/>
    <w:multiLevelType w:val="hybridMultilevel"/>
    <w:tmpl w:val="2A1831E6"/>
    <w:lvl w:ilvl="0" w:tplc="F822C5AA">
      <w:numFmt w:val="bullet"/>
      <w:lvlText w:val="•"/>
      <w:lvlJc w:val="left"/>
      <w:pPr>
        <w:ind w:left="720"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E3D26D0"/>
    <w:multiLevelType w:val="hybridMultilevel"/>
    <w:tmpl w:val="42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1D675B"/>
    <w:multiLevelType w:val="hybridMultilevel"/>
    <w:tmpl w:val="91D8AF28"/>
    <w:lvl w:ilvl="0" w:tplc="F822C5AA">
      <w:numFmt w:val="bullet"/>
      <w:lvlText w:val="•"/>
      <w:lvlJc w:val="left"/>
      <w:pPr>
        <w:ind w:left="720" w:hanging="360"/>
      </w:pPr>
      <w:rPr>
        <w:rFonts w:ascii="Arial" w:eastAsia="Arial" w:hAnsi="Arial" w:cs="Arial" w:hint="default"/>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
  <w:rsids>
    <w:rsidRoot w:val="00CA26C0"/>
    <w:rsid w:val="004208E5"/>
    <w:rsid w:val="00577C51"/>
    <w:rsid w:val="00A3514A"/>
    <w:rsid w:val="00CA26C0"/>
    <w:rsid w:val="00EC7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C79B8"/>
    <w:pPr>
      <w:spacing w:before="7" w:after="0" w:line="240" w:lineRule="auto"/>
      <w:ind w:right="-32"/>
      <w:outlineLvl w:val="0"/>
    </w:pPr>
    <w:rPr>
      <w:rFonts w:ascii="Arial" w:eastAsia="Arial" w:hAnsi="Arial" w:cs="Arial"/>
      <w:b/>
      <w:bCs/>
    </w:rPr>
  </w:style>
  <w:style w:type="paragraph" w:styleId="Heading2">
    <w:name w:val="heading 2"/>
    <w:basedOn w:val="Normal"/>
    <w:next w:val="Normal"/>
    <w:link w:val="Heading2Char"/>
    <w:uiPriority w:val="9"/>
    <w:unhideWhenUsed/>
    <w:qFormat/>
    <w:rsid w:val="00EC79B8"/>
    <w:pPr>
      <w:spacing w:after="0" w:line="240" w:lineRule="auto"/>
      <w:ind w:right="-32"/>
      <w:outlineLvl w:val="1"/>
    </w:pPr>
    <w:rPr>
      <w:rFonts w:ascii="Arial" w:eastAsia="Arial" w:hAnsi="Arial" w:cs="Arial"/>
      <w:b/>
      <w:bCs/>
    </w:rPr>
  </w:style>
  <w:style w:type="paragraph" w:styleId="Heading3">
    <w:name w:val="heading 3"/>
    <w:basedOn w:val="Normal"/>
    <w:next w:val="Normal"/>
    <w:link w:val="Heading3Char"/>
    <w:uiPriority w:val="9"/>
    <w:unhideWhenUsed/>
    <w:qFormat/>
    <w:rsid w:val="00EC79B8"/>
    <w:pPr>
      <w:spacing w:after="0" w:line="418" w:lineRule="auto"/>
      <w:ind w:right="-32"/>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E5"/>
    <w:pPr>
      <w:ind w:left="720"/>
      <w:contextualSpacing/>
    </w:pPr>
  </w:style>
  <w:style w:type="character" w:customStyle="1" w:styleId="Heading1Char">
    <w:name w:val="Heading 1 Char"/>
    <w:basedOn w:val="DefaultParagraphFont"/>
    <w:link w:val="Heading1"/>
    <w:uiPriority w:val="9"/>
    <w:rsid w:val="00EC79B8"/>
    <w:rPr>
      <w:rFonts w:ascii="Arial" w:eastAsia="Arial" w:hAnsi="Arial" w:cs="Arial"/>
      <w:b/>
      <w:bCs/>
    </w:rPr>
  </w:style>
  <w:style w:type="character" w:customStyle="1" w:styleId="Heading2Char">
    <w:name w:val="Heading 2 Char"/>
    <w:basedOn w:val="DefaultParagraphFont"/>
    <w:link w:val="Heading2"/>
    <w:uiPriority w:val="9"/>
    <w:rsid w:val="00EC79B8"/>
    <w:rPr>
      <w:rFonts w:ascii="Arial" w:eastAsia="Arial" w:hAnsi="Arial" w:cs="Arial"/>
      <w:b/>
      <w:bCs/>
    </w:rPr>
  </w:style>
  <w:style w:type="character" w:customStyle="1" w:styleId="Heading3Char">
    <w:name w:val="Heading 3 Char"/>
    <w:basedOn w:val="DefaultParagraphFont"/>
    <w:link w:val="Heading3"/>
    <w:uiPriority w:val="9"/>
    <w:rsid w:val="00EC79B8"/>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D708-97CC-4B1A-A2EF-0D1009C2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 VAN BEVEREN, Paul</dc:creator>
  <cp:lastModifiedBy>WILLEMS VAN BEVEREN, Paul</cp:lastModifiedBy>
  <cp:revision>4</cp:revision>
  <cp:lastPrinted>2014-10-24T00:37:00Z</cp:lastPrinted>
  <dcterms:created xsi:type="dcterms:W3CDTF">2014-10-23T04:38:00Z</dcterms:created>
  <dcterms:modified xsi:type="dcterms:W3CDTF">2014-10-24T03:54:00Z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2014-10-23T00:00:00Z</vt:filetime>
  </property>
</Properties>
</file>