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27" w:rsidRPr="00230627" w:rsidRDefault="00230627" w:rsidP="00831787">
      <w:pPr>
        <w:spacing w:before="480"/>
        <w:rPr>
          <w:sz w:val="22"/>
          <w:szCs w:val="22"/>
        </w:rPr>
      </w:pPr>
      <w:r w:rsidRPr="00230627">
        <w:rPr>
          <w:iCs/>
          <w:sz w:val="22"/>
          <w:szCs w:val="22"/>
        </w:rPr>
        <w:t>Dear Approved Participants,</w:t>
      </w:r>
    </w:p>
    <w:p w:rsidR="00230627" w:rsidRPr="00230627" w:rsidRDefault="00230627" w:rsidP="00230627">
      <w:pPr>
        <w:rPr>
          <w:sz w:val="22"/>
          <w:szCs w:val="22"/>
          <w:u w:val="single"/>
        </w:rPr>
      </w:pPr>
      <w:r w:rsidRPr="00230627">
        <w:rPr>
          <w:iCs/>
          <w:sz w:val="22"/>
          <w:szCs w:val="22"/>
          <w:u w:val="single"/>
        </w:rPr>
        <w:t xml:space="preserve">Please read this carefully: this information is relevant to eligibility to receive an incentive in respect of the 2013-14 </w:t>
      </w:r>
      <w:r w:rsidR="00831787">
        <w:rPr>
          <w:iCs/>
          <w:sz w:val="22"/>
          <w:szCs w:val="22"/>
          <w:u w:val="single"/>
        </w:rPr>
        <w:t>National Re</w:t>
      </w:r>
      <w:bookmarkStart w:id="0" w:name="_GoBack"/>
      <w:bookmarkEnd w:id="0"/>
      <w:r w:rsidR="00831787">
        <w:rPr>
          <w:iCs/>
          <w:sz w:val="22"/>
          <w:szCs w:val="22"/>
          <w:u w:val="single"/>
        </w:rPr>
        <w:t>ntal Affordability Scheme (NRAS)</w:t>
      </w:r>
      <w:r w:rsidRPr="00230627">
        <w:rPr>
          <w:iCs/>
          <w:sz w:val="22"/>
          <w:szCs w:val="22"/>
          <w:u w:val="single"/>
        </w:rPr>
        <w:t xml:space="preserve"> year.</w:t>
      </w:r>
    </w:p>
    <w:p w:rsidR="00831787" w:rsidRDefault="00831787" w:rsidP="00831787">
      <w:pPr>
        <w:pStyle w:val="Default"/>
        <w:spacing w:before="240"/>
        <w:rPr>
          <w:rFonts w:cs="Times New Roman"/>
          <w:iCs/>
          <w:color w:val="auto"/>
          <w:sz w:val="22"/>
          <w:szCs w:val="22"/>
          <w:lang w:eastAsia="en-US"/>
        </w:rPr>
      </w:pPr>
      <w:r w:rsidRPr="00831787">
        <w:rPr>
          <w:rFonts w:cs="Times New Roman"/>
          <w:iCs/>
          <w:color w:val="auto"/>
          <w:sz w:val="22"/>
          <w:szCs w:val="22"/>
          <w:lang w:eastAsia="en-US"/>
        </w:rPr>
        <w:t>I am writing to provide you with important information about our findings so far in the checking of NRAS incentive claims for the 2013-14 year.  The Government has made further amendments to the National Rental Affordability Scheme Regulations 2008 to improve the integrity and administration of the NRAS.  The amendments will come</w:t>
      </w:r>
      <w:r w:rsidR="007A239C">
        <w:rPr>
          <w:rFonts w:cs="Times New Roman"/>
          <w:iCs/>
          <w:color w:val="auto"/>
          <w:sz w:val="22"/>
          <w:szCs w:val="22"/>
          <w:lang w:eastAsia="en-US"/>
        </w:rPr>
        <w:t xml:space="preserve"> into effect </w:t>
      </w:r>
      <w:r w:rsidR="00D63059">
        <w:rPr>
          <w:rFonts w:cs="Times New Roman"/>
          <w:iCs/>
          <w:color w:val="auto"/>
          <w:sz w:val="22"/>
          <w:szCs w:val="22"/>
          <w:lang w:eastAsia="en-US"/>
        </w:rPr>
        <w:t>on</w:t>
      </w:r>
      <w:r w:rsidR="00FD4D69">
        <w:rPr>
          <w:rFonts w:cs="Times New Roman"/>
          <w:iCs/>
          <w:color w:val="auto"/>
          <w:sz w:val="22"/>
          <w:szCs w:val="22"/>
          <w:lang w:eastAsia="en-US"/>
        </w:rPr>
        <w:t xml:space="preserve"> 4 November 2014.</w:t>
      </w:r>
    </w:p>
    <w:p w:rsidR="00230627" w:rsidRPr="00831787" w:rsidRDefault="00831787" w:rsidP="00831787">
      <w:pPr>
        <w:pStyle w:val="Default"/>
        <w:spacing w:before="240"/>
        <w:rPr>
          <w:rFonts w:cs="Times New Roman"/>
          <w:iCs/>
          <w:color w:val="auto"/>
          <w:sz w:val="22"/>
          <w:szCs w:val="22"/>
          <w:lang w:eastAsia="en-US"/>
        </w:rPr>
      </w:pPr>
      <w:r w:rsidRPr="00831787">
        <w:rPr>
          <w:rFonts w:cs="Times New Roman"/>
          <w:iCs/>
          <w:color w:val="auto"/>
          <w:sz w:val="22"/>
          <w:szCs w:val="22"/>
          <w:lang w:eastAsia="en-US"/>
        </w:rPr>
        <w:t>The key changes in these amendments allow greater flexibility and more generous timeframes for the lodgement of the Statement of Compliance and market rent valuation documentation and provide more clarity with regard to the market value rent and rent incre</w:t>
      </w:r>
      <w:r w:rsidR="00271F29">
        <w:rPr>
          <w:rFonts w:cs="Times New Roman"/>
          <w:iCs/>
          <w:color w:val="auto"/>
          <w:sz w:val="22"/>
          <w:szCs w:val="22"/>
          <w:lang w:eastAsia="en-US"/>
        </w:rPr>
        <w:t>ases.  The November </w:t>
      </w:r>
      <w:r w:rsidRPr="00831787">
        <w:rPr>
          <w:rFonts w:cs="Times New Roman"/>
          <w:iCs/>
          <w:color w:val="auto"/>
          <w:sz w:val="22"/>
          <w:szCs w:val="22"/>
          <w:lang w:eastAsia="en-US"/>
        </w:rPr>
        <w:t xml:space="preserve">2014 amendments also contain provisions that will facilitate the payment of the 2013-14 incentive payments to eligible Approved Participants.  </w:t>
      </w:r>
      <w:r w:rsidR="00230627" w:rsidRPr="00831787">
        <w:rPr>
          <w:rFonts w:cs="Times New Roman"/>
          <w:iCs/>
          <w:color w:val="auto"/>
          <w:sz w:val="22"/>
          <w:szCs w:val="22"/>
          <w:lang w:eastAsia="en-US"/>
        </w:rPr>
        <w:t xml:space="preserve">However, even with this additional flexibility, the Regulations represent a legislative framework which still must be complied with in order to be eligible.  Although our intent is to pay as many eligible claims as quickly as possible, the Department is closely scrutinising </w:t>
      </w:r>
      <w:r w:rsidR="00A50B82" w:rsidRPr="00831787">
        <w:rPr>
          <w:rFonts w:cs="Times New Roman"/>
          <w:iCs/>
          <w:color w:val="auto"/>
          <w:sz w:val="22"/>
          <w:szCs w:val="22"/>
          <w:lang w:eastAsia="en-US"/>
        </w:rPr>
        <w:t>claims and</w:t>
      </w:r>
      <w:r w:rsidR="00230627" w:rsidRPr="00831787">
        <w:rPr>
          <w:rFonts w:cs="Times New Roman"/>
          <w:iCs/>
          <w:color w:val="auto"/>
          <w:sz w:val="22"/>
          <w:szCs w:val="22"/>
          <w:lang w:eastAsia="en-US"/>
        </w:rPr>
        <w:t xml:space="preserve"> is individually assessing each claim.</w:t>
      </w:r>
    </w:p>
    <w:p w:rsidR="00230627" w:rsidRPr="00230627" w:rsidRDefault="00230627" w:rsidP="00230627">
      <w:pPr>
        <w:rPr>
          <w:b/>
          <w:sz w:val="22"/>
          <w:szCs w:val="22"/>
        </w:rPr>
      </w:pPr>
      <w:r w:rsidRPr="00230627">
        <w:rPr>
          <w:iCs/>
          <w:sz w:val="22"/>
          <w:szCs w:val="22"/>
        </w:rPr>
        <w:t xml:space="preserve">As I indicated in my letter of 17 October 2014, many of the claims we have received with a #ready email are still not compliant with the </w:t>
      </w:r>
      <w:r w:rsidR="001F5C7D">
        <w:rPr>
          <w:iCs/>
          <w:sz w:val="22"/>
          <w:szCs w:val="22"/>
        </w:rPr>
        <w:t>R</w:t>
      </w:r>
      <w:r w:rsidRPr="00230627">
        <w:rPr>
          <w:iCs/>
          <w:sz w:val="22"/>
          <w:szCs w:val="22"/>
        </w:rPr>
        <w:t xml:space="preserve">egulations and if assessed to completion would receive a reduced or nil incentive.  Once </w:t>
      </w:r>
      <w:r w:rsidR="00271F29">
        <w:rPr>
          <w:iCs/>
          <w:sz w:val="22"/>
          <w:szCs w:val="22"/>
        </w:rPr>
        <w:t xml:space="preserve">the </w:t>
      </w:r>
      <w:r w:rsidRPr="00230627">
        <w:rPr>
          <w:iCs/>
          <w:sz w:val="22"/>
          <w:szCs w:val="22"/>
        </w:rPr>
        <w:t xml:space="preserve">new </w:t>
      </w:r>
      <w:r w:rsidR="001F5C7D">
        <w:rPr>
          <w:iCs/>
          <w:sz w:val="22"/>
          <w:szCs w:val="22"/>
        </w:rPr>
        <w:t>R</w:t>
      </w:r>
      <w:r w:rsidRPr="00230627">
        <w:rPr>
          <w:iCs/>
          <w:sz w:val="22"/>
          <w:szCs w:val="22"/>
        </w:rPr>
        <w:t>egu</w:t>
      </w:r>
      <w:r w:rsidR="00271F29">
        <w:rPr>
          <w:iCs/>
          <w:sz w:val="22"/>
          <w:szCs w:val="22"/>
        </w:rPr>
        <w:t>lations are in place, where non</w:t>
      </w:r>
      <w:r w:rsidR="00271F29">
        <w:rPr>
          <w:iCs/>
          <w:sz w:val="22"/>
          <w:szCs w:val="22"/>
        </w:rPr>
        <w:noBreakHyphen/>
      </w:r>
      <w:r w:rsidRPr="00230627">
        <w:rPr>
          <w:iCs/>
          <w:sz w:val="22"/>
          <w:szCs w:val="22"/>
        </w:rPr>
        <w:t xml:space="preserve">compliance is identified, the Department will provide an opportunity for Approved Participants to rectify this situation where possible under the </w:t>
      </w:r>
      <w:r w:rsidR="001F5C7D">
        <w:rPr>
          <w:iCs/>
          <w:sz w:val="22"/>
          <w:szCs w:val="22"/>
        </w:rPr>
        <w:t>R</w:t>
      </w:r>
      <w:r w:rsidRPr="00230627">
        <w:rPr>
          <w:iCs/>
          <w:sz w:val="22"/>
          <w:szCs w:val="22"/>
        </w:rPr>
        <w:t xml:space="preserve">egulations.  However, it should be noted that the Department has limited resources and time with which to process all 21,900 claims.  As such, the Department anticipates that it will only be able to provide one opportunity for rectification, and will then process all claims to completion based on the information at hand.  </w:t>
      </w:r>
      <w:r w:rsidRPr="00230627">
        <w:rPr>
          <w:b/>
          <w:iCs/>
          <w:sz w:val="22"/>
          <w:szCs w:val="22"/>
        </w:rPr>
        <w:t xml:space="preserve">It is up to you to ensure you meet all the </w:t>
      </w:r>
      <w:r w:rsidR="001F5C7D">
        <w:rPr>
          <w:b/>
          <w:iCs/>
          <w:sz w:val="22"/>
          <w:szCs w:val="22"/>
        </w:rPr>
        <w:t>R</w:t>
      </w:r>
      <w:r w:rsidRPr="00230627">
        <w:rPr>
          <w:b/>
          <w:iCs/>
          <w:sz w:val="22"/>
          <w:szCs w:val="22"/>
        </w:rPr>
        <w:t>egulations before submitting for assessment.</w:t>
      </w:r>
    </w:p>
    <w:p w:rsidR="00230627" w:rsidRPr="00230627" w:rsidRDefault="00230627" w:rsidP="00831787">
      <w:pPr>
        <w:spacing w:after="240"/>
        <w:rPr>
          <w:sz w:val="22"/>
          <w:szCs w:val="22"/>
        </w:rPr>
      </w:pPr>
      <w:r w:rsidRPr="00230627">
        <w:rPr>
          <w:iCs/>
          <w:sz w:val="22"/>
          <w:szCs w:val="22"/>
        </w:rPr>
        <w:t>There are some requirements of the Scheme which if not complied with could potentially result in a nil incentive for the year.  For example, the main objective of the Scheme is to contribute to the supply of affordable rental housing by providing rental dwellings at 20</w:t>
      </w:r>
      <w:r w:rsidR="0077573D">
        <w:rPr>
          <w:iCs/>
          <w:sz w:val="22"/>
          <w:szCs w:val="22"/>
        </w:rPr>
        <w:t xml:space="preserve"> per cent</w:t>
      </w:r>
      <w:r w:rsidRPr="00230627">
        <w:rPr>
          <w:iCs/>
          <w:sz w:val="22"/>
          <w:szCs w:val="22"/>
        </w:rPr>
        <w:t xml:space="preserve"> less than </w:t>
      </w:r>
      <w:r w:rsidR="0077573D">
        <w:rPr>
          <w:iCs/>
          <w:sz w:val="22"/>
          <w:szCs w:val="22"/>
        </w:rPr>
        <w:t xml:space="preserve">the </w:t>
      </w:r>
      <w:r w:rsidRPr="00230627">
        <w:rPr>
          <w:iCs/>
          <w:sz w:val="22"/>
          <w:szCs w:val="22"/>
        </w:rPr>
        <w:t>market value rent.  In the event that an Approved Particip</w:t>
      </w:r>
      <w:r w:rsidR="0077573D">
        <w:rPr>
          <w:iCs/>
          <w:sz w:val="22"/>
          <w:szCs w:val="22"/>
        </w:rPr>
        <w:t>ant has charged in excess of 80 per cent</w:t>
      </w:r>
      <w:r w:rsidRPr="00230627">
        <w:rPr>
          <w:iCs/>
          <w:sz w:val="22"/>
          <w:szCs w:val="22"/>
        </w:rPr>
        <w:t xml:space="preserve"> of </w:t>
      </w:r>
      <w:r w:rsidR="0077573D">
        <w:rPr>
          <w:iCs/>
          <w:sz w:val="22"/>
          <w:szCs w:val="22"/>
        </w:rPr>
        <w:t xml:space="preserve">the </w:t>
      </w:r>
      <w:r w:rsidRPr="00230627">
        <w:rPr>
          <w:iCs/>
          <w:sz w:val="22"/>
          <w:szCs w:val="22"/>
        </w:rPr>
        <w:t xml:space="preserve">market value rent, this would ordinarily result in a nil payment. </w:t>
      </w:r>
    </w:p>
    <w:p w:rsidR="00831787" w:rsidRDefault="00230627" w:rsidP="00831787">
      <w:pPr>
        <w:spacing w:before="0" w:after="240"/>
        <w:rPr>
          <w:iCs/>
          <w:sz w:val="22"/>
          <w:szCs w:val="22"/>
        </w:rPr>
      </w:pPr>
      <w:r w:rsidRPr="00230627">
        <w:rPr>
          <w:iCs/>
          <w:sz w:val="22"/>
          <w:szCs w:val="22"/>
        </w:rPr>
        <w:t xml:space="preserve">To guide you in submitting claims for payment, the table below outlines a number of issues identified in our preliminary assessment of claims against the proposed </w:t>
      </w:r>
      <w:r w:rsidR="001F5C7D">
        <w:rPr>
          <w:iCs/>
          <w:sz w:val="22"/>
          <w:szCs w:val="22"/>
        </w:rPr>
        <w:t>R</w:t>
      </w:r>
      <w:r w:rsidRPr="00230627">
        <w:rPr>
          <w:iCs/>
          <w:sz w:val="22"/>
          <w:szCs w:val="22"/>
        </w:rPr>
        <w:t xml:space="preserve">egulations, and describes the information required to be compliant. </w:t>
      </w:r>
    </w:p>
    <w:tbl>
      <w:tblPr>
        <w:tblStyle w:val="TableGrid"/>
        <w:tblW w:w="0" w:type="auto"/>
        <w:tblLook w:val="04A0" w:firstRow="1" w:lastRow="0" w:firstColumn="1" w:lastColumn="0" w:noHBand="0" w:noVBand="1"/>
      </w:tblPr>
      <w:tblGrid>
        <w:gridCol w:w="3080"/>
        <w:gridCol w:w="2557"/>
        <w:gridCol w:w="3605"/>
      </w:tblGrid>
      <w:tr w:rsidR="00230627" w:rsidRPr="00230627" w:rsidTr="00831787">
        <w:trPr>
          <w:trHeight w:val="431"/>
        </w:trPr>
        <w:tc>
          <w:tcPr>
            <w:tcW w:w="3080" w:type="dxa"/>
          </w:tcPr>
          <w:p w:rsidR="00230627" w:rsidRPr="00230627" w:rsidRDefault="00230627" w:rsidP="00831787">
            <w:pPr>
              <w:jc w:val="center"/>
              <w:rPr>
                <w:b/>
                <w:sz w:val="22"/>
                <w:szCs w:val="22"/>
              </w:rPr>
            </w:pPr>
            <w:r w:rsidRPr="00230627">
              <w:rPr>
                <w:b/>
                <w:iCs/>
                <w:sz w:val="22"/>
                <w:szCs w:val="22"/>
              </w:rPr>
              <w:t>Issue</w:t>
            </w:r>
          </w:p>
        </w:tc>
        <w:tc>
          <w:tcPr>
            <w:tcW w:w="2557" w:type="dxa"/>
          </w:tcPr>
          <w:p w:rsidR="00230627" w:rsidRPr="00230627" w:rsidRDefault="00230627" w:rsidP="00831787">
            <w:pPr>
              <w:jc w:val="center"/>
              <w:rPr>
                <w:b/>
                <w:sz w:val="22"/>
                <w:szCs w:val="22"/>
              </w:rPr>
            </w:pPr>
            <w:r w:rsidRPr="00230627">
              <w:rPr>
                <w:b/>
                <w:iCs/>
                <w:sz w:val="22"/>
                <w:szCs w:val="22"/>
              </w:rPr>
              <w:t>Act/Regulation</w:t>
            </w:r>
          </w:p>
        </w:tc>
        <w:tc>
          <w:tcPr>
            <w:tcW w:w="3605" w:type="dxa"/>
          </w:tcPr>
          <w:p w:rsidR="00230627" w:rsidRPr="00230627" w:rsidRDefault="00230627" w:rsidP="00831787">
            <w:pPr>
              <w:jc w:val="center"/>
              <w:rPr>
                <w:b/>
                <w:sz w:val="22"/>
                <w:szCs w:val="22"/>
              </w:rPr>
            </w:pPr>
            <w:r w:rsidRPr="00230627">
              <w:rPr>
                <w:b/>
                <w:iCs/>
                <w:sz w:val="22"/>
                <w:szCs w:val="22"/>
              </w:rPr>
              <w:t>Resolution</w:t>
            </w:r>
          </w:p>
        </w:tc>
      </w:tr>
      <w:tr w:rsidR="00230627" w:rsidRPr="00230627" w:rsidTr="00010B9E">
        <w:tc>
          <w:tcPr>
            <w:tcW w:w="3080" w:type="dxa"/>
          </w:tcPr>
          <w:p w:rsidR="00230627" w:rsidRPr="00230627" w:rsidRDefault="00230627" w:rsidP="00230627">
            <w:pPr>
              <w:rPr>
                <w:sz w:val="22"/>
                <w:szCs w:val="22"/>
              </w:rPr>
            </w:pPr>
            <w:r w:rsidRPr="00230627">
              <w:rPr>
                <w:iCs/>
                <w:sz w:val="22"/>
                <w:szCs w:val="22"/>
              </w:rPr>
              <w:t>Rent charged is more than 80% of market</w:t>
            </w:r>
            <w:r w:rsidR="0077573D">
              <w:rPr>
                <w:iCs/>
                <w:sz w:val="22"/>
                <w:szCs w:val="22"/>
              </w:rPr>
              <w:t xml:space="preserve"> value</w:t>
            </w:r>
            <w:r w:rsidRPr="00230627">
              <w:rPr>
                <w:iCs/>
                <w:sz w:val="22"/>
                <w:szCs w:val="22"/>
              </w:rPr>
              <w:t xml:space="preserve"> rent (including CPI if in 2</w:t>
            </w:r>
            <w:r w:rsidRPr="00230627">
              <w:rPr>
                <w:iCs/>
                <w:sz w:val="22"/>
                <w:szCs w:val="22"/>
                <w:vertAlign w:val="superscript"/>
              </w:rPr>
              <w:t>nd</w:t>
            </w:r>
            <w:r w:rsidRPr="00230627">
              <w:rPr>
                <w:iCs/>
                <w:sz w:val="22"/>
                <w:szCs w:val="22"/>
              </w:rPr>
              <w:t>, 3</w:t>
            </w:r>
            <w:r w:rsidRPr="00230627">
              <w:rPr>
                <w:iCs/>
                <w:sz w:val="22"/>
                <w:szCs w:val="22"/>
                <w:vertAlign w:val="superscript"/>
              </w:rPr>
              <w:t>rd</w:t>
            </w:r>
            <w:r w:rsidRPr="00230627">
              <w:rPr>
                <w:iCs/>
                <w:sz w:val="22"/>
                <w:szCs w:val="22"/>
              </w:rPr>
              <w:t>, 4</w:t>
            </w:r>
            <w:r w:rsidRPr="00230627">
              <w:rPr>
                <w:iCs/>
                <w:sz w:val="22"/>
                <w:szCs w:val="22"/>
                <w:vertAlign w:val="superscript"/>
              </w:rPr>
              <w:t>th</w:t>
            </w:r>
            <w:r w:rsidRPr="00230627">
              <w:rPr>
                <w:iCs/>
                <w:sz w:val="22"/>
                <w:szCs w:val="22"/>
              </w:rPr>
              <w:t xml:space="preserve"> years)</w:t>
            </w:r>
            <w:r w:rsidR="0077573D">
              <w:rPr>
                <w:iCs/>
                <w:sz w:val="22"/>
                <w:szCs w:val="22"/>
              </w:rPr>
              <w:t>.</w:t>
            </w:r>
          </w:p>
        </w:tc>
        <w:tc>
          <w:tcPr>
            <w:tcW w:w="2557" w:type="dxa"/>
          </w:tcPr>
          <w:p w:rsidR="00230627" w:rsidRPr="00230627" w:rsidRDefault="00230627" w:rsidP="00230627">
            <w:pPr>
              <w:rPr>
                <w:sz w:val="22"/>
                <w:szCs w:val="22"/>
              </w:rPr>
            </w:pPr>
            <w:r w:rsidRPr="00230627">
              <w:rPr>
                <w:iCs/>
                <w:sz w:val="22"/>
                <w:szCs w:val="22"/>
              </w:rPr>
              <w:t>National Rental Affordability Scheme Act 2008, Section 7(2)(b)(ii)</w:t>
            </w:r>
          </w:p>
        </w:tc>
        <w:tc>
          <w:tcPr>
            <w:tcW w:w="3605" w:type="dxa"/>
          </w:tcPr>
          <w:p w:rsidR="00230627" w:rsidRPr="00230627" w:rsidRDefault="00230627" w:rsidP="00230627">
            <w:pPr>
              <w:rPr>
                <w:sz w:val="22"/>
                <w:szCs w:val="22"/>
              </w:rPr>
            </w:pPr>
            <w:r w:rsidRPr="00230627">
              <w:rPr>
                <w:iCs/>
                <w:sz w:val="22"/>
                <w:szCs w:val="22"/>
              </w:rPr>
              <w:t xml:space="preserve">This is a fundamental tenet of the Scheme, aimed at meeting the objective of providing affordable rental accommodation.  </w:t>
            </w:r>
          </w:p>
        </w:tc>
      </w:tr>
      <w:tr w:rsidR="00230627" w:rsidRPr="00230627" w:rsidTr="00010B9E">
        <w:tc>
          <w:tcPr>
            <w:tcW w:w="3080" w:type="dxa"/>
          </w:tcPr>
          <w:p w:rsidR="00230627" w:rsidRPr="00230627" w:rsidRDefault="00230627" w:rsidP="00230627">
            <w:pPr>
              <w:rPr>
                <w:sz w:val="22"/>
                <w:szCs w:val="22"/>
              </w:rPr>
            </w:pPr>
            <w:r w:rsidRPr="00230627">
              <w:rPr>
                <w:iCs/>
                <w:sz w:val="22"/>
                <w:szCs w:val="22"/>
              </w:rPr>
              <w:t>Increasing rent more than once during a 12 month period.</w:t>
            </w:r>
          </w:p>
        </w:tc>
        <w:tc>
          <w:tcPr>
            <w:tcW w:w="2557" w:type="dxa"/>
          </w:tcPr>
          <w:p w:rsidR="00230627" w:rsidRPr="00230627" w:rsidRDefault="00230627" w:rsidP="00230627">
            <w:pPr>
              <w:rPr>
                <w:sz w:val="22"/>
                <w:szCs w:val="22"/>
              </w:rPr>
            </w:pPr>
            <w:r w:rsidRPr="00230627">
              <w:rPr>
                <w:iCs/>
                <w:sz w:val="22"/>
                <w:szCs w:val="22"/>
              </w:rPr>
              <w:t>NRAS Regulations  16(7)</w:t>
            </w:r>
          </w:p>
        </w:tc>
        <w:tc>
          <w:tcPr>
            <w:tcW w:w="3605" w:type="dxa"/>
          </w:tcPr>
          <w:p w:rsidR="00230627" w:rsidRPr="00230627" w:rsidRDefault="00230627" w:rsidP="00230627">
            <w:pPr>
              <w:rPr>
                <w:sz w:val="22"/>
                <w:szCs w:val="22"/>
              </w:rPr>
            </w:pPr>
            <w:r w:rsidRPr="00230627">
              <w:rPr>
                <w:iCs/>
                <w:sz w:val="22"/>
                <w:szCs w:val="22"/>
              </w:rPr>
              <w:t xml:space="preserve">Rent may only be increased upon entering a new </w:t>
            </w:r>
            <w:proofErr w:type="gramStart"/>
            <w:r w:rsidRPr="00230627">
              <w:rPr>
                <w:iCs/>
                <w:sz w:val="22"/>
                <w:szCs w:val="22"/>
              </w:rPr>
              <w:t>lease,</w:t>
            </w:r>
            <w:proofErr w:type="gramEnd"/>
            <w:r w:rsidRPr="00230627">
              <w:rPr>
                <w:iCs/>
                <w:sz w:val="22"/>
                <w:szCs w:val="22"/>
              </w:rPr>
              <w:t xml:space="preserve"> or for an existing lease no more often than 12 monthly.  </w:t>
            </w:r>
          </w:p>
        </w:tc>
      </w:tr>
      <w:tr w:rsidR="00230627" w:rsidRPr="00230627" w:rsidTr="00010B9E">
        <w:tc>
          <w:tcPr>
            <w:tcW w:w="3080" w:type="dxa"/>
          </w:tcPr>
          <w:p w:rsidR="00230627" w:rsidRPr="00230627" w:rsidRDefault="0077573D" w:rsidP="00230627">
            <w:pPr>
              <w:rPr>
                <w:sz w:val="22"/>
                <w:szCs w:val="22"/>
              </w:rPr>
            </w:pPr>
            <w:r>
              <w:rPr>
                <w:iCs/>
                <w:sz w:val="22"/>
                <w:szCs w:val="22"/>
              </w:rPr>
              <w:lastRenderedPageBreak/>
              <w:t>Rent i</w:t>
            </w:r>
            <w:r w:rsidR="00230627" w:rsidRPr="00230627">
              <w:rPr>
                <w:iCs/>
                <w:sz w:val="22"/>
                <w:szCs w:val="22"/>
              </w:rPr>
              <w:t>ncreases must be supported by publicly available data about comparative rental rates</w:t>
            </w:r>
            <w:r>
              <w:rPr>
                <w:iCs/>
                <w:sz w:val="22"/>
                <w:szCs w:val="22"/>
              </w:rPr>
              <w:t>.</w:t>
            </w:r>
          </w:p>
        </w:tc>
        <w:tc>
          <w:tcPr>
            <w:tcW w:w="2557" w:type="dxa"/>
          </w:tcPr>
          <w:p w:rsidR="00230627" w:rsidRPr="00230627" w:rsidRDefault="00230627" w:rsidP="00230627">
            <w:pPr>
              <w:rPr>
                <w:sz w:val="22"/>
                <w:szCs w:val="22"/>
              </w:rPr>
            </w:pPr>
            <w:r w:rsidRPr="00230627">
              <w:rPr>
                <w:iCs/>
                <w:sz w:val="22"/>
                <w:szCs w:val="22"/>
              </w:rPr>
              <w:t>NRAS Regulations 16(8)</w:t>
            </w:r>
          </w:p>
        </w:tc>
        <w:tc>
          <w:tcPr>
            <w:tcW w:w="3605" w:type="dxa"/>
          </w:tcPr>
          <w:p w:rsidR="00230627" w:rsidRPr="00230627" w:rsidRDefault="00230627" w:rsidP="00230627">
            <w:pPr>
              <w:rPr>
                <w:sz w:val="22"/>
                <w:szCs w:val="22"/>
              </w:rPr>
            </w:pPr>
            <w:r w:rsidRPr="00230627">
              <w:rPr>
                <w:iCs/>
                <w:sz w:val="22"/>
                <w:szCs w:val="22"/>
              </w:rPr>
              <w:t>Where rent has been increased, the Department will be asking for evidence that the increase is supported.  It is important to ensure low income households are protected. You should retain your rent review documents for 7 years.</w:t>
            </w:r>
          </w:p>
        </w:tc>
      </w:tr>
      <w:tr w:rsidR="00230627" w:rsidRPr="00230627" w:rsidTr="00010B9E">
        <w:tc>
          <w:tcPr>
            <w:tcW w:w="3080" w:type="dxa"/>
          </w:tcPr>
          <w:p w:rsidR="00230627" w:rsidRPr="00230627" w:rsidRDefault="00230627" w:rsidP="00230627">
            <w:pPr>
              <w:rPr>
                <w:sz w:val="22"/>
                <w:szCs w:val="22"/>
              </w:rPr>
            </w:pPr>
            <w:r w:rsidRPr="00230627">
              <w:rPr>
                <w:sz w:val="22"/>
                <w:szCs w:val="22"/>
              </w:rPr>
              <w:t>The Market Rent Valuation does not relate to the correct date, or specifies no date at all.</w:t>
            </w:r>
          </w:p>
        </w:tc>
        <w:tc>
          <w:tcPr>
            <w:tcW w:w="2557" w:type="dxa"/>
          </w:tcPr>
          <w:p w:rsidR="00230627" w:rsidRPr="00230627" w:rsidRDefault="00230627" w:rsidP="00230627">
            <w:pPr>
              <w:rPr>
                <w:sz w:val="22"/>
                <w:szCs w:val="22"/>
              </w:rPr>
            </w:pPr>
            <w:r w:rsidRPr="00230627">
              <w:rPr>
                <w:sz w:val="22"/>
                <w:szCs w:val="22"/>
              </w:rPr>
              <w:t xml:space="preserve">Proposed </w:t>
            </w:r>
            <w:r w:rsidR="0077573D">
              <w:rPr>
                <w:sz w:val="22"/>
                <w:szCs w:val="22"/>
              </w:rPr>
              <w:t xml:space="preserve">NRAS </w:t>
            </w:r>
            <w:r w:rsidRPr="00230627">
              <w:rPr>
                <w:sz w:val="22"/>
                <w:szCs w:val="22"/>
              </w:rPr>
              <w:t>Regulation 39</w:t>
            </w:r>
          </w:p>
        </w:tc>
        <w:tc>
          <w:tcPr>
            <w:tcW w:w="3605" w:type="dxa"/>
          </w:tcPr>
          <w:p w:rsidR="00230627" w:rsidRPr="00230627" w:rsidRDefault="00230627" w:rsidP="00230627">
            <w:pPr>
              <w:rPr>
                <w:sz w:val="22"/>
                <w:szCs w:val="22"/>
              </w:rPr>
            </w:pPr>
            <w:r w:rsidRPr="00230627">
              <w:rPr>
                <w:sz w:val="22"/>
                <w:szCs w:val="22"/>
                <w:u w:val="single"/>
              </w:rPr>
              <w:t>1</w:t>
            </w:r>
            <w:r w:rsidRPr="00230627">
              <w:rPr>
                <w:sz w:val="22"/>
                <w:szCs w:val="22"/>
                <w:u w:val="single"/>
                <w:vertAlign w:val="superscript"/>
              </w:rPr>
              <w:t>st</w:t>
            </w:r>
            <w:r w:rsidRPr="00230627">
              <w:rPr>
                <w:sz w:val="22"/>
                <w:szCs w:val="22"/>
                <w:u w:val="single"/>
              </w:rPr>
              <w:t xml:space="preserve"> year valuations</w:t>
            </w:r>
            <w:r w:rsidRPr="00230627">
              <w:rPr>
                <w:sz w:val="22"/>
                <w:szCs w:val="22"/>
              </w:rPr>
              <w:t xml:space="preserve">:  </w:t>
            </w:r>
            <w:r w:rsidRPr="00230627">
              <w:rPr>
                <w:b/>
                <w:sz w:val="22"/>
                <w:szCs w:val="22"/>
              </w:rPr>
              <w:t>For dwellings activated between 1 May 2010 and 30 April 2013</w:t>
            </w:r>
            <w:r w:rsidRPr="00230627">
              <w:rPr>
                <w:sz w:val="22"/>
                <w:szCs w:val="22"/>
              </w:rPr>
              <w:t xml:space="preserve"> inclusive, a market rent valuation that relates to a date 91 days either side of the date the dwelling first became available for rent.</w:t>
            </w:r>
          </w:p>
          <w:p w:rsidR="00230627" w:rsidRPr="00230627" w:rsidRDefault="00230627" w:rsidP="00230627">
            <w:pPr>
              <w:rPr>
                <w:sz w:val="22"/>
                <w:szCs w:val="22"/>
              </w:rPr>
            </w:pPr>
            <w:r w:rsidRPr="00230627">
              <w:rPr>
                <w:sz w:val="22"/>
                <w:szCs w:val="22"/>
                <w:u w:val="single"/>
              </w:rPr>
              <w:t>1</w:t>
            </w:r>
            <w:r w:rsidRPr="00230627">
              <w:rPr>
                <w:sz w:val="22"/>
                <w:szCs w:val="22"/>
                <w:u w:val="single"/>
                <w:vertAlign w:val="superscript"/>
              </w:rPr>
              <w:t>st</w:t>
            </w:r>
            <w:r w:rsidRPr="00230627">
              <w:rPr>
                <w:sz w:val="22"/>
                <w:szCs w:val="22"/>
                <w:u w:val="single"/>
              </w:rPr>
              <w:t xml:space="preserve"> </w:t>
            </w:r>
            <w:r w:rsidR="001F5C7D">
              <w:rPr>
                <w:sz w:val="22"/>
                <w:szCs w:val="22"/>
                <w:u w:val="single"/>
              </w:rPr>
              <w:t>and</w:t>
            </w:r>
            <w:r w:rsidRPr="00230627">
              <w:rPr>
                <w:sz w:val="22"/>
                <w:szCs w:val="22"/>
                <w:u w:val="single"/>
              </w:rPr>
              <w:t xml:space="preserve"> 4</w:t>
            </w:r>
            <w:r w:rsidRPr="00230627">
              <w:rPr>
                <w:sz w:val="22"/>
                <w:szCs w:val="22"/>
                <w:u w:val="single"/>
                <w:vertAlign w:val="superscript"/>
              </w:rPr>
              <w:t>th</w:t>
            </w:r>
            <w:r w:rsidRPr="00230627">
              <w:rPr>
                <w:sz w:val="22"/>
                <w:szCs w:val="22"/>
                <w:u w:val="single"/>
              </w:rPr>
              <w:t xml:space="preserve"> Year valuations</w:t>
            </w:r>
            <w:r w:rsidRPr="00230627">
              <w:rPr>
                <w:sz w:val="22"/>
                <w:szCs w:val="22"/>
              </w:rPr>
              <w:t xml:space="preserve">: </w:t>
            </w:r>
            <w:r w:rsidRPr="00230627">
              <w:rPr>
                <w:b/>
                <w:sz w:val="22"/>
                <w:szCs w:val="22"/>
              </w:rPr>
              <w:t>For dwellings activated between 1</w:t>
            </w:r>
            <w:r w:rsidR="001F5C7D">
              <w:rPr>
                <w:b/>
                <w:sz w:val="22"/>
                <w:szCs w:val="22"/>
              </w:rPr>
              <w:t> </w:t>
            </w:r>
            <w:r w:rsidRPr="00230627">
              <w:rPr>
                <w:b/>
                <w:sz w:val="22"/>
                <w:szCs w:val="22"/>
              </w:rPr>
              <w:t>May 2008 and 30 April 2010</w:t>
            </w:r>
            <w:r w:rsidRPr="00230627">
              <w:rPr>
                <w:sz w:val="22"/>
                <w:szCs w:val="22"/>
              </w:rPr>
              <w:t xml:space="preserve"> inclusive, the following two documents are required:</w:t>
            </w:r>
          </w:p>
          <w:p w:rsidR="00230627" w:rsidRPr="00230627" w:rsidRDefault="00230627" w:rsidP="00230627">
            <w:pPr>
              <w:rPr>
                <w:sz w:val="22"/>
                <w:szCs w:val="22"/>
              </w:rPr>
            </w:pPr>
            <w:r w:rsidRPr="00230627">
              <w:rPr>
                <w:sz w:val="22"/>
                <w:szCs w:val="22"/>
              </w:rPr>
              <w:t>•         A market rent valuation that relates to a date 91 days either side of the date the dwelling first became available for rent; and</w:t>
            </w:r>
          </w:p>
          <w:p w:rsidR="00230627" w:rsidRPr="00230627" w:rsidRDefault="00230627" w:rsidP="00230627">
            <w:pPr>
              <w:rPr>
                <w:sz w:val="22"/>
                <w:szCs w:val="22"/>
              </w:rPr>
            </w:pPr>
            <w:r w:rsidRPr="00230627">
              <w:rPr>
                <w:sz w:val="22"/>
                <w:szCs w:val="22"/>
              </w:rPr>
              <w:t>•         A market rent valuation that relates to a date 91 days either side of the last day of the end of the fourth year of the incentive period for the dwelling.</w:t>
            </w:r>
          </w:p>
        </w:tc>
      </w:tr>
      <w:tr w:rsidR="00230627" w:rsidRPr="00230627" w:rsidTr="00010B9E">
        <w:tc>
          <w:tcPr>
            <w:tcW w:w="3080" w:type="dxa"/>
          </w:tcPr>
          <w:p w:rsidR="00230627" w:rsidRPr="00230627" w:rsidRDefault="00230627" w:rsidP="00230627">
            <w:pPr>
              <w:rPr>
                <w:sz w:val="22"/>
                <w:szCs w:val="22"/>
              </w:rPr>
            </w:pPr>
            <w:r w:rsidRPr="00230627">
              <w:rPr>
                <w:sz w:val="22"/>
                <w:szCs w:val="22"/>
              </w:rPr>
              <w:t>The Market Rent Valuation does not identify key aspects of the dwelling that the valuation is referring to.</w:t>
            </w:r>
          </w:p>
        </w:tc>
        <w:tc>
          <w:tcPr>
            <w:tcW w:w="2557" w:type="dxa"/>
          </w:tcPr>
          <w:p w:rsidR="00230627" w:rsidRPr="00230627" w:rsidRDefault="00230627" w:rsidP="00230627">
            <w:pPr>
              <w:rPr>
                <w:sz w:val="22"/>
                <w:szCs w:val="22"/>
              </w:rPr>
            </w:pPr>
            <w:r w:rsidRPr="00230627">
              <w:rPr>
                <w:sz w:val="22"/>
                <w:szCs w:val="22"/>
              </w:rPr>
              <w:t>NRAS Regulations 18</w:t>
            </w:r>
          </w:p>
        </w:tc>
        <w:tc>
          <w:tcPr>
            <w:tcW w:w="3605" w:type="dxa"/>
          </w:tcPr>
          <w:p w:rsidR="00230627" w:rsidRPr="00230627" w:rsidRDefault="00230627" w:rsidP="00654116">
            <w:pPr>
              <w:rPr>
                <w:sz w:val="22"/>
                <w:szCs w:val="22"/>
              </w:rPr>
            </w:pPr>
            <w:r w:rsidRPr="00230627">
              <w:rPr>
                <w:sz w:val="22"/>
                <w:szCs w:val="22"/>
              </w:rPr>
              <w:t>The specific dwelling address (including unit and street number), to which the valuation relates.</w:t>
            </w:r>
          </w:p>
        </w:tc>
      </w:tr>
    </w:tbl>
    <w:p w:rsidR="00271F29" w:rsidRDefault="00271F29" w:rsidP="00271F29">
      <w:pPr>
        <w:pStyle w:val="Default"/>
        <w:rPr>
          <w:sz w:val="23"/>
          <w:szCs w:val="23"/>
        </w:rPr>
      </w:pPr>
    </w:p>
    <w:p w:rsidR="00271F29" w:rsidRPr="00271F29" w:rsidRDefault="00271F29" w:rsidP="00271F29">
      <w:pPr>
        <w:pStyle w:val="Default"/>
        <w:rPr>
          <w:sz w:val="23"/>
          <w:szCs w:val="23"/>
        </w:rPr>
      </w:pPr>
      <w:r>
        <w:rPr>
          <w:sz w:val="23"/>
          <w:szCs w:val="23"/>
        </w:rPr>
        <w:t>I have attached a factsheet that will provide you with more detailed information about the amendments and how they will be implemented.  This fact sheet will also be available on the NRAS webpage (</w:t>
      </w:r>
      <w:hyperlink r:id="rId9" w:history="1">
        <w:r>
          <w:rPr>
            <w:rStyle w:val="Hyperlink"/>
            <w:sz w:val="23"/>
            <w:szCs w:val="23"/>
          </w:rPr>
          <w:t>www.dss.gov.au/nras</w:t>
        </w:r>
      </w:hyperlink>
      <w:r>
        <w:rPr>
          <w:sz w:val="23"/>
          <w:szCs w:val="23"/>
        </w:rPr>
        <w:t xml:space="preserve">). </w:t>
      </w:r>
    </w:p>
    <w:p w:rsidR="001F5C7D" w:rsidRPr="0077573D" w:rsidRDefault="001F5C7D" w:rsidP="0077573D">
      <w:pPr>
        <w:spacing w:before="0"/>
        <w:rPr>
          <w:sz w:val="22"/>
          <w:szCs w:val="22"/>
        </w:rPr>
      </w:pPr>
    </w:p>
    <w:p w:rsidR="00A50B82" w:rsidRPr="0077573D" w:rsidRDefault="00A50B82" w:rsidP="00A50B82">
      <w:pPr>
        <w:spacing w:before="0"/>
        <w:rPr>
          <w:sz w:val="22"/>
          <w:szCs w:val="22"/>
        </w:rPr>
      </w:pPr>
      <w:r w:rsidRPr="0077573D">
        <w:rPr>
          <w:sz w:val="22"/>
          <w:szCs w:val="22"/>
        </w:rPr>
        <w:t>Yours sincerely</w:t>
      </w:r>
    </w:p>
    <w:p w:rsidR="00A50B82" w:rsidRPr="0077573D" w:rsidRDefault="00A50B82" w:rsidP="00A50B82">
      <w:pPr>
        <w:spacing w:before="0"/>
        <w:rPr>
          <w:sz w:val="22"/>
          <w:szCs w:val="22"/>
        </w:rPr>
      </w:pPr>
    </w:p>
    <w:p w:rsidR="00831787" w:rsidRPr="0077573D" w:rsidRDefault="00831787" w:rsidP="00A50B82">
      <w:pPr>
        <w:spacing w:before="0"/>
        <w:rPr>
          <w:sz w:val="22"/>
          <w:szCs w:val="22"/>
        </w:rPr>
      </w:pPr>
    </w:p>
    <w:p w:rsidR="00A50B82" w:rsidRPr="0077573D" w:rsidRDefault="00A50B82" w:rsidP="00A50B82">
      <w:pPr>
        <w:spacing w:before="0"/>
        <w:rPr>
          <w:sz w:val="22"/>
          <w:szCs w:val="22"/>
        </w:rPr>
      </w:pPr>
    </w:p>
    <w:p w:rsidR="00A50B82" w:rsidRPr="0077573D" w:rsidRDefault="00A50B82" w:rsidP="00A50B82">
      <w:pPr>
        <w:spacing w:before="0"/>
        <w:rPr>
          <w:sz w:val="22"/>
          <w:szCs w:val="22"/>
        </w:rPr>
      </w:pPr>
      <w:r w:rsidRPr="0077573D">
        <w:rPr>
          <w:sz w:val="22"/>
          <w:szCs w:val="22"/>
        </w:rPr>
        <w:t>John Riley</w:t>
      </w:r>
    </w:p>
    <w:p w:rsidR="00A50B82" w:rsidRPr="0077573D" w:rsidRDefault="00A50B82" w:rsidP="00A50B82">
      <w:pPr>
        <w:spacing w:before="0"/>
        <w:rPr>
          <w:sz w:val="22"/>
          <w:szCs w:val="22"/>
        </w:rPr>
      </w:pPr>
      <w:r w:rsidRPr="0077573D">
        <w:rPr>
          <w:sz w:val="22"/>
          <w:szCs w:val="22"/>
        </w:rPr>
        <w:t>Branch Manager</w:t>
      </w:r>
    </w:p>
    <w:p w:rsidR="001F5C7D" w:rsidRPr="0077573D" w:rsidRDefault="00A50B82" w:rsidP="00A50B82">
      <w:pPr>
        <w:spacing w:before="0"/>
        <w:rPr>
          <w:sz w:val="22"/>
          <w:szCs w:val="22"/>
        </w:rPr>
      </w:pPr>
      <w:r w:rsidRPr="0077573D">
        <w:rPr>
          <w:sz w:val="22"/>
          <w:szCs w:val="22"/>
        </w:rPr>
        <w:t>NRAS and Gambling</w:t>
      </w:r>
    </w:p>
    <w:p w:rsidR="00636A02" w:rsidRPr="0077573D" w:rsidRDefault="00654116" w:rsidP="0077573D">
      <w:pPr>
        <w:spacing w:before="0"/>
        <w:rPr>
          <w:sz w:val="22"/>
          <w:szCs w:val="22"/>
        </w:rPr>
      </w:pPr>
      <w:r>
        <w:rPr>
          <w:sz w:val="22"/>
          <w:szCs w:val="22"/>
        </w:rPr>
        <w:t xml:space="preserve">    </w:t>
      </w:r>
      <w:r w:rsidR="001F5C7D" w:rsidRPr="0077573D">
        <w:rPr>
          <w:sz w:val="22"/>
          <w:szCs w:val="22"/>
        </w:rPr>
        <w:t xml:space="preserve"> </w:t>
      </w:r>
      <w:r>
        <w:rPr>
          <w:sz w:val="22"/>
          <w:szCs w:val="22"/>
        </w:rPr>
        <w:t>November</w:t>
      </w:r>
      <w:r w:rsidR="00A50B82" w:rsidRPr="0077573D">
        <w:rPr>
          <w:sz w:val="22"/>
          <w:szCs w:val="22"/>
        </w:rPr>
        <w:t xml:space="preserve"> 2014</w:t>
      </w:r>
    </w:p>
    <w:sectPr w:rsidR="00636A02" w:rsidRPr="0077573D" w:rsidSect="00271F29">
      <w:headerReference w:type="default" r:id="rId10"/>
      <w:footerReference w:type="default" r:id="rId11"/>
      <w:headerReference w:type="first" r:id="rId12"/>
      <w:footerReference w:type="first" r:id="rId13"/>
      <w:pgSz w:w="11907" w:h="16840" w:code="9"/>
      <w:pgMar w:top="1134" w:right="1134" w:bottom="1134" w:left="1134" w:header="720"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99" w:rsidRDefault="00691D99">
      <w:r>
        <w:separator/>
      </w:r>
    </w:p>
  </w:endnote>
  <w:endnote w:type="continuationSeparator" w:id="0">
    <w:p w:rsidR="00691D99" w:rsidRDefault="0069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pPr>
      <w:pStyle w:val="Footer"/>
      <w:tabs>
        <w:tab w:val="clear" w:pos="4320"/>
        <w:tab w:val="clear" w:pos="8640"/>
      </w:tabs>
      <w:ind w:right="-1"/>
      <w:jc w:val="right"/>
    </w:pPr>
    <w:r>
      <w:rPr>
        <w:snapToGrid w:val="0"/>
      </w:rPr>
      <w:fldChar w:fldCharType="begin"/>
    </w:r>
    <w:r>
      <w:rPr>
        <w:snapToGrid w:val="0"/>
      </w:rPr>
      <w:instrText xml:space="preserve"> PAGE </w:instrText>
    </w:r>
    <w:r>
      <w:rPr>
        <w:snapToGrid w:val="0"/>
      </w:rPr>
      <w:fldChar w:fldCharType="separate"/>
    </w:r>
    <w:r w:rsidR="00B02C47">
      <w:rPr>
        <w:noProof/>
        <w:snapToGrid w:val="0"/>
      </w:rPr>
      <w:t>2</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rsidP="006C565D">
    <w:pPr>
      <w:pStyle w:val="ContactDetails"/>
      <w:framePr w:w="9363" w:h="981" w:wrap="around" w:x="1165" w:y="15665"/>
      <w:tabs>
        <w:tab w:val="clear" w:pos="4320"/>
        <w:tab w:val="clear" w:pos="8640"/>
      </w:tabs>
      <w:spacing w:line="200" w:lineRule="exact"/>
      <w:jc w:val="center"/>
    </w:pPr>
    <w:smartTag w:uri="urn:schemas-microsoft-com:office:smarttags" w:element="address">
      <w:smartTag w:uri="urn:schemas-microsoft-com:office:smarttags" w:element="Street">
        <w:r>
          <w:t>PO Box 7576</w:t>
        </w:r>
      </w:smartTag>
      <w:r>
        <w:t xml:space="preserve"> </w:t>
      </w:r>
      <w:smartTag w:uri="urn:schemas-microsoft-com:office:smarttags" w:element="City">
        <w:r>
          <w:t>Canberra</w:t>
        </w:r>
      </w:smartTag>
    </w:smartTag>
    <w:r>
      <w:t xml:space="preserve"> Business Centre ACT 2610 </w:t>
    </w:r>
  </w:p>
  <w:p w:rsidR="002943C1" w:rsidRDefault="006C565D" w:rsidP="006C565D">
    <w:pPr>
      <w:pStyle w:val="ContactDetails"/>
      <w:framePr w:w="9363" w:h="981" w:wrap="around" w:x="1165" w:y="15665"/>
      <w:tabs>
        <w:tab w:val="clear" w:pos="4320"/>
        <w:tab w:val="clear" w:pos="8640"/>
      </w:tabs>
      <w:spacing w:line="200" w:lineRule="exact"/>
      <w:jc w:val="center"/>
    </w:pPr>
    <w:r>
      <w:t xml:space="preserve">Email </w:t>
    </w:r>
    <w:r>
      <w:sym w:font="Wingdings" w:char="F09F"/>
    </w:r>
    <w:r>
      <w:t xml:space="preserve"> </w:t>
    </w:r>
    <w:r w:rsidR="002943C1">
      <w:t xml:space="preserve">Facsimile </w:t>
    </w:r>
    <w:r w:rsidR="002943C1">
      <w:sym w:font="Wingdings" w:char="F09F"/>
    </w:r>
    <w:r w:rsidR="002943C1">
      <w:t xml:space="preserve"> Telephone 1300 653 227</w:t>
    </w:r>
  </w:p>
  <w:p w:rsidR="002943C1" w:rsidRDefault="002943C1" w:rsidP="006C565D">
    <w:pPr>
      <w:pStyle w:val="ContactDetails"/>
      <w:framePr w:w="9363" w:h="981" w:wrap="around" w:x="1165" w:y="15665"/>
      <w:tabs>
        <w:tab w:val="clear" w:pos="4320"/>
        <w:tab w:val="clear" w:pos="8640"/>
      </w:tabs>
      <w:spacing w:line="200" w:lineRule="exact"/>
      <w:jc w:val="center"/>
    </w:pPr>
    <w:r>
      <w:t>National Relay Service: TTY: 133 677, Speak and listen: 1300 555 727, Internet relay: www.relayservice.com.au</w:t>
    </w:r>
  </w:p>
  <w:p w:rsidR="002943C1" w:rsidRDefault="002943C1" w:rsidP="006C565D">
    <w:pPr>
      <w:pStyle w:val="ContactDetails"/>
      <w:framePr w:w="9363" w:h="981" w:wrap="around" w:x="1165" w:y="15665"/>
      <w:tabs>
        <w:tab w:val="clear" w:pos="4320"/>
        <w:tab w:val="clear" w:pos="8640"/>
      </w:tabs>
      <w:spacing w:line="200" w:lineRule="exact"/>
      <w:jc w:val="center"/>
    </w:pPr>
    <w:r>
      <w:t>www.</w:t>
    </w:r>
    <w:r w:rsidR="002607E9">
      <w:t>dss</w:t>
    </w:r>
    <w:r>
      <w:t>.gov.au</w:t>
    </w:r>
  </w:p>
  <w:p w:rsidR="002943C1" w:rsidRDefault="002943C1">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99" w:rsidRDefault="00691D99">
      <w:r>
        <w:separator/>
      </w:r>
    </w:p>
  </w:footnote>
  <w:footnote w:type="continuationSeparator" w:id="0">
    <w:p w:rsidR="00691D99" w:rsidRDefault="0069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Pr="00831787" w:rsidRDefault="00B02C47" w:rsidP="00831787">
    <w:pPr>
      <w:pStyle w:val="Header"/>
      <w:tabs>
        <w:tab w:val="clear" w:pos="4320"/>
        <w:tab w:val="clear" w:pos="8640"/>
      </w:tabs>
      <w:ind w:left="-142"/>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5pt;height:57.25pt">
          <v:imagedata r:id="rId1" o:title="DSS logo_strip 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2">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8"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627"/>
    <w:rsid w:val="001F5C7D"/>
    <w:rsid w:val="00206C3F"/>
    <w:rsid w:val="00230627"/>
    <w:rsid w:val="002607E9"/>
    <w:rsid w:val="00271F29"/>
    <w:rsid w:val="002943C1"/>
    <w:rsid w:val="003861E4"/>
    <w:rsid w:val="00636A02"/>
    <w:rsid w:val="00654116"/>
    <w:rsid w:val="00691D99"/>
    <w:rsid w:val="006B1146"/>
    <w:rsid w:val="006C565D"/>
    <w:rsid w:val="00751229"/>
    <w:rsid w:val="0077573D"/>
    <w:rsid w:val="007A239C"/>
    <w:rsid w:val="00810571"/>
    <w:rsid w:val="00831787"/>
    <w:rsid w:val="009B50DC"/>
    <w:rsid w:val="00A50B82"/>
    <w:rsid w:val="00A831DE"/>
    <w:rsid w:val="00AC2212"/>
    <w:rsid w:val="00AE124C"/>
    <w:rsid w:val="00AF2F7C"/>
    <w:rsid w:val="00B02C47"/>
    <w:rsid w:val="00B92410"/>
    <w:rsid w:val="00CD7828"/>
    <w:rsid w:val="00D63059"/>
    <w:rsid w:val="00E31286"/>
    <w:rsid w:val="00FD4D69"/>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table" w:styleId="TableGrid">
    <w:name w:val="Table Grid"/>
    <w:basedOn w:val="TableNormal"/>
    <w:rsid w:val="0023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C7D"/>
    <w:pPr>
      <w:spacing w:before="0"/>
    </w:pPr>
    <w:rPr>
      <w:rFonts w:ascii="Tahoma" w:hAnsi="Tahoma" w:cs="Tahoma"/>
      <w:sz w:val="16"/>
      <w:szCs w:val="16"/>
    </w:rPr>
  </w:style>
  <w:style w:type="character" w:customStyle="1" w:styleId="BalloonTextChar">
    <w:name w:val="Balloon Text Char"/>
    <w:basedOn w:val="DefaultParagraphFont"/>
    <w:link w:val="BalloonText"/>
    <w:rsid w:val="001F5C7D"/>
    <w:rPr>
      <w:rFonts w:ascii="Tahoma" w:hAnsi="Tahoma" w:cs="Tahoma"/>
      <w:sz w:val="16"/>
      <w:szCs w:val="16"/>
      <w:lang w:eastAsia="en-US"/>
    </w:rPr>
  </w:style>
  <w:style w:type="paragraph" w:customStyle="1" w:styleId="Default">
    <w:name w:val="Default"/>
    <w:rsid w:val="008317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0451">
      <w:bodyDiv w:val="1"/>
      <w:marLeft w:val="0"/>
      <w:marRight w:val="0"/>
      <w:marTop w:val="0"/>
      <w:marBottom w:val="0"/>
      <w:divBdr>
        <w:top w:val="none" w:sz="0" w:space="0" w:color="auto"/>
        <w:left w:val="none" w:sz="0" w:space="0" w:color="auto"/>
        <w:bottom w:val="none" w:sz="0" w:space="0" w:color="auto"/>
        <w:right w:val="none" w:sz="0" w:space="0" w:color="auto"/>
      </w:divBdr>
    </w:div>
    <w:div w:id="1534804140">
      <w:bodyDiv w:val="1"/>
      <w:marLeft w:val="0"/>
      <w:marRight w:val="0"/>
      <w:marTop w:val="0"/>
      <w:marBottom w:val="0"/>
      <w:divBdr>
        <w:top w:val="none" w:sz="0" w:space="0" w:color="auto"/>
        <w:left w:val="none" w:sz="0" w:space="0" w:color="auto"/>
        <w:bottom w:val="none" w:sz="0" w:space="0" w:color="auto"/>
        <w:right w:val="none" w:sz="0" w:space="0" w:color="auto"/>
      </w:divBdr>
    </w:div>
    <w:div w:id="17538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s.gov.au/nra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219-FE19-4557-9369-AB3C1CCA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Letterhead template.DOTX</Template>
  <TotalTime>0</TotalTime>
  <Pages>2</Pages>
  <Words>800</Words>
  <Characters>4253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FaHCSIA</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creator>GJURCINOVSKI, Dusko</dc:creator>
  <cp:lastModifiedBy>MILLER, Victoria</cp:lastModifiedBy>
  <cp:revision>2</cp:revision>
  <cp:lastPrinted>2014-11-02T23:39:00Z</cp:lastPrinted>
  <dcterms:created xsi:type="dcterms:W3CDTF">2014-11-03T02:25:00Z</dcterms:created>
  <dcterms:modified xsi:type="dcterms:W3CDTF">2014-11-03T02:25:00Z</dcterms:modified>
</cp:coreProperties>
</file>