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3A72" w14:textId="77777777" w:rsidR="00B4551E" w:rsidRPr="00E108C1" w:rsidRDefault="00B4551E" w:rsidP="00B4551E">
      <w:pPr>
        <w:spacing w:after="0" w:line="240" w:lineRule="auto"/>
        <w:jc w:val="center"/>
        <w:rPr>
          <w:rFonts w:ascii="Times New Roman" w:hAnsi="Times New Roman" w:cs="Times New Roman"/>
          <w:b/>
          <w:sz w:val="24"/>
        </w:rPr>
      </w:pPr>
      <w:bookmarkStart w:id="0" w:name="_GoBack"/>
      <w:bookmarkEnd w:id="0"/>
    </w:p>
    <w:p w14:paraId="5AB8E0E2" w14:textId="4CE2B1F7" w:rsidR="007B0256" w:rsidRPr="00E108C1" w:rsidRDefault="00B17EB5" w:rsidP="00022B33">
      <w:pPr>
        <w:jc w:val="center"/>
        <w:rPr>
          <w:rFonts w:ascii="Times New Roman" w:hAnsi="Times New Roman" w:cs="Times New Roman"/>
          <w:b/>
          <w:sz w:val="24"/>
        </w:rPr>
      </w:pPr>
      <w:r w:rsidRPr="00E108C1">
        <w:rPr>
          <w:rFonts w:ascii="Times New Roman" w:hAnsi="Times New Roman" w:cs="Times New Roman"/>
          <w:b/>
          <w:sz w:val="24"/>
        </w:rPr>
        <w:t>Evaluation Report of the efficacy of 2015 changes to the Disability Support Pension assessment process</w:t>
      </w:r>
      <w:r w:rsidR="00BD0F25" w:rsidRPr="00E108C1">
        <w:rPr>
          <w:rFonts w:ascii="Times New Roman" w:hAnsi="Times New Roman" w:cs="Times New Roman"/>
          <w:b/>
          <w:sz w:val="24"/>
        </w:rPr>
        <w:t xml:space="preserve"> – Current Status</w:t>
      </w:r>
    </w:p>
    <w:tbl>
      <w:tblPr>
        <w:tblW w:w="5000" w:type="pct"/>
        <w:tblCellMar>
          <w:left w:w="0" w:type="dxa"/>
          <w:right w:w="0" w:type="dxa"/>
        </w:tblCellMar>
        <w:tblLook w:val="04A0" w:firstRow="1" w:lastRow="0" w:firstColumn="1" w:lastColumn="0" w:noHBand="0" w:noVBand="1"/>
        <w:tblCaption w:val="Table "/>
        <w:tblDescription w:val="Table listing recommendations in the HOI evaluation report, recommendation detail and status of each recommendation"/>
      </w:tblPr>
      <w:tblGrid>
        <w:gridCol w:w="4385"/>
        <w:gridCol w:w="9240"/>
        <w:gridCol w:w="8726"/>
      </w:tblGrid>
      <w:tr w:rsidR="00022B33" w:rsidRPr="00FF3B3B" w14:paraId="521417D2" w14:textId="77777777" w:rsidTr="00F46406">
        <w:tc>
          <w:tcPr>
            <w:tcW w:w="9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982428" w14:textId="77777777" w:rsidR="00022B33" w:rsidRPr="00E108C1" w:rsidRDefault="00022B33" w:rsidP="00F46406">
            <w:pPr>
              <w:jc w:val="center"/>
              <w:rPr>
                <w:rFonts w:ascii="Times New Roman" w:hAnsi="Times New Roman" w:cs="Times New Roman"/>
                <w:color w:val="1F497D"/>
                <w:sz w:val="20"/>
                <w:szCs w:val="20"/>
              </w:rPr>
            </w:pPr>
            <w:r w:rsidRPr="00FF3B3B">
              <w:rPr>
                <w:rFonts w:ascii="Times New Roman" w:hAnsi="Times New Roman" w:cs="Times New Roman"/>
                <w:b/>
                <w:bCs/>
                <w:sz w:val="24"/>
                <w:szCs w:val="24"/>
              </w:rPr>
              <w:t>Recommendation  and Responsibility</w:t>
            </w:r>
          </w:p>
        </w:tc>
        <w:tc>
          <w:tcPr>
            <w:tcW w:w="2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FD524" w14:textId="77777777" w:rsidR="00022B33" w:rsidRPr="00E108C1" w:rsidRDefault="00022B33" w:rsidP="00F46406">
            <w:pPr>
              <w:jc w:val="center"/>
              <w:rPr>
                <w:rFonts w:ascii="Times New Roman" w:hAnsi="Times New Roman" w:cs="Times New Roman"/>
                <w:color w:val="1F497D"/>
                <w:sz w:val="20"/>
                <w:szCs w:val="20"/>
              </w:rPr>
            </w:pPr>
            <w:r w:rsidRPr="00FF3B3B">
              <w:rPr>
                <w:rFonts w:ascii="Times New Roman" w:hAnsi="Times New Roman" w:cs="Times New Roman"/>
                <w:b/>
                <w:bCs/>
                <w:sz w:val="24"/>
                <w:szCs w:val="24"/>
              </w:rPr>
              <w:t>Recommendation Detail</w:t>
            </w:r>
          </w:p>
        </w:tc>
        <w:tc>
          <w:tcPr>
            <w:tcW w:w="1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0B247" w14:textId="26EF7B91" w:rsidR="00022B33" w:rsidRPr="00E108C1" w:rsidRDefault="00BD0F25" w:rsidP="00F46406">
            <w:pPr>
              <w:jc w:val="center"/>
              <w:rPr>
                <w:rFonts w:ascii="Times New Roman" w:hAnsi="Times New Roman" w:cs="Times New Roman"/>
                <w:color w:val="1F497D"/>
                <w:sz w:val="20"/>
                <w:szCs w:val="20"/>
              </w:rPr>
            </w:pPr>
            <w:r w:rsidRPr="00FF3B3B">
              <w:rPr>
                <w:rFonts w:ascii="Times New Roman" w:hAnsi="Times New Roman" w:cs="Times New Roman"/>
                <w:b/>
                <w:bCs/>
                <w:sz w:val="24"/>
                <w:szCs w:val="24"/>
              </w:rPr>
              <w:t>Status</w:t>
            </w:r>
          </w:p>
        </w:tc>
      </w:tr>
      <w:tr w:rsidR="00022B33" w:rsidRPr="00FF3B3B" w14:paraId="4EC5F2B0" w14:textId="77777777" w:rsidTr="00C6108F">
        <w:trPr>
          <w:trHeight w:val="1341"/>
        </w:trPr>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2BECF"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1</w:t>
            </w:r>
          </w:p>
          <w:p w14:paraId="00BEFE25" w14:textId="77777777" w:rsidR="00022B33" w:rsidRPr="00E108C1" w:rsidRDefault="00022B33" w:rsidP="00F46406">
            <w:pPr>
              <w:rPr>
                <w:rFonts w:ascii="Times New Roman" w:hAnsi="Times New Roman" w:cs="Times New Roman"/>
                <w:color w:val="1F497D"/>
                <w:sz w:val="20"/>
                <w:szCs w:val="20"/>
              </w:rPr>
            </w:pPr>
            <w:r w:rsidRPr="00FF3B3B">
              <w:rPr>
                <w:rFonts w:ascii="Times New Roman" w:hAnsi="Times New Roman" w:cs="Times New Roman"/>
                <w:sz w:val="24"/>
                <w:szCs w:val="24"/>
              </w:rPr>
              <w:t>DSS</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14:paraId="3A2876FB"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t>Consider introducing a new reporting template for Treating Health Professionals (THP) for use in conjunction with medical evidence to support greater consistency and relevance of information provided in regards to an application, and to reduce the burden of collating medical evidence for applicants.</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14:paraId="0CF28431" w14:textId="252E247A" w:rsidR="00022B33" w:rsidRPr="005815DE" w:rsidRDefault="00FF3B3B" w:rsidP="00FF3B3B">
            <w:pPr>
              <w:rPr>
                <w:rFonts w:ascii="Times New Roman" w:hAnsi="Times New Roman" w:cs="Times New Roman"/>
                <w:sz w:val="24"/>
                <w:szCs w:val="24"/>
              </w:rPr>
            </w:pPr>
            <w:r w:rsidRPr="005815DE">
              <w:rPr>
                <w:rFonts w:ascii="Times New Roman" w:hAnsi="Times New Roman" w:cs="Times New Roman"/>
                <w:bCs/>
                <w:sz w:val="24"/>
                <w:szCs w:val="24"/>
              </w:rPr>
              <w:t>T</w:t>
            </w:r>
            <w:r w:rsidR="00852F44" w:rsidRPr="005815DE">
              <w:rPr>
                <w:rFonts w:ascii="Times New Roman" w:hAnsi="Times New Roman" w:cs="Times New Roman"/>
                <w:bCs/>
                <w:sz w:val="24"/>
                <w:szCs w:val="24"/>
              </w:rPr>
              <w:t>o be considered</w:t>
            </w:r>
            <w:r w:rsidRPr="005815DE">
              <w:rPr>
                <w:rFonts w:ascii="Times New Roman" w:hAnsi="Times New Roman" w:cs="Times New Roman"/>
                <w:bCs/>
                <w:sz w:val="24"/>
                <w:szCs w:val="24"/>
              </w:rPr>
              <w:t xml:space="preserve"> following the review of the Impairment Tables</w:t>
            </w:r>
            <w:r w:rsidR="00BD2C42" w:rsidRPr="005815DE">
              <w:rPr>
                <w:rFonts w:ascii="Times New Roman" w:hAnsi="Times New Roman" w:cs="Times New Roman"/>
                <w:bCs/>
                <w:sz w:val="24"/>
                <w:szCs w:val="24"/>
              </w:rPr>
              <w:t>.</w:t>
            </w:r>
          </w:p>
        </w:tc>
      </w:tr>
      <w:tr w:rsidR="00022B33" w:rsidRPr="00FF3B3B" w14:paraId="2AD78C62" w14:textId="77777777" w:rsidTr="00C6108F">
        <w:trPr>
          <w:trHeight w:val="837"/>
        </w:trPr>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C2E32"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2</w:t>
            </w:r>
          </w:p>
          <w:p w14:paraId="5784E8FD" w14:textId="77777777" w:rsidR="00022B33" w:rsidRPr="00E108C1" w:rsidRDefault="00022B33" w:rsidP="00F46406">
            <w:pPr>
              <w:rPr>
                <w:rFonts w:ascii="Times New Roman" w:hAnsi="Times New Roman" w:cs="Times New Roman"/>
                <w:color w:val="1F497D"/>
                <w:sz w:val="20"/>
                <w:szCs w:val="20"/>
              </w:rPr>
            </w:pPr>
            <w:r w:rsidRPr="00FF3B3B">
              <w:rPr>
                <w:rFonts w:ascii="Times New Roman" w:hAnsi="Times New Roman" w:cs="Times New Roman"/>
                <w:sz w:val="24"/>
                <w:szCs w:val="24"/>
              </w:rPr>
              <w:t>DSS</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14:paraId="20EB0DED"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t>Consider using GCDs to also do Disability Medical Assessments (DMAs) on claims rejected by JCAs (Assessors) as being medically ineligible, to further improve accuracy of decisions.</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14:paraId="38478574" w14:textId="49C61A86" w:rsidR="00022B33" w:rsidRPr="00FF3B3B" w:rsidRDefault="00FF3B3B" w:rsidP="00443691">
            <w:pPr>
              <w:rPr>
                <w:rFonts w:ascii="Times New Roman" w:hAnsi="Times New Roman" w:cs="Times New Roman"/>
                <w:sz w:val="24"/>
                <w:szCs w:val="24"/>
              </w:rPr>
            </w:pPr>
            <w:r w:rsidRPr="00FF3B3B">
              <w:rPr>
                <w:rFonts w:ascii="Times New Roman" w:hAnsi="Times New Roman" w:cs="Times New Roman"/>
                <w:bCs/>
                <w:sz w:val="24"/>
                <w:szCs w:val="24"/>
              </w:rPr>
              <w:t>T</w:t>
            </w:r>
            <w:r w:rsidRPr="005815DE">
              <w:rPr>
                <w:rFonts w:ascii="Times New Roman" w:hAnsi="Times New Roman" w:cs="Times New Roman"/>
                <w:bCs/>
                <w:sz w:val="24"/>
                <w:szCs w:val="24"/>
              </w:rPr>
              <w:t>o be considered following the review of the Impairment Tables.</w:t>
            </w:r>
          </w:p>
        </w:tc>
      </w:tr>
      <w:tr w:rsidR="00022B33" w:rsidRPr="00FF3B3B" w14:paraId="672F9B64" w14:textId="77777777" w:rsidTr="00F46406">
        <w:tc>
          <w:tcPr>
            <w:tcW w:w="98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A314BE4"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3</w:t>
            </w:r>
          </w:p>
          <w:p w14:paraId="40393DD3" w14:textId="77777777" w:rsidR="00022B33" w:rsidRPr="00E108C1" w:rsidRDefault="00022B33" w:rsidP="00F46406">
            <w:pPr>
              <w:rPr>
                <w:rFonts w:ascii="Times New Roman" w:hAnsi="Times New Roman" w:cs="Times New Roman"/>
                <w:color w:val="1F497D"/>
                <w:sz w:val="20"/>
                <w:szCs w:val="20"/>
              </w:rPr>
            </w:pPr>
            <w:r w:rsidRPr="00FF3B3B">
              <w:rPr>
                <w:rFonts w:ascii="Times New Roman" w:hAnsi="Times New Roman" w:cs="Times New Roman"/>
                <w:sz w:val="24"/>
                <w:szCs w:val="24"/>
              </w:rPr>
              <w:t>Services Australia</w:t>
            </w:r>
          </w:p>
        </w:tc>
        <w:tc>
          <w:tcPr>
            <w:tcW w:w="2067" w:type="pct"/>
            <w:tcBorders>
              <w:top w:val="nil"/>
              <w:left w:val="nil"/>
              <w:bottom w:val="single" w:sz="4" w:space="0" w:color="auto"/>
              <w:right w:val="single" w:sz="8" w:space="0" w:color="auto"/>
            </w:tcBorders>
            <w:tcMar>
              <w:top w:w="0" w:type="dxa"/>
              <w:left w:w="108" w:type="dxa"/>
              <w:bottom w:w="0" w:type="dxa"/>
              <w:right w:w="108" w:type="dxa"/>
            </w:tcMar>
            <w:hideMark/>
          </w:tcPr>
          <w:p w14:paraId="6F0592E1"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t>Participate and benefit from shared learning and development work in relation to functional assessment tools or similar review mechanisms between clinical governance groups within the NDIS and Services Australia.</w:t>
            </w:r>
          </w:p>
        </w:tc>
        <w:tc>
          <w:tcPr>
            <w:tcW w:w="1952" w:type="pct"/>
            <w:tcBorders>
              <w:top w:val="nil"/>
              <w:left w:val="nil"/>
              <w:bottom w:val="single" w:sz="4" w:space="0" w:color="auto"/>
              <w:right w:val="single" w:sz="8" w:space="0" w:color="auto"/>
            </w:tcBorders>
            <w:tcMar>
              <w:top w:w="0" w:type="dxa"/>
              <w:left w:w="108" w:type="dxa"/>
              <w:bottom w:w="0" w:type="dxa"/>
              <w:right w:w="108" w:type="dxa"/>
            </w:tcMar>
          </w:tcPr>
          <w:p w14:paraId="1CD9B634" w14:textId="3C1C3D07" w:rsidR="00022B33" w:rsidRPr="00FF3B3B" w:rsidRDefault="00FF3B3B" w:rsidP="00443691">
            <w:pPr>
              <w:rPr>
                <w:rFonts w:ascii="Times New Roman" w:hAnsi="Times New Roman" w:cs="Times New Roman"/>
                <w:sz w:val="24"/>
                <w:szCs w:val="24"/>
              </w:rPr>
            </w:pPr>
            <w:r w:rsidRPr="00FF3B3B">
              <w:rPr>
                <w:rFonts w:ascii="Times New Roman" w:hAnsi="Times New Roman" w:cs="Times New Roman"/>
                <w:bCs/>
                <w:sz w:val="24"/>
                <w:szCs w:val="24"/>
              </w:rPr>
              <w:t>T</w:t>
            </w:r>
            <w:r w:rsidRPr="005815DE">
              <w:rPr>
                <w:rFonts w:ascii="Times New Roman" w:hAnsi="Times New Roman" w:cs="Times New Roman"/>
                <w:bCs/>
                <w:sz w:val="24"/>
                <w:szCs w:val="24"/>
              </w:rPr>
              <w:t>o be considered following the review of the Impairment Tables.</w:t>
            </w:r>
          </w:p>
        </w:tc>
      </w:tr>
      <w:tr w:rsidR="00022B33" w:rsidRPr="00FF3B3B" w14:paraId="00E1C02D" w14:textId="77777777" w:rsidTr="00F46406">
        <w:tc>
          <w:tcPr>
            <w:tcW w:w="9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93581"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4</w:t>
            </w:r>
          </w:p>
          <w:p w14:paraId="67365819" w14:textId="77777777" w:rsidR="00022B33" w:rsidRPr="005815DE" w:rsidRDefault="00022B33" w:rsidP="00F46406">
            <w:pPr>
              <w:rPr>
                <w:rFonts w:ascii="Times New Roman" w:hAnsi="Times New Roman" w:cs="Times New Roman"/>
                <w:sz w:val="24"/>
                <w:szCs w:val="24"/>
                <w:lang w:eastAsia="en-AU"/>
              </w:rPr>
            </w:pPr>
            <w:r w:rsidRPr="00FF3B3B">
              <w:rPr>
                <w:rFonts w:ascii="Times New Roman" w:hAnsi="Times New Roman" w:cs="Times New Roman"/>
                <w:sz w:val="24"/>
                <w:szCs w:val="24"/>
              </w:rPr>
              <w:t>Services Australia</w:t>
            </w:r>
          </w:p>
        </w:tc>
        <w:tc>
          <w:tcPr>
            <w:tcW w:w="20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ADEA6CD" w14:textId="77777777" w:rsidR="00022B33" w:rsidRPr="00FF3B3B" w:rsidRDefault="00022B33">
            <w:pPr>
              <w:rPr>
                <w:rFonts w:ascii="Times New Roman" w:hAnsi="Times New Roman" w:cs="Times New Roman"/>
                <w:sz w:val="24"/>
                <w:szCs w:val="24"/>
              </w:rPr>
            </w:pPr>
            <w:r w:rsidRPr="00FF3B3B">
              <w:rPr>
                <w:rFonts w:ascii="Times New Roman" w:hAnsi="Times New Roman" w:cs="Times New Roman"/>
                <w:sz w:val="24"/>
                <w:szCs w:val="24"/>
              </w:rPr>
              <w:t>Review procedures for communicating the outcome of a rejected DSP claim and options available to an applicant, especially when medical records submitted for a DSP application are considered insufficient or do not meet the FDTS criteria and result in rejection of the application.</w:t>
            </w:r>
          </w:p>
        </w:tc>
        <w:tc>
          <w:tcPr>
            <w:tcW w:w="195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AEE5526" w14:textId="461E1830" w:rsidR="00443691" w:rsidRPr="00FF3B3B" w:rsidRDefault="00DE28DF" w:rsidP="00443691">
            <w:pPr>
              <w:rPr>
                <w:rFonts w:ascii="Times New Roman" w:hAnsi="Times New Roman" w:cs="Times New Roman"/>
                <w:sz w:val="24"/>
                <w:szCs w:val="24"/>
              </w:rPr>
            </w:pPr>
            <w:r w:rsidRPr="00FF3B3B">
              <w:rPr>
                <w:rFonts w:ascii="Times New Roman" w:hAnsi="Times New Roman" w:cs="Times New Roman"/>
                <w:sz w:val="24"/>
                <w:szCs w:val="24"/>
              </w:rPr>
              <w:t>Services Australia continues to work on improving a range of communication approaches to help customers better understand the DSP eligibility rules and why a claim may have been rejected.</w:t>
            </w:r>
          </w:p>
          <w:p w14:paraId="547C3FEC" w14:textId="77777777" w:rsidR="00C94A8F" w:rsidRPr="00FF3B3B" w:rsidRDefault="00443691" w:rsidP="00C94A8F">
            <w:pPr>
              <w:spacing w:after="120" w:line="240" w:lineRule="auto"/>
              <w:rPr>
                <w:rFonts w:ascii="Times New Roman" w:hAnsi="Times New Roman" w:cs="Times New Roman"/>
                <w:sz w:val="24"/>
                <w:szCs w:val="24"/>
              </w:rPr>
            </w:pPr>
            <w:r w:rsidRPr="00FF3B3B">
              <w:rPr>
                <w:rFonts w:ascii="Times New Roman" w:hAnsi="Times New Roman" w:cs="Times New Roman"/>
                <w:sz w:val="24"/>
                <w:szCs w:val="24"/>
              </w:rPr>
              <w:t>This includes</w:t>
            </w:r>
            <w:r w:rsidR="00C94A8F" w:rsidRPr="00FF3B3B">
              <w:rPr>
                <w:rFonts w:ascii="Times New Roman" w:hAnsi="Times New Roman" w:cs="Times New Roman"/>
                <w:sz w:val="24"/>
                <w:szCs w:val="24"/>
              </w:rPr>
              <w:t>:</w:t>
            </w:r>
          </w:p>
          <w:p w14:paraId="266944E9" w14:textId="027968A9" w:rsidR="00C94A8F" w:rsidRPr="00FF3B3B" w:rsidRDefault="00C94A8F" w:rsidP="00C94A8F">
            <w:pPr>
              <w:pStyle w:val="ListParagraph"/>
              <w:numPr>
                <w:ilvl w:val="0"/>
                <w:numId w:val="15"/>
              </w:numPr>
              <w:spacing w:before="60" w:after="60" w:line="240" w:lineRule="auto"/>
              <w:ind w:left="714" w:hanging="357"/>
              <w:contextualSpacing w:val="0"/>
              <w:rPr>
                <w:rFonts w:ascii="Times New Roman" w:hAnsi="Times New Roman" w:cs="Times New Roman"/>
                <w:sz w:val="24"/>
                <w:szCs w:val="24"/>
              </w:rPr>
            </w:pPr>
            <w:r w:rsidRPr="00FF3B3B">
              <w:rPr>
                <w:rFonts w:ascii="Times New Roman" w:hAnsi="Times New Roman" w:cs="Times New Roman"/>
                <w:sz w:val="24"/>
                <w:szCs w:val="24"/>
              </w:rPr>
              <w:t>enhanced proce</w:t>
            </w:r>
            <w:r w:rsidR="00C92EF0" w:rsidRPr="00FF3B3B">
              <w:rPr>
                <w:rFonts w:ascii="Times New Roman" w:hAnsi="Times New Roman" w:cs="Times New Roman"/>
                <w:sz w:val="24"/>
                <w:szCs w:val="24"/>
              </w:rPr>
              <w:t>sses</w:t>
            </w:r>
            <w:r w:rsidRPr="00FF3B3B">
              <w:rPr>
                <w:rFonts w:ascii="Times New Roman" w:hAnsi="Times New Roman" w:cs="Times New Roman"/>
                <w:sz w:val="24"/>
                <w:szCs w:val="24"/>
              </w:rPr>
              <w:t xml:space="preserve"> to assist staff </w:t>
            </w:r>
            <w:r w:rsidR="00C92EF0" w:rsidRPr="00FF3B3B">
              <w:rPr>
                <w:rFonts w:ascii="Times New Roman" w:hAnsi="Times New Roman" w:cs="Times New Roman"/>
                <w:sz w:val="24"/>
                <w:szCs w:val="24"/>
              </w:rPr>
              <w:t xml:space="preserve">to </w:t>
            </w:r>
            <w:r w:rsidRPr="00FF3B3B">
              <w:rPr>
                <w:rFonts w:ascii="Times New Roman" w:hAnsi="Times New Roman" w:cs="Times New Roman"/>
                <w:sz w:val="24"/>
                <w:szCs w:val="24"/>
              </w:rPr>
              <w:t>explain DSP rejection reasons to customers</w:t>
            </w:r>
          </w:p>
          <w:p w14:paraId="5F1B70E7" w14:textId="77777777" w:rsidR="00682880" w:rsidRPr="00FF3B3B" w:rsidRDefault="00682880" w:rsidP="00682880">
            <w:pPr>
              <w:pStyle w:val="ListParagraph"/>
              <w:numPr>
                <w:ilvl w:val="0"/>
                <w:numId w:val="15"/>
              </w:numPr>
              <w:rPr>
                <w:rFonts w:ascii="Times New Roman" w:hAnsi="Times New Roman" w:cs="Times New Roman"/>
                <w:sz w:val="24"/>
                <w:szCs w:val="24"/>
              </w:rPr>
            </w:pPr>
            <w:r w:rsidRPr="00FF3B3B">
              <w:rPr>
                <w:rFonts w:ascii="Times New Roman" w:hAnsi="Times New Roman" w:cs="Times New Roman"/>
                <w:sz w:val="24"/>
                <w:szCs w:val="24"/>
              </w:rPr>
              <w:t>implementing a refined internal review process on 15 May 2021, so that customers have more clearly defined options regarding a further explanation of a decision or a formal review</w:t>
            </w:r>
          </w:p>
          <w:p w14:paraId="0D6C0722" w14:textId="1B5041C4" w:rsidR="00C94A8F" w:rsidRPr="00FF3B3B" w:rsidRDefault="00443691" w:rsidP="00C94A8F">
            <w:pPr>
              <w:pStyle w:val="ListParagraph"/>
              <w:numPr>
                <w:ilvl w:val="0"/>
                <w:numId w:val="15"/>
              </w:numPr>
              <w:spacing w:before="60" w:after="60" w:line="240" w:lineRule="auto"/>
              <w:ind w:left="714" w:hanging="357"/>
              <w:contextualSpacing w:val="0"/>
              <w:rPr>
                <w:rFonts w:ascii="Times New Roman" w:hAnsi="Times New Roman" w:cs="Times New Roman"/>
                <w:sz w:val="24"/>
                <w:szCs w:val="24"/>
              </w:rPr>
            </w:pPr>
            <w:r w:rsidRPr="00FF3B3B">
              <w:rPr>
                <w:rFonts w:ascii="Times New Roman" w:hAnsi="Times New Roman" w:cs="Times New Roman"/>
                <w:sz w:val="24"/>
                <w:szCs w:val="24"/>
              </w:rPr>
              <w:t>development of new factsheets for common DSP rejection reasons and</w:t>
            </w:r>
            <w:r w:rsidR="00C94A8F" w:rsidRPr="00FF3B3B">
              <w:rPr>
                <w:rFonts w:ascii="Times New Roman" w:hAnsi="Times New Roman" w:cs="Times New Roman"/>
                <w:sz w:val="24"/>
                <w:szCs w:val="24"/>
              </w:rPr>
              <w:t>,</w:t>
            </w:r>
          </w:p>
          <w:p w14:paraId="6F4D3B1D" w14:textId="045A60CC" w:rsidR="00022B33" w:rsidRPr="00FF3B3B" w:rsidRDefault="00443691" w:rsidP="00C94A8F">
            <w:pPr>
              <w:pStyle w:val="ListParagraph"/>
              <w:numPr>
                <w:ilvl w:val="0"/>
                <w:numId w:val="15"/>
              </w:numPr>
              <w:spacing w:before="60" w:after="60" w:line="240" w:lineRule="auto"/>
              <w:ind w:left="714" w:hanging="357"/>
              <w:contextualSpacing w:val="0"/>
              <w:rPr>
                <w:rFonts w:ascii="Times New Roman" w:hAnsi="Times New Roman" w:cs="Times New Roman"/>
                <w:sz w:val="24"/>
                <w:szCs w:val="24"/>
              </w:rPr>
            </w:pPr>
            <w:proofErr w:type="gramStart"/>
            <w:r w:rsidRPr="00FF3B3B">
              <w:rPr>
                <w:rFonts w:ascii="Times New Roman" w:hAnsi="Times New Roman" w:cs="Times New Roman"/>
                <w:sz w:val="24"/>
                <w:szCs w:val="24"/>
              </w:rPr>
              <w:t>trials</w:t>
            </w:r>
            <w:proofErr w:type="gramEnd"/>
            <w:r w:rsidRPr="00FF3B3B">
              <w:rPr>
                <w:rFonts w:ascii="Times New Roman" w:hAnsi="Times New Roman" w:cs="Times New Roman"/>
                <w:sz w:val="24"/>
                <w:szCs w:val="24"/>
              </w:rPr>
              <w:t xml:space="preserve"> where the Agency’s Health and Allied Health professionals contact customers to explain DSP claim rejections due to insufficient medical evidence being provided.</w:t>
            </w:r>
          </w:p>
        </w:tc>
      </w:tr>
      <w:tr w:rsidR="00022B33" w:rsidRPr="00FF3B3B" w14:paraId="01257909" w14:textId="77777777" w:rsidTr="00F46406">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61C8B"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5</w:t>
            </w:r>
          </w:p>
          <w:p w14:paraId="6CD1E20D" w14:textId="77777777" w:rsidR="00022B33" w:rsidRPr="005815DE" w:rsidRDefault="00022B33" w:rsidP="00F46406">
            <w:pPr>
              <w:rPr>
                <w:rFonts w:ascii="Times New Roman" w:hAnsi="Times New Roman" w:cs="Times New Roman"/>
                <w:sz w:val="24"/>
                <w:szCs w:val="24"/>
                <w:lang w:eastAsia="en-AU"/>
              </w:rPr>
            </w:pPr>
            <w:r w:rsidRPr="00FF3B3B">
              <w:rPr>
                <w:rFonts w:ascii="Times New Roman" w:hAnsi="Times New Roman" w:cs="Times New Roman"/>
                <w:sz w:val="24"/>
                <w:szCs w:val="24"/>
              </w:rPr>
              <w:t>Services Australia</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14:paraId="4ADA0522"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t>Review the online application process and other associated instructions for THPs for accessibility of the intended audience.</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14:paraId="01E3F433" w14:textId="3AE09A6E" w:rsidR="00443691" w:rsidRPr="005815DE" w:rsidRDefault="00443691" w:rsidP="00443691">
            <w:pPr>
              <w:rPr>
                <w:rFonts w:ascii="Times New Roman" w:hAnsi="Times New Roman" w:cs="Times New Roman"/>
                <w:sz w:val="24"/>
                <w:szCs w:val="24"/>
              </w:rPr>
            </w:pPr>
            <w:r w:rsidRPr="00FF3B3B">
              <w:rPr>
                <w:rFonts w:ascii="Times New Roman" w:hAnsi="Times New Roman" w:cs="Times New Roman"/>
                <w:sz w:val="24"/>
                <w:szCs w:val="24"/>
              </w:rPr>
              <w:t>Services Australia consulted with people with disability in the development and design of the new DSP online claim released in December 2019.</w:t>
            </w:r>
          </w:p>
          <w:p w14:paraId="26430D0C" w14:textId="51C0F4F9" w:rsidR="00C94A8F" w:rsidRPr="00FF3B3B" w:rsidRDefault="00443691" w:rsidP="0045004F">
            <w:pPr>
              <w:spacing w:before="120" w:after="120" w:line="240" w:lineRule="auto"/>
              <w:rPr>
                <w:rFonts w:ascii="Times New Roman" w:hAnsi="Times New Roman" w:cs="Times New Roman"/>
                <w:sz w:val="24"/>
                <w:szCs w:val="24"/>
              </w:rPr>
            </w:pPr>
            <w:r w:rsidRPr="00FF3B3B">
              <w:rPr>
                <w:rFonts w:ascii="Times New Roman" w:hAnsi="Times New Roman" w:cs="Times New Roman"/>
                <w:sz w:val="24"/>
                <w:szCs w:val="24"/>
              </w:rPr>
              <w:t>The consultations have also informed changes to other communication products such as DSP content on the Services Australia website which has been extensively revised, including a pre claim guide</w:t>
            </w:r>
            <w:r w:rsidR="004E5AB4" w:rsidRPr="00FF3B3B">
              <w:rPr>
                <w:rFonts w:ascii="Times New Roman" w:hAnsi="Times New Roman" w:cs="Times New Roman"/>
                <w:sz w:val="24"/>
                <w:szCs w:val="24"/>
              </w:rPr>
              <w:t>, digital assistant</w:t>
            </w:r>
            <w:r w:rsidR="00D72644" w:rsidRPr="00FF3B3B">
              <w:rPr>
                <w:rFonts w:ascii="Times New Roman" w:hAnsi="Times New Roman" w:cs="Times New Roman"/>
                <w:sz w:val="24"/>
                <w:szCs w:val="24"/>
              </w:rPr>
              <w:t xml:space="preserve"> and </w:t>
            </w:r>
            <w:r w:rsidR="00C94A8F" w:rsidRPr="00FF3B3B">
              <w:rPr>
                <w:rFonts w:ascii="Times New Roman" w:hAnsi="Times New Roman" w:cs="Times New Roman"/>
                <w:sz w:val="24"/>
                <w:szCs w:val="24"/>
              </w:rPr>
              <w:t xml:space="preserve">content for eligibility and medical evidence. For example: </w:t>
            </w:r>
          </w:p>
          <w:p w14:paraId="1E5A303F" w14:textId="36326D3D" w:rsidR="00D72644" w:rsidRPr="00FF3B3B" w:rsidRDefault="00172FCD" w:rsidP="0045004F">
            <w:pPr>
              <w:pStyle w:val="ListParagraph"/>
              <w:numPr>
                <w:ilvl w:val="0"/>
                <w:numId w:val="16"/>
              </w:numPr>
              <w:spacing w:before="120" w:after="120" w:line="240" w:lineRule="auto"/>
              <w:contextualSpacing w:val="0"/>
              <w:rPr>
                <w:rFonts w:ascii="Times New Roman" w:hAnsi="Times New Roman" w:cs="Times New Roman"/>
                <w:sz w:val="24"/>
                <w:szCs w:val="24"/>
              </w:rPr>
            </w:pPr>
            <w:hyperlink r:id="rId7" w:history="1">
              <w:r w:rsidR="00D72644" w:rsidRPr="00E108C1">
                <w:rPr>
                  <w:rStyle w:val="Hyperlink"/>
                  <w:rFonts w:ascii="Times New Roman" w:hAnsi="Times New Roman" w:cs="Times New Roman"/>
                </w:rPr>
                <w:t>Disability Support Pension - Before claiming - Before you start - Services Australia</w:t>
              </w:r>
            </w:hyperlink>
          </w:p>
          <w:p w14:paraId="4FCF0055" w14:textId="2CFA6DFC" w:rsidR="00C94A8F" w:rsidRPr="00FF3B3B" w:rsidRDefault="00172FCD" w:rsidP="0045004F">
            <w:pPr>
              <w:pStyle w:val="ListParagraph"/>
              <w:numPr>
                <w:ilvl w:val="0"/>
                <w:numId w:val="16"/>
              </w:numPr>
              <w:spacing w:before="120" w:after="120" w:line="240" w:lineRule="auto"/>
              <w:contextualSpacing w:val="0"/>
              <w:rPr>
                <w:rFonts w:ascii="Times New Roman" w:hAnsi="Times New Roman" w:cs="Times New Roman"/>
                <w:sz w:val="24"/>
                <w:szCs w:val="24"/>
              </w:rPr>
            </w:pPr>
            <w:hyperlink r:id="rId8" w:history="1">
              <w:r w:rsidR="00C94A8F" w:rsidRPr="00E108C1">
                <w:rPr>
                  <w:rStyle w:val="Hyperlink"/>
                  <w:rFonts w:ascii="Times New Roman" w:hAnsi="Times New Roman" w:cs="Times New Roman"/>
                </w:rPr>
                <w:t>Disability Support Pension - Fully diagnosed treated and stabilised - Services Australia</w:t>
              </w:r>
            </w:hyperlink>
          </w:p>
          <w:p w14:paraId="4B8B2272" w14:textId="7594C075" w:rsidR="00C94A8F" w:rsidRPr="00FF3B3B" w:rsidRDefault="00172FCD" w:rsidP="0045004F">
            <w:pPr>
              <w:pStyle w:val="ListParagraph"/>
              <w:numPr>
                <w:ilvl w:val="0"/>
                <w:numId w:val="16"/>
              </w:numPr>
              <w:spacing w:before="120" w:after="120" w:line="240" w:lineRule="auto"/>
              <w:contextualSpacing w:val="0"/>
              <w:rPr>
                <w:rFonts w:ascii="Times New Roman" w:hAnsi="Times New Roman" w:cs="Times New Roman"/>
                <w:sz w:val="24"/>
                <w:szCs w:val="24"/>
              </w:rPr>
            </w:pPr>
            <w:hyperlink r:id="rId9" w:history="1">
              <w:r w:rsidR="00C94A8F" w:rsidRPr="00E108C1">
                <w:rPr>
                  <w:rStyle w:val="Hyperlink"/>
                  <w:rFonts w:ascii="Times New Roman" w:hAnsi="Times New Roman" w:cs="Times New Roman"/>
                </w:rPr>
                <w:t>Disability Support Pension - Impairment rating - Services Australia</w:t>
              </w:r>
            </w:hyperlink>
          </w:p>
          <w:p w14:paraId="66A8451C" w14:textId="73D25319" w:rsidR="00C94A8F" w:rsidRPr="00FF3B3B" w:rsidRDefault="00172FCD" w:rsidP="0045004F">
            <w:pPr>
              <w:pStyle w:val="ListParagraph"/>
              <w:numPr>
                <w:ilvl w:val="0"/>
                <w:numId w:val="16"/>
              </w:numPr>
              <w:spacing w:before="120" w:after="120" w:line="240" w:lineRule="auto"/>
              <w:contextualSpacing w:val="0"/>
              <w:rPr>
                <w:rFonts w:ascii="Times New Roman" w:hAnsi="Times New Roman" w:cs="Times New Roman"/>
                <w:sz w:val="24"/>
                <w:szCs w:val="24"/>
              </w:rPr>
            </w:pPr>
            <w:hyperlink r:id="rId10" w:history="1">
              <w:r w:rsidR="00C94A8F" w:rsidRPr="00E108C1">
                <w:rPr>
                  <w:rStyle w:val="Hyperlink"/>
                  <w:rFonts w:ascii="Times New Roman" w:hAnsi="Times New Roman" w:cs="Times New Roman"/>
                </w:rPr>
                <w:t>Disability Support Pension - Program of Support - Services Australia</w:t>
              </w:r>
            </w:hyperlink>
          </w:p>
          <w:p w14:paraId="0FCE8733" w14:textId="25D367B3" w:rsidR="00022B33" w:rsidRPr="00FF3B3B" w:rsidRDefault="00172FCD" w:rsidP="0045004F">
            <w:pPr>
              <w:pStyle w:val="ListParagraph"/>
              <w:numPr>
                <w:ilvl w:val="0"/>
                <w:numId w:val="16"/>
              </w:numPr>
              <w:spacing w:before="120" w:after="120" w:line="240" w:lineRule="auto"/>
              <w:contextualSpacing w:val="0"/>
              <w:rPr>
                <w:rFonts w:ascii="Times New Roman" w:hAnsi="Times New Roman" w:cs="Times New Roman"/>
                <w:sz w:val="24"/>
                <w:szCs w:val="24"/>
              </w:rPr>
            </w:pPr>
            <w:hyperlink r:id="rId11" w:history="1">
              <w:r w:rsidR="00C94A8F" w:rsidRPr="00E108C1">
                <w:rPr>
                  <w:rStyle w:val="Hyperlink"/>
                  <w:rFonts w:ascii="Times New Roman" w:hAnsi="Times New Roman" w:cs="Times New Roman"/>
                </w:rPr>
                <w:t>Disability Support Pension - Medical evidence - Services Australia</w:t>
              </w:r>
            </w:hyperlink>
          </w:p>
        </w:tc>
      </w:tr>
      <w:tr w:rsidR="00022B33" w:rsidRPr="00FF3B3B" w14:paraId="41631E6F" w14:textId="77777777" w:rsidTr="00F46406">
        <w:tc>
          <w:tcPr>
            <w:tcW w:w="9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10904" w14:textId="77777777" w:rsidR="00F46406" w:rsidRPr="00FF3B3B" w:rsidRDefault="005A6E5F" w:rsidP="00F46406">
            <w:pPr>
              <w:rPr>
                <w:rFonts w:ascii="Times New Roman" w:hAnsi="Times New Roman" w:cs="Times New Roman"/>
                <w:sz w:val="24"/>
                <w:szCs w:val="24"/>
              </w:rPr>
            </w:pPr>
            <w:r w:rsidRPr="00E108C1">
              <w:rPr>
                <w:rFonts w:ascii="Times New Roman" w:hAnsi="Times New Roman" w:cs="Times New Roman"/>
              </w:rPr>
              <w:br w:type="page"/>
            </w:r>
            <w:r w:rsidR="00022B33" w:rsidRPr="00FF3B3B">
              <w:rPr>
                <w:rFonts w:ascii="Times New Roman" w:hAnsi="Times New Roman" w:cs="Times New Roman"/>
                <w:sz w:val="24"/>
                <w:szCs w:val="24"/>
              </w:rPr>
              <w:t>Recommendation 6</w:t>
            </w:r>
          </w:p>
          <w:p w14:paraId="5DE3A183" w14:textId="77777777" w:rsidR="00022B33" w:rsidRPr="005815DE" w:rsidRDefault="00022B33" w:rsidP="00F46406">
            <w:pPr>
              <w:rPr>
                <w:rFonts w:ascii="Times New Roman" w:hAnsi="Times New Roman" w:cs="Times New Roman"/>
                <w:sz w:val="24"/>
                <w:szCs w:val="24"/>
              </w:rPr>
            </w:pPr>
            <w:r w:rsidRPr="00FF3B3B">
              <w:rPr>
                <w:rFonts w:ascii="Times New Roman" w:hAnsi="Times New Roman" w:cs="Times New Roman"/>
                <w:sz w:val="24"/>
                <w:szCs w:val="24"/>
              </w:rPr>
              <w:lastRenderedPageBreak/>
              <w:t>Services Australia</w:t>
            </w:r>
          </w:p>
        </w:tc>
        <w:tc>
          <w:tcPr>
            <w:tcW w:w="20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B819BD"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lastRenderedPageBreak/>
              <w:t>Review the online form and available resources for claimants and invite input from consumers.</w:t>
            </w:r>
          </w:p>
        </w:tc>
        <w:tc>
          <w:tcPr>
            <w:tcW w:w="1952"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2033DB5" w14:textId="3EB7EAC5" w:rsidR="00022B33" w:rsidRPr="005815DE" w:rsidRDefault="00022B33">
            <w:pPr>
              <w:rPr>
                <w:rFonts w:ascii="Times New Roman" w:hAnsi="Times New Roman" w:cs="Times New Roman"/>
                <w:sz w:val="24"/>
                <w:szCs w:val="24"/>
              </w:rPr>
            </w:pPr>
            <w:r w:rsidRPr="00FF3B3B">
              <w:rPr>
                <w:rFonts w:ascii="Times New Roman" w:hAnsi="Times New Roman" w:cs="Times New Roman"/>
                <w:sz w:val="24"/>
                <w:szCs w:val="24"/>
              </w:rPr>
              <w:t>As above</w:t>
            </w:r>
          </w:p>
        </w:tc>
      </w:tr>
      <w:tr w:rsidR="00022B33" w:rsidRPr="00FF3B3B" w14:paraId="07E5AC35" w14:textId="77777777" w:rsidTr="00F46406">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36A12"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7</w:t>
            </w:r>
          </w:p>
          <w:p w14:paraId="3C58F953" w14:textId="77777777" w:rsidR="00022B33" w:rsidRPr="005815DE" w:rsidRDefault="00022B33" w:rsidP="00F46406">
            <w:pPr>
              <w:rPr>
                <w:rFonts w:ascii="Times New Roman" w:hAnsi="Times New Roman" w:cs="Times New Roman"/>
                <w:sz w:val="24"/>
                <w:szCs w:val="24"/>
                <w:lang w:eastAsia="en-AU"/>
              </w:rPr>
            </w:pPr>
            <w:r w:rsidRPr="00FF3B3B">
              <w:rPr>
                <w:rFonts w:ascii="Times New Roman" w:hAnsi="Times New Roman" w:cs="Times New Roman"/>
                <w:sz w:val="24"/>
                <w:szCs w:val="24"/>
              </w:rPr>
              <w:t>Services Australia</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14:paraId="3C61B540" w14:textId="77777777" w:rsidR="00022B33" w:rsidRPr="00E108C1" w:rsidRDefault="00022B33" w:rsidP="00C6108F">
            <w:pPr>
              <w:spacing w:after="120"/>
              <w:rPr>
                <w:rFonts w:ascii="Times New Roman" w:hAnsi="Times New Roman" w:cs="Times New Roman"/>
                <w:color w:val="1F497D"/>
                <w:sz w:val="20"/>
                <w:szCs w:val="20"/>
              </w:rPr>
            </w:pPr>
            <w:r w:rsidRPr="00FF3B3B">
              <w:rPr>
                <w:rFonts w:ascii="Times New Roman" w:hAnsi="Times New Roman" w:cs="Times New Roman"/>
                <w:sz w:val="24"/>
                <w:szCs w:val="24"/>
              </w:rPr>
              <w:t>Consider using standard file naming conventions when uploading medical evidence for review by Assessors and GCDs, to support efficiency of the process and to assist with the identification of duplicated records.</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14:paraId="466F7BBC" w14:textId="73693A14" w:rsidR="00022B33" w:rsidRPr="005815DE" w:rsidRDefault="00022B33">
            <w:pPr>
              <w:rPr>
                <w:rFonts w:ascii="Times New Roman" w:hAnsi="Times New Roman" w:cs="Times New Roman"/>
                <w:sz w:val="24"/>
                <w:szCs w:val="24"/>
              </w:rPr>
            </w:pPr>
            <w:r w:rsidRPr="00FF3B3B">
              <w:rPr>
                <w:rFonts w:ascii="Times New Roman" w:hAnsi="Times New Roman" w:cs="Times New Roman"/>
                <w:sz w:val="24"/>
                <w:szCs w:val="24"/>
              </w:rPr>
              <w:t xml:space="preserve">Services Australia has an existing classification system for medical evidence to support </w:t>
            </w:r>
            <w:r w:rsidRPr="005815DE">
              <w:rPr>
                <w:rFonts w:ascii="Times New Roman" w:hAnsi="Times New Roman" w:cs="Times New Roman"/>
                <w:sz w:val="24"/>
                <w:szCs w:val="24"/>
              </w:rPr>
              <w:t>scanning and document upload processes, which is available to customers and staff.</w:t>
            </w:r>
          </w:p>
          <w:p w14:paraId="4B4E96D9" w14:textId="393620EE" w:rsidR="00D578B6" w:rsidRPr="00FF3B3B" w:rsidRDefault="00C92EF0" w:rsidP="00D578B6">
            <w:pPr>
              <w:rPr>
                <w:rFonts w:ascii="Times New Roman" w:hAnsi="Times New Roman" w:cs="Times New Roman"/>
                <w:sz w:val="24"/>
                <w:szCs w:val="24"/>
              </w:rPr>
            </w:pPr>
            <w:r w:rsidRPr="00FF3B3B">
              <w:rPr>
                <w:rFonts w:ascii="Times New Roman" w:hAnsi="Times New Roman" w:cs="Times New Roman"/>
                <w:sz w:val="24"/>
                <w:szCs w:val="24"/>
              </w:rPr>
              <w:t xml:space="preserve">Customers can upload documents </w:t>
            </w:r>
            <w:r w:rsidR="00D578B6" w:rsidRPr="00FF3B3B">
              <w:rPr>
                <w:rFonts w:ascii="Times New Roman" w:hAnsi="Times New Roman" w:cs="Times New Roman"/>
                <w:sz w:val="24"/>
                <w:szCs w:val="24"/>
              </w:rPr>
              <w:t>via the DSP online claim or through their Centrelink online account.</w:t>
            </w:r>
          </w:p>
          <w:p w14:paraId="20FDD82D" w14:textId="77777777" w:rsidR="00D578B6" w:rsidRPr="00FF3B3B" w:rsidRDefault="00D578B6" w:rsidP="00D578B6">
            <w:pPr>
              <w:rPr>
                <w:rFonts w:ascii="Times New Roman" w:hAnsi="Times New Roman" w:cs="Times New Roman"/>
                <w:sz w:val="24"/>
                <w:szCs w:val="24"/>
              </w:rPr>
            </w:pPr>
            <w:r w:rsidRPr="00FF3B3B">
              <w:rPr>
                <w:rFonts w:ascii="Times New Roman" w:hAnsi="Times New Roman" w:cs="Times New Roman"/>
                <w:sz w:val="24"/>
                <w:szCs w:val="24"/>
              </w:rPr>
              <w:t xml:space="preserve">The online claim helps customers to select the medical evidence they will provide with their claim and creates a specific task for each item to assist with uploading the evidence. </w:t>
            </w:r>
          </w:p>
          <w:p w14:paraId="64D91B99" w14:textId="77777777" w:rsidR="00501FFC" w:rsidRPr="00FF3B3B" w:rsidRDefault="00C92EF0" w:rsidP="00501FFC">
            <w:pPr>
              <w:rPr>
                <w:rFonts w:ascii="Times New Roman" w:hAnsi="Times New Roman" w:cs="Times New Roman"/>
                <w:sz w:val="24"/>
                <w:szCs w:val="24"/>
              </w:rPr>
            </w:pPr>
            <w:r w:rsidRPr="00FF3B3B">
              <w:rPr>
                <w:rFonts w:ascii="Times New Roman" w:hAnsi="Times New Roman" w:cs="Times New Roman"/>
                <w:sz w:val="24"/>
                <w:szCs w:val="24"/>
              </w:rPr>
              <w:t xml:space="preserve">The Services Australia website </w:t>
            </w:r>
            <w:r w:rsidR="00D578B6" w:rsidRPr="00FF3B3B">
              <w:rPr>
                <w:rFonts w:ascii="Times New Roman" w:hAnsi="Times New Roman" w:cs="Times New Roman"/>
                <w:sz w:val="24"/>
                <w:szCs w:val="24"/>
              </w:rPr>
              <w:t xml:space="preserve">has </w:t>
            </w:r>
            <w:r w:rsidRPr="00FF3B3B">
              <w:rPr>
                <w:rFonts w:ascii="Times New Roman" w:hAnsi="Times New Roman" w:cs="Times New Roman"/>
                <w:sz w:val="24"/>
                <w:szCs w:val="24"/>
              </w:rPr>
              <w:t>detail</w:t>
            </w:r>
            <w:r w:rsidR="00D578B6" w:rsidRPr="00FF3B3B">
              <w:rPr>
                <w:rFonts w:ascii="Times New Roman" w:hAnsi="Times New Roman" w:cs="Times New Roman"/>
                <w:sz w:val="24"/>
                <w:szCs w:val="24"/>
              </w:rPr>
              <w:t>ed</w:t>
            </w:r>
            <w:r w:rsidRPr="00FF3B3B">
              <w:rPr>
                <w:rFonts w:ascii="Times New Roman" w:hAnsi="Times New Roman" w:cs="Times New Roman"/>
                <w:sz w:val="24"/>
                <w:szCs w:val="24"/>
              </w:rPr>
              <w:t xml:space="preserve"> instructions for customers </w:t>
            </w:r>
            <w:r w:rsidR="00D578B6" w:rsidRPr="00FF3B3B">
              <w:rPr>
                <w:rFonts w:ascii="Times New Roman" w:hAnsi="Times New Roman" w:cs="Times New Roman"/>
                <w:sz w:val="24"/>
                <w:szCs w:val="24"/>
              </w:rPr>
              <w:t>to upload</w:t>
            </w:r>
            <w:r w:rsidR="00501FFC" w:rsidRPr="00FF3B3B">
              <w:rPr>
                <w:rFonts w:ascii="Times New Roman" w:hAnsi="Times New Roman" w:cs="Times New Roman"/>
                <w:sz w:val="24"/>
                <w:szCs w:val="24"/>
              </w:rPr>
              <w:t xml:space="preserve"> documents.</w:t>
            </w:r>
          </w:p>
          <w:p w14:paraId="6893326B" w14:textId="58D4554C" w:rsidR="00C92EF0" w:rsidRPr="00FF3B3B" w:rsidRDefault="00172FCD" w:rsidP="00501FFC">
            <w:pPr>
              <w:pStyle w:val="ListParagraph"/>
              <w:numPr>
                <w:ilvl w:val="0"/>
                <w:numId w:val="18"/>
              </w:numPr>
              <w:rPr>
                <w:rFonts w:ascii="Times New Roman" w:hAnsi="Times New Roman" w:cs="Times New Roman"/>
                <w:sz w:val="24"/>
                <w:szCs w:val="24"/>
              </w:rPr>
            </w:pPr>
            <w:hyperlink r:id="rId12" w:history="1">
              <w:r w:rsidR="00C92EF0" w:rsidRPr="00E108C1">
                <w:rPr>
                  <w:rStyle w:val="Hyperlink"/>
                  <w:rFonts w:ascii="Times New Roman" w:hAnsi="Times New Roman" w:cs="Times New Roman"/>
                </w:rPr>
                <w:t>Centrelink online account help - Upload documents - Services Australia</w:t>
              </w:r>
            </w:hyperlink>
          </w:p>
          <w:p w14:paraId="5E554284" w14:textId="2B65AAE7" w:rsidR="00C92EF0" w:rsidRPr="00FF3B3B" w:rsidRDefault="00FF3B3B" w:rsidP="00C92EF0">
            <w:pPr>
              <w:rPr>
                <w:rFonts w:ascii="Times New Roman" w:hAnsi="Times New Roman" w:cs="Times New Roman"/>
                <w:color w:val="FF0000"/>
                <w:sz w:val="24"/>
                <w:szCs w:val="24"/>
              </w:rPr>
            </w:pPr>
            <w:r w:rsidRPr="008734A1">
              <w:rPr>
                <w:rFonts w:ascii="Times New Roman" w:hAnsi="Times New Roman" w:cs="Times New Roman"/>
                <w:sz w:val="24"/>
                <w:szCs w:val="24"/>
              </w:rPr>
              <w:t>Services Australia is investigating whether greater communication is needed to ensure its take up by Assessors and GCDs.</w:t>
            </w:r>
          </w:p>
        </w:tc>
      </w:tr>
      <w:tr w:rsidR="00022B33" w:rsidRPr="00FF3B3B" w14:paraId="36F09CE4" w14:textId="77777777" w:rsidTr="00F46406">
        <w:tc>
          <w:tcPr>
            <w:tcW w:w="9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C1019" w14:textId="77777777" w:rsidR="00F46406" w:rsidRPr="00FF3B3B" w:rsidRDefault="00022B33" w:rsidP="00F46406">
            <w:pPr>
              <w:rPr>
                <w:rFonts w:ascii="Times New Roman" w:hAnsi="Times New Roman" w:cs="Times New Roman"/>
                <w:sz w:val="24"/>
                <w:szCs w:val="24"/>
              </w:rPr>
            </w:pPr>
            <w:r w:rsidRPr="00FF3B3B">
              <w:rPr>
                <w:rFonts w:ascii="Times New Roman" w:hAnsi="Times New Roman" w:cs="Times New Roman"/>
                <w:sz w:val="24"/>
                <w:szCs w:val="24"/>
              </w:rPr>
              <w:t>Recommendation 8</w:t>
            </w:r>
          </w:p>
          <w:p w14:paraId="16D25452" w14:textId="77777777" w:rsidR="00022B33" w:rsidRPr="005815DE" w:rsidRDefault="00022B33" w:rsidP="00F46406">
            <w:pPr>
              <w:rPr>
                <w:rFonts w:ascii="Times New Roman" w:hAnsi="Times New Roman" w:cs="Times New Roman"/>
                <w:sz w:val="24"/>
                <w:szCs w:val="24"/>
                <w:lang w:eastAsia="en-AU"/>
              </w:rPr>
            </w:pPr>
            <w:r w:rsidRPr="00FF3B3B">
              <w:rPr>
                <w:rFonts w:ascii="Times New Roman" w:hAnsi="Times New Roman" w:cs="Times New Roman"/>
                <w:sz w:val="24"/>
                <w:szCs w:val="24"/>
              </w:rPr>
              <w:t>DSS</w:t>
            </w:r>
          </w:p>
        </w:tc>
        <w:tc>
          <w:tcPr>
            <w:tcW w:w="2067" w:type="pct"/>
            <w:tcBorders>
              <w:top w:val="nil"/>
              <w:left w:val="nil"/>
              <w:bottom w:val="single" w:sz="8" w:space="0" w:color="auto"/>
              <w:right w:val="single" w:sz="8" w:space="0" w:color="auto"/>
            </w:tcBorders>
            <w:tcMar>
              <w:top w:w="0" w:type="dxa"/>
              <w:left w:w="108" w:type="dxa"/>
              <w:bottom w:w="0" w:type="dxa"/>
              <w:right w:w="108" w:type="dxa"/>
            </w:tcMar>
            <w:hideMark/>
          </w:tcPr>
          <w:p w14:paraId="1DF97AF9" w14:textId="77777777" w:rsidR="00022B33" w:rsidRPr="00E108C1" w:rsidRDefault="00022B33">
            <w:pPr>
              <w:rPr>
                <w:rFonts w:ascii="Times New Roman" w:hAnsi="Times New Roman" w:cs="Times New Roman"/>
                <w:color w:val="1F497D"/>
                <w:sz w:val="20"/>
                <w:szCs w:val="20"/>
              </w:rPr>
            </w:pPr>
            <w:r w:rsidRPr="00FF3B3B">
              <w:rPr>
                <w:rFonts w:ascii="Times New Roman" w:hAnsi="Times New Roman" w:cs="Times New Roman"/>
                <w:sz w:val="24"/>
                <w:szCs w:val="24"/>
              </w:rPr>
              <w:t>Consider extra support for THPs to assist them in preparing relevant, comprehensive medical documentation and to support applicants early in the application process.</w:t>
            </w:r>
          </w:p>
        </w:tc>
        <w:tc>
          <w:tcPr>
            <w:tcW w:w="1952" w:type="pct"/>
            <w:tcBorders>
              <w:top w:val="nil"/>
              <w:left w:val="nil"/>
              <w:bottom w:val="single" w:sz="8" w:space="0" w:color="auto"/>
              <w:right w:val="single" w:sz="8" w:space="0" w:color="auto"/>
            </w:tcBorders>
            <w:tcMar>
              <w:top w:w="0" w:type="dxa"/>
              <w:left w:w="108" w:type="dxa"/>
              <w:bottom w:w="0" w:type="dxa"/>
              <w:right w:w="108" w:type="dxa"/>
            </w:tcMar>
          </w:tcPr>
          <w:p w14:paraId="29CB8073" w14:textId="320DD780" w:rsidR="00DA2A56" w:rsidRPr="00FF3B3B" w:rsidRDefault="00DA2A56" w:rsidP="00DA2A56">
            <w:pPr>
              <w:rPr>
                <w:rFonts w:ascii="Times New Roman" w:hAnsi="Times New Roman" w:cs="Times New Roman"/>
                <w:sz w:val="24"/>
                <w:szCs w:val="24"/>
              </w:rPr>
            </w:pPr>
            <w:r w:rsidRPr="00FF3B3B">
              <w:rPr>
                <w:rFonts w:ascii="Times New Roman" w:hAnsi="Times New Roman" w:cs="Times New Roman"/>
                <w:sz w:val="24"/>
                <w:szCs w:val="24"/>
              </w:rPr>
              <w:t xml:space="preserve">The </w:t>
            </w:r>
            <w:r w:rsidRPr="005815DE">
              <w:rPr>
                <w:rFonts w:ascii="Times New Roman" w:hAnsi="Times New Roman" w:cs="Times New Roman"/>
                <w:sz w:val="24"/>
                <w:szCs w:val="24"/>
              </w:rPr>
              <w:t xml:space="preserve">department and Services Australia are investigating what additional supports can be provided for </w:t>
            </w:r>
            <w:r w:rsidR="00EB0374" w:rsidRPr="005815DE">
              <w:rPr>
                <w:rFonts w:ascii="Times New Roman" w:hAnsi="Times New Roman" w:cs="Times New Roman"/>
                <w:sz w:val="24"/>
                <w:szCs w:val="24"/>
              </w:rPr>
              <w:t>Treating Health Professionals (</w:t>
            </w:r>
            <w:r w:rsidRPr="005815DE">
              <w:rPr>
                <w:rFonts w:ascii="Times New Roman" w:hAnsi="Times New Roman" w:cs="Times New Roman"/>
                <w:sz w:val="24"/>
                <w:szCs w:val="24"/>
              </w:rPr>
              <w:t>THP</w:t>
            </w:r>
            <w:r w:rsidR="00EB0374" w:rsidRPr="005815DE">
              <w:rPr>
                <w:rFonts w:ascii="Times New Roman" w:hAnsi="Times New Roman" w:cs="Times New Roman"/>
                <w:sz w:val="24"/>
                <w:szCs w:val="24"/>
              </w:rPr>
              <w:t>s)</w:t>
            </w:r>
            <w:r w:rsidRPr="005815DE">
              <w:rPr>
                <w:rFonts w:ascii="Times New Roman" w:hAnsi="Times New Roman" w:cs="Times New Roman"/>
                <w:sz w:val="24"/>
                <w:szCs w:val="24"/>
              </w:rPr>
              <w:t xml:space="preserve"> to assist them</w:t>
            </w:r>
            <w:r w:rsidR="0036218A" w:rsidRPr="005815DE">
              <w:rPr>
                <w:rFonts w:ascii="Times New Roman" w:hAnsi="Times New Roman" w:cs="Times New Roman"/>
                <w:sz w:val="24"/>
                <w:szCs w:val="24"/>
              </w:rPr>
              <w:t>,</w:t>
            </w:r>
            <w:r w:rsidR="00A57B9B" w:rsidRPr="00FF3B3B">
              <w:rPr>
                <w:rFonts w:ascii="Times New Roman" w:hAnsi="Times New Roman" w:cs="Times New Roman"/>
                <w:sz w:val="24"/>
                <w:szCs w:val="24"/>
              </w:rPr>
              <w:t xml:space="preserve"> including working with relevant Medical </w:t>
            </w:r>
            <w:r w:rsidR="0036218A" w:rsidRPr="00FF3B3B">
              <w:rPr>
                <w:rFonts w:ascii="Times New Roman" w:hAnsi="Times New Roman" w:cs="Times New Roman"/>
                <w:sz w:val="24"/>
                <w:szCs w:val="24"/>
              </w:rPr>
              <w:t>bodies</w:t>
            </w:r>
            <w:r w:rsidRPr="00FF3B3B">
              <w:rPr>
                <w:rFonts w:ascii="Times New Roman" w:hAnsi="Times New Roman" w:cs="Times New Roman"/>
                <w:sz w:val="24"/>
                <w:szCs w:val="24"/>
              </w:rPr>
              <w:t xml:space="preserve">. </w:t>
            </w:r>
          </w:p>
          <w:p w14:paraId="70C467DB" w14:textId="77777777" w:rsidR="00BD0F25" w:rsidRPr="00FF3B3B" w:rsidRDefault="00DE28DF" w:rsidP="00B362E5">
            <w:pPr>
              <w:rPr>
                <w:rFonts w:ascii="Times New Roman" w:hAnsi="Times New Roman" w:cs="Times New Roman"/>
                <w:sz w:val="24"/>
                <w:szCs w:val="24"/>
              </w:rPr>
            </w:pPr>
            <w:r w:rsidRPr="00FF3B3B">
              <w:rPr>
                <w:rFonts w:ascii="Times New Roman" w:hAnsi="Times New Roman" w:cs="Times New Roman"/>
                <w:sz w:val="24"/>
                <w:szCs w:val="24"/>
              </w:rPr>
              <w:t xml:space="preserve">The Services Australia website has DSP eligibility information and medical evidence checklists available for </w:t>
            </w:r>
            <w:r w:rsidR="00EB0374" w:rsidRPr="00FF3B3B">
              <w:rPr>
                <w:rFonts w:ascii="Times New Roman" w:hAnsi="Times New Roman" w:cs="Times New Roman"/>
                <w:sz w:val="24"/>
                <w:szCs w:val="24"/>
              </w:rPr>
              <w:t>THPs</w:t>
            </w:r>
            <w:r w:rsidRPr="00FF3B3B">
              <w:rPr>
                <w:rFonts w:ascii="Times New Roman" w:hAnsi="Times New Roman" w:cs="Times New Roman"/>
                <w:sz w:val="24"/>
                <w:szCs w:val="24"/>
              </w:rPr>
              <w:t xml:space="preserve"> and customers to assist with claiming DSP.</w:t>
            </w:r>
          </w:p>
          <w:p w14:paraId="2751E1D6" w14:textId="50FEEEAA" w:rsidR="00C92EF0" w:rsidRPr="00FF3B3B" w:rsidRDefault="00172FCD" w:rsidP="0045004F">
            <w:pPr>
              <w:pStyle w:val="ListParagraph"/>
              <w:numPr>
                <w:ilvl w:val="0"/>
                <w:numId w:val="17"/>
              </w:numPr>
              <w:spacing w:before="120" w:after="120" w:line="240" w:lineRule="auto"/>
              <w:ind w:left="714" w:hanging="357"/>
              <w:contextualSpacing w:val="0"/>
              <w:rPr>
                <w:rFonts w:ascii="Times New Roman" w:hAnsi="Times New Roman" w:cs="Times New Roman"/>
                <w:sz w:val="24"/>
                <w:szCs w:val="24"/>
              </w:rPr>
            </w:pPr>
            <w:hyperlink r:id="rId13" w:history="1">
              <w:r w:rsidR="00C92EF0" w:rsidRPr="00E108C1">
                <w:rPr>
                  <w:rStyle w:val="Hyperlink"/>
                  <w:rFonts w:ascii="Times New Roman" w:hAnsi="Times New Roman" w:cs="Times New Roman"/>
                </w:rPr>
                <w:t>Disability Support Pension information for health professionals - Services Australia</w:t>
              </w:r>
            </w:hyperlink>
          </w:p>
          <w:p w14:paraId="5F16D0B7" w14:textId="1BD4CED9" w:rsidR="00C92EF0" w:rsidRPr="00FF3B3B" w:rsidRDefault="00172FCD" w:rsidP="0045004F">
            <w:pPr>
              <w:pStyle w:val="ListParagraph"/>
              <w:numPr>
                <w:ilvl w:val="0"/>
                <w:numId w:val="17"/>
              </w:numPr>
              <w:spacing w:before="120" w:after="120" w:line="240" w:lineRule="auto"/>
              <w:ind w:left="714" w:hanging="357"/>
              <w:contextualSpacing w:val="0"/>
              <w:rPr>
                <w:rStyle w:val="Hyperlink"/>
                <w:rFonts w:ascii="Times New Roman" w:hAnsi="Times New Roman" w:cs="Times New Roman"/>
                <w:color w:val="auto"/>
                <w:sz w:val="24"/>
                <w:szCs w:val="24"/>
                <w:u w:val="none"/>
              </w:rPr>
            </w:pPr>
            <w:hyperlink r:id="rId14" w:history="1">
              <w:r w:rsidR="00C92EF0" w:rsidRPr="00E108C1">
                <w:rPr>
                  <w:rStyle w:val="Hyperlink"/>
                  <w:rFonts w:ascii="Times New Roman" w:hAnsi="Times New Roman" w:cs="Times New Roman"/>
                </w:rPr>
                <w:t>Claim for Disability Support Pension Medical Evidence Checklist for treating health professionals form (SA478) - Services Australia</w:t>
              </w:r>
            </w:hyperlink>
          </w:p>
          <w:p w14:paraId="4E101A25" w14:textId="30BA420E" w:rsidR="004E5AB4" w:rsidRPr="00FF3B3B" w:rsidRDefault="00172FCD" w:rsidP="0045004F">
            <w:pPr>
              <w:pStyle w:val="ListParagraph"/>
              <w:numPr>
                <w:ilvl w:val="0"/>
                <w:numId w:val="17"/>
              </w:numPr>
              <w:spacing w:before="120" w:after="120" w:line="240" w:lineRule="auto"/>
              <w:ind w:left="714" w:hanging="357"/>
              <w:contextualSpacing w:val="0"/>
              <w:rPr>
                <w:rFonts w:ascii="Times New Roman" w:hAnsi="Times New Roman" w:cs="Times New Roman"/>
                <w:sz w:val="24"/>
                <w:szCs w:val="24"/>
              </w:rPr>
            </w:pPr>
            <w:hyperlink r:id="rId15" w:history="1">
              <w:r w:rsidR="004E5AB4" w:rsidRPr="00E108C1">
                <w:rPr>
                  <w:rStyle w:val="Hyperlink"/>
                  <w:rFonts w:ascii="Times New Roman" w:hAnsi="Times New Roman" w:cs="Times New Roman"/>
                </w:rPr>
                <w:t>Claim for Disability Support Pension Medical Evidence Checklist form (SA473) - Services Australia</w:t>
              </w:r>
            </w:hyperlink>
          </w:p>
          <w:p w14:paraId="79C28837" w14:textId="39D123A9" w:rsidR="00C92EF0" w:rsidRPr="00FF3B3B" w:rsidRDefault="00C92EF0" w:rsidP="00B362E5">
            <w:pPr>
              <w:rPr>
                <w:rFonts w:ascii="Times New Roman" w:hAnsi="Times New Roman" w:cs="Times New Roman"/>
                <w:sz w:val="24"/>
                <w:szCs w:val="24"/>
              </w:rPr>
            </w:pPr>
          </w:p>
        </w:tc>
      </w:tr>
    </w:tbl>
    <w:p w14:paraId="47BFBADB" w14:textId="77777777" w:rsidR="00022B33" w:rsidRPr="00E108C1" w:rsidRDefault="00022B33" w:rsidP="00401C41">
      <w:pPr>
        <w:rPr>
          <w:rFonts w:ascii="Times New Roman" w:hAnsi="Times New Roman" w:cs="Times New Roman"/>
          <w:b/>
          <w:sz w:val="24"/>
        </w:rPr>
      </w:pPr>
    </w:p>
    <w:sectPr w:rsidR="00022B33" w:rsidRPr="00E108C1" w:rsidSect="00F46406">
      <w:headerReference w:type="default" r:id="rId16"/>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8CAA" w14:textId="77777777" w:rsidR="00172FCD" w:rsidRDefault="00172FCD" w:rsidP="00B04ED8">
      <w:pPr>
        <w:spacing w:after="0" w:line="240" w:lineRule="auto"/>
      </w:pPr>
      <w:r>
        <w:separator/>
      </w:r>
    </w:p>
  </w:endnote>
  <w:endnote w:type="continuationSeparator" w:id="0">
    <w:p w14:paraId="08C5060B" w14:textId="77777777" w:rsidR="00172FCD" w:rsidRDefault="00172FC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D584" w14:textId="77777777" w:rsidR="00172FCD" w:rsidRDefault="00172FCD" w:rsidP="00B04ED8">
      <w:pPr>
        <w:spacing w:after="0" w:line="240" w:lineRule="auto"/>
      </w:pPr>
      <w:r>
        <w:separator/>
      </w:r>
    </w:p>
  </w:footnote>
  <w:footnote w:type="continuationSeparator" w:id="0">
    <w:p w14:paraId="74D140EE" w14:textId="77777777" w:rsidR="00172FCD" w:rsidRDefault="00172FC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23E7" w14:textId="77777777" w:rsidR="00B04ED8" w:rsidRDefault="00B4551E">
    <w:pPr>
      <w:pStyle w:val="Header"/>
    </w:pPr>
    <w:r>
      <w:rPr>
        <w:noProof/>
        <w:lang w:eastAsia="en-AU"/>
      </w:rPr>
      <w:drawing>
        <wp:inline distT="0" distB="0" distL="0" distR="0" wp14:anchorId="5EB0065F" wp14:editId="21F1427B">
          <wp:extent cx="360299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99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ED9"/>
    <w:multiLevelType w:val="hybridMultilevel"/>
    <w:tmpl w:val="990AA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02779"/>
    <w:multiLevelType w:val="hybridMultilevel"/>
    <w:tmpl w:val="FD24F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92A6622"/>
    <w:multiLevelType w:val="hybridMultilevel"/>
    <w:tmpl w:val="D884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502CD"/>
    <w:multiLevelType w:val="hybridMultilevel"/>
    <w:tmpl w:val="8BB8A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8501234"/>
    <w:multiLevelType w:val="hybridMultilevel"/>
    <w:tmpl w:val="0764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C23E58"/>
    <w:multiLevelType w:val="hybridMultilevel"/>
    <w:tmpl w:val="FDC4E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F24C99"/>
    <w:multiLevelType w:val="hybridMultilevel"/>
    <w:tmpl w:val="8D16E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53F4683"/>
    <w:multiLevelType w:val="hybridMultilevel"/>
    <w:tmpl w:val="9D3A5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7F829EB"/>
    <w:multiLevelType w:val="hybridMultilevel"/>
    <w:tmpl w:val="ADF07A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8AA5D8F"/>
    <w:multiLevelType w:val="hybridMultilevel"/>
    <w:tmpl w:val="17BA8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4D03AD"/>
    <w:multiLevelType w:val="hybridMultilevel"/>
    <w:tmpl w:val="46303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AC56343"/>
    <w:multiLevelType w:val="hybridMultilevel"/>
    <w:tmpl w:val="BE567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B968B9"/>
    <w:multiLevelType w:val="hybridMultilevel"/>
    <w:tmpl w:val="963AD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0F07882"/>
    <w:multiLevelType w:val="hybridMultilevel"/>
    <w:tmpl w:val="BCCC6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20157BB"/>
    <w:multiLevelType w:val="hybridMultilevel"/>
    <w:tmpl w:val="16A2A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36820"/>
    <w:multiLevelType w:val="hybridMultilevel"/>
    <w:tmpl w:val="DB50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440576"/>
    <w:multiLevelType w:val="hybridMultilevel"/>
    <w:tmpl w:val="7EE21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6"/>
  </w:num>
  <w:num w:numId="5">
    <w:abstractNumId w:val="9"/>
  </w:num>
  <w:num w:numId="6">
    <w:abstractNumId w:val="7"/>
  </w:num>
  <w:num w:numId="7">
    <w:abstractNumId w:val="5"/>
  </w:num>
  <w:num w:numId="8">
    <w:abstractNumId w:val="12"/>
  </w:num>
  <w:num w:numId="9">
    <w:abstractNumId w:val="0"/>
  </w:num>
  <w:num w:numId="10">
    <w:abstractNumId w:val="1"/>
  </w:num>
  <w:num w:numId="11">
    <w:abstractNumId w:val="11"/>
  </w:num>
  <w:num w:numId="12">
    <w:abstractNumId w:val="13"/>
  </w:num>
  <w:num w:numId="13">
    <w:abstractNumId w:val="3"/>
  </w:num>
  <w:num w:numId="14">
    <w:abstractNumId w:val="8"/>
  </w:num>
  <w:num w:numId="15">
    <w:abstractNumId w:val="4"/>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33"/>
    <w:rsid w:val="00005633"/>
    <w:rsid w:val="00022B33"/>
    <w:rsid w:val="00046890"/>
    <w:rsid w:val="00061C10"/>
    <w:rsid w:val="00172FCD"/>
    <w:rsid w:val="001A6A23"/>
    <w:rsid w:val="001E630D"/>
    <w:rsid w:val="00284DC9"/>
    <w:rsid w:val="00301B9F"/>
    <w:rsid w:val="0036218A"/>
    <w:rsid w:val="0038209D"/>
    <w:rsid w:val="00394B57"/>
    <w:rsid w:val="003B2BB8"/>
    <w:rsid w:val="003C0061"/>
    <w:rsid w:val="003D34FF"/>
    <w:rsid w:val="00401C41"/>
    <w:rsid w:val="00443691"/>
    <w:rsid w:val="0045004F"/>
    <w:rsid w:val="00464B98"/>
    <w:rsid w:val="004B54CA"/>
    <w:rsid w:val="004E5AB4"/>
    <w:rsid w:val="004E5CBF"/>
    <w:rsid w:val="00501FFC"/>
    <w:rsid w:val="00506890"/>
    <w:rsid w:val="005815DE"/>
    <w:rsid w:val="005A6E5F"/>
    <w:rsid w:val="005C3AA9"/>
    <w:rsid w:val="0060298B"/>
    <w:rsid w:val="00621FC5"/>
    <w:rsid w:val="00637B02"/>
    <w:rsid w:val="00641C3E"/>
    <w:rsid w:val="00682880"/>
    <w:rsid w:val="00683A84"/>
    <w:rsid w:val="00685273"/>
    <w:rsid w:val="006A4CE7"/>
    <w:rsid w:val="00707392"/>
    <w:rsid w:val="00735CE8"/>
    <w:rsid w:val="00785261"/>
    <w:rsid w:val="007B0256"/>
    <w:rsid w:val="007B5F55"/>
    <w:rsid w:val="007D135F"/>
    <w:rsid w:val="008078C9"/>
    <w:rsid w:val="0083177B"/>
    <w:rsid w:val="00852F44"/>
    <w:rsid w:val="008734A1"/>
    <w:rsid w:val="009225F0"/>
    <w:rsid w:val="0093462C"/>
    <w:rsid w:val="0093732B"/>
    <w:rsid w:val="00953795"/>
    <w:rsid w:val="00974189"/>
    <w:rsid w:val="00A57B9B"/>
    <w:rsid w:val="00A67CC3"/>
    <w:rsid w:val="00A911A5"/>
    <w:rsid w:val="00AD6F5C"/>
    <w:rsid w:val="00B04ED8"/>
    <w:rsid w:val="00B17EB5"/>
    <w:rsid w:val="00B362E5"/>
    <w:rsid w:val="00B4551E"/>
    <w:rsid w:val="00B91E3E"/>
    <w:rsid w:val="00BA2DB9"/>
    <w:rsid w:val="00BB01CE"/>
    <w:rsid w:val="00BD0F25"/>
    <w:rsid w:val="00BD2C42"/>
    <w:rsid w:val="00BD2DD0"/>
    <w:rsid w:val="00BE7148"/>
    <w:rsid w:val="00C10397"/>
    <w:rsid w:val="00C318BF"/>
    <w:rsid w:val="00C6108F"/>
    <w:rsid w:val="00C82AF3"/>
    <w:rsid w:val="00C84DD7"/>
    <w:rsid w:val="00C92EF0"/>
    <w:rsid w:val="00C94A8F"/>
    <w:rsid w:val="00CB5863"/>
    <w:rsid w:val="00CB6237"/>
    <w:rsid w:val="00D02F8D"/>
    <w:rsid w:val="00D578B6"/>
    <w:rsid w:val="00D72644"/>
    <w:rsid w:val="00DA243A"/>
    <w:rsid w:val="00DA2A56"/>
    <w:rsid w:val="00DE28DF"/>
    <w:rsid w:val="00E108C1"/>
    <w:rsid w:val="00E273E4"/>
    <w:rsid w:val="00E37C87"/>
    <w:rsid w:val="00E77EEA"/>
    <w:rsid w:val="00EB0374"/>
    <w:rsid w:val="00ED181C"/>
    <w:rsid w:val="00F234AE"/>
    <w:rsid w:val="00F30AFE"/>
    <w:rsid w:val="00F46406"/>
    <w:rsid w:val="00F70117"/>
    <w:rsid w:val="00FC5B2A"/>
    <w:rsid w:val="00FF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5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3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5A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5F"/>
    <w:rPr>
      <w:rFonts w:ascii="Segoe UI" w:hAnsi="Segoe UI" w:cs="Segoe UI"/>
      <w:sz w:val="18"/>
      <w:szCs w:val="18"/>
    </w:rPr>
  </w:style>
  <w:style w:type="character" w:styleId="CommentReference">
    <w:name w:val="annotation reference"/>
    <w:basedOn w:val="DefaultParagraphFont"/>
    <w:uiPriority w:val="99"/>
    <w:semiHidden/>
    <w:unhideWhenUsed/>
    <w:rsid w:val="00BD0F25"/>
    <w:rPr>
      <w:sz w:val="16"/>
      <w:szCs w:val="16"/>
    </w:rPr>
  </w:style>
  <w:style w:type="paragraph" w:styleId="CommentText">
    <w:name w:val="annotation text"/>
    <w:basedOn w:val="Normal"/>
    <w:link w:val="CommentTextChar"/>
    <w:uiPriority w:val="99"/>
    <w:semiHidden/>
    <w:unhideWhenUsed/>
    <w:rsid w:val="00BD0F25"/>
    <w:pPr>
      <w:spacing w:line="240" w:lineRule="auto"/>
    </w:pPr>
    <w:rPr>
      <w:sz w:val="20"/>
      <w:szCs w:val="20"/>
    </w:rPr>
  </w:style>
  <w:style w:type="character" w:customStyle="1" w:styleId="CommentTextChar">
    <w:name w:val="Comment Text Char"/>
    <w:basedOn w:val="DefaultParagraphFont"/>
    <w:link w:val="CommentText"/>
    <w:uiPriority w:val="99"/>
    <w:semiHidden/>
    <w:rsid w:val="00BD0F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0F25"/>
    <w:rPr>
      <w:b/>
      <w:bCs/>
    </w:rPr>
  </w:style>
  <w:style w:type="character" w:customStyle="1" w:styleId="CommentSubjectChar">
    <w:name w:val="Comment Subject Char"/>
    <w:basedOn w:val="CommentTextChar"/>
    <w:link w:val="CommentSubject"/>
    <w:uiPriority w:val="99"/>
    <w:semiHidden/>
    <w:rsid w:val="00BD0F25"/>
    <w:rPr>
      <w:rFonts w:ascii="Arial" w:hAnsi="Arial"/>
      <w:b/>
      <w:bCs/>
      <w:sz w:val="20"/>
      <w:szCs w:val="20"/>
    </w:rPr>
  </w:style>
  <w:style w:type="character" w:styleId="Hyperlink">
    <w:name w:val="Hyperlink"/>
    <w:basedOn w:val="DefaultParagraphFont"/>
    <w:uiPriority w:val="99"/>
    <w:semiHidden/>
    <w:unhideWhenUsed/>
    <w:rsid w:val="00C94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3102">
      <w:bodyDiv w:val="1"/>
      <w:marLeft w:val="0"/>
      <w:marRight w:val="0"/>
      <w:marTop w:val="0"/>
      <w:marBottom w:val="0"/>
      <w:divBdr>
        <w:top w:val="none" w:sz="0" w:space="0" w:color="auto"/>
        <w:left w:val="none" w:sz="0" w:space="0" w:color="auto"/>
        <w:bottom w:val="none" w:sz="0" w:space="0" w:color="auto"/>
        <w:right w:val="none" w:sz="0" w:space="0" w:color="auto"/>
      </w:divBdr>
    </w:div>
    <w:div w:id="1207333056">
      <w:bodyDiv w:val="1"/>
      <w:marLeft w:val="0"/>
      <w:marRight w:val="0"/>
      <w:marTop w:val="0"/>
      <w:marBottom w:val="0"/>
      <w:divBdr>
        <w:top w:val="none" w:sz="0" w:space="0" w:color="auto"/>
        <w:left w:val="none" w:sz="0" w:space="0" w:color="auto"/>
        <w:bottom w:val="none" w:sz="0" w:space="0" w:color="auto"/>
        <w:right w:val="none" w:sz="0" w:space="0" w:color="auto"/>
      </w:divBdr>
    </w:div>
    <w:div w:id="1263147418">
      <w:bodyDiv w:val="1"/>
      <w:marLeft w:val="0"/>
      <w:marRight w:val="0"/>
      <w:marTop w:val="0"/>
      <w:marBottom w:val="0"/>
      <w:divBdr>
        <w:top w:val="none" w:sz="0" w:space="0" w:color="auto"/>
        <w:left w:val="none" w:sz="0" w:space="0" w:color="auto"/>
        <w:bottom w:val="none" w:sz="0" w:space="0" w:color="auto"/>
        <w:right w:val="none" w:sz="0" w:space="0" w:color="auto"/>
      </w:divBdr>
    </w:div>
    <w:div w:id="1539003262">
      <w:bodyDiv w:val="1"/>
      <w:marLeft w:val="0"/>
      <w:marRight w:val="0"/>
      <w:marTop w:val="0"/>
      <w:marBottom w:val="0"/>
      <w:divBdr>
        <w:top w:val="none" w:sz="0" w:space="0" w:color="auto"/>
        <w:left w:val="none" w:sz="0" w:space="0" w:color="auto"/>
        <w:bottom w:val="none" w:sz="0" w:space="0" w:color="auto"/>
        <w:right w:val="none" w:sz="0" w:space="0" w:color="auto"/>
      </w:divBdr>
    </w:div>
    <w:div w:id="1890535042">
      <w:bodyDiv w:val="1"/>
      <w:marLeft w:val="0"/>
      <w:marRight w:val="0"/>
      <w:marTop w:val="0"/>
      <w:marBottom w:val="0"/>
      <w:divBdr>
        <w:top w:val="none" w:sz="0" w:space="0" w:color="auto"/>
        <w:left w:val="none" w:sz="0" w:space="0" w:color="auto"/>
        <w:bottom w:val="none" w:sz="0" w:space="0" w:color="auto"/>
        <w:right w:val="none" w:sz="0" w:space="0" w:color="auto"/>
      </w:divBdr>
    </w:div>
    <w:div w:id="20373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ervices/centrelink/disability-support-pension/who-can-get-it/medical-rules/general-medical-rules/fully-diagnosed-treated-and-stabilised" TargetMode="External"/><Relationship Id="rId13" Type="http://schemas.openxmlformats.org/officeDocument/2006/relationships/hyperlink" Target="https://www.servicesaustralia.gov.au/organisations/health-professionals/services/centrelink/disability-support-pension-information-health-profession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saustralia.gov.au/individuals/services/centrelink/disability-support-pension/who-can-get-it/before-claiming" TargetMode="External"/><Relationship Id="rId12" Type="http://schemas.openxmlformats.org/officeDocument/2006/relationships/hyperlink" Target="https://www.servicesaustralia.gov.au/individuals/online-help/centrelink/centrelink-online-account-upload-docu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individuals/services/centrelink/disability-support-pension/how-we-assess-your-claim/medical-evidence" TargetMode="External"/><Relationship Id="rId5" Type="http://schemas.openxmlformats.org/officeDocument/2006/relationships/footnotes" Target="footnotes.xml"/><Relationship Id="rId15" Type="http://schemas.openxmlformats.org/officeDocument/2006/relationships/hyperlink" Target="https://www.servicesaustralia.gov.au/individuals/forms/sa473" TargetMode="External"/><Relationship Id="rId10" Type="http://schemas.openxmlformats.org/officeDocument/2006/relationships/hyperlink" Target="https://www.servicesaustralia.gov.au/individuals/services/centrelink/disability-support-pension/how-we-assess-your-claim/assessing-your-ability-work/program-support" TargetMode="External"/><Relationship Id="rId4" Type="http://schemas.openxmlformats.org/officeDocument/2006/relationships/webSettings" Target="webSettings.xml"/><Relationship Id="rId9" Type="http://schemas.openxmlformats.org/officeDocument/2006/relationships/hyperlink" Target="https://www.servicesaustralia.gov.au/individuals/services/centrelink/disability-support-pension/how-we-assess-your-claim/impairment-rating" TargetMode="External"/><Relationship Id="rId14" Type="http://schemas.openxmlformats.org/officeDocument/2006/relationships/hyperlink" Target="https://www.servicesaustralia.gov.au/individuals/forms/sa4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4390</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2021-10-22T02:21:00Z</dcterms:created>
  <dcterms:modified xsi:type="dcterms:W3CDTF">2021-10-22T02:21:00Z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8607CF8B4FEA41678602031DD85F1B0F</vt:lpwstr>
  </property>
  <property fmtid="{D5CDD505-2E9C-101B-9397-08002B2CF9AE}" pid="9" name="PM_ProtectiveMarkingValue_Footer">
    <vt:lpwstr>OFFICIAL</vt:lpwstr>
  </property>
  <property fmtid="{D5CDD505-2E9C-101B-9397-08002B2CF9AE}" pid="10" name="PM_Originator_Hash_SHA1">
    <vt:lpwstr>0848EAF5412DB3F20C4EDC9351CE6BEA8AABF3E0</vt:lpwstr>
  </property>
  <property fmtid="{D5CDD505-2E9C-101B-9397-08002B2CF9AE}" pid="11" name="PM_OriginationTimeStamp">
    <vt:lpwstr>2021-10-22T02:21:09Z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4010C396076446CC4DE1AB0CAB9A873D</vt:lpwstr>
  </property>
  <property fmtid="{D5CDD505-2E9C-101B-9397-08002B2CF9AE}" pid="20" name="PM_Hash_Salt">
    <vt:lpwstr>F664C5471D3461A2C78AB4F1D43BFA42</vt:lpwstr>
  </property>
  <property fmtid="{D5CDD505-2E9C-101B-9397-08002B2CF9AE}" pid="21" name="PM_Hash_SHA1">
    <vt:lpwstr>A2C02E8D547F80350EB66A1E9D169F81BC84C359</vt:lpwstr>
  </property>
  <property fmtid="{D5CDD505-2E9C-101B-9397-08002B2CF9AE}" pid="22" name="PM_SecurityClassification_Prev">
    <vt:lpwstr>OFFICIAL</vt:lpwstr>
  </property>
  <property fmtid="{D5CDD505-2E9C-101B-9397-08002B2CF9AE}" pid="23" name="PM_Qualifier_Prev">
    <vt:lpwstr/>
  </property>
</Properties>
</file>