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B624" w14:textId="77777777" w:rsidR="00B94ABD" w:rsidRDefault="00B94ABD" w:rsidP="00B94ABD">
      <w:pPr>
        <w:spacing w:before="0"/>
      </w:pPr>
      <w:bookmarkStart w:id="0" w:name="_GoBack"/>
      <w:bookmarkEnd w:id="0"/>
      <w:r>
        <w:rPr>
          <w:noProof/>
        </w:rPr>
        <w:drawing>
          <wp:inline distT="0" distB="0" distL="0" distR="0" wp14:anchorId="2B111D62" wp14:editId="4AA0F418">
            <wp:extent cx="5953125" cy="721989"/>
            <wp:effectExtent l="0" t="0" r="0" b="2540"/>
            <wp:docPr id="9" name="Picture 9" descr="C:\Users\SS0017\AppData\Local\Microsoft\Windows\Temporary Internet Files\Content.Outlook\9BUZYU2C\TILA Leaderboard (2).jpg" title="DSS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0017\AppData\Local\Microsoft\Windows\Temporary Internet Files\Content.Outlook\9BUZYU2C\TILA Leaderboar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3474" w14:textId="2F5BC4B5" w:rsidR="00B94ABD" w:rsidRPr="004512D6" w:rsidRDefault="00B94ABD" w:rsidP="004512D6">
      <w:pPr>
        <w:pStyle w:val="Heading1"/>
        <w:spacing w:before="360" w:after="120" w:line="240" w:lineRule="auto"/>
        <w:ind w:right="-1278"/>
        <w:rPr>
          <w:rFonts w:ascii="Georgia" w:hAnsi="Georgia"/>
          <w:b w:val="0"/>
          <w:color w:val="24596E"/>
          <w:sz w:val="36"/>
        </w:rPr>
      </w:pPr>
      <w:bookmarkStart w:id="1" w:name="_Application_process_-"/>
      <w:bookmarkEnd w:id="1"/>
      <w:r w:rsidRPr="004512D6">
        <w:rPr>
          <w:rFonts w:ascii="Georgia" w:hAnsi="Georgia"/>
          <w:b w:val="0"/>
          <w:color w:val="24596E"/>
          <w:sz w:val="36"/>
        </w:rPr>
        <w:t xml:space="preserve">Application process — </w:t>
      </w:r>
      <w:r w:rsidRPr="00343036">
        <w:rPr>
          <w:rFonts w:ascii="Georgia" w:hAnsi="Georgia"/>
          <w:b w:val="0"/>
          <w:color w:val="24596E"/>
          <w:sz w:val="36"/>
          <w:szCs w:val="36"/>
        </w:rPr>
        <w:t>step</w:t>
      </w:r>
      <w:r w:rsidRPr="004512D6">
        <w:rPr>
          <w:rFonts w:ascii="Georgia" w:hAnsi="Georgia"/>
          <w:b w:val="0"/>
          <w:color w:val="24596E"/>
          <w:sz w:val="36"/>
        </w:rPr>
        <w:t xml:space="preserve"> by step guide for </w:t>
      </w:r>
      <w:r w:rsidR="00343036" w:rsidRPr="00343036">
        <w:rPr>
          <w:rFonts w:ascii="Georgia" w:hAnsi="Georgia"/>
          <w:b w:val="0"/>
          <w:color w:val="24596E"/>
          <w:sz w:val="36"/>
          <w:szCs w:val="36"/>
        </w:rPr>
        <w:t>c</w:t>
      </w:r>
      <w:r w:rsidRPr="00343036">
        <w:rPr>
          <w:rFonts w:ascii="Georgia" w:hAnsi="Georgia"/>
          <w:b w:val="0"/>
          <w:color w:val="24596E"/>
          <w:sz w:val="36"/>
          <w:szCs w:val="36"/>
        </w:rPr>
        <w:t xml:space="preserve">ase </w:t>
      </w:r>
      <w:r w:rsidR="00343036" w:rsidRPr="00343036">
        <w:rPr>
          <w:rFonts w:ascii="Georgia" w:hAnsi="Georgia"/>
          <w:b w:val="0"/>
          <w:color w:val="24596E"/>
          <w:sz w:val="36"/>
          <w:szCs w:val="36"/>
        </w:rPr>
        <w:t>w</w:t>
      </w:r>
      <w:r w:rsidRPr="00343036">
        <w:rPr>
          <w:rFonts w:ascii="Georgia" w:hAnsi="Georgia"/>
          <w:b w:val="0"/>
          <w:color w:val="24596E"/>
          <w:sz w:val="36"/>
          <w:szCs w:val="36"/>
        </w:rPr>
        <w:t>orkers</w:t>
      </w:r>
    </w:p>
    <w:p w14:paraId="343E3AE1" w14:textId="77777777" w:rsidR="00B94ABD" w:rsidRDefault="00B94ABD" w:rsidP="00B94ABD">
      <w:pPr>
        <w:pStyle w:val="Header"/>
        <w:spacing w:before="0" w:after="0"/>
        <w:rPr>
          <w:rFonts w:asciiTheme="minorHAnsi" w:hAnsiTheme="minorHAnsi" w:cstheme="minorHAnsi"/>
          <w:color w:val="auto"/>
        </w:rPr>
      </w:pPr>
    </w:p>
    <w:p w14:paraId="5265A36D" w14:textId="12D73C87" w:rsidR="00B94ABD" w:rsidRPr="009A5A5D" w:rsidRDefault="0064256B" w:rsidP="00B94ABD">
      <w:r>
        <w:t>There are now two steps</w:t>
      </w:r>
      <w:r w:rsidR="00B94ABD" w:rsidRPr="009A5A5D">
        <w:t xml:space="preserve"> </w:t>
      </w:r>
      <w:r w:rsidR="003761F7">
        <w:t>in the TILA application process.</w:t>
      </w:r>
    </w:p>
    <w:p w14:paraId="203B76B3" w14:textId="77777777" w:rsidR="00B94ABD" w:rsidRDefault="0064256B" w:rsidP="00B94ABD">
      <w:pPr>
        <w:pStyle w:val="Heading2"/>
      </w:pPr>
      <w:r>
        <w:t>Step 1.</w:t>
      </w:r>
      <w:r w:rsidR="00B94ABD">
        <w:t xml:space="preserve"> </w:t>
      </w:r>
      <w:r w:rsidR="00B94ABD" w:rsidRPr="00DB3EDF">
        <w:t xml:space="preserve">Assessment </w:t>
      </w:r>
    </w:p>
    <w:p w14:paraId="24456C4C" w14:textId="6639BBB7" w:rsidR="00B94ABD" w:rsidRPr="00B94ABD" w:rsidRDefault="00A3764E" w:rsidP="00B94ABD">
      <w:pPr>
        <w:pStyle w:val="ListParagraph"/>
        <w:numPr>
          <w:ilvl w:val="0"/>
          <w:numId w:val="6"/>
        </w:numPr>
      </w:pPr>
      <w:r>
        <w:t>D</w:t>
      </w:r>
      <w:r w:rsidR="00B94ABD" w:rsidRPr="00B94ABD">
        <w:t>iscuss the transition to independence plan</w:t>
      </w:r>
      <w:r>
        <w:t>.</w:t>
      </w:r>
    </w:p>
    <w:p w14:paraId="16586D17" w14:textId="4FE34FEB" w:rsidR="00B94ABD" w:rsidRPr="00B94ABD" w:rsidRDefault="00A3764E" w:rsidP="00B94ABD">
      <w:pPr>
        <w:pStyle w:val="ListParagraph"/>
        <w:numPr>
          <w:ilvl w:val="0"/>
          <w:numId w:val="6"/>
        </w:numPr>
      </w:pPr>
      <w:r>
        <w:t>A</w:t>
      </w:r>
      <w:r w:rsidR="00B94ABD" w:rsidRPr="00B94ABD">
        <w:t>ssess whether the young person is eligible and if TILA is applicable</w:t>
      </w:r>
      <w:r>
        <w:t>.</w:t>
      </w:r>
    </w:p>
    <w:p w14:paraId="595DB7C9" w14:textId="5335ABB2" w:rsidR="00B94ABD" w:rsidRPr="00B94ABD" w:rsidRDefault="00A3764E" w:rsidP="004512D6">
      <w:pPr>
        <w:pStyle w:val="ListParagraph"/>
        <w:numPr>
          <w:ilvl w:val="0"/>
          <w:numId w:val="6"/>
        </w:numPr>
      </w:pPr>
      <w:r>
        <w:t>I</w:t>
      </w:r>
      <w:r w:rsidR="00B94ABD" w:rsidRPr="00B94ABD">
        <w:t xml:space="preserve">f </w:t>
      </w:r>
      <w:r w:rsidR="00EC4DC9">
        <w:t xml:space="preserve">the young person is </w:t>
      </w:r>
      <w:r w:rsidR="00B94ABD" w:rsidRPr="00B94ABD">
        <w:t>eligible</w:t>
      </w:r>
      <w:r w:rsidR="00EC4DC9">
        <w:t>,</w:t>
      </w:r>
      <w:r w:rsidR="00B94ABD" w:rsidRPr="00B94ABD">
        <w:t xml:space="preserve"> complete and both parties sign, the </w:t>
      </w:r>
      <w:hyperlink r:id="rId7" w:history="1">
        <w:r w:rsidR="00B94ABD" w:rsidRPr="00054BF7">
          <w:rPr>
            <w:rStyle w:val="Hyperlink"/>
            <w:rFonts w:cs="Arial"/>
            <w:sz w:val="24"/>
          </w:rPr>
          <w:t>TILA Application Form</w:t>
        </w:r>
      </w:hyperlink>
      <w:r w:rsidR="00B94ABD" w:rsidRPr="00FF2F74">
        <w:t xml:space="preserve"> and retain the form for </w:t>
      </w:r>
      <w:r w:rsidR="00EC4DC9" w:rsidRPr="00FF2F74">
        <w:t xml:space="preserve">your </w:t>
      </w:r>
      <w:r w:rsidR="00B94ABD" w:rsidRPr="00FF2F74">
        <w:t>organisation</w:t>
      </w:r>
      <w:r w:rsidR="00EC4DC9" w:rsidRPr="00FF2F74">
        <w:t>'s</w:t>
      </w:r>
      <w:r w:rsidR="00B94ABD" w:rsidRPr="00FF2F74">
        <w:t xml:space="preserve"> records. </w:t>
      </w:r>
    </w:p>
    <w:p w14:paraId="7B608F34" w14:textId="77777777" w:rsidR="00B94ABD" w:rsidRPr="00B94ABD" w:rsidRDefault="00B94ABD" w:rsidP="00B94ABD">
      <w:pPr>
        <w:pStyle w:val="Heading2"/>
        <w:spacing w:before="0"/>
        <w:rPr>
          <w:rFonts w:cs="Arial"/>
          <w:sz w:val="24"/>
          <w:szCs w:val="24"/>
        </w:rPr>
      </w:pPr>
      <w:r w:rsidRPr="00B94ABD">
        <w:rPr>
          <w:rFonts w:cs="Arial"/>
          <w:sz w:val="24"/>
          <w:szCs w:val="24"/>
        </w:rPr>
        <w:t>To endorse an application for TILA, as a case worker, you</w:t>
      </w:r>
      <w:r w:rsidRPr="00B94ABD">
        <w:rPr>
          <w:rFonts w:cs="Arial"/>
        </w:rPr>
        <w:t xml:space="preserve"> </w:t>
      </w:r>
      <w:r w:rsidRPr="00B94ABD">
        <w:rPr>
          <w:rFonts w:cs="Arial"/>
          <w:sz w:val="24"/>
          <w:szCs w:val="24"/>
        </w:rPr>
        <w:t>must be satisfied that:</w:t>
      </w:r>
    </w:p>
    <w:p w14:paraId="4262C164" w14:textId="1B7B0CAA" w:rsidR="00B94ABD" w:rsidRPr="00B94ABD" w:rsidRDefault="00B94ABD" w:rsidP="00B94ABD">
      <w:pPr>
        <w:pStyle w:val="ListParagraph"/>
        <w:numPr>
          <w:ilvl w:val="0"/>
          <w:numId w:val="5"/>
        </w:numPr>
      </w:pPr>
      <w:r w:rsidRPr="00B94ABD">
        <w:t xml:space="preserve">the young person meets all of the </w:t>
      </w:r>
      <w:hyperlink r:id="rId8" w:history="1">
        <w:r w:rsidRPr="004512D6">
          <w:rPr>
            <w:rStyle w:val="Hyperlink"/>
            <w:rFonts w:cs="Arial"/>
            <w:sz w:val="24"/>
          </w:rPr>
          <w:t>eligibility</w:t>
        </w:r>
      </w:hyperlink>
      <w:r w:rsidRPr="00FF2F74">
        <w:t xml:space="preserve"> criteria outlined in the </w:t>
      </w:r>
      <w:hyperlink r:id="rId9" w:history="1">
        <w:r w:rsidRPr="00893B58">
          <w:rPr>
            <w:rStyle w:val="Hyperlink"/>
            <w:rFonts w:cs="Arial"/>
            <w:sz w:val="24"/>
          </w:rPr>
          <w:t>Guidelines</w:t>
        </w:r>
      </w:hyperlink>
      <w:r w:rsidRPr="00FF2F74">
        <w:t xml:space="preserve"> </w:t>
      </w:r>
    </w:p>
    <w:p w14:paraId="61A1EAC6" w14:textId="77777777" w:rsidR="00B94ABD" w:rsidRPr="00B94ABD" w:rsidRDefault="00B94ABD" w:rsidP="00B94ABD">
      <w:pPr>
        <w:pStyle w:val="ListParagraph"/>
        <w:numPr>
          <w:ilvl w:val="0"/>
          <w:numId w:val="5"/>
        </w:numPr>
      </w:pPr>
      <w:r w:rsidRPr="00B94ABD">
        <w:t>the young person has not already accessed their full TILA entitlement</w:t>
      </w:r>
    </w:p>
    <w:p w14:paraId="1BB898C8" w14:textId="77777777" w:rsidR="00B94ABD" w:rsidRPr="00B94ABD" w:rsidRDefault="00B94ABD" w:rsidP="00B94ABD">
      <w:pPr>
        <w:pStyle w:val="ListParagraph"/>
        <w:numPr>
          <w:ilvl w:val="0"/>
          <w:numId w:val="5"/>
        </w:numPr>
      </w:pPr>
      <w:r w:rsidRPr="00B94ABD">
        <w:t>the proposed amount, use of, and timing of the TILA funds are appropriate.</w:t>
      </w:r>
    </w:p>
    <w:p w14:paraId="13C9E4E2" w14:textId="4293A829" w:rsidR="00B94ABD" w:rsidRPr="00B94ABD" w:rsidRDefault="00B94ABD" w:rsidP="00B94ABD">
      <w:r w:rsidRPr="00B94ABD">
        <w:t xml:space="preserve">You must also verify the young </w:t>
      </w:r>
      <w:r w:rsidRPr="00FF2F74">
        <w:t xml:space="preserve">person’s </w:t>
      </w:r>
      <w:hyperlink r:id="rId10" w:history="1">
        <w:r w:rsidRPr="004512D6">
          <w:rPr>
            <w:rStyle w:val="Hyperlink"/>
            <w:rFonts w:cs="Arial"/>
            <w:sz w:val="24"/>
          </w:rPr>
          <w:t>eligibility</w:t>
        </w:r>
      </w:hyperlink>
      <w:r w:rsidRPr="00FF2F74">
        <w:t xml:space="preserve"> by sight</w:t>
      </w:r>
      <w:r w:rsidR="00EC4DC9" w:rsidRPr="00FF2F74">
        <w:t>ing</w:t>
      </w:r>
      <w:r w:rsidRPr="00FF2F74">
        <w:t xml:space="preserve"> the following</w:t>
      </w:r>
      <w:r w:rsidRPr="00B94ABD">
        <w:t xml:space="preserve"> documentation that confirms the young person is:</w:t>
      </w:r>
    </w:p>
    <w:p w14:paraId="435E7CBB" w14:textId="77777777" w:rsidR="00B94ABD" w:rsidRPr="00B94ABD" w:rsidRDefault="00B94ABD" w:rsidP="00B94ABD">
      <w:pPr>
        <w:pStyle w:val="ListParagraph"/>
        <w:numPr>
          <w:ilvl w:val="0"/>
          <w:numId w:val="5"/>
        </w:numPr>
      </w:pPr>
      <w:r w:rsidRPr="00B94ABD">
        <w:t xml:space="preserve">an Australian citizen by either birth or has been granted Australian citizenship (e.g. birth certificate, citizenship certificate) </w:t>
      </w:r>
    </w:p>
    <w:p w14:paraId="1AE3E87A" w14:textId="4DB65429" w:rsidR="00B94ABD" w:rsidRPr="00B94ABD" w:rsidRDefault="00B94ABD" w:rsidP="00B94ABD">
      <w:pPr>
        <w:pStyle w:val="ListParagraph"/>
        <w:numPr>
          <w:ilvl w:val="0"/>
          <w:numId w:val="5"/>
        </w:numPr>
      </w:pPr>
      <w:r w:rsidRPr="00B94ABD">
        <w:t xml:space="preserve">aged from 15 to 25 at the time of submitting application (e.g. birth certificate or driver’s licence) </w:t>
      </w:r>
    </w:p>
    <w:p w14:paraId="345A624B" w14:textId="4E59CBD5" w:rsidR="00B94ABD" w:rsidRPr="00B94ABD" w:rsidRDefault="00B94ABD" w:rsidP="00B94ABD">
      <w:pPr>
        <w:pStyle w:val="ListParagraph"/>
        <w:numPr>
          <w:ilvl w:val="0"/>
          <w:numId w:val="5"/>
        </w:numPr>
      </w:pPr>
      <w:r w:rsidRPr="00B94ABD">
        <w:t xml:space="preserve">has been in, or is currently in, formal care as described in </w:t>
      </w:r>
      <w:r w:rsidRPr="00FF2F74">
        <w:t xml:space="preserve">the </w:t>
      </w:r>
      <w:hyperlink r:id="rId11" w:history="1">
        <w:r w:rsidRPr="004512D6">
          <w:rPr>
            <w:rStyle w:val="Hyperlink"/>
            <w:rFonts w:cs="Arial"/>
            <w:sz w:val="24"/>
          </w:rPr>
          <w:t>eligibility criteria</w:t>
        </w:r>
      </w:hyperlink>
    </w:p>
    <w:p w14:paraId="0A79A626" w14:textId="0F87911E" w:rsidR="00B94ABD" w:rsidRPr="00B94ABD" w:rsidRDefault="00B94ABD" w:rsidP="00B94ABD">
      <w:pPr>
        <w:pStyle w:val="ListParagraph"/>
        <w:numPr>
          <w:ilvl w:val="0"/>
          <w:numId w:val="5"/>
        </w:numPr>
      </w:pPr>
      <w:r w:rsidRPr="00B94ABD">
        <w:t>has a transition to independence plan</w:t>
      </w:r>
    </w:p>
    <w:p w14:paraId="77E7BD8B" w14:textId="5493B219" w:rsidR="00B94ABD" w:rsidRPr="00EC4DC9" w:rsidRDefault="00B94ABD" w:rsidP="006C2254">
      <w:pPr>
        <w:rPr>
          <w:rFonts w:asciiTheme="minorHAnsi" w:hAnsiTheme="minorHAnsi" w:cstheme="minorHAnsi"/>
        </w:rPr>
      </w:pPr>
      <w:r w:rsidRPr="00B94ABD">
        <w:t xml:space="preserve">The case worker must explain the privacy notification to the young person as outlined in </w:t>
      </w:r>
      <w:hyperlink r:id="rId12" w:history="1">
        <w:r w:rsidRPr="004512D6">
          <w:rPr>
            <w:rStyle w:val="Hyperlink"/>
            <w:rFonts w:cs="Arial"/>
            <w:sz w:val="24"/>
          </w:rPr>
          <w:t>Section 3</w:t>
        </w:r>
      </w:hyperlink>
      <w:r w:rsidRPr="00FF2F74">
        <w:t xml:space="preserve"> of th</w:t>
      </w:r>
      <w:r w:rsidRPr="00B94ABD">
        <w:t>e Guidelines</w:t>
      </w:r>
      <w:r w:rsidRPr="00EC4DC9">
        <w:rPr>
          <w:rFonts w:asciiTheme="minorHAnsi" w:hAnsiTheme="minorHAnsi" w:cstheme="minorHAnsi"/>
        </w:rPr>
        <w:t xml:space="preserve">. </w:t>
      </w:r>
    </w:p>
    <w:p w14:paraId="105F711D" w14:textId="39700257" w:rsidR="00B94ABD" w:rsidRPr="009A5A5D" w:rsidRDefault="006C2254" w:rsidP="00B94ABD">
      <w:pPr>
        <w:pStyle w:val="Heading2"/>
      </w:pPr>
      <w:r>
        <w:t>Step 2</w:t>
      </w:r>
      <w:r w:rsidR="00B94ABD" w:rsidRPr="009A5A5D">
        <w:t>. Claim lodgement</w:t>
      </w:r>
    </w:p>
    <w:p w14:paraId="38832380" w14:textId="7CCD64D3" w:rsidR="001B1458" w:rsidRPr="004512D6" w:rsidRDefault="00A3764E" w:rsidP="00BD0315">
      <w:pPr>
        <w:pStyle w:val="Header"/>
        <w:numPr>
          <w:ilvl w:val="0"/>
          <w:numId w:val="3"/>
        </w:numPr>
        <w:pBdr>
          <w:bottom w:val="none" w:sz="0" w:space="0" w:color="auto"/>
        </w:pBdr>
        <w:spacing w:before="120" w:after="0"/>
        <w:rPr>
          <w:rFonts w:ascii="Arial" w:hAnsi="Arial" w:cs="Arial"/>
          <w:color w:val="auto"/>
        </w:rPr>
      </w:pPr>
      <w:r w:rsidRPr="004512D6">
        <w:rPr>
          <w:rFonts w:ascii="Arial" w:hAnsi="Arial" w:cs="Arial"/>
          <w:color w:val="auto"/>
        </w:rPr>
        <w:t>C</w:t>
      </w:r>
      <w:r w:rsidR="00B94ABD" w:rsidRPr="004512D6">
        <w:rPr>
          <w:rFonts w:ascii="Arial" w:hAnsi="Arial" w:cs="Arial"/>
          <w:color w:val="auto"/>
        </w:rPr>
        <w:t xml:space="preserve">omplete and submit an electronic claim for the TILA payment via the UGG. </w:t>
      </w:r>
      <w:bookmarkStart w:id="2" w:name="_Toc382834119"/>
      <w:r w:rsidR="00B94ABD" w:rsidRPr="004512D6">
        <w:rPr>
          <w:rFonts w:ascii="Arial" w:hAnsi="Arial" w:cs="Arial"/>
          <w:color w:val="auto"/>
        </w:rPr>
        <w:t xml:space="preserve">Instructions for registering </w:t>
      </w:r>
      <w:r w:rsidR="00D31828" w:rsidRPr="004512D6">
        <w:rPr>
          <w:rFonts w:ascii="Arial" w:hAnsi="Arial" w:cs="Arial"/>
          <w:color w:val="auto"/>
        </w:rPr>
        <w:t xml:space="preserve">for </w:t>
      </w:r>
      <w:r w:rsidR="00B94ABD" w:rsidRPr="004512D6">
        <w:rPr>
          <w:rFonts w:ascii="Arial" w:hAnsi="Arial" w:cs="Arial"/>
          <w:color w:val="auto"/>
        </w:rPr>
        <w:t>UGG</w:t>
      </w:r>
      <w:bookmarkEnd w:id="2"/>
      <w:r w:rsidR="00B94ABD" w:rsidRPr="004512D6">
        <w:rPr>
          <w:rFonts w:ascii="Arial" w:hAnsi="Arial" w:cs="Arial"/>
          <w:color w:val="auto"/>
        </w:rPr>
        <w:t xml:space="preserve"> access can be found at </w:t>
      </w:r>
      <w:hyperlink r:id="rId13" w:history="1">
        <w:r w:rsidR="00D2284F" w:rsidRPr="008736C0">
          <w:rPr>
            <w:rStyle w:val="Hyperlink"/>
            <w:rFonts w:cs="Arial"/>
            <w:sz w:val="24"/>
          </w:rPr>
          <w:t>Appendix 3</w:t>
        </w:r>
      </w:hyperlink>
      <w:r w:rsidR="00D2284F" w:rsidRPr="004512D6">
        <w:rPr>
          <w:rStyle w:val="Hyperlink"/>
          <w:rFonts w:cs="Arial"/>
          <w:sz w:val="24"/>
        </w:rPr>
        <w:t xml:space="preserve"> </w:t>
      </w:r>
      <w:r w:rsidR="006C2254" w:rsidRPr="004512D6">
        <w:rPr>
          <w:rFonts w:ascii="Arial" w:hAnsi="Arial" w:cs="Arial"/>
          <w:color w:val="auto"/>
        </w:rPr>
        <w:t>of the Operational Guidelines</w:t>
      </w:r>
      <w:r w:rsidR="00343036" w:rsidRPr="004512D6">
        <w:rPr>
          <w:rFonts w:ascii="Arial" w:hAnsi="Arial" w:cs="Arial"/>
          <w:color w:val="auto"/>
        </w:rPr>
        <w:t xml:space="preserve"> at</w:t>
      </w:r>
      <w:r w:rsidR="001B1458" w:rsidRPr="004512D6">
        <w:rPr>
          <w:rFonts w:ascii="Arial" w:hAnsi="Arial" w:cs="Arial"/>
          <w:color w:val="auto"/>
        </w:rPr>
        <w:t xml:space="preserve"> </w:t>
      </w:r>
      <w:r w:rsidR="00BD0315" w:rsidRPr="00BD0315">
        <w:rPr>
          <w:rFonts w:ascii="Arial" w:hAnsi="Arial" w:cs="Arial"/>
          <w:color w:val="auto"/>
        </w:rPr>
        <w:t>https://www.dss.gov.au/our-responsibilities/families-and-children/benefits-payments/transition-to-independent-living-allowance-tila/tila-operational-guidelines</w:t>
      </w:r>
    </w:p>
    <w:p w14:paraId="19F5C7A9" w14:textId="7CDB55BD" w:rsidR="00B94ABD" w:rsidRPr="004512D6" w:rsidRDefault="00B94ABD" w:rsidP="004512D6">
      <w:pPr>
        <w:pStyle w:val="Header"/>
        <w:numPr>
          <w:ilvl w:val="0"/>
          <w:numId w:val="3"/>
        </w:numPr>
        <w:pBdr>
          <w:bottom w:val="none" w:sz="0" w:space="0" w:color="auto"/>
        </w:pBdr>
        <w:spacing w:before="120" w:after="0"/>
        <w:rPr>
          <w:rFonts w:ascii="Arial" w:hAnsi="Arial" w:cs="Arial"/>
          <w:color w:val="auto"/>
        </w:rPr>
      </w:pPr>
      <w:r w:rsidRPr="004512D6">
        <w:rPr>
          <w:rFonts w:ascii="Arial" w:hAnsi="Arial" w:cs="Arial"/>
          <w:color w:val="auto"/>
        </w:rPr>
        <w:t xml:space="preserve">You must verify the young person’s </w:t>
      </w:r>
      <w:hyperlink r:id="rId14" w:history="1">
        <w:r w:rsidR="0064256B" w:rsidRPr="00800553">
          <w:rPr>
            <w:rFonts w:ascii="Arial" w:hAnsi="Arial" w:cs="Arial"/>
          </w:rPr>
          <w:t>eligibility</w:t>
        </w:r>
      </w:hyperlink>
      <w:r w:rsidR="0064256B" w:rsidRPr="004512D6">
        <w:rPr>
          <w:rFonts w:ascii="Arial" w:hAnsi="Arial" w:cs="Arial"/>
          <w:color w:val="auto"/>
        </w:rPr>
        <w:t xml:space="preserve"> </w:t>
      </w:r>
      <w:r w:rsidRPr="004512D6">
        <w:rPr>
          <w:rFonts w:ascii="Arial" w:hAnsi="Arial" w:cs="Arial"/>
          <w:color w:val="auto"/>
        </w:rPr>
        <w:t>by confirming in the UGG application that you have sighted the young person’s identification and citizenship documents.</w:t>
      </w:r>
    </w:p>
    <w:p w14:paraId="04F94FED" w14:textId="77777777" w:rsidR="00EC4DC9" w:rsidRDefault="00EC4DC9" w:rsidP="00B94ABD">
      <w:pPr>
        <w:pStyle w:val="Header"/>
        <w:pBdr>
          <w:bottom w:val="none" w:sz="0" w:space="0" w:color="auto"/>
        </w:pBdr>
        <w:tabs>
          <w:tab w:val="clear" w:pos="4513"/>
          <w:tab w:val="clear" w:pos="9026"/>
        </w:tabs>
        <w:spacing w:before="0" w:after="0"/>
        <w:rPr>
          <w:rFonts w:ascii="Arial" w:hAnsi="Arial" w:cs="Arial"/>
          <w:b/>
          <w:color w:val="auto"/>
        </w:rPr>
      </w:pPr>
    </w:p>
    <w:p w14:paraId="6B7BED0B" w14:textId="04269BE7" w:rsidR="00B94ABD" w:rsidRPr="00B94ABD" w:rsidRDefault="00B94ABD" w:rsidP="00B94ABD">
      <w:pPr>
        <w:pStyle w:val="Header"/>
        <w:pBdr>
          <w:bottom w:val="none" w:sz="0" w:space="0" w:color="auto"/>
        </w:pBdr>
        <w:tabs>
          <w:tab w:val="clear" w:pos="4513"/>
          <w:tab w:val="clear" w:pos="9026"/>
        </w:tabs>
        <w:spacing w:before="0" w:after="0"/>
        <w:rPr>
          <w:rFonts w:ascii="Arial" w:hAnsi="Arial" w:cs="Arial"/>
          <w:color w:val="auto"/>
        </w:rPr>
      </w:pPr>
      <w:r w:rsidRPr="00B94ABD">
        <w:rPr>
          <w:rFonts w:ascii="Arial" w:hAnsi="Arial" w:cs="Arial"/>
          <w:b/>
          <w:color w:val="auto"/>
        </w:rPr>
        <w:lastRenderedPageBreak/>
        <w:t>Note:</w:t>
      </w:r>
      <w:r w:rsidRPr="00B94ABD">
        <w:rPr>
          <w:rFonts w:ascii="Arial" w:hAnsi="Arial" w:cs="Arial"/>
          <w:color w:val="auto"/>
        </w:rPr>
        <w:t xml:space="preserve"> A case worker must support the young person in transition planning. Administration staff may complete s</w:t>
      </w:r>
      <w:r w:rsidR="00875B6F">
        <w:rPr>
          <w:rFonts w:ascii="Arial" w:hAnsi="Arial" w:cs="Arial"/>
          <w:color w:val="auto"/>
        </w:rPr>
        <w:t>tep</w:t>
      </w:r>
      <w:r w:rsidRPr="00B94ABD">
        <w:rPr>
          <w:rFonts w:ascii="Arial" w:hAnsi="Arial" w:cs="Arial"/>
          <w:color w:val="auto"/>
        </w:rPr>
        <w:t xml:space="preserve"> 2</w:t>
      </w:r>
      <w:r w:rsidR="00875B6F">
        <w:rPr>
          <w:rFonts w:ascii="Arial" w:hAnsi="Arial" w:cs="Arial"/>
          <w:color w:val="auto"/>
        </w:rPr>
        <w:t>.</w:t>
      </w:r>
      <w:bookmarkStart w:id="3" w:name="_Toc369005045"/>
      <w:bookmarkEnd w:id="3"/>
    </w:p>
    <w:p w14:paraId="0C41B6CF" w14:textId="77777777" w:rsidR="00B94ABD" w:rsidRPr="00B94ABD" w:rsidRDefault="00B94ABD" w:rsidP="00B94ABD">
      <w:pPr>
        <w:pStyle w:val="Header"/>
        <w:pBdr>
          <w:bottom w:val="none" w:sz="0" w:space="0" w:color="auto"/>
        </w:pBdr>
        <w:spacing w:before="0" w:after="0"/>
        <w:rPr>
          <w:rFonts w:ascii="Arial" w:hAnsi="Arial" w:cs="Arial"/>
          <w:color w:val="auto"/>
        </w:rPr>
      </w:pPr>
    </w:p>
    <w:p w14:paraId="500EE7C2" w14:textId="77777777" w:rsidR="00B94ABD" w:rsidRPr="00B94ABD" w:rsidRDefault="00B94ABD" w:rsidP="00B94ABD">
      <w:pPr>
        <w:pStyle w:val="Header"/>
        <w:pBdr>
          <w:bottom w:val="none" w:sz="0" w:space="0" w:color="auto"/>
        </w:pBdr>
        <w:spacing w:before="0" w:after="0"/>
        <w:rPr>
          <w:rFonts w:ascii="Arial" w:hAnsi="Arial" w:cs="Arial"/>
          <w:color w:val="auto"/>
        </w:rPr>
      </w:pPr>
      <w:r w:rsidRPr="00B94ABD">
        <w:rPr>
          <w:rFonts w:ascii="Arial" w:hAnsi="Arial" w:cs="Arial"/>
          <w:color w:val="auto"/>
        </w:rPr>
        <w:t>Once the claim is submitted via the UGG, Department of Human Services (DHS) will:</w:t>
      </w:r>
    </w:p>
    <w:p w14:paraId="66DDDF08" w14:textId="58379E85" w:rsidR="00B94ABD" w:rsidRPr="00B94ABD" w:rsidRDefault="00B94ABD" w:rsidP="004512D6">
      <w:pPr>
        <w:pStyle w:val="Header"/>
        <w:numPr>
          <w:ilvl w:val="0"/>
          <w:numId w:val="3"/>
        </w:numPr>
        <w:pBdr>
          <w:bottom w:val="none" w:sz="0" w:space="0" w:color="auto"/>
        </w:pBdr>
        <w:spacing w:before="120" w:after="180" w:line="280" w:lineRule="atLeast"/>
        <w:contextualSpacing/>
        <w:rPr>
          <w:rFonts w:ascii="Arial" w:hAnsi="Arial" w:cs="Arial"/>
          <w:color w:val="auto"/>
        </w:rPr>
      </w:pPr>
      <w:r w:rsidRPr="00B94ABD">
        <w:rPr>
          <w:rFonts w:ascii="Arial" w:hAnsi="Arial" w:cs="Arial"/>
          <w:color w:val="auto"/>
        </w:rPr>
        <w:t xml:space="preserve">match the young person to their existing DHS record, or, if no record exists, </w:t>
      </w:r>
      <w:r w:rsidR="009E56D8">
        <w:rPr>
          <w:rFonts w:ascii="Arial" w:hAnsi="Arial" w:cs="Arial"/>
          <w:color w:val="auto"/>
        </w:rPr>
        <w:t xml:space="preserve">please contact DHS at TILA@humanservices.gov.au to facilitate the creation of </w:t>
      </w:r>
      <w:r w:rsidRPr="00B94ABD">
        <w:rPr>
          <w:rFonts w:ascii="Arial" w:hAnsi="Arial" w:cs="Arial"/>
          <w:color w:val="auto"/>
        </w:rPr>
        <w:t xml:space="preserve">a new DHS record </w:t>
      </w:r>
    </w:p>
    <w:p w14:paraId="68C222C6" w14:textId="77777777" w:rsidR="00B94ABD" w:rsidRPr="00B94ABD" w:rsidRDefault="00B94ABD" w:rsidP="004512D6">
      <w:pPr>
        <w:pStyle w:val="Header"/>
        <w:numPr>
          <w:ilvl w:val="0"/>
          <w:numId w:val="3"/>
        </w:numPr>
        <w:pBdr>
          <w:bottom w:val="none" w:sz="0" w:space="0" w:color="auto"/>
        </w:pBdr>
        <w:spacing w:before="120" w:after="180" w:line="280" w:lineRule="atLeast"/>
        <w:ind w:left="714" w:hanging="357"/>
        <w:contextualSpacing/>
        <w:rPr>
          <w:rFonts w:ascii="Arial" w:hAnsi="Arial" w:cs="Arial"/>
          <w:color w:val="auto"/>
        </w:rPr>
      </w:pPr>
      <w:r w:rsidRPr="00B94ABD">
        <w:rPr>
          <w:rFonts w:ascii="Arial" w:hAnsi="Arial" w:cs="Arial"/>
          <w:color w:val="auto"/>
        </w:rPr>
        <w:t>check whether the young person has already been paid $1</w:t>
      </w:r>
      <w:r w:rsidR="00343036">
        <w:rPr>
          <w:rFonts w:ascii="Arial" w:hAnsi="Arial" w:cs="Arial"/>
          <w:color w:val="auto"/>
        </w:rPr>
        <w:t>,</w:t>
      </w:r>
      <w:r w:rsidRPr="00B94ABD">
        <w:rPr>
          <w:rFonts w:ascii="Arial" w:hAnsi="Arial" w:cs="Arial"/>
          <w:color w:val="auto"/>
        </w:rPr>
        <w:t xml:space="preserve">500 of TILA </w:t>
      </w:r>
    </w:p>
    <w:p w14:paraId="7ABD0335" w14:textId="77777777" w:rsidR="00B94ABD" w:rsidRPr="00B94ABD" w:rsidRDefault="00B94ABD" w:rsidP="004512D6">
      <w:pPr>
        <w:pStyle w:val="Header"/>
        <w:numPr>
          <w:ilvl w:val="0"/>
          <w:numId w:val="3"/>
        </w:numPr>
        <w:pBdr>
          <w:bottom w:val="none" w:sz="0" w:space="0" w:color="auto"/>
        </w:pBdr>
        <w:spacing w:before="120" w:after="180" w:line="280" w:lineRule="atLeast"/>
        <w:ind w:left="714" w:hanging="357"/>
        <w:contextualSpacing/>
        <w:rPr>
          <w:rFonts w:ascii="Arial" w:hAnsi="Arial" w:cs="Arial"/>
          <w:color w:val="auto"/>
        </w:rPr>
      </w:pPr>
      <w:r w:rsidRPr="00B94ABD">
        <w:rPr>
          <w:rFonts w:ascii="Arial" w:hAnsi="Arial" w:cs="Arial"/>
          <w:color w:val="auto"/>
        </w:rPr>
        <w:t>check whether issuing the approved amount of TILA in the claim will exceed the TILA limit of $1</w:t>
      </w:r>
      <w:r w:rsidR="00343036">
        <w:rPr>
          <w:rFonts w:ascii="Arial" w:hAnsi="Arial" w:cs="Arial"/>
          <w:color w:val="auto"/>
        </w:rPr>
        <w:t>,</w:t>
      </w:r>
      <w:r w:rsidRPr="00B94ABD">
        <w:rPr>
          <w:rFonts w:ascii="Arial" w:hAnsi="Arial" w:cs="Arial"/>
          <w:color w:val="auto"/>
        </w:rPr>
        <w:t>500.</w:t>
      </w:r>
    </w:p>
    <w:p w14:paraId="4030FD11" w14:textId="77777777" w:rsidR="00B94ABD" w:rsidRDefault="00B94ABD" w:rsidP="00B94ABD">
      <w:pPr>
        <w:pStyle w:val="Heading2"/>
        <w:rPr>
          <w:rFonts w:asciiTheme="minorHAnsi" w:hAnsiTheme="minorHAnsi" w:cstheme="minorHAnsi"/>
        </w:rPr>
      </w:pPr>
      <w:r w:rsidRPr="002F7852">
        <w:t xml:space="preserve">Notes: </w:t>
      </w:r>
    </w:p>
    <w:p w14:paraId="326955E9" w14:textId="77777777" w:rsidR="00B94ABD" w:rsidRPr="00D02A06" w:rsidRDefault="00B94ABD" w:rsidP="00B94ABD">
      <w:pPr>
        <w:pStyle w:val="ListParagraph"/>
        <w:numPr>
          <w:ilvl w:val="0"/>
          <w:numId w:val="4"/>
        </w:numPr>
      </w:pPr>
      <w:r w:rsidRPr="00DB3EDF">
        <w:t xml:space="preserve">If the amount claimed will exceed their TILA limit, DHS will issue payment </w:t>
      </w:r>
      <w:r w:rsidR="00EC4DC9">
        <w:t>of</w:t>
      </w:r>
      <w:r w:rsidRPr="00DB3EDF">
        <w:t xml:space="preserve"> the </w:t>
      </w:r>
      <w:r w:rsidR="00EC4DC9" w:rsidRPr="00DB3EDF">
        <w:t>remaining</w:t>
      </w:r>
      <w:r w:rsidR="00EC4DC9">
        <w:t xml:space="preserve"> </w:t>
      </w:r>
      <w:r>
        <w:t>balance</w:t>
      </w:r>
      <w:r w:rsidRPr="00DB3EDF">
        <w:t xml:space="preserve">. </w:t>
      </w:r>
    </w:p>
    <w:p w14:paraId="0E11923B" w14:textId="77777777" w:rsidR="00B94ABD" w:rsidRPr="00D02A06" w:rsidRDefault="00B94ABD" w:rsidP="00B94ABD">
      <w:pPr>
        <w:pStyle w:val="ListParagraph"/>
        <w:numPr>
          <w:ilvl w:val="0"/>
          <w:numId w:val="4"/>
        </w:numPr>
      </w:pPr>
      <w:r w:rsidRPr="00DB3EDF">
        <w:t xml:space="preserve">TILA payments </w:t>
      </w:r>
      <w:r>
        <w:t xml:space="preserve">are electronically transferred to the </w:t>
      </w:r>
      <w:r w:rsidRPr="00DB3EDF">
        <w:t>organisation</w:t>
      </w:r>
      <w:r>
        <w:t>’s</w:t>
      </w:r>
      <w:r w:rsidRPr="00DB3EDF">
        <w:t xml:space="preserve"> </w:t>
      </w:r>
      <w:r>
        <w:t xml:space="preserve">bank </w:t>
      </w:r>
      <w:r w:rsidRPr="00DB3EDF">
        <w:t xml:space="preserve">account </w:t>
      </w:r>
      <w:r w:rsidR="00EC4DC9">
        <w:t xml:space="preserve">using the </w:t>
      </w:r>
      <w:r w:rsidRPr="00DB3EDF">
        <w:t>details provided at the time of registering for UGG access.</w:t>
      </w:r>
    </w:p>
    <w:p w14:paraId="532398F4" w14:textId="77777777" w:rsidR="00B94ABD" w:rsidRPr="00DB3EDF" w:rsidRDefault="00B94ABD" w:rsidP="00B94ABD">
      <w:pPr>
        <w:pStyle w:val="ListParagraph"/>
        <w:numPr>
          <w:ilvl w:val="0"/>
          <w:numId w:val="4"/>
        </w:numPr>
      </w:pPr>
      <w:r w:rsidRPr="00DB3EDF">
        <w:t xml:space="preserve">If DHS is unable to match the young person to an existing DHS customer record, staff from DHS </w:t>
      </w:r>
      <w:r>
        <w:t>will</w:t>
      </w:r>
      <w:r w:rsidRPr="00DB3EDF">
        <w:t xml:space="preserve"> contact the case worker for further information to assist them to make a match or to create a new customer record.</w:t>
      </w:r>
    </w:p>
    <w:p w14:paraId="17AFB956" w14:textId="77777777" w:rsidR="00B94ABD" w:rsidRPr="002F7852" w:rsidRDefault="00B94ABD" w:rsidP="00B94ABD">
      <w:pPr>
        <w:pStyle w:val="ListParagraph"/>
        <w:numPr>
          <w:ilvl w:val="0"/>
          <w:numId w:val="4"/>
        </w:numPr>
      </w:pPr>
      <w:r w:rsidRPr="00DB3EDF">
        <w:t xml:space="preserve">Receipts are not required to be submitted to the Australian Government. The case worker supporting the young person is to monitor the use of TILA funds and maintain appropriate records. </w:t>
      </w:r>
      <w:bookmarkStart w:id="4" w:name="_Toc338837586"/>
      <w:bookmarkStart w:id="5" w:name="_Toc338837760"/>
      <w:bookmarkStart w:id="6" w:name="_Toc338837587"/>
      <w:bookmarkStart w:id="7" w:name="_Toc338837761"/>
      <w:bookmarkStart w:id="8" w:name="_Toc338837588"/>
      <w:bookmarkStart w:id="9" w:name="_Toc338837762"/>
      <w:bookmarkStart w:id="10" w:name="_Toc338837589"/>
      <w:bookmarkStart w:id="11" w:name="_Toc338837763"/>
      <w:bookmarkStart w:id="12" w:name="_Toc338837590"/>
      <w:bookmarkStart w:id="13" w:name="_Toc338837764"/>
      <w:bookmarkStart w:id="14" w:name="_Toc338837591"/>
      <w:bookmarkStart w:id="15" w:name="_Toc338837765"/>
      <w:bookmarkStart w:id="16" w:name="_Toc338837592"/>
      <w:bookmarkStart w:id="17" w:name="_Toc338837766"/>
      <w:bookmarkStart w:id="18" w:name="_Toc338837593"/>
      <w:bookmarkStart w:id="19" w:name="_Toc338837767"/>
      <w:bookmarkStart w:id="20" w:name="_Toc338837594"/>
      <w:bookmarkStart w:id="21" w:name="_Toc338837768"/>
      <w:bookmarkStart w:id="22" w:name="_Toc338837595"/>
      <w:bookmarkStart w:id="23" w:name="_Toc338837769"/>
      <w:bookmarkStart w:id="24" w:name="_Toc338837596"/>
      <w:bookmarkStart w:id="25" w:name="_Toc338837770"/>
      <w:bookmarkStart w:id="26" w:name="_Toc338837597"/>
      <w:bookmarkStart w:id="27" w:name="_Toc338837771"/>
      <w:bookmarkStart w:id="28" w:name="_Toc338837598"/>
      <w:bookmarkStart w:id="29" w:name="_Toc338837772"/>
      <w:bookmarkStart w:id="30" w:name="_Toc338837599"/>
      <w:bookmarkStart w:id="31" w:name="_Toc338837773"/>
      <w:bookmarkStart w:id="32" w:name="_Toc338837600"/>
      <w:bookmarkStart w:id="33" w:name="_Toc338837774"/>
      <w:bookmarkStart w:id="34" w:name="_Toc338837601"/>
      <w:bookmarkStart w:id="35" w:name="_Toc338837775"/>
      <w:bookmarkStart w:id="36" w:name="_Toc338837602"/>
      <w:bookmarkStart w:id="37" w:name="_Toc338837776"/>
      <w:bookmarkStart w:id="38" w:name="_Toc338837603"/>
      <w:bookmarkStart w:id="39" w:name="_Toc338837777"/>
      <w:bookmarkStart w:id="40" w:name="_Toc338837604"/>
      <w:bookmarkStart w:id="41" w:name="_Toc338837778"/>
      <w:bookmarkStart w:id="42" w:name="_Toc338837605"/>
      <w:bookmarkStart w:id="43" w:name="_Toc338837779"/>
      <w:bookmarkStart w:id="44" w:name="_Toc338837606"/>
      <w:bookmarkStart w:id="45" w:name="_Toc338837780"/>
      <w:bookmarkStart w:id="46" w:name="_Toc338837607"/>
      <w:bookmarkStart w:id="47" w:name="_Toc338837781"/>
      <w:bookmarkStart w:id="48" w:name="_Toc338837608"/>
      <w:bookmarkStart w:id="49" w:name="_Toc338837782"/>
      <w:bookmarkStart w:id="50" w:name="_Toc338837609"/>
      <w:bookmarkStart w:id="51" w:name="_Toc338837783"/>
      <w:bookmarkStart w:id="52" w:name="_Toc338837610"/>
      <w:bookmarkStart w:id="53" w:name="_Toc338837784"/>
      <w:bookmarkStart w:id="54" w:name="_Toc338837611"/>
      <w:bookmarkStart w:id="55" w:name="_Toc338837785"/>
      <w:bookmarkStart w:id="56" w:name="_Toc338837612"/>
      <w:bookmarkStart w:id="57" w:name="_Toc338837786"/>
      <w:bookmarkStart w:id="58" w:name="_Toc338837613"/>
      <w:bookmarkStart w:id="59" w:name="_Toc338837787"/>
      <w:bookmarkStart w:id="60" w:name="_Toc338837614"/>
      <w:bookmarkStart w:id="61" w:name="_Toc338837788"/>
      <w:bookmarkStart w:id="62" w:name="_Toc338837615"/>
      <w:bookmarkStart w:id="63" w:name="_Toc338837789"/>
      <w:bookmarkStart w:id="64" w:name="_Toc338837616"/>
      <w:bookmarkStart w:id="65" w:name="_Toc338837790"/>
      <w:bookmarkStart w:id="66" w:name="_Toc338837617"/>
      <w:bookmarkStart w:id="67" w:name="_Toc338837791"/>
      <w:bookmarkStart w:id="68" w:name="_Toc338837618"/>
      <w:bookmarkStart w:id="69" w:name="_Toc338837792"/>
      <w:bookmarkStart w:id="70" w:name="_Toc338837619"/>
      <w:bookmarkStart w:id="71" w:name="_Toc338837793"/>
      <w:bookmarkStart w:id="72" w:name="_Toc338837620"/>
      <w:bookmarkStart w:id="73" w:name="_Toc338837794"/>
      <w:bookmarkStart w:id="74" w:name="_Toc338837621"/>
      <w:bookmarkStart w:id="75" w:name="_Toc338837795"/>
      <w:bookmarkStart w:id="76" w:name="_Toc338837622"/>
      <w:bookmarkStart w:id="77" w:name="_Toc338837796"/>
      <w:bookmarkStart w:id="78" w:name="_Toc338837623"/>
      <w:bookmarkStart w:id="79" w:name="_Toc338837797"/>
      <w:bookmarkStart w:id="80" w:name="_Toc338837624"/>
      <w:bookmarkStart w:id="81" w:name="_Toc338837798"/>
      <w:bookmarkStart w:id="82" w:name="_Toc338837625"/>
      <w:bookmarkStart w:id="83" w:name="_Toc338837799"/>
      <w:bookmarkStart w:id="84" w:name="_Toc338837626"/>
      <w:bookmarkStart w:id="85" w:name="_Toc338837800"/>
      <w:bookmarkStart w:id="86" w:name="_Toc338837627"/>
      <w:bookmarkStart w:id="87" w:name="_Toc338837801"/>
      <w:bookmarkStart w:id="88" w:name="_Toc338837628"/>
      <w:bookmarkStart w:id="89" w:name="_Toc338837802"/>
      <w:bookmarkStart w:id="90" w:name="_Toc338837629"/>
      <w:bookmarkStart w:id="91" w:name="_Toc338837803"/>
      <w:bookmarkStart w:id="92" w:name="_Toc338837630"/>
      <w:bookmarkStart w:id="93" w:name="_Toc338837804"/>
      <w:bookmarkStart w:id="94" w:name="_Toc338837631"/>
      <w:bookmarkStart w:id="95" w:name="_Toc338837805"/>
      <w:bookmarkStart w:id="96" w:name="_Toc338837632"/>
      <w:bookmarkStart w:id="97" w:name="_Toc338837806"/>
      <w:bookmarkStart w:id="98" w:name="_Toc338837633"/>
      <w:bookmarkStart w:id="99" w:name="_Toc338837807"/>
      <w:bookmarkStart w:id="100" w:name="_Toc338837634"/>
      <w:bookmarkStart w:id="101" w:name="_Toc338837808"/>
      <w:bookmarkStart w:id="102" w:name="_Toc338837635"/>
      <w:bookmarkStart w:id="103" w:name="_Toc338837809"/>
      <w:bookmarkStart w:id="104" w:name="_Toc338837636"/>
      <w:bookmarkStart w:id="105" w:name="_Toc338837810"/>
      <w:bookmarkStart w:id="106" w:name="_Toc338837637"/>
      <w:bookmarkStart w:id="107" w:name="_Toc338837811"/>
      <w:bookmarkStart w:id="108" w:name="_Toc338837638"/>
      <w:bookmarkStart w:id="109" w:name="_Toc338837812"/>
      <w:bookmarkStart w:id="110" w:name="_Toc338837639"/>
      <w:bookmarkStart w:id="111" w:name="_Toc338837813"/>
      <w:bookmarkStart w:id="112" w:name="_Toc338837640"/>
      <w:bookmarkStart w:id="113" w:name="_Toc338837814"/>
      <w:bookmarkStart w:id="114" w:name="_Toc338837641"/>
      <w:bookmarkStart w:id="115" w:name="_Toc338837815"/>
      <w:bookmarkStart w:id="116" w:name="_Toc369005048"/>
      <w:bookmarkStart w:id="117" w:name="_Toc382834109"/>
      <w:bookmarkStart w:id="118" w:name="_Toc35085650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bookmarkEnd w:id="117"/>
    <w:bookmarkEnd w:id="118"/>
    <w:p w14:paraId="4B65D2E9" w14:textId="77777777" w:rsidR="00B94ABD" w:rsidRPr="002F7852" w:rsidRDefault="00B94ABD" w:rsidP="00B94ABD">
      <w:pPr>
        <w:pStyle w:val="ListParagraph"/>
        <w:numPr>
          <w:ilvl w:val="0"/>
          <w:numId w:val="4"/>
        </w:numPr>
      </w:pPr>
      <w:r w:rsidRPr="002F7852">
        <w:t xml:space="preserve">Once the application has been processed, DHS will issue a payment advice letter to the young person’s address provided and email the organisation’s online mail box within the UGG. </w:t>
      </w:r>
    </w:p>
    <w:p w14:paraId="1C59171A" w14:textId="77777777" w:rsidR="00B94ABD" w:rsidRDefault="00B94ABD" w:rsidP="00B94ABD">
      <w:pPr>
        <w:pStyle w:val="ListParagraph"/>
        <w:numPr>
          <w:ilvl w:val="0"/>
          <w:numId w:val="4"/>
        </w:numPr>
      </w:pPr>
      <w:r w:rsidRPr="002F7852">
        <w:t>Please allow up to 5 working days for the application to be processed and longer for a response letter to reach the nominated mailing address.</w:t>
      </w:r>
    </w:p>
    <w:p w14:paraId="20D80DD9" w14:textId="77777777" w:rsidR="007B0256" w:rsidRPr="00B94ABD" w:rsidRDefault="007B0256" w:rsidP="00B94ABD">
      <w:pPr>
        <w:spacing w:before="0" w:after="200" w:line="276" w:lineRule="auto"/>
        <w:rPr>
          <w:rStyle w:val="BookTitle"/>
          <w:rFonts w:asciiTheme="minorHAnsi" w:hAnsiTheme="minorHAnsi" w:cstheme="minorHAnsi"/>
          <w:i w:val="0"/>
          <w:iCs w:val="0"/>
          <w:smallCaps w:val="0"/>
          <w:spacing w:val="4"/>
        </w:rPr>
      </w:pPr>
    </w:p>
    <w:sectPr w:rsidR="007B0256" w:rsidRPr="00B94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379"/>
    <w:multiLevelType w:val="hybridMultilevel"/>
    <w:tmpl w:val="7520A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605F"/>
    <w:multiLevelType w:val="hybridMultilevel"/>
    <w:tmpl w:val="ABBE4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2947"/>
    <w:multiLevelType w:val="hybridMultilevel"/>
    <w:tmpl w:val="81761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336C3"/>
    <w:multiLevelType w:val="hybridMultilevel"/>
    <w:tmpl w:val="30127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1190B"/>
    <w:multiLevelType w:val="hybridMultilevel"/>
    <w:tmpl w:val="C91A9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6F28"/>
    <w:multiLevelType w:val="hybridMultilevel"/>
    <w:tmpl w:val="EBAA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D"/>
    <w:rsid w:val="0004524E"/>
    <w:rsid w:val="00054BF7"/>
    <w:rsid w:val="00161027"/>
    <w:rsid w:val="001B1458"/>
    <w:rsid w:val="001E630D"/>
    <w:rsid w:val="00226FEE"/>
    <w:rsid w:val="00257BC7"/>
    <w:rsid w:val="002F2270"/>
    <w:rsid w:val="002F29B8"/>
    <w:rsid w:val="00343036"/>
    <w:rsid w:val="003761F7"/>
    <w:rsid w:val="003B2BB8"/>
    <w:rsid w:val="003D34FF"/>
    <w:rsid w:val="00431838"/>
    <w:rsid w:val="004512D6"/>
    <w:rsid w:val="004A166B"/>
    <w:rsid w:val="004B54CA"/>
    <w:rsid w:val="004E5CBF"/>
    <w:rsid w:val="005317B0"/>
    <w:rsid w:val="005C3AA9"/>
    <w:rsid w:val="0064256B"/>
    <w:rsid w:val="00692E36"/>
    <w:rsid w:val="006A4CE7"/>
    <w:rsid w:val="006C2254"/>
    <w:rsid w:val="006D067C"/>
    <w:rsid w:val="00736689"/>
    <w:rsid w:val="00752274"/>
    <w:rsid w:val="00785261"/>
    <w:rsid w:val="007B0256"/>
    <w:rsid w:val="00800553"/>
    <w:rsid w:val="008736C0"/>
    <w:rsid w:val="00875B6F"/>
    <w:rsid w:val="00884132"/>
    <w:rsid w:val="00893B58"/>
    <w:rsid w:val="008F2B57"/>
    <w:rsid w:val="009225F0"/>
    <w:rsid w:val="00945402"/>
    <w:rsid w:val="009E0D8A"/>
    <w:rsid w:val="009E56D8"/>
    <w:rsid w:val="00A3764E"/>
    <w:rsid w:val="00B53A38"/>
    <w:rsid w:val="00B94ABD"/>
    <w:rsid w:val="00BA2DB9"/>
    <w:rsid w:val="00BD0315"/>
    <w:rsid w:val="00BE7148"/>
    <w:rsid w:val="00D2284F"/>
    <w:rsid w:val="00D31828"/>
    <w:rsid w:val="00DB28FF"/>
    <w:rsid w:val="00E62071"/>
    <w:rsid w:val="00EC4DC9"/>
    <w:rsid w:val="00F97728"/>
    <w:rsid w:val="00FD504D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BD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94AB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B94ABD"/>
    <w:rPr>
      <w:rFonts w:ascii="Georgia" w:eastAsia="Times New Roman" w:hAnsi="Georgia" w:cs="Times New Roman"/>
      <w:color w:val="24596E"/>
      <w:spacing w:val="4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B94ABD"/>
    <w:rPr>
      <w:rFonts w:ascii="Arial" w:hAnsi="Arial"/>
      <w:b w:val="0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BD"/>
    <w:rPr>
      <w:rFonts w:ascii="Tahoma" w:eastAsia="Times New Roman" w:hAnsi="Tahoma" w:cs="Tahoma"/>
      <w:spacing w:val="4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E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D8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D8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BD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94AB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B94ABD"/>
    <w:rPr>
      <w:rFonts w:ascii="Georgia" w:eastAsia="Times New Roman" w:hAnsi="Georgia" w:cs="Times New Roman"/>
      <w:color w:val="24596E"/>
      <w:spacing w:val="4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B94ABD"/>
    <w:rPr>
      <w:rFonts w:ascii="Arial" w:hAnsi="Arial"/>
      <w:b w:val="0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BD"/>
    <w:rPr>
      <w:rFonts w:ascii="Tahoma" w:eastAsia="Times New Roman" w:hAnsi="Tahoma" w:cs="Tahoma"/>
      <w:spacing w:val="4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E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D8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D8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our-responsibilities/families-and-children/benefits-payments/transition-to-independent-living-allowance-tila/eligibility" TargetMode="External"/><Relationship Id="rId13" Type="http://schemas.openxmlformats.org/officeDocument/2006/relationships/hyperlink" Target="https://www.dss.gov.au/our-responsibilities/families-and-children/benefits-payments/transition-to-independent-living-allowance-tila/tila-operational-guidelin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ss.gov.au/families-and-children/benefits-payments/transition-to-independent-living-allowance-tila/tila-application-form" TargetMode="External"/><Relationship Id="rId12" Type="http://schemas.openxmlformats.org/officeDocument/2006/relationships/hyperlink" Target="https://www.dss.gov.au/our-responsibilities/families-and-children/benefits-payments/transition-to-independent-living-allowance-tila/tila-operational-guidelin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ss.gov.au/our-responsibilities/families-and-children/benefits-payments/transition-to-independent-living-allowance-tila/eligibil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ss.gov.au/our-responsibilities/families-and-children/benefits-payments/transition-to-independent-living-allowance-tila/tila-operational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our-responsibilities/families-and-children/benefits-payments/transition-to-independent-living-allowance-tila/tila-operational-guidelines" TargetMode="External"/><Relationship Id="rId14" Type="http://schemas.openxmlformats.org/officeDocument/2006/relationships/hyperlink" Target="https://www.dss.gov.au/our-responsibilities/families-and-children/benefits-payments/transition-to-independent-living-allowance-tila/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Stefanac, Sandra</dc:creator>
  <cp:lastModifiedBy>FORACE, Lee</cp:lastModifiedBy>
  <cp:revision>2</cp:revision>
  <cp:lastPrinted>2016-04-06T02:03:00Z</cp:lastPrinted>
  <dcterms:created xsi:type="dcterms:W3CDTF">2016-10-09T23:28:00Z</dcterms:created>
  <dcterms:modified xsi:type="dcterms:W3CDTF">2016-10-09T23:28:00Z</dcterms:modified>
</cp:coreProperties>
</file>