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6AF" w:rsidRPr="00901FB7" w:rsidRDefault="006726AF" w:rsidP="006726AF">
      <w:pPr>
        <w:pStyle w:val="Header"/>
        <w:tabs>
          <w:tab w:val="clear" w:pos="4153"/>
          <w:tab w:val="clear" w:pos="8306"/>
          <w:tab w:val="right" w:pos="9639"/>
        </w:tabs>
        <w:spacing w:after="0"/>
        <w:contextualSpacing w:val="0"/>
        <w:jc w:val="right"/>
        <w:rPr>
          <w:rFonts w:ascii="Arial" w:hAnsi="Arial"/>
          <w:noProof/>
          <w:color w:val="auto"/>
        </w:rPr>
      </w:pPr>
      <w:bookmarkStart w:id="0" w:name="_GoBack"/>
      <w:bookmarkEnd w:id="0"/>
      <w:r w:rsidRPr="00901FB7">
        <w:rPr>
          <w:rFonts w:ascii="Arial" w:hAnsi="Arial"/>
          <w:noProof/>
          <w:color w:val="auto"/>
        </w:rPr>
        <w:t>Dat</w:t>
      </w:r>
      <w:r>
        <w:rPr>
          <w:rFonts w:ascii="Arial" w:hAnsi="Arial"/>
          <w:noProof/>
          <w:color w:val="auto"/>
        </w:rPr>
        <w:t>a highlight: No.2/2015</w:t>
      </w:r>
    </w:p>
    <w:p w:rsidR="006726AF" w:rsidRPr="00516815" w:rsidRDefault="006726AF" w:rsidP="006726AF">
      <w:pPr>
        <w:pStyle w:val="Title"/>
        <w:spacing w:before="120" w:after="0" w:line="276" w:lineRule="auto"/>
        <w:contextualSpacing w:val="0"/>
        <w:jc w:val="both"/>
        <w:rPr>
          <w:b/>
          <w:color w:val="500778"/>
          <w:sz w:val="32"/>
        </w:rPr>
      </w:pPr>
      <w:r w:rsidRPr="00516815">
        <w:rPr>
          <w:b/>
          <w:color w:val="500778"/>
          <w:sz w:val="32"/>
        </w:rPr>
        <w:t>Building a New Life in Australia: The Longitudinal Study of Humanitarian Migrants</w:t>
      </w:r>
    </w:p>
    <w:p w:rsidR="006726AF" w:rsidRDefault="006726AF" w:rsidP="006726AF">
      <w:pPr>
        <w:spacing w:after="0" w:line="276" w:lineRule="auto"/>
        <w:jc w:val="both"/>
        <w:rPr>
          <w:color w:val="500778"/>
        </w:rPr>
      </w:pPr>
      <w:r>
        <w:rPr>
          <w:color w:val="500778"/>
        </w:rPr>
        <w:t>David Marshall</w:t>
      </w:r>
    </w:p>
    <w:p w:rsidR="006726AF" w:rsidRDefault="006726AF" w:rsidP="006726AF">
      <w:pPr>
        <w:spacing w:before="240"/>
      </w:pPr>
      <w:r>
        <w:t>Building a New Life in Australia: the Longitudinal Study of Humanitarian Migrants (BNLA) is following a large cohort of recently arrived humanitarian migrants as they settle into life Australia.</w:t>
      </w:r>
    </w:p>
    <w:p w:rsidR="006726AF" w:rsidRDefault="006726AF" w:rsidP="006726AF">
      <w:pPr>
        <w:spacing w:before="240"/>
      </w:pPr>
      <w:r>
        <w:t>BNLA was established to help the government better understand the factors that aid or hinder successful settlement of humanitarian migrants during their first five years in Australia. The data collected will provide a significant contribution to the evidence-base around refugee settlement and assist in developing improved policies and programmes.</w:t>
      </w:r>
    </w:p>
    <w:p w:rsidR="006726AF" w:rsidRDefault="006726AF" w:rsidP="006726AF">
      <w:pPr>
        <w:spacing w:before="240"/>
      </w:pPr>
      <w:r>
        <w:t xml:space="preserve">Data collection for BNLA is occurring across five annual Waves. The first, third and fifth waves are conducted in the participants home face-to-face using tablet computers. Questionnaires are translated into a large number of languages enabling most participants to complete the survey in their native language. The second and fourth waves are shorter telephone interviews with bilingual interviewers. The questionnaire covers a broad range of settlement related issues including personal backgrounds, migration pathways, housing, language, employment, education and related social and economic issues. </w:t>
      </w:r>
    </w:p>
    <w:p w:rsidR="006726AF" w:rsidRDefault="006726AF" w:rsidP="006726AF">
      <w:pPr>
        <w:pStyle w:val="Heading1"/>
        <w:spacing w:after="0"/>
        <w:jc w:val="both"/>
        <w:rPr>
          <w:color w:val="7030A0"/>
          <w:sz w:val="28"/>
          <w:szCs w:val="28"/>
        </w:rPr>
      </w:pPr>
      <w:r>
        <w:rPr>
          <w:color w:val="7030A0"/>
          <w:sz w:val="28"/>
          <w:szCs w:val="28"/>
        </w:rPr>
        <w:t>Who is participating in BNLA?</w:t>
      </w:r>
    </w:p>
    <w:p w:rsidR="006726AF" w:rsidRDefault="006726AF" w:rsidP="006726AF">
      <w:r>
        <w:t>A total of 2,399 recently arrived humanitarian migrants were recruited to the study. To be selected, participants needed to hold a permanent protection visa and have arrived in Australia or been granted their visa between May and November 2013. Participants were recruited from eleven sites across Australia, encompassing major cities and regional centres. The cohort includes persons from a diverse range of backgrounds and migration pathways.</w:t>
      </w:r>
    </w:p>
    <w:p w:rsidR="006726AF" w:rsidRDefault="006726AF" w:rsidP="006726AF">
      <w:pPr>
        <w:pStyle w:val="ListParagraph"/>
        <w:numPr>
          <w:ilvl w:val="0"/>
          <w:numId w:val="63"/>
        </w:numPr>
        <w:spacing w:after="80" w:line="240" w:lineRule="auto"/>
        <w:ind w:left="714" w:hanging="357"/>
        <w:contextualSpacing w:val="0"/>
        <w:rPr>
          <w:sz w:val="20"/>
          <w:szCs w:val="20"/>
        </w:rPr>
      </w:pPr>
      <w:r>
        <w:rPr>
          <w:rFonts w:eastAsia="Times New Roman" w:cs="Times New Roman"/>
          <w:sz w:val="20"/>
          <w:szCs w:val="20"/>
          <w:lang w:eastAsia="en-AU"/>
        </w:rPr>
        <w:t>84 per cent arrived through the offshore migration programme</w:t>
      </w:r>
      <w:r>
        <w:rPr>
          <w:rStyle w:val="FootnoteReference"/>
          <w:rFonts w:eastAsia="Times New Roman" w:cs="Times New Roman"/>
          <w:sz w:val="20"/>
          <w:szCs w:val="20"/>
          <w:lang w:eastAsia="en-AU"/>
        </w:rPr>
        <w:footnoteReference w:id="1"/>
      </w:r>
      <w:r>
        <w:rPr>
          <w:rFonts w:eastAsia="Times New Roman" w:cs="Times New Roman"/>
          <w:sz w:val="20"/>
          <w:szCs w:val="20"/>
          <w:lang w:eastAsia="en-AU"/>
        </w:rPr>
        <w:t>.</w:t>
      </w:r>
    </w:p>
    <w:p w:rsidR="006726AF" w:rsidRDefault="006726AF" w:rsidP="006726AF">
      <w:pPr>
        <w:pStyle w:val="ListParagraph"/>
        <w:numPr>
          <w:ilvl w:val="0"/>
          <w:numId w:val="63"/>
        </w:numPr>
        <w:spacing w:after="80" w:line="240" w:lineRule="auto"/>
        <w:contextualSpacing w:val="0"/>
        <w:rPr>
          <w:sz w:val="20"/>
          <w:szCs w:val="20"/>
        </w:rPr>
      </w:pPr>
      <w:r>
        <w:rPr>
          <w:rFonts w:eastAsia="Times New Roman" w:cs="Times New Roman"/>
          <w:sz w:val="20"/>
          <w:szCs w:val="20"/>
          <w:lang w:eastAsia="en-AU"/>
        </w:rPr>
        <w:t>16 per cent of participants secured visas through the onshore humanitarian programme</w:t>
      </w:r>
      <w:r>
        <w:rPr>
          <w:rStyle w:val="FootnoteReference"/>
          <w:rFonts w:eastAsia="Times New Roman" w:cs="Times New Roman"/>
          <w:sz w:val="20"/>
          <w:szCs w:val="20"/>
          <w:lang w:eastAsia="en-AU"/>
        </w:rPr>
        <w:footnoteReference w:id="2"/>
      </w:r>
      <w:r>
        <w:rPr>
          <w:rFonts w:eastAsia="Times New Roman" w:cs="Times New Roman"/>
          <w:sz w:val="20"/>
          <w:szCs w:val="20"/>
          <w:lang w:eastAsia="en-AU"/>
        </w:rPr>
        <w:t>.</w:t>
      </w:r>
    </w:p>
    <w:p w:rsidR="006726AF" w:rsidRDefault="006726AF" w:rsidP="006726AF">
      <w:pPr>
        <w:pStyle w:val="ListParagraph"/>
        <w:numPr>
          <w:ilvl w:val="0"/>
          <w:numId w:val="63"/>
        </w:numPr>
        <w:spacing w:after="80" w:line="240" w:lineRule="auto"/>
        <w:contextualSpacing w:val="0"/>
        <w:rPr>
          <w:sz w:val="20"/>
          <w:szCs w:val="20"/>
        </w:rPr>
      </w:pPr>
      <w:r>
        <w:rPr>
          <w:rFonts w:eastAsia="Times New Roman" w:cs="Times New Roman"/>
          <w:sz w:val="20"/>
          <w:szCs w:val="20"/>
          <w:lang w:eastAsia="en-AU"/>
        </w:rPr>
        <w:t>10 per cent reported spending time in immigration detention, 4 per cent in community detention, and 12 per cent on a bridging visa before receiving their permanent visa.</w:t>
      </w:r>
    </w:p>
    <w:p w:rsidR="006726AF" w:rsidRDefault="006726AF" w:rsidP="006726AF">
      <w:pPr>
        <w:pStyle w:val="ListParagraph"/>
        <w:numPr>
          <w:ilvl w:val="0"/>
          <w:numId w:val="63"/>
        </w:numPr>
        <w:spacing w:after="80" w:line="240" w:lineRule="auto"/>
        <w:contextualSpacing w:val="0"/>
        <w:rPr>
          <w:sz w:val="20"/>
          <w:szCs w:val="20"/>
        </w:rPr>
      </w:pPr>
      <w:r>
        <w:rPr>
          <w:sz w:val="20"/>
          <w:szCs w:val="20"/>
        </w:rPr>
        <w:t>54 per cent of participants are male and 46 per cent female.</w:t>
      </w:r>
    </w:p>
    <w:p w:rsidR="006726AF" w:rsidRDefault="001E36FC" w:rsidP="006726AF">
      <w:pPr>
        <w:pStyle w:val="ListParagraph"/>
        <w:numPr>
          <w:ilvl w:val="0"/>
          <w:numId w:val="63"/>
        </w:numPr>
        <w:spacing w:after="80" w:line="240" w:lineRule="auto"/>
        <w:contextualSpacing w:val="0"/>
        <w:rPr>
          <w:sz w:val="20"/>
          <w:szCs w:val="20"/>
        </w:rPr>
      </w:pPr>
      <w:r>
        <w:rPr>
          <w:rFonts w:eastAsia="Times New Roman" w:cs="Times New Roman"/>
          <w:sz w:val="20"/>
          <w:szCs w:val="20"/>
          <w:lang w:eastAsia="en-AU"/>
        </w:rPr>
        <w:t>27</w:t>
      </w:r>
      <w:r w:rsidR="006726AF">
        <w:rPr>
          <w:rFonts w:eastAsia="Times New Roman" w:cs="Times New Roman"/>
          <w:sz w:val="20"/>
          <w:szCs w:val="20"/>
          <w:lang w:eastAsia="en-AU"/>
        </w:rPr>
        <w:t xml:space="preserve"> per cent arrived alone while nearly 5</w:t>
      </w:r>
      <w:r>
        <w:rPr>
          <w:rFonts w:eastAsia="Times New Roman" w:cs="Times New Roman"/>
          <w:sz w:val="20"/>
          <w:szCs w:val="20"/>
          <w:lang w:eastAsia="en-AU"/>
        </w:rPr>
        <w:t>4</w:t>
      </w:r>
      <w:r w:rsidR="006726AF">
        <w:rPr>
          <w:rFonts w:eastAsia="Times New Roman" w:cs="Times New Roman"/>
          <w:sz w:val="20"/>
          <w:szCs w:val="20"/>
          <w:lang w:eastAsia="en-AU"/>
        </w:rPr>
        <w:t xml:space="preserve"> per cent of migrating units include children.</w:t>
      </w:r>
    </w:p>
    <w:p w:rsidR="006726AF" w:rsidRDefault="006726AF" w:rsidP="006726AF">
      <w:pPr>
        <w:pStyle w:val="ListParagraph"/>
        <w:numPr>
          <w:ilvl w:val="0"/>
          <w:numId w:val="63"/>
        </w:numPr>
        <w:spacing w:after="80" w:line="240" w:lineRule="auto"/>
        <w:ind w:left="714" w:hanging="357"/>
        <w:contextualSpacing w:val="0"/>
        <w:rPr>
          <w:sz w:val="20"/>
          <w:szCs w:val="20"/>
        </w:rPr>
      </w:pPr>
      <w:r>
        <w:rPr>
          <w:rFonts w:eastAsia="Times New Roman" w:cs="Times New Roman"/>
          <w:sz w:val="20"/>
          <w:szCs w:val="20"/>
          <w:lang w:eastAsia="en-AU"/>
        </w:rPr>
        <w:t>64 per cent had been in Australia less than six months and 83 per cent less than one year.</w:t>
      </w:r>
    </w:p>
    <w:p w:rsidR="006726AF" w:rsidRDefault="006726AF" w:rsidP="006726AF">
      <w:pPr>
        <w:pStyle w:val="ListParagraph"/>
        <w:numPr>
          <w:ilvl w:val="0"/>
          <w:numId w:val="63"/>
        </w:numPr>
        <w:spacing w:after="80" w:line="240" w:lineRule="auto"/>
        <w:ind w:left="714" w:hanging="357"/>
        <w:contextualSpacing w:val="0"/>
        <w:rPr>
          <w:sz w:val="20"/>
          <w:szCs w:val="20"/>
        </w:rPr>
      </w:pPr>
      <w:r>
        <w:rPr>
          <w:rFonts w:eastAsia="Times New Roman" w:cs="Times New Roman"/>
          <w:sz w:val="20"/>
          <w:szCs w:val="20"/>
          <w:lang w:eastAsia="en-AU"/>
        </w:rPr>
        <w:t>There are 35 different countries of birth represented in the cohort with Iraq (39 per cent), Afghanistan (25 per cent) and Iran (10 per cent) being the three largest groups.</w:t>
      </w:r>
    </w:p>
    <w:p w:rsidR="006726AF" w:rsidRDefault="006726AF" w:rsidP="006726AF">
      <w:pPr>
        <w:pStyle w:val="ListParagraph"/>
        <w:numPr>
          <w:ilvl w:val="0"/>
          <w:numId w:val="63"/>
        </w:numPr>
        <w:spacing w:after="80" w:line="240" w:lineRule="auto"/>
        <w:ind w:left="714" w:hanging="357"/>
        <w:contextualSpacing w:val="0"/>
        <w:rPr>
          <w:rFonts w:eastAsia="Times New Roman" w:cs="Times New Roman"/>
          <w:sz w:val="20"/>
          <w:szCs w:val="20"/>
          <w:lang w:eastAsia="en-AU"/>
        </w:rPr>
      </w:pPr>
      <w:r>
        <w:rPr>
          <w:rFonts w:eastAsia="Times New Roman" w:cs="Times New Roman"/>
          <w:sz w:val="20"/>
          <w:szCs w:val="20"/>
          <w:lang w:eastAsia="en-AU"/>
        </w:rPr>
        <w:t>49 different languages are spoken at home by participants including Arabic (22 per cent), Assyrian (15 per cent) and Persian (11 per cent).</w:t>
      </w:r>
    </w:p>
    <w:p w:rsidR="006726AF" w:rsidRDefault="006726AF" w:rsidP="006726AF">
      <w:pPr>
        <w:pStyle w:val="ListParagraph"/>
        <w:numPr>
          <w:ilvl w:val="0"/>
          <w:numId w:val="63"/>
        </w:numPr>
        <w:spacing w:after="80" w:line="240" w:lineRule="auto"/>
        <w:ind w:left="714" w:hanging="357"/>
        <w:contextualSpacing w:val="0"/>
        <w:rPr>
          <w:sz w:val="20"/>
          <w:szCs w:val="20"/>
        </w:rPr>
      </w:pPr>
      <w:r>
        <w:rPr>
          <w:rFonts w:eastAsia="Times New Roman" w:cs="Times New Roman"/>
          <w:sz w:val="20"/>
          <w:szCs w:val="20"/>
          <w:lang w:eastAsia="en-AU"/>
        </w:rPr>
        <w:t>Most participants live in a major state capital with 33 per cent in Sydney, a further 30 per cent in Melbourne and just 11 per cent in a regional area.</w:t>
      </w:r>
    </w:p>
    <w:p w:rsidR="006726AF" w:rsidRDefault="006726AF" w:rsidP="006726AF">
      <w:pPr>
        <w:pStyle w:val="ListParagraph"/>
        <w:numPr>
          <w:ilvl w:val="0"/>
          <w:numId w:val="63"/>
        </w:numPr>
        <w:spacing w:after="80" w:line="240" w:lineRule="auto"/>
        <w:ind w:left="714" w:hanging="357"/>
        <w:contextualSpacing w:val="0"/>
        <w:rPr>
          <w:sz w:val="20"/>
          <w:szCs w:val="20"/>
        </w:rPr>
      </w:pPr>
      <w:r>
        <w:rPr>
          <w:rFonts w:eastAsia="Times New Roman" w:cs="Times New Roman"/>
          <w:sz w:val="20"/>
          <w:szCs w:val="20"/>
          <w:lang w:eastAsia="en-AU"/>
        </w:rPr>
        <w:t>Nearly half (47 per cent) of the cohort are aged between 18 and 34 years of age. A further 22 per cent are aged 35 to 44. Just 10 per cent are aged 55 years or older.</w:t>
      </w:r>
    </w:p>
    <w:p w:rsidR="006726AF" w:rsidRDefault="006726AF" w:rsidP="006726AF">
      <w:pPr>
        <w:pStyle w:val="Heading1"/>
        <w:spacing w:after="0"/>
        <w:jc w:val="both"/>
        <w:rPr>
          <w:color w:val="7030A0"/>
          <w:sz w:val="28"/>
          <w:szCs w:val="28"/>
        </w:rPr>
      </w:pPr>
      <w:r>
        <w:rPr>
          <w:color w:val="7030A0"/>
          <w:sz w:val="28"/>
          <w:szCs w:val="28"/>
        </w:rPr>
        <w:lastRenderedPageBreak/>
        <w:t>What does the Wave 1 data tell us?</w:t>
      </w:r>
    </w:p>
    <w:p w:rsidR="006726AF" w:rsidRDefault="006726AF" w:rsidP="006726AF">
      <w:pPr>
        <w:spacing w:line="240" w:lineRule="auto"/>
        <w:rPr>
          <w:rFonts w:eastAsiaTheme="majorEastAsia"/>
        </w:rPr>
      </w:pPr>
      <w:r>
        <w:rPr>
          <w:rFonts w:eastAsiaTheme="majorEastAsia"/>
        </w:rPr>
        <w:t xml:space="preserve">Wave 1 data was collected in late 2013 and early 2014. The resultant dataset provides a critical baseline against which all future data can be compared to assess changes over time. It also gives an insight to the lives of the participants prior to their arrival in Australia including personal circumstances in their home country, experiences </w:t>
      </w:r>
      <w:proofErr w:type="spellStart"/>
      <w:r>
        <w:rPr>
          <w:rFonts w:eastAsiaTheme="majorEastAsia"/>
        </w:rPr>
        <w:t>en</w:t>
      </w:r>
      <w:proofErr w:type="spellEnd"/>
      <w:r>
        <w:rPr>
          <w:rFonts w:eastAsiaTheme="majorEastAsia"/>
        </w:rPr>
        <w:t xml:space="preserve"> route to Australia, and pathways taken during the migration process.</w:t>
      </w:r>
    </w:p>
    <w:p w:rsidR="006726AF" w:rsidRDefault="006726AF" w:rsidP="006726AF">
      <w:pPr>
        <w:rPr>
          <w:rFonts w:eastAsiaTheme="majorEastAsia"/>
        </w:rPr>
      </w:pPr>
      <w:r>
        <w:rPr>
          <w:rFonts w:eastAsiaTheme="majorEastAsia"/>
        </w:rPr>
        <w:t>Importantly however, the dataset gives an initial insight to the levels of disadvantage and vulnerability amongst the study participants soon after settling in Australia. As Table 1 shows, it is clear that many of our participants arrived in Australia with considerable levels of background disadvantage, particularly the females in the cohort. Amongst the adult females, 67 per cent have never undertaken paid work (24 per cent for adult males), 44 per cent did not understand spoken English prior to arrival (33 per cent of males), 23 per cent are illiterate in their own language (17 per cent of males) and 20 per cent have never attended school (13 per cent of males). As a comparison, less than one per cent of the total Australian adult population has never attended school</w:t>
      </w:r>
      <w:r>
        <w:rPr>
          <w:rStyle w:val="FootnoteReference"/>
          <w:rFonts w:eastAsiaTheme="majorEastAsia"/>
        </w:rPr>
        <w:footnoteReference w:id="3"/>
      </w:r>
      <w:r>
        <w:rPr>
          <w:rFonts w:eastAsiaTheme="majorEastAsia"/>
        </w:rPr>
        <w:t>.</w:t>
      </w:r>
    </w:p>
    <w:p w:rsidR="006726AF" w:rsidRDefault="006726AF" w:rsidP="006726AF">
      <w:pPr>
        <w:spacing w:before="240" w:after="0"/>
        <w:jc w:val="both"/>
        <w:rPr>
          <w:b/>
        </w:rPr>
      </w:pPr>
      <w:r>
        <w:rPr>
          <w:b/>
        </w:rPr>
        <w:t>Table 1: Indicators of background disadvantage. Education, work experience and language.</w:t>
      </w:r>
    </w:p>
    <w:tbl>
      <w:tblPr>
        <w:tblStyle w:val="MediumShading2-Accent6"/>
        <w:tblW w:w="9930" w:type="dxa"/>
        <w:tblInd w:w="108" w:type="dxa"/>
        <w:shd w:val="clear" w:color="auto" w:fill="FDDA24"/>
        <w:tblLayout w:type="fixed"/>
        <w:tblLook w:val="04A0" w:firstRow="1" w:lastRow="0" w:firstColumn="1" w:lastColumn="0" w:noHBand="0" w:noVBand="1"/>
        <w:tblCaption w:val="Indicators of background disadvantage. Education, work experience and language."/>
        <w:tblDescription w:val="This table shows in percentages the four measures of disadvantage experienced by males and females."/>
      </w:tblPr>
      <w:tblGrid>
        <w:gridCol w:w="5779"/>
        <w:gridCol w:w="1739"/>
        <w:gridCol w:w="2412"/>
      </w:tblGrid>
      <w:tr w:rsidR="006726AF" w:rsidTr="001E55F9">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100" w:firstRow="0" w:lastRow="0" w:firstColumn="1" w:lastColumn="0" w:oddVBand="0" w:evenVBand="0" w:oddHBand="0" w:evenHBand="0" w:firstRowFirstColumn="1" w:firstRowLastColumn="0" w:lastRowFirstColumn="0" w:lastRowLastColumn="0"/>
            <w:tcW w:w="5775" w:type="dxa"/>
            <w:shd w:val="clear" w:color="auto" w:fill="FDDA24"/>
            <w:hideMark/>
          </w:tcPr>
          <w:p w:rsidR="006726AF" w:rsidRDefault="006726AF" w:rsidP="001E55F9">
            <w:pPr>
              <w:jc w:val="both"/>
              <w:rPr>
                <w:color w:val="auto"/>
                <w:sz w:val="18"/>
                <w:szCs w:val="18"/>
              </w:rPr>
            </w:pPr>
            <w:r>
              <w:rPr>
                <w:color w:val="auto"/>
                <w:sz w:val="18"/>
                <w:szCs w:val="18"/>
              </w:rPr>
              <w:t>Measures of Disadvantage</w:t>
            </w:r>
          </w:p>
        </w:tc>
        <w:tc>
          <w:tcPr>
            <w:tcW w:w="1738" w:type="dxa"/>
            <w:shd w:val="clear" w:color="auto" w:fill="FDDA24"/>
            <w:hideMark/>
          </w:tcPr>
          <w:p w:rsidR="006726AF" w:rsidRDefault="006726AF" w:rsidP="001E55F9">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Pr>
                <w:color w:val="auto"/>
                <w:sz w:val="18"/>
                <w:szCs w:val="18"/>
              </w:rPr>
              <w:t>Males</w:t>
            </w:r>
          </w:p>
        </w:tc>
        <w:tc>
          <w:tcPr>
            <w:tcW w:w="2410" w:type="dxa"/>
            <w:shd w:val="clear" w:color="auto" w:fill="FDDA24"/>
            <w:hideMark/>
          </w:tcPr>
          <w:p w:rsidR="006726AF" w:rsidRDefault="006726AF" w:rsidP="001E55F9">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Pr>
                <w:color w:val="auto"/>
                <w:sz w:val="18"/>
                <w:szCs w:val="18"/>
              </w:rPr>
              <w:t>Females</w:t>
            </w:r>
          </w:p>
        </w:tc>
      </w:tr>
      <w:tr w:rsidR="006726AF" w:rsidTr="001E55F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775" w:type="dxa"/>
            <w:tcBorders>
              <w:top w:val="nil"/>
            </w:tcBorders>
            <w:shd w:val="clear" w:color="auto" w:fill="FDDA24"/>
            <w:vAlign w:val="center"/>
            <w:hideMark/>
          </w:tcPr>
          <w:p w:rsidR="006726AF" w:rsidRDefault="006726AF" w:rsidP="001E55F9">
            <w:pPr>
              <w:spacing w:before="0" w:after="0" w:line="240" w:lineRule="auto"/>
              <w:rPr>
                <w:b w:val="0"/>
                <w:color w:val="auto"/>
                <w:sz w:val="18"/>
                <w:szCs w:val="18"/>
              </w:rPr>
            </w:pPr>
            <w:r>
              <w:rPr>
                <w:b w:val="0"/>
                <w:color w:val="auto"/>
                <w:sz w:val="18"/>
                <w:szCs w:val="18"/>
              </w:rPr>
              <w:t>Never attended school (Aged 18 or older)</w:t>
            </w:r>
          </w:p>
        </w:tc>
        <w:tc>
          <w:tcPr>
            <w:tcW w:w="1738" w:type="dxa"/>
            <w:tcBorders>
              <w:top w:val="nil"/>
              <w:left w:val="nil"/>
              <w:bottom w:val="nil"/>
              <w:right w:val="nil"/>
            </w:tcBorders>
            <w:shd w:val="clear" w:color="auto" w:fill="FDDA24"/>
            <w:vAlign w:val="center"/>
            <w:hideMark/>
          </w:tcPr>
          <w:p w:rsidR="006726AF" w:rsidRDefault="006726AF" w:rsidP="001E55F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w:t>
            </w:r>
          </w:p>
        </w:tc>
        <w:tc>
          <w:tcPr>
            <w:tcW w:w="2410" w:type="dxa"/>
            <w:tcBorders>
              <w:top w:val="nil"/>
              <w:left w:val="nil"/>
              <w:bottom w:val="nil"/>
              <w:right w:val="nil"/>
            </w:tcBorders>
            <w:shd w:val="clear" w:color="auto" w:fill="FDDA24"/>
            <w:vAlign w:val="center"/>
            <w:hideMark/>
          </w:tcPr>
          <w:p w:rsidR="006726AF" w:rsidRDefault="006726AF" w:rsidP="001E55F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w:t>
            </w:r>
          </w:p>
        </w:tc>
      </w:tr>
      <w:tr w:rsidR="006726AF" w:rsidTr="001E55F9">
        <w:trPr>
          <w:trHeight w:val="283"/>
        </w:trPr>
        <w:tc>
          <w:tcPr>
            <w:cnfStyle w:val="001000000000" w:firstRow="0" w:lastRow="0" w:firstColumn="1" w:lastColumn="0" w:oddVBand="0" w:evenVBand="0" w:oddHBand="0" w:evenHBand="0" w:firstRowFirstColumn="0" w:firstRowLastColumn="0" w:lastRowFirstColumn="0" w:lastRowLastColumn="0"/>
            <w:tcW w:w="5775" w:type="dxa"/>
            <w:tcBorders>
              <w:top w:val="nil"/>
            </w:tcBorders>
            <w:shd w:val="clear" w:color="auto" w:fill="FDDA24"/>
            <w:vAlign w:val="center"/>
            <w:hideMark/>
          </w:tcPr>
          <w:p w:rsidR="006726AF" w:rsidRDefault="006726AF" w:rsidP="001E55F9">
            <w:pPr>
              <w:spacing w:before="0" w:after="0" w:line="240" w:lineRule="auto"/>
              <w:rPr>
                <w:b w:val="0"/>
                <w:color w:val="auto"/>
                <w:sz w:val="18"/>
                <w:szCs w:val="18"/>
              </w:rPr>
            </w:pPr>
            <w:r>
              <w:rPr>
                <w:b w:val="0"/>
                <w:color w:val="auto"/>
                <w:sz w:val="18"/>
                <w:szCs w:val="18"/>
              </w:rPr>
              <w:t>Never undertaken paid work (Aged 18 or older)</w:t>
            </w:r>
          </w:p>
        </w:tc>
        <w:tc>
          <w:tcPr>
            <w:tcW w:w="1738" w:type="dxa"/>
            <w:tcBorders>
              <w:top w:val="nil"/>
              <w:left w:val="nil"/>
              <w:bottom w:val="nil"/>
              <w:right w:val="nil"/>
            </w:tcBorders>
            <w:shd w:val="clear" w:color="auto" w:fill="FDDA24"/>
            <w:vAlign w:val="center"/>
            <w:hideMark/>
          </w:tcPr>
          <w:p w:rsidR="006726AF" w:rsidRDefault="006726AF" w:rsidP="001E55F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24%</w:t>
            </w:r>
          </w:p>
        </w:tc>
        <w:tc>
          <w:tcPr>
            <w:tcW w:w="2410" w:type="dxa"/>
            <w:tcBorders>
              <w:top w:val="nil"/>
              <w:left w:val="nil"/>
              <w:bottom w:val="nil"/>
              <w:right w:val="nil"/>
            </w:tcBorders>
            <w:shd w:val="clear" w:color="auto" w:fill="FDDA24"/>
            <w:vAlign w:val="center"/>
            <w:hideMark/>
          </w:tcPr>
          <w:p w:rsidR="006726AF" w:rsidRDefault="006726AF" w:rsidP="001E55F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67%</w:t>
            </w:r>
          </w:p>
        </w:tc>
      </w:tr>
      <w:tr w:rsidR="006726AF" w:rsidTr="001E55F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775" w:type="dxa"/>
            <w:tcBorders>
              <w:top w:val="nil"/>
            </w:tcBorders>
            <w:shd w:val="clear" w:color="auto" w:fill="FDDA24"/>
            <w:vAlign w:val="center"/>
            <w:hideMark/>
          </w:tcPr>
          <w:p w:rsidR="006726AF" w:rsidRDefault="006726AF" w:rsidP="001E55F9">
            <w:pPr>
              <w:spacing w:before="0" w:after="0" w:line="240" w:lineRule="auto"/>
              <w:rPr>
                <w:b w:val="0"/>
                <w:color w:val="auto"/>
                <w:sz w:val="18"/>
                <w:szCs w:val="18"/>
              </w:rPr>
            </w:pPr>
            <w:r>
              <w:rPr>
                <w:b w:val="0"/>
                <w:color w:val="auto"/>
                <w:sz w:val="18"/>
                <w:szCs w:val="18"/>
              </w:rPr>
              <w:t>Did not understand spoken English at all before arrival</w:t>
            </w:r>
          </w:p>
        </w:tc>
        <w:tc>
          <w:tcPr>
            <w:tcW w:w="1738" w:type="dxa"/>
            <w:tcBorders>
              <w:top w:val="nil"/>
              <w:left w:val="nil"/>
              <w:bottom w:val="nil"/>
              <w:right w:val="nil"/>
            </w:tcBorders>
            <w:shd w:val="clear" w:color="auto" w:fill="FDDA24"/>
            <w:vAlign w:val="center"/>
            <w:hideMark/>
          </w:tcPr>
          <w:p w:rsidR="006726AF" w:rsidRDefault="006726AF" w:rsidP="001E55F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33%</w:t>
            </w:r>
          </w:p>
        </w:tc>
        <w:tc>
          <w:tcPr>
            <w:tcW w:w="2410" w:type="dxa"/>
            <w:tcBorders>
              <w:top w:val="nil"/>
              <w:left w:val="nil"/>
              <w:bottom w:val="nil"/>
              <w:right w:val="nil"/>
            </w:tcBorders>
            <w:shd w:val="clear" w:color="auto" w:fill="FDDA24"/>
            <w:vAlign w:val="center"/>
            <w:hideMark/>
          </w:tcPr>
          <w:p w:rsidR="006726AF" w:rsidRDefault="006726AF" w:rsidP="001E55F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44%</w:t>
            </w:r>
          </w:p>
        </w:tc>
      </w:tr>
      <w:tr w:rsidR="006726AF" w:rsidTr="001E55F9">
        <w:trPr>
          <w:trHeight w:val="283"/>
        </w:trPr>
        <w:tc>
          <w:tcPr>
            <w:cnfStyle w:val="001000000000" w:firstRow="0" w:lastRow="0" w:firstColumn="1" w:lastColumn="0" w:oddVBand="0" w:evenVBand="0" w:oddHBand="0" w:evenHBand="0" w:firstRowFirstColumn="0" w:firstRowLastColumn="0" w:lastRowFirstColumn="0" w:lastRowLastColumn="0"/>
            <w:tcW w:w="5775" w:type="dxa"/>
            <w:tcBorders>
              <w:top w:val="nil"/>
            </w:tcBorders>
            <w:shd w:val="clear" w:color="auto" w:fill="FDDA24"/>
            <w:vAlign w:val="center"/>
            <w:hideMark/>
          </w:tcPr>
          <w:p w:rsidR="006726AF" w:rsidRDefault="006726AF" w:rsidP="001E55F9">
            <w:pPr>
              <w:spacing w:before="0" w:after="0" w:line="240" w:lineRule="auto"/>
              <w:rPr>
                <w:b w:val="0"/>
                <w:color w:val="auto"/>
                <w:sz w:val="18"/>
                <w:szCs w:val="18"/>
              </w:rPr>
            </w:pPr>
            <w:r>
              <w:rPr>
                <w:b w:val="0"/>
                <w:color w:val="auto"/>
                <w:sz w:val="18"/>
                <w:szCs w:val="18"/>
              </w:rPr>
              <w:t>Illiterate in own language (cannot read or write own language at all)</w:t>
            </w:r>
          </w:p>
        </w:tc>
        <w:tc>
          <w:tcPr>
            <w:tcW w:w="1738" w:type="dxa"/>
            <w:tcBorders>
              <w:top w:val="nil"/>
              <w:left w:val="nil"/>
              <w:bottom w:val="single" w:sz="18" w:space="0" w:color="auto"/>
              <w:right w:val="nil"/>
            </w:tcBorders>
            <w:shd w:val="clear" w:color="auto" w:fill="FDDA24"/>
            <w:vAlign w:val="center"/>
            <w:hideMark/>
          </w:tcPr>
          <w:p w:rsidR="006726AF" w:rsidRDefault="006726AF" w:rsidP="001E55F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17%</w:t>
            </w:r>
          </w:p>
        </w:tc>
        <w:tc>
          <w:tcPr>
            <w:tcW w:w="2410" w:type="dxa"/>
            <w:tcBorders>
              <w:top w:val="nil"/>
              <w:left w:val="nil"/>
              <w:bottom w:val="single" w:sz="18" w:space="0" w:color="auto"/>
              <w:right w:val="nil"/>
            </w:tcBorders>
            <w:shd w:val="clear" w:color="auto" w:fill="FDDA24"/>
            <w:vAlign w:val="center"/>
            <w:hideMark/>
          </w:tcPr>
          <w:p w:rsidR="006726AF" w:rsidRDefault="006726AF" w:rsidP="001E55F9">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23%</w:t>
            </w:r>
          </w:p>
        </w:tc>
      </w:tr>
    </w:tbl>
    <w:p w:rsidR="006726AF" w:rsidRDefault="006726AF" w:rsidP="006726AF">
      <w:pPr>
        <w:spacing w:before="240"/>
      </w:pPr>
      <w:r>
        <w:rPr>
          <w:rFonts w:eastAsiaTheme="majorEastAsia"/>
        </w:rPr>
        <w:t>Figures such as those in Table 1 highlight why the settlement process could be very difficult for large portions of the participants in this study. However, over 80 per cent of participants said their overall settlement experiences were good or very good and the same percentage said they felt welcome always or most of the time. In addition 69 per cent reported a sense of belonging in Australia always or most of the time. The data shows a strong relationship between</w:t>
      </w:r>
      <w:r>
        <w:t xml:space="preserve"> lack of English language and knowledge of how to access Government services (Figure 1). Over 64 per cent of respondents who do not understand spoken English also reported that they wouldn’t know how to access Government services if they needed to. Those who are more proficient in English tended to indicate a greater confidence in their abilities to access such services.</w:t>
      </w:r>
    </w:p>
    <w:p w:rsidR="006726AF" w:rsidRDefault="006726AF" w:rsidP="006726AF">
      <w:pPr>
        <w:spacing w:before="240" w:after="0"/>
        <w:jc w:val="both"/>
        <w:rPr>
          <w:b/>
        </w:rPr>
      </w:pPr>
      <w:r>
        <w:rPr>
          <w:b/>
        </w:rPr>
        <w:t>Figure 1: Confidence accessing Government services by English language proficiency.</w:t>
      </w:r>
    </w:p>
    <w:p w:rsidR="006726AF" w:rsidRDefault="006726AF" w:rsidP="006726AF">
      <w:pPr>
        <w:spacing w:before="0" w:after="0"/>
        <w:jc w:val="both"/>
        <w:rPr>
          <w:sz w:val="18"/>
          <w:szCs w:val="18"/>
        </w:rPr>
      </w:pPr>
      <w:r>
        <w:rPr>
          <w:noProof/>
        </w:rPr>
        <w:drawing>
          <wp:inline distT="0" distB="0" distL="0" distR="0" wp14:anchorId="119BD628" wp14:editId="227383CA">
            <wp:extent cx="6236898" cy="2993366"/>
            <wp:effectExtent l="0" t="0" r="12065" b="17145"/>
            <wp:docPr id="3" name="Chart 3" descr="This bar graph shows, in percentages, if respondents had to access government services if they would know how to do it - not at all, a little, fairly well or very well.&#10;The vertical axis shows how well respondents can understand spoken English - not at all, not well, well or very well." title="Confidence accessing government services by English language proficiency"/>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012BE" w:rsidRDefault="007012BE" w:rsidP="006726AF">
      <w:pPr>
        <w:spacing w:before="0" w:after="0" w:line="240" w:lineRule="auto"/>
        <w:rPr>
          <w:b/>
        </w:rPr>
      </w:pPr>
    </w:p>
    <w:p w:rsidR="007012BE" w:rsidRDefault="007012BE" w:rsidP="007012BE">
      <w:pPr>
        <w:rPr>
          <w:b/>
        </w:rPr>
      </w:pPr>
    </w:p>
    <w:p w:rsidR="007012BE" w:rsidRPr="0086047F" w:rsidRDefault="007012BE" w:rsidP="007012BE">
      <w:pPr>
        <w:rPr>
          <w:spacing w:val="5"/>
        </w:rPr>
      </w:pPr>
      <w:r w:rsidRPr="0086047F">
        <w:rPr>
          <w:b/>
        </w:rPr>
        <w:lastRenderedPageBreak/>
        <w:t>Confidence in accessing government services by English language proficiency.</w:t>
      </w:r>
    </w:p>
    <w:tbl>
      <w:tblPr>
        <w:tblStyle w:val="TableGrid"/>
        <w:tblW w:w="0" w:type="auto"/>
        <w:tblLook w:val="04A0" w:firstRow="1" w:lastRow="0" w:firstColumn="1" w:lastColumn="0" w:noHBand="0" w:noVBand="1"/>
        <w:tblCaption w:val="Confidence in accessing government services by English language proficiency"/>
      </w:tblPr>
      <w:tblGrid>
        <w:gridCol w:w="3968"/>
        <w:gridCol w:w="1480"/>
        <w:gridCol w:w="1480"/>
        <w:gridCol w:w="1480"/>
        <w:gridCol w:w="1480"/>
      </w:tblGrid>
      <w:tr w:rsidR="007012BE" w:rsidRPr="0086047F" w:rsidTr="00AC2297">
        <w:trPr>
          <w:tblHeader/>
        </w:trPr>
        <w:tc>
          <w:tcPr>
            <w:tcW w:w="3968" w:type="dxa"/>
          </w:tcPr>
          <w:p w:rsidR="007012BE" w:rsidRPr="0086047F" w:rsidRDefault="007012BE" w:rsidP="00AC2297"/>
        </w:tc>
        <w:tc>
          <w:tcPr>
            <w:tcW w:w="5920" w:type="dxa"/>
            <w:gridSpan w:val="4"/>
          </w:tcPr>
          <w:p w:rsidR="007012BE" w:rsidRPr="0086047F" w:rsidRDefault="007012BE" w:rsidP="00AC2297">
            <w:pPr>
              <w:rPr>
                <w:b/>
              </w:rPr>
            </w:pPr>
            <w:r w:rsidRPr="0086047F">
              <w:rPr>
                <w:b/>
              </w:rPr>
              <w:t xml:space="preserve">If you had to, would you know how to access government services? </w:t>
            </w:r>
          </w:p>
        </w:tc>
      </w:tr>
      <w:tr w:rsidR="007012BE" w:rsidRPr="0086047F" w:rsidTr="00AC2297">
        <w:tc>
          <w:tcPr>
            <w:tcW w:w="3968" w:type="dxa"/>
          </w:tcPr>
          <w:p w:rsidR="007012BE" w:rsidRPr="0086047F" w:rsidRDefault="007012BE" w:rsidP="00AC2297"/>
        </w:tc>
        <w:tc>
          <w:tcPr>
            <w:tcW w:w="1480" w:type="dxa"/>
          </w:tcPr>
          <w:p w:rsidR="007012BE" w:rsidRPr="0086047F" w:rsidRDefault="007012BE" w:rsidP="00AC2297">
            <w:pPr>
              <w:jc w:val="center"/>
              <w:rPr>
                <w:b/>
              </w:rPr>
            </w:pPr>
            <w:r w:rsidRPr="0086047F">
              <w:rPr>
                <w:b/>
              </w:rPr>
              <w:t>Not at all</w:t>
            </w:r>
          </w:p>
        </w:tc>
        <w:tc>
          <w:tcPr>
            <w:tcW w:w="1480" w:type="dxa"/>
          </w:tcPr>
          <w:p w:rsidR="007012BE" w:rsidRPr="0086047F" w:rsidRDefault="007012BE" w:rsidP="00AC2297">
            <w:pPr>
              <w:jc w:val="center"/>
              <w:rPr>
                <w:b/>
              </w:rPr>
            </w:pPr>
            <w:r w:rsidRPr="0086047F">
              <w:rPr>
                <w:b/>
              </w:rPr>
              <w:t>A little</w:t>
            </w:r>
          </w:p>
        </w:tc>
        <w:tc>
          <w:tcPr>
            <w:tcW w:w="1480" w:type="dxa"/>
          </w:tcPr>
          <w:p w:rsidR="007012BE" w:rsidRPr="0086047F" w:rsidRDefault="007012BE" w:rsidP="00AC2297">
            <w:pPr>
              <w:jc w:val="center"/>
              <w:rPr>
                <w:b/>
              </w:rPr>
            </w:pPr>
            <w:r w:rsidRPr="0086047F">
              <w:rPr>
                <w:b/>
              </w:rPr>
              <w:t>Fairly well</w:t>
            </w:r>
          </w:p>
        </w:tc>
        <w:tc>
          <w:tcPr>
            <w:tcW w:w="1480" w:type="dxa"/>
          </w:tcPr>
          <w:p w:rsidR="007012BE" w:rsidRPr="0086047F" w:rsidRDefault="007012BE" w:rsidP="00AC2297">
            <w:pPr>
              <w:jc w:val="center"/>
              <w:rPr>
                <w:b/>
              </w:rPr>
            </w:pPr>
            <w:r w:rsidRPr="0086047F">
              <w:rPr>
                <w:b/>
              </w:rPr>
              <w:t>Very Well</w:t>
            </w:r>
          </w:p>
        </w:tc>
      </w:tr>
      <w:tr w:rsidR="007012BE" w:rsidRPr="0086047F" w:rsidTr="00AC2297">
        <w:tc>
          <w:tcPr>
            <w:tcW w:w="3968" w:type="dxa"/>
          </w:tcPr>
          <w:p w:rsidR="007012BE" w:rsidRPr="0086047F" w:rsidRDefault="007012BE" w:rsidP="00AC2297">
            <w:r>
              <w:t>Understands spoken English: “</w:t>
            </w:r>
            <w:r w:rsidRPr="0086047F">
              <w:t>Not at all</w:t>
            </w:r>
            <w:r>
              <w:t>”</w:t>
            </w:r>
          </w:p>
        </w:tc>
        <w:tc>
          <w:tcPr>
            <w:tcW w:w="1480" w:type="dxa"/>
          </w:tcPr>
          <w:p w:rsidR="007012BE" w:rsidRPr="0086047F" w:rsidRDefault="007012BE" w:rsidP="00AC2297">
            <w:pPr>
              <w:jc w:val="center"/>
            </w:pPr>
            <w:r w:rsidRPr="0086047F">
              <w:t>64%</w:t>
            </w:r>
          </w:p>
        </w:tc>
        <w:tc>
          <w:tcPr>
            <w:tcW w:w="1480" w:type="dxa"/>
          </w:tcPr>
          <w:p w:rsidR="007012BE" w:rsidRPr="0086047F" w:rsidRDefault="007012BE" w:rsidP="00AC2297">
            <w:pPr>
              <w:jc w:val="center"/>
            </w:pPr>
            <w:r w:rsidRPr="0086047F">
              <w:t>23%</w:t>
            </w:r>
          </w:p>
        </w:tc>
        <w:tc>
          <w:tcPr>
            <w:tcW w:w="1480" w:type="dxa"/>
          </w:tcPr>
          <w:p w:rsidR="007012BE" w:rsidRPr="0086047F" w:rsidRDefault="007012BE" w:rsidP="00AC2297">
            <w:pPr>
              <w:jc w:val="center"/>
            </w:pPr>
            <w:r w:rsidRPr="0086047F">
              <w:t>6%</w:t>
            </w:r>
          </w:p>
        </w:tc>
        <w:tc>
          <w:tcPr>
            <w:tcW w:w="1480" w:type="dxa"/>
          </w:tcPr>
          <w:p w:rsidR="007012BE" w:rsidRPr="0086047F" w:rsidRDefault="007012BE" w:rsidP="00AC2297">
            <w:pPr>
              <w:jc w:val="center"/>
            </w:pPr>
            <w:r w:rsidRPr="0086047F">
              <w:t>3%</w:t>
            </w:r>
          </w:p>
        </w:tc>
      </w:tr>
      <w:tr w:rsidR="007012BE" w:rsidRPr="0086047F" w:rsidTr="00AC2297">
        <w:tc>
          <w:tcPr>
            <w:tcW w:w="3968" w:type="dxa"/>
          </w:tcPr>
          <w:p w:rsidR="007012BE" w:rsidRPr="0086047F" w:rsidRDefault="007012BE" w:rsidP="00AC2297">
            <w:r>
              <w:t>Understands spoken English: “</w:t>
            </w:r>
            <w:r w:rsidRPr="0086047F">
              <w:t>Not well</w:t>
            </w:r>
            <w:r>
              <w:t>”</w:t>
            </w:r>
          </w:p>
        </w:tc>
        <w:tc>
          <w:tcPr>
            <w:tcW w:w="1480" w:type="dxa"/>
          </w:tcPr>
          <w:p w:rsidR="007012BE" w:rsidRPr="0086047F" w:rsidRDefault="007012BE" w:rsidP="00AC2297">
            <w:pPr>
              <w:jc w:val="center"/>
            </w:pPr>
            <w:r w:rsidRPr="0086047F">
              <w:t>40%</w:t>
            </w:r>
          </w:p>
        </w:tc>
        <w:tc>
          <w:tcPr>
            <w:tcW w:w="1480" w:type="dxa"/>
          </w:tcPr>
          <w:p w:rsidR="007012BE" w:rsidRPr="0086047F" w:rsidRDefault="007012BE" w:rsidP="00AC2297">
            <w:pPr>
              <w:jc w:val="center"/>
            </w:pPr>
            <w:r w:rsidRPr="0086047F">
              <w:t>37%</w:t>
            </w:r>
          </w:p>
        </w:tc>
        <w:tc>
          <w:tcPr>
            <w:tcW w:w="1480" w:type="dxa"/>
          </w:tcPr>
          <w:p w:rsidR="007012BE" w:rsidRPr="0086047F" w:rsidRDefault="007012BE" w:rsidP="00AC2297">
            <w:pPr>
              <w:jc w:val="center"/>
            </w:pPr>
            <w:r w:rsidRPr="0086047F">
              <w:t>13%</w:t>
            </w:r>
          </w:p>
        </w:tc>
        <w:tc>
          <w:tcPr>
            <w:tcW w:w="1480" w:type="dxa"/>
          </w:tcPr>
          <w:p w:rsidR="007012BE" w:rsidRPr="0086047F" w:rsidRDefault="007012BE" w:rsidP="00AC2297">
            <w:pPr>
              <w:jc w:val="center"/>
            </w:pPr>
            <w:r w:rsidRPr="0086047F">
              <w:t>7%</w:t>
            </w:r>
          </w:p>
        </w:tc>
      </w:tr>
      <w:tr w:rsidR="007012BE" w:rsidRPr="0086047F" w:rsidTr="00AC2297">
        <w:tc>
          <w:tcPr>
            <w:tcW w:w="3968" w:type="dxa"/>
          </w:tcPr>
          <w:p w:rsidR="007012BE" w:rsidRPr="0086047F" w:rsidRDefault="007012BE" w:rsidP="00AC2297">
            <w:r>
              <w:t>Understands spoken English: “</w:t>
            </w:r>
            <w:r w:rsidRPr="0086047F">
              <w:t>Well</w:t>
            </w:r>
            <w:r>
              <w:t>”</w:t>
            </w:r>
          </w:p>
        </w:tc>
        <w:tc>
          <w:tcPr>
            <w:tcW w:w="1480" w:type="dxa"/>
          </w:tcPr>
          <w:p w:rsidR="007012BE" w:rsidRPr="0086047F" w:rsidRDefault="007012BE" w:rsidP="00AC2297">
            <w:pPr>
              <w:jc w:val="center"/>
            </w:pPr>
            <w:r w:rsidRPr="0086047F">
              <w:t>23%</w:t>
            </w:r>
          </w:p>
        </w:tc>
        <w:tc>
          <w:tcPr>
            <w:tcW w:w="1480" w:type="dxa"/>
          </w:tcPr>
          <w:p w:rsidR="007012BE" w:rsidRPr="0086047F" w:rsidRDefault="007012BE" w:rsidP="00AC2297">
            <w:pPr>
              <w:jc w:val="center"/>
            </w:pPr>
            <w:r w:rsidRPr="0086047F">
              <w:t>35%</w:t>
            </w:r>
          </w:p>
        </w:tc>
        <w:tc>
          <w:tcPr>
            <w:tcW w:w="1480" w:type="dxa"/>
          </w:tcPr>
          <w:p w:rsidR="007012BE" w:rsidRPr="0086047F" w:rsidRDefault="007012BE" w:rsidP="00AC2297">
            <w:pPr>
              <w:jc w:val="center"/>
            </w:pPr>
            <w:r w:rsidRPr="0086047F">
              <w:t>26%</w:t>
            </w:r>
          </w:p>
        </w:tc>
        <w:tc>
          <w:tcPr>
            <w:tcW w:w="1480" w:type="dxa"/>
          </w:tcPr>
          <w:p w:rsidR="007012BE" w:rsidRPr="0086047F" w:rsidRDefault="007012BE" w:rsidP="00AC2297">
            <w:pPr>
              <w:jc w:val="center"/>
            </w:pPr>
            <w:r w:rsidRPr="0086047F">
              <w:t>14%</w:t>
            </w:r>
          </w:p>
        </w:tc>
      </w:tr>
      <w:tr w:rsidR="007012BE" w:rsidRPr="0086047F" w:rsidTr="00AC2297">
        <w:tc>
          <w:tcPr>
            <w:tcW w:w="3968" w:type="dxa"/>
          </w:tcPr>
          <w:p w:rsidR="007012BE" w:rsidRPr="0086047F" w:rsidRDefault="007012BE" w:rsidP="00AC2297">
            <w:r>
              <w:t>Understands spoken English: “V</w:t>
            </w:r>
            <w:r w:rsidRPr="0086047F">
              <w:t>ery well</w:t>
            </w:r>
            <w:r>
              <w:t>”</w:t>
            </w:r>
          </w:p>
        </w:tc>
        <w:tc>
          <w:tcPr>
            <w:tcW w:w="1480" w:type="dxa"/>
          </w:tcPr>
          <w:p w:rsidR="007012BE" w:rsidRPr="0086047F" w:rsidRDefault="007012BE" w:rsidP="00AC2297">
            <w:pPr>
              <w:jc w:val="center"/>
            </w:pPr>
            <w:r w:rsidRPr="0086047F">
              <w:t>12%</w:t>
            </w:r>
          </w:p>
        </w:tc>
        <w:tc>
          <w:tcPr>
            <w:tcW w:w="1480" w:type="dxa"/>
          </w:tcPr>
          <w:p w:rsidR="007012BE" w:rsidRPr="0086047F" w:rsidRDefault="007012BE" w:rsidP="00AC2297">
            <w:pPr>
              <w:jc w:val="center"/>
            </w:pPr>
            <w:r w:rsidRPr="0086047F">
              <w:t>23%</w:t>
            </w:r>
          </w:p>
        </w:tc>
        <w:tc>
          <w:tcPr>
            <w:tcW w:w="1480" w:type="dxa"/>
          </w:tcPr>
          <w:p w:rsidR="007012BE" w:rsidRPr="0086047F" w:rsidRDefault="007012BE" w:rsidP="00AC2297">
            <w:pPr>
              <w:jc w:val="center"/>
            </w:pPr>
            <w:r w:rsidRPr="0086047F">
              <w:t>28%</w:t>
            </w:r>
          </w:p>
        </w:tc>
        <w:tc>
          <w:tcPr>
            <w:tcW w:w="1480" w:type="dxa"/>
          </w:tcPr>
          <w:p w:rsidR="007012BE" w:rsidRPr="0086047F" w:rsidRDefault="007012BE" w:rsidP="00AC2297">
            <w:pPr>
              <w:jc w:val="center"/>
            </w:pPr>
            <w:r w:rsidRPr="0086047F">
              <w:t>35%</w:t>
            </w:r>
          </w:p>
        </w:tc>
      </w:tr>
    </w:tbl>
    <w:p w:rsidR="006726AF" w:rsidRDefault="006726AF" w:rsidP="006726AF">
      <w:pPr>
        <w:spacing w:after="0"/>
        <w:rPr>
          <w:sz w:val="18"/>
          <w:szCs w:val="18"/>
        </w:rPr>
      </w:pPr>
      <w:r>
        <w:t>In addition to existing disadvantages in terms of education, and work experience, many participants also need to overcome physical and mental health challenges. As detailed in Table 2, gender differences are also evident on health issues with higher proportions of female participants reporting poor health than amongst their male counterparts. Of particular concern is that 46 per cent of females have been experiencing moderate to high levels of psychological distress, as have 35 per cent of males. By way of comparison, estimates for the Australian adult population are that just 11 per cent of females and seven per cent of males fall into these categories</w:t>
      </w:r>
      <w:r>
        <w:rPr>
          <w:rStyle w:val="FootnoteReference"/>
        </w:rPr>
        <w:footnoteReference w:id="4"/>
      </w:r>
      <w:r>
        <w:t>. Furthermore, 62 per cent of females have been prescribed medication for physical conditions since arrival in Australia (54 per cent of males) and nearly one in five rate their recent health as poor or very poor.</w:t>
      </w:r>
    </w:p>
    <w:p w:rsidR="006726AF" w:rsidRDefault="006726AF" w:rsidP="006726AF">
      <w:pPr>
        <w:spacing w:before="240" w:after="0"/>
        <w:jc w:val="both"/>
        <w:rPr>
          <w:b/>
        </w:rPr>
      </w:pPr>
      <w:r>
        <w:rPr>
          <w:b/>
        </w:rPr>
        <w:t>Table 2: Indicators of mental and physical health concerns amongst the BNLA cohort</w:t>
      </w:r>
    </w:p>
    <w:tbl>
      <w:tblPr>
        <w:tblStyle w:val="MediumShading2-Accent6"/>
        <w:tblW w:w="9930" w:type="dxa"/>
        <w:tblInd w:w="108" w:type="dxa"/>
        <w:shd w:val="clear" w:color="auto" w:fill="FDDA24"/>
        <w:tblLayout w:type="fixed"/>
        <w:tblLook w:val="04A0" w:firstRow="1" w:lastRow="0" w:firstColumn="1" w:lastColumn="0" w:noHBand="0" w:noVBand="1"/>
        <w:tblCaption w:val="Indicators of mental and physical health concerns amongst the BNLA cohort"/>
        <w:tblDescription w:val="This graph shows the percentage of Males and Females experiencing measures of mental and physical health. There are 5 measures of mental and physical health listed in the graph."/>
      </w:tblPr>
      <w:tblGrid>
        <w:gridCol w:w="6384"/>
        <w:gridCol w:w="1844"/>
        <w:gridCol w:w="1702"/>
      </w:tblGrid>
      <w:tr w:rsidR="006726AF" w:rsidTr="001E55F9">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100" w:firstRow="0" w:lastRow="0" w:firstColumn="1" w:lastColumn="0" w:oddVBand="0" w:evenVBand="0" w:oddHBand="0" w:evenHBand="0" w:firstRowFirstColumn="1" w:firstRowLastColumn="0" w:lastRowFirstColumn="0" w:lastRowLastColumn="0"/>
            <w:tcW w:w="6379" w:type="dxa"/>
            <w:shd w:val="clear" w:color="auto" w:fill="FDDA24"/>
            <w:hideMark/>
          </w:tcPr>
          <w:p w:rsidR="006726AF" w:rsidRDefault="006726AF" w:rsidP="001E55F9">
            <w:pPr>
              <w:jc w:val="both"/>
              <w:rPr>
                <w:color w:val="auto"/>
                <w:sz w:val="18"/>
                <w:szCs w:val="18"/>
              </w:rPr>
            </w:pPr>
            <w:r>
              <w:rPr>
                <w:color w:val="auto"/>
                <w:sz w:val="18"/>
                <w:szCs w:val="18"/>
              </w:rPr>
              <w:t>Measures of Physical and Mental Health</w:t>
            </w:r>
          </w:p>
        </w:tc>
        <w:tc>
          <w:tcPr>
            <w:tcW w:w="1843" w:type="dxa"/>
            <w:shd w:val="clear" w:color="auto" w:fill="FDDA24"/>
            <w:hideMark/>
          </w:tcPr>
          <w:p w:rsidR="006726AF" w:rsidRDefault="006726AF" w:rsidP="001E55F9">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Pr>
                <w:color w:val="auto"/>
                <w:sz w:val="18"/>
                <w:szCs w:val="18"/>
              </w:rPr>
              <w:t>Males</w:t>
            </w:r>
          </w:p>
        </w:tc>
        <w:tc>
          <w:tcPr>
            <w:tcW w:w="1701" w:type="dxa"/>
            <w:shd w:val="clear" w:color="auto" w:fill="FDDA24"/>
            <w:hideMark/>
          </w:tcPr>
          <w:p w:rsidR="006726AF" w:rsidRDefault="006726AF" w:rsidP="001E55F9">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Pr>
                <w:color w:val="auto"/>
                <w:sz w:val="18"/>
                <w:szCs w:val="18"/>
              </w:rPr>
              <w:t>Females</w:t>
            </w:r>
          </w:p>
        </w:tc>
      </w:tr>
      <w:tr w:rsidR="006726AF" w:rsidTr="001E55F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9" w:type="dxa"/>
            <w:tcBorders>
              <w:top w:val="nil"/>
            </w:tcBorders>
            <w:shd w:val="clear" w:color="auto" w:fill="FDDA24"/>
            <w:vAlign w:val="center"/>
            <w:hideMark/>
          </w:tcPr>
          <w:p w:rsidR="006726AF" w:rsidRDefault="006726AF" w:rsidP="001E55F9">
            <w:pPr>
              <w:spacing w:line="240" w:lineRule="auto"/>
              <w:rPr>
                <w:b w:val="0"/>
                <w:color w:val="auto"/>
                <w:sz w:val="18"/>
                <w:szCs w:val="18"/>
              </w:rPr>
            </w:pPr>
            <w:r>
              <w:rPr>
                <w:b w:val="0"/>
                <w:color w:val="auto"/>
                <w:sz w:val="18"/>
                <w:szCs w:val="18"/>
              </w:rPr>
              <w:t>Poor or very poor health over previous 4 weeks</w:t>
            </w:r>
          </w:p>
        </w:tc>
        <w:tc>
          <w:tcPr>
            <w:tcW w:w="1843" w:type="dxa"/>
            <w:tcBorders>
              <w:top w:val="nil"/>
              <w:left w:val="nil"/>
              <w:bottom w:val="nil"/>
              <w:right w:val="nil"/>
            </w:tcBorders>
            <w:shd w:val="clear" w:color="auto" w:fill="FDDA24"/>
            <w:vAlign w:val="center"/>
            <w:hideMark/>
          </w:tcPr>
          <w:p w:rsidR="006726AF" w:rsidRDefault="006726AF" w:rsidP="001E55F9">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w:t>
            </w:r>
          </w:p>
        </w:tc>
        <w:tc>
          <w:tcPr>
            <w:tcW w:w="1701" w:type="dxa"/>
            <w:tcBorders>
              <w:top w:val="nil"/>
              <w:left w:val="nil"/>
              <w:bottom w:val="nil"/>
              <w:right w:val="nil"/>
            </w:tcBorders>
            <w:shd w:val="clear" w:color="auto" w:fill="FDDA24"/>
            <w:vAlign w:val="center"/>
            <w:hideMark/>
          </w:tcPr>
          <w:p w:rsidR="006726AF" w:rsidRDefault="006726AF" w:rsidP="001E55F9">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18%</w:t>
            </w:r>
          </w:p>
        </w:tc>
      </w:tr>
      <w:tr w:rsidR="006726AF" w:rsidTr="001E55F9">
        <w:trPr>
          <w:trHeight w:val="283"/>
        </w:trPr>
        <w:tc>
          <w:tcPr>
            <w:cnfStyle w:val="001000000000" w:firstRow="0" w:lastRow="0" w:firstColumn="1" w:lastColumn="0" w:oddVBand="0" w:evenVBand="0" w:oddHBand="0" w:evenHBand="0" w:firstRowFirstColumn="0" w:firstRowLastColumn="0" w:lastRowFirstColumn="0" w:lastRowLastColumn="0"/>
            <w:tcW w:w="6379" w:type="dxa"/>
            <w:tcBorders>
              <w:top w:val="nil"/>
            </w:tcBorders>
            <w:shd w:val="clear" w:color="auto" w:fill="FDDA24"/>
            <w:vAlign w:val="center"/>
            <w:hideMark/>
          </w:tcPr>
          <w:p w:rsidR="006726AF" w:rsidRDefault="006726AF" w:rsidP="001E55F9">
            <w:pPr>
              <w:spacing w:line="240" w:lineRule="auto"/>
              <w:rPr>
                <w:b w:val="0"/>
                <w:color w:val="auto"/>
                <w:sz w:val="18"/>
                <w:szCs w:val="18"/>
              </w:rPr>
            </w:pPr>
            <w:r>
              <w:rPr>
                <w:b w:val="0"/>
                <w:color w:val="auto"/>
                <w:sz w:val="18"/>
                <w:szCs w:val="18"/>
              </w:rPr>
              <w:t>Moderate or high psychological distress (Kessler 6)</w:t>
            </w:r>
          </w:p>
        </w:tc>
        <w:tc>
          <w:tcPr>
            <w:tcW w:w="1843" w:type="dxa"/>
            <w:tcBorders>
              <w:top w:val="nil"/>
              <w:left w:val="nil"/>
              <w:bottom w:val="nil"/>
              <w:right w:val="nil"/>
            </w:tcBorders>
            <w:shd w:val="clear" w:color="auto" w:fill="FDDA24"/>
            <w:vAlign w:val="center"/>
            <w:hideMark/>
          </w:tcPr>
          <w:p w:rsidR="006726AF" w:rsidRDefault="006726AF" w:rsidP="001E55F9">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35%</w:t>
            </w:r>
          </w:p>
        </w:tc>
        <w:tc>
          <w:tcPr>
            <w:tcW w:w="1701" w:type="dxa"/>
            <w:tcBorders>
              <w:top w:val="nil"/>
              <w:left w:val="nil"/>
              <w:bottom w:val="nil"/>
              <w:right w:val="nil"/>
            </w:tcBorders>
            <w:shd w:val="clear" w:color="auto" w:fill="FDDA24"/>
            <w:vAlign w:val="center"/>
            <w:hideMark/>
          </w:tcPr>
          <w:p w:rsidR="006726AF" w:rsidRDefault="006726AF" w:rsidP="001E55F9">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46%</w:t>
            </w:r>
          </w:p>
        </w:tc>
      </w:tr>
      <w:tr w:rsidR="006726AF" w:rsidTr="001E55F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9" w:type="dxa"/>
            <w:tcBorders>
              <w:top w:val="nil"/>
            </w:tcBorders>
            <w:shd w:val="clear" w:color="auto" w:fill="FDDA24"/>
            <w:vAlign w:val="center"/>
            <w:hideMark/>
          </w:tcPr>
          <w:p w:rsidR="006726AF" w:rsidRDefault="006726AF" w:rsidP="001E55F9">
            <w:pPr>
              <w:spacing w:line="240" w:lineRule="auto"/>
              <w:rPr>
                <w:b w:val="0"/>
                <w:color w:val="auto"/>
                <w:sz w:val="18"/>
                <w:szCs w:val="18"/>
              </w:rPr>
            </w:pPr>
            <w:r>
              <w:rPr>
                <w:b w:val="0"/>
                <w:color w:val="auto"/>
                <w:sz w:val="18"/>
                <w:szCs w:val="18"/>
              </w:rPr>
              <w:t>Current health worse or much worse than the 6 months pre-arrival</w:t>
            </w:r>
          </w:p>
        </w:tc>
        <w:tc>
          <w:tcPr>
            <w:tcW w:w="1843" w:type="dxa"/>
            <w:tcBorders>
              <w:top w:val="nil"/>
              <w:left w:val="nil"/>
              <w:bottom w:val="nil"/>
              <w:right w:val="nil"/>
            </w:tcBorders>
            <w:shd w:val="clear" w:color="auto" w:fill="FDDA24"/>
            <w:vAlign w:val="center"/>
            <w:hideMark/>
          </w:tcPr>
          <w:p w:rsidR="006726AF" w:rsidRDefault="006726AF" w:rsidP="001E55F9">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w:t>
            </w:r>
          </w:p>
        </w:tc>
        <w:tc>
          <w:tcPr>
            <w:tcW w:w="1701" w:type="dxa"/>
            <w:tcBorders>
              <w:top w:val="nil"/>
              <w:left w:val="nil"/>
              <w:bottom w:val="nil"/>
              <w:right w:val="nil"/>
            </w:tcBorders>
            <w:shd w:val="clear" w:color="auto" w:fill="FDDA24"/>
            <w:vAlign w:val="center"/>
            <w:hideMark/>
          </w:tcPr>
          <w:p w:rsidR="006726AF" w:rsidRDefault="006726AF" w:rsidP="001E55F9">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14%</w:t>
            </w:r>
          </w:p>
        </w:tc>
      </w:tr>
      <w:tr w:rsidR="006726AF" w:rsidTr="001E55F9">
        <w:trPr>
          <w:trHeight w:val="283"/>
        </w:trPr>
        <w:tc>
          <w:tcPr>
            <w:cnfStyle w:val="001000000000" w:firstRow="0" w:lastRow="0" w:firstColumn="1" w:lastColumn="0" w:oddVBand="0" w:evenVBand="0" w:oddHBand="0" w:evenHBand="0" w:firstRowFirstColumn="0" w:firstRowLastColumn="0" w:lastRowFirstColumn="0" w:lastRowLastColumn="0"/>
            <w:tcW w:w="6379" w:type="dxa"/>
            <w:tcBorders>
              <w:top w:val="nil"/>
            </w:tcBorders>
            <w:shd w:val="clear" w:color="auto" w:fill="FDDA24"/>
            <w:vAlign w:val="center"/>
            <w:hideMark/>
          </w:tcPr>
          <w:p w:rsidR="006726AF" w:rsidRDefault="006726AF" w:rsidP="001E55F9">
            <w:pPr>
              <w:spacing w:line="240" w:lineRule="auto"/>
              <w:rPr>
                <w:b w:val="0"/>
                <w:color w:val="auto"/>
                <w:sz w:val="18"/>
                <w:szCs w:val="18"/>
              </w:rPr>
            </w:pPr>
            <w:r>
              <w:rPr>
                <w:b w:val="0"/>
                <w:color w:val="auto"/>
                <w:sz w:val="18"/>
                <w:szCs w:val="18"/>
              </w:rPr>
              <w:t>Prescribed medication for physical health since arrival</w:t>
            </w:r>
          </w:p>
        </w:tc>
        <w:tc>
          <w:tcPr>
            <w:tcW w:w="1843" w:type="dxa"/>
            <w:tcBorders>
              <w:top w:val="nil"/>
              <w:left w:val="nil"/>
              <w:bottom w:val="nil"/>
              <w:right w:val="nil"/>
            </w:tcBorders>
            <w:shd w:val="clear" w:color="auto" w:fill="FDDA24"/>
            <w:vAlign w:val="center"/>
            <w:hideMark/>
          </w:tcPr>
          <w:p w:rsidR="006726AF" w:rsidRDefault="006726AF" w:rsidP="001E55F9">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54%</w:t>
            </w:r>
          </w:p>
        </w:tc>
        <w:tc>
          <w:tcPr>
            <w:tcW w:w="1701" w:type="dxa"/>
            <w:tcBorders>
              <w:top w:val="nil"/>
              <w:left w:val="nil"/>
              <w:bottom w:val="nil"/>
              <w:right w:val="nil"/>
            </w:tcBorders>
            <w:shd w:val="clear" w:color="auto" w:fill="FDDA24"/>
            <w:vAlign w:val="center"/>
            <w:hideMark/>
          </w:tcPr>
          <w:p w:rsidR="006726AF" w:rsidRDefault="006726AF" w:rsidP="001E55F9">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62%</w:t>
            </w:r>
          </w:p>
        </w:tc>
      </w:tr>
      <w:tr w:rsidR="006726AF" w:rsidTr="001E55F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9" w:type="dxa"/>
            <w:tcBorders>
              <w:top w:val="nil"/>
            </w:tcBorders>
            <w:shd w:val="clear" w:color="auto" w:fill="FDDA24"/>
            <w:vAlign w:val="center"/>
            <w:hideMark/>
          </w:tcPr>
          <w:p w:rsidR="006726AF" w:rsidRDefault="006726AF" w:rsidP="001E55F9">
            <w:pPr>
              <w:spacing w:line="240" w:lineRule="auto"/>
              <w:rPr>
                <w:b w:val="0"/>
                <w:color w:val="auto"/>
                <w:sz w:val="18"/>
                <w:szCs w:val="18"/>
              </w:rPr>
            </w:pPr>
            <w:r>
              <w:rPr>
                <w:b w:val="0"/>
                <w:color w:val="auto"/>
                <w:sz w:val="18"/>
                <w:szCs w:val="18"/>
              </w:rPr>
              <w:t>Prescribed medication for emotional health since arrival</w:t>
            </w:r>
          </w:p>
        </w:tc>
        <w:tc>
          <w:tcPr>
            <w:tcW w:w="1843" w:type="dxa"/>
            <w:tcBorders>
              <w:top w:val="nil"/>
              <w:left w:val="nil"/>
              <w:bottom w:val="single" w:sz="18" w:space="0" w:color="auto"/>
              <w:right w:val="nil"/>
            </w:tcBorders>
            <w:shd w:val="clear" w:color="auto" w:fill="FDDA24"/>
            <w:vAlign w:val="center"/>
            <w:hideMark/>
          </w:tcPr>
          <w:p w:rsidR="006726AF" w:rsidRDefault="006726AF" w:rsidP="001E55F9">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w:t>
            </w:r>
          </w:p>
        </w:tc>
        <w:tc>
          <w:tcPr>
            <w:tcW w:w="1701" w:type="dxa"/>
            <w:tcBorders>
              <w:top w:val="nil"/>
              <w:left w:val="nil"/>
              <w:bottom w:val="single" w:sz="18" w:space="0" w:color="auto"/>
              <w:right w:val="nil"/>
            </w:tcBorders>
            <w:shd w:val="clear" w:color="auto" w:fill="FDDA24"/>
            <w:vAlign w:val="center"/>
            <w:hideMark/>
          </w:tcPr>
          <w:p w:rsidR="006726AF" w:rsidRDefault="006726AF" w:rsidP="001E55F9">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16%</w:t>
            </w:r>
          </w:p>
        </w:tc>
      </w:tr>
    </w:tbl>
    <w:p w:rsidR="006726AF" w:rsidRDefault="006726AF" w:rsidP="006726AF">
      <w:pPr>
        <w:rPr>
          <w:rFonts w:eastAsiaTheme="majorEastAsia"/>
        </w:rPr>
      </w:pPr>
      <w:r>
        <w:rPr>
          <w:rFonts w:eastAsiaTheme="majorEastAsia"/>
        </w:rPr>
        <w:t>It is also apparent that humanitarian migrants in the study have economic and social challenges to overcome during their settlement process. When asked about finances, more than 17 per cent of households reported difficulty paying household bills and more than 11 per cent had problems meeting their rent/mortgage payments. Nearly one quarter of households said they could not afford to heat or cool their homes (compared to 3 per cent of Australian households</w:t>
      </w:r>
      <w:r>
        <w:rPr>
          <w:rStyle w:val="FootnoteReference"/>
          <w:rFonts w:eastAsiaTheme="majorEastAsia"/>
        </w:rPr>
        <w:footnoteReference w:id="5"/>
      </w:r>
      <w:r>
        <w:rPr>
          <w:rFonts w:eastAsiaTheme="majorEastAsia"/>
        </w:rPr>
        <w:t>).</w:t>
      </w:r>
    </w:p>
    <w:p w:rsidR="006726AF" w:rsidRDefault="006726AF" w:rsidP="006726AF">
      <w:pPr>
        <w:rPr>
          <w:rFonts w:eastAsiaTheme="majorEastAsia"/>
        </w:rPr>
      </w:pPr>
      <w:r>
        <w:rPr>
          <w:rFonts w:eastAsiaTheme="majorEastAsia"/>
        </w:rPr>
        <w:t>In terms of social and cultural issues, more than half of all participants reported problems. As indicated in Figure 2, females appear slightly more likely to experience difficulty on this front with 53 per cent saying they had difficulty understanding Australian ways, 53 per cent finding it hard to make friends and 65 per cent reporting problems communicating with their Australian neighbours.</w:t>
      </w:r>
    </w:p>
    <w:p w:rsidR="006726AF" w:rsidRDefault="006726AF" w:rsidP="006726AF">
      <w:pPr>
        <w:keepNext/>
        <w:spacing w:before="240" w:after="0"/>
        <w:jc w:val="both"/>
        <w:rPr>
          <w:b/>
        </w:rPr>
      </w:pPr>
      <w:r>
        <w:rPr>
          <w:b/>
        </w:rPr>
        <w:lastRenderedPageBreak/>
        <w:t>Figure 2: Persons experiencing difficulty with social interactions by gender.</w:t>
      </w:r>
    </w:p>
    <w:p w:rsidR="006726AF" w:rsidRDefault="006726AF" w:rsidP="006726AF">
      <w:pPr>
        <w:spacing w:before="0" w:after="0" w:line="240" w:lineRule="auto"/>
      </w:pPr>
      <w:r>
        <w:rPr>
          <w:noProof/>
        </w:rPr>
        <w:drawing>
          <wp:inline distT="0" distB="0" distL="0" distR="0" wp14:anchorId="6295367C" wp14:editId="11581C67">
            <wp:extent cx="5960853" cy="2294627"/>
            <wp:effectExtent l="0" t="0" r="20955" b="10795"/>
            <wp:docPr id="1" name="Chart 1" descr="This bar graph shows the percentage of males and females experiencing difficulty with social interactions. The 3 measures are: &#10;Hard or very hard to understand Australian ways&#10;Hard or very hard to talk to Australian neighbours&#10;Hard or very hard to make friends" title="Persons experiencing difficulty with social interactions by gende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012BE" w:rsidRPr="0086047F" w:rsidRDefault="007012BE" w:rsidP="007012BE">
      <w:pPr>
        <w:rPr>
          <w:spacing w:val="5"/>
        </w:rPr>
      </w:pPr>
      <w:r w:rsidRPr="0086047F">
        <w:rPr>
          <w:b/>
        </w:rPr>
        <w:t>Persons experiencing difficulty with social interactions by gender (%)</w:t>
      </w:r>
    </w:p>
    <w:tbl>
      <w:tblPr>
        <w:tblStyle w:val="TableGrid"/>
        <w:tblW w:w="0" w:type="auto"/>
        <w:tblLook w:val="04A0" w:firstRow="1" w:lastRow="0" w:firstColumn="1" w:lastColumn="0" w:noHBand="0" w:noVBand="1"/>
        <w:tblCaption w:val="Persons experiencing difficulty with social interactions by gender "/>
      </w:tblPr>
      <w:tblGrid>
        <w:gridCol w:w="3080"/>
        <w:gridCol w:w="3081"/>
        <w:gridCol w:w="3081"/>
      </w:tblGrid>
      <w:tr w:rsidR="007012BE" w:rsidRPr="0086047F" w:rsidTr="00AC2297">
        <w:trPr>
          <w:tblHeader/>
        </w:trPr>
        <w:tc>
          <w:tcPr>
            <w:tcW w:w="3080" w:type="dxa"/>
          </w:tcPr>
          <w:p w:rsidR="007012BE" w:rsidRPr="0086047F" w:rsidRDefault="007012BE" w:rsidP="00AC2297">
            <w:pPr>
              <w:rPr>
                <w:b/>
              </w:rPr>
            </w:pPr>
          </w:p>
        </w:tc>
        <w:tc>
          <w:tcPr>
            <w:tcW w:w="3081" w:type="dxa"/>
          </w:tcPr>
          <w:p w:rsidR="007012BE" w:rsidRPr="0086047F" w:rsidRDefault="007012BE" w:rsidP="00AC2297">
            <w:pPr>
              <w:jc w:val="center"/>
              <w:rPr>
                <w:b/>
              </w:rPr>
            </w:pPr>
            <w:r w:rsidRPr="0086047F">
              <w:rPr>
                <w:b/>
              </w:rPr>
              <w:t>Males</w:t>
            </w:r>
          </w:p>
        </w:tc>
        <w:tc>
          <w:tcPr>
            <w:tcW w:w="3081" w:type="dxa"/>
          </w:tcPr>
          <w:p w:rsidR="007012BE" w:rsidRPr="0086047F" w:rsidRDefault="007012BE" w:rsidP="00AC2297">
            <w:pPr>
              <w:jc w:val="center"/>
              <w:rPr>
                <w:b/>
              </w:rPr>
            </w:pPr>
            <w:r w:rsidRPr="0086047F">
              <w:rPr>
                <w:b/>
              </w:rPr>
              <w:t>Females</w:t>
            </w:r>
          </w:p>
        </w:tc>
      </w:tr>
      <w:tr w:rsidR="007012BE" w:rsidRPr="0086047F" w:rsidTr="00AC2297">
        <w:tc>
          <w:tcPr>
            <w:tcW w:w="3080" w:type="dxa"/>
          </w:tcPr>
          <w:p w:rsidR="007012BE" w:rsidRPr="0086047F" w:rsidRDefault="007012BE" w:rsidP="00AC2297">
            <w:r w:rsidRPr="0086047F">
              <w:t>Hard or very hard to understand Australian ways</w:t>
            </w:r>
          </w:p>
        </w:tc>
        <w:tc>
          <w:tcPr>
            <w:tcW w:w="3081" w:type="dxa"/>
          </w:tcPr>
          <w:p w:rsidR="007012BE" w:rsidRPr="0086047F" w:rsidRDefault="007012BE" w:rsidP="00AC2297">
            <w:pPr>
              <w:jc w:val="center"/>
            </w:pPr>
            <w:r w:rsidRPr="0086047F">
              <w:t>45%</w:t>
            </w:r>
          </w:p>
        </w:tc>
        <w:tc>
          <w:tcPr>
            <w:tcW w:w="3081" w:type="dxa"/>
          </w:tcPr>
          <w:p w:rsidR="007012BE" w:rsidRPr="0086047F" w:rsidRDefault="007012BE" w:rsidP="00AC2297">
            <w:pPr>
              <w:jc w:val="center"/>
            </w:pPr>
            <w:r w:rsidRPr="0086047F">
              <w:t>53%</w:t>
            </w:r>
          </w:p>
        </w:tc>
      </w:tr>
      <w:tr w:rsidR="007012BE" w:rsidRPr="0086047F" w:rsidTr="00AC2297">
        <w:tc>
          <w:tcPr>
            <w:tcW w:w="3080" w:type="dxa"/>
          </w:tcPr>
          <w:p w:rsidR="007012BE" w:rsidRPr="0086047F" w:rsidRDefault="007012BE" w:rsidP="00AC2297">
            <w:r w:rsidRPr="0086047F">
              <w:t>Hard or very hard to talk to Australian neighbours</w:t>
            </w:r>
          </w:p>
        </w:tc>
        <w:tc>
          <w:tcPr>
            <w:tcW w:w="3081" w:type="dxa"/>
          </w:tcPr>
          <w:p w:rsidR="007012BE" w:rsidRPr="0086047F" w:rsidRDefault="007012BE" w:rsidP="00AC2297">
            <w:pPr>
              <w:jc w:val="center"/>
            </w:pPr>
            <w:r w:rsidRPr="0086047F">
              <w:t>56%</w:t>
            </w:r>
          </w:p>
        </w:tc>
        <w:tc>
          <w:tcPr>
            <w:tcW w:w="3081" w:type="dxa"/>
          </w:tcPr>
          <w:p w:rsidR="007012BE" w:rsidRPr="0086047F" w:rsidRDefault="007012BE" w:rsidP="00AC2297">
            <w:pPr>
              <w:jc w:val="center"/>
            </w:pPr>
            <w:r w:rsidRPr="0086047F">
              <w:t>65%</w:t>
            </w:r>
          </w:p>
        </w:tc>
      </w:tr>
      <w:tr w:rsidR="007012BE" w:rsidRPr="0086047F" w:rsidTr="00AC2297">
        <w:tc>
          <w:tcPr>
            <w:tcW w:w="3080" w:type="dxa"/>
          </w:tcPr>
          <w:p w:rsidR="007012BE" w:rsidRPr="0086047F" w:rsidRDefault="007012BE" w:rsidP="00AC2297">
            <w:r w:rsidRPr="0086047F">
              <w:t>Hard or very hard to make friends</w:t>
            </w:r>
          </w:p>
        </w:tc>
        <w:tc>
          <w:tcPr>
            <w:tcW w:w="3081" w:type="dxa"/>
          </w:tcPr>
          <w:p w:rsidR="007012BE" w:rsidRPr="0086047F" w:rsidRDefault="007012BE" w:rsidP="00AC2297">
            <w:pPr>
              <w:jc w:val="center"/>
            </w:pPr>
            <w:r w:rsidRPr="0086047F">
              <w:t>50%</w:t>
            </w:r>
          </w:p>
        </w:tc>
        <w:tc>
          <w:tcPr>
            <w:tcW w:w="3081" w:type="dxa"/>
          </w:tcPr>
          <w:p w:rsidR="007012BE" w:rsidRPr="0086047F" w:rsidRDefault="007012BE" w:rsidP="00AC2297">
            <w:pPr>
              <w:jc w:val="center"/>
            </w:pPr>
            <w:r w:rsidRPr="0086047F">
              <w:t>53%</w:t>
            </w:r>
          </w:p>
        </w:tc>
      </w:tr>
    </w:tbl>
    <w:p w:rsidR="00137694" w:rsidRDefault="00137694" w:rsidP="006726AF">
      <w:pPr>
        <w:pStyle w:val="Heading1"/>
        <w:spacing w:after="0"/>
        <w:jc w:val="both"/>
        <w:rPr>
          <w:color w:val="7030A0"/>
          <w:sz w:val="28"/>
          <w:szCs w:val="28"/>
        </w:rPr>
      </w:pPr>
    </w:p>
    <w:p w:rsidR="006726AF" w:rsidRDefault="006726AF" w:rsidP="006726AF">
      <w:pPr>
        <w:pStyle w:val="Heading1"/>
        <w:spacing w:after="0"/>
        <w:jc w:val="both"/>
        <w:rPr>
          <w:color w:val="7030A0"/>
          <w:sz w:val="28"/>
          <w:szCs w:val="28"/>
        </w:rPr>
      </w:pPr>
      <w:r>
        <w:rPr>
          <w:color w:val="7030A0"/>
          <w:sz w:val="28"/>
          <w:szCs w:val="28"/>
        </w:rPr>
        <w:t xml:space="preserve">Conclusion </w:t>
      </w:r>
    </w:p>
    <w:p w:rsidR="006726AF" w:rsidRDefault="006726AF" w:rsidP="006726AF">
      <w:r>
        <w:t>The first Wave of the BNLA study provides an important insight to the diversity, disadvantages and potential vulnerabilities and challenges facing refugees and asylum seekers settling in Australia. While the vast majority report positive settlement experiences, many participants have significant disadvantages to overcome during their settlement journey. For some this includes limited or no education, and lack of work experience prior to coming to Australia. For others compromised physical or mental health will be key issues. These initial findings give insight to the difficulties that these new Australians face.</w:t>
      </w:r>
    </w:p>
    <w:p w:rsidR="006726AF" w:rsidRDefault="006726AF" w:rsidP="006726AF">
      <w:pPr>
        <w:pStyle w:val="Heading1"/>
        <w:spacing w:after="0"/>
        <w:jc w:val="both"/>
        <w:rPr>
          <w:color w:val="7030A0"/>
          <w:sz w:val="28"/>
          <w:szCs w:val="28"/>
        </w:rPr>
      </w:pPr>
      <w:r>
        <w:rPr>
          <w:color w:val="7030A0"/>
          <w:sz w:val="28"/>
          <w:szCs w:val="28"/>
        </w:rPr>
        <w:t>Key Statistics</w:t>
      </w:r>
    </w:p>
    <w:p w:rsidR="006726AF" w:rsidRDefault="006726AF" w:rsidP="006726AF">
      <w:pPr>
        <w:spacing w:before="80" w:after="80" w:line="120" w:lineRule="atLeast"/>
        <w:ind w:left="850" w:hanging="425"/>
        <w:rPr>
          <w:b/>
          <w:sz w:val="18"/>
          <w:szCs w:val="18"/>
        </w:rPr>
      </w:pPr>
      <w:r>
        <w:rPr>
          <w:b/>
          <w:sz w:val="18"/>
          <w:szCs w:val="18"/>
        </w:rPr>
        <w:t>•</w:t>
      </w:r>
      <w:r>
        <w:rPr>
          <w:b/>
          <w:sz w:val="18"/>
          <w:szCs w:val="18"/>
        </w:rPr>
        <w:tab/>
        <w:t>44 per cent of females and 33 per cent of males did not understand any spoken English prior to arrival</w:t>
      </w:r>
    </w:p>
    <w:p w:rsidR="006726AF" w:rsidRDefault="006726AF" w:rsidP="006726AF">
      <w:pPr>
        <w:spacing w:before="80" w:after="80" w:line="120" w:lineRule="atLeast"/>
        <w:ind w:left="850" w:hanging="425"/>
        <w:rPr>
          <w:b/>
          <w:sz w:val="18"/>
          <w:szCs w:val="18"/>
        </w:rPr>
      </w:pPr>
      <w:r>
        <w:rPr>
          <w:b/>
          <w:sz w:val="18"/>
          <w:szCs w:val="18"/>
        </w:rPr>
        <w:t>•</w:t>
      </w:r>
      <w:r>
        <w:rPr>
          <w:b/>
          <w:sz w:val="18"/>
          <w:szCs w:val="18"/>
        </w:rPr>
        <w:tab/>
        <w:t>64 per cent of those who do not understand spoken English do not know how to access Government services</w:t>
      </w:r>
    </w:p>
    <w:p w:rsidR="006726AF" w:rsidRDefault="006726AF" w:rsidP="006726AF">
      <w:pPr>
        <w:spacing w:before="80" w:after="80" w:line="120" w:lineRule="atLeast"/>
        <w:ind w:left="850" w:hanging="425"/>
        <w:rPr>
          <w:b/>
          <w:sz w:val="18"/>
          <w:szCs w:val="18"/>
        </w:rPr>
      </w:pPr>
      <w:r>
        <w:rPr>
          <w:b/>
          <w:sz w:val="18"/>
          <w:szCs w:val="18"/>
        </w:rPr>
        <w:t>•</w:t>
      </w:r>
      <w:r>
        <w:rPr>
          <w:b/>
          <w:sz w:val="18"/>
          <w:szCs w:val="18"/>
        </w:rPr>
        <w:tab/>
        <w:t>46 per cent of females and 35 per cent of males report moderate or high levels of psychological distress</w:t>
      </w:r>
    </w:p>
    <w:p w:rsidR="006726AF" w:rsidRDefault="006726AF" w:rsidP="006726AF">
      <w:pPr>
        <w:spacing w:before="80" w:after="80" w:line="120" w:lineRule="atLeast"/>
        <w:ind w:left="850" w:hanging="425"/>
        <w:rPr>
          <w:b/>
          <w:sz w:val="18"/>
          <w:szCs w:val="18"/>
        </w:rPr>
      </w:pPr>
      <w:r>
        <w:rPr>
          <w:b/>
          <w:sz w:val="18"/>
          <w:szCs w:val="18"/>
        </w:rPr>
        <w:t>•</w:t>
      </w:r>
      <w:r>
        <w:rPr>
          <w:b/>
          <w:sz w:val="18"/>
          <w:szCs w:val="18"/>
        </w:rPr>
        <w:tab/>
        <w:t>17 per cent of households have difficulty paying bills and 11 per cent have trouble paying rent/mortgage</w:t>
      </w:r>
    </w:p>
    <w:p w:rsidR="006726AF" w:rsidRDefault="006726AF" w:rsidP="006726AF">
      <w:pPr>
        <w:spacing w:before="100" w:after="100" w:line="120" w:lineRule="atLeast"/>
        <w:ind w:left="850" w:hanging="425"/>
        <w:rPr>
          <w:b/>
          <w:sz w:val="18"/>
          <w:szCs w:val="18"/>
        </w:rPr>
      </w:pPr>
      <w:r>
        <w:rPr>
          <w:b/>
          <w:sz w:val="18"/>
          <w:szCs w:val="18"/>
        </w:rPr>
        <w:t>•</w:t>
      </w:r>
      <w:r>
        <w:rPr>
          <w:b/>
          <w:sz w:val="18"/>
          <w:szCs w:val="18"/>
        </w:rPr>
        <w:tab/>
        <w:t>About half of respondents have difficulty understanding Australian ways, making friends or talking to their neighbours</w:t>
      </w:r>
    </w:p>
    <w:p w:rsidR="00516815" w:rsidRPr="006726AF" w:rsidRDefault="00516815" w:rsidP="006726AF"/>
    <w:sectPr w:rsidR="00516815" w:rsidRPr="006726AF" w:rsidSect="002B04A5">
      <w:footerReference w:type="default" r:id="rId11"/>
      <w:headerReference w:type="first" r:id="rId12"/>
      <w:footerReference w:type="first" r:id="rId13"/>
      <w:pgSz w:w="11906" w:h="16838" w:code="9"/>
      <w:pgMar w:top="1360" w:right="1133" w:bottom="1134" w:left="993" w:header="426"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8C6" w:rsidRDefault="003218C6">
      <w:r>
        <w:separator/>
      </w:r>
    </w:p>
  </w:endnote>
  <w:endnote w:type="continuationSeparator" w:id="0">
    <w:p w:rsidR="003218C6" w:rsidRDefault="00321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C77" w:rsidRPr="00831CDA" w:rsidRDefault="001670F9" w:rsidP="00831CDA">
    <w:pPr>
      <w:pStyle w:val="Footer"/>
      <w:tabs>
        <w:tab w:val="clear" w:pos="10433"/>
        <w:tab w:val="right" w:pos="9356"/>
      </w:tabs>
      <w:ind w:left="108"/>
      <w:rPr>
        <w:rFonts w:asciiTheme="minorHAnsi" w:hAnsiTheme="minorHAnsi" w:cstheme="minorHAnsi"/>
        <w:color w:val="000000" w:themeColor="text1"/>
        <w:sz w:val="16"/>
        <w:szCs w:val="16"/>
      </w:rPr>
    </w:pPr>
    <w:r w:rsidRPr="00E148D1">
      <w:rPr>
        <w:rFonts w:asciiTheme="minorHAnsi" w:hAnsiTheme="minorHAnsi" w:cstheme="minorHAnsi"/>
        <w:color w:val="000000" w:themeColor="text1"/>
        <w:sz w:val="16"/>
        <w:szCs w:val="16"/>
      </w:rPr>
      <w:t xml:space="preserve">For queries regarding this research, please email </w:t>
    </w:r>
    <w:hyperlink r:id="rId1" w:history="1">
      <w:r w:rsidRPr="00E148D1">
        <w:rPr>
          <w:rStyle w:val="Hyperlink"/>
          <w:rFonts w:asciiTheme="minorHAnsi" w:hAnsiTheme="minorHAnsi" w:cstheme="minorHAnsi"/>
          <w:color w:val="000000" w:themeColor="text1"/>
          <w:sz w:val="16"/>
          <w:szCs w:val="16"/>
        </w:rPr>
        <w:t>NCLD@dss.gov.au</w:t>
      </w:r>
    </w:hyperlink>
    <w:r w:rsidRPr="00B42948">
      <w:rPr>
        <w:color w:val="000000" w:themeColor="text1"/>
        <w:sz w:val="16"/>
        <w:szCs w:val="16"/>
      </w:rPr>
      <w:t>.</w:t>
    </w:r>
    <w:r w:rsidRPr="00B42948">
      <w:rPr>
        <w:rFonts w:ascii="Arial" w:hAnsi="Arial"/>
        <w:color w:val="000000" w:themeColor="text1"/>
        <w:sz w:val="16"/>
        <w:szCs w:val="16"/>
      </w:rPr>
      <w:tab/>
    </w:r>
    <w:r w:rsidRPr="00B42948">
      <w:rPr>
        <w:rFonts w:asciiTheme="minorHAnsi" w:hAnsiTheme="minorHAnsi" w:cstheme="minorHAnsi"/>
        <w:color w:val="000000" w:themeColor="text1"/>
        <w:sz w:val="16"/>
        <w:szCs w:val="16"/>
      </w:rPr>
      <w:t xml:space="preserve">Page </w:t>
    </w:r>
    <w:r w:rsidRPr="00B42948">
      <w:rPr>
        <w:rFonts w:asciiTheme="minorHAnsi" w:hAnsiTheme="minorHAnsi" w:cstheme="minorHAnsi"/>
        <w:b/>
        <w:color w:val="000000" w:themeColor="text1"/>
        <w:sz w:val="16"/>
        <w:szCs w:val="16"/>
      </w:rPr>
      <w:fldChar w:fldCharType="begin"/>
    </w:r>
    <w:r w:rsidRPr="00B42948">
      <w:rPr>
        <w:rFonts w:asciiTheme="minorHAnsi" w:hAnsiTheme="minorHAnsi" w:cstheme="minorHAnsi"/>
        <w:b/>
        <w:color w:val="000000" w:themeColor="text1"/>
        <w:sz w:val="16"/>
        <w:szCs w:val="16"/>
      </w:rPr>
      <w:instrText xml:space="preserve"> PAGE  \* Arabic  \* MERGEFORMAT </w:instrText>
    </w:r>
    <w:r w:rsidRPr="00B42948">
      <w:rPr>
        <w:rFonts w:asciiTheme="minorHAnsi" w:hAnsiTheme="minorHAnsi" w:cstheme="minorHAnsi"/>
        <w:b/>
        <w:color w:val="000000" w:themeColor="text1"/>
        <w:sz w:val="16"/>
        <w:szCs w:val="16"/>
      </w:rPr>
      <w:fldChar w:fldCharType="separate"/>
    </w:r>
    <w:r w:rsidR="00233548">
      <w:rPr>
        <w:rFonts w:asciiTheme="minorHAnsi" w:hAnsiTheme="minorHAnsi" w:cstheme="minorHAnsi"/>
        <w:b/>
        <w:noProof/>
        <w:color w:val="000000" w:themeColor="text1"/>
        <w:sz w:val="16"/>
        <w:szCs w:val="16"/>
      </w:rPr>
      <w:t>4</w:t>
    </w:r>
    <w:r w:rsidRPr="00B42948">
      <w:rPr>
        <w:rFonts w:asciiTheme="minorHAnsi" w:hAnsiTheme="minorHAnsi" w:cstheme="minorHAnsi"/>
        <w:b/>
        <w:color w:val="000000" w:themeColor="text1"/>
        <w:sz w:val="16"/>
        <w:szCs w:val="16"/>
      </w:rPr>
      <w:fldChar w:fldCharType="end"/>
    </w:r>
    <w:r w:rsidRPr="00B42948">
      <w:rPr>
        <w:rFonts w:asciiTheme="minorHAnsi" w:hAnsiTheme="minorHAnsi" w:cstheme="minorHAnsi"/>
        <w:color w:val="000000" w:themeColor="text1"/>
        <w:sz w:val="16"/>
        <w:szCs w:val="16"/>
      </w:rPr>
      <w:t xml:space="preserve"> of </w:t>
    </w:r>
    <w:r w:rsidRPr="00B42948">
      <w:rPr>
        <w:rFonts w:asciiTheme="minorHAnsi" w:hAnsiTheme="minorHAnsi" w:cstheme="minorHAnsi"/>
        <w:b/>
        <w:color w:val="000000" w:themeColor="text1"/>
        <w:sz w:val="16"/>
        <w:szCs w:val="16"/>
      </w:rPr>
      <w:fldChar w:fldCharType="begin"/>
    </w:r>
    <w:r w:rsidRPr="00B42948">
      <w:rPr>
        <w:rFonts w:asciiTheme="minorHAnsi" w:hAnsiTheme="minorHAnsi" w:cstheme="minorHAnsi"/>
        <w:b/>
        <w:color w:val="000000" w:themeColor="text1"/>
        <w:sz w:val="16"/>
        <w:szCs w:val="16"/>
      </w:rPr>
      <w:instrText xml:space="preserve"> NUMPAGES  \* Arabic  \* MERGEFORMAT </w:instrText>
    </w:r>
    <w:r w:rsidRPr="00B42948">
      <w:rPr>
        <w:rFonts w:asciiTheme="minorHAnsi" w:hAnsiTheme="minorHAnsi" w:cstheme="minorHAnsi"/>
        <w:b/>
        <w:color w:val="000000" w:themeColor="text1"/>
        <w:sz w:val="16"/>
        <w:szCs w:val="16"/>
      </w:rPr>
      <w:fldChar w:fldCharType="separate"/>
    </w:r>
    <w:r w:rsidR="00233548">
      <w:rPr>
        <w:rFonts w:asciiTheme="minorHAnsi" w:hAnsiTheme="minorHAnsi" w:cstheme="minorHAnsi"/>
        <w:b/>
        <w:noProof/>
        <w:color w:val="000000" w:themeColor="text1"/>
        <w:sz w:val="16"/>
        <w:szCs w:val="16"/>
      </w:rPr>
      <w:t>4</w:t>
    </w:r>
    <w:r w:rsidRPr="00B42948">
      <w:rPr>
        <w:rFonts w:asciiTheme="minorHAnsi" w:hAnsiTheme="minorHAnsi" w:cstheme="minorHAnsi"/>
        <w:b/>
        <w:color w:val="000000" w:themeColor="text1"/>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948" w:rsidRPr="00B42948" w:rsidRDefault="00E148D1" w:rsidP="00516815">
    <w:pPr>
      <w:pStyle w:val="Footer"/>
      <w:tabs>
        <w:tab w:val="clear" w:pos="10433"/>
        <w:tab w:val="right" w:pos="9639"/>
      </w:tabs>
      <w:ind w:left="108"/>
      <w:rPr>
        <w:rFonts w:asciiTheme="minorHAnsi" w:hAnsiTheme="minorHAnsi" w:cstheme="minorHAnsi"/>
        <w:color w:val="000000" w:themeColor="text1"/>
        <w:sz w:val="16"/>
        <w:szCs w:val="16"/>
      </w:rPr>
    </w:pPr>
    <w:r w:rsidRPr="00E148D1">
      <w:rPr>
        <w:rFonts w:asciiTheme="minorHAnsi" w:hAnsiTheme="minorHAnsi" w:cstheme="minorHAnsi"/>
        <w:color w:val="000000" w:themeColor="text1"/>
        <w:sz w:val="16"/>
        <w:szCs w:val="16"/>
      </w:rPr>
      <w:t xml:space="preserve">For queries regarding this research, please email </w:t>
    </w:r>
    <w:hyperlink r:id="rId1" w:history="1">
      <w:r w:rsidRPr="00E148D1">
        <w:rPr>
          <w:rStyle w:val="Hyperlink"/>
          <w:rFonts w:asciiTheme="minorHAnsi" w:hAnsiTheme="minorHAnsi" w:cstheme="minorHAnsi"/>
          <w:color w:val="000000" w:themeColor="text1"/>
          <w:sz w:val="16"/>
          <w:szCs w:val="16"/>
        </w:rPr>
        <w:t>NCLD@dss.gov.au</w:t>
      </w:r>
    </w:hyperlink>
    <w:r w:rsidRPr="00E148D1">
      <w:rPr>
        <w:rFonts w:asciiTheme="minorHAnsi" w:hAnsiTheme="minorHAnsi" w:cstheme="minorHAnsi"/>
        <w:color w:val="000000" w:themeColor="text1"/>
        <w:sz w:val="16"/>
        <w:szCs w:val="16"/>
      </w:rPr>
      <w:t>.</w:t>
    </w:r>
    <w:r w:rsidRPr="00E148D1">
      <w:rPr>
        <w:rFonts w:asciiTheme="minorHAnsi" w:hAnsiTheme="minorHAnsi" w:cstheme="minorHAnsi"/>
        <w:color w:val="000000" w:themeColor="text1"/>
        <w:sz w:val="16"/>
        <w:szCs w:val="16"/>
      </w:rPr>
      <w:tab/>
      <w:t xml:space="preserve">Page </w:t>
    </w:r>
    <w:r w:rsidRPr="00E148D1">
      <w:rPr>
        <w:rFonts w:asciiTheme="minorHAnsi" w:hAnsiTheme="minorHAnsi" w:cstheme="minorHAnsi"/>
        <w:b/>
        <w:color w:val="000000" w:themeColor="text1"/>
        <w:sz w:val="16"/>
        <w:szCs w:val="16"/>
      </w:rPr>
      <w:fldChar w:fldCharType="begin"/>
    </w:r>
    <w:r w:rsidRPr="00E148D1">
      <w:rPr>
        <w:rFonts w:asciiTheme="minorHAnsi" w:hAnsiTheme="minorHAnsi" w:cstheme="minorHAnsi"/>
        <w:b/>
        <w:color w:val="000000" w:themeColor="text1"/>
        <w:sz w:val="16"/>
        <w:szCs w:val="16"/>
      </w:rPr>
      <w:instrText xml:space="preserve"> PAGE  \* Arabic  \* MERGEFORMAT </w:instrText>
    </w:r>
    <w:r w:rsidRPr="00E148D1">
      <w:rPr>
        <w:rFonts w:asciiTheme="minorHAnsi" w:hAnsiTheme="minorHAnsi" w:cstheme="minorHAnsi"/>
        <w:b/>
        <w:color w:val="000000" w:themeColor="text1"/>
        <w:sz w:val="16"/>
        <w:szCs w:val="16"/>
      </w:rPr>
      <w:fldChar w:fldCharType="separate"/>
    </w:r>
    <w:r w:rsidR="00233548">
      <w:rPr>
        <w:rFonts w:asciiTheme="minorHAnsi" w:hAnsiTheme="minorHAnsi" w:cstheme="minorHAnsi"/>
        <w:b/>
        <w:noProof/>
        <w:color w:val="000000" w:themeColor="text1"/>
        <w:sz w:val="16"/>
        <w:szCs w:val="16"/>
      </w:rPr>
      <w:t>1</w:t>
    </w:r>
    <w:r w:rsidRPr="00E148D1">
      <w:rPr>
        <w:rFonts w:asciiTheme="minorHAnsi" w:hAnsiTheme="minorHAnsi" w:cstheme="minorHAnsi"/>
        <w:b/>
        <w:color w:val="000000" w:themeColor="text1"/>
        <w:sz w:val="16"/>
        <w:szCs w:val="16"/>
      </w:rPr>
      <w:fldChar w:fldCharType="end"/>
    </w:r>
    <w:r w:rsidRPr="00E148D1">
      <w:rPr>
        <w:rFonts w:asciiTheme="minorHAnsi" w:hAnsiTheme="minorHAnsi" w:cstheme="minorHAnsi"/>
        <w:color w:val="000000" w:themeColor="text1"/>
        <w:sz w:val="16"/>
        <w:szCs w:val="16"/>
      </w:rPr>
      <w:t xml:space="preserve"> of </w:t>
    </w:r>
    <w:r w:rsidRPr="00E148D1">
      <w:rPr>
        <w:rFonts w:asciiTheme="minorHAnsi" w:hAnsiTheme="minorHAnsi" w:cstheme="minorHAnsi"/>
        <w:b/>
        <w:color w:val="000000" w:themeColor="text1"/>
        <w:sz w:val="16"/>
        <w:szCs w:val="16"/>
      </w:rPr>
      <w:fldChar w:fldCharType="begin"/>
    </w:r>
    <w:r w:rsidRPr="00E148D1">
      <w:rPr>
        <w:rFonts w:asciiTheme="minorHAnsi" w:hAnsiTheme="minorHAnsi" w:cstheme="minorHAnsi"/>
        <w:b/>
        <w:color w:val="000000" w:themeColor="text1"/>
        <w:sz w:val="16"/>
        <w:szCs w:val="16"/>
      </w:rPr>
      <w:instrText xml:space="preserve"> NUMPAGES  \* Arabic  \* MERGEFORMAT </w:instrText>
    </w:r>
    <w:r w:rsidRPr="00E148D1">
      <w:rPr>
        <w:rFonts w:asciiTheme="minorHAnsi" w:hAnsiTheme="minorHAnsi" w:cstheme="minorHAnsi"/>
        <w:b/>
        <w:color w:val="000000" w:themeColor="text1"/>
        <w:sz w:val="16"/>
        <w:szCs w:val="16"/>
      </w:rPr>
      <w:fldChar w:fldCharType="separate"/>
    </w:r>
    <w:r w:rsidR="00233548">
      <w:rPr>
        <w:rFonts w:asciiTheme="minorHAnsi" w:hAnsiTheme="minorHAnsi" w:cstheme="minorHAnsi"/>
        <w:b/>
        <w:noProof/>
        <w:color w:val="000000" w:themeColor="text1"/>
        <w:sz w:val="16"/>
        <w:szCs w:val="16"/>
      </w:rPr>
      <w:t>1</w:t>
    </w:r>
    <w:r w:rsidRPr="00E148D1">
      <w:rPr>
        <w:rFonts w:asciiTheme="minorHAnsi" w:hAnsiTheme="minorHAnsi" w:cstheme="minorHAnsi"/>
        <w:b/>
        <w:color w:val="000000" w:themeColor="text1"/>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8C6" w:rsidRDefault="003218C6">
      <w:r>
        <w:separator/>
      </w:r>
    </w:p>
  </w:footnote>
  <w:footnote w:type="continuationSeparator" w:id="0">
    <w:p w:rsidR="003218C6" w:rsidRDefault="003218C6">
      <w:r>
        <w:continuationSeparator/>
      </w:r>
    </w:p>
  </w:footnote>
  <w:footnote w:id="1">
    <w:p w:rsidR="006726AF" w:rsidRDefault="006726AF" w:rsidP="006726AF">
      <w:pPr>
        <w:pStyle w:val="FootnoteText"/>
        <w:spacing w:after="60"/>
      </w:pPr>
      <w:r>
        <w:rPr>
          <w:rStyle w:val="FootnoteReference"/>
        </w:rPr>
        <w:footnoteRef/>
      </w:r>
      <w:r>
        <w:t xml:space="preserve"> This includes refugees identified and referred to Australia by the United Nations High Commissioner for Refugees (UNHCR) and Special Humanitarian Programme migrants who have been sponsored by a family member in Australia.</w:t>
      </w:r>
    </w:p>
  </w:footnote>
  <w:footnote w:id="2">
    <w:p w:rsidR="006726AF" w:rsidRDefault="006726AF" w:rsidP="006726AF">
      <w:pPr>
        <w:pStyle w:val="FootnoteText"/>
        <w:spacing w:after="0"/>
      </w:pPr>
      <w:r>
        <w:rPr>
          <w:rStyle w:val="FootnoteReference"/>
        </w:rPr>
        <w:footnoteRef/>
      </w:r>
      <w:r>
        <w:t xml:space="preserve"> The onshore component of the Humanitarian Programme provides options for people to apply for protection (or asylum) after arrival in Australia. This can include those arriving with a valid visa (e.g. student or tourist) as well as those who arrived by boat without a visa.</w:t>
      </w:r>
    </w:p>
  </w:footnote>
  <w:footnote w:id="3">
    <w:p w:rsidR="006726AF" w:rsidRDefault="006726AF" w:rsidP="006726AF">
      <w:pPr>
        <w:pStyle w:val="FootnoteText"/>
      </w:pPr>
      <w:r>
        <w:rPr>
          <w:rStyle w:val="FootnoteReference"/>
        </w:rPr>
        <w:footnoteRef/>
      </w:r>
      <w:r>
        <w:t xml:space="preserve"> </w:t>
      </w:r>
      <w:proofErr w:type="gramStart"/>
      <w:r>
        <w:t>Australian Bureau of Statistics, 2011, National Census of Population and Housing.</w:t>
      </w:r>
      <w:proofErr w:type="gramEnd"/>
    </w:p>
  </w:footnote>
  <w:footnote w:id="4">
    <w:p w:rsidR="006726AF" w:rsidRDefault="006726AF" w:rsidP="006726AF">
      <w:pPr>
        <w:pStyle w:val="FootnoteText"/>
        <w:spacing w:after="0"/>
      </w:pPr>
      <w:r>
        <w:rPr>
          <w:rStyle w:val="FootnoteReference"/>
        </w:rPr>
        <w:footnoteRef/>
      </w:r>
      <w:r>
        <w:t xml:space="preserve"> </w:t>
      </w:r>
      <w:proofErr w:type="gramStart"/>
      <w:r>
        <w:t>Australian Bureau of Statistics, 2007, National Survey of Mental Health and Wellbeing.</w:t>
      </w:r>
      <w:proofErr w:type="gramEnd"/>
    </w:p>
  </w:footnote>
  <w:footnote w:id="5">
    <w:p w:rsidR="006726AF" w:rsidRDefault="006726AF" w:rsidP="006726AF">
      <w:pPr>
        <w:pStyle w:val="FootnoteText"/>
      </w:pPr>
      <w:r>
        <w:rPr>
          <w:rStyle w:val="FootnoteReference"/>
        </w:rPr>
        <w:footnoteRef/>
      </w:r>
      <w:r>
        <w:t xml:space="preserve"> See Data Highlights No. 1/2014: Financial Hardship in Australia.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2BC" w:rsidRDefault="00E148D1" w:rsidP="001D0326">
    <w:pPr>
      <w:pStyle w:val="Header"/>
      <w:spacing w:after="120"/>
      <w:rPr>
        <w:noProof/>
      </w:rPr>
    </w:pPr>
    <w:r>
      <w:rPr>
        <w:noProof/>
      </w:rPr>
      <w:drawing>
        <wp:anchor distT="0" distB="0" distL="114300" distR="114300" simplePos="0" relativeHeight="251663360" behindDoc="1" locked="0" layoutInCell="1" allowOverlap="1" wp14:anchorId="39F0B638" wp14:editId="628B48B3">
          <wp:simplePos x="0" y="0"/>
          <wp:positionH relativeFrom="column">
            <wp:posOffset>4456430</wp:posOffset>
          </wp:positionH>
          <wp:positionV relativeFrom="paragraph">
            <wp:posOffset>480431</wp:posOffset>
          </wp:positionV>
          <wp:extent cx="1666875" cy="762000"/>
          <wp:effectExtent l="0" t="0" r="9525" b="0"/>
          <wp:wrapNone/>
          <wp:docPr id="4" name="Picture 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6875" cy="762000"/>
                  </a:xfrm>
                  <a:prstGeom prst="rect">
                    <a:avLst/>
                  </a:prstGeom>
                  <a:noFill/>
                </pic:spPr>
              </pic:pic>
            </a:graphicData>
          </a:graphic>
          <wp14:sizeRelH relativeFrom="margin">
            <wp14:pctWidth>0</wp14:pctWidth>
          </wp14:sizeRelH>
          <wp14:sizeRelV relativeFrom="margin">
            <wp14:pctHeight>0</wp14:pctHeight>
          </wp14:sizeRelV>
        </wp:anchor>
      </w:drawing>
    </w:r>
    <w:r w:rsidR="008375EE" w:rsidRPr="00360B93">
      <w:rPr>
        <w:noProof/>
      </w:rPr>
      <w:drawing>
        <wp:inline distT="0" distB="0" distL="0" distR="0" wp14:anchorId="1470EA60" wp14:editId="4ADC1534">
          <wp:extent cx="2313940" cy="616585"/>
          <wp:effectExtent l="0" t="0" r="0" b="0"/>
          <wp:docPr id="6" name="Picture 20" descr="Australian Government, Department of Social Services logo"/>
          <wp:cNvGraphicFramePr/>
          <a:graphic xmlns:a="http://schemas.openxmlformats.org/drawingml/2006/main">
            <a:graphicData uri="http://schemas.openxmlformats.org/drawingml/2006/picture">
              <pic:pic xmlns:pic="http://schemas.openxmlformats.org/drawingml/2006/picture">
                <pic:nvPicPr>
                  <pic:cNvPr id="21" name="Picture 20" descr="Australian Government, Department of Social Services logo"/>
                  <pic:cNvPicPr/>
                </pic:nvPicPr>
                <pic:blipFill rotWithShape="1">
                  <a:blip r:embed="rId2" cstate="print">
                    <a:extLst>
                      <a:ext uri="{28A0092B-C50C-407E-A947-70E740481C1C}">
                        <a14:useLocalDpi xmlns:a14="http://schemas.microsoft.com/office/drawing/2010/main" val="0"/>
                      </a:ext>
                    </a:extLst>
                  </a:blip>
                  <a:srcRect l="6380" r="57907" b="50000"/>
                  <a:stretch/>
                </pic:blipFill>
                <pic:spPr>
                  <a:xfrm>
                    <a:off x="0" y="0"/>
                    <a:ext cx="2313940" cy="616585"/>
                  </a:xfrm>
                  <a:prstGeom prst="rect">
                    <a:avLst/>
                  </a:prstGeom>
                </pic:spPr>
              </pic:pic>
            </a:graphicData>
          </a:graphic>
        </wp:inline>
      </w:drawing>
    </w:r>
  </w:p>
  <w:p w:rsidR="00360B93" w:rsidRDefault="00360B93" w:rsidP="00E148D1">
    <w:pPr>
      <w:rPr>
        <w:noProof/>
      </w:rPr>
    </w:pPr>
  </w:p>
  <w:p w:rsidR="00F076BA" w:rsidRPr="00901FB7" w:rsidRDefault="00F076BA" w:rsidP="002B04A5">
    <w:pPr>
      <w:pStyle w:val="Header"/>
      <w:tabs>
        <w:tab w:val="clear" w:pos="4153"/>
        <w:tab w:val="clear" w:pos="8306"/>
        <w:tab w:val="right" w:pos="9639"/>
      </w:tabs>
      <w:spacing w:after="0"/>
      <w:contextualSpacing w:val="0"/>
      <w:rPr>
        <w:noProof/>
        <w:color w:val="FFFFFF" w:themeColor="background1"/>
      </w:rPr>
    </w:pPr>
  </w:p>
  <w:p w:rsidR="00200F7D" w:rsidRPr="00E148D1" w:rsidRDefault="00E148D1" w:rsidP="00E148D1">
    <w:pPr>
      <w:pStyle w:val="Header"/>
      <w:tabs>
        <w:tab w:val="right" w:pos="9639"/>
      </w:tabs>
      <w:rPr>
        <w:noProof/>
        <w:color w:val="500778" w:themeColor="accent6"/>
        <w:sz w:val="28"/>
        <w:szCs w:val="28"/>
      </w:rPr>
    </w:pPr>
    <w:r w:rsidRPr="00E148D1">
      <w:rPr>
        <w:b/>
        <w:bCs/>
        <w:noProof/>
        <w:color w:val="500778" w:themeColor="accent6"/>
        <w:sz w:val="28"/>
        <w:szCs w:val="28"/>
      </w:rPr>
      <w:t>National Centre for Longitudinal Data</w:t>
    </w:r>
  </w:p>
  <w:p w:rsidR="00360B93" w:rsidRPr="00901FB7" w:rsidRDefault="00200F7D" w:rsidP="00C33A3B">
    <w:pPr>
      <w:pStyle w:val="Header"/>
      <w:tabs>
        <w:tab w:val="clear" w:pos="4153"/>
        <w:tab w:val="clear" w:pos="8306"/>
        <w:tab w:val="right" w:pos="9639"/>
      </w:tabs>
      <w:spacing w:after="0"/>
      <w:contextualSpacing w:val="0"/>
      <w:rPr>
        <w:rFonts w:ascii="Arial" w:hAnsi="Arial"/>
        <w:noProof/>
        <w:color w:val="auto"/>
      </w:rPr>
    </w:pPr>
    <w:r w:rsidRPr="00901FB7">
      <w:rPr>
        <w:noProof/>
        <w:color w:val="FFFFFF" w:themeColor="background1"/>
      </w:rPr>
      <mc:AlternateContent>
        <mc:Choice Requires="wps">
          <w:drawing>
            <wp:anchor distT="0" distB="0" distL="114300" distR="114300" simplePos="0" relativeHeight="251667456" behindDoc="0" locked="0" layoutInCell="1" allowOverlap="1" wp14:anchorId="78264BCC" wp14:editId="7036BE21">
              <wp:simplePos x="0" y="0"/>
              <wp:positionH relativeFrom="column">
                <wp:posOffset>-16192</wp:posOffset>
              </wp:positionH>
              <wp:positionV relativeFrom="paragraph">
                <wp:posOffset>8890</wp:posOffset>
              </wp:positionV>
              <wp:extent cx="6248400" cy="0"/>
              <wp:effectExtent l="0" t="0" r="19050" b="19050"/>
              <wp:wrapNone/>
              <wp:docPr id="5" name="Straight Connector 4" descr="decorative"/>
              <wp:cNvGraphicFramePr/>
              <a:graphic xmlns:a="http://schemas.openxmlformats.org/drawingml/2006/main">
                <a:graphicData uri="http://schemas.microsoft.com/office/word/2010/wordprocessingShape">
                  <wps:wsp>
                    <wps:cNvCnPr/>
                    <wps:spPr>
                      <a:xfrm>
                        <a:off x="0" y="0"/>
                        <a:ext cx="6248400" cy="0"/>
                      </a:xfrm>
                      <a:prstGeom prst="line">
                        <a:avLst/>
                      </a:prstGeom>
                      <a:ln w="19050">
                        <a:solidFill>
                          <a:srgbClr val="5007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alt="decorative"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7pt" to="490.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" strokecolor="#500778" strokeweight="1.5pt"/>
          </w:pict>
        </mc:Fallback>
      </mc:AlternateContent>
    </w:r>
    <w:r w:rsidRPr="00901FB7">
      <w:rPr>
        <w:noProof/>
        <w:color w:val="FFFFFF" w:themeColor="background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99C4483"/>
    <w:multiLevelType w:val="hybridMultilevel"/>
    <w:tmpl w:val="346C5A9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9834958"/>
    <w:multiLevelType w:val="hybridMultilevel"/>
    <w:tmpl w:val="9B905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56A38D7"/>
    <w:multiLevelType w:val="hybridMultilevel"/>
    <w:tmpl w:val="C3D0A5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9">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8"/>
  </w:num>
  <w:num w:numId="4">
    <w:abstractNumId w:val="11"/>
  </w:num>
  <w:num w:numId="5">
    <w:abstractNumId w:val="15"/>
  </w:num>
  <w:num w:numId="6">
    <w:abstractNumId w:val="59"/>
  </w:num>
  <w:num w:numId="7">
    <w:abstractNumId w:val="45"/>
  </w:num>
  <w:num w:numId="8">
    <w:abstractNumId w:val="50"/>
  </w:num>
  <w:num w:numId="9">
    <w:abstractNumId w:val="7"/>
  </w:num>
  <w:num w:numId="10">
    <w:abstractNumId w:val="57"/>
  </w:num>
  <w:num w:numId="11">
    <w:abstractNumId w:val="16"/>
  </w:num>
  <w:num w:numId="12">
    <w:abstractNumId w:val="42"/>
  </w:num>
  <w:num w:numId="13">
    <w:abstractNumId w:val="52"/>
  </w:num>
  <w:num w:numId="14">
    <w:abstractNumId w:val="34"/>
  </w:num>
  <w:num w:numId="15">
    <w:abstractNumId w:val="3"/>
  </w:num>
  <w:num w:numId="16">
    <w:abstractNumId w:val="12"/>
  </w:num>
  <w:num w:numId="17">
    <w:abstractNumId w:val="56"/>
  </w:num>
  <w:num w:numId="18">
    <w:abstractNumId w:val="49"/>
  </w:num>
  <w:num w:numId="19">
    <w:abstractNumId w:val="13"/>
  </w:num>
  <w:num w:numId="20">
    <w:abstractNumId w:val="2"/>
  </w:num>
  <w:num w:numId="21">
    <w:abstractNumId w:val="5"/>
  </w:num>
  <w:num w:numId="22">
    <w:abstractNumId w:val="21"/>
  </w:num>
  <w:num w:numId="23">
    <w:abstractNumId w:val="17"/>
  </w:num>
  <w:num w:numId="24">
    <w:abstractNumId w:val="61"/>
  </w:num>
  <w:num w:numId="25">
    <w:abstractNumId w:val="33"/>
  </w:num>
  <w:num w:numId="26">
    <w:abstractNumId w:val="39"/>
  </w:num>
  <w:num w:numId="27">
    <w:abstractNumId w:val="19"/>
  </w:num>
  <w:num w:numId="28">
    <w:abstractNumId w:val="60"/>
  </w:num>
  <w:num w:numId="29">
    <w:abstractNumId w:val="48"/>
  </w:num>
  <w:num w:numId="30">
    <w:abstractNumId w:val="26"/>
  </w:num>
  <w:num w:numId="31">
    <w:abstractNumId w:val="44"/>
  </w:num>
  <w:num w:numId="32">
    <w:abstractNumId w:val="53"/>
  </w:num>
  <w:num w:numId="33">
    <w:abstractNumId w:val="55"/>
  </w:num>
  <w:num w:numId="34">
    <w:abstractNumId w:val="4"/>
  </w:num>
  <w:num w:numId="35">
    <w:abstractNumId w:val="24"/>
  </w:num>
  <w:num w:numId="36">
    <w:abstractNumId w:val="47"/>
  </w:num>
  <w:num w:numId="37">
    <w:abstractNumId w:val="8"/>
  </w:num>
  <w:num w:numId="38">
    <w:abstractNumId w:val="29"/>
  </w:num>
  <w:num w:numId="39">
    <w:abstractNumId w:val="23"/>
  </w:num>
  <w:num w:numId="40">
    <w:abstractNumId w:val="32"/>
  </w:num>
  <w:num w:numId="41">
    <w:abstractNumId w:val="36"/>
  </w:num>
  <w:num w:numId="42">
    <w:abstractNumId w:val="22"/>
  </w:num>
  <w:num w:numId="43">
    <w:abstractNumId w:val="14"/>
  </w:num>
  <w:num w:numId="44">
    <w:abstractNumId w:val="41"/>
  </w:num>
  <w:num w:numId="45">
    <w:abstractNumId w:val="46"/>
  </w:num>
  <w:num w:numId="46">
    <w:abstractNumId w:val="31"/>
  </w:num>
  <w:num w:numId="47">
    <w:abstractNumId w:val="30"/>
  </w:num>
  <w:num w:numId="48">
    <w:abstractNumId w:val="1"/>
  </w:num>
  <w:num w:numId="49">
    <w:abstractNumId w:val="43"/>
  </w:num>
  <w:num w:numId="50">
    <w:abstractNumId w:val="54"/>
  </w:num>
  <w:num w:numId="51">
    <w:abstractNumId w:val="40"/>
  </w:num>
  <w:num w:numId="52">
    <w:abstractNumId w:val="9"/>
  </w:num>
  <w:num w:numId="53">
    <w:abstractNumId w:val="51"/>
  </w:num>
  <w:num w:numId="54">
    <w:abstractNumId w:val="25"/>
  </w:num>
  <w:num w:numId="55">
    <w:abstractNumId w:val="18"/>
  </w:num>
  <w:num w:numId="56">
    <w:abstractNumId w:val="28"/>
  </w:num>
  <w:num w:numId="57">
    <w:abstractNumId w:val="27"/>
  </w:num>
  <w:num w:numId="58">
    <w:abstractNumId w:val="10"/>
  </w:num>
  <w:num w:numId="59">
    <w:abstractNumId w:val="35"/>
  </w:num>
  <w:num w:numId="60">
    <w:abstractNumId w:val="6"/>
  </w:num>
  <w:num w:numId="61">
    <w:abstractNumId w:val="20"/>
  </w:num>
  <w:num w:numId="62">
    <w:abstractNumId w:val="37"/>
  </w:num>
  <w:num w:numId="63">
    <w:abstractNumId w:val="5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1"/>
  <w:drawingGridVerticalSpacing w:val="181"/>
  <w:doNotUseMarginsForDrawingGridOrigin/>
  <w:drawingGridHorizontalOrigin w:val="992"/>
  <w:drawingGridVerticalOrigin w:val="1361"/>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C6"/>
    <w:rsid w:val="00002C18"/>
    <w:rsid w:val="00010549"/>
    <w:rsid w:val="00012F84"/>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74CF9"/>
    <w:rsid w:val="00080ECC"/>
    <w:rsid w:val="00080F2E"/>
    <w:rsid w:val="00081CEB"/>
    <w:rsid w:val="00083791"/>
    <w:rsid w:val="00086E3C"/>
    <w:rsid w:val="00087B2C"/>
    <w:rsid w:val="00087DBD"/>
    <w:rsid w:val="00090570"/>
    <w:rsid w:val="00090753"/>
    <w:rsid w:val="00094FB3"/>
    <w:rsid w:val="00096F54"/>
    <w:rsid w:val="00097BFF"/>
    <w:rsid w:val="000A669D"/>
    <w:rsid w:val="000A66A8"/>
    <w:rsid w:val="000C014D"/>
    <w:rsid w:val="000D4703"/>
    <w:rsid w:val="000D693C"/>
    <w:rsid w:val="000E12D4"/>
    <w:rsid w:val="00104669"/>
    <w:rsid w:val="00110028"/>
    <w:rsid w:val="00116EDF"/>
    <w:rsid w:val="00124B26"/>
    <w:rsid w:val="00130C4E"/>
    <w:rsid w:val="00131B54"/>
    <w:rsid w:val="001354B7"/>
    <w:rsid w:val="00137694"/>
    <w:rsid w:val="001404FA"/>
    <w:rsid w:val="001413C5"/>
    <w:rsid w:val="00142956"/>
    <w:rsid w:val="00143502"/>
    <w:rsid w:val="00144494"/>
    <w:rsid w:val="00144868"/>
    <w:rsid w:val="00157709"/>
    <w:rsid w:val="001670F9"/>
    <w:rsid w:val="00167330"/>
    <w:rsid w:val="00167CF4"/>
    <w:rsid w:val="00185F6A"/>
    <w:rsid w:val="001943DD"/>
    <w:rsid w:val="00195374"/>
    <w:rsid w:val="001A127F"/>
    <w:rsid w:val="001A1F53"/>
    <w:rsid w:val="001A3CA4"/>
    <w:rsid w:val="001A3EA4"/>
    <w:rsid w:val="001B3AEC"/>
    <w:rsid w:val="001B5000"/>
    <w:rsid w:val="001B6F28"/>
    <w:rsid w:val="001C60E8"/>
    <w:rsid w:val="001D0326"/>
    <w:rsid w:val="001D4585"/>
    <w:rsid w:val="001D5D54"/>
    <w:rsid w:val="001E36FC"/>
    <w:rsid w:val="001E41C8"/>
    <w:rsid w:val="001F3AD7"/>
    <w:rsid w:val="001F7F3E"/>
    <w:rsid w:val="00200F7D"/>
    <w:rsid w:val="00207630"/>
    <w:rsid w:val="00213082"/>
    <w:rsid w:val="00213B52"/>
    <w:rsid w:val="0021714E"/>
    <w:rsid w:val="00222187"/>
    <w:rsid w:val="00222C8D"/>
    <w:rsid w:val="00222E33"/>
    <w:rsid w:val="00227B95"/>
    <w:rsid w:val="00233548"/>
    <w:rsid w:val="00234486"/>
    <w:rsid w:val="0023523A"/>
    <w:rsid w:val="002353DF"/>
    <w:rsid w:val="00235F71"/>
    <w:rsid w:val="0025272A"/>
    <w:rsid w:val="00271922"/>
    <w:rsid w:val="0027204E"/>
    <w:rsid w:val="00273412"/>
    <w:rsid w:val="00274ACF"/>
    <w:rsid w:val="00285F1B"/>
    <w:rsid w:val="00295831"/>
    <w:rsid w:val="002959BC"/>
    <w:rsid w:val="00296F1B"/>
    <w:rsid w:val="002A6DF5"/>
    <w:rsid w:val="002B04A5"/>
    <w:rsid w:val="002D00B0"/>
    <w:rsid w:val="002D2E16"/>
    <w:rsid w:val="002F19EF"/>
    <w:rsid w:val="002F4640"/>
    <w:rsid w:val="00302415"/>
    <w:rsid w:val="003102F6"/>
    <w:rsid w:val="00313304"/>
    <w:rsid w:val="00313C48"/>
    <w:rsid w:val="003162AD"/>
    <w:rsid w:val="00321148"/>
    <w:rsid w:val="00321798"/>
    <w:rsid w:val="003218C6"/>
    <w:rsid w:val="00325F44"/>
    <w:rsid w:val="00326976"/>
    <w:rsid w:val="003311D7"/>
    <w:rsid w:val="00332B8B"/>
    <w:rsid w:val="00347104"/>
    <w:rsid w:val="0035213F"/>
    <w:rsid w:val="003555D2"/>
    <w:rsid w:val="00360B93"/>
    <w:rsid w:val="00363DF3"/>
    <w:rsid w:val="003656B1"/>
    <w:rsid w:val="0037056B"/>
    <w:rsid w:val="00372CE1"/>
    <w:rsid w:val="00377173"/>
    <w:rsid w:val="003774DA"/>
    <w:rsid w:val="00392557"/>
    <w:rsid w:val="003945C0"/>
    <w:rsid w:val="003A06C2"/>
    <w:rsid w:val="003B6D2E"/>
    <w:rsid w:val="003C430D"/>
    <w:rsid w:val="003C7404"/>
    <w:rsid w:val="003D3C5A"/>
    <w:rsid w:val="003D404A"/>
    <w:rsid w:val="003E179C"/>
    <w:rsid w:val="003E6FDA"/>
    <w:rsid w:val="003F3072"/>
    <w:rsid w:val="00401A2A"/>
    <w:rsid w:val="004103D7"/>
    <w:rsid w:val="0041307C"/>
    <w:rsid w:val="004167B4"/>
    <w:rsid w:val="00430D7E"/>
    <w:rsid w:val="004316C9"/>
    <w:rsid w:val="00433B04"/>
    <w:rsid w:val="00440BD3"/>
    <w:rsid w:val="00446F93"/>
    <w:rsid w:val="004649E2"/>
    <w:rsid w:val="00464E8C"/>
    <w:rsid w:val="00466D36"/>
    <w:rsid w:val="00467185"/>
    <w:rsid w:val="0047050C"/>
    <w:rsid w:val="00475504"/>
    <w:rsid w:val="00480F21"/>
    <w:rsid w:val="00484FED"/>
    <w:rsid w:val="00495AF1"/>
    <w:rsid w:val="004E487B"/>
    <w:rsid w:val="004F775C"/>
    <w:rsid w:val="005015E4"/>
    <w:rsid w:val="0050291D"/>
    <w:rsid w:val="00505258"/>
    <w:rsid w:val="0050697E"/>
    <w:rsid w:val="00510E02"/>
    <w:rsid w:val="00516815"/>
    <w:rsid w:val="00524B3C"/>
    <w:rsid w:val="005315A9"/>
    <w:rsid w:val="005316BE"/>
    <w:rsid w:val="00532B56"/>
    <w:rsid w:val="00535132"/>
    <w:rsid w:val="00540AD0"/>
    <w:rsid w:val="0054322A"/>
    <w:rsid w:val="00543923"/>
    <w:rsid w:val="005519C9"/>
    <w:rsid w:val="005523D1"/>
    <w:rsid w:val="00554A9C"/>
    <w:rsid w:val="00557624"/>
    <w:rsid w:val="0056023E"/>
    <w:rsid w:val="00564573"/>
    <w:rsid w:val="005658EF"/>
    <w:rsid w:val="0057458F"/>
    <w:rsid w:val="005822A3"/>
    <w:rsid w:val="0059070B"/>
    <w:rsid w:val="00594445"/>
    <w:rsid w:val="00595249"/>
    <w:rsid w:val="005B1225"/>
    <w:rsid w:val="005C09F4"/>
    <w:rsid w:val="005C561A"/>
    <w:rsid w:val="005C5B93"/>
    <w:rsid w:val="005C66FF"/>
    <w:rsid w:val="005C785A"/>
    <w:rsid w:val="005D03CA"/>
    <w:rsid w:val="005D267C"/>
    <w:rsid w:val="005D45AB"/>
    <w:rsid w:val="005E4662"/>
    <w:rsid w:val="005F093F"/>
    <w:rsid w:val="005F214A"/>
    <w:rsid w:val="005F6BD6"/>
    <w:rsid w:val="00601C99"/>
    <w:rsid w:val="00607597"/>
    <w:rsid w:val="00624562"/>
    <w:rsid w:val="006255E4"/>
    <w:rsid w:val="00641020"/>
    <w:rsid w:val="006410C1"/>
    <w:rsid w:val="00647F05"/>
    <w:rsid w:val="006530EF"/>
    <w:rsid w:val="00654D06"/>
    <w:rsid w:val="00661536"/>
    <w:rsid w:val="0067233D"/>
    <w:rsid w:val="006726AF"/>
    <w:rsid w:val="006745AE"/>
    <w:rsid w:val="00675BEF"/>
    <w:rsid w:val="00676AF3"/>
    <w:rsid w:val="00676D10"/>
    <w:rsid w:val="00676EC1"/>
    <w:rsid w:val="00680F71"/>
    <w:rsid w:val="00682A53"/>
    <w:rsid w:val="0069174B"/>
    <w:rsid w:val="00693FA1"/>
    <w:rsid w:val="006A1A7A"/>
    <w:rsid w:val="006B05E3"/>
    <w:rsid w:val="006B09BC"/>
    <w:rsid w:val="006B42A0"/>
    <w:rsid w:val="006B4E59"/>
    <w:rsid w:val="006C3402"/>
    <w:rsid w:val="006C3622"/>
    <w:rsid w:val="006C395C"/>
    <w:rsid w:val="006C45D4"/>
    <w:rsid w:val="006D0041"/>
    <w:rsid w:val="006D7F82"/>
    <w:rsid w:val="006E1F3C"/>
    <w:rsid w:val="006E6073"/>
    <w:rsid w:val="006F7300"/>
    <w:rsid w:val="007012BE"/>
    <w:rsid w:val="007036B3"/>
    <w:rsid w:val="00703C09"/>
    <w:rsid w:val="00712300"/>
    <w:rsid w:val="00720739"/>
    <w:rsid w:val="00721695"/>
    <w:rsid w:val="007242B4"/>
    <w:rsid w:val="00725FB2"/>
    <w:rsid w:val="00730C64"/>
    <w:rsid w:val="007322AF"/>
    <w:rsid w:val="00735477"/>
    <w:rsid w:val="00736DCA"/>
    <w:rsid w:val="00742399"/>
    <w:rsid w:val="007457E8"/>
    <w:rsid w:val="0074640C"/>
    <w:rsid w:val="0075003D"/>
    <w:rsid w:val="00751B37"/>
    <w:rsid w:val="00754D44"/>
    <w:rsid w:val="00767B7E"/>
    <w:rsid w:val="007746A9"/>
    <w:rsid w:val="00785465"/>
    <w:rsid w:val="00787656"/>
    <w:rsid w:val="007939D6"/>
    <w:rsid w:val="00794E8B"/>
    <w:rsid w:val="007A67EA"/>
    <w:rsid w:val="007B15AF"/>
    <w:rsid w:val="007B7E83"/>
    <w:rsid w:val="007C1631"/>
    <w:rsid w:val="007C636F"/>
    <w:rsid w:val="007D0EF8"/>
    <w:rsid w:val="007D39EB"/>
    <w:rsid w:val="008131E7"/>
    <w:rsid w:val="00813711"/>
    <w:rsid w:val="00813CFC"/>
    <w:rsid w:val="00814279"/>
    <w:rsid w:val="008263C2"/>
    <w:rsid w:val="00831CDA"/>
    <w:rsid w:val="008375EE"/>
    <w:rsid w:val="00842959"/>
    <w:rsid w:val="008451FE"/>
    <w:rsid w:val="00845F7C"/>
    <w:rsid w:val="008466A1"/>
    <w:rsid w:val="00846C1D"/>
    <w:rsid w:val="00851758"/>
    <w:rsid w:val="00856D5A"/>
    <w:rsid w:val="0086047F"/>
    <w:rsid w:val="008609EB"/>
    <w:rsid w:val="00862D6D"/>
    <w:rsid w:val="008653E0"/>
    <w:rsid w:val="008657FB"/>
    <w:rsid w:val="00871D4F"/>
    <w:rsid w:val="00874FB3"/>
    <w:rsid w:val="00880BE3"/>
    <w:rsid w:val="00882588"/>
    <w:rsid w:val="00895792"/>
    <w:rsid w:val="008A3738"/>
    <w:rsid w:val="008A5493"/>
    <w:rsid w:val="008B264E"/>
    <w:rsid w:val="008B645B"/>
    <w:rsid w:val="008B67B8"/>
    <w:rsid w:val="008B774D"/>
    <w:rsid w:val="008C123E"/>
    <w:rsid w:val="008C3ED0"/>
    <w:rsid w:val="008C5585"/>
    <w:rsid w:val="008C5E94"/>
    <w:rsid w:val="008E6E9D"/>
    <w:rsid w:val="008F68F7"/>
    <w:rsid w:val="008F7480"/>
    <w:rsid w:val="009014C8"/>
    <w:rsid w:val="00901FB7"/>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1CF6"/>
    <w:rsid w:val="0096485D"/>
    <w:rsid w:val="009900F0"/>
    <w:rsid w:val="00991769"/>
    <w:rsid w:val="00994E9F"/>
    <w:rsid w:val="00995AB0"/>
    <w:rsid w:val="00996931"/>
    <w:rsid w:val="009A40C2"/>
    <w:rsid w:val="009A4CD8"/>
    <w:rsid w:val="009B3ED1"/>
    <w:rsid w:val="009C433C"/>
    <w:rsid w:val="009D28B7"/>
    <w:rsid w:val="009D7E1A"/>
    <w:rsid w:val="009E2162"/>
    <w:rsid w:val="009E36BF"/>
    <w:rsid w:val="00A006EB"/>
    <w:rsid w:val="00A03709"/>
    <w:rsid w:val="00A06C77"/>
    <w:rsid w:val="00A10147"/>
    <w:rsid w:val="00A13D26"/>
    <w:rsid w:val="00A146A5"/>
    <w:rsid w:val="00A17411"/>
    <w:rsid w:val="00A17A2A"/>
    <w:rsid w:val="00A2223D"/>
    <w:rsid w:val="00A223EF"/>
    <w:rsid w:val="00A27E1D"/>
    <w:rsid w:val="00A34A74"/>
    <w:rsid w:val="00A35351"/>
    <w:rsid w:val="00A42ADE"/>
    <w:rsid w:val="00A60693"/>
    <w:rsid w:val="00A67728"/>
    <w:rsid w:val="00A81A4F"/>
    <w:rsid w:val="00A82E14"/>
    <w:rsid w:val="00A901E9"/>
    <w:rsid w:val="00A9762C"/>
    <w:rsid w:val="00AA4067"/>
    <w:rsid w:val="00AB1A5B"/>
    <w:rsid w:val="00AB2822"/>
    <w:rsid w:val="00AC0A54"/>
    <w:rsid w:val="00AC125E"/>
    <w:rsid w:val="00AC45DF"/>
    <w:rsid w:val="00AC474D"/>
    <w:rsid w:val="00AC4DFD"/>
    <w:rsid w:val="00AC58FD"/>
    <w:rsid w:val="00AC60CD"/>
    <w:rsid w:val="00AD60E6"/>
    <w:rsid w:val="00AD793A"/>
    <w:rsid w:val="00AE02E7"/>
    <w:rsid w:val="00AE5956"/>
    <w:rsid w:val="00AE619F"/>
    <w:rsid w:val="00AF373A"/>
    <w:rsid w:val="00AF7EFE"/>
    <w:rsid w:val="00B03BEE"/>
    <w:rsid w:val="00B049AA"/>
    <w:rsid w:val="00B0517E"/>
    <w:rsid w:val="00B056E2"/>
    <w:rsid w:val="00B11314"/>
    <w:rsid w:val="00B1192C"/>
    <w:rsid w:val="00B138E3"/>
    <w:rsid w:val="00B16942"/>
    <w:rsid w:val="00B23267"/>
    <w:rsid w:val="00B25891"/>
    <w:rsid w:val="00B27149"/>
    <w:rsid w:val="00B40D26"/>
    <w:rsid w:val="00B42948"/>
    <w:rsid w:val="00B4451B"/>
    <w:rsid w:val="00B51316"/>
    <w:rsid w:val="00B72D62"/>
    <w:rsid w:val="00B843C8"/>
    <w:rsid w:val="00B8554E"/>
    <w:rsid w:val="00B951E2"/>
    <w:rsid w:val="00B96F37"/>
    <w:rsid w:val="00BA607C"/>
    <w:rsid w:val="00BB3E2A"/>
    <w:rsid w:val="00BC0DEC"/>
    <w:rsid w:val="00BC16F5"/>
    <w:rsid w:val="00BC287D"/>
    <w:rsid w:val="00BC4A76"/>
    <w:rsid w:val="00BD32E5"/>
    <w:rsid w:val="00BD7ADD"/>
    <w:rsid w:val="00BE41C3"/>
    <w:rsid w:val="00BE6767"/>
    <w:rsid w:val="00BE68D7"/>
    <w:rsid w:val="00BF7763"/>
    <w:rsid w:val="00C04D5E"/>
    <w:rsid w:val="00C24EA2"/>
    <w:rsid w:val="00C24F70"/>
    <w:rsid w:val="00C33479"/>
    <w:rsid w:val="00C33A3B"/>
    <w:rsid w:val="00C47BA2"/>
    <w:rsid w:val="00C612DC"/>
    <w:rsid w:val="00C622CB"/>
    <w:rsid w:val="00C64D15"/>
    <w:rsid w:val="00C74F74"/>
    <w:rsid w:val="00C7554B"/>
    <w:rsid w:val="00C83E31"/>
    <w:rsid w:val="00C916A4"/>
    <w:rsid w:val="00CA2A52"/>
    <w:rsid w:val="00CA2B15"/>
    <w:rsid w:val="00CA42BC"/>
    <w:rsid w:val="00CA6490"/>
    <w:rsid w:val="00CB5744"/>
    <w:rsid w:val="00CB7022"/>
    <w:rsid w:val="00CD1937"/>
    <w:rsid w:val="00CE214C"/>
    <w:rsid w:val="00CE6858"/>
    <w:rsid w:val="00CF50BE"/>
    <w:rsid w:val="00CF6A52"/>
    <w:rsid w:val="00D03583"/>
    <w:rsid w:val="00D117B4"/>
    <w:rsid w:val="00D169F7"/>
    <w:rsid w:val="00D26D01"/>
    <w:rsid w:val="00D314B7"/>
    <w:rsid w:val="00D33DA3"/>
    <w:rsid w:val="00D4723B"/>
    <w:rsid w:val="00D55EE8"/>
    <w:rsid w:val="00D5785A"/>
    <w:rsid w:val="00D64C48"/>
    <w:rsid w:val="00D655C8"/>
    <w:rsid w:val="00D731C4"/>
    <w:rsid w:val="00D76BB8"/>
    <w:rsid w:val="00D8013D"/>
    <w:rsid w:val="00D81BAA"/>
    <w:rsid w:val="00D85BE0"/>
    <w:rsid w:val="00D87C1A"/>
    <w:rsid w:val="00D87FD7"/>
    <w:rsid w:val="00D92167"/>
    <w:rsid w:val="00D9502B"/>
    <w:rsid w:val="00D97047"/>
    <w:rsid w:val="00D97108"/>
    <w:rsid w:val="00DC5665"/>
    <w:rsid w:val="00DD4F44"/>
    <w:rsid w:val="00DD5D8B"/>
    <w:rsid w:val="00DE0F9E"/>
    <w:rsid w:val="00DE5D76"/>
    <w:rsid w:val="00DE77EC"/>
    <w:rsid w:val="00E01AE0"/>
    <w:rsid w:val="00E04C8D"/>
    <w:rsid w:val="00E128D8"/>
    <w:rsid w:val="00E148D1"/>
    <w:rsid w:val="00E26A7B"/>
    <w:rsid w:val="00E30D45"/>
    <w:rsid w:val="00E42FE4"/>
    <w:rsid w:val="00E46FAA"/>
    <w:rsid w:val="00E51764"/>
    <w:rsid w:val="00E5750B"/>
    <w:rsid w:val="00E60E2E"/>
    <w:rsid w:val="00E63A24"/>
    <w:rsid w:val="00E71A2D"/>
    <w:rsid w:val="00E8698A"/>
    <w:rsid w:val="00E923F2"/>
    <w:rsid w:val="00EA31CC"/>
    <w:rsid w:val="00EB14DF"/>
    <w:rsid w:val="00EB2B64"/>
    <w:rsid w:val="00EB3A07"/>
    <w:rsid w:val="00EB4143"/>
    <w:rsid w:val="00EB4728"/>
    <w:rsid w:val="00EC207A"/>
    <w:rsid w:val="00EC3F31"/>
    <w:rsid w:val="00ED3C91"/>
    <w:rsid w:val="00ED4112"/>
    <w:rsid w:val="00EE764E"/>
    <w:rsid w:val="00EF1347"/>
    <w:rsid w:val="00EF2BEB"/>
    <w:rsid w:val="00F01129"/>
    <w:rsid w:val="00F03D93"/>
    <w:rsid w:val="00F03D9E"/>
    <w:rsid w:val="00F076BA"/>
    <w:rsid w:val="00F227BF"/>
    <w:rsid w:val="00F35A81"/>
    <w:rsid w:val="00F374B2"/>
    <w:rsid w:val="00F40AFC"/>
    <w:rsid w:val="00F4730E"/>
    <w:rsid w:val="00F50A92"/>
    <w:rsid w:val="00F53F24"/>
    <w:rsid w:val="00F63341"/>
    <w:rsid w:val="00F7536E"/>
    <w:rsid w:val="00F81F93"/>
    <w:rsid w:val="00F86F1B"/>
    <w:rsid w:val="00F92A21"/>
    <w:rsid w:val="00F92E9B"/>
    <w:rsid w:val="00F95814"/>
    <w:rsid w:val="00FA01D9"/>
    <w:rsid w:val="00FA031C"/>
    <w:rsid w:val="00FB13C1"/>
    <w:rsid w:val="00FB420B"/>
    <w:rsid w:val="00FC1C5F"/>
    <w:rsid w:val="00FC5C0C"/>
    <w:rsid w:val="00FC64EF"/>
    <w:rsid w:val="00FD2673"/>
    <w:rsid w:val="00FE2A29"/>
    <w:rsid w:val="00FE69A7"/>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semiHidden="1" w:unhideWhenUsed="1" w:qFormat="1"/>
    <w:lsdException w:name="footnote reference" w:uiPriority="99"/>
    <w:lsdException w:name="endnote reference" w:uiPriority="99"/>
    <w:lsdException w:name="endnote text" w:uiPriority="99"/>
    <w:lsdException w:name="List Bullet" w:qFormat="1"/>
    <w:lsdException w:name="Title" w:uiPriority="99" w:qFormat="1"/>
    <w:lsdException w:name="Subtitle" w:qFormat="1"/>
    <w:lsdException w:name="Hyperlink" w:uiPriority="99"/>
    <w:lsdException w:name="FollowedHyperlink" w:uiPriority="99"/>
    <w:lsdException w:name="Normal (Web)"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096F54"/>
    <w:pPr>
      <w:keepNext/>
      <w:keepLines/>
      <w:spacing w:before="240" w:line="240" w:lineRule="auto"/>
      <w:contextualSpacing/>
      <w:outlineLvl w:val="0"/>
    </w:pPr>
    <w:rPr>
      <w:rFonts w:ascii="Georgia" w:hAnsi="Georgia" w:cs="Arial"/>
      <w:bCs/>
      <w:color w:val="A6192E"/>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096F54"/>
    <w:pPr>
      <w:keepNext/>
      <w:keepLines/>
      <w:spacing w:line="240" w:lineRule="auto"/>
      <w:contextualSpacing/>
      <w:outlineLvl w:val="2"/>
    </w:pPr>
    <w:rPr>
      <w:rFonts w:ascii="Georgia" w:hAnsi="Georgia" w:cs="Arial"/>
      <w:bCs/>
      <w:color w:val="A6192E"/>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16BE"/>
    <w:pPr>
      <w:tabs>
        <w:tab w:val="center" w:pos="4153"/>
        <w:tab w:val="right" w:pos="8306"/>
      </w:tabs>
      <w:spacing w:before="0" w:after="737" w:line="240" w:lineRule="auto"/>
      <w:contextualSpacing/>
    </w:pPr>
    <w:rPr>
      <w:rFonts w:ascii="Georgia" w:hAnsi="Georgia"/>
      <w:color w:val="A6192E"/>
    </w:rPr>
  </w:style>
  <w:style w:type="paragraph" w:styleId="Title">
    <w:name w:val="Title"/>
    <w:basedOn w:val="Normal"/>
    <w:link w:val="TitleChar"/>
    <w:uiPriority w:val="99"/>
    <w:qFormat/>
    <w:rsid w:val="00096F54"/>
    <w:pPr>
      <w:spacing w:before="0" w:after="60" w:line="240" w:lineRule="auto"/>
      <w:contextualSpacing/>
      <w:outlineLvl w:val="0"/>
    </w:pPr>
    <w:rPr>
      <w:rFonts w:ascii="Georgia" w:hAnsi="Georgia" w:cs="Arial"/>
      <w:bCs/>
      <w:color w:val="A6192E"/>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096F54"/>
    <w:pPr>
      <w:tabs>
        <w:tab w:val="right" w:pos="10433"/>
      </w:tabs>
      <w:spacing w:before="0" w:after="0" w:line="240" w:lineRule="auto"/>
    </w:pPr>
    <w:rPr>
      <w:rFonts w:ascii="Georgia" w:hAnsi="Georgia"/>
      <w:color w:val="A6192E"/>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95197E"/>
    <w:pPr>
      <w:spacing w:before="0"/>
    </w:pPr>
    <w:rPr>
      <w:sz w:val="16"/>
      <w:szCs w:val="20"/>
    </w:rPr>
  </w:style>
  <w:style w:type="character" w:customStyle="1" w:styleId="FootnoteTextChar">
    <w:name w:val="Footnote Text Char"/>
    <w:basedOn w:val="DefaultParagraphFont"/>
    <w:link w:val="FootnoteText"/>
    <w:uiPriority w:val="99"/>
    <w:rsid w:val="0095197E"/>
    <w:rPr>
      <w:rFonts w:ascii="Arial" w:hAnsi="Arial"/>
      <w:sz w:val="16"/>
    </w:rPr>
  </w:style>
  <w:style w:type="character" w:styleId="FootnoteReference">
    <w:name w:val="footnote reference"/>
    <w:basedOn w:val="DefaultParagraphFont"/>
    <w:uiPriority w:val="99"/>
    <w:rsid w:val="00CB5744"/>
    <w:rPr>
      <w:vertAlign w:val="superscript"/>
    </w:rPr>
  </w:style>
  <w:style w:type="paragraph" w:customStyle="1" w:styleId="Pullouttext">
    <w:name w:val="Pullout text"/>
    <w:next w:val="Normal"/>
    <w:link w:val="PullouttextChar"/>
    <w:uiPriority w:val="3"/>
    <w:qFormat/>
    <w:rsid w:val="00096F54"/>
    <w:pPr>
      <w:spacing w:before="120" w:after="120"/>
      <w:ind w:left="397"/>
      <w:contextualSpacing/>
    </w:pPr>
    <w:rPr>
      <w:rFonts w:ascii="Georgia" w:hAnsi="Georgia" w:cs="Arial"/>
      <w:bCs/>
      <w:i/>
      <w:iCs/>
      <w:color w:val="A6192E"/>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096F54"/>
    <w:rPr>
      <w:rFonts w:ascii="Georgia" w:hAnsi="Georgia" w:cs="Arial"/>
      <w:bCs/>
      <w:i/>
      <w:iCs/>
      <w:color w:val="A6192E"/>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096F54"/>
    <w:rPr>
      <w:rFonts w:ascii="Georgia" w:hAnsi="Georgia" w:cs="Arial"/>
      <w:bCs/>
      <w:color w:val="A6192E"/>
      <w:kern w:val="32"/>
      <w:sz w:val="32"/>
      <w:szCs w:val="32"/>
    </w:rPr>
  </w:style>
  <w:style w:type="character" w:customStyle="1" w:styleId="Heading3Char">
    <w:name w:val="Heading 3 Char"/>
    <w:basedOn w:val="DefaultParagraphFont"/>
    <w:link w:val="Heading3"/>
    <w:uiPriority w:val="2"/>
    <w:rsid w:val="00096F54"/>
    <w:rPr>
      <w:rFonts w:ascii="Georgia" w:hAnsi="Georgia" w:cs="Arial"/>
      <w:bCs/>
      <w:color w:val="A6192E"/>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uiPriority w:val="99"/>
    <w:rsid w:val="005316BE"/>
    <w:rPr>
      <w:rFonts w:ascii="Georgia" w:hAnsi="Georgia"/>
      <w:color w:val="A6192E"/>
      <w:szCs w:val="24"/>
    </w:rPr>
  </w:style>
  <w:style w:type="character" w:customStyle="1" w:styleId="TitleChar">
    <w:name w:val="Title Char"/>
    <w:basedOn w:val="DefaultParagraphFont"/>
    <w:link w:val="Title"/>
    <w:uiPriority w:val="99"/>
    <w:rsid w:val="00096F54"/>
    <w:rPr>
      <w:rFonts w:ascii="Georgia" w:hAnsi="Georgia" w:cs="Arial"/>
      <w:bCs/>
      <w:color w:val="A6192E"/>
      <w:spacing w:val="-4"/>
      <w:kern w:val="28"/>
      <w:sz w:val="66"/>
      <w:szCs w:val="32"/>
    </w:rPr>
  </w:style>
  <w:style w:type="character" w:customStyle="1" w:styleId="FooterChar">
    <w:name w:val="Footer Char"/>
    <w:basedOn w:val="DefaultParagraphFont"/>
    <w:link w:val="Footer"/>
    <w:rsid w:val="00096F54"/>
    <w:rPr>
      <w:rFonts w:ascii="Georgia" w:hAnsi="Georgia"/>
      <w:color w:val="A6192E"/>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paragraph" w:styleId="ListParagraph">
    <w:name w:val="List Paragraph"/>
    <w:basedOn w:val="Normal"/>
    <w:link w:val="ListParagraphChar"/>
    <w:uiPriority w:val="34"/>
    <w:qFormat/>
    <w:rsid w:val="003218C6"/>
    <w:pPr>
      <w:spacing w:before="0" w:after="200" w:line="276" w:lineRule="auto"/>
      <w:ind w:left="720"/>
      <w:contextualSpacing/>
    </w:pPr>
    <w:rPr>
      <w:rFonts w:eastAsiaTheme="minorHAnsi" w:cstheme="minorBidi"/>
      <w:sz w:val="22"/>
      <w:szCs w:val="22"/>
      <w:lang w:eastAsia="en-US"/>
    </w:rPr>
  </w:style>
  <w:style w:type="character" w:styleId="BookTitle">
    <w:name w:val="Book Title"/>
    <w:uiPriority w:val="33"/>
    <w:qFormat/>
    <w:rsid w:val="003218C6"/>
    <w:rPr>
      <w:i/>
      <w:iCs/>
      <w:smallCaps/>
      <w:spacing w:val="5"/>
    </w:rPr>
  </w:style>
  <w:style w:type="table" w:styleId="MediumShading2-Accent6">
    <w:name w:val="Medium Shading 2 Accent 6"/>
    <w:basedOn w:val="TableNormal"/>
    <w:uiPriority w:val="64"/>
    <w:rsid w:val="003218C6"/>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07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00778" w:themeFill="accent6"/>
      </w:tcPr>
    </w:tblStylePr>
    <w:tblStylePr w:type="lastCol">
      <w:rPr>
        <w:b/>
        <w:bCs/>
        <w:color w:val="FFFFFF" w:themeColor="background1"/>
      </w:rPr>
      <w:tblPr/>
      <w:tcPr>
        <w:tcBorders>
          <w:left w:val="nil"/>
          <w:right w:val="nil"/>
          <w:insideH w:val="nil"/>
          <w:insideV w:val="nil"/>
        </w:tcBorders>
        <w:shd w:val="clear" w:color="auto" w:fill="5007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basedOn w:val="DefaultParagraphFont"/>
    <w:link w:val="ListParagraph"/>
    <w:uiPriority w:val="34"/>
    <w:rsid w:val="003218C6"/>
    <w:rPr>
      <w:rFonts w:ascii="Arial" w:eastAsiaTheme="minorHAnsi" w:hAnsi="Arial" w:cstheme="minorBidi"/>
      <w:sz w:val="22"/>
      <w:szCs w:val="22"/>
      <w:lang w:eastAsia="en-US"/>
    </w:rPr>
  </w:style>
  <w:style w:type="paragraph" w:styleId="EndnoteText">
    <w:name w:val="endnote text"/>
    <w:basedOn w:val="Normal"/>
    <w:link w:val="EndnoteTextChar"/>
    <w:uiPriority w:val="99"/>
    <w:unhideWhenUsed/>
    <w:rsid w:val="003218C6"/>
    <w:pPr>
      <w:spacing w:before="0" w:after="0" w:line="240" w:lineRule="auto"/>
    </w:pPr>
    <w:rPr>
      <w:rFonts w:eastAsiaTheme="minorHAnsi" w:cstheme="minorBidi"/>
      <w:szCs w:val="20"/>
      <w:lang w:eastAsia="en-US"/>
    </w:rPr>
  </w:style>
  <w:style w:type="character" w:customStyle="1" w:styleId="EndnoteTextChar">
    <w:name w:val="Endnote Text Char"/>
    <w:basedOn w:val="DefaultParagraphFont"/>
    <w:link w:val="EndnoteText"/>
    <w:uiPriority w:val="99"/>
    <w:rsid w:val="003218C6"/>
    <w:rPr>
      <w:rFonts w:ascii="Arial" w:eastAsiaTheme="minorHAnsi" w:hAnsi="Arial" w:cstheme="minorBidi"/>
      <w:lang w:eastAsia="en-US"/>
    </w:rPr>
  </w:style>
  <w:style w:type="character" w:styleId="EndnoteReference">
    <w:name w:val="endnote reference"/>
    <w:basedOn w:val="DefaultParagraphFont"/>
    <w:uiPriority w:val="99"/>
    <w:unhideWhenUsed/>
    <w:rsid w:val="003218C6"/>
    <w:rPr>
      <w:vertAlign w:val="superscript"/>
    </w:rPr>
  </w:style>
  <w:style w:type="paragraph" w:styleId="NormalWeb">
    <w:name w:val="Normal (Web)"/>
    <w:basedOn w:val="Normal"/>
    <w:uiPriority w:val="99"/>
    <w:unhideWhenUsed/>
    <w:rsid w:val="00360B93"/>
    <w:pPr>
      <w:spacing w:before="100" w:beforeAutospacing="1" w:after="100" w:afterAutospacing="1" w:line="240" w:lineRule="auto"/>
    </w:pPr>
    <w:rPr>
      <w:rFonts w:ascii="Times New Roman" w:eastAsiaTheme="minorEastAsia" w:hAnsi="Times New Roman"/>
      <w:sz w:val="24"/>
    </w:rPr>
  </w:style>
  <w:style w:type="table" w:styleId="LightGrid-Accent6">
    <w:name w:val="Light Grid Accent 6"/>
    <w:basedOn w:val="TableNormal"/>
    <w:uiPriority w:val="62"/>
    <w:rsid w:val="00535132"/>
    <w:tblPr>
      <w:tblStyleRowBandSize w:val="1"/>
      <w:tblStyleColBandSize w:val="1"/>
      <w:tblBorders>
        <w:top w:val="single" w:sz="8" w:space="0" w:color="500778" w:themeColor="accent6"/>
        <w:left w:val="single" w:sz="8" w:space="0" w:color="500778" w:themeColor="accent6"/>
        <w:bottom w:val="single" w:sz="8" w:space="0" w:color="500778" w:themeColor="accent6"/>
        <w:right w:val="single" w:sz="8" w:space="0" w:color="500778" w:themeColor="accent6"/>
        <w:insideH w:val="single" w:sz="8" w:space="0" w:color="500778" w:themeColor="accent6"/>
        <w:insideV w:val="single" w:sz="8" w:space="0" w:color="5007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00778" w:themeColor="accent6"/>
          <w:left w:val="single" w:sz="8" w:space="0" w:color="500778" w:themeColor="accent6"/>
          <w:bottom w:val="single" w:sz="18" w:space="0" w:color="500778" w:themeColor="accent6"/>
          <w:right w:val="single" w:sz="8" w:space="0" w:color="500778" w:themeColor="accent6"/>
          <w:insideH w:val="nil"/>
          <w:insideV w:val="single" w:sz="8" w:space="0" w:color="5007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0778" w:themeColor="accent6"/>
          <w:left w:val="single" w:sz="8" w:space="0" w:color="500778" w:themeColor="accent6"/>
          <w:bottom w:val="single" w:sz="8" w:space="0" w:color="500778" w:themeColor="accent6"/>
          <w:right w:val="single" w:sz="8" w:space="0" w:color="500778" w:themeColor="accent6"/>
          <w:insideH w:val="nil"/>
          <w:insideV w:val="single" w:sz="8" w:space="0" w:color="5007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0778" w:themeColor="accent6"/>
          <w:left w:val="single" w:sz="8" w:space="0" w:color="500778" w:themeColor="accent6"/>
          <w:bottom w:val="single" w:sz="8" w:space="0" w:color="500778" w:themeColor="accent6"/>
          <w:right w:val="single" w:sz="8" w:space="0" w:color="500778" w:themeColor="accent6"/>
        </w:tcBorders>
      </w:tcPr>
    </w:tblStylePr>
    <w:tblStylePr w:type="band1Vert">
      <w:tblPr/>
      <w:tcPr>
        <w:tcBorders>
          <w:top w:val="single" w:sz="8" w:space="0" w:color="500778" w:themeColor="accent6"/>
          <w:left w:val="single" w:sz="8" w:space="0" w:color="500778" w:themeColor="accent6"/>
          <w:bottom w:val="single" w:sz="8" w:space="0" w:color="500778" w:themeColor="accent6"/>
          <w:right w:val="single" w:sz="8" w:space="0" w:color="500778" w:themeColor="accent6"/>
        </w:tcBorders>
        <w:shd w:val="clear" w:color="auto" w:fill="DBA5F9" w:themeFill="accent6" w:themeFillTint="3F"/>
      </w:tcPr>
    </w:tblStylePr>
    <w:tblStylePr w:type="band1Horz">
      <w:tblPr/>
      <w:tcPr>
        <w:tcBorders>
          <w:top w:val="single" w:sz="8" w:space="0" w:color="500778" w:themeColor="accent6"/>
          <w:left w:val="single" w:sz="8" w:space="0" w:color="500778" w:themeColor="accent6"/>
          <w:bottom w:val="single" w:sz="8" w:space="0" w:color="500778" w:themeColor="accent6"/>
          <w:right w:val="single" w:sz="8" w:space="0" w:color="500778" w:themeColor="accent6"/>
          <w:insideV w:val="single" w:sz="8" w:space="0" w:color="500778" w:themeColor="accent6"/>
        </w:tcBorders>
        <w:shd w:val="clear" w:color="auto" w:fill="DBA5F9" w:themeFill="accent6" w:themeFillTint="3F"/>
      </w:tcPr>
    </w:tblStylePr>
    <w:tblStylePr w:type="band2Horz">
      <w:tblPr/>
      <w:tcPr>
        <w:tcBorders>
          <w:top w:val="single" w:sz="8" w:space="0" w:color="500778" w:themeColor="accent6"/>
          <w:left w:val="single" w:sz="8" w:space="0" w:color="500778" w:themeColor="accent6"/>
          <w:bottom w:val="single" w:sz="8" w:space="0" w:color="500778" w:themeColor="accent6"/>
          <w:right w:val="single" w:sz="8" w:space="0" w:color="500778" w:themeColor="accent6"/>
          <w:insideV w:val="single" w:sz="8" w:space="0" w:color="500778" w:themeColor="accent6"/>
        </w:tcBorders>
      </w:tcPr>
    </w:tblStylePr>
  </w:style>
  <w:style w:type="table" w:styleId="LightList-Accent6">
    <w:name w:val="Light List Accent 6"/>
    <w:basedOn w:val="TableNormal"/>
    <w:uiPriority w:val="61"/>
    <w:rsid w:val="00B42948"/>
    <w:tblPr>
      <w:tblStyleRowBandSize w:val="1"/>
      <w:tblStyleColBandSize w:val="1"/>
      <w:tblBorders>
        <w:top w:val="single" w:sz="8" w:space="0" w:color="500778" w:themeColor="accent6"/>
        <w:left w:val="single" w:sz="8" w:space="0" w:color="500778" w:themeColor="accent6"/>
        <w:bottom w:val="single" w:sz="8" w:space="0" w:color="500778" w:themeColor="accent6"/>
        <w:right w:val="single" w:sz="8" w:space="0" w:color="500778" w:themeColor="accent6"/>
      </w:tblBorders>
    </w:tblPr>
    <w:tblStylePr w:type="firstRow">
      <w:pPr>
        <w:spacing w:before="0" w:after="0" w:line="240" w:lineRule="auto"/>
      </w:pPr>
      <w:rPr>
        <w:b/>
        <w:bCs/>
        <w:color w:val="FFFFFF" w:themeColor="background1"/>
      </w:rPr>
      <w:tblPr/>
      <w:tcPr>
        <w:shd w:val="clear" w:color="auto" w:fill="500778" w:themeFill="accent6"/>
      </w:tcPr>
    </w:tblStylePr>
    <w:tblStylePr w:type="lastRow">
      <w:pPr>
        <w:spacing w:before="0" w:after="0" w:line="240" w:lineRule="auto"/>
      </w:pPr>
      <w:rPr>
        <w:b/>
        <w:bCs/>
      </w:rPr>
      <w:tblPr/>
      <w:tcPr>
        <w:tcBorders>
          <w:top w:val="double" w:sz="6" w:space="0" w:color="500778" w:themeColor="accent6"/>
          <w:left w:val="single" w:sz="8" w:space="0" w:color="500778" w:themeColor="accent6"/>
          <w:bottom w:val="single" w:sz="8" w:space="0" w:color="500778" w:themeColor="accent6"/>
          <w:right w:val="single" w:sz="8" w:space="0" w:color="500778" w:themeColor="accent6"/>
        </w:tcBorders>
      </w:tcPr>
    </w:tblStylePr>
    <w:tblStylePr w:type="firstCol">
      <w:rPr>
        <w:b/>
        <w:bCs/>
      </w:rPr>
    </w:tblStylePr>
    <w:tblStylePr w:type="lastCol">
      <w:rPr>
        <w:b/>
        <w:bCs/>
      </w:rPr>
    </w:tblStylePr>
    <w:tblStylePr w:type="band1Vert">
      <w:tblPr/>
      <w:tcPr>
        <w:tcBorders>
          <w:top w:val="single" w:sz="8" w:space="0" w:color="500778" w:themeColor="accent6"/>
          <w:left w:val="single" w:sz="8" w:space="0" w:color="500778" w:themeColor="accent6"/>
          <w:bottom w:val="single" w:sz="8" w:space="0" w:color="500778" w:themeColor="accent6"/>
          <w:right w:val="single" w:sz="8" w:space="0" w:color="500778" w:themeColor="accent6"/>
        </w:tcBorders>
      </w:tcPr>
    </w:tblStylePr>
    <w:tblStylePr w:type="band1Horz">
      <w:tblPr/>
      <w:tcPr>
        <w:tcBorders>
          <w:top w:val="single" w:sz="8" w:space="0" w:color="500778" w:themeColor="accent6"/>
          <w:left w:val="single" w:sz="8" w:space="0" w:color="500778" w:themeColor="accent6"/>
          <w:bottom w:val="single" w:sz="8" w:space="0" w:color="500778" w:themeColor="accent6"/>
          <w:right w:val="single" w:sz="8" w:space="0" w:color="500778"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semiHidden="1" w:unhideWhenUsed="1" w:qFormat="1"/>
    <w:lsdException w:name="footnote reference" w:uiPriority="99"/>
    <w:lsdException w:name="endnote reference" w:uiPriority="99"/>
    <w:lsdException w:name="endnote text" w:uiPriority="99"/>
    <w:lsdException w:name="List Bullet" w:qFormat="1"/>
    <w:lsdException w:name="Title" w:uiPriority="99" w:qFormat="1"/>
    <w:lsdException w:name="Subtitle" w:qFormat="1"/>
    <w:lsdException w:name="Hyperlink" w:uiPriority="99"/>
    <w:lsdException w:name="FollowedHyperlink" w:uiPriority="99"/>
    <w:lsdException w:name="Normal (Web)"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096F54"/>
    <w:pPr>
      <w:keepNext/>
      <w:keepLines/>
      <w:spacing w:before="240" w:line="240" w:lineRule="auto"/>
      <w:contextualSpacing/>
      <w:outlineLvl w:val="0"/>
    </w:pPr>
    <w:rPr>
      <w:rFonts w:ascii="Georgia" w:hAnsi="Georgia" w:cs="Arial"/>
      <w:bCs/>
      <w:color w:val="A6192E"/>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096F54"/>
    <w:pPr>
      <w:keepNext/>
      <w:keepLines/>
      <w:spacing w:line="240" w:lineRule="auto"/>
      <w:contextualSpacing/>
      <w:outlineLvl w:val="2"/>
    </w:pPr>
    <w:rPr>
      <w:rFonts w:ascii="Georgia" w:hAnsi="Georgia" w:cs="Arial"/>
      <w:bCs/>
      <w:color w:val="A6192E"/>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16BE"/>
    <w:pPr>
      <w:tabs>
        <w:tab w:val="center" w:pos="4153"/>
        <w:tab w:val="right" w:pos="8306"/>
      </w:tabs>
      <w:spacing w:before="0" w:after="737" w:line="240" w:lineRule="auto"/>
      <w:contextualSpacing/>
    </w:pPr>
    <w:rPr>
      <w:rFonts w:ascii="Georgia" w:hAnsi="Georgia"/>
      <w:color w:val="A6192E"/>
    </w:rPr>
  </w:style>
  <w:style w:type="paragraph" w:styleId="Title">
    <w:name w:val="Title"/>
    <w:basedOn w:val="Normal"/>
    <w:link w:val="TitleChar"/>
    <w:uiPriority w:val="99"/>
    <w:qFormat/>
    <w:rsid w:val="00096F54"/>
    <w:pPr>
      <w:spacing w:before="0" w:after="60" w:line="240" w:lineRule="auto"/>
      <w:contextualSpacing/>
      <w:outlineLvl w:val="0"/>
    </w:pPr>
    <w:rPr>
      <w:rFonts w:ascii="Georgia" w:hAnsi="Georgia" w:cs="Arial"/>
      <w:bCs/>
      <w:color w:val="A6192E"/>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096F54"/>
    <w:pPr>
      <w:tabs>
        <w:tab w:val="right" w:pos="10433"/>
      </w:tabs>
      <w:spacing w:before="0" w:after="0" w:line="240" w:lineRule="auto"/>
    </w:pPr>
    <w:rPr>
      <w:rFonts w:ascii="Georgia" w:hAnsi="Georgia"/>
      <w:color w:val="A6192E"/>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95197E"/>
    <w:pPr>
      <w:spacing w:before="0"/>
    </w:pPr>
    <w:rPr>
      <w:sz w:val="16"/>
      <w:szCs w:val="20"/>
    </w:rPr>
  </w:style>
  <w:style w:type="character" w:customStyle="1" w:styleId="FootnoteTextChar">
    <w:name w:val="Footnote Text Char"/>
    <w:basedOn w:val="DefaultParagraphFont"/>
    <w:link w:val="FootnoteText"/>
    <w:uiPriority w:val="99"/>
    <w:rsid w:val="0095197E"/>
    <w:rPr>
      <w:rFonts w:ascii="Arial" w:hAnsi="Arial"/>
      <w:sz w:val="16"/>
    </w:rPr>
  </w:style>
  <w:style w:type="character" w:styleId="FootnoteReference">
    <w:name w:val="footnote reference"/>
    <w:basedOn w:val="DefaultParagraphFont"/>
    <w:uiPriority w:val="99"/>
    <w:rsid w:val="00CB5744"/>
    <w:rPr>
      <w:vertAlign w:val="superscript"/>
    </w:rPr>
  </w:style>
  <w:style w:type="paragraph" w:customStyle="1" w:styleId="Pullouttext">
    <w:name w:val="Pullout text"/>
    <w:next w:val="Normal"/>
    <w:link w:val="PullouttextChar"/>
    <w:uiPriority w:val="3"/>
    <w:qFormat/>
    <w:rsid w:val="00096F54"/>
    <w:pPr>
      <w:spacing w:before="120" w:after="120"/>
      <w:ind w:left="397"/>
      <w:contextualSpacing/>
    </w:pPr>
    <w:rPr>
      <w:rFonts w:ascii="Georgia" w:hAnsi="Georgia" w:cs="Arial"/>
      <w:bCs/>
      <w:i/>
      <w:iCs/>
      <w:color w:val="A6192E"/>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096F54"/>
    <w:rPr>
      <w:rFonts w:ascii="Georgia" w:hAnsi="Georgia" w:cs="Arial"/>
      <w:bCs/>
      <w:i/>
      <w:iCs/>
      <w:color w:val="A6192E"/>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096F54"/>
    <w:rPr>
      <w:rFonts w:ascii="Georgia" w:hAnsi="Georgia" w:cs="Arial"/>
      <w:bCs/>
      <w:color w:val="A6192E"/>
      <w:kern w:val="32"/>
      <w:sz w:val="32"/>
      <w:szCs w:val="32"/>
    </w:rPr>
  </w:style>
  <w:style w:type="character" w:customStyle="1" w:styleId="Heading3Char">
    <w:name w:val="Heading 3 Char"/>
    <w:basedOn w:val="DefaultParagraphFont"/>
    <w:link w:val="Heading3"/>
    <w:uiPriority w:val="2"/>
    <w:rsid w:val="00096F54"/>
    <w:rPr>
      <w:rFonts w:ascii="Georgia" w:hAnsi="Georgia" w:cs="Arial"/>
      <w:bCs/>
      <w:color w:val="A6192E"/>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uiPriority w:val="99"/>
    <w:rsid w:val="005316BE"/>
    <w:rPr>
      <w:rFonts w:ascii="Georgia" w:hAnsi="Georgia"/>
      <w:color w:val="A6192E"/>
      <w:szCs w:val="24"/>
    </w:rPr>
  </w:style>
  <w:style w:type="character" w:customStyle="1" w:styleId="TitleChar">
    <w:name w:val="Title Char"/>
    <w:basedOn w:val="DefaultParagraphFont"/>
    <w:link w:val="Title"/>
    <w:uiPriority w:val="99"/>
    <w:rsid w:val="00096F54"/>
    <w:rPr>
      <w:rFonts w:ascii="Georgia" w:hAnsi="Georgia" w:cs="Arial"/>
      <w:bCs/>
      <w:color w:val="A6192E"/>
      <w:spacing w:val="-4"/>
      <w:kern w:val="28"/>
      <w:sz w:val="66"/>
      <w:szCs w:val="32"/>
    </w:rPr>
  </w:style>
  <w:style w:type="character" w:customStyle="1" w:styleId="FooterChar">
    <w:name w:val="Footer Char"/>
    <w:basedOn w:val="DefaultParagraphFont"/>
    <w:link w:val="Footer"/>
    <w:rsid w:val="00096F54"/>
    <w:rPr>
      <w:rFonts w:ascii="Georgia" w:hAnsi="Georgia"/>
      <w:color w:val="A6192E"/>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paragraph" w:styleId="ListParagraph">
    <w:name w:val="List Paragraph"/>
    <w:basedOn w:val="Normal"/>
    <w:link w:val="ListParagraphChar"/>
    <w:uiPriority w:val="34"/>
    <w:qFormat/>
    <w:rsid w:val="003218C6"/>
    <w:pPr>
      <w:spacing w:before="0" w:after="200" w:line="276" w:lineRule="auto"/>
      <w:ind w:left="720"/>
      <w:contextualSpacing/>
    </w:pPr>
    <w:rPr>
      <w:rFonts w:eastAsiaTheme="minorHAnsi" w:cstheme="minorBidi"/>
      <w:sz w:val="22"/>
      <w:szCs w:val="22"/>
      <w:lang w:eastAsia="en-US"/>
    </w:rPr>
  </w:style>
  <w:style w:type="character" w:styleId="BookTitle">
    <w:name w:val="Book Title"/>
    <w:uiPriority w:val="33"/>
    <w:qFormat/>
    <w:rsid w:val="003218C6"/>
    <w:rPr>
      <w:i/>
      <w:iCs/>
      <w:smallCaps/>
      <w:spacing w:val="5"/>
    </w:rPr>
  </w:style>
  <w:style w:type="table" w:styleId="MediumShading2-Accent6">
    <w:name w:val="Medium Shading 2 Accent 6"/>
    <w:basedOn w:val="TableNormal"/>
    <w:uiPriority w:val="64"/>
    <w:rsid w:val="003218C6"/>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07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00778" w:themeFill="accent6"/>
      </w:tcPr>
    </w:tblStylePr>
    <w:tblStylePr w:type="lastCol">
      <w:rPr>
        <w:b/>
        <w:bCs/>
        <w:color w:val="FFFFFF" w:themeColor="background1"/>
      </w:rPr>
      <w:tblPr/>
      <w:tcPr>
        <w:tcBorders>
          <w:left w:val="nil"/>
          <w:right w:val="nil"/>
          <w:insideH w:val="nil"/>
          <w:insideV w:val="nil"/>
        </w:tcBorders>
        <w:shd w:val="clear" w:color="auto" w:fill="5007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basedOn w:val="DefaultParagraphFont"/>
    <w:link w:val="ListParagraph"/>
    <w:uiPriority w:val="34"/>
    <w:rsid w:val="003218C6"/>
    <w:rPr>
      <w:rFonts w:ascii="Arial" w:eastAsiaTheme="minorHAnsi" w:hAnsi="Arial" w:cstheme="minorBidi"/>
      <w:sz w:val="22"/>
      <w:szCs w:val="22"/>
      <w:lang w:eastAsia="en-US"/>
    </w:rPr>
  </w:style>
  <w:style w:type="paragraph" w:styleId="EndnoteText">
    <w:name w:val="endnote text"/>
    <w:basedOn w:val="Normal"/>
    <w:link w:val="EndnoteTextChar"/>
    <w:uiPriority w:val="99"/>
    <w:unhideWhenUsed/>
    <w:rsid w:val="003218C6"/>
    <w:pPr>
      <w:spacing w:before="0" w:after="0" w:line="240" w:lineRule="auto"/>
    </w:pPr>
    <w:rPr>
      <w:rFonts w:eastAsiaTheme="minorHAnsi" w:cstheme="minorBidi"/>
      <w:szCs w:val="20"/>
      <w:lang w:eastAsia="en-US"/>
    </w:rPr>
  </w:style>
  <w:style w:type="character" w:customStyle="1" w:styleId="EndnoteTextChar">
    <w:name w:val="Endnote Text Char"/>
    <w:basedOn w:val="DefaultParagraphFont"/>
    <w:link w:val="EndnoteText"/>
    <w:uiPriority w:val="99"/>
    <w:rsid w:val="003218C6"/>
    <w:rPr>
      <w:rFonts w:ascii="Arial" w:eastAsiaTheme="minorHAnsi" w:hAnsi="Arial" w:cstheme="minorBidi"/>
      <w:lang w:eastAsia="en-US"/>
    </w:rPr>
  </w:style>
  <w:style w:type="character" w:styleId="EndnoteReference">
    <w:name w:val="endnote reference"/>
    <w:basedOn w:val="DefaultParagraphFont"/>
    <w:uiPriority w:val="99"/>
    <w:unhideWhenUsed/>
    <w:rsid w:val="003218C6"/>
    <w:rPr>
      <w:vertAlign w:val="superscript"/>
    </w:rPr>
  </w:style>
  <w:style w:type="paragraph" w:styleId="NormalWeb">
    <w:name w:val="Normal (Web)"/>
    <w:basedOn w:val="Normal"/>
    <w:uiPriority w:val="99"/>
    <w:unhideWhenUsed/>
    <w:rsid w:val="00360B93"/>
    <w:pPr>
      <w:spacing w:before="100" w:beforeAutospacing="1" w:after="100" w:afterAutospacing="1" w:line="240" w:lineRule="auto"/>
    </w:pPr>
    <w:rPr>
      <w:rFonts w:ascii="Times New Roman" w:eastAsiaTheme="minorEastAsia" w:hAnsi="Times New Roman"/>
      <w:sz w:val="24"/>
    </w:rPr>
  </w:style>
  <w:style w:type="table" w:styleId="LightGrid-Accent6">
    <w:name w:val="Light Grid Accent 6"/>
    <w:basedOn w:val="TableNormal"/>
    <w:uiPriority w:val="62"/>
    <w:rsid w:val="00535132"/>
    <w:tblPr>
      <w:tblStyleRowBandSize w:val="1"/>
      <w:tblStyleColBandSize w:val="1"/>
      <w:tblBorders>
        <w:top w:val="single" w:sz="8" w:space="0" w:color="500778" w:themeColor="accent6"/>
        <w:left w:val="single" w:sz="8" w:space="0" w:color="500778" w:themeColor="accent6"/>
        <w:bottom w:val="single" w:sz="8" w:space="0" w:color="500778" w:themeColor="accent6"/>
        <w:right w:val="single" w:sz="8" w:space="0" w:color="500778" w:themeColor="accent6"/>
        <w:insideH w:val="single" w:sz="8" w:space="0" w:color="500778" w:themeColor="accent6"/>
        <w:insideV w:val="single" w:sz="8" w:space="0" w:color="5007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00778" w:themeColor="accent6"/>
          <w:left w:val="single" w:sz="8" w:space="0" w:color="500778" w:themeColor="accent6"/>
          <w:bottom w:val="single" w:sz="18" w:space="0" w:color="500778" w:themeColor="accent6"/>
          <w:right w:val="single" w:sz="8" w:space="0" w:color="500778" w:themeColor="accent6"/>
          <w:insideH w:val="nil"/>
          <w:insideV w:val="single" w:sz="8" w:space="0" w:color="5007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0778" w:themeColor="accent6"/>
          <w:left w:val="single" w:sz="8" w:space="0" w:color="500778" w:themeColor="accent6"/>
          <w:bottom w:val="single" w:sz="8" w:space="0" w:color="500778" w:themeColor="accent6"/>
          <w:right w:val="single" w:sz="8" w:space="0" w:color="500778" w:themeColor="accent6"/>
          <w:insideH w:val="nil"/>
          <w:insideV w:val="single" w:sz="8" w:space="0" w:color="5007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0778" w:themeColor="accent6"/>
          <w:left w:val="single" w:sz="8" w:space="0" w:color="500778" w:themeColor="accent6"/>
          <w:bottom w:val="single" w:sz="8" w:space="0" w:color="500778" w:themeColor="accent6"/>
          <w:right w:val="single" w:sz="8" w:space="0" w:color="500778" w:themeColor="accent6"/>
        </w:tcBorders>
      </w:tcPr>
    </w:tblStylePr>
    <w:tblStylePr w:type="band1Vert">
      <w:tblPr/>
      <w:tcPr>
        <w:tcBorders>
          <w:top w:val="single" w:sz="8" w:space="0" w:color="500778" w:themeColor="accent6"/>
          <w:left w:val="single" w:sz="8" w:space="0" w:color="500778" w:themeColor="accent6"/>
          <w:bottom w:val="single" w:sz="8" w:space="0" w:color="500778" w:themeColor="accent6"/>
          <w:right w:val="single" w:sz="8" w:space="0" w:color="500778" w:themeColor="accent6"/>
        </w:tcBorders>
        <w:shd w:val="clear" w:color="auto" w:fill="DBA5F9" w:themeFill="accent6" w:themeFillTint="3F"/>
      </w:tcPr>
    </w:tblStylePr>
    <w:tblStylePr w:type="band1Horz">
      <w:tblPr/>
      <w:tcPr>
        <w:tcBorders>
          <w:top w:val="single" w:sz="8" w:space="0" w:color="500778" w:themeColor="accent6"/>
          <w:left w:val="single" w:sz="8" w:space="0" w:color="500778" w:themeColor="accent6"/>
          <w:bottom w:val="single" w:sz="8" w:space="0" w:color="500778" w:themeColor="accent6"/>
          <w:right w:val="single" w:sz="8" w:space="0" w:color="500778" w:themeColor="accent6"/>
          <w:insideV w:val="single" w:sz="8" w:space="0" w:color="500778" w:themeColor="accent6"/>
        </w:tcBorders>
        <w:shd w:val="clear" w:color="auto" w:fill="DBA5F9" w:themeFill="accent6" w:themeFillTint="3F"/>
      </w:tcPr>
    </w:tblStylePr>
    <w:tblStylePr w:type="band2Horz">
      <w:tblPr/>
      <w:tcPr>
        <w:tcBorders>
          <w:top w:val="single" w:sz="8" w:space="0" w:color="500778" w:themeColor="accent6"/>
          <w:left w:val="single" w:sz="8" w:space="0" w:color="500778" w:themeColor="accent6"/>
          <w:bottom w:val="single" w:sz="8" w:space="0" w:color="500778" w:themeColor="accent6"/>
          <w:right w:val="single" w:sz="8" w:space="0" w:color="500778" w:themeColor="accent6"/>
          <w:insideV w:val="single" w:sz="8" w:space="0" w:color="500778" w:themeColor="accent6"/>
        </w:tcBorders>
      </w:tcPr>
    </w:tblStylePr>
  </w:style>
  <w:style w:type="table" w:styleId="LightList-Accent6">
    <w:name w:val="Light List Accent 6"/>
    <w:basedOn w:val="TableNormal"/>
    <w:uiPriority w:val="61"/>
    <w:rsid w:val="00B42948"/>
    <w:tblPr>
      <w:tblStyleRowBandSize w:val="1"/>
      <w:tblStyleColBandSize w:val="1"/>
      <w:tblBorders>
        <w:top w:val="single" w:sz="8" w:space="0" w:color="500778" w:themeColor="accent6"/>
        <w:left w:val="single" w:sz="8" w:space="0" w:color="500778" w:themeColor="accent6"/>
        <w:bottom w:val="single" w:sz="8" w:space="0" w:color="500778" w:themeColor="accent6"/>
        <w:right w:val="single" w:sz="8" w:space="0" w:color="500778" w:themeColor="accent6"/>
      </w:tblBorders>
    </w:tblPr>
    <w:tblStylePr w:type="firstRow">
      <w:pPr>
        <w:spacing w:before="0" w:after="0" w:line="240" w:lineRule="auto"/>
      </w:pPr>
      <w:rPr>
        <w:b/>
        <w:bCs/>
        <w:color w:val="FFFFFF" w:themeColor="background1"/>
      </w:rPr>
      <w:tblPr/>
      <w:tcPr>
        <w:shd w:val="clear" w:color="auto" w:fill="500778" w:themeFill="accent6"/>
      </w:tcPr>
    </w:tblStylePr>
    <w:tblStylePr w:type="lastRow">
      <w:pPr>
        <w:spacing w:before="0" w:after="0" w:line="240" w:lineRule="auto"/>
      </w:pPr>
      <w:rPr>
        <w:b/>
        <w:bCs/>
      </w:rPr>
      <w:tblPr/>
      <w:tcPr>
        <w:tcBorders>
          <w:top w:val="double" w:sz="6" w:space="0" w:color="500778" w:themeColor="accent6"/>
          <w:left w:val="single" w:sz="8" w:space="0" w:color="500778" w:themeColor="accent6"/>
          <w:bottom w:val="single" w:sz="8" w:space="0" w:color="500778" w:themeColor="accent6"/>
          <w:right w:val="single" w:sz="8" w:space="0" w:color="500778" w:themeColor="accent6"/>
        </w:tcBorders>
      </w:tcPr>
    </w:tblStylePr>
    <w:tblStylePr w:type="firstCol">
      <w:rPr>
        <w:b/>
        <w:bCs/>
      </w:rPr>
    </w:tblStylePr>
    <w:tblStylePr w:type="lastCol">
      <w:rPr>
        <w:b/>
        <w:bCs/>
      </w:rPr>
    </w:tblStylePr>
    <w:tblStylePr w:type="band1Vert">
      <w:tblPr/>
      <w:tcPr>
        <w:tcBorders>
          <w:top w:val="single" w:sz="8" w:space="0" w:color="500778" w:themeColor="accent6"/>
          <w:left w:val="single" w:sz="8" w:space="0" w:color="500778" w:themeColor="accent6"/>
          <w:bottom w:val="single" w:sz="8" w:space="0" w:color="500778" w:themeColor="accent6"/>
          <w:right w:val="single" w:sz="8" w:space="0" w:color="500778" w:themeColor="accent6"/>
        </w:tcBorders>
      </w:tcPr>
    </w:tblStylePr>
    <w:tblStylePr w:type="band1Horz">
      <w:tblPr/>
      <w:tcPr>
        <w:tcBorders>
          <w:top w:val="single" w:sz="8" w:space="0" w:color="500778" w:themeColor="accent6"/>
          <w:left w:val="single" w:sz="8" w:space="0" w:color="500778" w:themeColor="accent6"/>
          <w:bottom w:val="single" w:sz="8" w:space="0" w:color="500778" w:themeColor="accent6"/>
          <w:right w:val="single" w:sz="8" w:space="0" w:color="500778"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09077">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992567412">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670326343">
      <w:bodyDiv w:val="1"/>
      <w:marLeft w:val="0"/>
      <w:marRight w:val="0"/>
      <w:marTop w:val="0"/>
      <w:marBottom w:val="0"/>
      <w:divBdr>
        <w:top w:val="none" w:sz="0" w:space="0" w:color="auto"/>
        <w:left w:val="none" w:sz="0" w:space="0" w:color="auto"/>
        <w:bottom w:val="none" w:sz="0" w:space="0" w:color="auto"/>
        <w:right w:val="none" w:sz="0" w:space="0" w:color="auto"/>
      </w:divBdr>
    </w:div>
    <w:div w:id="1751077248">
      <w:bodyDiv w:val="1"/>
      <w:marLeft w:val="0"/>
      <w:marRight w:val="0"/>
      <w:marTop w:val="0"/>
      <w:marBottom w:val="0"/>
      <w:divBdr>
        <w:top w:val="none" w:sz="0" w:space="0" w:color="auto"/>
        <w:left w:val="none" w:sz="0" w:space="0" w:color="auto"/>
        <w:bottom w:val="none" w:sz="0" w:space="0" w:color="auto"/>
        <w:right w:val="none" w:sz="0" w:space="0" w:color="auto"/>
      </w:divBdr>
    </w:div>
    <w:div w:id="1856265436">
      <w:bodyDiv w:val="1"/>
      <w:marLeft w:val="0"/>
      <w:marRight w:val="0"/>
      <w:marTop w:val="0"/>
      <w:marBottom w:val="0"/>
      <w:divBdr>
        <w:top w:val="none" w:sz="0" w:space="0" w:color="auto"/>
        <w:left w:val="none" w:sz="0" w:space="0" w:color="auto"/>
        <w:bottom w:val="none" w:sz="0" w:space="0" w:color="auto"/>
        <w:right w:val="none" w:sz="0" w:space="0" w:color="auto"/>
      </w:divBdr>
    </w:div>
    <w:div w:id="2007320043">
      <w:bodyDiv w:val="1"/>
      <w:marLeft w:val="0"/>
      <w:marRight w:val="0"/>
      <w:marTop w:val="0"/>
      <w:marBottom w:val="0"/>
      <w:divBdr>
        <w:top w:val="none" w:sz="0" w:space="0" w:color="auto"/>
        <w:left w:val="none" w:sz="0" w:space="0" w:color="auto"/>
        <w:bottom w:val="none" w:sz="0" w:space="0" w:color="auto"/>
        <w:right w:val="none" w:sz="0" w:space="0" w:color="auto"/>
      </w:divBdr>
    </w:div>
    <w:div w:id="2030176609">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NCLD@dss.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NCLD@dss.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DM0044\Desktop\Cohort%20Profil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M0044\Desktop\Data%20Highlights%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3"/>
    </mc:Choice>
    <mc:Fallback>
      <c:style val="13"/>
    </mc:Fallback>
  </mc:AlternateContent>
  <c:chart>
    <c:autoTitleDeleted val="0"/>
    <c:plotArea>
      <c:layout>
        <c:manualLayout>
          <c:layoutTarget val="inner"/>
          <c:xMode val="edge"/>
          <c:yMode val="edge"/>
          <c:x val="0.19942834866556888"/>
          <c:y val="0.18586212077025727"/>
          <c:w val="0.7514955386403559"/>
          <c:h val="0.69103175234408842"/>
        </c:manualLayout>
      </c:layout>
      <c:barChart>
        <c:barDir val="bar"/>
        <c:grouping val="percentStacked"/>
        <c:varyColors val="0"/>
        <c:ser>
          <c:idx val="0"/>
          <c:order val="0"/>
          <c:tx>
            <c:strRef>
              <c:f>'Lang by Govt Serv'!$C$42</c:f>
              <c:strCache>
                <c:ptCount val="1"/>
                <c:pt idx="0">
                  <c:v>Not at All</c:v>
                </c:pt>
              </c:strCache>
            </c:strRef>
          </c:tx>
          <c:spPr>
            <a:solidFill>
              <a:srgbClr val="78BE20"/>
            </a:solidFill>
          </c:spPr>
          <c:invertIfNegative val="0"/>
          <c:dLbls>
            <c:dLbl>
              <c:idx val="0"/>
              <c:layout>
                <c:manualLayout>
                  <c:x val="5.5555070044657293E-3"/>
                  <c:y val="3.2661276084884009E-3"/>
                </c:manualLayout>
              </c:layout>
              <c:showLegendKey val="0"/>
              <c:showVal val="1"/>
              <c:showCatName val="0"/>
              <c:showSerName val="0"/>
              <c:showPercent val="0"/>
              <c:showBubbleSize val="0"/>
            </c:dLbl>
            <c:dLbl>
              <c:idx val="1"/>
              <c:layout>
                <c:manualLayout>
                  <c:x val="1.3888888888888888E-2"/>
                  <c:y val="0"/>
                </c:manualLayout>
              </c:layout>
              <c:showLegendKey val="0"/>
              <c:showVal val="1"/>
              <c:showCatName val="0"/>
              <c:showSerName val="0"/>
              <c:showPercent val="0"/>
              <c:showBubbleSize val="0"/>
            </c:dLbl>
            <c:dLbl>
              <c:idx val="2"/>
              <c:layout>
                <c:manualLayout>
                  <c:x val="1.3888888888888864E-2"/>
                  <c:y val="0"/>
                </c:manualLayout>
              </c:layout>
              <c:showLegendKey val="0"/>
              <c:showVal val="1"/>
              <c:showCatName val="0"/>
              <c:showSerName val="0"/>
              <c:showPercent val="0"/>
              <c:showBubbleSize val="0"/>
            </c:dLbl>
            <c:dLbl>
              <c:idx val="3"/>
              <c:layout>
                <c:manualLayout>
                  <c:x val="1.1111111111111112E-2"/>
                  <c:y val="0"/>
                </c:manualLayout>
              </c:layout>
              <c:showLegendKey val="0"/>
              <c:showVal val="1"/>
              <c:showCatName val="0"/>
              <c:showSerName val="0"/>
              <c:showPercent val="0"/>
              <c:showBubbleSize val="0"/>
            </c:dLbl>
            <c:numFmt formatCode="#,##0" sourceLinked="0"/>
            <c:txPr>
              <a:bodyPr/>
              <a:lstStyle/>
              <a:p>
                <a:pPr>
                  <a:defRPr>
                    <a:solidFill>
                      <a:schemeClr val="bg1"/>
                    </a:solidFill>
                  </a:defRPr>
                </a:pPr>
                <a:endParaRPr lang="en-US"/>
              </a:p>
            </c:txPr>
            <c:showLegendKey val="0"/>
            <c:showVal val="1"/>
            <c:showCatName val="0"/>
            <c:showSerName val="0"/>
            <c:showPercent val="0"/>
            <c:showBubbleSize val="0"/>
            <c:showLeaderLines val="0"/>
          </c:dLbls>
          <c:cat>
            <c:strRef>
              <c:f>'Lang by Govt Serv'!$A$43:$A$46</c:f>
              <c:strCache>
                <c:ptCount val="4"/>
                <c:pt idx="0">
                  <c:v>Very Well</c:v>
                </c:pt>
                <c:pt idx="1">
                  <c:v>Well</c:v>
                </c:pt>
                <c:pt idx="2">
                  <c:v>Not well</c:v>
                </c:pt>
                <c:pt idx="3">
                  <c:v>Not at all</c:v>
                </c:pt>
              </c:strCache>
            </c:strRef>
          </c:cat>
          <c:val>
            <c:numRef>
              <c:f>'Lang by Govt Serv'!$C$43:$C$46</c:f>
              <c:numCache>
                <c:formatCode>0.0</c:formatCode>
                <c:ptCount val="4"/>
                <c:pt idx="0">
                  <c:v>11.538461538461538</c:v>
                </c:pt>
                <c:pt idx="1">
                  <c:v>22.753623188405797</c:v>
                </c:pt>
                <c:pt idx="2">
                  <c:v>40.115718418514945</c:v>
                </c:pt>
                <c:pt idx="3">
                  <c:v>64.18786692759295</c:v>
                </c:pt>
              </c:numCache>
            </c:numRef>
          </c:val>
        </c:ser>
        <c:ser>
          <c:idx val="1"/>
          <c:order val="1"/>
          <c:tx>
            <c:strRef>
              <c:f>'Lang by Govt Serv'!$D$42</c:f>
              <c:strCache>
                <c:ptCount val="1"/>
                <c:pt idx="0">
                  <c:v>A Little </c:v>
                </c:pt>
              </c:strCache>
            </c:strRef>
          </c:tx>
          <c:spPr>
            <a:solidFill>
              <a:srgbClr val="FDDA24"/>
            </a:solidFill>
          </c:spPr>
          <c:invertIfNegative val="0"/>
          <c:dLbls>
            <c:dLbl>
              <c:idx val="0"/>
              <c:layout>
                <c:manualLayout>
                  <c:x val="5.5555555555555558E-3"/>
                  <c:y val="0"/>
                </c:manualLayout>
              </c:layout>
              <c:showLegendKey val="0"/>
              <c:showVal val="1"/>
              <c:showCatName val="0"/>
              <c:showSerName val="0"/>
              <c:showPercent val="0"/>
              <c:showBubbleSize val="0"/>
            </c:dLbl>
            <c:numFmt formatCode="#,##0" sourceLinked="0"/>
            <c:txPr>
              <a:bodyPr/>
              <a:lstStyle/>
              <a:p>
                <a:pPr>
                  <a:defRPr>
                    <a:solidFill>
                      <a:sysClr val="windowText" lastClr="000000"/>
                    </a:solidFill>
                  </a:defRPr>
                </a:pPr>
                <a:endParaRPr lang="en-US"/>
              </a:p>
            </c:txPr>
            <c:showLegendKey val="0"/>
            <c:showVal val="1"/>
            <c:showCatName val="0"/>
            <c:showSerName val="0"/>
            <c:showPercent val="0"/>
            <c:showBubbleSize val="0"/>
            <c:showLeaderLines val="0"/>
          </c:dLbls>
          <c:cat>
            <c:strRef>
              <c:f>'Lang by Govt Serv'!$A$43:$A$46</c:f>
              <c:strCache>
                <c:ptCount val="4"/>
                <c:pt idx="0">
                  <c:v>Very Well</c:v>
                </c:pt>
                <c:pt idx="1">
                  <c:v>Well</c:v>
                </c:pt>
                <c:pt idx="2">
                  <c:v>Not well</c:v>
                </c:pt>
                <c:pt idx="3">
                  <c:v>Not at all</c:v>
                </c:pt>
              </c:strCache>
            </c:strRef>
          </c:cat>
          <c:val>
            <c:numRef>
              <c:f>'Lang by Govt Serv'!$D$43:$D$46</c:f>
              <c:numCache>
                <c:formatCode>0.0</c:formatCode>
                <c:ptCount val="4"/>
                <c:pt idx="0">
                  <c:v>23.076923076923077</c:v>
                </c:pt>
                <c:pt idx="1">
                  <c:v>34.927536231884062</c:v>
                </c:pt>
                <c:pt idx="2">
                  <c:v>37.126325940212155</c:v>
                </c:pt>
                <c:pt idx="3">
                  <c:v>23.483365949119374</c:v>
                </c:pt>
              </c:numCache>
            </c:numRef>
          </c:val>
        </c:ser>
        <c:ser>
          <c:idx val="2"/>
          <c:order val="2"/>
          <c:tx>
            <c:strRef>
              <c:f>'Lang by Govt Serv'!$E$42</c:f>
              <c:strCache>
                <c:ptCount val="1"/>
                <c:pt idx="0">
                  <c:v>Fairly Well</c:v>
                </c:pt>
              </c:strCache>
            </c:strRef>
          </c:tx>
          <c:spPr>
            <a:solidFill>
              <a:srgbClr val="500778"/>
            </a:solidFill>
          </c:spPr>
          <c:invertIfNegative val="0"/>
          <c:dLbls>
            <c:dLbl>
              <c:idx val="3"/>
              <c:layout>
                <c:manualLayout>
                  <c:x val="-2.7344076325714023E-3"/>
                  <c:y val="-2.5936660632478745E-3"/>
                </c:manualLayout>
              </c:layout>
              <c:showLegendKey val="0"/>
              <c:showVal val="1"/>
              <c:showCatName val="0"/>
              <c:showSerName val="0"/>
              <c:showPercent val="0"/>
              <c:showBubbleSize val="0"/>
            </c:dLbl>
            <c:numFmt formatCode="#,##0" sourceLinked="0"/>
            <c:txPr>
              <a:bodyPr/>
              <a:lstStyle/>
              <a:p>
                <a:pPr>
                  <a:defRPr>
                    <a:solidFill>
                      <a:schemeClr val="bg1"/>
                    </a:solidFill>
                  </a:defRPr>
                </a:pPr>
                <a:endParaRPr lang="en-US"/>
              </a:p>
            </c:txPr>
            <c:showLegendKey val="0"/>
            <c:showVal val="1"/>
            <c:showCatName val="0"/>
            <c:showSerName val="0"/>
            <c:showPercent val="0"/>
            <c:showBubbleSize val="0"/>
            <c:showLeaderLines val="0"/>
          </c:dLbls>
          <c:cat>
            <c:strRef>
              <c:f>'Lang by Govt Serv'!$A$43:$A$46</c:f>
              <c:strCache>
                <c:ptCount val="4"/>
                <c:pt idx="0">
                  <c:v>Very Well</c:v>
                </c:pt>
                <c:pt idx="1">
                  <c:v>Well</c:v>
                </c:pt>
                <c:pt idx="2">
                  <c:v>Not well</c:v>
                </c:pt>
                <c:pt idx="3">
                  <c:v>Not at all</c:v>
                </c:pt>
              </c:strCache>
            </c:strRef>
          </c:cat>
          <c:val>
            <c:numRef>
              <c:f>'Lang by Govt Serv'!$E$43:$E$46</c:f>
              <c:numCache>
                <c:formatCode>0.0</c:formatCode>
                <c:ptCount val="4"/>
                <c:pt idx="0">
                  <c:v>28.46153846153846</c:v>
                </c:pt>
                <c:pt idx="1">
                  <c:v>26.376811594202898</c:v>
                </c:pt>
                <c:pt idx="2">
                  <c:v>12.921890067502412</c:v>
                </c:pt>
                <c:pt idx="3">
                  <c:v>6.4579256360078272</c:v>
                </c:pt>
              </c:numCache>
            </c:numRef>
          </c:val>
        </c:ser>
        <c:ser>
          <c:idx val="3"/>
          <c:order val="3"/>
          <c:tx>
            <c:strRef>
              <c:f>'Lang by Govt Serv'!$F$42</c:f>
              <c:strCache>
                <c:ptCount val="1"/>
                <c:pt idx="0">
                  <c:v>Very Well</c:v>
                </c:pt>
              </c:strCache>
            </c:strRef>
          </c:tx>
          <c:spPr>
            <a:solidFill>
              <a:srgbClr val="E8C4FC"/>
            </a:solidFill>
          </c:spPr>
          <c:invertIfNegative val="0"/>
          <c:dLbls>
            <c:dLbl>
              <c:idx val="3"/>
              <c:layout>
                <c:manualLayout>
                  <c:x val="4.171943678760337E-3"/>
                  <c:y val="-2.5937774787026698E-3"/>
                </c:manualLayout>
              </c:layout>
              <c:showLegendKey val="0"/>
              <c:showVal val="1"/>
              <c:showCatName val="0"/>
              <c:showSerName val="0"/>
              <c:showPercent val="0"/>
              <c:showBubbleSize val="0"/>
            </c:dLbl>
            <c:numFmt formatCode="#,##0" sourceLinked="0"/>
            <c:showLegendKey val="0"/>
            <c:showVal val="1"/>
            <c:showCatName val="0"/>
            <c:showSerName val="0"/>
            <c:showPercent val="0"/>
            <c:showBubbleSize val="0"/>
            <c:showLeaderLines val="0"/>
          </c:dLbls>
          <c:cat>
            <c:strRef>
              <c:f>'Lang by Govt Serv'!$A$43:$A$46</c:f>
              <c:strCache>
                <c:ptCount val="4"/>
                <c:pt idx="0">
                  <c:v>Very Well</c:v>
                </c:pt>
                <c:pt idx="1">
                  <c:v>Well</c:v>
                </c:pt>
                <c:pt idx="2">
                  <c:v>Not well</c:v>
                </c:pt>
                <c:pt idx="3">
                  <c:v>Not at all</c:v>
                </c:pt>
              </c:strCache>
            </c:strRef>
          </c:cat>
          <c:val>
            <c:numRef>
              <c:f>'Lang by Govt Serv'!$F$43:$F$46</c:f>
              <c:numCache>
                <c:formatCode>0.0</c:formatCode>
                <c:ptCount val="4"/>
                <c:pt idx="0">
                  <c:v>34.615384615384613</c:v>
                </c:pt>
                <c:pt idx="1">
                  <c:v>14.057971014492754</c:v>
                </c:pt>
                <c:pt idx="2">
                  <c:v>7.0395371263259401</c:v>
                </c:pt>
                <c:pt idx="3">
                  <c:v>2.5440313111545985</c:v>
                </c:pt>
              </c:numCache>
            </c:numRef>
          </c:val>
        </c:ser>
        <c:dLbls>
          <c:showLegendKey val="0"/>
          <c:showVal val="0"/>
          <c:showCatName val="0"/>
          <c:showSerName val="0"/>
          <c:showPercent val="0"/>
          <c:showBubbleSize val="0"/>
        </c:dLbls>
        <c:gapWidth val="48"/>
        <c:overlap val="100"/>
        <c:axId val="46774912"/>
        <c:axId val="47740416"/>
      </c:barChart>
      <c:catAx>
        <c:axId val="46774912"/>
        <c:scaling>
          <c:orientation val="minMax"/>
        </c:scaling>
        <c:delete val="0"/>
        <c:axPos val="l"/>
        <c:title>
          <c:tx>
            <c:rich>
              <a:bodyPr rot="-5400000" vert="horz"/>
              <a:lstStyle/>
              <a:p>
                <a:pPr>
                  <a:defRPr b="0"/>
                </a:pPr>
                <a:r>
                  <a:rPr lang="en-US" b="0"/>
                  <a:t>How well do you understand spoken English?</a:t>
                </a:r>
              </a:p>
            </c:rich>
          </c:tx>
          <c:layout>
            <c:manualLayout>
              <c:xMode val="edge"/>
              <c:yMode val="edge"/>
              <c:x val="2.2144183812139225E-2"/>
              <c:y val="0.19249255459229211"/>
            </c:manualLayout>
          </c:layout>
          <c:overlay val="0"/>
        </c:title>
        <c:majorTickMark val="out"/>
        <c:minorTickMark val="none"/>
        <c:tickLblPos val="nextTo"/>
        <c:crossAx val="47740416"/>
        <c:crosses val="autoZero"/>
        <c:auto val="1"/>
        <c:lblAlgn val="ctr"/>
        <c:lblOffset val="100"/>
        <c:noMultiLvlLbl val="0"/>
      </c:catAx>
      <c:valAx>
        <c:axId val="47740416"/>
        <c:scaling>
          <c:orientation val="minMax"/>
        </c:scaling>
        <c:delete val="0"/>
        <c:axPos val="b"/>
        <c:majorGridlines/>
        <c:title>
          <c:tx>
            <c:rich>
              <a:bodyPr/>
              <a:lstStyle/>
              <a:p>
                <a:pPr>
                  <a:defRPr b="0"/>
                </a:pPr>
                <a:r>
                  <a:rPr lang="en-US" b="0"/>
                  <a:t>If you had to would you know how to access Government services (%)?</a:t>
                </a:r>
              </a:p>
            </c:rich>
          </c:tx>
          <c:layout>
            <c:manualLayout>
              <c:xMode val="edge"/>
              <c:yMode val="edge"/>
              <c:x val="0.31629800368384681"/>
              <c:y val="1.6051680408635791E-2"/>
            </c:manualLayout>
          </c:layout>
          <c:overlay val="0"/>
        </c:title>
        <c:numFmt formatCode="0%" sourceLinked="1"/>
        <c:majorTickMark val="out"/>
        <c:minorTickMark val="none"/>
        <c:tickLblPos val="nextTo"/>
        <c:crossAx val="46774912"/>
        <c:crosses val="autoZero"/>
        <c:crossBetween val="between"/>
      </c:valAx>
    </c:plotArea>
    <c:legend>
      <c:legendPos val="r"/>
      <c:layout>
        <c:manualLayout>
          <c:xMode val="edge"/>
          <c:yMode val="edge"/>
          <c:x val="0.25128707402602407"/>
          <c:y val="0.10491723888049344"/>
          <c:w val="0.68995605843803864"/>
          <c:h val="8.988225430154563E-2"/>
        </c:manualLayout>
      </c:layout>
      <c:overlay val="0"/>
    </c:legend>
    <c:plotVisOnly val="1"/>
    <c:dispBlanksAs val="gap"/>
    <c:showDLblsOverMax val="0"/>
  </c:chart>
  <c:txPr>
    <a:bodyPr/>
    <a:lstStyle/>
    <a:p>
      <a:pPr>
        <a:defRPr sz="9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0137149451846549"/>
          <c:y val="5.0925925925925923E-2"/>
          <c:w val="0.57663148954919174"/>
          <c:h val="0.73946399590671796"/>
        </c:manualLayout>
      </c:layout>
      <c:barChart>
        <c:barDir val="bar"/>
        <c:grouping val="clustered"/>
        <c:varyColors val="0"/>
        <c:ser>
          <c:idx val="0"/>
          <c:order val="0"/>
          <c:tx>
            <c:strRef>
              <c:f>'Figure 2'!$G$11</c:f>
              <c:strCache>
                <c:ptCount val="1"/>
                <c:pt idx="0">
                  <c:v>Males</c:v>
                </c:pt>
              </c:strCache>
            </c:strRef>
          </c:tx>
          <c:spPr>
            <a:solidFill>
              <a:srgbClr val="500778"/>
            </a:solidFill>
            <a:ln>
              <a:solidFill>
                <a:schemeClr val="accent4">
                  <a:lumMod val="50000"/>
                </a:schemeClr>
              </a:solidFill>
            </a:ln>
          </c:spPr>
          <c:invertIfNegative val="0"/>
          <c:dLbls>
            <c:numFmt formatCode="#,##0" sourceLinked="0"/>
            <c:txPr>
              <a:bodyPr/>
              <a:lstStyle/>
              <a:p>
                <a:pPr>
                  <a:defRPr>
                    <a:solidFill>
                      <a:schemeClr val="bg1"/>
                    </a:solidFill>
                  </a:defRPr>
                </a:pPr>
                <a:endParaRPr lang="en-US"/>
              </a:p>
            </c:txPr>
            <c:dLblPos val="inEnd"/>
            <c:showLegendKey val="0"/>
            <c:showVal val="1"/>
            <c:showCatName val="0"/>
            <c:showSerName val="0"/>
            <c:showPercent val="0"/>
            <c:showBubbleSize val="0"/>
            <c:showLeaderLines val="0"/>
          </c:dLbls>
          <c:cat>
            <c:strRef>
              <c:f>'Figure 2'!$F$13:$F$15</c:f>
              <c:strCache>
                <c:ptCount val="3"/>
                <c:pt idx="0">
                  <c:v>Hard or Very Hard to Make Friends</c:v>
                </c:pt>
                <c:pt idx="1">
                  <c:v>Hard or Very Hard to Talk to Australian Neighbours</c:v>
                </c:pt>
                <c:pt idx="2">
                  <c:v>Hard or Very Hard to Understand Australian Ways</c:v>
                </c:pt>
              </c:strCache>
            </c:strRef>
          </c:cat>
          <c:val>
            <c:numRef>
              <c:f>'Figure 2'!$G$13:$G$15</c:f>
              <c:numCache>
                <c:formatCode>0.0</c:formatCode>
                <c:ptCount val="3"/>
                <c:pt idx="0">
                  <c:v>49.502677888293803</c:v>
                </c:pt>
                <c:pt idx="1">
                  <c:v>56.465187452180565</c:v>
                </c:pt>
                <c:pt idx="2">
                  <c:v>45.371078806426937</c:v>
                </c:pt>
              </c:numCache>
            </c:numRef>
          </c:val>
        </c:ser>
        <c:ser>
          <c:idx val="1"/>
          <c:order val="1"/>
          <c:tx>
            <c:strRef>
              <c:f>'Figure 2'!$H$11</c:f>
              <c:strCache>
                <c:ptCount val="1"/>
                <c:pt idx="0">
                  <c:v>Females</c:v>
                </c:pt>
              </c:strCache>
            </c:strRef>
          </c:tx>
          <c:spPr>
            <a:solidFill>
              <a:srgbClr val="FDDA24"/>
            </a:solidFill>
            <a:ln>
              <a:solidFill>
                <a:schemeClr val="accent3">
                  <a:lumMod val="50000"/>
                </a:schemeClr>
              </a:solidFill>
            </a:ln>
          </c:spPr>
          <c:invertIfNegative val="0"/>
          <c:dLbls>
            <c:numFmt formatCode="#,##0" sourceLinked="0"/>
            <c:txPr>
              <a:bodyPr/>
              <a:lstStyle/>
              <a:p>
                <a:pPr>
                  <a:defRPr>
                    <a:solidFill>
                      <a:sysClr val="windowText" lastClr="000000"/>
                    </a:solidFill>
                  </a:defRPr>
                </a:pPr>
                <a:endParaRPr lang="en-US"/>
              </a:p>
            </c:txPr>
            <c:dLblPos val="inEnd"/>
            <c:showLegendKey val="0"/>
            <c:showVal val="1"/>
            <c:showCatName val="0"/>
            <c:showSerName val="0"/>
            <c:showPercent val="0"/>
            <c:showBubbleSize val="0"/>
            <c:showLeaderLines val="0"/>
          </c:dLbls>
          <c:cat>
            <c:strRef>
              <c:f>'Figure 2'!$F$13:$F$15</c:f>
              <c:strCache>
                <c:ptCount val="3"/>
                <c:pt idx="0">
                  <c:v>Hard or Very Hard to Make Friends</c:v>
                </c:pt>
                <c:pt idx="1">
                  <c:v>Hard or Very Hard to Talk to Australian Neighbours</c:v>
                </c:pt>
                <c:pt idx="2">
                  <c:v>Hard or Very Hard to Understand Australian Ways</c:v>
                </c:pt>
              </c:strCache>
            </c:strRef>
          </c:cat>
          <c:val>
            <c:numRef>
              <c:f>'Figure 2'!$H$13:$H$15</c:f>
              <c:numCache>
                <c:formatCode>0.0</c:formatCode>
                <c:ptCount val="3"/>
                <c:pt idx="0">
                  <c:v>52.838827838827839</c:v>
                </c:pt>
                <c:pt idx="1">
                  <c:v>64.926739926739927</c:v>
                </c:pt>
                <c:pt idx="2">
                  <c:v>52.930402930402934</c:v>
                </c:pt>
              </c:numCache>
            </c:numRef>
          </c:val>
        </c:ser>
        <c:dLbls>
          <c:showLegendKey val="0"/>
          <c:showVal val="0"/>
          <c:showCatName val="0"/>
          <c:showSerName val="0"/>
          <c:showPercent val="0"/>
          <c:showBubbleSize val="0"/>
        </c:dLbls>
        <c:gapWidth val="56"/>
        <c:axId val="47969792"/>
        <c:axId val="47971328"/>
      </c:barChart>
      <c:catAx>
        <c:axId val="47969792"/>
        <c:scaling>
          <c:orientation val="minMax"/>
        </c:scaling>
        <c:delete val="0"/>
        <c:axPos val="l"/>
        <c:majorTickMark val="out"/>
        <c:minorTickMark val="none"/>
        <c:tickLblPos val="nextTo"/>
        <c:crossAx val="47971328"/>
        <c:crosses val="autoZero"/>
        <c:auto val="0"/>
        <c:lblAlgn val="ctr"/>
        <c:lblOffset val="100"/>
        <c:noMultiLvlLbl val="0"/>
      </c:catAx>
      <c:valAx>
        <c:axId val="47971328"/>
        <c:scaling>
          <c:orientation val="minMax"/>
          <c:max val="70"/>
          <c:min val="0"/>
        </c:scaling>
        <c:delete val="0"/>
        <c:axPos val="b"/>
        <c:title>
          <c:tx>
            <c:rich>
              <a:bodyPr/>
              <a:lstStyle/>
              <a:p>
                <a:pPr>
                  <a:defRPr b="0"/>
                </a:pPr>
                <a:r>
                  <a:rPr lang="en-US" b="0"/>
                  <a:t>Percentage of Persons</a:t>
                </a:r>
              </a:p>
            </c:rich>
          </c:tx>
          <c:layout>
            <c:manualLayout>
              <c:xMode val="edge"/>
              <c:yMode val="edge"/>
              <c:x val="0.61494296386028668"/>
              <c:y val="0.91045648313941729"/>
            </c:manualLayout>
          </c:layout>
          <c:overlay val="0"/>
        </c:title>
        <c:numFmt formatCode="0" sourceLinked="0"/>
        <c:majorTickMark val="out"/>
        <c:minorTickMark val="none"/>
        <c:tickLblPos val="nextTo"/>
        <c:crossAx val="47969792"/>
        <c:crosses val="autoZero"/>
        <c:crossBetween val="between"/>
      </c:valAx>
      <c:spPr>
        <a:noFill/>
        <a:ln>
          <a:noFill/>
        </a:ln>
      </c:spPr>
    </c:plotArea>
    <c:legend>
      <c:legendPos val="r"/>
      <c:layout>
        <c:manualLayout>
          <c:xMode val="edge"/>
          <c:yMode val="edge"/>
          <c:x val="0.85279308857886904"/>
          <c:y val="0.62035537593199075"/>
          <c:w val="0.14507493608078906"/>
          <c:h val="0.16743438320209975"/>
        </c:manualLayout>
      </c:layout>
      <c:overlay val="0"/>
    </c:legend>
    <c:plotVisOnly val="1"/>
    <c:dispBlanksAs val="gap"/>
    <c:showDLblsOverMax val="0"/>
  </c:chart>
  <c:spPr>
    <a:noFill/>
    <a:ln>
      <a:solidFill>
        <a:schemeClr val="tx1"/>
      </a:solidFill>
    </a:ln>
  </c:spPr>
  <c:txPr>
    <a:bodyPr/>
    <a:lstStyle/>
    <a:p>
      <a:pPr>
        <a:defRPr sz="900"/>
      </a:pPr>
      <a:endParaRPr lang="en-US"/>
    </a:p>
  </c:txPr>
  <c:externalData r:id="rId1">
    <c:autoUpdate val="0"/>
  </c:externalData>
</c:chartSpace>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0807F-F35A-4A4B-93EC-060228565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1534</Words>
  <Characters>8073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2015-10-01T05:07:00Z</dcterms:created>
  <dcterms:modified xsi:type="dcterms:W3CDTF">2015-10-01T05:07:00Z</dcterms:modified>
</cp:coreProperties>
</file>