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D6" w:rsidRPr="006670D6" w:rsidRDefault="006670D6" w:rsidP="006670D6">
      <w:pPr>
        <w:widowControl/>
        <w:suppressAutoHyphens w:val="0"/>
        <w:autoSpaceDE/>
        <w:autoSpaceDN/>
        <w:adjustRightInd/>
        <w:spacing w:before="440" w:after="0" w:line="240" w:lineRule="auto"/>
        <w:contextualSpacing/>
        <w:jc w:val="center"/>
        <w:textAlignment w:val="auto"/>
        <w:rPr>
          <w:rFonts w:eastAsiaTheme="majorEastAsia" w:cstheme="majorBidi"/>
          <w:color w:val="auto"/>
          <w:spacing w:val="5"/>
          <w:sz w:val="48"/>
          <w:szCs w:val="52"/>
        </w:rPr>
      </w:pPr>
      <w:bookmarkStart w:id="0" w:name="_GoBack"/>
      <w:r w:rsidRPr="006670D6">
        <w:rPr>
          <w:rFonts w:eastAsiaTheme="majorEastAsia" w:cstheme="majorBidi"/>
          <w:color w:val="auto"/>
          <w:spacing w:val="5"/>
          <w:sz w:val="48"/>
          <w:szCs w:val="52"/>
        </w:rPr>
        <w:t>Review of National Disability Insurance Agency decisions in the Administrative Appeals Tribunal</w:t>
      </w:r>
    </w:p>
    <w:bookmarkEnd w:id="0"/>
    <w:p w:rsidR="006670D6" w:rsidRDefault="006670D6" w:rsidP="00E86330"/>
    <w:p w:rsidR="006670D6" w:rsidRDefault="006670D6" w:rsidP="00E86330"/>
    <w:p w:rsidR="006670D6" w:rsidRPr="00041FB6" w:rsidRDefault="006670D6" w:rsidP="00041FB6">
      <w:pPr>
        <w:widowControl/>
        <w:suppressAutoHyphens w:val="0"/>
        <w:autoSpaceDE/>
        <w:autoSpaceDN/>
        <w:adjustRightInd/>
        <w:spacing w:before="120" w:after="0" w:line="276" w:lineRule="auto"/>
        <w:contextualSpacing/>
        <w:jc w:val="center"/>
        <w:textAlignment w:val="auto"/>
        <w:outlineLvl w:val="0"/>
        <w:rPr>
          <w:rFonts w:eastAsiaTheme="majorEastAsia" w:cstheme="majorBidi"/>
          <w:b/>
          <w:bCs/>
          <w:color w:val="auto"/>
          <w:sz w:val="32"/>
          <w:szCs w:val="32"/>
        </w:rPr>
      </w:pPr>
      <w:bookmarkStart w:id="1" w:name="_Toc368641757"/>
      <w:bookmarkStart w:id="2" w:name="_Toc368662199"/>
      <w:bookmarkStart w:id="3" w:name="_Toc430250251"/>
      <w:r w:rsidRPr="00041FB6">
        <w:rPr>
          <w:rFonts w:eastAsiaTheme="majorEastAsia" w:cstheme="majorBidi"/>
          <w:b/>
          <w:bCs/>
          <w:color w:val="auto"/>
          <w:sz w:val="32"/>
          <w:szCs w:val="32"/>
        </w:rPr>
        <w:t>Central Assessment Provider Guidelines</w:t>
      </w:r>
      <w:bookmarkEnd w:id="1"/>
      <w:bookmarkEnd w:id="2"/>
      <w:r w:rsidR="00041FB6">
        <w:rPr>
          <w:rFonts w:eastAsiaTheme="majorEastAsia" w:cstheme="majorBidi"/>
          <w:b/>
          <w:bCs/>
          <w:color w:val="auto"/>
          <w:sz w:val="32"/>
          <w:szCs w:val="32"/>
        </w:rPr>
        <w:t xml:space="preserve"> for Assessment of Complex or Novel Matters</w:t>
      </w:r>
      <w:bookmarkEnd w:id="3"/>
    </w:p>
    <w:p w:rsidR="006670D6" w:rsidRPr="006670D6" w:rsidRDefault="006670D6" w:rsidP="006670D6">
      <w:pPr>
        <w:spacing w:after="120"/>
        <w:rPr>
          <w:rFonts w:ascii="Calibri" w:hAnsi="Calibri"/>
          <w:b/>
          <w:sz w:val="22"/>
          <w:szCs w:val="22"/>
        </w:rPr>
      </w:pPr>
    </w:p>
    <w:p w:rsidR="006670D6" w:rsidRPr="006670D6" w:rsidRDefault="006670D6" w:rsidP="006670D6">
      <w:pPr>
        <w:spacing w:after="120"/>
        <w:rPr>
          <w:rFonts w:ascii="Calibri" w:hAnsi="Calibri"/>
          <w:b/>
          <w:sz w:val="22"/>
          <w:szCs w:val="22"/>
        </w:rPr>
      </w:pPr>
    </w:p>
    <w:p w:rsidR="008074E0" w:rsidRDefault="008074E0" w:rsidP="008074E0">
      <w:pPr>
        <w:spacing w:after="120"/>
        <w:rPr>
          <w:rFonts w:cs="Arial"/>
          <w:color w:val="auto"/>
          <w:sz w:val="24"/>
          <w:szCs w:val="24"/>
        </w:rPr>
      </w:pPr>
      <w:r w:rsidRPr="006670D6">
        <w:rPr>
          <w:rFonts w:cs="Arial"/>
          <w:color w:val="auto"/>
          <w:sz w:val="24"/>
          <w:szCs w:val="24"/>
        </w:rPr>
        <w:t>CONTENTS</w:t>
      </w:r>
    </w:p>
    <w:sdt>
      <w:sdtPr>
        <w:rPr>
          <w:rFonts w:eastAsia="Cambria" w:cs="MuseoSans-300"/>
          <w:bCs w:val="0"/>
          <w:color w:val="54534B"/>
          <w:sz w:val="19"/>
          <w:szCs w:val="19"/>
          <w:lang w:bidi="ar-SA"/>
        </w:rPr>
        <w:id w:val="1316604167"/>
        <w:docPartObj>
          <w:docPartGallery w:val="Table of Contents"/>
          <w:docPartUnique/>
        </w:docPartObj>
      </w:sdtPr>
      <w:sdtEndPr>
        <w:rPr>
          <w:b/>
          <w:noProof/>
        </w:rPr>
      </w:sdtEndPr>
      <w:sdtContent>
        <w:p w:rsidR="00C7778D" w:rsidRPr="007F7FCB" w:rsidRDefault="008074E0" w:rsidP="007F7FCB">
          <w:pPr>
            <w:pStyle w:val="TOCHeading"/>
            <w:rPr>
              <w:rFonts w:asciiTheme="minorHAnsi" w:eastAsiaTheme="minorEastAsia" w:hAnsiTheme="minorHAnsi" w:cstheme="minorBidi"/>
              <w:noProof/>
              <w:color w:val="auto"/>
              <w:position w:val="0"/>
              <w:sz w:val="24"/>
              <w:szCs w:val="24"/>
              <w:lang w:val="en-AU" w:eastAsia="en-AU"/>
            </w:rPr>
          </w:pPr>
          <w:r>
            <w:rPr>
              <w:bCs w:val="0"/>
            </w:rPr>
            <w:fldChar w:fldCharType="begin"/>
          </w:r>
          <w:r>
            <w:instrText xml:space="preserve"> TOC \o "1-3" \h \z \u </w:instrText>
          </w:r>
          <w:r>
            <w:rPr>
              <w:bCs w:val="0"/>
            </w:rPr>
            <w:fldChar w:fldCharType="separate"/>
          </w:r>
          <w:hyperlink w:anchor="_Toc430250251" w:history="1"/>
        </w:p>
        <w:p w:rsidR="00C7778D" w:rsidRPr="007F7FCB" w:rsidRDefault="00EA2246">
          <w:pPr>
            <w:pStyle w:val="TOC1"/>
            <w:tabs>
              <w:tab w:val="left" w:pos="880"/>
              <w:tab w:val="right" w:leader="dot" w:pos="7764"/>
            </w:tabs>
            <w:rPr>
              <w:rFonts w:asciiTheme="minorHAnsi" w:eastAsiaTheme="minorEastAsia" w:hAnsiTheme="minorHAnsi" w:cstheme="minorBidi"/>
              <w:noProof/>
              <w:color w:val="auto"/>
              <w:position w:val="0"/>
              <w:sz w:val="24"/>
              <w:szCs w:val="24"/>
              <w:lang w:val="en-AU" w:eastAsia="en-AU"/>
            </w:rPr>
          </w:pPr>
          <w:hyperlink w:anchor="_Toc430250252" w:history="1">
            <w:r w:rsidR="00C7778D" w:rsidRPr="007F7FCB">
              <w:rPr>
                <w:rStyle w:val="Hyperlink"/>
                <w:noProof/>
                <w:sz w:val="24"/>
                <w:szCs w:val="24"/>
              </w:rPr>
              <w:t>Part 1 -</w:t>
            </w:r>
            <w:r w:rsidR="00C7778D" w:rsidRPr="007F7FCB">
              <w:rPr>
                <w:rFonts w:asciiTheme="minorHAnsi" w:eastAsiaTheme="minorEastAsia" w:hAnsiTheme="minorHAnsi" w:cstheme="minorBidi"/>
                <w:noProof/>
                <w:color w:val="auto"/>
                <w:position w:val="0"/>
                <w:sz w:val="24"/>
                <w:szCs w:val="24"/>
                <w:lang w:val="en-AU" w:eastAsia="en-AU"/>
              </w:rPr>
              <w:tab/>
            </w:r>
            <w:r w:rsidR="00C7778D" w:rsidRPr="007F7FCB">
              <w:rPr>
                <w:rStyle w:val="Hyperlink"/>
                <w:noProof/>
                <w:sz w:val="24"/>
                <w:szCs w:val="24"/>
              </w:rPr>
              <w:t>Central Assessment Provider (CAP) role</w:t>
            </w:r>
            <w:r w:rsidR="00C7778D" w:rsidRPr="007F7FCB">
              <w:rPr>
                <w:noProof/>
                <w:webHidden/>
                <w:sz w:val="24"/>
                <w:szCs w:val="24"/>
              </w:rPr>
              <w:tab/>
            </w:r>
            <w:r w:rsidR="00C7778D" w:rsidRPr="007F7FCB">
              <w:rPr>
                <w:noProof/>
                <w:webHidden/>
                <w:sz w:val="24"/>
                <w:szCs w:val="24"/>
              </w:rPr>
              <w:fldChar w:fldCharType="begin"/>
            </w:r>
            <w:r w:rsidR="00C7778D" w:rsidRPr="007F7FCB">
              <w:rPr>
                <w:noProof/>
                <w:webHidden/>
                <w:sz w:val="24"/>
                <w:szCs w:val="24"/>
              </w:rPr>
              <w:instrText xml:space="preserve"> PAGEREF _Toc430250252 \h </w:instrText>
            </w:r>
            <w:r w:rsidR="00C7778D" w:rsidRPr="007F7FCB">
              <w:rPr>
                <w:noProof/>
                <w:webHidden/>
                <w:sz w:val="24"/>
                <w:szCs w:val="24"/>
              </w:rPr>
            </w:r>
            <w:r w:rsidR="00C7778D" w:rsidRPr="007F7FCB">
              <w:rPr>
                <w:noProof/>
                <w:webHidden/>
                <w:sz w:val="24"/>
                <w:szCs w:val="24"/>
              </w:rPr>
              <w:fldChar w:fldCharType="separate"/>
            </w:r>
            <w:r>
              <w:rPr>
                <w:noProof/>
                <w:webHidden/>
                <w:sz w:val="24"/>
                <w:szCs w:val="24"/>
              </w:rPr>
              <w:t>2</w:t>
            </w:r>
            <w:r w:rsidR="00C7778D" w:rsidRPr="007F7FCB">
              <w:rPr>
                <w:noProof/>
                <w:webHidden/>
                <w:sz w:val="24"/>
                <w:szCs w:val="24"/>
              </w:rPr>
              <w:fldChar w:fldCharType="end"/>
            </w:r>
          </w:hyperlink>
        </w:p>
        <w:p w:rsidR="00C7778D" w:rsidRPr="007F7FCB" w:rsidRDefault="00EA2246">
          <w:pPr>
            <w:pStyle w:val="TOC1"/>
            <w:tabs>
              <w:tab w:val="left" w:pos="880"/>
              <w:tab w:val="right" w:leader="dot" w:pos="7764"/>
            </w:tabs>
            <w:rPr>
              <w:rFonts w:asciiTheme="minorHAnsi" w:eastAsiaTheme="minorEastAsia" w:hAnsiTheme="minorHAnsi" w:cstheme="minorBidi"/>
              <w:noProof/>
              <w:color w:val="auto"/>
              <w:position w:val="0"/>
              <w:sz w:val="24"/>
              <w:szCs w:val="24"/>
              <w:lang w:val="en-AU" w:eastAsia="en-AU"/>
            </w:rPr>
          </w:pPr>
          <w:hyperlink w:anchor="_Toc430250253" w:history="1">
            <w:r w:rsidR="00C7778D" w:rsidRPr="007F7FCB">
              <w:rPr>
                <w:rStyle w:val="Hyperlink"/>
                <w:noProof/>
                <w:sz w:val="24"/>
                <w:szCs w:val="24"/>
              </w:rPr>
              <w:t>Part 2 -</w:t>
            </w:r>
            <w:r w:rsidR="00C7778D" w:rsidRPr="007F7FCB">
              <w:rPr>
                <w:rFonts w:asciiTheme="minorHAnsi" w:eastAsiaTheme="minorEastAsia" w:hAnsiTheme="minorHAnsi" w:cstheme="minorBidi"/>
                <w:noProof/>
                <w:color w:val="auto"/>
                <w:position w:val="0"/>
                <w:sz w:val="24"/>
                <w:szCs w:val="24"/>
                <w:lang w:val="en-AU" w:eastAsia="en-AU"/>
              </w:rPr>
              <w:tab/>
            </w:r>
            <w:r w:rsidR="00C7778D" w:rsidRPr="007F7FCB">
              <w:rPr>
                <w:rStyle w:val="Hyperlink"/>
                <w:noProof/>
                <w:sz w:val="24"/>
                <w:szCs w:val="24"/>
              </w:rPr>
              <w:t>Making a referral to the CAP</w:t>
            </w:r>
            <w:r w:rsidR="00C7778D" w:rsidRPr="007F7FCB">
              <w:rPr>
                <w:noProof/>
                <w:webHidden/>
                <w:sz w:val="24"/>
                <w:szCs w:val="24"/>
              </w:rPr>
              <w:tab/>
            </w:r>
            <w:r w:rsidR="00C7778D" w:rsidRPr="007F7FCB">
              <w:rPr>
                <w:noProof/>
                <w:webHidden/>
                <w:sz w:val="24"/>
                <w:szCs w:val="24"/>
              </w:rPr>
              <w:fldChar w:fldCharType="begin"/>
            </w:r>
            <w:r w:rsidR="00C7778D" w:rsidRPr="007F7FCB">
              <w:rPr>
                <w:noProof/>
                <w:webHidden/>
                <w:sz w:val="24"/>
                <w:szCs w:val="24"/>
              </w:rPr>
              <w:instrText xml:space="preserve"> PAGEREF _Toc430250253 \h </w:instrText>
            </w:r>
            <w:r w:rsidR="00C7778D" w:rsidRPr="007F7FCB">
              <w:rPr>
                <w:noProof/>
                <w:webHidden/>
                <w:sz w:val="24"/>
                <w:szCs w:val="24"/>
              </w:rPr>
            </w:r>
            <w:r w:rsidR="00C7778D" w:rsidRPr="007F7FCB">
              <w:rPr>
                <w:noProof/>
                <w:webHidden/>
                <w:sz w:val="24"/>
                <w:szCs w:val="24"/>
              </w:rPr>
              <w:fldChar w:fldCharType="separate"/>
            </w:r>
            <w:r>
              <w:rPr>
                <w:noProof/>
                <w:webHidden/>
                <w:sz w:val="24"/>
                <w:szCs w:val="24"/>
              </w:rPr>
              <w:t>2</w:t>
            </w:r>
            <w:r w:rsidR="00C7778D" w:rsidRPr="007F7FCB">
              <w:rPr>
                <w:noProof/>
                <w:webHidden/>
                <w:sz w:val="24"/>
                <w:szCs w:val="24"/>
              </w:rPr>
              <w:fldChar w:fldCharType="end"/>
            </w:r>
          </w:hyperlink>
        </w:p>
        <w:p w:rsidR="00C7778D" w:rsidRPr="007F7FCB" w:rsidRDefault="00EA2246">
          <w:pPr>
            <w:pStyle w:val="TOC1"/>
            <w:tabs>
              <w:tab w:val="left" w:pos="880"/>
              <w:tab w:val="right" w:leader="dot" w:pos="7764"/>
            </w:tabs>
            <w:rPr>
              <w:rFonts w:asciiTheme="minorHAnsi" w:eastAsiaTheme="minorEastAsia" w:hAnsiTheme="minorHAnsi" w:cstheme="minorBidi"/>
              <w:noProof/>
              <w:color w:val="auto"/>
              <w:position w:val="0"/>
              <w:sz w:val="24"/>
              <w:szCs w:val="24"/>
              <w:lang w:val="en-AU" w:eastAsia="en-AU"/>
            </w:rPr>
          </w:pPr>
          <w:hyperlink w:anchor="_Toc430250254" w:history="1">
            <w:r w:rsidR="00C7778D" w:rsidRPr="007F7FCB">
              <w:rPr>
                <w:rStyle w:val="Hyperlink"/>
                <w:noProof/>
                <w:sz w:val="24"/>
                <w:szCs w:val="24"/>
              </w:rPr>
              <w:t>Part 3 -</w:t>
            </w:r>
            <w:r w:rsidR="00C7778D" w:rsidRPr="007F7FCB">
              <w:rPr>
                <w:rFonts w:asciiTheme="minorHAnsi" w:eastAsiaTheme="minorEastAsia" w:hAnsiTheme="minorHAnsi" w:cstheme="minorBidi"/>
                <w:noProof/>
                <w:color w:val="auto"/>
                <w:position w:val="0"/>
                <w:sz w:val="24"/>
                <w:szCs w:val="24"/>
                <w:lang w:val="en-AU" w:eastAsia="en-AU"/>
              </w:rPr>
              <w:tab/>
            </w:r>
            <w:r w:rsidR="00C7778D" w:rsidRPr="007F7FCB">
              <w:rPr>
                <w:rStyle w:val="Hyperlink"/>
                <w:noProof/>
                <w:sz w:val="24"/>
                <w:szCs w:val="24"/>
              </w:rPr>
              <w:t>Funding for complex or novel matters</w:t>
            </w:r>
            <w:r w:rsidR="00C7778D" w:rsidRPr="007F7FCB">
              <w:rPr>
                <w:noProof/>
                <w:webHidden/>
                <w:sz w:val="24"/>
                <w:szCs w:val="24"/>
              </w:rPr>
              <w:tab/>
            </w:r>
            <w:r w:rsidR="00C7778D" w:rsidRPr="007F7FCB">
              <w:rPr>
                <w:noProof/>
                <w:webHidden/>
                <w:sz w:val="24"/>
                <w:szCs w:val="24"/>
              </w:rPr>
              <w:fldChar w:fldCharType="begin"/>
            </w:r>
            <w:r w:rsidR="00C7778D" w:rsidRPr="007F7FCB">
              <w:rPr>
                <w:noProof/>
                <w:webHidden/>
                <w:sz w:val="24"/>
                <w:szCs w:val="24"/>
              </w:rPr>
              <w:instrText xml:space="preserve"> PAGEREF _Toc430250254 \h </w:instrText>
            </w:r>
            <w:r w:rsidR="00C7778D" w:rsidRPr="007F7FCB">
              <w:rPr>
                <w:noProof/>
                <w:webHidden/>
                <w:sz w:val="24"/>
                <w:szCs w:val="24"/>
              </w:rPr>
            </w:r>
            <w:r w:rsidR="00C7778D" w:rsidRPr="007F7FCB">
              <w:rPr>
                <w:noProof/>
                <w:webHidden/>
                <w:sz w:val="24"/>
                <w:szCs w:val="24"/>
              </w:rPr>
              <w:fldChar w:fldCharType="separate"/>
            </w:r>
            <w:r>
              <w:rPr>
                <w:noProof/>
                <w:webHidden/>
                <w:sz w:val="24"/>
                <w:szCs w:val="24"/>
              </w:rPr>
              <w:t>3</w:t>
            </w:r>
            <w:r w:rsidR="00C7778D" w:rsidRPr="007F7FCB">
              <w:rPr>
                <w:noProof/>
                <w:webHidden/>
                <w:sz w:val="24"/>
                <w:szCs w:val="24"/>
              </w:rPr>
              <w:fldChar w:fldCharType="end"/>
            </w:r>
          </w:hyperlink>
        </w:p>
        <w:p w:rsidR="00C7778D" w:rsidRPr="007F7FCB" w:rsidRDefault="00EA2246">
          <w:pPr>
            <w:pStyle w:val="TOC1"/>
            <w:tabs>
              <w:tab w:val="left" w:pos="880"/>
              <w:tab w:val="right" w:leader="dot" w:pos="7764"/>
            </w:tabs>
            <w:rPr>
              <w:rFonts w:asciiTheme="minorHAnsi" w:eastAsiaTheme="minorEastAsia" w:hAnsiTheme="minorHAnsi" w:cstheme="minorBidi"/>
              <w:noProof/>
              <w:color w:val="auto"/>
              <w:position w:val="0"/>
              <w:sz w:val="24"/>
              <w:szCs w:val="24"/>
              <w:lang w:val="en-AU" w:eastAsia="en-AU"/>
            </w:rPr>
          </w:pPr>
          <w:hyperlink w:anchor="_Toc430250255" w:history="1">
            <w:r w:rsidR="00C7778D" w:rsidRPr="007F7FCB">
              <w:rPr>
                <w:rStyle w:val="Hyperlink"/>
                <w:noProof/>
                <w:sz w:val="24"/>
                <w:szCs w:val="24"/>
              </w:rPr>
              <w:t>Part 4 -</w:t>
            </w:r>
            <w:r w:rsidR="00C7778D" w:rsidRPr="007F7FCB">
              <w:rPr>
                <w:rFonts w:asciiTheme="minorHAnsi" w:eastAsiaTheme="minorEastAsia" w:hAnsiTheme="minorHAnsi" w:cstheme="minorBidi"/>
                <w:noProof/>
                <w:color w:val="auto"/>
                <w:position w:val="0"/>
                <w:sz w:val="24"/>
                <w:szCs w:val="24"/>
                <w:lang w:val="en-AU" w:eastAsia="en-AU"/>
              </w:rPr>
              <w:tab/>
            </w:r>
            <w:r w:rsidR="00C7778D" w:rsidRPr="007F7FCB">
              <w:rPr>
                <w:rStyle w:val="Hyperlink"/>
                <w:noProof/>
                <w:sz w:val="24"/>
                <w:szCs w:val="24"/>
              </w:rPr>
              <w:t>Complex or novel factors</w:t>
            </w:r>
            <w:r w:rsidR="00C7778D" w:rsidRPr="007F7FCB">
              <w:rPr>
                <w:noProof/>
                <w:webHidden/>
                <w:sz w:val="24"/>
                <w:szCs w:val="24"/>
              </w:rPr>
              <w:tab/>
            </w:r>
            <w:r w:rsidR="00C7778D" w:rsidRPr="007F7FCB">
              <w:rPr>
                <w:noProof/>
                <w:webHidden/>
                <w:sz w:val="24"/>
                <w:szCs w:val="24"/>
              </w:rPr>
              <w:fldChar w:fldCharType="begin"/>
            </w:r>
            <w:r w:rsidR="00C7778D" w:rsidRPr="007F7FCB">
              <w:rPr>
                <w:noProof/>
                <w:webHidden/>
                <w:sz w:val="24"/>
                <w:szCs w:val="24"/>
              </w:rPr>
              <w:instrText xml:space="preserve"> PAGEREF _Toc430250255 \h </w:instrText>
            </w:r>
            <w:r w:rsidR="00C7778D" w:rsidRPr="007F7FCB">
              <w:rPr>
                <w:noProof/>
                <w:webHidden/>
                <w:sz w:val="24"/>
                <w:szCs w:val="24"/>
              </w:rPr>
            </w:r>
            <w:r w:rsidR="00C7778D" w:rsidRPr="007F7FCB">
              <w:rPr>
                <w:noProof/>
                <w:webHidden/>
                <w:sz w:val="24"/>
                <w:szCs w:val="24"/>
              </w:rPr>
              <w:fldChar w:fldCharType="separate"/>
            </w:r>
            <w:r>
              <w:rPr>
                <w:noProof/>
                <w:webHidden/>
                <w:sz w:val="24"/>
                <w:szCs w:val="24"/>
              </w:rPr>
              <w:t>3</w:t>
            </w:r>
            <w:r w:rsidR="00C7778D" w:rsidRPr="007F7FCB">
              <w:rPr>
                <w:noProof/>
                <w:webHidden/>
                <w:sz w:val="24"/>
                <w:szCs w:val="24"/>
              </w:rPr>
              <w:fldChar w:fldCharType="end"/>
            </w:r>
          </w:hyperlink>
        </w:p>
        <w:p w:rsidR="00C7778D" w:rsidRPr="007F7FCB" w:rsidRDefault="00EA2246">
          <w:pPr>
            <w:pStyle w:val="TOC1"/>
            <w:tabs>
              <w:tab w:val="left" w:pos="880"/>
              <w:tab w:val="right" w:leader="dot" w:pos="7764"/>
            </w:tabs>
            <w:rPr>
              <w:rFonts w:asciiTheme="minorHAnsi" w:eastAsiaTheme="minorEastAsia" w:hAnsiTheme="minorHAnsi" w:cstheme="minorBidi"/>
              <w:noProof/>
              <w:color w:val="auto"/>
              <w:position w:val="0"/>
              <w:sz w:val="24"/>
              <w:szCs w:val="24"/>
              <w:lang w:val="en-AU" w:eastAsia="en-AU"/>
            </w:rPr>
          </w:pPr>
          <w:hyperlink w:anchor="_Toc430250256" w:history="1">
            <w:r w:rsidR="00C7778D" w:rsidRPr="007F7FCB">
              <w:rPr>
                <w:rStyle w:val="Hyperlink"/>
                <w:noProof/>
                <w:sz w:val="24"/>
                <w:szCs w:val="24"/>
              </w:rPr>
              <w:t>Part 5 -</w:t>
            </w:r>
            <w:r w:rsidR="00C7778D" w:rsidRPr="007F7FCB">
              <w:rPr>
                <w:rFonts w:asciiTheme="minorHAnsi" w:eastAsiaTheme="minorEastAsia" w:hAnsiTheme="minorHAnsi" w:cstheme="minorBidi"/>
                <w:noProof/>
                <w:color w:val="auto"/>
                <w:position w:val="0"/>
                <w:sz w:val="24"/>
                <w:szCs w:val="24"/>
                <w:lang w:val="en-AU" w:eastAsia="en-AU"/>
              </w:rPr>
              <w:tab/>
            </w:r>
            <w:r w:rsidR="00C7778D" w:rsidRPr="007F7FCB">
              <w:rPr>
                <w:rStyle w:val="Hyperlink"/>
                <w:noProof/>
                <w:sz w:val="24"/>
                <w:szCs w:val="24"/>
              </w:rPr>
              <w:t>Financial considerations</w:t>
            </w:r>
            <w:r w:rsidR="00C7778D" w:rsidRPr="007F7FCB">
              <w:rPr>
                <w:noProof/>
                <w:webHidden/>
                <w:sz w:val="24"/>
                <w:szCs w:val="24"/>
              </w:rPr>
              <w:tab/>
            </w:r>
            <w:r w:rsidR="00C7778D" w:rsidRPr="007F7FCB">
              <w:rPr>
                <w:noProof/>
                <w:webHidden/>
                <w:sz w:val="24"/>
                <w:szCs w:val="24"/>
              </w:rPr>
              <w:fldChar w:fldCharType="begin"/>
            </w:r>
            <w:r w:rsidR="00C7778D" w:rsidRPr="007F7FCB">
              <w:rPr>
                <w:noProof/>
                <w:webHidden/>
                <w:sz w:val="24"/>
                <w:szCs w:val="24"/>
              </w:rPr>
              <w:instrText xml:space="preserve"> PAGEREF _Toc430250256 \h </w:instrText>
            </w:r>
            <w:r w:rsidR="00C7778D" w:rsidRPr="007F7FCB">
              <w:rPr>
                <w:noProof/>
                <w:webHidden/>
                <w:sz w:val="24"/>
                <w:szCs w:val="24"/>
              </w:rPr>
            </w:r>
            <w:r w:rsidR="00C7778D" w:rsidRPr="007F7FCB">
              <w:rPr>
                <w:noProof/>
                <w:webHidden/>
                <w:sz w:val="24"/>
                <w:szCs w:val="24"/>
              </w:rPr>
              <w:fldChar w:fldCharType="separate"/>
            </w:r>
            <w:r>
              <w:rPr>
                <w:noProof/>
                <w:webHidden/>
                <w:sz w:val="24"/>
                <w:szCs w:val="24"/>
              </w:rPr>
              <w:t>5</w:t>
            </w:r>
            <w:r w:rsidR="00C7778D" w:rsidRPr="007F7FCB">
              <w:rPr>
                <w:noProof/>
                <w:webHidden/>
                <w:sz w:val="24"/>
                <w:szCs w:val="24"/>
              </w:rPr>
              <w:fldChar w:fldCharType="end"/>
            </w:r>
          </w:hyperlink>
        </w:p>
        <w:p w:rsidR="00C7778D" w:rsidRPr="009762CF" w:rsidRDefault="00EA2246">
          <w:pPr>
            <w:pStyle w:val="TOC1"/>
            <w:tabs>
              <w:tab w:val="left" w:pos="880"/>
              <w:tab w:val="right" w:leader="dot" w:pos="7764"/>
            </w:tabs>
            <w:rPr>
              <w:rFonts w:asciiTheme="minorHAnsi" w:eastAsiaTheme="minorEastAsia" w:hAnsiTheme="minorHAnsi" w:cstheme="minorBidi"/>
              <w:noProof/>
              <w:color w:val="auto"/>
              <w:position w:val="0"/>
              <w:sz w:val="22"/>
              <w:szCs w:val="22"/>
              <w:lang w:val="en-AU" w:eastAsia="en-AU"/>
            </w:rPr>
          </w:pPr>
          <w:hyperlink w:anchor="_Toc430250257" w:history="1">
            <w:r w:rsidR="00C7778D" w:rsidRPr="007F7FCB">
              <w:rPr>
                <w:rStyle w:val="Hyperlink"/>
                <w:noProof/>
                <w:sz w:val="24"/>
                <w:szCs w:val="24"/>
              </w:rPr>
              <w:t>Part 6 -</w:t>
            </w:r>
            <w:r w:rsidR="00C7778D" w:rsidRPr="007F7FCB">
              <w:rPr>
                <w:rFonts w:asciiTheme="minorHAnsi" w:eastAsiaTheme="minorEastAsia" w:hAnsiTheme="minorHAnsi" w:cstheme="minorBidi"/>
                <w:noProof/>
                <w:color w:val="auto"/>
                <w:position w:val="0"/>
                <w:sz w:val="24"/>
                <w:szCs w:val="24"/>
                <w:lang w:val="en-AU" w:eastAsia="en-AU"/>
              </w:rPr>
              <w:tab/>
            </w:r>
            <w:r w:rsidR="00C7778D" w:rsidRPr="007F7FCB">
              <w:rPr>
                <w:rStyle w:val="Hyperlink"/>
                <w:noProof/>
                <w:sz w:val="24"/>
                <w:szCs w:val="24"/>
              </w:rPr>
              <w:t>Review of CAP decisions</w:t>
            </w:r>
            <w:r w:rsidR="00C7778D" w:rsidRPr="007F7FCB">
              <w:rPr>
                <w:noProof/>
                <w:webHidden/>
                <w:sz w:val="24"/>
                <w:szCs w:val="24"/>
              </w:rPr>
              <w:tab/>
            </w:r>
            <w:r w:rsidR="00C7778D" w:rsidRPr="007F7FCB">
              <w:rPr>
                <w:noProof/>
                <w:webHidden/>
                <w:sz w:val="24"/>
                <w:szCs w:val="24"/>
              </w:rPr>
              <w:fldChar w:fldCharType="begin"/>
            </w:r>
            <w:r w:rsidR="00C7778D" w:rsidRPr="007F7FCB">
              <w:rPr>
                <w:noProof/>
                <w:webHidden/>
                <w:sz w:val="24"/>
                <w:szCs w:val="24"/>
              </w:rPr>
              <w:instrText xml:space="preserve"> PAGEREF _Toc430250257 \h </w:instrText>
            </w:r>
            <w:r w:rsidR="00C7778D" w:rsidRPr="007F7FCB">
              <w:rPr>
                <w:noProof/>
                <w:webHidden/>
                <w:sz w:val="24"/>
                <w:szCs w:val="24"/>
              </w:rPr>
            </w:r>
            <w:r w:rsidR="00C7778D" w:rsidRPr="007F7FCB">
              <w:rPr>
                <w:noProof/>
                <w:webHidden/>
                <w:sz w:val="24"/>
                <w:szCs w:val="24"/>
              </w:rPr>
              <w:fldChar w:fldCharType="separate"/>
            </w:r>
            <w:r>
              <w:rPr>
                <w:noProof/>
                <w:webHidden/>
                <w:sz w:val="24"/>
                <w:szCs w:val="24"/>
              </w:rPr>
              <w:t>5</w:t>
            </w:r>
            <w:r w:rsidR="00C7778D" w:rsidRPr="007F7FCB">
              <w:rPr>
                <w:noProof/>
                <w:webHidden/>
                <w:sz w:val="24"/>
                <w:szCs w:val="24"/>
              </w:rPr>
              <w:fldChar w:fldCharType="end"/>
            </w:r>
          </w:hyperlink>
        </w:p>
        <w:p w:rsidR="008074E0" w:rsidRDefault="008074E0">
          <w:r>
            <w:rPr>
              <w:b/>
              <w:bCs/>
              <w:noProof/>
            </w:rPr>
            <w:fldChar w:fldCharType="end"/>
          </w:r>
        </w:p>
      </w:sdtContent>
    </w:sdt>
    <w:p w:rsidR="006670D6" w:rsidRPr="006670D6" w:rsidRDefault="006670D6" w:rsidP="006670D6">
      <w:pPr>
        <w:spacing w:after="120"/>
        <w:rPr>
          <w:rFonts w:cs="Arial"/>
          <w:color w:val="auto"/>
          <w:sz w:val="24"/>
          <w:szCs w:val="24"/>
        </w:rPr>
      </w:pPr>
    </w:p>
    <w:p w:rsidR="006670D6" w:rsidRPr="006670D6" w:rsidRDefault="006670D6" w:rsidP="006670D6">
      <w:pPr>
        <w:spacing w:after="120"/>
        <w:rPr>
          <w:rFonts w:ascii="Calibri" w:hAnsi="Calibri"/>
          <w:b/>
          <w:sz w:val="22"/>
          <w:szCs w:val="22"/>
        </w:rPr>
      </w:pPr>
      <w:r w:rsidRPr="006670D6">
        <w:rPr>
          <w:rFonts w:ascii="Calibri" w:hAnsi="Calibri"/>
          <w:b/>
          <w:sz w:val="22"/>
          <w:szCs w:val="22"/>
        </w:rPr>
        <w:br w:type="page"/>
      </w:r>
    </w:p>
    <w:p w:rsidR="006670D6" w:rsidRPr="006670D6" w:rsidRDefault="006670D6" w:rsidP="006670D6">
      <w:pPr>
        <w:pBdr>
          <w:bottom w:val="single" w:sz="4" w:space="1" w:color="auto"/>
        </w:pBdr>
        <w:spacing w:after="120"/>
        <w:rPr>
          <w:rFonts w:ascii="Calibri" w:hAnsi="Calibri"/>
          <w:b/>
          <w:sz w:val="22"/>
          <w:szCs w:val="22"/>
        </w:rPr>
      </w:pPr>
    </w:p>
    <w:p w:rsidR="006670D6" w:rsidRPr="00D14189" w:rsidRDefault="006670D6" w:rsidP="00D14189">
      <w:pPr>
        <w:pStyle w:val="Heading1"/>
        <w:pBdr>
          <w:bottom w:val="single" w:sz="4" w:space="1" w:color="auto"/>
        </w:pBdr>
        <w:rPr>
          <w:b/>
          <w:color w:val="auto"/>
          <w:sz w:val="24"/>
          <w:szCs w:val="24"/>
        </w:rPr>
      </w:pPr>
      <w:bookmarkStart w:id="4" w:name="_Toc430250252"/>
      <w:r w:rsidRPr="00D14189">
        <w:rPr>
          <w:b/>
          <w:color w:val="auto"/>
          <w:sz w:val="24"/>
          <w:szCs w:val="24"/>
        </w:rPr>
        <w:t>Part 1 -</w:t>
      </w:r>
      <w:r w:rsidRPr="00D14189">
        <w:rPr>
          <w:b/>
          <w:color w:val="auto"/>
          <w:sz w:val="24"/>
          <w:szCs w:val="24"/>
        </w:rPr>
        <w:tab/>
        <w:t>Central Assessment Provider (CAP) role</w:t>
      </w:r>
      <w:bookmarkEnd w:id="4"/>
      <w:r w:rsidRPr="00D14189">
        <w:rPr>
          <w:b/>
          <w:color w:val="auto"/>
          <w:sz w:val="24"/>
          <w:szCs w:val="24"/>
        </w:rPr>
        <w:t xml:space="preserve"> </w:t>
      </w:r>
    </w:p>
    <w:p w:rsidR="006670D6" w:rsidRPr="006670D6" w:rsidRDefault="006670D6" w:rsidP="00D14189">
      <w:pPr>
        <w:spacing w:before="480" w:after="360"/>
        <w:ind w:left="720" w:hanging="720"/>
        <w:rPr>
          <w:rFonts w:cs="Arial"/>
          <w:color w:val="auto"/>
          <w:sz w:val="24"/>
          <w:szCs w:val="24"/>
        </w:rPr>
      </w:pPr>
      <w:r w:rsidRPr="006670D6">
        <w:rPr>
          <w:rFonts w:cs="Arial"/>
          <w:color w:val="auto"/>
          <w:sz w:val="24"/>
          <w:szCs w:val="24"/>
        </w:rPr>
        <w:t>1.1</w:t>
      </w:r>
      <w:r w:rsidRPr="006670D6">
        <w:rPr>
          <w:rFonts w:cs="Arial"/>
          <w:color w:val="auto"/>
          <w:sz w:val="24"/>
          <w:szCs w:val="24"/>
        </w:rPr>
        <w:tab/>
        <w:t>The role of the CAP is to decide, on referral and having regard to these guidelines, whether applications to the Administrative Appeals Tribunal (</w:t>
      </w:r>
      <w:r w:rsidRPr="006670D6">
        <w:rPr>
          <w:rFonts w:cs="Arial"/>
          <w:b/>
          <w:color w:val="auto"/>
          <w:sz w:val="24"/>
          <w:szCs w:val="24"/>
        </w:rPr>
        <w:t>AAT</w:t>
      </w:r>
      <w:r w:rsidRPr="006670D6">
        <w:rPr>
          <w:rFonts w:cs="Arial"/>
          <w:color w:val="auto"/>
          <w:sz w:val="24"/>
          <w:szCs w:val="24"/>
        </w:rPr>
        <w:t xml:space="preserve">) to review decisions of the National Disability Insurance Agency </w:t>
      </w:r>
      <w:r w:rsidR="00B70351">
        <w:rPr>
          <w:rFonts w:cs="Arial"/>
          <w:color w:val="auto"/>
          <w:sz w:val="24"/>
          <w:szCs w:val="24"/>
        </w:rPr>
        <w:t>(</w:t>
      </w:r>
      <w:r w:rsidR="00B70351">
        <w:rPr>
          <w:rFonts w:cs="Arial"/>
          <w:b/>
          <w:color w:val="auto"/>
          <w:sz w:val="24"/>
          <w:szCs w:val="24"/>
        </w:rPr>
        <w:t>NDIA</w:t>
      </w:r>
      <w:r w:rsidR="00B70351">
        <w:rPr>
          <w:rFonts w:cs="Arial"/>
          <w:color w:val="auto"/>
          <w:sz w:val="24"/>
          <w:szCs w:val="24"/>
        </w:rPr>
        <w:t xml:space="preserve">) </w:t>
      </w:r>
      <w:r w:rsidRPr="006670D6">
        <w:rPr>
          <w:rFonts w:cs="Arial"/>
          <w:color w:val="auto"/>
          <w:sz w:val="24"/>
          <w:szCs w:val="24"/>
        </w:rPr>
        <w:t xml:space="preserve">(referred to in these Guidelines as </w:t>
      </w:r>
      <w:r w:rsidRPr="006670D6">
        <w:rPr>
          <w:rFonts w:cs="Arial"/>
          <w:b/>
          <w:color w:val="auto"/>
          <w:sz w:val="24"/>
          <w:szCs w:val="24"/>
        </w:rPr>
        <w:t>matters</w:t>
      </w:r>
      <w:r w:rsidRPr="006670D6">
        <w:rPr>
          <w:rFonts w:cs="Arial"/>
          <w:color w:val="auto"/>
          <w:sz w:val="24"/>
          <w:szCs w:val="24"/>
        </w:rPr>
        <w:t>) raise complex or novel legal issues</w:t>
      </w:r>
      <w:proofErr w:type="gramStart"/>
      <w:r w:rsidR="00B54FD8">
        <w:rPr>
          <w:rFonts w:cs="Arial"/>
          <w:color w:val="auto"/>
          <w:sz w:val="24"/>
          <w:szCs w:val="24"/>
        </w:rPr>
        <w:t>.</w:t>
      </w:r>
      <w:r w:rsidRPr="006670D6">
        <w:rPr>
          <w:rFonts w:cs="Arial"/>
          <w:color w:val="auto"/>
          <w:sz w:val="24"/>
          <w:szCs w:val="24"/>
        </w:rPr>
        <w:t>.</w:t>
      </w:r>
      <w:proofErr w:type="gramEnd"/>
      <w:r w:rsidRPr="006670D6">
        <w:rPr>
          <w:rFonts w:cs="Arial"/>
          <w:color w:val="auto"/>
          <w:sz w:val="24"/>
          <w:szCs w:val="24"/>
        </w:rPr>
        <w:t xml:space="preserve"> </w:t>
      </w:r>
    </w:p>
    <w:p w:rsidR="00C528CA" w:rsidRDefault="006670D6" w:rsidP="006F0911">
      <w:pPr>
        <w:spacing w:before="240" w:after="120"/>
        <w:ind w:left="720" w:hanging="720"/>
        <w:rPr>
          <w:rFonts w:cs="Arial"/>
          <w:color w:val="auto"/>
          <w:sz w:val="24"/>
          <w:szCs w:val="24"/>
        </w:rPr>
      </w:pPr>
      <w:r w:rsidRPr="006670D6">
        <w:rPr>
          <w:rFonts w:cs="Arial"/>
          <w:color w:val="auto"/>
          <w:sz w:val="24"/>
          <w:szCs w:val="24"/>
        </w:rPr>
        <w:t>1.2</w:t>
      </w:r>
      <w:r w:rsidRPr="006670D6">
        <w:rPr>
          <w:rFonts w:cs="Arial"/>
          <w:color w:val="auto"/>
          <w:sz w:val="24"/>
          <w:szCs w:val="24"/>
        </w:rPr>
        <w:tab/>
        <w:t>The CAP role will be performed by designated officers within DSS Legal (</w:t>
      </w:r>
      <w:r w:rsidRPr="006670D6">
        <w:rPr>
          <w:rFonts w:cs="Arial"/>
          <w:b/>
          <w:color w:val="auto"/>
          <w:sz w:val="24"/>
          <w:szCs w:val="24"/>
        </w:rPr>
        <w:t>CAP Officers</w:t>
      </w:r>
      <w:r w:rsidRPr="006670D6">
        <w:rPr>
          <w:rFonts w:cs="Arial"/>
          <w:color w:val="auto"/>
          <w:sz w:val="24"/>
          <w:szCs w:val="24"/>
        </w:rPr>
        <w:t>).</w:t>
      </w:r>
    </w:p>
    <w:p w:rsidR="006670D6" w:rsidRPr="006670D6" w:rsidRDefault="006670D6" w:rsidP="006670D6">
      <w:pPr>
        <w:spacing w:after="120"/>
        <w:ind w:left="720" w:hanging="720"/>
        <w:rPr>
          <w:rFonts w:cs="Arial"/>
          <w:color w:val="auto"/>
          <w:sz w:val="24"/>
          <w:szCs w:val="24"/>
        </w:rPr>
      </w:pPr>
      <w:r w:rsidRPr="006670D6">
        <w:rPr>
          <w:rFonts w:cs="Arial"/>
          <w:color w:val="auto"/>
          <w:sz w:val="24"/>
          <w:szCs w:val="24"/>
        </w:rPr>
        <w:t xml:space="preserve"> </w:t>
      </w:r>
    </w:p>
    <w:p w:rsidR="006670D6" w:rsidRPr="006733E3" w:rsidRDefault="006670D6" w:rsidP="00D14189">
      <w:pPr>
        <w:pStyle w:val="Heading1"/>
        <w:pBdr>
          <w:bottom w:val="single" w:sz="4" w:space="1" w:color="auto"/>
        </w:pBdr>
        <w:rPr>
          <w:b/>
          <w:color w:val="auto"/>
          <w:sz w:val="24"/>
          <w:szCs w:val="24"/>
        </w:rPr>
      </w:pPr>
      <w:bookmarkStart w:id="5" w:name="_Toc430250253"/>
      <w:r w:rsidRPr="006733E3">
        <w:rPr>
          <w:b/>
          <w:color w:val="auto"/>
          <w:sz w:val="24"/>
          <w:szCs w:val="24"/>
        </w:rPr>
        <w:t>Part 2 -</w:t>
      </w:r>
      <w:r w:rsidRPr="006733E3">
        <w:rPr>
          <w:b/>
          <w:color w:val="auto"/>
          <w:sz w:val="24"/>
          <w:szCs w:val="24"/>
        </w:rPr>
        <w:tab/>
        <w:t>Making a referral to the CAP</w:t>
      </w:r>
      <w:bookmarkEnd w:id="5"/>
    </w:p>
    <w:p w:rsidR="006670D6" w:rsidRPr="006670D6" w:rsidRDefault="006670D6" w:rsidP="00D14189">
      <w:pPr>
        <w:spacing w:before="480" w:after="360"/>
        <w:ind w:left="720" w:hanging="720"/>
        <w:rPr>
          <w:rFonts w:cs="Arial"/>
          <w:color w:val="auto"/>
          <w:sz w:val="24"/>
          <w:szCs w:val="24"/>
        </w:rPr>
      </w:pPr>
      <w:r w:rsidRPr="006670D6">
        <w:rPr>
          <w:rFonts w:cs="Arial"/>
          <w:color w:val="auto"/>
          <w:sz w:val="24"/>
          <w:szCs w:val="24"/>
        </w:rPr>
        <w:t>2.1</w:t>
      </w:r>
      <w:r w:rsidRPr="006670D6">
        <w:rPr>
          <w:rFonts w:cs="Arial"/>
          <w:color w:val="auto"/>
          <w:sz w:val="24"/>
          <w:szCs w:val="24"/>
        </w:rPr>
        <w:tab/>
        <w:t xml:space="preserve">An application must be lodged with the AAT before a matter will be assessed by a CAP Officer and funding for the provision of legal services to the AAT applicant made available. </w:t>
      </w:r>
    </w:p>
    <w:p w:rsidR="006670D6" w:rsidRPr="006670D6" w:rsidRDefault="006670D6" w:rsidP="00D14189">
      <w:pPr>
        <w:spacing w:before="240" w:after="360"/>
        <w:ind w:left="720" w:hanging="720"/>
        <w:rPr>
          <w:rFonts w:cs="Arial"/>
          <w:color w:val="auto"/>
          <w:sz w:val="24"/>
          <w:szCs w:val="24"/>
        </w:rPr>
      </w:pPr>
      <w:r w:rsidRPr="006670D6">
        <w:rPr>
          <w:rFonts w:cs="Arial"/>
          <w:color w:val="auto"/>
          <w:sz w:val="24"/>
          <w:szCs w:val="24"/>
        </w:rPr>
        <w:t>2.2</w:t>
      </w:r>
      <w:r w:rsidRPr="006670D6">
        <w:rPr>
          <w:rFonts w:cs="Arial"/>
          <w:color w:val="auto"/>
          <w:sz w:val="24"/>
          <w:szCs w:val="24"/>
        </w:rPr>
        <w:tab/>
        <w:t xml:space="preserve">A matter may be referred to the CAP by an AAT applicant’s External Merits Review Support Person or by a Legal Aid Commission or other legal representative of the AAT applicant. </w:t>
      </w:r>
    </w:p>
    <w:p w:rsidR="006670D6" w:rsidRPr="006670D6" w:rsidRDefault="006670D6" w:rsidP="00D14189">
      <w:pPr>
        <w:spacing w:before="240" w:after="360"/>
        <w:ind w:left="720" w:hanging="720"/>
        <w:rPr>
          <w:rFonts w:cs="Arial"/>
          <w:color w:val="auto"/>
          <w:sz w:val="24"/>
          <w:szCs w:val="24"/>
        </w:rPr>
      </w:pPr>
      <w:r w:rsidRPr="006670D6">
        <w:rPr>
          <w:rFonts w:cs="Arial"/>
          <w:color w:val="auto"/>
          <w:sz w:val="24"/>
          <w:szCs w:val="24"/>
        </w:rPr>
        <w:t>2.3</w:t>
      </w:r>
      <w:r w:rsidRPr="006670D6">
        <w:rPr>
          <w:rFonts w:cs="Arial"/>
          <w:color w:val="auto"/>
          <w:sz w:val="24"/>
          <w:szCs w:val="24"/>
        </w:rPr>
        <w:tab/>
        <w:t xml:space="preserve">A referral must be made in writing by submitting a completed </w:t>
      </w:r>
      <w:r w:rsidRPr="006670D6">
        <w:rPr>
          <w:rFonts w:cs="Arial"/>
          <w:b/>
          <w:color w:val="auto"/>
          <w:sz w:val="24"/>
          <w:szCs w:val="24"/>
        </w:rPr>
        <w:t xml:space="preserve">Referral for Assessment of Complex or Novel Legal Issues </w:t>
      </w:r>
      <w:r w:rsidRPr="006670D6">
        <w:rPr>
          <w:rFonts w:cs="Arial"/>
          <w:color w:val="auto"/>
          <w:sz w:val="24"/>
          <w:szCs w:val="24"/>
        </w:rPr>
        <w:t xml:space="preserve">form to DSS. </w:t>
      </w:r>
    </w:p>
    <w:p w:rsidR="006670D6" w:rsidRPr="006670D6" w:rsidRDefault="006670D6" w:rsidP="00D14189">
      <w:pPr>
        <w:spacing w:before="240" w:after="360"/>
        <w:ind w:left="720" w:hanging="720"/>
        <w:rPr>
          <w:rFonts w:cs="Arial"/>
          <w:color w:val="auto"/>
          <w:sz w:val="24"/>
          <w:szCs w:val="24"/>
        </w:rPr>
      </w:pPr>
      <w:r w:rsidRPr="006670D6">
        <w:rPr>
          <w:rFonts w:cs="Arial"/>
          <w:color w:val="auto"/>
          <w:sz w:val="24"/>
          <w:szCs w:val="24"/>
        </w:rPr>
        <w:t>2.4</w:t>
      </w:r>
      <w:r w:rsidRPr="006670D6">
        <w:rPr>
          <w:rFonts w:cs="Arial"/>
          <w:color w:val="auto"/>
          <w:sz w:val="24"/>
          <w:szCs w:val="24"/>
        </w:rPr>
        <w:tab/>
        <w:t xml:space="preserve">The AAT applicant (or his or her legal guardian) must give written consent to the referral and the disclosure of information and documents required in order for the CAP to assess whether the matter raises a complex or novel legal issue (consent is a required component of the referral form). </w:t>
      </w:r>
    </w:p>
    <w:p w:rsidR="006670D6" w:rsidRPr="006670D6" w:rsidRDefault="006670D6" w:rsidP="006F0911">
      <w:pPr>
        <w:spacing w:before="240" w:after="120"/>
        <w:ind w:left="720" w:hanging="720"/>
        <w:rPr>
          <w:rFonts w:cs="Arial"/>
          <w:color w:val="auto"/>
          <w:sz w:val="24"/>
          <w:szCs w:val="24"/>
        </w:rPr>
      </w:pPr>
      <w:r w:rsidRPr="006670D6">
        <w:rPr>
          <w:rFonts w:cs="Arial"/>
          <w:color w:val="auto"/>
          <w:sz w:val="24"/>
          <w:szCs w:val="24"/>
        </w:rPr>
        <w:t>2.5</w:t>
      </w:r>
      <w:r w:rsidRPr="006670D6">
        <w:rPr>
          <w:rFonts w:cs="Arial"/>
          <w:color w:val="auto"/>
          <w:sz w:val="24"/>
          <w:szCs w:val="24"/>
        </w:rPr>
        <w:tab/>
        <w:t xml:space="preserve">Referrals can be submitted to DSS by email to: </w:t>
      </w:r>
      <w:hyperlink r:id="rId9" w:history="1">
        <w:r w:rsidRPr="006670D6">
          <w:rPr>
            <w:rFonts w:cs="Arial"/>
            <w:color w:val="auto"/>
            <w:sz w:val="24"/>
            <w:szCs w:val="24"/>
            <w:u w:val="single"/>
          </w:rPr>
          <w:t>centralassessmentprovider@dss.gov.au</w:t>
        </w:r>
      </w:hyperlink>
      <w:r w:rsidRPr="006670D6">
        <w:rPr>
          <w:rFonts w:cs="Arial"/>
          <w:color w:val="auto"/>
          <w:sz w:val="24"/>
          <w:szCs w:val="24"/>
        </w:rPr>
        <w:t xml:space="preserve"> or by post to: </w:t>
      </w:r>
    </w:p>
    <w:p w:rsidR="006670D6" w:rsidRPr="006670D6" w:rsidRDefault="006670D6" w:rsidP="006F0911">
      <w:pPr>
        <w:widowControl/>
        <w:shd w:val="clear" w:color="auto" w:fill="FFFFFF"/>
        <w:suppressAutoHyphens w:val="0"/>
        <w:autoSpaceDE/>
        <w:autoSpaceDN/>
        <w:adjustRightInd/>
        <w:spacing w:before="240" w:after="0" w:line="240" w:lineRule="auto"/>
        <w:ind w:left="720"/>
        <w:textAlignment w:val="auto"/>
        <w:rPr>
          <w:rFonts w:eastAsia="Times New Roman" w:cs="Arial"/>
          <w:color w:val="auto"/>
          <w:position w:val="0"/>
          <w:sz w:val="24"/>
          <w:szCs w:val="24"/>
          <w:lang w:val="en-AU" w:eastAsia="en-AU"/>
        </w:rPr>
      </w:pPr>
      <w:r w:rsidRPr="006670D6">
        <w:rPr>
          <w:rFonts w:eastAsia="Times New Roman" w:cs="Arial"/>
          <w:color w:val="auto"/>
          <w:position w:val="0"/>
          <w:sz w:val="24"/>
          <w:szCs w:val="24"/>
          <w:lang w:val="en-AU" w:eastAsia="en-AU"/>
        </w:rPr>
        <w:t>Central Assessment Provider</w:t>
      </w:r>
    </w:p>
    <w:p w:rsidR="008074E0" w:rsidRPr="00E86330" w:rsidRDefault="006670D6" w:rsidP="00E86330">
      <w:pPr>
        <w:widowControl/>
        <w:shd w:val="clear" w:color="auto" w:fill="FFFFFF"/>
        <w:suppressAutoHyphens w:val="0"/>
        <w:autoSpaceDE/>
        <w:autoSpaceDN/>
        <w:adjustRightInd/>
        <w:spacing w:after="120" w:line="240" w:lineRule="auto"/>
        <w:ind w:left="720"/>
        <w:textAlignment w:val="auto"/>
        <w:rPr>
          <w:rFonts w:eastAsia="Times New Roman" w:cs="Arial"/>
          <w:color w:val="auto"/>
          <w:position w:val="0"/>
          <w:sz w:val="24"/>
          <w:szCs w:val="24"/>
          <w:lang w:val="en-AU" w:eastAsia="en-AU"/>
        </w:rPr>
      </w:pPr>
      <w:r w:rsidRPr="006670D6">
        <w:rPr>
          <w:rFonts w:eastAsia="Times New Roman" w:cs="Arial"/>
          <w:color w:val="auto"/>
          <w:position w:val="0"/>
          <w:sz w:val="24"/>
          <w:szCs w:val="24"/>
          <w:lang w:val="en-AU" w:eastAsia="en-AU"/>
        </w:rPr>
        <w:t>Department of Social Services (DSS</w:t>
      </w:r>
      <w:proofErr w:type="gramStart"/>
      <w:r w:rsidRPr="006670D6">
        <w:rPr>
          <w:rFonts w:eastAsia="Times New Roman" w:cs="Arial"/>
          <w:color w:val="auto"/>
          <w:position w:val="0"/>
          <w:sz w:val="24"/>
          <w:szCs w:val="24"/>
          <w:lang w:val="en-AU" w:eastAsia="en-AU"/>
        </w:rPr>
        <w:t>)</w:t>
      </w:r>
      <w:proofErr w:type="gramEnd"/>
      <w:r w:rsidRPr="006670D6">
        <w:rPr>
          <w:rFonts w:eastAsia="Times New Roman" w:cs="Arial"/>
          <w:color w:val="auto"/>
          <w:position w:val="0"/>
          <w:sz w:val="24"/>
          <w:szCs w:val="24"/>
          <w:lang w:val="en-AU" w:eastAsia="en-AU"/>
        </w:rPr>
        <w:br/>
        <w:t>Public Law Branch, TOP CW2</w:t>
      </w:r>
      <w:r w:rsidRPr="006670D6">
        <w:rPr>
          <w:rFonts w:eastAsia="Times New Roman" w:cs="Arial"/>
          <w:color w:val="auto"/>
          <w:position w:val="0"/>
          <w:sz w:val="24"/>
          <w:szCs w:val="24"/>
          <w:lang w:val="en-AU" w:eastAsia="en-AU"/>
        </w:rPr>
        <w:br/>
        <w:t>PO Box 7576</w:t>
      </w:r>
      <w:r w:rsidRPr="006670D6">
        <w:rPr>
          <w:rFonts w:eastAsia="Times New Roman" w:cs="Arial"/>
          <w:color w:val="auto"/>
          <w:position w:val="0"/>
          <w:sz w:val="24"/>
          <w:szCs w:val="24"/>
          <w:lang w:val="en-AU" w:eastAsia="en-AU"/>
        </w:rPr>
        <w:br/>
        <w:t>Canberra Business Centre ACT 2610</w:t>
      </w:r>
      <w:r w:rsidR="00E86330">
        <w:rPr>
          <w:rFonts w:eastAsia="Times New Roman" w:cs="Arial"/>
          <w:color w:val="auto"/>
          <w:position w:val="0"/>
          <w:sz w:val="24"/>
          <w:szCs w:val="24"/>
          <w:lang w:val="en-AU" w:eastAsia="en-AU"/>
        </w:rPr>
        <w:br w:type="page"/>
      </w:r>
    </w:p>
    <w:p w:rsidR="008074E0" w:rsidRDefault="008074E0" w:rsidP="00E86330"/>
    <w:p w:rsidR="006670D6" w:rsidRPr="00D14189" w:rsidRDefault="006670D6" w:rsidP="00D14189">
      <w:pPr>
        <w:pStyle w:val="Heading1"/>
        <w:pBdr>
          <w:bottom w:val="single" w:sz="4" w:space="1" w:color="auto"/>
        </w:pBdr>
        <w:rPr>
          <w:b/>
          <w:color w:val="auto"/>
          <w:sz w:val="24"/>
          <w:szCs w:val="24"/>
        </w:rPr>
      </w:pPr>
      <w:bookmarkStart w:id="6" w:name="_Toc430250254"/>
      <w:r w:rsidRPr="00D14189">
        <w:rPr>
          <w:b/>
          <w:color w:val="auto"/>
          <w:sz w:val="24"/>
          <w:szCs w:val="24"/>
        </w:rPr>
        <w:t>Part 3 -</w:t>
      </w:r>
      <w:r w:rsidRPr="00D14189">
        <w:rPr>
          <w:b/>
          <w:color w:val="auto"/>
          <w:sz w:val="24"/>
          <w:szCs w:val="24"/>
        </w:rPr>
        <w:tab/>
        <w:t>Funding for complex or novel matters</w:t>
      </w:r>
      <w:bookmarkEnd w:id="6"/>
    </w:p>
    <w:p w:rsidR="006670D6" w:rsidRPr="006670D6" w:rsidRDefault="006670D6" w:rsidP="00C528CA">
      <w:pPr>
        <w:spacing w:before="480" w:after="120"/>
        <w:ind w:left="720" w:hanging="720"/>
        <w:rPr>
          <w:rFonts w:cs="Arial"/>
          <w:color w:val="auto"/>
          <w:sz w:val="24"/>
          <w:szCs w:val="24"/>
        </w:rPr>
      </w:pPr>
      <w:r w:rsidRPr="006670D6">
        <w:rPr>
          <w:rFonts w:cs="Arial"/>
          <w:color w:val="auto"/>
          <w:sz w:val="24"/>
          <w:szCs w:val="24"/>
        </w:rPr>
        <w:t>3.1</w:t>
      </w:r>
      <w:r w:rsidRPr="006670D6">
        <w:rPr>
          <w:rFonts w:cs="Arial"/>
          <w:color w:val="auto"/>
          <w:sz w:val="24"/>
          <w:szCs w:val="24"/>
        </w:rPr>
        <w:tab/>
        <w:t>Funding for the provision of legal services is available in circumstances where a CAP Officer decides that a matter raises a complex or novel legal issue</w:t>
      </w:r>
      <w:r w:rsidR="00C7778D">
        <w:rPr>
          <w:rFonts w:cs="Arial"/>
          <w:color w:val="auto"/>
          <w:sz w:val="24"/>
          <w:szCs w:val="24"/>
        </w:rPr>
        <w:t>,</w:t>
      </w:r>
      <w:r w:rsidR="00B54FD8">
        <w:rPr>
          <w:rFonts w:cs="Arial"/>
          <w:color w:val="auto"/>
          <w:sz w:val="24"/>
          <w:szCs w:val="24"/>
        </w:rPr>
        <w:t xml:space="preserve"> and </w:t>
      </w:r>
      <w:r w:rsidR="00836FD3">
        <w:rPr>
          <w:rFonts w:cs="Arial"/>
          <w:color w:val="auto"/>
          <w:sz w:val="24"/>
          <w:szCs w:val="24"/>
        </w:rPr>
        <w:t xml:space="preserve">financial </w:t>
      </w:r>
      <w:r w:rsidR="00B54FD8">
        <w:rPr>
          <w:rFonts w:cs="Arial"/>
          <w:color w:val="auto"/>
          <w:sz w:val="24"/>
          <w:szCs w:val="24"/>
        </w:rPr>
        <w:t xml:space="preserve">approval is granted by the </w:t>
      </w:r>
      <w:r w:rsidR="00D04E32">
        <w:rPr>
          <w:rFonts w:cs="Arial"/>
          <w:color w:val="auto"/>
          <w:sz w:val="24"/>
          <w:szCs w:val="24"/>
        </w:rPr>
        <w:t xml:space="preserve">Department of Social Services (DSS) </w:t>
      </w:r>
      <w:r w:rsidR="00B54FD8">
        <w:rPr>
          <w:rFonts w:cs="Arial"/>
          <w:color w:val="auto"/>
          <w:sz w:val="24"/>
          <w:szCs w:val="24"/>
        </w:rPr>
        <w:t xml:space="preserve">delegate </w:t>
      </w:r>
      <w:r w:rsidR="00836FD3">
        <w:rPr>
          <w:rFonts w:cs="Arial"/>
          <w:color w:val="auto"/>
          <w:sz w:val="24"/>
          <w:szCs w:val="24"/>
        </w:rPr>
        <w:t>with responsibility for policy oversight of the External Merits Review – Support Component.</w:t>
      </w:r>
      <w:r w:rsidRPr="006670D6">
        <w:rPr>
          <w:rFonts w:cs="Arial"/>
          <w:color w:val="auto"/>
          <w:sz w:val="24"/>
          <w:szCs w:val="24"/>
        </w:rPr>
        <w:t xml:space="preserve"> </w:t>
      </w:r>
    </w:p>
    <w:p w:rsidR="006F0911" w:rsidRPr="006670D6" w:rsidRDefault="006670D6" w:rsidP="006F0911">
      <w:pPr>
        <w:spacing w:before="240" w:after="120"/>
        <w:ind w:left="720" w:hanging="720"/>
        <w:rPr>
          <w:rFonts w:cs="Arial"/>
          <w:color w:val="auto"/>
          <w:sz w:val="24"/>
          <w:szCs w:val="24"/>
        </w:rPr>
      </w:pPr>
      <w:r w:rsidRPr="006670D6">
        <w:rPr>
          <w:rFonts w:cs="Arial"/>
          <w:color w:val="auto"/>
          <w:sz w:val="24"/>
          <w:szCs w:val="24"/>
        </w:rPr>
        <w:t>3.2</w:t>
      </w:r>
      <w:r w:rsidRPr="006670D6">
        <w:rPr>
          <w:rFonts w:cs="Arial"/>
          <w:color w:val="auto"/>
          <w:sz w:val="24"/>
          <w:szCs w:val="24"/>
        </w:rPr>
        <w:tab/>
        <w:t xml:space="preserve">Where a CAP Officer decides that a matter raises a complex or novel legal issue, </w:t>
      </w:r>
      <w:r w:rsidR="00D04E32">
        <w:rPr>
          <w:rFonts w:cs="Arial"/>
          <w:color w:val="auto"/>
          <w:sz w:val="24"/>
          <w:szCs w:val="24"/>
        </w:rPr>
        <w:t xml:space="preserve">and funding is subsequently approved by the delegate, </w:t>
      </w:r>
      <w:r w:rsidRPr="006670D6">
        <w:rPr>
          <w:rFonts w:cs="Arial"/>
          <w:color w:val="auto"/>
          <w:sz w:val="24"/>
          <w:szCs w:val="24"/>
        </w:rPr>
        <w:t xml:space="preserve">the matter will be referred </w:t>
      </w:r>
      <w:r w:rsidR="00D04E32">
        <w:rPr>
          <w:rFonts w:cs="Arial"/>
          <w:color w:val="auto"/>
          <w:sz w:val="24"/>
          <w:szCs w:val="24"/>
        </w:rPr>
        <w:t xml:space="preserve">by the CAP </w:t>
      </w:r>
      <w:r w:rsidRPr="006670D6">
        <w:rPr>
          <w:rFonts w:cs="Arial"/>
          <w:color w:val="auto"/>
          <w:sz w:val="24"/>
          <w:szCs w:val="24"/>
        </w:rPr>
        <w:t>to the Legal Aid Commission (</w:t>
      </w:r>
      <w:r w:rsidRPr="006670D6">
        <w:rPr>
          <w:rFonts w:cs="Arial"/>
          <w:b/>
          <w:color w:val="auto"/>
          <w:sz w:val="24"/>
          <w:szCs w:val="24"/>
        </w:rPr>
        <w:t>Commission</w:t>
      </w:r>
      <w:r w:rsidRPr="006670D6">
        <w:rPr>
          <w:rFonts w:cs="Arial"/>
          <w:color w:val="auto"/>
          <w:sz w:val="24"/>
          <w:szCs w:val="24"/>
        </w:rPr>
        <w:t>) in the relevant State or Territory</w:t>
      </w:r>
      <w:r w:rsidR="00D04E32">
        <w:rPr>
          <w:rFonts w:cs="Arial"/>
          <w:color w:val="auto"/>
          <w:sz w:val="24"/>
          <w:szCs w:val="24"/>
        </w:rPr>
        <w:t>.  A</w:t>
      </w:r>
      <w:r w:rsidRPr="006670D6">
        <w:rPr>
          <w:rFonts w:cs="Arial"/>
          <w:color w:val="auto"/>
          <w:sz w:val="24"/>
          <w:szCs w:val="24"/>
        </w:rPr>
        <w:t xml:space="preserve"> capped amount of funding will be made available by DSS to that Commission, for use in providing legal services to the AAT applicant. Limited additional funding may be made available to a Commission for expert reports.</w:t>
      </w:r>
    </w:p>
    <w:p w:rsidR="006670D6" w:rsidRPr="006670D6" w:rsidRDefault="006670D6" w:rsidP="006F0911">
      <w:pPr>
        <w:spacing w:before="240" w:after="120"/>
        <w:ind w:left="720" w:hanging="720"/>
        <w:rPr>
          <w:rFonts w:cs="Arial"/>
          <w:color w:val="auto"/>
          <w:sz w:val="24"/>
          <w:szCs w:val="24"/>
        </w:rPr>
      </w:pPr>
      <w:r w:rsidRPr="006670D6">
        <w:rPr>
          <w:rFonts w:cs="Arial"/>
          <w:color w:val="auto"/>
          <w:sz w:val="24"/>
          <w:szCs w:val="24"/>
        </w:rPr>
        <w:t>3.3</w:t>
      </w:r>
      <w:r w:rsidRPr="006670D6">
        <w:rPr>
          <w:rFonts w:cs="Arial"/>
          <w:color w:val="auto"/>
          <w:sz w:val="24"/>
          <w:szCs w:val="24"/>
        </w:rPr>
        <w:tab/>
        <w:t xml:space="preserve">The use of funds by Commissions (including any additional funds provided by DSS for expert reports) will be in accordance with the agreement between DSS and each Commission in relation to the review of National Disability Insurance Agency (NDIA) decisions in the AAT. </w:t>
      </w:r>
    </w:p>
    <w:p w:rsidR="006670D6" w:rsidRPr="006670D6" w:rsidRDefault="006670D6" w:rsidP="006F0911">
      <w:pPr>
        <w:spacing w:before="240" w:after="120"/>
        <w:ind w:left="720" w:hanging="720"/>
        <w:rPr>
          <w:rFonts w:cs="Arial"/>
          <w:color w:val="auto"/>
          <w:sz w:val="24"/>
          <w:szCs w:val="24"/>
        </w:rPr>
      </w:pPr>
      <w:r w:rsidRPr="006670D6">
        <w:rPr>
          <w:rFonts w:cs="Arial"/>
          <w:color w:val="auto"/>
          <w:sz w:val="24"/>
          <w:szCs w:val="24"/>
        </w:rPr>
        <w:t>3.4</w:t>
      </w:r>
      <w:r w:rsidRPr="006670D6">
        <w:rPr>
          <w:rFonts w:cs="Arial"/>
          <w:color w:val="auto"/>
          <w:sz w:val="24"/>
          <w:szCs w:val="24"/>
        </w:rPr>
        <w:tab/>
        <w:t xml:space="preserve">Once a matter has been referred by a CAP Officer to the relevant Commission, it will be a matter for that Commission to determine and provide appropriate legal services. </w:t>
      </w:r>
    </w:p>
    <w:p w:rsidR="006670D6" w:rsidRDefault="006670D6" w:rsidP="007F7FCB">
      <w:pPr>
        <w:spacing w:before="240" w:after="120"/>
        <w:ind w:left="720" w:hanging="720"/>
        <w:rPr>
          <w:rFonts w:cs="Arial"/>
          <w:color w:val="auto"/>
          <w:sz w:val="24"/>
          <w:szCs w:val="24"/>
        </w:rPr>
      </w:pPr>
      <w:r w:rsidRPr="006670D6">
        <w:rPr>
          <w:rFonts w:cs="Arial"/>
          <w:color w:val="auto"/>
          <w:sz w:val="24"/>
          <w:szCs w:val="24"/>
        </w:rPr>
        <w:t>3.5</w:t>
      </w:r>
      <w:r w:rsidRPr="006670D6">
        <w:rPr>
          <w:rFonts w:cs="Arial"/>
          <w:color w:val="auto"/>
          <w:sz w:val="24"/>
          <w:szCs w:val="24"/>
        </w:rPr>
        <w:tab/>
        <w:t>The CAP Officer will inform the AAT applicant, in writing, of the decision whether a matter raises a complex or novel legal issue and whether funds for the provision of legal services will be made available to the relevant Commission. The decision will be notified to the AAT applicant within</w:t>
      </w:r>
      <w:r w:rsidR="00D14189">
        <w:rPr>
          <w:rFonts w:cs="Arial"/>
          <w:color w:val="auto"/>
          <w:sz w:val="24"/>
          <w:szCs w:val="24"/>
        </w:rPr>
        <w:t xml:space="preserve"> 30 days</w:t>
      </w:r>
      <w:r w:rsidRPr="006670D6">
        <w:rPr>
          <w:rFonts w:cs="Arial"/>
          <w:color w:val="auto"/>
          <w:sz w:val="24"/>
          <w:szCs w:val="24"/>
        </w:rPr>
        <w:t xml:space="preserve"> of receipt of a referral. If additional time is considered necessary to make a decision, the CAP Officer will advise the AAT applicant of this and the extended timeframe for making a decision. Any dates that have been set by the AAT will also be taken into account where possible. </w:t>
      </w:r>
    </w:p>
    <w:p w:rsidR="00E6210C" w:rsidRPr="006670D6" w:rsidRDefault="00E6210C" w:rsidP="00D14189">
      <w:pPr>
        <w:spacing w:before="240" w:after="480"/>
        <w:ind w:left="720" w:hanging="720"/>
        <w:rPr>
          <w:rFonts w:cs="Arial"/>
          <w:color w:val="auto"/>
          <w:sz w:val="24"/>
          <w:szCs w:val="24"/>
        </w:rPr>
      </w:pPr>
      <w:r>
        <w:rPr>
          <w:rFonts w:cs="Arial"/>
          <w:color w:val="auto"/>
          <w:sz w:val="24"/>
          <w:szCs w:val="24"/>
        </w:rPr>
        <w:t>3.6</w:t>
      </w:r>
      <w:r>
        <w:rPr>
          <w:rFonts w:cs="Arial"/>
          <w:color w:val="auto"/>
          <w:sz w:val="24"/>
          <w:szCs w:val="24"/>
        </w:rPr>
        <w:tab/>
        <w:t xml:space="preserve">The CAP officer will inform the NDIA, AAT and the </w:t>
      </w:r>
      <w:r w:rsidR="00B70351">
        <w:rPr>
          <w:rFonts w:cs="Arial"/>
          <w:color w:val="auto"/>
          <w:sz w:val="24"/>
          <w:szCs w:val="24"/>
        </w:rPr>
        <w:t xml:space="preserve">AAT </w:t>
      </w:r>
      <w:r>
        <w:rPr>
          <w:rFonts w:cs="Arial"/>
          <w:color w:val="auto"/>
          <w:sz w:val="24"/>
          <w:szCs w:val="24"/>
        </w:rPr>
        <w:t>applicant’s E</w:t>
      </w:r>
      <w:r w:rsidR="00B70351">
        <w:rPr>
          <w:rFonts w:cs="Arial"/>
          <w:color w:val="auto"/>
          <w:sz w:val="24"/>
          <w:szCs w:val="24"/>
        </w:rPr>
        <w:t xml:space="preserve">xternal </w:t>
      </w:r>
      <w:r>
        <w:rPr>
          <w:rFonts w:cs="Arial"/>
          <w:color w:val="auto"/>
          <w:sz w:val="24"/>
          <w:szCs w:val="24"/>
        </w:rPr>
        <w:t>M</w:t>
      </w:r>
      <w:r w:rsidR="00B70351">
        <w:rPr>
          <w:rFonts w:cs="Arial"/>
          <w:color w:val="auto"/>
          <w:sz w:val="24"/>
          <w:szCs w:val="24"/>
        </w:rPr>
        <w:t xml:space="preserve">erits </w:t>
      </w:r>
      <w:r>
        <w:rPr>
          <w:rFonts w:cs="Arial"/>
          <w:color w:val="auto"/>
          <w:sz w:val="24"/>
          <w:szCs w:val="24"/>
        </w:rPr>
        <w:t>R</w:t>
      </w:r>
      <w:r w:rsidR="00B70351">
        <w:rPr>
          <w:rFonts w:cs="Arial"/>
          <w:color w:val="auto"/>
          <w:sz w:val="24"/>
          <w:szCs w:val="24"/>
        </w:rPr>
        <w:t>eview</w:t>
      </w:r>
      <w:r>
        <w:rPr>
          <w:rFonts w:cs="Arial"/>
          <w:color w:val="auto"/>
          <w:sz w:val="24"/>
          <w:szCs w:val="24"/>
        </w:rPr>
        <w:t xml:space="preserve"> Support Person, in writing, of the outcome of the application.</w:t>
      </w:r>
    </w:p>
    <w:p w:rsidR="006670D6" w:rsidRPr="00D14189" w:rsidRDefault="006670D6" w:rsidP="00D14189">
      <w:pPr>
        <w:pStyle w:val="Heading1"/>
        <w:pBdr>
          <w:bottom w:val="single" w:sz="4" w:space="1" w:color="auto"/>
        </w:pBdr>
        <w:rPr>
          <w:b/>
          <w:color w:val="auto"/>
          <w:sz w:val="24"/>
          <w:szCs w:val="24"/>
        </w:rPr>
      </w:pPr>
      <w:bookmarkStart w:id="7" w:name="_Toc430250255"/>
      <w:r w:rsidRPr="00D14189">
        <w:rPr>
          <w:b/>
          <w:color w:val="auto"/>
          <w:sz w:val="24"/>
          <w:szCs w:val="24"/>
        </w:rPr>
        <w:t>Part 4 -</w:t>
      </w:r>
      <w:r w:rsidRPr="00D14189">
        <w:rPr>
          <w:b/>
          <w:color w:val="auto"/>
          <w:sz w:val="24"/>
          <w:szCs w:val="24"/>
        </w:rPr>
        <w:tab/>
        <w:t>Complex or novel factors</w:t>
      </w:r>
      <w:bookmarkEnd w:id="7"/>
    </w:p>
    <w:p w:rsidR="006670D6" w:rsidRPr="006670D6" w:rsidRDefault="006670D6" w:rsidP="006F0911">
      <w:pPr>
        <w:spacing w:before="480" w:after="120"/>
        <w:ind w:left="720" w:hanging="720"/>
        <w:rPr>
          <w:rFonts w:cs="Arial"/>
          <w:color w:val="auto"/>
          <w:sz w:val="24"/>
          <w:szCs w:val="24"/>
        </w:rPr>
      </w:pPr>
      <w:r w:rsidRPr="006670D6">
        <w:rPr>
          <w:rFonts w:cs="Arial"/>
          <w:color w:val="auto"/>
          <w:sz w:val="24"/>
          <w:szCs w:val="24"/>
        </w:rPr>
        <w:t>4.1</w:t>
      </w:r>
      <w:r w:rsidRPr="006670D6">
        <w:rPr>
          <w:rFonts w:cs="Arial"/>
          <w:color w:val="auto"/>
          <w:sz w:val="24"/>
          <w:szCs w:val="24"/>
        </w:rPr>
        <w:tab/>
        <w:t xml:space="preserve">A CAP Officer may, subject to the consent of the AAT applicant (or his or her legal guardian), obtain information and documents </w:t>
      </w:r>
      <w:r w:rsidRPr="006670D6">
        <w:rPr>
          <w:rFonts w:cs="Arial"/>
          <w:color w:val="auto"/>
          <w:sz w:val="24"/>
          <w:szCs w:val="24"/>
        </w:rPr>
        <w:lastRenderedPageBreak/>
        <w:t>about the matter from</w:t>
      </w:r>
      <w:r w:rsidR="0053229F">
        <w:rPr>
          <w:rFonts w:cs="Arial"/>
          <w:color w:val="auto"/>
          <w:sz w:val="24"/>
          <w:szCs w:val="24"/>
        </w:rPr>
        <w:t xml:space="preserve"> the </w:t>
      </w:r>
      <w:r w:rsidRPr="006670D6">
        <w:rPr>
          <w:rFonts w:cs="Arial"/>
          <w:color w:val="auto"/>
          <w:sz w:val="24"/>
          <w:szCs w:val="24"/>
        </w:rPr>
        <w:t>NDIA for the purpose of assessing whether the matter raises a complex or novel legal issue.</w:t>
      </w:r>
    </w:p>
    <w:p w:rsidR="006670D6" w:rsidRPr="006670D6" w:rsidRDefault="006670D6" w:rsidP="006F0911">
      <w:pPr>
        <w:spacing w:before="240" w:after="120"/>
        <w:ind w:left="720" w:hanging="720"/>
        <w:rPr>
          <w:rFonts w:cs="Arial"/>
          <w:color w:val="auto"/>
          <w:sz w:val="24"/>
          <w:szCs w:val="24"/>
        </w:rPr>
      </w:pPr>
      <w:r w:rsidRPr="006670D6">
        <w:rPr>
          <w:rFonts w:cs="Arial"/>
          <w:color w:val="auto"/>
          <w:sz w:val="24"/>
          <w:szCs w:val="24"/>
        </w:rPr>
        <w:t>4.2</w:t>
      </w:r>
      <w:r w:rsidRPr="006670D6">
        <w:rPr>
          <w:rFonts w:cs="Arial"/>
          <w:color w:val="auto"/>
          <w:sz w:val="24"/>
          <w:szCs w:val="24"/>
        </w:rPr>
        <w:tab/>
        <w:t>The factors to which a CAP Officer may have regard in making a decision that a matter raises a complex or novel legal issue include, but are not limited to, the following</w:t>
      </w:r>
      <w:r w:rsidR="00C7778D">
        <w:rPr>
          <w:rFonts w:cs="Arial"/>
          <w:color w:val="auto"/>
          <w:sz w:val="24"/>
          <w:szCs w:val="24"/>
        </w:rPr>
        <w:t>:</w:t>
      </w:r>
    </w:p>
    <w:p w:rsidR="006670D6" w:rsidRPr="006670D6" w:rsidRDefault="006670D6" w:rsidP="007F7FCB">
      <w:pPr>
        <w:spacing w:before="240" w:after="120"/>
        <w:ind w:left="720" w:hanging="720"/>
        <w:rPr>
          <w:rFonts w:cs="Arial"/>
          <w:b/>
          <w:i/>
          <w:color w:val="auto"/>
          <w:sz w:val="24"/>
          <w:szCs w:val="24"/>
        </w:rPr>
      </w:pPr>
      <w:r w:rsidRPr="006670D6">
        <w:rPr>
          <w:rFonts w:cs="Arial"/>
          <w:color w:val="auto"/>
          <w:sz w:val="24"/>
          <w:szCs w:val="24"/>
        </w:rPr>
        <w:tab/>
      </w:r>
      <w:r w:rsidRPr="006670D6">
        <w:rPr>
          <w:rFonts w:cs="Arial"/>
          <w:b/>
          <w:i/>
          <w:color w:val="auto"/>
          <w:sz w:val="24"/>
          <w:szCs w:val="24"/>
        </w:rPr>
        <w:t xml:space="preserve">Factors relating to the </w:t>
      </w:r>
      <w:r w:rsidR="0053229F" w:rsidRPr="0053229F">
        <w:rPr>
          <w:rFonts w:cs="Arial"/>
          <w:b/>
          <w:i/>
          <w:color w:val="auto"/>
          <w:sz w:val="24"/>
          <w:szCs w:val="24"/>
        </w:rPr>
        <w:t>National Disability Insurance Scheme Act 2013 (NDIS Act)</w:t>
      </w:r>
      <w:r w:rsidRPr="006670D6">
        <w:rPr>
          <w:rFonts w:cs="Arial"/>
          <w:b/>
          <w:i/>
          <w:color w:val="auto"/>
          <w:sz w:val="24"/>
          <w:szCs w:val="24"/>
        </w:rPr>
        <w:t xml:space="preserve"> and rules</w:t>
      </w:r>
    </w:p>
    <w:p w:rsidR="006670D6" w:rsidRPr="006670D6" w:rsidRDefault="006670D6" w:rsidP="006F0911">
      <w:pPr>
        <w:widowControl/>
        <w:numPr>
          <w:ilvl w:val="0"/>
          <w:numId w:val="2"/>
        </w:numPr>
        <w:suppressAutoHyphens w:val="0"/>
        <w:autoSpaceDE/>
        <w:autoSpaceDN/>
        <w:adjustRightInd/>
        <w:spacing w:before="240" w:after="120"/>
        <w:textAlignment w:val="auto"/>
        <w:rPr>
          <w:rFonts w:cs="Arial"/>
          <w:color w:val="auto"/>
          <w:sz w:val="24"/>
          <w:szCs w:val="24"/>
        </w:rPr>
      </w:pPr>
      <w:r w:rsidRPr="006670D6">
        <w:rPr>
          <w:rFonts w:cs="Arial"/>
          <w:color w:val="auto"/>
          <w:sz w:val="24"/>
          <w:szCs w:val="24"/>
        </w:rPr>
        <w:t xml:space="preserve">Whether interpretation of a provision under NDIS Act, or rules made under the NDIS Act (rules): </w:t>
      </w:r>
    </w:p>
    <w:p w:rsidR="006670D6" w:rsidRPr="006670D6" w:rsidRDefault="006670D6" w:rsidP="006F0911">
      <w:pPr>
        <w:widowControl/>
        <w:numPr>
          <w:ilvl w:val="0"/>
          <w:numId w:val="3"/>
        </w:numPr>
        <w:suppressAutoHyphens w:val="0"/>
        <w:autoSpaceDE/>
        <w:autoSpaceDN/>
        <w:adjustRightInd/>
        <w:spacing w:before="240" w:after="120"/>
        <w:textAlignment w:val="auto"/>
        <w:rPr>
          <w:rFonts w:cs="Arial"/>
          <w:color w:val="auto"/>
          <w:sz w:val="24"/>
          <w:szCs w:val="24"/>
        </w:rPr>
      </w:pPr>
      <w:r w:rsidRPr="006670D6">
        <w:rPr>
          <w:rFonts w:cs="Arial"/>
          <w:color w:val="auto"/>
          <w:sz w:val="24"/>
          <w:szCs w:val="24"/>
        </w:rPr>
        <w:t>has been considered and fully addressed by the AAT or a court;</w:t>
      </w:r>
    </w:p>
    <w:p w:rsidR="006670D6" w:rsidRPr="006670D6" w:rsidRDefault="006670D6" w:rsidP="006F0911">
      <w:pPr>
        <w:widowControl/>
        <w:numPr>
          <w:ilvl w:val="0"/>
          <w:numId w:val="3"/>
        </w:numPr>
        <w:suppressAutoHyphens w:val="0"/>
        <w:autoSpaceDE/>
        <w:autoSpaceDN/>
        <w:adjustRightInd/>
        <w:spacing w:before="240" w:after="120"/>
        <w:textAlignment w:val="auto"/>
        <w:rPr>
          <w:rFonts w:cs="Arial"/>
          <w:color w:val="auto"/>
          <w:sz w:val="24"/>
          <w:szCs w:val="24"/>
        </w:rPr>
      </w:pPr>
      <w:r w:rsidRPr="006670D6">
        <w:rPr>
          <w:rFonts w:cs="Arial"/>
          <w:color w:val="auto"/>
          <w:sz w:val="24"/>
          <w:szCs w:val="24"/>
        </w:rPr>
        <w:t>is not comparable to another provision that has been considered and fully addressed by the AAT or a court;</w:t>
      </w:r>
    </w:p>
    <w:p w:rsidR="006670D6" w:rsidRPr="006670D6" w:rsidRDefault="006670D6" w:rsidP="006F0911">
      <w:pPr>
        <w:widowControl/>
        <w:numPr>
          <w:ilvl w:val="0"/>
          <w:numId w:val="3"/>
        </w:numPr>
        <w:suppressAutoHyphens w:val="0"/>
        <w:autoSpaceDE/>
        <w:autoSpaceDN/>
        <w:adjustRightInd/>
        <w:spacing w:after="120"/>
        <w:textAlignment w:val="auto"/>
        <w:rPr>
          <w:rFonts w:cs="Arial"/>
          <w:color w:val="auto"/>
          <w:sz w:val="24"/>
          <w:szCs w:val="24"/>
        </w:rPr>
      </w:pPr>
      <w:proofErr w:type="gramStart"/>
      <w:r w:rsidRPr="006670D6">
        <w:rPr>
          <w:rFonts w:cs="Arial"/>
          <w:color w:val="auto"/>
          <w:sz w:val="24"/>
          <w:szCs w:val="24"/>
        </w:rPr>
        <w:t>is</w:t>
      </w:r>
      <w:proofErr w:type="gramEnd"/>
      <w:r w:rsidRPr="006670D6">
        <w:rPr>
          <w:rFonts w:cs="Arial"/>
          <w:color w:val="auto"/>
          <w:sz w:val="24"/>
          <w:szCs w:val="24"/>
        </w:rPr>
        <w:t xml:space="preserve"> not well understood or does not have an obvious meaning, including where there is ambiguity.</w:t>
      </w:r>
    </w:p>
    <w:p w:rsidR="006670D6" w:rsidRPr="006670D6" w:rsidRDefault="006670D6" w:rsidP="006F0911">
      <w:pPr>
        <w:widowControl/>
        <w:numPr>
          <w:ilvl w:val="0"/>
          <w:numId w:val="2"/>
        </w:numPr>
        <w:suppressAutoHyphens w:val="0"/>
        <w:autoSpaceDE/>
        <w:autoSpaceDN/>
        <w:adjustRightInd/>
        <w:spacing w:after="120"/>
        <w:textAlignment w:val="auto"/>
        <w:rPr>
          <w:rFonts w:cs="Arial"/>
          <w:color w:val="auto"/>
          <w:sz w:val="24"/>
          <w:szCs w:val="24"/>
        </w:rPr>
      </w:pPr>
      <w:r w:rsidRPr="006670D6">
        <w:rPr>
          <w:rFonts w:cs="Arial"/>
          <w:color w:val="auto"/>
          <w:sz w:val="24"/>
          <w:szCs w:val="24"/>
        </w:rPr>
        <w:t>The evidence base (including where there is limited or no evidence base) in relation to a disability, therapy or support.</w:t>
      </w:r>
    </w:p>
    <w:p w:rsidR="006670D6" w:rsidRPr="006670D6" w:rsidRDefault="006670D6" w:rsidP="006F0911">
      <w:pPr>
        <w:spacing w:before="240" w:after="240"/>
        <w:ind w:left="720"/>
        <w:rPr>
          <w:rFonts w:cs="Arial"/>
          <w:b/>
          <w:i/>
          <w:color w:val="auto"/>
          <w:sz w:val="24"/>
          <w:szCs w:val="24"/>
        </w:rPr>
      </w:pPr>
      <w:r w:rsidRPr="006670D6">
        <w:rPr>
          <w:rFonts w:cs="Arial"/>
          <w:b/>
          <w:i/>
          <w:color w:val="auto"/>
          <w:sz w:val="24"/>
          <w:szCs w:val="24"/>
        </w:rPr>
        <w:t>Factors relating to the administration of the national disability insurance scheme</w:t>
      </w:r>
    </w:p>
    <w:p w:rsidR="006670D6" w:rsidRPr="006670D6" w:rsidRDefault="006670D6" w:rsidP="006F0911">
      <w:pPr>
        <w:widowControl/>
        <w:numPr>
          <w:ilvl w:val="0"/>
          <w:numId w:val="2"/>
        </w:numPr>
        <w:suppressAutoHyphens w:val="0"/>
        <w:autoSpaceDE/>
        <w:autoSpaceDN/>
        <w:adjustRightInd/>
        <w:spacing w:after="120"/>
        <w:textAlignment w:val="auto"/>
        <w:rPr>
          <w:rFonts w:cs="Arial"/>
          <w:color w:val="auto"/>
          <w:sz w:val="24"/>
          <w:szCs w:val="24"/>
        </w:rPr>
      </w:pPr>
      <w:r w:rsidRPr="006670D6">
        <w:rPr>
          <w:rFonts w:cs="Arial"/>
          <w:color w:val="auto"/>
          <w:sz w:val="24"/>
          <w:szCs w:val="24"/>
        </w:rPr>
        <w:t>Whether a decision in relation to the matter:</w:t>
      </w:r>
    </w:p>
    <w:p w:rsidR="006670D6" w:rsidRPr="006670D6" w:rsidRDefault="006670D6" w:rsidP="006F0911">
      <w:pPr>
        <w:widowControl/>
        <w:numPr>
          <w:ilvl w:val="1"/>
          <w:numId w:val="2"/>
        </w:numPr>
        <w:suppressAutoHyphens w:val="0"/>
        <w:autoSpaceDE/>
        <w:autoSpaceDN/>
        <w:adjustRightInd/>
        <w:spacing w:after="120"/>
        <w:textAlignment w:val="auto"/>
        <w:rPr>
          <w:rFonts w:cs="Arial"/>
          <w:color w:val="auto"/>
          <w:sz w:val="24"/>
          <w:szCs w:val="24"/>
        </w:rPr>
      </w:pPr>
      <w:r w:rsidRPr="006670D6">
        <w:rPr>
          <w:rFonts w:cs="Arial"/>
          <w:color w:val="auto"/>
          <w:sz w:val="24"/>
          <w:szCs w:val="24"/>
        </w:rPr>
        <w:t>will clarify an uncertain or contentious area of law in relation to the NDIS Act or rules;</w:t>
      </w:r>
    </w:p>
    <w:p w:rsidR="006670D6" w:rsidRPr="006670D6" w:rsidRDefault="006670D6" w:rsidP="006F0911">
      <w:pPr>
        <w:widowControl/>
        <w:numPr>
          <w:ilvl w:val="1"/>
          <w:numId w:val="2"/>
        </w:numPr>
        <w:suppressAutoHyphens w:val="0"/>
        <w:autoSpaceDE/>
        <w:autoSpaceDN/>
        <w:adjustRightInd/>
        <w:spacing w:after="120"/>
        <w:textAlignment w:val="auto"/>
        <w:rPr>
          <w:rFonts w:cs="Arial"/>
          <w:color w:val="auto"/>
          <w:sz w:val="24"/>
          <w:szCs w:val="24"/>
        </w:rPr>
      </w:pPr>
      <w:r w:rsidRPr="006670D6">
        <w:rPr>
          <w:rFonts w:cs="Arial"/>
          <w:color w:val="auto"/>
          <w:sz w:val="24"/>
          <w:szCs w:val="24"/>
        </w:rPr>
        <w:t>will resolve an important question of law arising under the NDIS Act or rules;</w:t>
      </w:r>
    </w:p>
    <w:p w:rsidR="006670D6" w:rsidRPr="006670D6" w:rsidRDefault="006670D6" w:rsidP="006F0911">
      <w:pPr>
        <w:widowControl/>
        <w:numPr>
          <w:ilvl w:val="1"/>
          <w:numId w:val="2"/>
        </w:numPr>
        <w:suppressAutoHyphens w:val="0"/>
        <w:autoSpaceDE/>
        <w:autoSpaceDN/>
        <w:adjustRightInd/>
        <w:spacing w:after="120"/>
        <w:textAlignment w:val="auto"/>
        <w:rPr>
          <w:rFonts w:cs="Arial"/>
          <w:color w:val="auto"/>
          <w:sz w:val="24"/>
          <w:szCs w:val="24"/>
        </w:rPr>
      </w:pPr>
      <w:r w:rsidRPr="006670D6">
        <w:rPr>
          <w:rFonts w:cs="Arial"/>
          <w:color w:val="auto"/>
          <w:sz w:val="24"/>
          <w:szCs w:val="24"/>
        </w:rPr>
        <w:t xml:space="preserve">is likely to result in improvements or beneficial changes to the administration of the </w:t>
      </w:r>
      <w:r w:rsidR="00D14189">
        <w:rPr>
          <w:rFonts w:cs="Arial"/>
          <w:color w:val="auto"/>
          <w:sz w:val="24"/>
          <w:szCs w:val="24"/>
        </w:rPr>
        <w:t>NDIS;</w:t>
      </w:r>
    </w:p>
    <w:p w:rsidR="006670D6" w:rsidRPr="006670D6" w:rsidRDefault="006670D6" w:rsidP="006F0911">
      <w:pPr>
        <w:widowControl/>
        <w:numPr>
          <w:ilvl w:val="1"/>
          <w:numId w:val="2"/>
        </w:numPr>
        <w:suppressAutoHyphens w:val="0"/>
        <w:autoSpaceDE/>
        <w:autoSpaceDN/>
        <w:adjustRightInd/>
        <w:spacing w:after="120"/>
        <w:textAlignment w:val="auto"/>
        <w:rPr>
          <w:rFonts w:cs="Arial"/>
          <w:color w:val="auto"/>
          <w:sz w:val="24"/>
          <w:szCs w:val="24"/>
        </w:rPr>
      </w:pPr>
      <w:proofErr w:type="gramStart"/>
      <w:r w:rsidRPr="006670D6">
        <w:rPr>
          <w:rFonts w:cs="Arial"/>
          <w:color w:val="auto"/>
          <w:sz w:val="24"/>
          <w:szCs w:val="24"/>
        </w:rPr>
        <w:t>is</w:t>
      </w:r>
      <w:proofErr w:type="gramEnd"/>
      <w:r w:rsidRPr="006670D6">
        <w:rPr>
          <w:rFonts w:cs="Arial"/>
          <w:color w:val="auto"/>
          <w:sz w:val="24"/>
          <w:szCs w:val="24"/>
        </w:rPr>
        <w:t xml:space="preserve"> likely to affect a significant number of participants in the </w:t>
      </w:r>
      <w:r w:rsidR="00D14189">
        <w:rPr>
          <w:rFonts w:cs="Arial"/>
          <w:color w:val="auto"/>
          <w:sz w:val="24"/>
          <w:szCs w:val="24"/>
        </w:rPr>
        <w:t>NDIS.</w:t>
      </w:r>
    </w:p>
    <w:p w:rsidR="006670D6" w:rsidRPr="006670D6" w:rsidRDefault="006670D6" w:rsidP="006F0911">
      <w:pPr>
        <w:spacing w:before="240" w:after="120"/>
        <w:ind w:firstLine="720"/>
        <w:rPr>
          <w:rFonts w:cs="Arial"/>
          <w:b/>
          <w:i/>
          <w:color w:val="auto"/>
          <w:sz w:val="24"/>
          <w:szCs w:val="24"/>
        </w:rPr>
      </w:pPr>
      <w:r w:rsidRPr="006670D6">
        <w:rPr>
          <w:rFonts w:cs="Arial"/>
          <w:b/>
          <w:i/>
          <w:color w:val="auto"/>
          <w:sz w:val="24"/>
          <w:szCs w:val="24"/>
        </w:rPr>
        <w:t>Other considerations</w:t>
      </w:r>
    </w:p>
    <w:p w:rsidR="006670D6" w:rsidRPr="006670D6" w:rsidRDefault="006670D6" w:rsidP="006F0911">
      <w:pPr>
        <w:widowControl/>
        <w:numPr>
          <w:ilvl w:val="0"/>
          <w:numId w:val="2"/>
        </w:numPr>
        <w:suppressAutoHyphens w:val="0"/>
        <w:autoSpaceDE/>
        <w:autoSpaceDN/>
        <w:adjustRightInd/>
        <w:spacing w:before="240" w:after="120"/>
        <w:ind w:left="1077" w:hanging="357"/>
        <w:textAlignment w:val="auto"/>
        <w:rPr>
          <w:rFonts w:cs="Arial"/>
          <w:color w:val="auto"/>
          <w:sz w:val="24"/>
          <w:szCs w:val="24"/>
        </w:rPr>
      </w:pPr>
      <w:r w:rsidRPr="006670D6">
        <w:rPr>
          <w:rFonts w:cs="Arial"/>
          <w:color w:val="auto"/>
          <w:sz w:val="24"/>
          <w:szCs w:val="24"/>
        </w:rPr>
        <w:t>In considering whether an AAT decision in relation to a matter will settle an uncertain or contentious area of law or resolve an important question arising under the NDIS Act or rules, a CAP Officer may have regard to relevant available supporting information including:</w:t>
      </w:r>
    </w:p>
    <w:p w:rsidR="006670D6" w:rsidRPr="006670D6" w:rsidRDefault="006670D6" w:rsidP="006F0911">
      <w:pPr>
        <w:widowControl/>
        <w:numPr>
          <w:ilvl w:val="1"/>
          <w:numId w:val="2"/>
        </w:numPr>
        <w:suppressAutoHyphens w:val="0"/>
        <w:autoSpaceDE/>
        <w:autoSpaceDN/>
        <w:adjustRightInd/>
        <w:spacing w:after="120"/>
        <w:textAlignment w:val="auto"/>
        <w:rPr>
          <w:rFonts w:cs="Arial"/>
          <w:color w:val="auto"/>
          <w:sz w:val="24"/>
          <w:szCs w:val="24"/>
        </w:rPr>
      </w:pPr>
      <w:r w:rsidRPr="006670D6">
        <w:rPr>
          <w:rFonts w:cs="Arial"/>
          <w:color w:val="auto"/>
          <w:sz w:val="24"/>
          <w:szCs w:val="24"/>
        </w:rPr>
        <w:t>any views of the applicant set out in the Referral for Assessment of Complex or Novel Legal Issues;</w:t>
      </w:r>
    </w:p>
    <w:p w:rsidR="006670D6" w:rsidRPr="006670D6" w:rsidRDefault="006670D6" w:rsidP="006F0911">
      <w:pPr>
        <w:widowControl/>
        <w:numPr>
          <w:ilvl w:val="1"/>
          <w:numId w:val="2"/>
        </w:numPr>
        <w:suppressAutoHyphens w:val="0"/>
        <w:autoSpaceDE/>
        <w:autoSpaceDN/>
        <w:adjustRightInd/>
        <w:spacing w:after="120"/>
        <w:textAlignment w:val="auto"/>
        <w:rPr>
          <w:rFonts w:cs="Arial"/>
          <w:color w:val="auto"/>
          <w:sz w:val="24"/>
          <w:szCs w:val="24"/>
        </w:rPr>
      </w:pPr>
      <w:r w:rsidRPr="006670D6">
        <w:rPr>
          <w:rFonts w:cs="Arial"/>
          <w:color w:val="auto"/>
          <w:sz w:val="24"/>
          <w:szCs w:val="24"/>
        </w:rPr>
        <w:lastRenderedPageBreak/>
        <w:t>the views of relevant State or Territory government agencies;</w:t>
      </w:r>
    </w:p>
    <w:p w:rsidR="006670D6" w:rsidRPr="006670D6" w:rsidRDefault="006670D6" w:rsidP="006F0911">
      <w:pPr>
        <w:widowControl/>
        <w:numPr>
          <w:ilvl w:val="1"/>
          <w:numId w:val="2"/>
        </w:numPr>
        <w:suppressAutoHyphens w:val="0"/>
        <w:autoSpaceDE/>
        <w:autoSpaceDN/>
        <w:adjustRightInd/>
        <w:spacing w:after="120"/>
        <w:textAlignment w:val="auto"/>
        <w:rPr>
          <w:rFonts w:cs="Arial"/>
          <w:color w:val="auto"/>
          <w:sz w:val="24"/>
          <w:szCs w:val="24"/>
        </w:rPr>
      </w:pPr>
      <w:proofErr w:type="gramStart"/>
      <w:r w:rsidRPr="006670D6">
        <w:rPr>
          <w:rFonts w:cs="Arial"/>
          <w:color w:val="auto"/>
          <w:sz w:val="24"/>
          <w:szCs w:val="24"/>
        </w:rPr>
        <w:t>a</w:t>
      </w:r>
      <w:proofErr w:type="gramEnd"/>
      <w:r w:rsidRPr="006670D6">
        <w:rPr>
          <w:rFonts w:cs="Arial"/>
          <w:color w:val="auto"/>
          <w:sz w:val="24"/>
          <w:szCs w:val="24"/>
        </w:rPr>
        <w:t xml:space="preserve"> report of a Parliamentary Committee, commission of inquiry or group with a special interest in the law.</w:t>
      </w:r>
    </w:p>
    <w:p w:rsidR="006670D6" w:rsidRPr="006670D6" w:rsidRDefault="006670D6" w:rsidP="006F0911">
      <w:pPr>
        <w:widowControl/>
        <w:numPr>
          <w:ilvl w:val="0"/>
          <w:numId w:val="2"/>
        </w:numPr>
        <w:suppressAutoHyphens w:val="0"/>
        <w:autoSpaceDE/>
        <w:autoSpaceDN/>
        <w:adjustRightInd/>
        <w:spacing w:before="240" w:after="120"/>
        <w:ind w:left="1077" w:hanging="357"/>
        <w:textAlignment w:val="auto"/>
        <w:rPr>
          <w:rFonts w:cs="Arial"/>
          <w:color w:val="auto"/>
          <w:sz w:val="24"/>
          <w:szCs w:val="24"/>
        </w:rPr>
      </w:pPr>
      <w:r w:rsidRPr="006670D6">
        <w:rPr>
          <w:rFonts w:cs="Arial"/>
          <w:color w:val="auto"/>
          <w:sz w:val="24"/>
          <w:szCs w:val="24"/>
        </w:rPr>
        <w:t>The merit of a matter is not determinative of whether it raises a complex or novel legal issue. However, a CAP Officer must have regard to whether the appeal is frivolous or raises only speculative arguments and whether the matter is likely to proceed to hearing.</w:t>
      </w:r>
    </w:p>
    <w:p w:rsidR="00F63846" w:rsidRDefault="006670D6" w:rsidP="007F7FCB">
      <w:pPr>
        <w:widowControl/>
        <w:numPr>
          <w:ilvl w:val="0"/>
          <w:numId w:val="2"/>
        </w:numPr>
        <w:suppressAutoHyphens w:val="0"/>
        <w:autoSpaceDE/>
        <w:autoSpaceDN/>
        <w:adjustRightInd/>
        <w:spacing w:before="240" w:after="120"/>
        <w:ind w:left="1077" w:hanging="357"/>
        <w:textAlignment w:val="auto"/>
        <w:rPr>
          <w:rFonts w:cs="Arial"/>
          <w:color w:val="auto"/>
          <w:sz w:val="24"/>
          <w:szCs w:val="24"/>
        </w:rPr>
      </w:pPr>
      <w:r w:rsidRPr="00C7778D">
        <w:rPr>
          <w:rFonts w:cs="Arial"/>
          <w:color w:val="auto"/>
          <w:sz w:val="24"/>
          <w:szCs w:val="24"/>
        </w:rPr>
        <w:t>The CAP Officer may decide the weight to be given to relevant factors.</w:t>
      </w:r>
      <w:r w:rsidRPr="006670D6">
        <w:rPr>
          <w:rFonts w:cs="Arial"/>
          <w:color w:val="auto"/>
          <w:sz w:val="24"/>
          <w:szCs w:val="24"/>
        </w:rPr>
        <w:t xml:space="preserve"> </w:t>
      </w:r>
    </w:p>
    <w:p w:rsidR="00F63846" w:rsidRPr="007F7FCB" w:rsidRDefault="00F63846" w:rsidP="007F7FCB"/>
    <w:p w:rsidR="00F63846" w:rsidRDefault="00F63846" w:rsidP="00D14189">
      <w:pPr>
        <w:pStyle w:val="Heading1"/>
        <w:pBdr>
          <w:bottom w:val="single" w:sz="4" w:space="1" w:color="auto"/>
        </w:pBdr>
        <w:rPr>
          <w:b/>
          <w:color w:val="auto"/>
          <w:sz w:val="24"/>
          <w:szCs w:val="24"/>
        </w:rPr>
      </w:pPr>
      <w:bookmarkStart w:id="8" w:name="_Toc430250256"/>
      <w:r>
        <w:rPr>
          <w:b/>
          <w:color w:val="auto"/>
          <w:sz w:val="24"/>
          <w:szCs w:val="24"/>
        </w:rPr>
        <w:t>Part 5 -</w:t>
      </w:r>
      <w:r>
        <w:rPr>
          <w:b/>
          <w:color w:val="auto"/>
          <w:sz w:val="24"/>
          <w:szCs w:val="24"/>
        </w:rPr>
        <w:tab/>
        <w:t>Financial considerations</w:t>
      </w:r>
      <w:bookmarkEnd w:id="8"/>
    </w:p>
    <w:p w:rsidR="005D2372" w:rsidRDefault="00F63846" w:rsidP="007F7FCB">
      <w:pPr>
        <w:spacing w:before="480" w:after="120"/>
        <w:ind w:left="720" w:hanging="720"/>
        <w:rPr>
          <w:rFonts w:cs="Arial"/>
          <w:color w:val="auto"/>
          <w:sz w:val="24"/>
          <w:szCs w:val="24"/>
        </w:rPr>
      </w:pPr>
      <w:r>
        <w:rPr>
          <w:rFonts w:cs="Arial"/>
          <w:color w:val="auto"/>
          <w:sz w:val="24"/>
          <w:szCs w:val="24"/>
        </w:rPr>
        <w:t>5.1</w:t>
      </w:r>
      <w:r>
        <w:rPr>
          <w:rFonts w:cs="Arial"/>
          <w:color w:val="auto"/>
          <w:sz w:val="24"/>
          <w:szCs w:val="24"/>
        </w:rPr>
        <w:tab/>
        <w:t xml:space="preserve">When deciding whether to give financial approval for referral of a matter, </w:t>
      </w:r>
      <w:r w:rsidR="005D2372">
        <w:rPr>
          <w:rFonts w:cs="Arial"/>
          <w:color w:val="auto"/>
          <w:sz w:val="24"/>
          <w:szCs w:val="24"/>
        </w:rPr>
        <w:t xml:space="preserve">the DSS delegate will comply with all obligations under the </w:t>
      </w:r>
      <w:r w:rsidR="005D2372" w:rsidRPr="005D2372">
        <w:rPr>
          <w:rFonts w:cs="Arial"/>
          <w:i/>
          <w:iCs/>
          <w:color w:val="auto"/>
          <w:sz w:val="24"/>
          <w:szCs w:val="24"/>
          <w:lang w:val="en-AU"/>
        </w:rPr>
        <w:t>Public Governance, Performance and Accountability Act 2013</w:t>
      </w:r>
      <w:r w:rsidR="005D2372">
        <w:rPr>
          <w:rFonts w:cs="Arial"/>
          <w:i/>
          <w:iCs/>
          <w:color w:val="auto"/>
          <w:sz w:val="24"/>
          <w:szCs w:val="24"/>
          <w:lang w:val="en-AU"/>
        </w:rPr>
        <w:t>.</w:t>
      </w:r>
    </w:p>
    <w:p w:rsidR="00F63846" w:rsidRPr="006670D6" w:rsidRDefault="005D2372" w:rsidP="007F7FCB">
      <w:pPr>
        <w:spacing w:before="480" w:after="120"/>
        <w:ind w:left="720" w:hanging="720"/>
        <w:rPr>
          <w:rFonts w:cs="Arial"/>
          <w:color w:val="auto"/>
          <w:sz w:val="24"/>
          <w:szCs w:val="24"/>
        </w:rPr>
      </w:pPr>
      <w:r>
        <w:rPr>
          <w:rFonts w:cs="Arial"/>
          <w:color w:val="auto"/>
          <w:sz w:val="24"/>
          <w:szCs w:val="24"/>
        </w:rPr>
        <w:t>5.2</w:t>
      </w:r>
      <w:r>
        <w:rPr>
          <w:rFonts w:cs="Arial"/>
          <w:color w:val="auto"/>
          <w:sz w:val="24"/>
          <w:szCs w:val="24"/>
        </w:rPr>
        <w:tab/>
        <w:t>T</w:t>
      </w:r>
      <w:r w:rsidR="00F63846" w:rsidRPr="006670D6">
        <w:rPr>
          <w:rFonts w:cs="Arial"/>
          <w:color w:val="auto"/>
          <w:sz w:val="24"/>
          <w:szCs w:val="24"/>
        </w:rPr>
        <w:t xml:space="preserve">he </w:t>
      </w:r>
      <w:r w:rsidR="00F63846">
        <w:rPr>
          <w:rFonts w:cs="Arial"/>
          <w:color w:val="auto"/>
          <w:sz w:val="24"/>
          <w:szCs w:val="24"/>
        </w:rPr>
        <w:t xml:space="preserve">DSS delegate, with input from the </w:t>
      </w:r>
      <w:r w:rsidR="00F63846" w:rsidRPr="006670D6">
        <w:rPr>
          <w:rFonts w:cs="Arial"/>
          <w:color w:val="auto"/>
          <w:sz w:val="24"/>
          <w:szCs w:val="24"/>
        </w:rPr>
        <w:t xml:space="preserve">CAP Officer </w:t>
      </w:r>
      <w:r w:rsidR="00F63846">
        <w:rPr>
          <w:rFonts w:cs="Arial"/>
          <w:color w:val="auto"/>
          <w:sz w:val="24"/>
          <w:szCs w:val="24"/>
        </w:rPr>
        <w:t xml:space="preserve">as appropriate, </w:t>
      </w:r>
      <w:r w:rsidR="00F63846" w:rsidRPr="006670D6">
        <w:rPr>
          <w:rFonts w:cs="Arial"/>
          <w:color w:val="auto"/>
          <w:sz w:val="24"/>
          <w:szCs w:val="24"/>
        </w:rPr>
        <w:t>may have regard to financial considerations including, but not limited to, the following:</w:t>
      </w:r>
    </w:p>
    <w:p w:rsidR="00F63846" w:rsidRPr="006670D6" w:rsidRDefault="00F63846" w:rsidP="007F7FCB">
      <w:pPr>
        <w:widowControl/>
        <w:numPr>
          <w:ilvl w:val="0"/>
          <w:numId w:val="7"/>
        </w:numPr>
        <w:suppressAutoHyphens w:val="0"/>
        <w:autoSpaceDE/>
        <w:autoSpaceDN/>
        <w:adjustRightInd/>
        <w:spacing w:before="240" w:after="120"/>
        <w:textAlignment w:val="auto"/>
        <w:rPr>
          <w:rFonts w:cs="Arial"/>
          <w:color w:val="auto"/>
          <w:sz w:val="24"/>
          <w:szCs w:val="24"/>
        </w:rPr>
      </w:pPr>
      <w:r w:rsidRPr="006670D6">
        <w:rPr>
          <w:rFonts w:cs="Arial"/>
          <w:color w:val="auto"/>
          <w:sz w:val="24"/>
          <w:szCs w:val="24"/>
        </w:rPr>
        <w:t>the availability of funds, in any given year, under the relevant appropriation;</w:t>
      </w:r>
    </w:p>
    <w:p w:rsidR="00F63846" w:rsidRPr="006670D6" w:rsidRDefault="00F63846" w:rsidP="007F7FCB">
      <w:pPr>
        <w:widowControl/>
        <w:numPr>
          <w:ilvl w:val="0"/>
          <w:numId w:val="7"/>
        </w:numPr>
        <w:suppressAutoHyphens w:val="0"/>
        <w:autoSpaceDE/>
        <w:autoSpaceDN/>
        <w:adjustRightInd/>
        <w:spacing w:before="240" w:after="120"/>
        <w:ind w:left="1077" w:hanging="357"/>
        <w:textAlignment w:val="auto"/>
        <w:rPr>
          <w:rFonts w:cs="Arial"/>
          <w:color w:val="auto"/>
          <w:sz w:val="24"/>
          <w:szCs w:val="24"/>
        </w:rPr>
      </w:pPr>
      <w:r w:rsidRPr="006670D6">
        <w:rPr>
          <w:rFonts w:cs="Arial"/>
          <w:color w:val="auto"/>
          <w:sz w:val="24"/>
          <w:szCs w:val="24"/>
        </w:rPr>
        <w:t>the number and relative merits of other matters referred to the CAP for assessment and funding from the relevant appropriation;</w:t>
      </w:r>
    </w:p>
    <w:p w:rsidR="00F63846" w:rsidRPr="006670D6" w:rsidRDefault="00F63846" w:rsidP="007F7FCB">
      <w:pPr>
        <w:widowControl/>
        <w:numPr>
          <w:ilvl w:val="0"/>
          <w:numId w:val="7"/>
        </w:numPr>
        <w:suppressAutoHyphens w:val="0"/>
        <w:autoSpaceDE/>
        <w:autoSpaceDN/>
        <w:adjustRightInd/>
        <w:spacing w:before="240" w:after="120"/>
        <w:ind w:left="1077" w:hanging="357"/>
        <w:textAlignment w:val="auto"/>
        <w:rPr>
          <w:rFonts w:cs="Arial"/>
          <w:color w:val="auto"/>
          <w:sz w:val="24"/>
          <w:szCs w:val="24"/>
        </w:rPr>
      </w:pPr>
      <w:proofErr w:type="gramStart"/>
      <w:r w:rsidRPr="006670D6">
        <w:rPr>
          <w:rFonts w:cs="Arial"/>
          <w:color w:val="auto"/>
          <w:sz w:val="24"/>
          <w:szCs w:val="24"/>
        </w:rPr>
        <w:t>the</w:t>
      </w:r>
      <w:proofErr w:type="gramEnd"/>
      <w:r w:rsidRPr="006670D6">
        <w:rPr>
          <w:rFonts w:cs="Arial"/>
          <w:color w:val="auto"/>
          <w:sz w:val="24"/>
          <w:szCs w:val="24"/>
        </w:rPr>
        <w:t xml:space="preserve"> number and relative merits of matters likely to be funded from the relevant appropriation.</w:t>
      </w:r>
    </w:p>
    <w:p w:rsidR="00F63846" w:rsidRPr="007F7FCB" w:rsidRDefault="00F63846" w:rsidP="007F7FCB"/>
    <w:p w:rsidR="006670D6" w:rsidRPr="00D14189" w:rsidRDefault="006670D6" w:rsidP="00D14189">
      <w:pPr>
        <w:pStyle w:val="Heading1"/>
        <w:pBdr>
          <w:bottom w:val="single" w:sz="4" w:space="1" w:color="auto"/>
        </w:pBdr>
        <w:rPr>
          <w:b/>
          <w:color w:val="auto"/>
          <w:sz w:val="24"/>
          <w:szCs w:val="24"/>
        </w:rPr>
      </w:pPr>
      <w:bookmarkStart w:id="9" w:name="_Toc430250257"/>
      <w:r w:rsidRPr="00D14189">
        <w:rPr>
          <w:b/>
          <w:color w:val="auto"/>
          <w:sz w:val="24"/>
          <w:szCs w:val="24"/>
        </w:rPr>
        <w:t xml:space="preserve">Part </w:t>
      </w:r>
      <w:r w:rsidR="00F63846">
        <w:rPr>
          <w:b/>
          <w:color w:val="auto"/>
          <w:sz w:val="24"/>
          <w:szCs w:val="24"/>
        </w:rPr>
        <w:t>6</w:t>
      </w:r>
      <w:r w:rsidRPr="00D14189">
        <w:rPr>
          <w:b/>
          <w:color w:val="auto"/>
          <w:sz w:val="24"/>
          <w:szCs w:val="24"/>
        </w:rPr>
        <w:t xml:space="preserve"> -</w:t>
      </w:r>
      <w:r w:rsidRPr="00D14189">
        <w:rPr>
          <w:b/>
          <w:color w:val="auto"/>
          <w:sz w:val="24"/>
          <w:szCs w:val="24"/>
        </w:rPr>
        <w:tab/>
        <w:t>Review of CAP decisions</w:t>
      </w:r>
      <w:bookmarkEnd w:id="9"/>
    </w:p>
    <w:p w:rsidR="006670D6" w:rsidRPr="006670D6" w:rsidRDefault="00F63846" w:rsidP="006F0911">
      <w:pPr>
        <w:spacing w:before="480" w:after="120"/>
        <w:ind w:left="720" w:hanging="720"/>
        <w:rPr>
          <w:rFonts w:cs="Arial"/>
          <w:color w:val="auto"/>
          <w:sz w:val="24"/>
          <w:szCs w:val="24"/>
        </w:rPr>
      </w:pPr>
      <w:r>
        <w:rPr>
          <w:rFonts w:cs="Arial"/>
          <w:color w:val="auto"/>
          <w:sz w:val="24"/>
          <w:szCs w:val="24"/>
        </w:rPr>
        <w:t>6</w:t>
      </w:r>
      <w:r w:rsidR="006670D6" w:rsidRPr="006670D6">
        <w:rPr>
          <w:rFonts w:cs="Arial"/>
          <w:color w:val="auto"/>
          <w:sz w:val="24"/>
          <w:szCs w:val="24"/>
        </w:rPr>
        <w:t>.1</w:t>
      </w:r>
      <w:r w:rsidR="006670D6" w:rsidRPr="006670D6">
        <w:rPr>
          <w:rFonts w:cs="Arial"/>
          <w:color w:val="auto"/>
          <w:sz w:val="24"/>
          <w:szCs w:val="24"/>
        </w:rPr>
        <w:tab/>
        <w:t xml:space="preserve">A decision that a case does or does not raise a complex or novel legal issue is not a decision under the </w:t>
      </w:r>
      <w:r w:rsidR="006670D6" w:rsidRPr="006670D6">
        <w:rPr>
          <w:rFonts w:cs="Arial"/>
          <w:i/>
          <w:color w:val="auto"/>
          <w:sz w:val="24"/>
          <w:szCs w:val="24"/>
        </w:rPr>
        <w:t>National Disability Insurance Scheme Act 2013</w:t>
      </w:r>
      <w:r w:rsidR="006670D6" w:rsidRPr="006670D6">
        <w:rPr>
          <w:rFonts w:cs="Arial"/>
          <w:color w:val="auto"/>
          <w:sz w:val="24"/>
          <w:szCs w:val="24"/>
        </w:rPr>
        <w:t xml:space="preserve"> and accordingly is not a reviewable decision under that Act.</w:t>
      </w:r>
    </w:p>
    <w:p w:rsidR="006670D6" w:rsidRPr="006670D6" w:rsidRDefault="006670D6" w:rsidP="006F0911">
      <w:pPr>
        <w:spacing w:after="120"/>
        <w:rPr>
          <w:rFonts w:cs="Arial"/>
          <w:color w:val="auto"/>
          <w:sz w:val="24"/>
          <w:szCs w:val="24"/>
        </w:rPr>
      </w:pPr>
    </w:p>
    <w:p w:rsidR="006839E0" w:rsidRPr="005C3AA9" w:rsidRDefault="006839E0" w:rsidP="00D54679">
      <w:pPr>
        <w:rPr>
          <w:i/>
          <w:iCs/>
          <w:smallCaps/>
        </w:rPr>
      </w:pPr>
    </w:p>
    <w:sectPr w:rsidR="006839E0" w:rsidRPr="005C3AA9" w:rsidSect="006839E0">
      <w:headerReference w:type="default" r:id="rId10"/>
      <w:footerReference w:type="default" r:id="rId11"/>
      <w:headerReference w:type="first" r:id="rId12"/>
      <w:footerReference w:type="first" r:id="rId13"/>
      <w:pgSz w:w="11906" w:h="16838"/>
      <w:pgMar w:top="1670" w:right="2692" w:bottom="1440" w:left="1440" w:header="142" w:footer="1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7C" w:rsidRDefault="00651D7C" w:rsidP="00D54679">
      <w:pPr>
        <w:spacing w:after="0" w:line="240" w:lineRule="auto"/>
      </w:pPr>
      <w:r>
        <w:separator/>
      </w:r>
    </w:p>
  </w:endnote>
  <w:endnote w:type="continuationSeparator" w:id="0">
    <w:p w:rsidR="00651D7C" w:rsidRDefault="00651D7C" w:rsidP="00D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3333"/>
      <w:docPartObj>
        <w:docPartGallery w:val="Page Numbers (Bottom of Page)"/>
        <w:docPartUnique/>
      </w:docPartObj>
    </w:sdtPr>
    <w:sdtEndPr>
      <w:rPr>
        <w:noProof/>
      </w:rPr>
    </w:sdtEndPr>
    <w:sdtContent>
      <w:p w:rsidR="006670D6" w:rsidRDefault="006670D6">
        <w:pPr>
          <w:pStyle w:val="Footer"/>
          <w:jc w:val="right"/>
        </w:pPr>
        <w:r>
          <w:fldChar w:fldCharType="begin"/>
        </w:r>
        <w:r>
          <w:instrText xml:space="preserve"> PAGE   \* MERGEFORMAT </w:instrText>
        </w:r>
        <w:r>
          <w:fldChar w:fldCharType="separate"/>
        </w:r>
        <w:r w:rsidR="00EA2246">
          <w:rPr>
            <w:noProof/>
          </w:rPr>
          <w:t>5</w:t>
        </w:r>
        <w:r>
          <w:rPr>
            <w:noProof/>
          </w:rPr>
          <w:fldChar w:fldCharType="end"/>
        </w:r>
      </w:p>
    </w:sdtContent>
  </w:sdt>
  <w:p w:rsidR="00D54679" w:rsidRDefault="00D54679" w:rsidP="006839E0">
    <w:pPr>
      <w:pStyle w:val="Footer"/>
      <w:ind w:left="-1134" w:right="-24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832899"/>
      <w:docPartObj>
        <w:docPartGallery w:val="Page Numbers (Bottom of Page)"/>
        <w:docPartUnique/>
      </w:docPartObj>
    </w:sdtPr>
    <w:sdtEndPr>
      <w:rPr>
        <w:noProof/>
      </w:rPr>
    </w:sdtEndPr>
    <w:sdtContent>
      <w:p w:rsidR="006670D6" w:rsidRDefault="006670D6">
        <w:pPr>
          <w:pStyle w:val="Footer"/>
          <w:jc w:val="right"/>
        </w:pPr>
        <w:r>
          <w:fldChar w:fldCharType="begin"/>
        </w:r>
        <w:r>
          <w:instrText xml:space="preserve"> PAGE   \* MERGEFORMAT </w:instrText>
        </w:r>
        <w:r>
          <w:fldChar w:fldCharType="separate"/>
        </w:r>
        <w:r w:rsidR="00EA2246">
          <w:rPr>
            <w:noProof/>
          </w:rPr>
          <w:t>1</w:t>
        </w:r>
        <w:r>
          <w:rPr>
            <w:noProof/>
          </w:rPr>
          <w:fldChar w:fldCharType="end"/>
        </w:r>
      </w:p>
    </w:sdtContent>
  </w:sdt>
  <w:p w:rsidR="00D54679" w:rsidRPr="006839E0" w:rsidRDefault="00D54679" w:rsidP="006839E0">
    <w:pPr>
      <w:pStyle w:val="Footer"/>
      <w:tabs>
        <w:tab w:val="clear" w:pos="9026"/>
        <w:tab w:val="right" w:pos="10206"/>
      </w:tabs>
      <w:ind w:left="-1134" w:right="-1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7C" w:rsidRDefault="00651D7C" w:rsidP="00D54679">
      <w:pPr>
        <w:spacing w:after="0" w:line="240" w:lineRule="auto"/>
      </w:pPr>
      <w:r>
        <w:separator/>
      </w:r>
    </w:p>
  </w:footnote>
  <w:footnote w:type="continuationSeparator" w:id="0">
    <w:p w:rsidR="00651D7C" w:rsidRDefault="00651D7C" w:rsidP="00D5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6839E0" w:rsidP="006839E0">
    <w:pPr>
      <w:pStyle w:val="Header"/>
      <w:ind w:left="-1134" w:right="-2432"/>
    </w:pPr>
    <w:r>
      <w:rPr>
        <w:noProof/>
        <w:lang w:val="en-AU" w:eastAsia="en-AU"/>
      </w:rPr>
      <w:drawing>
        <wp:inline distT="0" distB="0" distL="0" distR="0" wp14:anchorId="6B0AEDA2" wp14:editId="1D4B41C9">
          <wp:extent cx="7221070" cy="782112"/>
          <wp:effectExtent l="0" t="0" r="0" b="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_header2.jpg"/>
                  <pic:cNvPicPr/>
                </pic:nvPicPr>
                <pic:blipFill>
                  <a:blip r:embed="rId1">
                    <a:extLst>
                      <a:ext uri="{28A0092B-C50C-407E-A947-70E740481C1C}">
                        <a14:useLocalDpi xmlns:a14="http://schemas.microsoft.com/office/drawing/2010/main" val="0"/>
                      </a:ext>
                    </a:extLst>
                  </a:blip>
                  <a:stretch>
                    <a:fillRect/>
                  </a:stretch>
                </pic:blipFill>
                <pic:spPr>
                  <a:xfrm>
                    <a:off x="0" y="0"/>
                    <a:ext cx="7224241" cy="7824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60156B" w:rsidP="00D54679">
    <w:pPr>
      <w:pStyle w:val="Header"/>
      <w:ind w:left="-1134"/>
    </w:pPr>
    <w:r>
      <w:rPr>
        <w:noProof/>
        <w:lang w:val="en-AU" w:eastAsia="en-AU"/>
      </w:rPr>
      <w:drawing>
        <wp:inline distT="0" distB="0" distL="0" distR="0" wp14:anchorId="6B277F14" wp14:editId="654311E8">
          <wp:extent cx="7148317" cy="1788459"/>
          <wp:effectExtent l="0" t="0" r="0" b="2540"/>
          <wp:docPr id="3" name="Picture 3" descr="Australian Government Department of Social Servi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Factsheet Bann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374" cy="1788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1FC"/>
    <w:multiLevelType w:val="hybridMultilevel"/>
    <w:tmpl w:val="E71CABE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nsid w:val="18CA36FD"/>
    <w:multiLevelType w:val="hybridMultilevel"/>
    <w:tmpl w:val="E71CABE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nsid w:val="3EAB579D"/>
    <w:multiLevelType w:val="hybridMultilevel"/>
    <w:tmpl w:val="85627AF0"/>
    <w:lvl w:ilvl="0" w:tplc="0C09001B">
      <w:start w:val="1"/>
      <w:numFmt w:val="lowerRoman"/>
      <w:lvlText w:val="%1."/>
      <w:lvlJc w:val="right"/>
      <w:pPr>
        <w:ind w:left="1800" w:hanging="360"/>
      </w:p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
    <w:nsid w:val="61E01554"/>
    <w:multiLevelType w:val="hybridMultilevel"/>
    <w:tmpl w:val="E71CABE4"/>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nsid w:val="62FE7A35"/>
    <w:multiLevelType w:val="hybridMultilevel"/>
    <w:tmpl w:val="BEBA8190"/>
    <w:lvl w:ilvl="0" w:tplc="C682244A">
      <w:start w:val="1"/>
      <w:numFmt w:val="decimal"/>
      <w:lvlText w:val="Part %1"/>
      <w:lvlJc w:val="left"/>
      <w:pPr>
        <w:ind w:left="1791" w:hanging="360"/>
      </w:pPr>
    </w:lvl>
    <w:lvl w:ilvl="1" w:tplc="0C090019">
      <w:start w:val="1"/>
      <w:numFmt w:val="lowerLetter"/>
      <w:lvlText w:val="%2."/>
      <w:lvlJc w:val="left"/>
      <w:pPr>
        <w:ind w:left="2511" w:hanging="360"/>
      </w:pPr>
    </w:lvl>
    <w:lvl w:ilvl="2" w:tplc="0C09001B">
      <w:start w:val="1"/>
      <w:numFmt w:val="lowerRoman"/>
      <w:lvlText w:val="%3."/>
      <w:lvlJc w:val="right"/>
      <w:pPr>
        <w:ind w:left="3231" w:hanging="180"/>
      </w:pPr>
    </w:lvl>
    <w:lvl w:ilvl="3" w:tplc="0C09000F">
      <w:start w:val="1"/>
      <w:numFmt w:val="decimal"/>
      <w:lvlText w:val="%4."/>
      <w:lvlJc w:val="left"/>
      <w:pPr>
        <w:ind w:left="3951" w:hanging="360"/>
      </w:pPr>
    </w:lvl>
    <w:lvl w:ilvl="4" w:tplc="0C090019">
      <w:start w:val="1"/>
      <w:numFmt w:val="lowerLetter"/>
      <w:lvlText w:val="%5."/>
      <w:lvlJc w:val="left"/>
      <w:pPr>
        <w:ind w:left="4671" w:hanging="360"/>
      </w:pPr>
    </w:lvl>
    <w:lvl w:ilvl="5" w:tplc="0C09001B">
      <w:start w:val="1"/>
      <w:numFmt w:val="lowerRoman"/>
      <w:lvlText w:val="%6."/>
      <w:lvlJc w:val="right"/>
      <w:pPr>
        <w:ind w:left="5391" w:hanging="180"/>
      </w:pPr>
    </w:lvl>
    <w:lvl w:ilvl="6" w:tplc="0C09000F">
      <w:start w:val="1"/>
      <w:numFmt w:val="decimal"/>
      <w:lvlText w:val="%7."/>
      <w:lvlJc w:val="left"/>
      <w:pPr>
        <w:ind w:left="6111" w:hanging="360"/>
      </w:pPr>
    </w:lvl>
    <w:lvl w:ilvl="7" w:tplc="0C090019">
      <w:start w:val="1"/>
      <w:numFmt w:val="lowerLetter"/>
      <w:lvlText w:val="%8."/>
      <w:lvlJc w:val="left"/>
      <w:pPr>
        <w:ind w:left="6831" w:hanging="360"/>
      </w:pPr>
    </w:lvl>
    <w:lvl w:ilvl="8" w:tplc="0C09001B">
      <w:start w:val="1"/>
      <w:numFmt w:val="lowerRoman"/>
      <w:lvlText w:val="%9."/>
      <w:lvlJc w:val="right"/>
      <w:pPr>
        <w:ind w:left="7551" w:hanging="180"/>
      </w:pPr>
    </w:lvl>
  </w:abstractNum>
  <w:num w:numId="1">
    <w:abstractNumId w:val="4"/>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D6"/>
    <w:rsid w:val="00041FB6"/>
    <w:rsid w:val="001748A8"/>
    <w:rsid w:val="001B2F40"/>
    <w:rsid w:val="001C63F3"/>
    <w:rsid w:val="001E16F4"/>
    <w:rsid w:val="001E630D"/>
    <w:rsid w:val="00237198"/>
    <w:rsid w:val="002B18B8"/>
    <w:rsid w:val="003B2BB8"/>
    <w:rsid w:val="003D34FF"/>
    <w:rsid w:val="003F1B67"/>
    <w:rsid w:val="00460E53"/>
    <w:rsid w:val="004B54CA"/>
    <w:rsid w:val="004E5CBF"/>
    <w:rsid w:val="0053229F"/>
    <w:rsid w:val="005C3AA9"/>
    <w:rsid w:val="005D2372"/>
    <w:rsid w:val="00600154"/>
    <w:rsid w:val="0060156B"/>
    <w:rsid w:val="00651D7C"/>
    <w:rsid w:val="006670D6"/>
    <w:rsid w:val="006733E3"/>
    <w:rsid w:val="006839E0"/>
    <w:rsid w:val="00696D5E"/>
    <w:rsid w:val="006A4CE7"/>
    <w:rsid w:val="006F0911"/>
    <w:rsid w:val="00767458"/>
    <w:rsid w:val="00785261"/>
    <w:rsid w:val="007B0256"/>
    <w:rsid w:val="007C7115"/>
    <w:rsid w:val="007F7FCB"/>
    <w:rsid w:val="008028BE"/>
    <w:rsid w:val="008074E0"/>
    <w:rsid w:val="00814066"/>
    <w:rsid w:val="00836FD3"/>
    <w:rsid w:val="00916079"/>
    <w:rsid w:val="009225F0"/>
    <w:rsid w:val="009762CF"/>
    <w:rsid w:val="009D6572"/>
    <w:rsid w:val="00B54FD8"/>
    <w:rsid w:val="00B57B8C"/>
    <w:rsid w:val="00B70351"/>
    <w:rsid w:val="00BA2DB9"/>
    <w:rsid w:val="00BC1CE0"/>
    <w:rsid w:val="00BE7148"/>
    <w:rsid w:val="00C07EE6"/>
    <w:rsid w:val="00C2204C"/>
    <w:rsid w:val="00C528CA"/>
    <w:rsid w:val="00C7778D"/>
    <w:rsid w:val="00CA2235"/>
    <w:rsid w:val="00D04E32"/>
    <w:rsid w:val="00D14189"/>
    <w:rsid w:val="00D14B8E"/>
    <w:rsid w:val="00D17124"/>
    <w:rsid w:val="00D24E6D"/>
    <w:rsid w:val="00D54679"/>
    <w:rsid w:val="00E278BD"/>
    <w:rsid w:val="00E6210C"/>
    <w:rsid w:val="00E86330"/>
    <w:rsid w:val="00EA2246"/>
    <w:rsid w:val="00ED007E"/>
    <w:rsid w:val="00F63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C07EE6"/>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character" w:styleId="Hyperlink">
    <w:name w:val="Hyperlink"/>
    <w:basedOn w:val="DefaultParagraphFont"/>
    <w:uiPriority w:val="99"/>
    <w:unhideWhenUsed/>
    <w:rsid w:val="006670D6"/>
    <w:rPr>
      <w:color w:val="0000FF" w:themeColor="hyperlink"/>
      <w:u w:val="single"/>
    </w:rPr>
  </w:style>
  <w:style w:type="paragraph" w:styleId="TOC1">
    <w:name w:val="toc 1"/>
    <w:basedOn w:val="Normal"/>
    <w:next w:val="Normal"/>
    <w:autoRedefine/>
    <w:uiPriority w:val="39"/>
    <w:qFormat/>
    <w:rsid w:val="00D14B8E"/>
    <w:pPr>
      <w:spacing w:after="100"/>
    </w:pPr>
  </w:style>
  <w:style w:type="paragraph" w:styleId="TOC2">
    <w:name w:val="toc 2"/>
    <w:basedOn w:val="Normal"/>
    <w:next w:val="Normal"/>
    <w:autoRedefine/>
    <w:uiPriority w:val="39"/>
    <w:unhideWhenUsed/>
    <w:qFormat/>
    <w:rsid w:val="00C528CA"/>
    <w:pPr>
      <w:widowControl/>
      <w:suppressAutoHyphens w:val="0"/>
      <w:autoSpaceDE/>
      <w:autoSpaceDN/>
      <w:adjustRightInd/>
      <w:spacing w:after="100" w:line="276" w:lineRule="auto"/>
      <w:ind w:left="220"/>
      <w:textAlignment w:val="auto"/>
    </w:pPr>
    <w:rPr>
      <w:rFonts w:asciiTheme="minorHAnsi" w:eastAsiaTheme="minorEastAsia" w:hAnsiTheme="minorHAnsi" w:cstheme="minorBidi"/>
      <w:color w:val="auto"/>
      <w:position w:val="0"/>
      <w:sz w:val="22"/>
      <w:szCs w:val="22"/>
      <w:lang w:val="en-US" w:eastAsia="ja-JP"/>
    </w:rPr>
  </w:style>
  <w:style w:type="paragraph" w:styleId="TOC3">
    <w:name w:val="toc 3"/>
    <w:basedOn w:val="Normal"/>
    <w:next w:val="Normal"/>
    <w:autoRedefine/>
    <w:uiPriority w:val="39"/>
    <w:unhideWhenUsed/>
    <w:qFormat/>
    <w:rsid w:val="00C528CA"/>
    <w:pPr>
      <w:widowControl/>
      <w:suppressAutoHyphens w:val="0"/>
      <w:autoSpaceDE/>
      <w:autoSpaceDN/>
      <w:adjustRightInd/>
      <w:spacing w:after="100" w:line="276" w:lineRule="auto"/>
      <w:ind w:left="440"/>
      <w:textAlignment w:val="auto"/>
    </w:pPr>
    <w:rPr>
      <w:rFonts w:asciiTheme="minorHAnsi" w:eastAsiaTheme="minorEastAsia" w:hAnsiTheme="minorHAnsi" w:cstheme="minorBidi"/>
      <w:color w:val="auto"/>
      <w:position w:val="0"/>
      <w:sz w:val="22"/>
      <w:szCs w:val="22"/>
      <w:lang w:val="en-US" w:eastAsia="ja-JP"/>
    </w:rPr>
  </w:style>
  <w:style w:type="character" w:styleId="CommentReference">
    <w:name w:val="annotation reference"/>
    <w:basedOn w:val="DefaultParagraphFont"/>
    <w:uiPriority w:val="99"/>
    <w:rsid w:val="00D17124"/>
    <w:rPr>
      <w:sz w:val="16"/>
      <w:szCs w:val="16"/>
    </w:rPr>
  </w:style>
  <w:style w:type="paragraph" w:styleId="CommentText">
    <w:name w:val="annotation text"/>
    <w:basedOn w:val="Normal"/>
    <w:link w:val="CommentTextChar"/>
    <w:uiPriority w:val="99"/>
    <w:rsid w:val="00D17124"/>
    <w:pPr>
      <w:spacing w:line="240" w:lineRule="auto"/>
    </w:pPr>
    <w:rPr>
      <w:sz w:val="20"/>
      <w:szCs w:val="20"/>
    </w:rPr>
  </w:style>
  <w:style w:type="character" w:customStyle="1" w:styleId="CommentTextChar">
    <w:name w:val="Comment Text Char"/>
    <w:basedOn w:val="DefaultParagraphFont"/>
    <w:link w:val="CommentText"/>
    <w:uiPriority w:val="99"/>
    <w:rsid w:val="00D17124"/>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D17124"/>
    <w:rPr>
      <w:b/>
      <w:bCs/>
    </w:rPr>
  </w:style>
  <w:style w:type="character" w:customStyle="1" w:styleId="CommentSubjectChar">
    <w:name w:val="Comment Subject Char"/>
    <w:basedOn w:val="CommentTextChar"/>
    <w:link w:val="CommentSubject"/>
    <w:uiPriority w:val="99"/>
    <w:rsid w:val="00D17124"/>
    <w:rPr>
      <w:rFonts w:ascii="Arial" w:eastAsia="Cambria" w:hAnsi="Arial" w:cs="MuseoSans-300"/>
      <w:b/>
      <w:bCs/>
      <w:color w:val="54534B"/>
      <w:position w:val="-2"/>
      <w:sz w:val="20"/>
      <w:szCs w:val="20"/>
      <w:lang w:val="en-GB"/>
    </w:rPr>
  </w:style>
  <w:style w:type="paragraph" w:styleId="Revision">
    <w:name w:val="Revision"/>
    <w:hidden/>
    <w:uiPriority w:val="99"/>
    <w:semiHidden/>
    <w:rsid w:val="009762CF"/>
    <w:pPr>
      <w:spacing w:after="0" w:line="240" w:lineRule="auto"/>
    </w:pPr>
    <w:rPr>
      <w:rFonts w:ascii="Arial" w:eastAsia="Cambria" w:hAnsi="Arial" w:cs="MuseoSans-300"/>
      <w:color w:val="54534B"/>
      <w:position w:val="-2"/>
      <w:sz w:val="19"/>
      <w:szCs w:val="1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atentStyles>
  <w:style w:type="paragraph" w:default="1" w:styleId="Normal">
    <w:name w:val="Normal"/>
    <w:qFormat/>
    <w:rsid w:val="00C07EE6"/>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19"/>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9D6572"/>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1748A8"/>
    <w:rPr>
      <w:rFonts w:ascii="Arial" w:eastAsiaTheme="majorEastAsia" w:hAnsi="Arial" w:cstheme="majorBidi"/>
      <w:b/>
      <w:bCs/>
      <w:color w:val="54534B"/>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character" w:styleId="Hyperlink">
    <w:name w:val="Hyperlink"/>
    <w:basedOn w:val="DefaultParagraphFont"/>
    <w:uiPriority w:val="99"/>
    <w:unhideWhenUsed/>
    <w:rsid w:val="006670D6"/>
    <w:rPr>
      <w:color w:val="0000FF" w:themeColor="hyperlink"/>
      <w:u w:val="single"/>
    </w:rPr>
  </w:style>
  <w:style w:type="paragraph" w:styleId="TOC1">
    <w:name w:val="toc 1"/>
    <w:basedOn w:val="Normal"/>
    <w:next w:val="Normal"/>
    <w:autoRedefine/>
    <w:uiPriority w:val="39"/>
    <w:qFormat/>
    <w:rsid w:val="00D14B8E"/>
    <w:pPr>
      <w:spacing w:after="100"/>
    </w:pPr>
  </w:style>
  <w:style w:type="paragraph" w:styleId="TOC2">
    <w:name w:val="toc 2"/>
    <w:basedOn w:val="Normal"/>
    <w:next w:val="Normal"/>
    <w:autoRedefine/>
    <w:uiPriority w:val="39"/>
    <w:unhideWhenUsed/>
    <w:qFormat/>
    <w:rsid w:val="00C528CA"/>
    <w:pPr>
      <w:widowControl/>
      <w:suppressAutoHyphens w:val="0"/>
      <w:autoSpaceDE/>
      <w:autoSpaceDN/>
      <w:adjustRightInd/>
      <w:spacing w:after="100" w:line="276" w:lineRule="auto"/>
      <w:ind w:left="220"/>
      <w:textAlignment w:val="auto"/>
    </w:pPr>
    <w:rPr>
      <w:rFonts w:asciiTheme="minorHAnsi" w:eastAsiaTheme="minorEastAsia" w:hAnsiTheme="minorHAnsi" w:cstheme="minorBidi"/>
      <w:color w:val="auto"/>
      <w:position w:val="0"/>
      <w:sz w:val="22"/>
      <w:szCs w:val="22"/>
      <w:lang w:val="en-US" w:eastAsia="ja-JP"/>
    </w:rPr>
  </w:style>
  <w:style w:type="paragraph" w:styleId="TOC3">
    <w:name w:val="toc 3"/>
    <w:basedOn w:val="Normal"/>
    <w:next w:val="Normal"/>
    <w:autoRedefine/>
    <w:uiPriority w:val="39"/>
    <w:unhideWhenUsed/>
    <w:qFormat/>
    <w:rsid w:val="00C528CA"/>
    <w:pPr>
      <w:widowControl/>
      <w:suppressAutoHyphens w:val="0"/>
      <w:autoSpaceDE/>
      <w:autoSpaceDN/>
      <w:adjustRightInd/>
      <w:spacing w:after="100" w:line="276" w:lineRule="auto"/>
      <w:ind w:left="440"/>
      <w:textAlignment w:val="auto"/>
    </w:pPr>
    <w:rPr>
      <w:rFonts w:asciiTheme="minorHAnsi" w:eastAsiaTheme="minorEastAsia" w:hAnsiTheme="minorHAnsi" w:cstheme="minorBidi"/>
      <w:color w:val="auto"/>
      <w:position w:val="0"/>
      <w:sz w:val="22"/>
      <w:szCs w:val="22"/>
      <w:lang w:val="en-US" w:eastAsia="ja-JP"/>
    </w:rPr>
  </w:style>
  <w:style w:type="character" w:styleId="CommentReference">
    <w:name w:val="annotation reference"/>
    <w:basedOn w:val="DefaultParagraphFont"/>
    <w:uiPriority w:val="99"/>
    <w:rsid w:val="00D17124"/>
    <w:rPr>
      <w:sz w:val="16"/>
      <w:szCs w:val="16"/>
    </w:rPr>
  </w:style>
  <w:style w:type="paragraph" w:styleId="CommentText">
    <w:name w:val="annotation text"/>
    <w:basedOn w:val="Normal"/>
    <w:link w:val="CommentTextChar"/>
    <w:uiPriority w:val="99"/>
    <w:rsid w:val="00D17124"/>
    <w:pPr>
      <w:spacing w:line="240" w:lineRule="auto"/>
    </w:pPr>
    <w:rPr>
      <w:sz w:val="20"/>
      <w:szCs w:val="20"/>
    </w:rPr>
  </w:style>
  <w:style w:type="character" w:customStyle="1" w:styleId="CommentTextChar">
    <w:name w:val="Comment Text Char"/>
    <w:basedOn w:val="DefaultParagraphFont"/>
    <w:link w:val="CommentText"/>
    <w:uiPriority w:val="99"/>
    <w:rsid w:val="00D17124"/>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rsid w:val="00D17124"/>
    <w:rPr>
      <w:b/>
      <w:bCs/>
    </w:rPr>
  </w:style>
  <w:style w:type="character" w:customStyle="1" w:styleId="CommentSubjectChar">
    <w:name w:val="Comment Subject Char"/>
    <w:basedOn w:val="CommentTextChar"/>
    <w:link w:val="CommentSubject"/>
    <w:uiPriority w:val="99"/>
    <w:rsid w:val="00D17124"/>
    <w:rPr>
      <w:rFonts w:ascii="Arial" w:eastAsia="Cambria" w:hAnsi="Arial" w:cs="MuseoSans-300"/>
      <w:b/>
      <w:bCs/>
      <w:color w:val="54534B"/>
      <w:position w:val="-2"/>
      <w:sz w:val="20"/>
      <w:szCs w:val="20"/>
      <w:lang w:val="en-GB"/>
    </w:rPr>
  </w:style>
  <w:style w:type="paragraph" w:styleId="Revision">
    <w:name w:val="Revision"/>
    <w:hidden/>
    <w:uiPriority w:val="99"/>
    <w:semiHidden/>
    <w:rsid w:val="009762CF"/>
    <w:pPr>
      <w:spacing w:after="0" w:line="240" w:lineRule="auto"/>
    </w:pPr>
    <w:rPr>
      <w:rFonts w:ascii="Arial" w:eastAsia="Cambria" w:hAnsi="Arial" w:cs="MuseoSans-300"/>
      <w:color w:val="54534B"/>
      <w:position w:val="-2"/>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ntralassessmentprovider@ds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A2D3-086D-45CA-8296-9F3CF209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Review of National Disability Insurance Agency decisions in the Administrative Appeals Tribunal</vt:lpstr>
    </vt:vector>
  </TitlesOfParts>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National Disability Insurance Agency decisions in the Administrative Appeals Tribunal</dc:title>
  <dc:creator/>
  <cp:lastModifiedBy/>
  <cp:revision>1</cp:revision>
  <dcterms:created xsi:type="dcterms:W3CDTF">2015-09-28T01:48:00Z</dcterms:created>
  <dcterms:modified xsi:type="dcterms:W3CDTF">2015-10-02T02:38:00Z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